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70E48" w14:textId="77777777" w:rsidR="00F031FB" w:rsidRPr="00C246EC" w:rsidRDefault="00F031FB" w:rsidP="00F031FB">
      <w:pPr>
        <w:jc w:val="center"/>
        <w:rPr>
          <w:bCs/>
          <w:sz w:val="28"/>
        </w:rPr>
      </w:pPr>
      <w:r w:rsidRPr="00C246EC">
        <w:rPr>
          <w:b/>
          <w:sz w:val="28"/>
        </w:rPr>
        <w:t xml:space="preserve">Likumprojekta </w:t>
      </w:r>
      <w:r w:rsidR="00D73EB0" w:rsidRPr="00C246EC">
        <w:rPr>
          <w:b/>
          <w:sz w:val="28"/>
        </w:rPr>
        <w:t>"</w:t>
      </w:r>
      <w:r w:rsidR="00B90244" w:rsidRPr="00C246EC">
        <w:rPr>
          <w:b/>
          <w:sz w:val="28"/>
        </w:rPr>
        <w:t>Grozījumi</w:t>
      </w:r>
      <w:r w:rsidR="005C07F9" w:rsidRPr="00C246EC">
        <w:rPr>
          <w:b/>
          <w:sz w:val="28"/>
        </w:rPr>
        <w:t xml:space="preserve"> </w:t>
      </w:r>
      <w:proofErr w:type="spellStart"/>
      <w:r w:rsidR="005C07F9" w:rsidRPr="00C246EC">
        <w:rPr>
          <w:b/>
          <w:sz w:val="28"/>
        </w:rPr>
        <w:t>Mikrouzņēmumu</w:t>
      </w:r>
      <w:proofErr w:type="spellEnd"/>
      <w:r w:rsidR="005C07F9" w:rsidRPr="00C246EC">
        <w:rPr>
          <w:b/>
          <w:sz w:val="28"/>
        </w:rPr>
        <w:t xml:space="preserve"> nodokļa likumā</w:t>
      </w:r>
      <w:r w:rsidR="009B42E5" w:rsidRPr="00C246EC">
        <w:rPr>
          <w:b/>
          <w:sz w:val="28"/>
        </w:rPr>
        <w:t>"</w:t>
      </w:r>
      <w:r w:rsidRPr="00C246EC">
        <w:rPr>
          <w:b/>
          <w:sz w:val="28"/>
        </w:rPr>
        <w:t xml:space="preserve"> </w:t>
      </w:r>
      <w:r w:rsidRPr="00C246EC">
        <w:rPr>
          <w:b/>
          <w:bCs/>
          <w:sz w:val="28"/>
        </w:rPr>
        <w:t>sākotnējās ietekmes novērtējuma ziņojums (anotācija)</w:t>
      </w:r>
    </w:p>
    <w:p w14:paraId="565BB606" w14:textId="77777777" w:rsidR="001B71CD" w:rsidRPr="00C246EC" w:rsidRDefault="001B71CD" w:rsidP="001B71CD">
      <w:pPr>
        <w:jc w:val="center"/>
        <w:rPr>
          <w:b/>
        </w:rPr>
      </w:pPr>
    </w:p>
    <w:tbl>
      <w:tblPr>
        <w:tblpPr w:leftFromText="180" w:rightFromText="180" w:vertAnchor="text" w:horzAnchor="margin" w:tblpXSpec="center" w:tblpY="14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7"/>
        <w:gridCol w:w="1440"/>
        <w:gridCol w:w="7371"/>
      </w:tblGrid>
      <w:tr w:rsidR="00E547C1" w:rsidRPr="00C246EC" w14:paraId="47D7ECE2" w14:textId="77777777" w:rsidTr="00E03666">
        <w:tc>
          <w:tcPr>
            <w:tcW w:w="9498" w:type="dxa"/>
            <w:gridSpan w:val="3"/>
            <w:vAlign w:val="center"/>
          </w:tcPr>
          <w:p w14:paraId="1762E42A" w14:textId="77777777" w:rsidR="00852042" w:rsidRPr="00C246EC" w:rsidRDefault="00852042" w:rsidP="006C4607">
            <w:pPr>
              <w:pStyle w:val="naisnod"/>
              <w:spacing w:before="0" w:after="0"/>
            </w:pPr>
            <w:r w:rsidRPr="00C246EC">
              <w:t>I</w:t>
            </w:r>
            <w:r w:rsidR="000941C5" w:rsidRPr="00C246EC">
              <w:t>.</w:t>
            </w:r>
            <w:r w:rsidRPr="00C246EC">
              <w:t xml:space="preserve"> Tiesību akta </w:t>
            </w:r>
            <w:r w:rsidR="002E3FF4" w:rsidRPr="00C246EC">
              <w:t xml:space="preserve">projekta </w:t>
            </w:r>
            <w:r w:rsidRPr="00C246EC">
              <w:t>izstrādes nepieciešamība</w:t>
            </w:r>
          </w:p>
        </w:tc>
      </w:tr>
      <w:tr w:rsidR="00E547C1" w:rsidRPr="00C246EC" w14:paraId="270E18DD" w14:textId="77777777" w:rsidTr="00E03666">
        <w:trPr>
          <w:trHeight w:val="630"/>
        </w:trPr>
        <w:tc>
          <w:tcPr>
            <w:tcW w:w="687" w:type="dxa"/>
          </w:tcPr>
          <w:p w14:paraId="41A77AD6" w14:textId="77777777" w:rsidR="00262E2B" w:rsidRPr="00C246EC" w:rsidRDefault="00262E2B" w:rsidP="0047074D">
            <w:pPr>
              <w:pStyle w:val="naiskr"/>
              <w:spacing w:before="0" w:after="0"/>
            </w:pPr>
            <w:r w:rsidRPr="00C246EC">
              <w:t>1.</w:t>
            </w:r>
          </w:p>
        </w:tc>
        <w:tc>
          <w:tcPr>
            <w:tcW w:w="1440" w:type="dxa"/>
          </w:tcPr>
          <w:p w14:paraId="51202A53" w14:textId="77777777" w:rsidR="00262E2B" w:rsidRPr="00C246EC" w:rsidRDefault="002D7F54" w:rsidP="0047074D">
            <w:pPr>
              <w:pStyle w:val="naiskr"/>
              <w:spacing w:before="0" w:after="0"/>
              <w:ind w:hanging="10"/>
            </w:pPr>
            <w:r w:rsidRPr="00C246EC">
              <w:t>Pamatojums</w:t>
            </w:r>
          </w:p>
        </w:tc>
        <w:tc>
          <w:tcPr>
            <w:tcW w:w="7371" w:type="dxa"/>
          </w:tcPr>
          <w:p w14:paraId="5A049009" w14:textId="77777777" w:rsidR="00B90244" w:rsidRPr="00C246EC" w:rsidRDefault="00B90244" w:rsidP="00B90244">
            <w:pPr>
              <w:spacing w:before="120" w:after="120"/>
              <w:jc w:val="both"/>
            </w:pPr>
            <w:proofErr w:type="spellStart"/>
            <w:r w:rsidRPr="00C246EC">
              <w:t>Mikrouzņēmumu</w:t>
            </w:r>
            <w:proofErr w:type="spellEnd"/>
            <w:r w:rsidRPr="00C246EC">
              <w:t xml:space="preserve"> nodokļa likuma Pārejas noteikumu 21.punkts nosaka, ka Ministru kabinets līdz 2017.gada 1.jūnijam iesniedz Saeimai likumprojektus, kas paredz jauna specializēta vienkāršota nodokļu regulējuma ieviešanu mazajiem uzņēmumiem un </w:t>
            </w:r>
            <w:proofErr w:type="spellStart"/>
            <w:r w:rsidRPr="00C246EC">
              <w:t>mikrouzņēmumiem</w:t>
            </w:r>
            <w:proofErr w:type="spellEnd"/>
            <w:r w:rsidRPr="00C246EC">
              <w:t xml:space="preserve">, lai aizstātu </w:t>
            </w:r>
            <w:proofErr w:type="spellStart"/>
            <w:r w:rsidRPr="00C246EC">
              <w:t>mikrouzņēmumu</w:t>
            </w:r>
            <w:proofErr w:type="spellEnd"/>
            <w:r w:rsidRPr="00C246EC">
              <w:t xml:space="preserve"> nodokļa režīmu.</w:t>
            </w:r>
          </w:p>
          <w:p w14:paraId="7C1699F5" w14:textId="77777777" w:rsidR="00B90244" w:rsidRPr="00C246EC" w:rsidRDefault="00B90244" w:rsidP="00B90244">
            <w:pPr>
              <w:spacing w:before="120" w:after="120"/>
              <w:jc w:val="both"/>
            </w:pPr>
            <w:proofErr w:type="spellStart"/>
            <w:r w:rsidRPr="00C246EC">
              <w:t>Mikrouzņēmumu</w:t>
            </w:r>
            <w:proofErr w:type="spellEnd"/>
            <w:r w:rsidRPr="00C246EC">
              <w:t xml:space="preserve"> nodokļa likums Saeimā tika pieņemts 2010.gada 9.augustā un tas stājās spēkā 2010.gada 1.septembrī. </w:t>
            </w:r>
            <w:proofErr w:type="spellStart"/>
            <w:r w:rsidRPr="00C246EC">
              <w:t>Mikrouzņēmumu</w:t>
            </w:r>
            <w:proofErr w:type="spellEnd"/>
            <w:r w:rsidRPr="00C246EC">
              <w:t xml:space="preserve"> nodokļa (turpmāk -  MUN) ieviešanai bija 3 galvenie mērķi: veicināt uzsākt uzņēmējdarbību, vienkāršot nodokļu piemērošanu un mazināt ēnu ekonomiku. </w:t>
            </w:r>
          </w:p>
          <w:p w14:paraId="0A1D5367" w14:textId="77777777" w:rsidR="00B90244" w:rsidRPr="00C246EC" w:rsidRDefault="00B90244" w:rsidP="00B90244">
            <w:pPr>
              <w:spacing w:before="120" w:after="120"/>
              <w:jc w:val="both"/>
            </w:pPr>
            <w:r w:rsidRPr="00C246EC">
              <w:t xml:space="preserve">MUN ieviešanai ir bijusi pozitīva ietekme uz tautsaimniecību, jo radīja vienkāršotu nodokļu režīmu maziem uzņēmumiem, veicināja jaunu uzņēmumu skaita pieaugumu, MUN ieņēmumi valsts budžetā ik gadus pieauga. </w:t>
            </w:r>
          </w:p>
          <w:p w14:paraId="22155296" w14:textId="2D47788C" w:rsidR="000C7199" w:rsidRPr="00C246EC" w:rsidRDefault="00B90244" w:rsidP="00E42FB9">
            <w:pPr>
              <w:spacing w:before="120" w:after="120"/>
              <w:jc w:val="both"/>
            </w:pPr>
            <w:r w:rsidRPr="00C246EC">
              <w:t xml:space="preserve">Vienlaicīgi ar pozitīvajiem aspektiem analīze liecina, ka esošajā MUN režīmā ir arī vairākas identificētās problēmas, kuras nepieciešams risināt, pilnveidojot tiesisko regulējumu. Tomēr, </w:t>
            </w:r>
            <w:r w:rsidR="00E42FB9" w:rsidRPr="00C246EC">
              <w:rPr>
                <w:u w:val="single"/>
              </w:rPr>
              <w:t xml:space="preserve">identificēto problēmu dēļ </w:t>
            </w:r>
            <w:r w:rsidRPr="00C246EC">
              <w:rPr>
                <w:u w:val="single"/>
              </w:rPr>
              <w:t xml:space="preserve">MUN nav jālikvidē pilnībā, jo, kā to liecina </w:t>
            </w:r>
            <w:r w:rsidR="00EF63B5" w:rsidRPr="00C246EC">
              <w:rPr>
                <w:u w:val="single"/>
              </w:rPr>
              <w:t>arī sabiedrības iesaiste, lielākā daļa aptaujāto nod</w:t>
            </w:r>
            <w:r w:rsidR="00D12E07">
              <w:rPr>
                <w:u w:val="single"/>
              </w:rPr>
              <w:t>okļu maksātāju vēlas saglabāt e</w:t>
            </w:r>
            <w:r w:rsidR="00EF63B5" w:rsidRPr="00C246EC">
              <w:rPr>
                <w:u w:val="single"/>
              </w:rPr>
              <w:t>sošo MUN režīmu</w:t>
            </w:r>
            <w:r w:rsidR="00EF63B5" w:rsidRPr="00C246EC">
              <w:t>.</w:t>
            </w:r>
            <w:r w:rsidR="00E42FB9" w:rsidRPr="00C246EC">
              <w:t xml:space="preserve"> </w:t>
            </w:r>
            <w:r w:rsidRPr="00C246EC">
              <w:t>Tādēļ l</w:t>
            </w:r>
            <w:r w:rsidR="00EF6A9B" w:rsidRPr="00C246EC">
              <w:t>ikumprojekts "</w:t>
            </w:r>
            <w:r w:rsidRPr="00C246EC">
              <w:t>Grozījumi</w:t>
            </w:r>
            <w:r w:rsidR="005C07F9" w:rsidRPr="00C246EC">
              <w:t xml:space="preserve"> </w:t>
            </w:r>
            <w:proofErr w:type="spellStart"/>
            <w:r w:rsidR="005C07F9" w:rsidRPr="00C246EC">
              <w:t>Mikrouzņēmumu</w:t>
            </w:r>
            <w:proofErr w:type="spellEnd"/>
            <w:r w:rsidR="005C07F9" w:rsidRPr="00C246EC">
              <w:t xml:space="preserve"> nodokļa likumā</w:t>
            </w:r>
            <w:r w:rsidR="00EF6A9B" w:rsidRPr="00C246EC">
              <w:t xml:space="preserve">" (turpmāk </w:t>
            </w:r>
            <w:r w:rsidRPr="00C246EC">
              <w:t>– likumprojekts) izstrādāts, la</w:t>
            </w:r>
            <w:r w:rsidR="00E42FB9" w:rsidRPr="00C246EC">
              <w:t>i precizētu e</w:t>
            </w:r>
            <w:r w:rsidR="00C246EC">
              <w:t>s</w:t>
            </w:r>
            <w:r w:rsidR="00E42FB9" w:rsidRPr="00C246EC">
              <w:t>ošo MUN regulējumu.</w:t>
            </w:r>
          </w:p>
        </w:tc>
      </w:tr>
      <w:tr w:rsidR="00E547C1" w:rsidRPr="00C246EC" w14:paraId="6A07F1D9" w14:textId="77777777" w:rsidTr="00E03666">
        <w:trPr>
          <w:trHeight w:val="472"/>
        </w:trPr>
        <w:tc>
          <w:tcPr>
            <w:tcW w:w="687" w:type="dxa"/>
          </w:tcPr>
          <w:p w14:paraId="62DC9DFD" w14:textId="77777777" w:rsidR="00AE2256" w:rsidRPr="00C246EC" w:rsidRDefault="00AE2256" w:rsidP="0047074D">
            <w:pPr>
              <w:pStyle w:val="naiskr"/>
              <w:spacing w:before="0" w:after="0"/>
            </w:pPr>
            <w:r w:rsidRPr="00C246EC">
              <w:t>2.</w:t>
            </w:r>
          </w:p>
        </w:tc>
        <w:tc>
          <w:tcPr>
            <w:tcW w:w="1440" w:type="dxa"/>
          </w:tcPr>
          <w:p w14:paraId="44A5EC98" w14:textId="77777777" w:rsidR="00AE2256" w:rsidRPr="00C246EC" w:rsidRDefault="00AE2256" w:rsidP="0047074D">
            <w:pPr>
              <w:pStyle w:val="naiskr"/>
              <w:tabs>
                <w:tab w:val="left" w:pos="170"/>
              </w:tabs>
              <w:spacing w:before="0" w:after="0"/>
            </w:pPr>
            <w:r w:rsidRPr="00C246EC">
              <w:t>Pa</w:t>
            </w:r>
            <w:r w:rsidR="002B6FAB" w:rsidRPr="00C246EC">
              <w:t>šreizējā situācija un problēmas, kuru risināšanai tiesību akta projekts izstrādāts, tiesiskā regulējuma mērķis un būtība</w:t>
            </w:r>
          </w:p>
          <w:p w14:paraId="2C725C76" w14:textId="77777777" w:rsidR="00AE2256" w:rsidRPr="00C246EC" w:rsidRDefault="00AE2256" w:rsidP="0047074D"/>
          <w:p w14:paraId="3A51DB28" w14:textId="77777777" w:rsidR="00AE2256" w:rsidRPr="00C246EC" w:rsidRDefault="00AE2256" w:rsidP="0047074D"/>
          <w:p w14:paraId="71516186" w14:textId="77777777" w:rsidR="00AE2256" w:rsidRPr="00C246EC" w:rsidRDefault="00AE2256" w:rsidP="0047074D">
            <w:pPr>
              <w:ind w:firstLine="720"/>
            </w:pPr>
          </w:p>
        </w:tc>
        <w:tc>
          <w:tcPr>
            <w:tcW w:w="7371" w:type="dxa"/>
          </w:tcPr>
          <w:p w14:paraId="5A174345" w14:textId="77777777" w:rsidR="00E42FB9" w:rsidRPr="00C246EC" w:rsidRDefault="00E42FB9" w:rsidP="00E42FB9">
            <w:pPr>
              <w:spacing w:before="120" w:after="120"/>
              <w:jc w:val="both"/>
              <w:rPr>
                <w:bCs/>
                <w:u w:val="single"/>
              </w:rPr>
            </w:pPr>
            <w:r w:rsidRPr="00C246EC">
              <w:rPr>
                <w:bCs/>
                <w:u w:val="single"/>
              </w:rPr>
              <w:t xml:space="preserve">Problēmas, kuru risināšanai tiesību akta projekts izstrādāts </w:t>
            </w:r>
          </w:p>
          <w:p w14:paraId="497C95FE" w14:textId="77777777" w:rsidR="00E42FB9" w:rsidRPr="00C246EC" w:rsidRDefault="00E42FB9" w:rsidP="00E42FB9">
            <w:pPr>
              <w:spacing w:before="120" w:after="120"/>
              <w:jc w:val="both"/>
              <w:rPr>
                <w:bCs/>
              </w:rPr>
            </w:pPr>
            <w:r w:rsidRPr="00C246EC">
              <w:rPr>
                <w:bCs/>
              </w:rPr>
              <w:t>1. Esošais MUN režīms tiek izmantots darba spēka nodokļu sloga optimizēšanai, tādēļ rada negodīgu konkurenci un nesabalansētu uzņēmējdarbības vidi.</w:t>
            </w:r>
          </w:p>
          <w:p w14:paraId="4B9308A4" w14:textId="77777777" w:rsidR="00E42FB9" w:rsidRPr="00C246EC" w:rsidRDefault="00E42FB9" w:rsidP="00E42FB9">
            <w:pPr>
              <w:spacing w:before="120" w:after="120"/>
              <w:jc w:val="both"/>
              <w:rPr>
                <w:bCs/>
              </w:rPr>
            </w:pPr>
            <w:r w:rsidRPr="00C246EC">
              <w:rPr>
                <w:bCs/>
              </w:rPr>
              <w:t xml:space="preserve">No datu analīzes ir konstatējams, ka pieaug darba ņēmēju skaits, kuri pilnīgi vai daļēji ir nodarbināti </w:t>
            </w:r>
            <w:proofErr w:type="spellStart"/>
            <w:r w:rsidRPr="00C246EC">
              <w:rPr>
                <w:bCs/>
              </w:rPr>
              <w:t>mikrouzņēmumos</w:t>
            </w:r>
            <w:proofErr w:type="spellEnd"/>
            <w:r w:rsidRPr="00C246EC">
              <w:rPr>
                <w:bCs/>
              </w:rPr>
              <w:t>. Kopējais darba ņēmēju skaits 2011.-2016.gada periodā pieauga par 10,3 %, kaut gan vispārēja režīma valsts sociālās apdrošināšanas obligātās iemaksas (turpmāk – VSAOI) un iedzīvotāju ienākuma nodokļa (turpmāk – IIN) darba ņēmēju skaits pieauga tikai par 1,9 %. Līdzīga tendence līdz 2017.gadam bija vērojama arī, apskatot nodokļu maksātāju skaitu, kurā MUN pieaug, lai arī saimnieciskās darbības veicēju vai vispārējā nodokļu maksāšanas režīmā strādājošu komercsabiedrību skaits būtiski nemainās. Tātad, kopš 2015.gada maija samazinās darba ņēmēju skaits pie vispārējā nodokļu režīmā strādājošiem darba devējiem.</w:t>
            </w:r>
          </w:p>
          <w:p w14:paraId="62BF4D79" w14:textId="77777777" w:rsidR="00E42FB9" w:rsidRPr="00C246EC" w:rsidRDefault="00E42FB9" w:rsidP="00E42FB9">
            <w:pPr>
              <w:spacing w:before="120" w:after="120"/>
              <w:jc w:val="both"/>
              <w:rPr>
                <w:bCs/>
              </w:rPr>
            </w:pPr>
            <w:r w:rsidRPr="00C246EC">
              <w:rPr>
                <w:bCs/>
              </w:rPr>
              <w:t xml:space="preserve">MUN reģistrācijas un uzskaites dati par 2015.gadu liecināja, ka no MUN režīma uz vispārējo nodokļu maksāšanas kārtību pārgāja tikai 3% no MUN maksātājiem. Ar 2016.gada 31.decembri </w:t>
            </w:r>
            <w:proofErr w:type="spellStart"/>
            <w:r w:rsidRPr="00C246EC">
              <w:rPr>
                <w:bCs/>
              </w:rPr>
              <w:t>mikrouzņēmumu</w:t>
            </w:r>
            <w:proofErr w:type="spellEnd"/>
            <w:r w:rsidRPr="00C246EC">
              <w:rPr>
                <w:bCs/>
              </w:rPr>
              <w:t xml:space="preserve"> nodokļa statusu, pārejot uz vispārējo nodokļu maksāšanas režīmu, zaudēja 6 189 nodokļu maksātāji, kas ir par 2 817 nodokļu maksātājiem jeb 83,5 % vairāk nekā ar </w:t>
            </w:r>
            <w:r w:rsidRPr="00C246EC">
              <w:rPr>
                <w:bCs/>
              </w:rPr>
              <w:lastRenderedPageBreak/>
              <w:t>2015.gada 31.decembri. Tomēr, arī no vispārējā režīma pāriet uz MUN režīmu. Piemēram, 2017.gada 1.janvārī 1173 nodokļu maksātāji ir pārreģistrējušies no vispārējā nodokļu maksāšanas režīma uz MUN režīmu.</w:t>
            </w:r>
          </w:p>
          <w:p w14:paraId="600C0940" w14:textId="77777777" w:rsidR="00E42FB9" w:rsidRPr="00C246EC" w:rsidRDefault="00E42FB9" w:rsidP="00E42FB9">
            <w:pPr>
              <w:spacing w:before="120" w:after="120"/>
              <w:jc w:val="both"/>
              <w:rPr>
                <w:bCs/>
              </w:rPr>
            </w:pPr>
            <w:r w:rsidRPr="00C246EC">
              <w:rPr>
                <w:bCs/>
              </w:rPr>
              <w:t xml:space="preserve">12,7 % no visiem </w:t>
            </w:r>
            <w:proofErr w:type="spellStart"/>
            <w:r w:rsidRPr="00C246EC">
              <w:rPr>
                <w:bCs/>
              </w:rPr>
              <w:t>mikrouzņēmumu</w:t>
            </w:r>
            <w:proofErr w:type="spellEnd"/>
            <w:r w:rsidRPr="00C246EC">
              <w:rPr>
                <w:bCs/>
              </w:rPr>
              <w:t xml:space="preserve"> nodokļa maksātājiem kā pamatdarbības veidu ir norādījuši pārējo individuālo pakalpojumu sniegšanu, savukārt 7,8 % kā pamatdarbības veidu ir norādījuši specializētos būvdarbus un 6,8% juridiskos un grāmatvedības pakalpojumus. </w:t>
            </w:r>
          </w:p>
          <w:p w14:paraId="48CBC47A" w14:textId="77777777" w:rsidR="00E42FB9" w:rsidRPr="00C246EC" w:rsidRDefault="00E42FB9" w:rsidP="00E42FB9">
            <w:pPr>
              <w:spacing w:before="120" w:after="120"/>
              <w:jc w:val="both"/>
              <w:rPr>
                <w:bCs/>
              </w:rPr>
            </w:pPr>
            <w:r w:rsidRPr="00C246EC">
              <w:rPr>
                <w:bCs/>
              </w:rPr>
              <w:t xml:space="preserve">2015.gadā ap 11% no visiem MUN bija tādi </w:t>
            </w:r>
            <w:proofErr w:type="spellStart"/>
            <w:r w:rsidRPr="00C246EC">
              <w:rPr>
                <w:bCs/>
              </w:rPr>
              <w:t>mikrouzņēmumi</w:t>
            </w:r>
            <w:proofErr w:type="spellEnd"/>
            <w:r w:rsidRPr="00C246EC">
              <w:rPr>
                <w:bCs/>
              </w:rPr>
              <w:t xml:space="preserve">, kuros strādājošie saņēma atalgojumu, lai gan </w:t>
            </w:r>
            <w:proofErr w:type="spellStart"/>
            <w:r w:rsidRPr="00C246EC">
              <w:rPr>
                <w:bCs/>
              </w:rPr>
              <w:t>mikrouzņēmumam</w:t>
            </w:r>
            <w:proofErr w:type="spellEnd"/>
            <w:r w:rsidRPr="00C246EC">
              <w:rPr>
                <w:bCs/>
              </w:rPr>
              <w:t xml:space="preserve"> nebija apgrozījums, vai tas bija ļoti mazs. Valsts ieņēmumu dienests identificēja vairākus komersantus, kuros tika pārtrauktas darba attiecības ar  darba ņēmēju, bet faktiski tās turpinājās sniedzot pakalpojumus jau MUN režīma ietvaros. Veicot kontroles pasākumus</w:t>
            </w:r>
            <w:r w:rsidR="00AC49BF">
              <w:rPr>
                <w:bCs/>
              </w:rPr>
              <w:t>,</w:t>
            </w:r>
            <w:r w:rsidRPr="00C246EC">
              <w:rPr>
                <w:bCs/>
              </w:rPr>
              <w:t xml:space="preserve"> ir konstatēti gadījumi, kad pakalpojuma sniedzēji – MUN maksātāji strādā uz pakalpojuma saņēmēja  iekārtām, bet būvniecībā – objektos MUN maksātāji izmanto materiālus, darba  rīkus, kas pieder pakalpojuma saņēmējam. </w:t>
            </w:r>
          </w:p>
          <w:p w14:paraId="4C3D4932" w14:textId="77777777" w:rsidR="00E42FB9" w:rsidRPr="00C246EC" w:rsidRDefault="00E42FB9" w:rsidP="00E42FB9">
            <w:pPr>
              <w:spacing w:before="120" w:after="120"/>
              <w:jc w:val="both"/>
              <w:rPr>
                <w:bCs/>
              </w:rPr>
            </w:pPr>
            <w:r w:rsidRPr="00C246EC">
              <w:rPr>
                <w:bCs/>
              </w:rPr>
              <w:t xml:space="preserve">Sākotnējie analīzes rezultāti liecina, ka faktiski daudzi uzņēmumi izmanto MUN, lai optimizētu nodokļu slogu (jo pastāv nodokļu sloga plaisa starp MUN un vispārīgo režīmu), nevis tam mērķim, kam MUN tika ieviests, proti vienkāršotai nodokļa piemērošanai, uzņēmējdarbības vides attīstībai. Ņemot vērā MUN apgrozījuma un </w:t>
            </w:r>
            <w:proofErr w:type="spellStart"/>
            <w:r w:rsidRPr="00C246EC">
              <w:rPr>
                <w:bCs/>
              </w:rPr>
              <w:t>mikrouzņēmumu</w:t>
            </w:r>
            <w:proofErr w:type="spellEnd"/>
            <w:r w:rsidRPr="00C246EC">
              <w:rPr>
                <w:bCs/>
              </w:rPr>
              <w:t xml:space="preserve"> darba algas fonda attiecības pētījumus pēdējo gadu laikā, konstatēts, ka noteikta daļa MUN maksātāju gandrīz visu savu apgrozījumu novirza darba samaksai. Galvenais cēlonis tam ir tas, ka MUN režīmā ir krietni zemāks kopējais nodokļu slogs par vispārējo režīmu. Atkarībā no apgrozījuma, darbinieku skaita, nozares, citiem izdevumiem (piemēram, materiālietilpīgās nozarēs) un citiem faktoriem, kopējais nodokļus slogs var būtiski atšķirties.</w:t>
            </w:r>
          </w:p>
          <w:p w14:paraId="662DEAF0" w14:textId="77777777" w:rsidR="00E42FB9" w:rsidRPr="00C246EC" w:rsidRDefault="00E42FB9" w:rsidP="00E42FB9">
            <w:pPr>
              <w:spacing w:before="120" w:after="120"/>
              <w:jc w:val="both"/>
              <w:rPr>
                <w:bCs/>
              </w:rPr>
            </w:pPr>
            <w:r w:rsidRPr="00C246EC">
              <w:rPr>
                <w:bCs/>
              </w:rPr>
              <w:t xml:space="preserve">2. Esošais MUN režīms rada sociālās nodrošinājuma problēmas </w:t>
            </w:r>
            <w:proofErr w:type="spellStart"/>
            <w:r w:rsidRPr="00C246EC">
              <w:rPr>
                <w:bCs/>
              </w:rPr>
              <w:t>mikrouzņēmumos</w:t>
            </w:r>
            <w:proofErr w:type="spellEnd"/>
            <w:r w:rsidRPr="00C246EC">
              <w:rPr>
                <w:bCs/>
              </w:rPr>
              <w:t xml:space="preserve"> strādājošiem.</w:t>
            </w:r>
          </w:p>
          <w:p w14:paraId="0A9AE8FC" w14:textId="77777777" w:rsidR="00E42FB9" w:rsidRPr="00C246EC" w:rsidRDefault="00E42FB9" w:rsidP="00E42FB9">
            <w:pPr>
              <w:spacing w:before="120" w:after="120"/>
              <w:jc w:val="both"/>
              <w:rPr>
                <w:bCs/>
              </w:rPr>
            </w:pPr>
            <w:r w:rsidRPr="00C246EC">
              <w:rPr>
                <w:bCs/>
              </w:rPr>
              <w:t xml:space="preserve">Saskaņā ar </w:t>
            </w:r>
            <w:proofErr w:type="spellStart"/>
            <w:r w:rsidRPr="00C246EC">
              <w:rPr>
                <w:bCs/>
              </w:rPr>
              <w:t>Mikrouzņēmumu</w:t>
            </w:r>
            <w:proofErr w:type="spellEnd"/>
            <w:r w:rsidRPr="00C246EC">
              <w:rPr>
                <w:bCs/>
              </w:rPr>
              <w:t xml:space="preserve"> nodokļa likuma 9.panta otro daļu Valsts sociālās apdrošināšanas aģentūra (turpmāk - VSAA) iemaksu objektu aprēķina katram </w:t>
            </w:r>
            <w:proofErr w:type="spellStart"/>
            <w:r w:rsidRPr="00C246EC">
              <w:rPr>
                <w:bCs/>
              </w:rPr>
              <w:t>mikrouzņēmuma</w:t>
            </w:r>
            <w:proofErr w:type="spellEnd"/>
            <w:r w:rsidRPr="00C246EC">
              <w:rPr>
                <w:bCs/>
              </w:rPr>
              <w:t xml:space="preserve"> darbiniekam proporcionāli </w:t>
            </w:r>
            <w:proofErr w:type="spellStart"/>
            <w:r w:rsidRPr="00C246EC">
              <w:rPr>
                <w:bCs/>
              </w:rPr>
              <w:t>mikrouzņēmuma</w:t>
            </w:r>
            <w:proofErr w:type="spellEnd"/>
            <w:r w:rsidRPr="00C246EC">
              <w:rPr>
                <w:bCs/>
              </w:rPr>
              <w:t xml:space="preserve"> darbinieku skaitam katrā mēnesī un to faktiskajiem ienākumiem. Praksē </w:t>
            </w:r>
            <w:proofErr w:type="spellStart"/>
            <w:r w:rsidRPr="00C246EC">
              <w:rPr>
                <w:bCs/>
              </w:rPr>
              <w:t>mikrouzņēmumu</w:t>
            </w:r>
            <w:proofErr w:type="spellEnd"/>
            <w:r w:rsidRPr="00C246EC">
              <w:rPr>
                <w:bCs/>
              </w:rPr>
              <w:t xml:space="preserve"> darbinieku iemaksu objekts faktiski ir 24-30% no deklarētajiem ienākumiem. Tas nozīmē, ka sociālā riska iestāšanās gadījumā šīs personas būs mazāk sociāli aizsargātas, jo pakalpojumu apmēri tiks aprēķināti no daudz zemākiem iemaksu objektiem. </w:t>
            </w:r>
            <w:proofErr w:type="spellStart"/>
            <w:r w:rsidRPr="00C246EC">
              <w:rPr>
                <w:bCs/>
              </w:rPr>
              <w:t>Mikrouzņēmumu</w:t>
            </w:r>
            <w:proofErr w:type="spellEnd"/>
            <w:r w:rsidRPr="00C246EC">
              <w:rPr>
                <w:bCs/>
              </w:rPr>
              <w:t xml:space="preserve"> darbinieku iemaksu objekts 2011.-2016.gadā vidēji mēnesī ir ap 40% no valstī noteiktās minimālās darba algas. Tādējādi </w:t>
            </w:r>
            <w:proofErr w:type="spellStart"/>
            <w:r w:rsidRPr="00C246EC">
              <w:rPr>
                <w:bCs/>
              </w:rPr>
              <w:t>mikrouzņēmumu</w:t>
            </w:r>
            <w:proofErr w:type="spellEnd"/>
            <w:r w:rsidRPr="00C246EC">
              <w:rPr>
                <w:bCs/>
              </w:rPr>
              <w:t xml:space="preserve"> darbinieku veiktās iemaksas nav pietiekamas, lai nodrošinātu uzkrājumu minimālās vecuma pensijas apmēram, un nodokļu maksātājiem, kuri maksā iemaksas vispārējā kārtībā, būs faktiski jāuztur </w:t>
            </w:r>
            <w:proofErr w:type="spellStart"/>
            <w:r w:rsidRPr="00C246EC">
              <w:rPr>
                <w:bCs/>
              </w:rPr>
              <w:t>mikrouzņēmumu</w:t>
            </w:r>
            <w:proofErr w:type="spellEnd"/>
            <w:r w:rsidRPr="00C246EC">
              <w:rPr>
                <w:bCs/>
              </w:rPr>
              <w:t xml:space="preserve"> darbinieki, tiem sasniedzot pensijas vecumu. </w:t>
            </w:r>
          </w:p>
          <w:p w14:paraId="73E8BF52" w14:textId="77777777" w:rsidR="00E42FB9" w:rsidRDefault="00E42FB9" w:rsidP="00E42FB9">
            <w:pPr>
              <w:spacing w:before="120" w:after="120"/>
              <w:jc w:val="both"/>
              <w:rPr>
                <w:bCs/>
              </w:rPr>
            </w:pPr>
            <w:r w:rsidRPr="00C246EC">
              <w:rPr>
                <w:bCs/>
              </w:rPr>
              <w:t>Jāuzsver, ka iepriekš Finanšu ministrijas izstrādātie risinājumi situācijas risināšanai, piemēram, par minimālajām sociālām iemaksām nav atbalstīti, jo tie radītu būtiskus apgrūtinājumus uzņēmumiem ar maziem ienākumiem.</w:t>
            </w:r>
          </w:p>
          <w:p w14:paraId="43009A56" w14:textId="77777777" w:rsidR="00AC49BF" w:rsidRPr="00C246EC" w:rsidRDefault="00AC49BF" w:rsidP="00E42FB9">
            <w:pPr>
              <w:spacing w:before="120" w:after="120"/>
              <w:jc w:val="both"/>
              <w:rPr>
                <w:bCs/>
              </w:rPr>
            </w:pPr>
          </w:p>
          <w:p w14:paraId="092D9E4D" w14:textId="77777777" w:rsidR="00E42FB9" w:rsidRPr="00C246EC" w:rsidRDefault="00E42FB9" w:rsidP="00E42FB9">
            <w:pPr>
              <w:spacing w:before="120" w:after="120"/>
              <w:jc w:val="both"/>
              <w:rPr>
                <w:bCs/>
                <w:u w:val="single"/>
              </w:rPr>
            </w:pPr>
            <w:r w:rsidRPr="00C246EC">
              <w:rPr>
                <w:bCs/>
                <w:u w:val="single"/>
              </w:rPr>
              <w:lastRenderedPageBreak/>
              <w:t>Tiesiskā regulējuma mērķis un būtība</w:t>
            </w:r>
          </w:p>
          <w:p w14:paraId="361EA745" w14:textId="77777777" w:rsidR="00E42FB9" w:rsidRPr="00C246EC" w:rsidRDefault="00E42FB9" w:rsidP="00E42FB9">
            <w:pPr>
              <w:spacing w:before="120" w:after="120"/>
              <w:jc w:val="both"/>
              <w:rPr>
                <w:bCs/>
              </w:rPr>
            </w:pPr>
            <w:r w:rsidRPr="00C246EC">
              <w:rPr>
                <w:bCs/>
              </w:rPr>
              <w:t xml:space="preserve">Veikt uzlabojumus nodokļu regulējumā uzņēmējdarbības uzsācējiem un uzņēmumiem ar mazu ikgadēju apgrozījumu (ieņēmumiem) šādos virzienos: </w:t>
            </w:r>
          </w:p>
          <w:p w14:paraId="5103DDDA" w14:textId="77777777" w:rsidR="00E42FB9" w:rsidRPr="00C246EC" w:rsidRDefault="00E42FB9" w:rsidP="00E42FB9">
            <w:pPr>
              <w:spacing w:before="120" w:after="120"/>
              <w:jc w:val="both"/>
              <w:rPr>
                <w:bCs/>
              </w:rPr>
            </w:pPr>
            <w:r w:rsidRPr="00C246EC">
              <w:rPr>
                <w:bCs/>
              </w:rPr>
              <w:t>1) piemērot vienkāršu un saprotamu nodokļu samaksas risinājumu</w:t>
            </w:r>
          </w:p>
          <w:p w14:paraId="1C62E198" w14:textId="77777777" w:rsidR="00E42FB9" w:rsidRPr="00C246EC" w:rsidRDefault="00E42FB9" w:rsidP="00E42FB9">
            <w:pPr>
              <w:spacing w:before="120" w:after="120"/>
              <w:jc w:val="both"/>
              <w:rPr>
                <w:bCs/>
              </w:rPr>
            </w:pPr>
            <w:r w:rsidRPr="00C246EC">
              <w:rPr>
                <w:bCs/>
              </w:rPr>
              <w:t xml:space="preserve">Tiek saglabāts vienkāršots maksāšanas princips un vienota nodokļa likme 15% apmēra no apgrozījuma, jo tas būtiski atvieglo administratīvo slogu uzņēmējdarbības uzsācējiem un uzņēmumiem ar mazu ikgadēju apgrozījumu. </w:t>
            </w:r>
          </w:p>
          <w:p w14:paraId="18753F31" w14:textId="77777777" w:rsidR="00E42FB9" w:rsidRPr="00C246EC" w:rsidRDefault="00E42FB9" w:rsidP="00E42FB9">
            <w:pPr>
              <w:spacing w:before="120" w:after="120"/>
              <w:jc w:val="both"/>
              <w:rPr>
                <w:bCs/>
              </w:rPr>
            </w:pPr>
            <w:r w:rsidRPr="00C246EC">
              <w:rPr>
                <w:bCs/>
              </w:rPr>
              <w:t>2) Atbalsts uzņēmējdarbības uzsācējiem un uzņēmumiem ar mazu ikgadēju apgrozījumu</w:t>
            </w:r>
          </w:p>
          <w:p w14:paraId="6505EC67" w14:textId="77777777" w:rsidR="00E42FB9" w:rsidRPr="00C246EC" w:rsidRDefault="00E42FB9" w:rsidP="00E42FB9">
            <w:pPr>
              <w:spacing w:before="120" w:after="120"/>
              <w:jc w:val="both"/>
              <w:rPr>
                <w:bCs/>
              </w:rPr>
            </w:pPr>
            <w:r w:rsidRPr="00C246EC">
              <w:rPr>
                <w:bCs/>
              </w:rPr>
              <w:t xml:space="preserve">Pēc būtības Latvijā uzņēmējdarbības veicināšanas atbalsts tās sākotnējā attīstības posmā ir sadalīts 3 uzņēmējdarbības veicēju segmentiem, ņemot vērā to darbības specifiku: </w:t>
            </w:r>
          </w:p>
          <w:p w14:paraId="2F4B0EB3" w14:textId="77777777" w:rsidR="00E42FB9" w:rsidRPr="00C246EC" w:rsidRDefault="00E42FB9" w:rsidP="00E42FB9">
            <w:pPr>
              <w:spacing w:before="120" w:after="120"/>
              <w:jc w:val="both"/>
              <w:rPr>
                <w:bCs/>
              </w:rPr>
            </w:pPr>
            <w:r w:rsidRPr="00C246EC">
              <w:rPr>
                <w:bCs/>
              </w:rPr>
              <w:t>1)</w:t>
            </w:r>
            <w:r w:rsidRPr="00C246EC">
              <w:rPr>
                <w:bCs/>
              </w:rPr>
              <w:tab/>
              <w:t>strauji augošie uzņēmumi – augsta riska biznesa projekti;</w:t>
            </w:r>
          </w:p>
          <w:p w14:paraId="6D7FB65A" w14:textId="77777777" w:rsidR="00E42FB9" w:rsidRPr="00C246EC" w:rsidRDefault="00E42FB9" w:rsidP="00E42FB9">
            <w:pPr>
              <w:spacing w:before="120" w:after="120"/>
              <w:jc w:val="both"/>
              <w:rPr>
                <w:bCs/>
              </w:rPr>
            </w:pPr>
            <w:r w:rsidRPr="00C246EC">
              <w:rPr>
                <w:bCs/>
              </w:rPr>
              <w:t>2)</w:t>
            </w:r>
            <w:r w:rsidRPr="00C246EC">
              <w:rPr>
                <w:bCs/>
              </w:rPr>
              <w:tab/>
              <w:t>uzņēmējdarbības uzsācēji, kuru darbība ar laiku paplašinās, paplašinoties to profesionalitātei un pieredzei;</w:t>
            </w:r>
          </w:p>
          <w:p w14:paraId="578385EB" w14:textId="77777777" w:rsidR="00E42FB9" w:rsidRPr="00C246EC" w:rsidRDefault="00E42FB9" w:rsidP="00E42FB9">
            <w:pPr>
              <w:spacing w:before="120" w:after="120"/>
              <w:jc w:val="both"/>
              <w:rPr>
                <w:bCs/>
              </w:rPr>
            </w:pPr>
            <w:r w:rsidRPr="00C246EC">
              <w:rPr>
                <w:bCs/>
              </w:rPr>
              <w:t>3)</w:t>
            </w:r>
            <w:r w:rsidRPr="00C246EC">
              <w:rPr>
                <w:bCs/>
              </w:rPr>
              <w:tab/>
              <w:t xml:space="preserve">dzīves stila jeb t.s. </w:t>
            </w:r>
            <w:proofErr w:type="spellStart"/>
            <w:r w:rsidRPr="00C246EC">
              <w:rPr>
                <w:bCs/>
              </w:rPr>
              <w:t>life-style</w:t>
            </w:r>
            <w:proofErr w:type="spellEnd"/>
            <w:r w:rsidRPr="00C246EC">
              <w:rPr>
                <w:bCs/>
              </w:rPr>
              <w:t xml:space="preserve"> uzņēmumi jeb mikro / mazie uzņēmumi, kuru darbība attīstās līdz noteiktam līmenim – piem., apgrozījumam – tā rezultātā tiek gūti ienākumi savas labklājības līmeņa nodrošināšanai. </w:t>
            </w:r>
          </w:p>
          <w:p w14:paraId="6BB55F83" w14:textId="77777777" w:rsidR="00E42FB9" w:rsidRPr="00C246EC" w:rsidRDefault="00E42FB9" w:rsidP="00E42FB9">
            <w:pPr>
              <w:spacing w:before="120" w:after="120"/>
              <w:jc w:val="both"/>
              <w:rPr>
                <w:bCs/>
              </w:rPr>
            </w:pPr>
            <w:r w:rsidRPr="00C246EC">
              <w:rPr>
                <w:bCs/>
              </w:rPr>
              <w:t xml:space="preserve">Strauji augošiem uzņēmumiem jau ir rasts atbalsts ar </w:t>
            </w:r>
            <w:proofErr w:type="spellStart"/>
            <w:r w:rsidRPr="00C246EC">
              <w:rPr>
                <w:bCs/>
              </w:rPr>
              <w:t>Jaunuzņēmumu</w:t>
            </w:r>
            <w:proofErr w:type="spellEnd"/>
            <w:r w:rsidRPr="00C246EC">
              <w:rPr>
                <w:bCs/>
              </w:rPr>
              <w:t xml:space="preserve"> darbības atbalsta likumā ietvertajiem risinājumiem, tajā skaitā ar atbalsta programmu fiksēta maksājuma veikšanai. Taču ir nepieciešams atbalstīt arī uzņēmējdarbības uzsācējus, kuru darbība ar laiku paplašinās, kā arī mikro / mazos uzņēmumus, kuru darbība attīstās līdz noteiktam līmenim. </w:t>
            </w:r>
          </w:p>
          <w:p w14:paraId="281E07F2" w14:textId="64AA5CCE" w:rsidR="00E42FB9" w:rsidRDefault="00E42FB9" w:rsidP="00E42FB9">
            <w:pPr>
              <w:spacing w:before="120" w:after="120"/>
              <w:jc w:val="both"/>
              <w:rPr>
                <w:bCs/>
              </w:rPr>
            </w:pPr>
            <w:r w:rsidRPr="00C246EC">
              <w:rPr>
                <w:bCs/>
              </w:rPr>
              <w:t>Šajā sakarā paredzēts noteikt turpmākajam īpašajam nodokļu maksāšanas režīmam pieļaujamo apgrozījumu, kas būtu vienāds ar</w:t>
            </w:r>
            <w:r w:rsidR="00D479B5">
              <w:rPr>
                <w:bCs/>
              </w:rPr>
              <w:t xml:space="preserve"> 2018.gadā plānoto</w:t>
            </w:r>
            <w:r w:rsidRPr="00C246EC">
              <w:rPr>
                <w:bCs/>
              </w:rPr>
              <w:t xml:space="preserve"> PVN r</w:t>
            </w:r>
            <w:r w:rsidR="00D479B5">
              <w:rPr>
                <w:bCs/>
              </w:rPr>
              <w:t>eģistrācijas slieksni (pašreiz 4</w:t>
            </w:r>
            <w:r w:rsidRPr="00C246EC">
              <w:rPr>
                <w:bCs/>
              </w:rPr>
              <w:t>0</w:t>
            </w:r>
            <w:r w:rsidR="000E248B">
              <w:rPr>
                <w:bCs/>
              </w:rPr>
              <w:t xml:space="preserve"> </w:t>
            </w:r>
            <w:r w:rsidRPr="00C246EC">
              <w:rPr>
                <w:bCs/>
              </w:rPr>
              <w:t>000 EUR gadā).</w:t>
            </w:r>
          </w:p>
          <w:p w14:paraId="3D77C1A6" w14:textId="77777777" w:rsidR="00E27B4D" w:rsidRPr="00E27B4D" w:rsidRDefault="00E27B4D" w:rsidP="00E27B4D">
            <w:pPr>
              <w:spacing w:before="120" w:after="120"/>
              <w:jc w:val="both"/>
              <w:rPr>
                <w:bCs/>
              </w:rPr>
            </w:pPr>
            <w:r w:rsidRPr="00E27B4D">
              <w:rPr>
                <w:bCs/>
              </w:rPr>
              <w:t xml:space="preserve">Likuma 6.panta trešajā daļā noteikts, ka </w:t>
            </w:r>
            <w:proofErr w:type="spellStart"/>
            <w:r w:rsidRPr="00E27B4D">
              <w:rPr>
                <w:bCs/>
              </w:rPr>
              <w:t>mikrouzņēmumu</w:t>
            </w:r>
            <w:proofErr w:type="spellEnd"/>
            <w:r w:rsidRPr="00E27B4D">
              <w:rPr>
                <w:bCs/>
              </w:rPr>
              <w:t xml:space="preserve"> nodokļa likme šā likuma 1.panta 1.punkta "b" apakšpunktā noteiktā apgrozījuma pārsnieguma daļai ir 20 procenti. Savukārt saskaņā ar šā likuma 6.panta 3.</w:t>
            </w:r>
            <w:r w:rsidRPr="00940F05">
              <w:rPr>
                <w:bCs/>
                <w:vertAlign w:val="superscript"/>
              </w:rPr>
              <w:t>1</w:t>
            </w:r>
            <w:r w:rsidRPr="00E27B4D">
              <w:rPr>
                <w:bCs/>
              </w:rPr>
              <w:t xml:space="preserve">daļu, </w:t>
            </w:r>
            <w:proofErr w:type="spellStart"/>
            <w:r w:rsidRPr="00E27B4D">
              <w:rPr>
                <w:bCs/>
              </w:rPr>
              <w:t>mikrouzņēmumu</w:t>
            </w:r>
            <w:proofErr w:type="spellEnd"/>
            <w:r w:rsidRPr="00E27B4D">
              <w:rPr>
                <w:bCs/>
              </w:rPr>
              <w:t xml:space="preserve"> nodokļa maksātājs ir tiesīgs nepiemērot šā panta trešo daļu, ja tā taksācijas gada apgrozījums ir pieaudzis salīdzinājumā ar pirmstaksācijas gada apgrozījumu vai tā gada apgrozījumu, kas ir pirms pirmstaksācijas gada, taču taksācijas gada apgrozījuma pieaugums salīdzinājumā ar pirmstaksācijas gada apgrozījumu vai tā gada apgrozījumu, kas ir pirms pirmstaksācijas gada, nepārsniedz 30 procentus.</w:t>
            </w:r>
          </w:p>
          <w:p w14:paraId="364CC610" w14:textId="77777777" w:rsidR="00E27B4D" w:rsidRPr="00E27B4D" w:rsidRDefault="00E27B4D" w:rsidP="00E27B4D">
            <w:pPr>
              <w:spacing w:before="120" w:after="120"/>
              <w:jc w:val="both"/>
              <w:rPr>
                <w:bCs/>
              </w:rPr>
            </w:pPr>
            <w:r w:rsidRPr="00E27B4D">
              <w:rPr>
                <w:bCs/>
              </w:rPr>
              <w:t>Likumprojektā nav paredzēts, kā būs piemērojama likuma 6.panta 3.</w:t>
            </w:r>
            <w:r w:rsidRPr="00940F05">
              <w:rPr>
                <w:bCs/>
                <w:vertAlign w:val="superscript"/>
              </w:rPr>
              <w:t>1</w:t>
            </w:r>
            <w:r w:rsidRPr="00E27B4D">
              <w:rPr>
                <w:bCs/>
              </w:rPr>
              <w:t xml:space="preserve">daļa, ja </w:t>
            </w:r>
            <w:proofErr w:type="spellStart"/>
            <w:r w:rsidRPr="00E27B4D">
              <w:rPr>
                <w:bCs/>
              </w:rPr>
              <w:t>mikrouzņēmuma</w:t>
            </w:r>
            <w:proofErr w:type="spellEnd"/>
            <w:r w:rsidRPr="00E27B4D">
              <w:rPr>
                <w:bCs/>
              </w:rPr>
              <w:t xml:space="preserve"> pirmstaksācijas gada apgrozījumu vai tā gada apgrozījums, kas ir pirms pirmstaksācijas gada būs bijis lielāks par 50 000 </w:t>
            </w:r>
            <w:proofErr w:type="spellStart"/>
            <w:r w:rsidRPr="00E27B4D">
              <w:rPr>
                <w:bCs/>
              </w:rPr>
              <w:t>euro</w:t>
            </w:r>
            <w:proofErr w:type="spellEnd"/>
            <w:r w:rsidRPr="00E27B4D">
              <w:rPr>
                <w:bCs/>
              </w:rPr>
              <w:t>.</w:t>
            </w:r>
          </w:p>
          <w:p w14:paraId="604E2D54" w14:textId="22EB91F1" w:rsidR="00E27B4D" w:rsidRPr="00C246EC" w:rsidRDefault="00E27B4D" w:rsidP="00E42FB9">
            <w:pPr>
              <w:spacing w:before="120" w:after="120"/>
              <w:jc w:val="both"/>
              <w:rPr>
                <w:bCs/>
              </w:rPr>
            </w:pPr>
            <w:r w:rsidRPr="00E27B4D">
              <w:rPr>
                <w:bCs/>
              </w:rPr>
              <w:t>Tādējādi nepieciešams likuma pārejas noteikumos noteikt likuma 6.panta 3.</w:t>
            </w:r>
            <w:r w:rsidRPr="00940F05">
              <w:rPr>
                <w:bCs/>
                <w:vertAlign w:val="superscript"/>
              </w:rPr>
              <w:t>1</w:t>
            </w:r>
            <w:r w:rsidRPr="00E27B4D">
              <w:rPr>
                <w:bCs/>
              </w:rPr>
              <w:t>daļas piemērošanas kārtību.</w:t>
            </w:r>
          </w:p>
          <w:p w14:paraId="2323A35C" w14:textId="77777777" w:rsidR="00E42FB9" w:rsidRPr="00C246EC" w:rsidRDefault="00E42FB9" w:rsidP="00E42FB9">
            <w:pPr>
              <w:spacing w:before="120" w:after="120"/>
              <w:jc w:val="both"/>
              <w:rPr>
                <w:bCs/>
              </w:rPr>
            </w:pPr>
            <w:r w:rsidRPr="00C246EC">
              <w:rPr>
                <w:bCs/>
              </w:rPr>
              <w:t>3) Darbinieku sociālās garantijas</w:t>
            </w:r>
          </w:p>
          <w:p w14:paraId="293ECF19" w14:textId="77777777" w:rsidR="00E42FB9" w:rsidRPr="00C246EC" w:rsidRDefault="00E42FB9" w:rsidP="00E42FB9">
            <w:pPr>
              <w:spacing w:before="120" w:after="120"/>
              <w:jc w:val="both"/>
              <w:rPr>
                <w:bCs/>
              </w:rPr>
            </w:pPr>
            <w:proofErr w:type="spellStart"/>
            <w:r w:rsidRPr="00C246EC">
              <w:rPr>
                <w:bCs/>
              </w:rPr>
              <w:t>Mikrouzņēmumu</w:t>
            </w:r>
            <w:proofErr w:type="spellEnd"/>
            <w:r w:rsidRPr="00C246EC">
              <w:rPr>
                <w:bCs/>
              </w:rPr>
              <w:t xml:space="preserve"> nodokļa likums paredz, ka no </w:t>
            </w:r>
            <w:proofErr w:type="spellStart"/>
            <w:r w:rsidRPr="00C246EC">
              <w:rPr>
                <w:bCs/>
              </w:rPr>
              <w:t>mikrouzņēmumu</w:t>
            </w:r>
            <w:proofErr w:type="spellEnd"/>
            <w:r w:rsidRPr="00C246EC">
              <w:rPr>
                <w:bCs/>
              </w:rPr>
              <w:t xml:space="preserve"> nodokļa maksātāja valsts budžetā iemaksātā </w:t>
            </w:r>
            <w:proofErr w:type="spellStart"/>
            <w:r w:rsidRPr="00C246EC">
              <w:rPr>
                <w:bCs/>
              </w:rPr>
              <w:t>mikrouzņēmumu</w:t>
            </w:r>
            <w:proofErr w:type="spellEnd"/>
            <w:r w:rsidRPr="00C246EC">
              <w:rPr>
                <w:bCs/>
              </w:rPr>
              <w:t xml:space="preserve"> nodokļa 80% tiek novirzīti valsts sociālās apdrošināšanas obligāto iemaksu kontā.</w:t>
            </w:r>
          </w:p>
          <w:p w14:paraId="699BC147" w14:textId="77777777" w:rsidR="00E42FB9" w:rsidRPr="00C246EC" w:rsidRDefault="00E42FB9" w:rsidP="00E42FB9">
            <w:pPr>
              <w:spacing w:before="120" w:after="120"/>
              <w:jc w:val="both"/>
              <w:rPr>
                <w:bCs/>
              </w:rPr>
            </w:pPr>
            <w:r w:rsidRPr="00C246EC">
              <w:rPr>
                <w:bCs/>
              </w:rPr>
              <w:lastRenderedPageBreak/>
              <w:t>Turklāt, darbiniekam ir jādod tiesības brīvprātīgi pievienoties valsts sociālajai apdrošināšanai. Šo informāciju jāietver darba līgumā.</w:t>
            </w:r>
          </w:p>
          <w:p w14:paraId="1752C0C6" w14:textId="77777777" w:rsidR="00E42FB9" w:rsidRPr="00C246EC" w:rsidRDefault="00E42FB9" w:rsidP="00E42FB9">
            <w:pPr>
              <w:spacing w:before="120" w:after="120"/>
              <w:jc w:val="both"/>
              <w:rPr>
                <w:bCs/>
              </w:rPr>
            </w:pPr>
            <w:r w:rsidRPr="00C246EC">
              <w:rPr>
                <w:bCs/>
              </w:rPr>
              <w:t>4) Negodīgas konkurences nepieļaušana</w:t>
            </w:r>
          </w:p>
          <w:p w14:paraId="5CBA28B2" w14:textId="77777777" w:rsidR="007B700D" w:rsidRDefault="00E42FB9" w:rsidP="00E42FB9">
            <w:pPr>
              <w:spacing w:before="120" w:after="120"/>
              <w:jc w:val="both"/>
              <w:rPr>
                <w:bCs/>
              </w:rPr>
            </w:pPr>
            <w:proofErr w:type="spellStart"/>
            <w:r w:rsidRPr="00C246EC">
              <w:rPr>
                <w:bCs/>
              </w:rPr>
              <w:t>Mikrouzņēmumu</w:t>
            </w:r>
            <w:proofErr w:type="spellEnd"/>
            <w:r w:rsidRPr="00C246EC">
              <w:rPr>
                <w:bCs/>
              </w:rPr>
              <w:t xml:space="preserve"> nodokļa likums paredz virkni ierobežojumu MUN režīma izmantošanai. Nepieciešams saglabāt ierobežojumus, kuros gadījumos uzņēmumam zūd tiesības izmantot īpašo maksāšanas kārtību, kā arī, kas nepieļautu nodokļu optimizāciju, tajā skaitā iedzīvotāju ienākuma nodokļa atlaides ierobežojumus, personāla noma ierobežojumus, maksimālo darbinieku skaitu, maksimālo darba algu.</w:t>
            </w:r>
            <w:r w:rsidR="00511C16">
              <w:rPr>
                <w:bCs/>
              </w:rPr>
              <w:t xml:space="preserve"> </w:t>
            </w:r>
          </w:p>
          <w:p w14:paraId="6CB81A6A" w14:textId="77777777" w:rsidR="00D479B5" w:rsidRDefault="00EE0F59" w:rsidP="00395A99">
            <w:pPr>
              <w:spacing w:before="120" w:after="120"/>
              <w:jc w:val="both"/>
              <w:rPr>
                <w:bCs/>
              </w:rPr>
            </w:pPr>
            <w:r>
              <w:rPr>
                <w:bCs/>
              </w:rPr>
              <w:t xml:space="preserve">Likumprojektā tiek piedāvāts palielināt maksimālo darba algu uz 900 EUR mēnesī vienam darbiniekam, kas būtu samērīgi ar vidējo darba algu valstī un tās gaidāmo pieaugumu. </w:t>
            </w:r>
            <w:r w:rsidR="00511C16">
              <w:rPr>
                <w:bCs/>
              </w:rPr>
              <w:t>Vienlaicīgi, n</w:t>
            </w:r>
            <w:r w:rsidR="00395A99" w:rsidRPr="00C246EC">
              <w:rPr>
                <w:bCs/>
              </w:rPr>
              <w:t>epieciešami papildu ierobežojumi, ka</w:t>
            </w:r>
            <w:r w:rsidR="00395A99" w:rsidRPr="00C246EC">
              <w:t xml:space="preserve"> </w:t>
            </w:r>
            <w:proofErr w:type="spellStart"/>
            <w:r w:rsidR="00395A99" w:rsidRPr="00C246EC">
              <w:rPr>
                <w:bCs/>
              </w:rPr>
              <w:t>mikrouzņēmumā</w:t>
            </w:r>
            <w:proofErr w:type="spellEnd"/>
            <w:r w:rsidR="00395A99" w:rsidRPr="00C246EC">
              <w:rPr>
                <w:bCs/>
              </w:rPr>
              <w:t xml:space="preserve"> gūto ienākumu attiecina uz darbinieka gada ienākumiem (darba algu), kas atbilstu gada vidējai darba algai valstī. Ienākumiem virs gada vidējās darba algas valstī būtu nosakāms līdzvērtīgs nodokļu slogs ar vispārējā režīmā str</w:t>
            </w:r>
            <w:r w:rsidR="00D479B5">
              <w:rPr>
                <w:bCs/>
              </w:rPr>
              <w:t xml:space="preserve">ādājošiem darbiniekiem. </w:t>
            </w:r>
            <w:r w:rsidR="00395A99" w:rsidRPr="00C246EC">
              <w:rPr>
                <w:bCs/>
              </w:rPr>
              <w:t xml:space="preserve">Nav efektīvi ierobežot darbiniekiem iespējas strādāt vairākos MU, vai noteikt darba devējam pienākumu sākt piemērot nodokļus darbiniekam vispārējā kārtībā, ja tas piemēram strādā trešajā MU. Darba devējs var nezināt, kādos vēl uzņēmumos darbinieki strādā, vai darba ņēmējs var negribēt, ka darba devējs to zina (atbilstoši personas datu aizsardzības principam). Šādu ierobežojumu būtu apgrūtinoši izkontrolēt, tas sarežģītu MUN maksāšanu un deklarēšanu, kā arī tas ierobežotu darbinieku rīcību brīvajā darba tirgū.  </w:t>
            </w:r>
          </w:p>
          <w:p w14:paraId="1DC4F403" w14:textId="77777777" w:rsidR="00395A99" w:rsidRDefault="00D479B5" w:rsidP="00395A99">
            <w:pPr>
              <w:spacing w:before="120" w:after="120"/>
              <w:jc w:val="both"/>
              <w:rPr>
                <w:bCs/>
              </w:rPr>
            </w:pPr>
            <w:r>
              <w:rPr>
                <w:bCs/>
              </w:rPr>
              <w:t>Tādēļ, kā iespējamais risinājums tiek piedāvāts</w:t>
            </w:r>
            <w:r w:rsidR="00395A99" w:rsidRPr="00C246EC">
              <w:rPr>
                <w:bCs/>
              </w:rPr>
              <w:t xml:space="preserve"> aplikt ar nodokļiem vispārējā kārtībā (IIN, VSAOI) taksācijas gada ienākumu (darba algu) tiem darbiniekiem, kuru kopējie ienākumi (darba alga) no </w:t>
            </w:r>
            <w:proofErr w:type="spellStart"/>
            <w:r w:rsidR="00395A99" w:rsidRPr="00C246EC">
              <w:rPr>
                <w:bCs/>
              </w:rPr>
              <w:t>mikrouzņēmumiem</w:t>
            </w:r>
            <w:proofErr w:type="spellEnd"/>
            <w:r w:rsidR="00395A99" w:rsidRPr="00C246EC">
              <w:rPr>
                <w:bCs/>
              </w:rPr>
              <w:t xml:space="preserve"> pārsniedz 10</w:t>
            </w:r>
            <w:r w:rsidR="000E248B">
              <w:rPr>
                <w:bCs/>
              </w:rPr>
              <w:t xml:space="preserve"> </w:t>
            </w:r>
            <w:r w:rsidR="00395A99" w:rsidRPr="00C246EC">
              <w:rPr>
                <w:bCs/>
              </w:rPr>
              <w:t xml:space="preserve">800 EUR taksācijas gadā. Papildu nodokļu slogs novērstu optimizācijas iespējas. Tas neierobežotu darbiniekus strādāt vairākos MU (piemēram, veikt neregulārus darbus, sezonas darbus </w:t>
            </w:r>
            <w:proofErr w:type="spellStart"/>
            <w:r w:rsidR="00395A99" w:rsidRPr="00C246EC">
              <w:rPr>
                <w:bCs/>
              </w:rPr>
              <w:t>vtml</w:t>
            </w:r>
            <w:proofErr w:type="spellEnd"/>
            <w:r w:rsidR="00395A99" w:rsidRPr="00C246EC">
              <w:rPr>
                <w:bCs/>
              </w:rPr>
              <w:t>.) par samērīgu samaksu. Nodokļi nosakāmi rezumējošā kārtībā no darbinieka (IIN nodokļa maksātāja) gada ienākumu deklarācijas par taksācijas gadu.</w:t>
            </w:r>
          </w:p>
          <w:p w14:paraId="6DDA47F8" w14:textId="5FEE5981" w:rsidR="00D12E07" w:rsidRPr="00C246EC" w:rsidRDefault="00D12E07" w:rsidP="00D12E07">
            <w:pPr>
              <w:spacing w:before="120" w:after="120"/>
              <w:jc w:val="both"/>
              <w:rPr>
                <w:bCs/>
              </w:rPr>
            </w:pPr>
            <w:r>
              <w:rPr>
                <w:bCs/>
              </w:rPr>
              <w:t>5) likumprojekts paredz saglabāt MUN režīmu. I</w:t>
            </w:r>
            <w:r w:rsidRPr="00D12E07">
              <w:rPr>
                <w:bCs/>
              </w:rPr>
              <w:t>dentificēto problēmu dēļ MUN nav jālikvidē pilnībā, jo, kā to liecina arī sabiedrības iesaiste, lielākā daļa aptaujāto nod</w:t>
            </w:r>
            <w:r>
              <w:rPr>
                <w:bCs/>
              </w:rPr>
              <w:t>okļu maksātāju vēlas saglabāt e</w:t>
            </w:r>
            <w:r w:rsidRPr="00D12E07">
              <w:rPr>
                <w:bCs/>
              </w:rPr>
              <w:t xml:space="preserve">sošo MUN režīmu. Tādēļ likumprojekts "Grozījumi </w:t>
            </w:r>
            <w:proofErr w:type="spellStart"/>
            <w:r w:rsidRPr="00D12E07">
              <w:rPr>
                <w:bCs/>
              </w:rPr>
              <w:t>Mikrouzņēmumu</w:t>
            </w:r>
            <w:proofErr w:type="spellEnd"/>
            <w:r w:rsidRPr="00D12E07">
              <w:rPr>
                <w:bCs/>
              </w:rPr>
              <w:t xml:space="preserve"> nodokļa likumā" izstrādāts, lai precizētu esošo MUN regulējumu.</w:t>
            </w:r>
          </w:p>
        </w:tc>
      </w:tr>
      <w:tr w:rsidR="00E547C1" w:rsidRPr="00C246EC" w14:paraId="68C6AE09" w14:textId="77777777" w:rsidTr="00E03666">
        <w:trPr>
          <w:trHeight w:val="476"/>
        </w:trPr>
        <w:tc>
          <w:tcPr>
            <w:tcW w:w="687" w:type="dxa"/>
          </w:tcPr>
          <w:p w14:paraId="4DD5FC4E" w14:textId="77777777" w:rsidR="00262E2B" w:rsidRPr="00C246EC" w:rsidRDefault="002B6FAB" w:rsidP="0047074D">
            <w:pPr>
              <w:pStyle w:val="naiskr"/>
              <w:spacing w:before="0" w:after="0"/>
            </w:pPr>
            <w:r w:rsidRPr="00C246EC">
              <w:lastRenderedPageBreak/>
              <w:t>3</w:t>
            </w:r>
            <w:r w:rsidR="00262E2B" w:rsidRPr="00C246EC">
              <w:t>.</w:t>
            </w:r>
          </w:p>
        </w:tc>
        <w:tc>
          <w:tcPr>
            <w:tcW w:w="1440" w:type="dxa"/>
          </w:tcPr>
          <w:p w14:paraId="253D1A73" w14:textId="77777777" w:rsidR="00262E2B" w:rsidRPr="00C246EC" w:rsidRDefault="001A4066" w:rsidP="0047074D">
            <w:pPr>
              <w:pStyle w:val="naiskr"/>
              <w:spacing w:before="0" w:after="0"/>
            </w:pPr>
            <w:r w:rsidRPr="00C246EC">
              <w:t>Projekta i</w:t>
            </w:r>
            <w:r w:rsidR="00262E2B" w:rsidRPr="00C246EC">
              <w:t>zstrād</w:t>
            </w:r>
            <w:r w:rsidR="00420870" w:rsidRPr="00C246EC">
              <w:t xml:space="preserve">ē </w:t>
            </w:r>
            <w:r w:rsidR="00262E2B" w:rsidRPr="00C246EC">
              <w:t>iesaistītās institūcijas</w:t>
            </w:r>
          </w:p>
        </w:tc>
        <w:tc>
          <w:tcPr>
            <w:tcW w:w="7371" w:type="dxa"/>
          </w:tcPr>
          <w:p w14:paraId="342C66A6" w14:textId="77777777" w:rsidR="00270AF5" w:rsidRPr="00C246EC" w:rsidRDefault="00270AF5" w:rsidP="00270AF5">
            <w:pPr>
              <w:pStyle w:val="naiskr"/>
              <w:jc w:val="both"/>
            </w:pPr>
            <w:r w:rsidRPr="00C246EC">
              <w:t>Lai izpildītu Ministru kabineta 2016. gada 29. septembra rīkojuma Nr. 566 “Par konceptuālo ziņojumu “Par uzņēmējdarbības uzsākšanas un mazās uzņēmējdarbības ekosistēmu un turpmāk nepieciešamajiem atbalsta stimuliem”” (prot. Nr. 48,  52. §) 4.punktā doto uzdevumu Ekonomikas ministrija izveidoja darba grupu. Darba grupa, kurā strādāja gan stratēģiskie partneri no Ekonomikas, Labklājības un Finanšu ministrijām, gan eksperti no plaši pārstāvētām uzņēmēju organizācijām, intensīvi strādāja pie nodokļu modeļa  un meklēja nodokļa modeļa risinājumus mazajiem uzņēmējiem (ar mazu apgrozījumu), tostarp uzņēmējdarbības uzsācējiem. Darba grupa izskatīja dažādus viedokļus un iespējamos risinājumus.</w:t>
            </w:r>
          </w:p>
          <w:p w14:paraId="266AC2FA" w14:textId="77777777" w:rsidR="00262E2B" w:rsidRPr="00C246EC" w:rsidRDefault="00270AF5" w:rsidP="00270AF5">
            <w:pPr>
              <w:pStyle w:val="naiskr"/>
              <w:spacing w:before="0" w:after="0"/>
              <w:jc w:val="both"/>
            </w:pPr>
            <w:r w:rsidRPr="00C246EC">
              <w:t xml:space="preserve">Padziļinātas izpētes un plašas viedokļu apmaiņas rezultātā tika identificēti vairāki iespējamie jauni nodokļu varianti. Izsvērta lēmuma pieņemšanai </w:t>
            </w:r>
            <w:r w:rsidRPr="00C246EC">
              <w:lastRenderedPageBreak/>
              <w:t>valdībā, ļoti būtisks ir pašu mazo uzņēmēju viedoklis, tādēļ Ekonomikas ministrija rīkoja Latvijas mazo uzņēmumu aptauju par problēmām un izaicinājumiem nodokļu sistēmā, kā arī ieteikumiem uzņēmējdarbības vides uzlabošanā mazajiem uzņēmumiem nodokļu jomā.</w:t>
            </w:r>
          </w:p>
        </w:tc>
      </w:tr>
      <w:tr w:rsidR="00E547C1" w:rsidRPr="00C246EC" w14:paraId="43C862B7" w14:textId="77777777" w:rsidTr="00E03666">
        <w:tc>
          <w:tcPr>
            <w:tcW w:w="687" w:type="dxa"/>
          </w:tcPr>
          <w:p w14:paraId="290F7878" w14:textId="77777777" w:rsidR="00262E2B" w:rsidRPr="00C246EC" w:rsidRDefault="002B6FAB" w:rsidP="0047074D">
            <w:pPr>
              <w:pStyle w:val="naiskr"/>
              <w:spacing w:before="0" w:after="0"/>
            </w:pPr>
            <w:r w:rsidRPr="00C246EC">
              <w:lastRenderedPageBreak/>
              <w:t>4</w:t>
            </w:r>
            <w:r w:rsidR="00262E2B" w:rsidRPr="00C246EC">
              <w:t>.</w:t>
            </w:r>
          </w:p>
        </w:tc>
        <w:tc>
          <w:tcPr>
            <w:tcW w:w="1440" w:type="dxa"/>
          </w:tcPr>
          <w:p w14:paraId="518D6E55" w14:textId="77777777" w:rsidR="00262E2B" w:rsidRPr="00C246EC" w:rsidRDefault="00262E2B" w:rsidP="0047074D">
            <w:pPr>
              <w:pStyle w:val="naiskr"/>
              <w:spacing w:before="0" w:after="0"/>
            </w:pPr>
            <w:r w:rsidRPr="00C246EC">
              <w:t>Cita informācija</w:t>
            </w:r>
          </w:p>
        </w:tc>
        <w:tc>
          <w:tcPr>
            <w:tcW w:w="7371" w:type="dxa"/>
          </w:tcPr>
          <w:p w14:paraId="39CE8B72" w14:textId="77777777" w:rsidR="00262E2B" w:rsidRPr="00C246EC" w:rsidRDefault="0053025D" w:rsidP="0047074D">
            <w:pPr>
              <w:pStyle w:val="naiskr"/>
              <w:spacing w:before="0" w:after="0"/>
            </w:pPr>
            <w:r w:rsidRPr="00C246EC">
              <w:t>Nav.</w:t>
            </w:r>
          </w:p>
        </w:tc>
      </w:tr>
    </w:tbl>
    <w:p w14:paraId="797FD933" w14:textId="77777777" w:rsidR="00852042" w:rsidRPr="00C246EC" w:rsidRDefault="00852042" w:rsidP="00E547C1"/>
    <w:tbl>
      <w:tblPr>
        <w:tblpPr w:leftFromText="180" w:rightFromText="180" w:vertAnchor="text" w:horzAnchor="margin" w:tblpXSpec="center" w:tblpY="14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1713"/>
        <w:gridCol w:w="7381"/>
      </w:tblGrid>
      <w:tr w:rsidR="00E547C1" w:rsidRPr="00C246EC" w14:paraId="2EE4EBB8" w14:textId="77777777" w:rsidTr="00E03666">
        <w:tc>
          <w:tcPr>
            <w:tcW w:w="9644" w:type="dxa"/>
            <w:gridSpan w:val="3"/>
            <w:vAlign w:val="center"/>
          </w:tcPr>
          <w:p w14:paraId="38BC67BF" w14:textId="77777777" w:rsidR="0062298A" w:rsidRPr="00C246EC" w:rsidRDefault="0062298A" w:rsidP="00C00322">
            <w:pPr>
              <w:pStyle w:val="naisnod"/>
              <w:keepNext/>
              <w:keepLines/>
              <w:spacing w:before="0" w:after="0"/>
            </w:pPr>
            <w:r w:rsidRPr="00C246EC">
              <w:t>II</w:t>
            </w:r>
            <w:r w:rsidR="000941C5" w:rsidRPr="00C246EC">
              <w:t>.</w:t>
            </w:r>
            <w:r w:rsidRPr="00C246EC">
              <w:t xml:space="preserve"> Tiesību akta projekta ietekme uz sabiedrību</w:t>
            </w:r>
          </w:p>
        </w:tc>
      </w:tr>
      <w:tr w:rsidR="00E547C1" w:rsidRPr="00C246EC" w14:paraId="0E44587B" w14:textId="77777777" w:rsidTr="00080409">
        <w:trPr>
          <w:trHeight w:val="467"/>
        </w:trPr>
        <w:tc>
          <w:tcPr>
            <w:tcW w:w="550" w:type="dxa"/>
          </w:tcPr>
          <w:p w14:paraId="1F33C9D0" w14:textId="77777777" w:rsidR="0062298A" w:rsidRPr="00C246EC" w:rsidRDefault="0062298A" w:rsidP="00C00322">
            <w:pPr>
              <w:pStyle w:val="naiskr"/>
              <w:keepNext/>
              <w:keepLines/>
              <w:spacing w:before="0" w:after="0"/>
            </w:pPr>
            <w:r w:rsidRPr="00C246EC">
              <w:t>1.</w:t>
            </w:r>
          </w:p>
        </w:tc>
        <w:tc>
          <w:tcPr>
            <w:tcW w:w="1713" w:type="dxa"/>
          </w:tcPr>
          <w:p w14:paraId="20D1ED7B" w14:textId="77777777" w:rsidR="0062298A" w:rsidRPr="00C246EC" w:rsidRDefault="00C27A08" w:rsidP="00C00322">
            <w:pPr>
              <w:pStyle w:val="naiskr"/>
              <w:keepNext/>
              <w:keepLines/>
              <w:spacing w:before="0" w:after="0"/>
            </w:pPr>
            <w:r w:rsidRPr="00C246EC">
              <w:t xml:space="preserve">Sabiedrības </w:t>
            </w:r>
            <w:proofErr w:type="spellStart"/>
            <w:r w:rsidRPr="00C246EC">
              <w:t>mērķgrupa</w:t>
            </w:r>
            <w:r w:rsidR="00CE72B0" w:rsidRPr="00C246EC">
              <w:t>s</w:t>
            </w:r>
            <w:proofErr w:type="spellEnd"/>
            <w:r w:rsidR="00340B5E" w:rsidRPr="00C246EC">
              <w:t>,</w:t>
            </w:r>
            <w:r w:rsidR="00CE72B0" w:rsidRPr="00C246EC">
              <w:t xml:space="preserve"> kuras tiesiskais regulējums arī ietekmē vai varētu ietekmēt</w:t>
            </w:r>
          </w:p>
        </w:tc>
        <w:tc>
          <w:tcPr>
            <w:tcW w:w="7381" w:type="dxa"/>
          </w:tcPr>
          <w:p w14:paraId="30905503" w14:textId="77777777" w:rsidR="003047D8" w:rsidRPr="00C246EC" w:rsidRDefault="003047D8" w:rsidP="003047D8">
            <w:pPr>
              <w:pStyle w:val="naiskr"/>
              <w:keepNext/>
              <w:keepLines/>
              <w:spacing w:after="120"/>
              <w:jc w:val="both"/>
            </w:pPr>
            <w:r w:rsidRPr="00C246EC">
              <w:t>Projektā ietvertās normas attiecas uz saimnieciskās darbības veicējiem fiziskām personām (individuālais komersants vai Valsts ieņēmumu dienestā reģistrēts saimnieciskās darbības veicējs), individuālajiem uzņēmumiem, zemnieka vai zvejnieka saimniecībām vai sabiedrībām ar ierobežotu atbildību, kuri atbilst šādiem kritērijiem:</w:t>
            </w:r>
          </w:p>
          <w:p w14:paraId="2C1A18F3" w14:textId="77777777" w:rsidR="003047D8" w:rsidRPr="00C246EC" w:rsidRDefault="003047D8" w:rsidP="003047D8">
            <w:pPr>
              <w:pStyle w:val="naiskr"/>
              <w:keepNext/>
              <w:keepLines/>
              <w:numPr>
                <w:ilvl w:val="0"/>
                <w:numId w:val="30"/>
              </w:numPr>
              <w:spacing w:after="120"/>
              <w:jc w:val="both"/>
            </w:pPr>
            <w:r w:rsidRPr="00C246EC">
              <w:t>dibinātāji un dalībnieki ir fiziskas personas;</w:t>
            </w:r>
          </w:p>
          <w:p w14:paraId="003BF959" w14:textId="77777777" w:rsidR="003047D8" w:rsidRPr="00C246EC" w:rsidRDefault="003047D8" w:rsidP="003047D8">
            <w:pPr>
              <w:pStyle w:val="naiskr"/>
              <w:keepNext/>
              <w:keepLines/>
              <w:numPr>
                <w:ilvl w:val="0"/>
                <w:numId w:val="30"/>
              </w:numPr>
              <w:spacing w:after="120"/>
              <w:jc w:val="both"/>
            </w:pPr>
            <w:r w:rsidRPr="00C246EC">
              <w:t>apgrozīj</w:t>
            </w:r>
            <w:r w:rsidR="00D479B5">
              <w:t>ums kalendāra gadā nepārsniedz 4</w:t>
            </w:r>
            <w:r w:rsidRPr="00C246EC">
              <w:t xml:space="preserve">0 000 </w:t>
            </w:r>
            <w:proofErr w:type="spellStart"/>
            <w:r w:rsidRPr="00AB326B">
              <w:rPr>
                <w:i/>
              </w:rPr>
              <w:t>euro</w:t>
            </w:r>
            <w:proofErr w:type="spellEnd"/>
            <w:r w:rsidRPr="00C246EC">
              <w:t>;</w:t>
            </w:r>
          </w:p>
          <w:p w14:paraId="17D9815C" w14:textId="77777777" w:rsidR="00A75E7F" w:rsidRPr="00C246EC" w:rsidRDefault="003047D8" w:rsidP="003047D8">
            <w:pPr>
              <w:pStyle w:val="naiskr"/>
              <w:keepNext/>
              <w:keepLines/>
              <w:numPr>
                <w:ilvl w:val="0"/>
                <w:numId w:val="30"/>
              </w:numPr>
              <w:spacing w:after="120"/>
              <w:jc w:val="both"/>
            </w:pPr>
            <w:r w:rsidRPr="00C246EC">
              <w:t>darbinieku skaits ne vairāk kā 5 cilvēki jebkurā brīdī gada laikā.</w:t>
            </w:r>
            <w:r w:rsidRPr="00C246EC">
              <w:rPr>
                <w:iCs/>
              </w:rPr>
              <w:t xml:space="preserve"> </w:t>
            </w:r>
          </w:p>
        </w:tc>
      </w:tr>
      <w:tr w:rsidR="00E547C1" w:rsidRPr="00C246EC" w14:paraId="0EEA1E23" w14:textId="77777777" w:rsidTr="00080409">
        <w:trPr>
          <w:trHeight w:val="517"/>
        </w:trPr>
        <w:tc>
          <w:tcPr>
            <w:tcW w:w="550" w:type="dxa"/>
          </w:tcPr>
          <w:p w14:paraId="6F030F0C" w14:textId="77777777" w:rsidR="0062298A" w:rsidRPr="00C246EC" w:rsidRDefault="00CE72B0" w:rsidP="0047074D">
            <w:pPr>
              <w:pStyle w:val="naiskr"/>
              <w:spacing w:before="0" w:after="0"/>
            </w:pPr>
            <w:r w:rsidRPr="00C246EC">
              <w:t>2</w:t>
            </w:r>
            <w:r w:rsidR="0062298A" w:rsidRPr="00C246EC">
              <w:t>.</w:t>
            </w:r>
          </w:p>
        </w:tc>
        <w:tc>
          <w:tcPr>
            <w:tcW w:w="1713" w:type="dxa"/>
          </w:tcPr>
          <w:p w14:paraId="636543BD" w14:textId="77777777" w:rsidR="00C1133D" w:rsidRPr="00C246EC" w:rsidRDefault="000C790C" w:rsidP="0047074D">
            <w:pPr>
              <w:pStyle w:val="naiskr"/>
              <w:spacing w:before="0" w:after="0"/>
            </w:pPr>
            <w:r w:rsidRPr="00C246EC">
              <w:t>Tiesiskā r</w:t>
            </w:r>
            <w:r w:rsidR="003D21FF" w:rsidRPr="00C246EC">
              <w:t>egulējuma</w:t>
            </w:r>
            <w:r w:rsidR="00C27A08" w:rsidRPr="00C246EC">
              <w:t xml:space="preserve"> ietekme</w:t>
            </w:r>
            <w:r w:rsidR="00CE72B0" w:rsidRPr="00C246EC">
              <w:t xml:space="preserve"> uz tautsaimniecību un administratīvo slogu</w:t>
            </w:r>
          </w:p>
        </w:tc>
        <w:tc>
          <w:tcPr>
            <w:tcW w:w="7381" w:type="dxa"/>
          </w:tcPr>
          <w:p w14:paraId="3EE489CB" w14:textId="5C622A9E" w:rsidR="00925FBC" w:rsidRPr="00C246EC" w:rsidRDefault="000F1F07" w:rsidP="000F1F07">
            <w:pPr>
              <w:spacing w:before="120" w:after="120"/>
              <w:jc w:val="both"/>
            </w:pPr>
            <w:r w:rsidRPr="00C246EC">
              <w:t>Uzņēmējdarbības uzsācēji, uzņēmēji ar mazu vai neregulāru ienākumu ir</w:t>
            </w:r>
            <w:r w:rsidR="000D5436">
              <w:t xml:space="preserve"> nozīmīgi ekonomikas dalībnieki</w:t>
            </w:r>
            <w:r w:rsidRPr="00C246EC">
              <w:t xml:space="preserve">, kuri ir jāizvērtē, izstrādājot nodokļu politikas instrumentus. Ir būtiski veidot tādu uzņēmējdarbības ekosistēmu, kas labvēlīga šo uzņēmumu tālākai izaugsmei, tajā skaitā attiecībā uz nodokļu sistēmu. </w:t>
            </w:r>
          </w:p>
          <w:p w14:paraId="37F00B31" w14:textId="33A74D79" w:rsidR="00991E88" w:rsidRPr="00C246EC" w:rsidRDefault="000F1F07" w:rsidP="000F1F07">
            <w:pPr>
              <w:spacing w:before="120" w:after="120"/>
              <w:jc w:val="both"/>
            </w:pPr>
            <w:r w:rsidRPr="00C246EC">
              <w:t>Ņemot to vēr</w:t>
            </w:r>
            <w:r w:rsidR="00776F6D">
              <w:t>ā</w:t>
            </w:r>
            <w:r w:rsidRPr="00C246EC">
              <w:t>, ir nepieciešams saglabāt īpašu vienkāršu nodokļu regulējumu maziem uzņēmumiem.</w:t>
            </w:r>
          </w:p>
        </w:tc>
      </w:tr>
      <w:tr w:rsidR="00E547C1" w:rsidRPr="00C246EC" w14:paraId="68683472" w14:textId="77777777" w:rsidTr="00080409">
        <w:trPr>
          <w:trHeight w:val="357"/>
        </w:trPr>
        <w:tc>
          <w:tcPr>
            <w:tcW w:w="550" w:type="dxa"/>
          </w:tcPr>
          <w:p w14:paraId="4692D532" w14:textId="77777777" w:rsidR="0062298A" w:rsidRPr="00C246EC" w:rsidRDefault="00CE72B0" w:rsidP="0047074D">
            <w:pPr>
              <w:pStyle w:val="naiskr"/>
              <w:spacing w:before="0" w:after="0"/>
            </w:pPr>
            <w:r w:rsidRPr="00C246EC">
              <w:t>3</w:t>
            </w:r>
            <w:r w:rsidR="0062298A" w:rsidRPr="00C246EC">
              <w:t>.</w:t>
            </w:r>
          </w:p>
        </w:tc>
        <w:tc>
          <w:tcPr>
            <w:tcW w:w="1713" w:type="dxa"/>
          </w:tcPr>
          <w:p w14:paraId="0A09A6A6" w14:textId="77777777" w:rsidR="00AE5066" w:rsidRPr="00C246EC" w:rsidRDefault="00C27A08" w:rsidP="0047074D">
            <w:pPr>
              <w:pStyle w:val="naiskr"/>
              <w:spacing w:before="0" w:after="0"/>
            </w:pPr>
            <w:r w:rsidRPr="00C246EC">
              <w:t xml:space="preserve">Administratīvo izmaksu </w:t>
            </w:r>
            <w:r w:rsidR="00502374" w:rsidRPr="00C246EC">
              <w:t xml:space="preserve">monetārs </w:t>
            </w:r>
            <w:r w:rsidRPr="00C246EC">
              <w:t>novērtējums</w:t>
            </w:r>
          </w:p>
        </w:tc>
        <w:tc>
          <w:tcPr>
            <w:tcW w:w="7381" w:type="dxa"/>
          </w:tcPr>
          <w:p w14:paraId="2F4AECB9" w14:textId="77777777" w:rsidR="0062298A" w:rsidRPr="00C246EC" w:rsidRDefault="003047D8" w:rsidP="005C07F9">
            <w:pPr>
              <w:pStyle w:val="naiskr"/>
              <w:spacing w:before="0" w:after="0"/>
              <w:jc w:val="both"/>
            </w:pPr>
            <w:r w:rsidRPr="00C246EC">
              <w:t>Likumprojekts šo jomu neskar.</w:t>
            </w:r>
          </w:p>
        </w:tc>
      </w:tr>
      <w:tr w:rsidR="00E547C1" w:rsidRPr="00C246EC" w14:paraId="2BC00F01" w14:textId="77777777" w:rsidTr="00080409">
        <w:tc>
          <w:tcPr>
            <w:tcW w:w="550" w:type="dxa"/>
          </w:tcPr>
          <w:p w14:paraId="00B0DEF2" w14:textId="77777777" w:rsidR="0062298A" w:rsidRPr="00C246EC" w:rsidRDefault="00CE72B0" w:rsidP="0047074D">
            <w:pPr>
              <w:pStyle w:val="naiskr"/>
              <w:spacing w:before="0" w:after="0"/>
            </w:pPr>
            <w:r w:rsidRPr="00C246EC">
              <w:t>4</w:t>
            </w:r>
            <w:r w:rsidR="0062298A" w:rsidRPr="00C246EC">
              <w:t>.</w:t>
            </w:r>
          </w:p>
        </w:tc>
        <w:tc>
          <w:tcPr>
            <w:tcW w:w="1713" w:type="dxa"/>
          </w:tcPr>
          <w:p w14:paraId="1C65A21D" w14:textId="77777777" w:rsidR="0062298A" w:rsidRPr="00C246EC" w:rsidRDefault="009E12D7" w:rsidP="0047074D">
            <w:pPr>
              <w:pStyle w:val="naiskr"/>
              <w:spacing w:before="0" w:after="0"/>
            </w:pPr>
            <w:r w:rsidRPr="00C246EC">
              <w:t>Cita informācija</w:t>
            </w:r>
          </w:p>
        </w:tc>
        <w:tc>
          <w:tcPr>
            <w:tcW w:w="7381" w:type="dxa"/>
          </w:tcPr>
          <w:p w14:paraId="0208EEDC" w14:textId="77777777" w:rsidR="0062298A" w:rsidRPr="00C246EC" w:rsidRDefault="001B71CD" w:rsidP="0047074D">
            <w:pPr>
              <w:pStyle w:val="naiskr"/>
              <w:spacing w:before="0" w:after="0"/>
            </w:pPr>
            <w:r w:rsidRPr="00C246EC">
              <w:t>Nav</w:t>
            </w:r>
          </w:p>
        </w:tc>
      </w:tr>
    </w:tbl>
    <w:p w14:paraId="020C677C" w14:textId="77777777" w:rsidR="00924023" w:rsidRPr="00C246EC" w:rsidRDefault="00924023" w:rsidP="00F26689">
      <w:pPr>
        <w:pStyle w:val="naiskr"/>
        <w:tabs>
          <w:tab w:val="left" w:pos="2628"/>
        </w:tabs>
        <w:spacing w:before="0" w:after="0"/>
        <w:jc w:val="center"/>
      </w:pPr>
    </w:p>
    <w:tbl>
      <w:tblPr>
        <w:tblW w:w="5318"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3223"/>
        <w:gridCol w:w="1304"/>
        <w:gridCol w:w="1277"/>
        <w:gridCol w:w="1277"/>
        <w:gridCol w:w="1277"/>
        <w:gridCol w:w="1273"/>
      </w:tblGrid>
      <w:tr w:rsidR="00762529" w:rsidRPr="00C246EC" w14:paraId="33DB211D" w14:textId="77777777" w:rsidTr="00122073">
        <w:trPr>
          <w:trHeight w:val="288"/>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30EA9ECE" w14:textId="77777777" w:rsidR="00762529" w:rsidRPr="00C246EC" w:rsidRDefault="00762529" w:rsidP="008B57BA">
            <w:pPr>
              <w:spacing w:before="100" w:beforeAutospacing="1" w:after="100" w:afterAutospacing="1" w:line="293" w:lineRule="atLeast"/>
              <w:jc w:val="center"/>
              <w:rPr>
                <w:b/>
                <w:bCs/>
              </w:rPr>
            </w:pPr>
            <w:r w:rsidRPr="00C246EC">
              <w:rPr>
                <w:b/>
                <w:bCs/>
              </w:rPr>
              <w:t>III. Tiesību akta projekta ietekme uz valsts budžetu un pašvaldību budžetiem</w:t>
            </w:r>
          </w:p>
        </w:tc>
      </w:tr>
      <w:tr w:rsidR="000E2BC2" w:rsidRPr="00C246EC" w14:paraId="4FA3CA7C" w14:textId="77777777" w:rsidTr="00F04D32">
        <w:trPr>
          <w:jc w:val="center"/>
        </w:trPr>
        <w:tc>
          <w:tcPr>
            <w:tcW w:w="1673" w:type="pct"/>
            <w:vMerge w:val="restart"/>
            <w:tcBorders>
              <w:top w:val="outset" w:sz="6" w:space="0" w:color="414142"/>
              <w:left w:val="outset" w:sz="6" w:space="0" w:color="414142"/>
              <w:bottom w:val="outset" w:sz="6" w:space="0" w:color="414142"/>
              <w:right w:val="outset" w:sz="6" w:space="0" w:color="414142"/>
            </w:tcBorders>
            <w:vAlign w:val="center"/>
            <w:hideMark/>
          </w:tcPr>
          <w:p w14:paraId="78922751" w14:textId="77777777" w:rsidR="00762529" w:rsidRPr="00C246EC" w:rsidRDefault="00762529" w:rsidP="008B57BA">
            <w:pPr>
              <w:spacing w:before="100" w:beforeAutospacing="1" w:after="100" w:afterAutospacing="1" w:line="293" w:lineRule="atLeast"/>
              <w:jc w:val="center"/>
              <w:rPr>
                <w:b/>
                <w:bCs/>
              </w:rPr>
            </w:pPr>
            <w:r w:rsidRPr="00C246EC">
              <w:rPr>
                <w:b/>
                <w:bCs/>
              </w:rPr>
              <w:t>Rādītāji</w:t>
            </w:r>
          </w:p>
        </w:tc>
        <w:tc>
          <w:tcPr>
            <w:tcW w:w="134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19FB4574" w14:textId="77777777" w:rsidR="00762529" w:rsidRPr="00C246EC" w:rsidRDefault="00DA6317" w:rsidP="008B57BA">
            <w:pPr>
              <w:spacing w:before="100" w:beforeAutospacing="1" w:after="100" w:afterAutospacing="1" w:line="293" w:lineRule="atLeast"/>
              <w:jc w:val="center"/>
              <w:rPr>
                <w:b/>
                <w:bCs/>
              </w:rPr>
            </w:pPr>
            <w:r w:rsidRPr="00C246EC">
              <w:rPr>
                <w:b/>
                <w:bCs/>
              </w:rPr>
              <w:t>2017.</w:t>
            </w:r>
            <w:r w:rsidR="00762529" w:rsidRPr="00C246EC">
              <w:rPr>
                <w:b/>
                <w:bCs/>
              </w:rPr>
              <w:t xml:space="preserve"> gads</w:t>
            </w:r>
          </w:p>
        </w:tc>
        <w:tc>
          <w:tcPr>
            <w:tcW w:w="1987" w:type="pct"/>
            <w:gridSpan w:val="3"/>
            <w:tcBorders>
              <w:top w:val="outset" w:sz="6" w:space="0" w:color="414142"/>
              <w:left w:val="outset" w:sz="6" w:space="0" w:color="414142"/>
              <w:bottom w:val="outset" w:sz="6" w:space="0" w:color="414142"/>
              <w:right w:val="outset" w:sz="6" w:space="0" w:color="414142"/>
            </w:tcBorders>
            <w:vAlign w:val="center"/>
            <w:hideMark/>
          </w:tcPr>
          <w:p w14:paraId="57A4281D" w14:textId="77777777" w:rsidR="00762529" w:rsidRPr="00C246EC" w:rsidRDefault="00762529" w:rsidP="008B57BA">
            <w:pPr>
              <w:spacing w:before="100" w:beforeAutospacing="1" w:after="100" w:afterAutospacing="1" w:line="293" w:lineRule="atLeast"/>
              <w:jc w:val="center"/>
            </w:pPr>
            <w:r w:rsidRPr="00C246EC">
              <w:t>Turpmākie trīs gadi (</w:t>
            </w:r>
            <w:proofErr w:type="spellStart"/>
            <w:r w:rsidRPr="00C246EC">
              <w:rPr>
                <w:i/>
                <w:iCs/>
              </w:rPr>
              <w:t>euro</w:t>
            </w:r>
            <w:proofErr w:type="spellEnd"/>
            <w:r w:rsidRPr="00C246EC">
              <w:t>)</w:t>
            </w:r>
          </w:p>
        </w:tc>
      </w:tr>
      <w:tr w:rsidR="00762529" w:rsidRPr="00C246EC" w14:paraId="2C8B9CD5" w14:textId="77777777" w:rsidTr="00F04D32">
        <w:trPr>
          <w:jc w:val="center"/>
        </w:trPr>
        <w:tc>
          <w:tcPr>
            <w:tcW w:w="1673" w:type="pct"/>
            <w:vMerge/>
            <w:tcBorders>
              <w:top w:val="outset" w:sz="6" w:space="0" w:color="414142"/>
              <w:left w:val="outset" w:sz="6" w:space="0" w:color="414142"/>
              <w:bottom w:val="outset" w:sz="6" w:space="0" w:color="414142"/>
              <w:right w:val="outset" w:sz="6" w:space="0" w:color="414142"/>
            </w:tcBorders>
            <w:vAlign w:val="center"/>
            <w:hideMark/>
          </w:tcPr>
          <w:p w14:paraId="599BCABE" w14:textId="77777777" w:rsidR="00762529" w:rsidRPr="00C246EC" w:rsidRDefault="00762529" w:rsidP="008B57BA">
            <w:pPr>
              <w:rPr>
                <w:b/>
                <w:bCs/>
              </w:rPr>
            </w:pPr>
          </w:p>
        </w:tc>
        <w:tc>
          <w:tcPr>
            <w:tcW w:w="1340" w:type="pct"/>
            <w:gridSpan w:val="2"/>
            <w:vMerge/>
            <w:tcBorders>
              <w:top w:val="outset" w:sz="6" w:space="0" w:color="414142"/>
              <w:left w:val="outset" w:sz="6" w:space="0" w:color="414142"/>
              <w:bottom w:val="outset" w:sz="6" w:space="0" w:color="414142"/>
              <w:right w:val="outset" w:sz="6" w:space="0" w:color="414142"/>
            </w:tcBorders>
            <w:vAlign w:val="center"/>
            <w:hideMark/>
          </w:tcPr>
          <w:p w14:paraId="48BDB0BE" w14:textId="77777777" w:rsidR="00762529" w:rsidRPr="00C246EC" w:rsidRDefault="00762529" w:rsidP="008B57BA">
            <w:pPr>
              <w:rPr>
                <w:b/>
                <w:bCs/>
              </w:rPr>
            </w:pPr>
          </w:p>
        </w:tc>
        <w:tc>
          <w:tcPr>
            <w:tcW w:w="663" w:type="pct"/>
            <w:tcBorders>
              <w:top w:val="outset" w:sz="6" w:space="0" w:color="414142"/>
              <w:left w:val="outset" w:sz="6" w:space="0" w:color="414142"/>
              <w:bottom w:val="outset" w:sz="6" w:space="0" w:color="414142"/>
              <w:right w:val="outset" w:sz="6" w:space="0" w:color="414142"/>
            </w:tcBorders>
            <w:vAlign w:val="center"/>
            <w:hideMark/>
          </w:tcPr>
          <w:p w14:paraId="30323B12" w14:textId="77777777" w:rsidR="00762529" w:rsidRPr="00C246EC" w:rsidRDefault="00DA6317" w:rsidP="008B57BA">
            <w:pPr>
              <w:spacing w:before="100" w:beforeAutospacing="1" w:after="100" w:afterAutospacing="1" w:line="293" w:lineRule="atLeast"/>
              <w:jc w:val="center"/>
              <w:rPr>
                <w:b/>
                <w:bCs/>
              </w:rPr>
            </w:pPr>
            <w:r w:rsidRPr="00C246EC">
              <w:rPr>
                <w:b/>
                <w:bCs/>
              </w:rPr>
              <w:t>2018</w:t>
            </w:r>
          </w:p>
        </w:tc>
        <w:tc>
          <w:tcPr>
            <w:tcW w:w="663" w:type="pct"/>
            <w:tcBorders>
              <w:top w:val="outset" w:sz="6" w:space="0" w:color="414142"/>
              <w:left w:val="outset" w:sz="6" w:space="0" w:color="414142"/>
              <w:bottom w:val="outset" w:sz="6" w:space="0" w:color="414142"/>
              <w:right w:val="outset" w:sz="6" w:space="0" w:color="414142"/>
            </w:tcBorders>
            <w:vAlign w:val="center"/>
            <w:hideMark/>
          </w:tcPr>
          <w:p w14:paraId="1210F769" w14:textId="77777777" w:rsidR="00762529" w:rsidRPr="00C246EC" w:rsidRDefault="00DA6317" w:rsidP="008B57BA">
            <w:pPr>
              <w:spacing w:before="100" w:beforeAutospacing="1" w:after="100" w:afterAutospacing="1" w:line="293" w:lineRule="atLeast"/>
              <w:jc w:val="center"/>
              <w:rPr>
                <w:b/>
                <w:bCs/>
              </w:rPr>
            </w:pPr>
            <w:r w:rsidRPr="00C246EC">
              <w:rPr>
                <w:b/>
                <w:bCs/>
              </w:rPr>
              <w:t>2019</w:t>
            </w:r>
          </w:p>
        </w:tc>
        <w:tc>
          <w:tcPr>
            <w:tcW w:w="661" w:type="pct"/>
            <w:tcBorders>
              <w:top w:val="outset" w:sz="6" w:space="0" w:color="414142"/>
              <w:left w:val="outset" w:sz="6" w:space="0" w:color="414142"/>
              <w:bottom w:val="outset" w:sz="6" w:space="0" w:color="414142"/>
              <w:right w:val="outset" w:sz="6" w:space="0" w:color="414142"/>
            </w:tcBorders>
            <w:vAlign w:val="center"/>
            <w:hideMark/>
          </w:tcPr>
          <w:p w14:paraId="2FF030C4" w14:textId="77777777" w:rsidR="00762529" w:rsidRPr="00C246EC" w:rsidRDefault="00DA6317" w:rsidP="008B57BA">
            <w:pPr>
              <w:spacing w:before="100" w:beforeAutospacing="1" w:after="100" w:afterAutospacing="1" w:line="293" w:lineRule="atLeast"/>
              <w:jc w:val="center"/>
              <w:rPr>
                <w:b/>
                <w:bCs/>
              </w:rPr>
            </w:pPr>
            <w:r w:rsidRPr="00C246EC">
              <w:rPr>
                <w:b/>
                <w:bCs/>
              </w:rPr>
              <w:t>2020</w:t>
            </w:r>
          </w:p>
        </w:tc>
      </w:tr>
      <w:tr w:rsidR="00903468" w:rsidRPr="00C246EC" w14:paraId="49F7C744" w14:textId="77777777" w:rsidTr="00F04D32">
        <w:trPr>
          <w:jc w:val="center"/>
        </w:trPr>
        <w:tc>
          <w:tcPr>
            <w:tcW w:w="1673" w:type="pct"/>
            <w:vMerge/>
            <w:tcBorders>
              <w:top w:val="outset" w:sz="6" w:space="0" w:color="414142"/>
              <w:left w:val="outset" w:sz="6" w:space="0" w:color="414142"/>
              <w:bottom w:val="outset" w:sz="6" w:space="0" w:color="414142"/>
              <w:right w:val="outset" w:sz="6" w:space="0" w:color="414142"/>
            </w:tcBorders>
            <w:vAlign w:val="center"/>
            <w:hideMark/>
          </w:tcPr>
          <w:p w14:paraId="030C51C1" w14:textId="77777777" w:rsidR="00762529" w:rsidRPr="00C246EC" w:rsidRDefault="00762529" w:rsidP="008B57BA">
            <w:pPr>
              <w:rPr>
                <w:b/>
                <w:bCs/>
              </w:rPr>
            </w:pPr>
          </w:p>
        </w:tc>
        <w:tc>
          <w:tcPr>
            <w:tcW w:w="677" w:type="pct"/>
            <w:tcBorders>
              <w:top w:val="outset" w:sz="6" w:space="0" w:color="414142"/>
              <w:left w:val="outset" w:sz="6" w:space="0" w:color="414142"/>
              <w:bottom w:val="outset" w:sz="6" w:space="0" w:color="414142"/>
              <w:right w:val="outset" w:sz="6" w:space="0" w:color="414142"/>
            </w:tcBorders>
            <w:vAlign w:val="center"/>
            <w:hideMark/>
          </w:tcPr>
          <w:p w14:paraId="0AA8F956" w14:textId="77777777" w:rsidR="00762529" w:rsidRPr="00C246EC" w:rsidRDefault="00762529" w:rsidP="008B57BA">
            <w:pPr>
              <w:spacing w:before="100" w:beforeAutospacing="1" w:after="100" w:afterAutospacing="1" w:line="293" w:lineRule="atLeast"/>
              <w:jc w:val="center"/>
            </w:pPr>
            <w:r w:rsidRPr="00C246EC">
              <w:t>saskaņā ar valsts budžetu kārtējam gadam</w:t>
            </w:r>
          </w:p>
        </w:tc>
        <w:tc>
          <w:tcPr>
            <w:tcW w:w="663" w:type="pct"/>
            <w:tcBorders>
              <w:top w:val="outset" w:sz="6" w:space="0" w:color="414142"/>
              <w:left w:val="outset" w:sz="6" w:space="0" w:color="414142"/>
              <w:bottom w:val="outset" w:sz="6" w:space="0" w:color="414142"/>
              <w:right w:val="outset" w:sz="6" w:space="0" w:color="414142"/>
            </w:tcBorders>
            <w:vAlign w:val="center"/>
            <w:hideMark/>
          </w:tcPr>
          <w:p w14:paraId="0F720FC5" w14:textId="77777777" w:rsidR="00762529" w:rsidRPr="00C246EC" w:rsidRDefault="00762529" w:rsidP="008B57BA">
            <w:pPr>
              <w:spacing w:before="100" w:beforeAutospacing="1" w:after="100" w:afterAutospacing="1" w:line="293" w:lineRule="atLeast"/>
              <w:jc w:val="center"/>
            </w:pPr>
            <w:r w:rsidRPr="00C246EC">
              <w:t>izmaiņas kārtējā gadā, salīdzinot ar valsts budžetu kārtējam gadam</w:t>
            </w:r>
          </w:p>
        </w:tc>
        <w:tc>
          <w:tcPr>
            <w:tcW w:w="663" w:type="pct"/>
            <w:tcBorders>
              <w:top w:val="outset" w:sz="6" w:space="0" w:color="414142"/>
              <w:left w:val="outset" w:sz="6" w:space="0" w:color="414142"/>
              <w:bottom w:val="outset" w:sz="6" w:space="0" w:color="414142"/>
              <w:right w:val="outset" w:sz="6" w:space="0" w:color="414142"/>
            </w:tcBorders>
            <w:vAlign w:val="center"/>
            <w:hideMark/>
          </w:tcPr>
          <w:p w14:paraId="25D3B387" w14:textId="77777777" w:rsidR="00762529" w:rsidRPr="00C246EC" w:rsidRDefault="00762529" w:rsidP="00903468">
            <w:pPr>
              <w:spacing w:before="100" w:beforeAutospacing="1" w:after="100" w:afterAutospacing="1" w:line="293" w:lineRule="atLeast"/>
              <w:jc w:val="center"/>
            </w:pPr>
            <w:r w:rsidRPr="00C246EC">
              <w:t>izmaiņas, salīdzinot ar kārtējo (</w:t>
            </w:r>
            <w:r w:rsidR="00903468" w:rsidRPr="00C246EC">
              <w:t>2017</w:t>
            </w:r>
            <w:r w:rsidRPr="00C246EC">
              <w:t>) gadu</w:t>
            </w:r>
          </w:p>
        </w:tc>
        <w:tc>
          <w:tcPr>
            <w:tcW w:w="663" w:type="pct"/>
            <w:tcBorders>
              <w:top w:val="outset" w:sz="6" w:space="0" w:color="414142"/>
              <w:left w:val="outset" w:sz="6" w:space="0" w:color="414142"/>
              <w:bottom w:val="outset" w:sz="6" w:space="0" w:color="414142"/>
              <w:right w:val="outset" w:sz="6" w:space="0" w:color="414142"/>
            </w:tcBorders>
            <w:vAlign w:val="center"/>
            <w:hideMark/>
          </w:tcPr>
          <w:p w14:paraId="459B0AC3" w14:textId="77777777" w:rsidR="00762529" w:rsidRPr="00C246EC" w:rsidRDefault="00762529" w:rsidP="00903468">
            <w:pPr>
              <w:spacing w:before="100" w:beforeAutospacing="1" w:after="100" w:afterAutospacing="1" w:line="293" w:lineRule="atLeast"/>
              <w:jc w:val="center"/>
            </w:pPr>
            <w:r w:rsidRPr="00C246EC">
              <w:t>izmaiņas, salīdzinot ar kārtējo (</w:t>
            </w:r>
            <w:r w:rsidR="00903468" w:rsidRPr="00C246EC">
              <w:t>2017</w:t>
            </w:r>
            <w:r w:rsidRPr="00C246EC">
              <w:t>) gadu</w:t>
            </w:r>
          </w:p>
        </w:tc>
        <w:tc>
          <w:tcPr>
            <w:tcW w:w="661" w:type="pct"/>
            <w:tcBorders>
              <w:top w:val="outset" w:sz="6" w:space="0" w:color="414142"/>
              <w:left w:val="outset" w:sz="6" w:space="0" w:color="414142"/>
              <w:bottom w:val="outset" w:sz="6" w:space="0" w:color="414142"/>
              <w:right w:val="outset" w:sz="6" w:space="0" w:color="414142"/>
            </w:tcBorders>
            <w:vAlign w:val="center"/>
            <w:hideMark/>
          </w:tcPr>
          <w:p w14:paraId="67F8AC52" w14:textId="77777777" w:rsidR="00762529" w:rsidRPr="00C246EC" w:rsidRDefault="00762529" w:rsidP="00903468">
            <w:pPr>
              <w:spacing w:before="100" w:beforeAutospacing="1" w:after="100" w:afterAutospacing="1" w:line="293" w:lineRule="atLeast"/>
              <w:jc w:val="center"/>
            </w:pPr>
            <w:r w:rsidRPr="00C246EC">
              <w:t>izmaiņas, salīdzinot ar kārtējo (</w:t>
            </w:r>
            <w:r w:rsidR="00903468" w:rsidRPr="00C246EC">
              <w:t>2017</w:t>
            </w:r>
            <w:r w:rsidRPr="00C246EC">
              <w:t>) gadu</w:t>
            </w:r>
          </w:p>
        </w:tc>
      </w:tr>
      <w:tr w:rsidR="00903468" w:rsidRPr="00C246EC" w14:paraId="0A6748F0" w14:textId="77777777"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hideMark/>
          </w:tcPr>
          <w:p w14:paraId="41A450BF" w14:textId="77777777" w:rsidR="00762529" w:rsidRPr="00C246EC" w:rsidRDefault="00762529" w:rsidP="008B57BA">
            <w:pPr>
              <w:spacing w:before="100" w:beforeAutospacing="1" w:after="100" w:afterAutospacing="1" w:line="293" w:lineRule="atLeast"/>
              <w:jc w:val="center"/>
              <w:rPr>
                <w:sz w:val="20"/>
              </w:rPr>
            </w:pPr>
            <w:r w:rsidRPr="00C246EC">
              <w:rPr>
                <w:sz w:val="20"/>
              </w:rPr>
              <w:t>1</w:t>
            </w:r>
          </w:p>
        </w:tc>
        <w:tc>
          <w:tcPr>
            <w:tcW w:w="677" w:type="pct"/>
            <w:tcBorders>
              <w:top w:val="outset" w:sz="6" w:space="0" w:color="414142"/>
              <w:left w:val="outset" w:sz="6" w:space="0" w:color="414142"/>
              <w:bottom w:val="outset" w:sz="6" w:space="0" w:color="414142"/>
              <w:right w:val="outset" w:sz="6" w:space="0" w:color="414142"/>
            </w:tcBorders>
            <w:vAlign w:val="center"/>
            <w:hideMark/>
          </w:tcPr>
          <w:p w14:paraId="57BA8F72" w14:textId="77777777" w:rsidR="00762529" w:rsidRPr="00C246EC" w:rsidRDefault="00762529" w:rsidP="008B57BA">
            <w:pPr>
              <w:spacing w:before="100" w:beforeAutospacing="1" w:after="100" w:afterAutospacing="1" w:line="293" w:lineRule="atLeast"/>
              <w:jc w:val="center"/>
              <w:rPr>
                <w:sz w:val="20"/>
              </w:rPr>
            </w:pPr>
            <w:r w:rsidRPr="00C246EC">
              <w:rPr>
                <w:sz w:val="20"/>
              </w:rPr>
              <w:t>2</w:t>
            </w:r>
          </w:p>
        </w:tc>
        <w:tc>
          <w:tcPr>
            <w:tcW w:w="663" w:type="pct"/>
            <w:tcBorders>
              <w:top w:val="outset" w:sz="6" w:space="0" w:color="414142"/>
              <w:left w:val="outset" w:sz="6" w:space="0" w:color="414142"/>
              <w:bottom w:val="outset" w:sz="6" w:space="0" w:color="414142"/>
              <w:right w:val="outset" w:sz="6" w:space="0" w:color="414142"/>
            </w:tcBorders>
            <w:vAlign w:val="center"/>
            <w:hideMark/>
          </w:tcPr>
          <w:p w14:paraId="2B1DDD02" w14:textId="77777777" w:rsidR="00762529" w:rsidRPr="00C246EC" w:rsidRDefault="00762529" w:rsidP="008B57BA">
            <w:pPr>
              <w:spacing w:before="100" w:beforeAutospacing="1" w:after="100" w:afterAutospacing="1" w:line="293" w:lineRule="atLeast"/>
              <w:jc w:val="center"/>
              <w:rPr>
                <w:sz w:val="20"/>
              </w:rPr>
            </w:pPr>
            <w:r w:rsidRPr="00C246EC">
              <w:rPr>
                <w:sz w:val="20"/>
              </w:rPr>
              <w:t>3</w:t>
            </w:r>
          </w:p>
        </w:tc>
        <w:tc>
          <w:tcPr>
            <w:tcW w:w="663" w:type="pct"/>
            <w:tcBorders>
              <w:top w:val="outset" w:sz="6" w:space="0" w:color="414142"/>
              <w:left w:val="outset" w:sz="6" w:space="0" w:color="414142"/>
              <w:bottom w:val="outset" w:sz="6" w:space="0" w:color="414142"/>
              <w:right w:val="outset" w:sz="6" w:space="0" w:color="414142"/>
            </w:tcBorders>
            <w:vAlign w:val="center"/>
            <w:hideMark/>
          </w:tcPr>
          <w:p w14:paraId="33B47257" w14:textId="77777777" w:rsidR="00762529" w:rsidRPr="00C246EC" w:rsidRDefault="00762529" w:rsidP="008B57BA">
            <w:pPr>
              <w:spacing w:before="100" w:beforeAutospacing="1" w:after="100" w:afterAutospacing="1" w:line="293" w:lineRule="atLeast"/>
              <w:jc w:val="center"/>
              <w:rPr>
                <w:sz w:val="20"/>
              </w:rPr>
            </w:pPr>
            <w:r w:rsidRPr="00C246EC">
              <w:rPr>
                <w:sz w:val="20"/>
              </w:rPr>
              <w:t>4</w:t>
            </w:r>
          </w:p>
        </w:tc>
        <w:tc>
          <w:tcPr>
            <w:tcW w:w="663" w:type="pct"/>
            <w:tcBorders>
              <w:top w:val="outset" w:sz="6" w:space="0" w:color="414142"/>
              <w:left w:val="outset" w:sz="6" w:space="0" w:color="414142"/>
              <w:bottom w:val="outset" w:sz="6" w:space="0" w:color="414142"/>
              <w:right w:val="outset" w:sz="6" w:space="0" w:color="414142"/>
            </w:tcBorders>
            <w:vAlign w:val="center"/>
            <w:hideMark/>
          </w:tcPr>
          <w:p w14:paraId="2C933A90" w14:textId="77777777" w:rsidR="00762529" w:rsidRPr="00C246EC" w:rsidRDefault="00762529" w:rsidP="008B57BA">
            <w:pPr>
              <w:spacing w:before="100" w:beforeAutospacing="1" w:after="100" w:afterAutospacing="1" w:line="293" w:lineRule="atLeast"/>
              <w:jc w:val="center"/>
              <w:rPr>
                <w:sz w:val="20"/>
              </w:rPr>
            </w:pPr>
            <w:r w:rsidRPr="00C246EC">
              <w:rPr>
                <w:sz w:val="20"/>
              </w:rPr>
              <w:t>5</w:t>
            </w:r>
          </w:p>
        </w:tc>
        <w:tc>
          <w:tcPr>
            <w:tcW w:w="661" w:type="pct"/>
            <w:tcBorders>
              <w:top w:val="outset" w:sz="6" w:space="0" w:color="414142"/>
              <w:left w:val="outset" w:sz="6" w:space="0" w:color="414142"/>
              <w:bottom w:val="outset" w:sz="6" w:space="0" w:color="414142"/>
              <w:right w:val="outset" w:sz="6" w:space="0" w:color="414142"/>
            </w:tcBorders>
            <w:vAlign w:val="center"/>
            <w:hideMark/>
          </w:tcPr>
          <w:p w14:paraId="273A80AE" w14:textId="77777777" w:rsidR="00762529" w:rsidRPr="00C246EC" w:rsidRDefault="00762529" w:rsidP="008B57BA">
            <w:pPr>
              <w:spacing w:before="100" w:beforeAutospacing="1" w:after="100" w:afterAutospacing="1" w:line="293" w:lineRule="atLeast"/>
              <w:jc w:val="center"/>
              <w:rPr>
                <w:sz w:val="20"/>
              </w:rPr>
            </w:pPr>
            <w:r w:rsidRPr="00C246EC">
              <w:rPr>
                <w:sz w:val="20"/>
              </w:rPr>
              <w:t>6</w:t>
            </w:r>
          </w:p>
        </w:tc>
      </w:tr>
      <w:tr w:rsidR="00122073" w:rsidRPr="00C246EC" w14:paraId="670F8D89" w14:textId="77777777"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tcPr>
          <w:p w14:paraId="3765DBBB" w14:textId="77777777" w:rsidR="00122073" w:rsidRPr="00C246EC" w:rsidRDefault="00122073" w:rsidP="00122073">
            <w:pPr>
              <w:spacing w:before="100" w:beforeAutospacing="1" w:after="100" w:afterAutospacing="1" w:line="293" w:lineRule="atLeast"/>
              <w:rPr>
                <w:sz w:val="20"/>
              </w:rPr>
            </w:pPr>
            <w:r w:rsidRPr="00C246EC">
              <w:t>1. Budžeta ieņēmumi:</w:t>
            </w:r>
          </w:p>
        </w:tc>
        <w:tc>
          <w:tcPr>
            <w:tcW w:w="677" w:type="pct"/>
            <w:tcBorders>
              <w:top w:val="outset" w:sz="6" w:space="0" w:color="414142"/>
              <w:left w:val="outset" w:sz="6" w:space="0" w:color="414142"/>
              <w:bottom w:val="outset" w:sz="6" w:space="0" w:color="414142"/>
              <w:right w:val="outset" w:sz="6" w:space="0" w:color="414142"/>
            </w:tcBorders>
            <w:vAlign w:val="center"/>
          </w:tcPr>
          <w:p w14:paraId="59AB65C8" w14:textId="6FA2E727" w:rsidR="00122073" w:rsidRPr="00C246EC" w:rsidRDefault="00AB326B" w:rsidP="008B57BA">
            <w:pPr>
              <w:spacing w:before="100" w:beforeAutospacing="1" w:after="100" w:afterAutospacing="1" w:line="293" w:lineRule="atLeast"/>
              <w:jc w:val="center"/>
            </w:pPr>
            <w:r>
              <w:t xml:space="preserve">75 442 </w:t>
            </w:r>
            <w:r w:rsidRPr="00AB326B">
              <w:t>494</w:t>
            </w:r>
          </w:p>
        </w:tc>
        <w:tc>
          <w:tcPr>
            <w:tcW w:w="663" w:type="pct"/>
            <w:tcBorders>
              <w:top w:val="outset" w:sz="6" w:space="0" w:color="414142"/>
              <w:left w:val="outset" w:sz="6" w:space="0" w:color="414142"/>
              <w:bottom w:val="outset" w:sz="6" w:space="0" w:color="414142"/>
              <w:right w:val="outset" w:sz="6" w:space="0" w:color="414142"/>
            </w:tcBorders>
            <w:vAlign w:val="center"/>
          </w:tcPr>
          <w:p w14:paraId="1F6C831F" w14:textId="77777777" w:rsidR="00122073" w:rsidRPr="00C246EC" w:rsidRDefault="00122073" w:rsidP="008B57BA">
            <w:pPr>
              <w:spacing w:before="100" w:beforeAutospacing="1" w:after="100" w:afterAutospacing="1" w:line="293" w:lineRule="atLeast"/>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vAlign w:val="center"/>
          </w:tcPr>
          <w:p w14:paraId="20EF1175" w14:textId="58833ECC" w:rsidR="00122073" w:rsidRPr="00C246EC" w:rsidRDefault="00E20F53" w:rsidP="008B57BA">
            <w:pPr>
              <w:spacing w:before="100" w:beforeAutospacing="1" w:after="100" w:afterAutospacing="1" w:line="293" w:lineRule="atLeast"/>
              <w:jc w:val="center"/>
            </w:pPr>
            <w:r>
              <w:t>+</w:t>
            </w:r>
            <w:r w:rsidR="00395A99" w:rsidRPr="00C246EC">
              <w:t>4 200 000</w:t>
            </w:r>
          </w:p>
        </w:tc>
        <w:tc>
          <w:tcPr>
            <w:tcW w:w="663" w:type="pct"/>
            <w:tcBorders>
              <w:top w:val="outset" w:sz="6" w:space="0" w:color="414142"/>
              <w:left w:val="outset" w:sz="6" w:space="0" w:color="414142"/>
              <w:bottom w:val="outset" w:sz="6" w:space="0" w:color="414142"/>
              <w:right w:val="outset" w:sz="6" w:space="0" w:color="414142"/>
            </w:tcBorders>
            <w:vAlign w:val="center"/>
          </w:tcPr>
          <w:p w14:paraId="0E7D7D24" w14:textId="1A2B0ECB" w:rsidR="00122073" w:rsidRPr="00C246EC" w:rsidRDefault="00513168" w:rsidP="008B57BA">
            <w:pPr>
              <w:spacing w:before="100" w:beforeAutospacing="1" w:after="100" w:afterAutospacing="1" w:line="293" w:lineRule="atLeast"/>
              <w:jc w:val="center"/>
            </w:pPr>
            <w:r>
              <w:t>+</w:t>
            </w:r>
            <w:r w:rsidR="00395A99" w:rsidRPr="00C246EC">
              <w:t>4 200 000</w:t>
            </w:r>
          </w:p>
        </w:tc>
        <w:tc>
          <w:tcPr>
            <w:tcW w:w="661" w:type="pct"/>
            <w:tcBorders>
              <w:top w:val="outset" w:sz="6" w:space="0" w:color="414142"/>
              <w:left w:val="outset" w:sz="6" w:space="0" w:color="414142"/>
              <w:bottom w:val="outset" w:sz="6" w:space="0" w:color="414142"/>
              <w:right w:val="outset" w:sz="6" w:space="0" w:color="414142"/>
            </w:tcBorders>
            <w:vAlign w:val="center"/>
          </w:tcPr>
          <w:p w14:paraId="7F367410" w14:textId="356F13AC" w:rsidR="00122073" w:rsidRPr="00C246EC" w:rsidRDefault="00513168" w:rsidP="008B57BA">
            <w:pPr>
              <w:spacing w:before="100" w:beforeAutospacing="1" w:after="100" w:afterAutospacing="1" w:line="293" w:lineRule="atLeast"/>
              <w:jc w:val="center"/>
            </w:pPr>
            <w:r>
              <w:t>+</w:t>
            </w:r>
            <w:r w:rsidR="00395A99" w:rsidRPr="00C246EC">
              <w:t>4 200 000</w:t>
            </w:r>
          </w:p>
        </w:tc>
      </w:tr>
      <w:tr w:rsidR="00395A99" w:rsidRPr="00C246EC" w14:paraId="7DD7FB6D" w14:textId="77777777"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tcPr>
          <w:p w14:paraId="5AB5A732" w14:textId="77777777" w:rsidR="00395A99" w:rsidRPr="00C246EC" w:rsidRDefault="00395A99" w:rsidP="00395A99">
            <w:pPr>
              <w:spacing w:before="100" w:beforeAutospacing="1" w:after="100" w:afterAutospacing="1" w:line="293" w:lineRule="atLeast"/>
            </w:pPr>
            <w:r w:rsidRPr="00C246EC">
              <w:t xml:space="preserve">1.1. valsts pamatbudžets, tai skaitā ieņēmumi no maksas </w:t>
            </w:r>
            <w:r w:rsidRPr="00C246EC">
              <w:lastRenderedPageBreak/>
              <w:t>pakalpojumiem un citi pašu ieņēmumi</w:t>
            </w:r>
          </w:p>
        </w:tc>
        <w:tc>
          <w:tcPr>
            <w:tcW w:w="677" w:type="pct"/>
            <w:tcBorders>
              <w:top w:val="outset" w:sz="6" w:space="0" w:color="414142"/>
              <w:left w:val="outset" w:sz="6" w:space="0" w:color="414142"/>
              <w:bottom w:val="outset" w:sz="6" w:space="0" w:color="414142"/>
              <w:right w:val="outset" w:sz="6" w:space="0" w:color="414142"/>
            </w:tcBorders>
          </w:tcPr>
          <w:p w14:paraId="05DC0E9F" w14:textId="36F5916C" w:rsidR="00395A99" w:rsidRPr="00AB326B" w:rsidRDefault="00AB326B" w:rsidP="00395A99">
            <w:pPr>
              <w:jc w:val="center"/>
              <w:rPr>
                <w:highlight w:val="yellow"/>
              </w:rPr>
            </w:pPr>
            <w:r>
              <w:lastRenderedPageBreak/>
              <w:t xml:space="preserve">6 270 </w:t>
            </w:r>
            <w:r w:rsidRPr="00AB326B">
              <w:t>620</w:t>
            </w:r>
          </w:p>
        </w:tc>
        <w:tc>
          <w:tcPr>
            <w:tcW w:w="663" w:type="pct"/>
            <w:tcBorders>
              <w:top w:val="outset" w:sz="6" w:space="0" w:color="414142"/>
              <w:left w:val="outset" w:sz="6" w:space="0" w:color="414142"/>
              <w:bottom w:val="outset" w:sz="6" w:space="0" w:color="414142"/>
              <w:right w:val="outset" w:sz="6" w:space="0" w:color="414142"/>
            </w:tcBorders>
          </w:tcPr>
          <w:p w14:paraId="66299AFD" w14:textId="77777777"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14:paraId="652BC2B6" w14:textId="77777777" w:rsidR="00395A99" w:rsidRPr="00C246EC" w:rsidRDefault="00395A99" w:rsidP="00395A99">
            <w:pPr>
              <w:jc w:val="center"/>
            </w:pPr>
            <w:r w:rsidRPr="00C246EC">
              <w:t>-900 000</w:t>
            </w:r>
          </w:p>
        </w:tc>
        <w:tc>
          <w:tcPr>
            <w:tcW w:w="663" w:type="pct"/>
            <w:tcBorders>
              <w:top w:val="outset" w:sz="6" w:space="0" w:color="414142"/>
              <w:left w:val="outset" w:sz="6" w:space="0" w:color="414142"/>
              <w:bottom w:val="outset" w:sz="6" w:space="0" w:color="414142"/>
              <w:right w:val="outset" w:sz="6" w:space="0" w:color="414142"/>
            </w:tcBorders>
          </w:tcPr>
          <w:p w14:paraId="5AD9A20C" w14:textId="77777777" w:rsidR="00395A99" w:rsidRPr="00C246EC" w:rsidRDefault="00395A99" w:rsidP="00395A99">
            <w:pPr>
              <w:jc w:val="center"/>
            </w:pPr>
            <w:r w:rsidRPr="00C246EC">
              <w:t>-900 000</w:t>
            </w:r>
          </w:p>
        </w:tc>
        <w:tc>
          <w:tcPr>
            <w:tcW w:w="661" w:type="pct"/>
            <w:tcBorders>
              <w:top w:val="outset" w:sz="6" w:space="0" w:color="414142"/>
              <w:left w:val="outset" w:sz="6" w:space="0" w:color="414142"/>
              <w:bottom w:val="outset" w:sz="6" w:space="0" w:color="414142"/>
              <w:right w:val="outset" w:sz="6" w:space="0" w:color="414142"/>
            </w:tcBorders>
          </w:tcPr>
          <w:p w14:paraId="6A2A8FB5" w14:textId="77777777" w:rsidR="00395A99" w:rsidRPr="00C246EC" w:rsidRDefault="00395A99" w:rsidP="00395A99">
            <w:pPr>
              <w:jc w:val="center"/>
            </w:pPr>
            <w:r w:rsidRPr="00C246EC">
              <w:t>-900 000</w:t>
            </w:r>
          </w:p>
        </w:tc>
      </w:tr>
      <w:tr w:rsidR="00395A99" w:rsidRPr="00C246EC" w14:paraId="00C93CA7" w14:textId="77777777"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tcPr>
          <w:p w14:paraId="61D57B48" w14:textId="77777777" w:rsidR="00395A99" w:rsidRPr="00C246EC" w:rsidRDefault="00395A99" w:rsidP="00395A99">
            <w:pPr>
              <w:spacing w:before="100" w:beforeAutospacing="1" w:after="100" w:afterAutospacing="1" w:line="293" w:lineRule="atLeast"/>
            </w:pPr>
            <w:r w:rsidRPr="00C246EC">
              <w:t>1.2. valsts speciālais budžets</w:t>
            </w:r>
          </w:p>
        </w:tc>
        <w:tc>
          <w:tcPr>
            <w:tcW w:w="677" w:type="pct"/>
            <w:tcBorders>
              <w:top w:val="outset" w:sz="6" w:space="0" w:color="414142"/>
              <w:left w:val="outset" w:sz="6" w:space="0" w:color="414142"/>
              <w:bottom w:val="outset" w:sz="6" w:space="0" w:color="414142"/>
              <w:right w:val="outset" w:sz="6" w:space="0" w:color="414142"/>
            </w:tcBorders>
          </w:tcPr>
          <w:p w14:paraId="55E76E91" w14:textId="4DCD7C41" w:rsidR="00395A99" w:rsidRPr="00AB326B" w:rsidRDefault="00AB326B" w:rsidP="00395A99">
            <w:pPr>
              <w:jc w:val="center"/>
              <w:rPr>
                <w:highlight w:val="yellow"/>
              </w:rPr>
            </w:pPr>
            <w:r>
              <w:t xml:space="preserve">50 160 </w:t>
            </w:r>
            <w:r w:rsidRPr="00AB326B">
              <w:t>031</w:t>
            </w:r>
          </w:p>
        </w:tc>
        <w:tc>
          <w:tcPr>
            <w:tcW w:w="663" w:type="pct"/>
            <w:tcBorders>
              <w:top w:val="outset" w:sz="6" w:space="0" w:color="414142"/>
              <w:left w:val="outset" w:sz="6" w:space="0" w:color="414142"/>
              <w:bottom w:val="outset" w:sz="6" w:space="0" w:color="414142"/>
              <w:right w:val="outset" w:sz="6" w:space="0" w:color="414142"/>
            </w:tcBorders>
          </w:tcPr>
          <w:p w14:paraId="2A89A2B8" w14:textId="77777777"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14:paraId="7D3431D9" w14:textId="3D1F49C1" w:rsidR="00395A99" w:rsidRPr="00C246EC" w:rsidRDefault="00513168" w:rsidP="00395A99">
            <w:pPr>
              <w:jc w:val="center"/>
            </w:pPr>
            <w:r>
              <w:t>+</w:t>
            </w:r>
            <w:r w:rsidR="00395A99" w:rsidRPr="00C246EC">
              <w:t>7 200 000</w:t>
            </w:r>
          </w:p>
        </w:tc>
        <w:tc>
          <w:tcPr>
            <w:tcW w:w="663" w:type="pct"/>
            <w:tcBorders>
              <w:top w:val="outset" w:sz="6" w:space="0" w:color="414142"/>
              <w:left w:val="outset" w:sz="6" w:space="0" w:color="414142"/>
              <w:bottom w:val="outset" w:sz="6" w:space="0" w:color="414142"/>
              <w:right w:val="outset" w:sz="6" w:space="0" w:color="414142"/>
            </w:tcBorders>
          </w:tcPr>
          <w:p w14:paraId="56695D33" w14:textId="4FAD3323" w:rsidR="00395A99" w:rsidRPr="00C246EC" w:rsidRDefault="00513168" w:rsidP="00395A99">
            <w:pPr>
              <w:jc w:val="center"/>
            </w:pPr>
            <w:r>
              <w:t>+</w:t>
            </w:r>
            <w:r w:rsidR="00395A99" w:rsidRPr="00C246EC">
              <w:t>7 200 000</w:t>
            </w:r>
          </w:p>
        </w:tc>
        <w:tc>
          <w:tcPr>
            <w:tcW w:w="661" w:type="pct"/>
            <w:tcBorders>
              <w:top w:val="outset" w:sz="6" w:space="0" w:color="414142"/>
              <w:left w:val="outset" w:sz="6" w:space="0" w:color="414142"/>
              <w:bottom w:val="outset" w:sz="6" w:space="0" w:color="414142"/>
              <w:right w:val="outset" w:sz="6" w:space="0" w:color="414142"/>
            </w:tcBorders>
          </w:tcPr>
          <w:p w14:paraId="232941AD" w14:textId="048AFED2" w:rsidR="00395A99" w:rsidRPr="00C246EC" w:rsidRDefault="00513168" w:rsidP="00395A99">
            <w:pPr>
              <w:jc w:val="center"/>
            </w:pPr>
            <w:r>
              <w:t>+</w:t>
            </w:r>
            <w:r w:rsidR="00395A99" w:rsidRPr="00C246EC">
              <w:t>7 200 000</w:t>
            </w:r>
          </w:p>
        </w:tc>
      </w:tr>
      <w:tr w:rsidR="00395A99" w:rsidRPr="00C246EC" w14:paraId="4B727570" w14:textId="77777777"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tcPr>
          <w:p w14:paraId="43288BFD" w14:textId="77777777" w:rsidR="00395A99" w:rsidRPr="00C246EC" w:rsidRDefault="00395A99" w:rsidP="00395A99">
            <w:pPr>
              <w:spacing w:before="100" w:beforeAutospacing="1" w:after="100" w:afterAutospacing="1" w:line="293" w:lineRule="atLeast"/>
            </w:pPr>
            <w:r w:rsidRPr="00C246EC">
              <w:t>1.3. pašvaldību budžets</w:t>
            </w:r>
          </w:p>
        </w:tc>
        <w:tc>
          <w:tcPr>
            <w:tcW w:w="677" w:type="pct"/>
            <w:tcBorders>
              <w:top w:val="outset" w:sz="6" w:space="0" w:color="414142"/>
              <w:left w:val="outset" w:sz="6" w:space="0" w:color="414142"/>
              <w:bottom w:val="outset" w:sz="6" w:space="0" w:color="414142"/>
              <w:right w:val="outset" w:sz="6" w:space="0" w:color="414142"/>
            </w:tcBorders>
          </w:tcPr>
          <w:p w14:paraId="058F4108" w14:textId="7D2DCE3A" w:rsidR="00395A99" w:rsidRPr="00AB326B" w:rsidRDefault="00AB326B" w:rsidP="00395A99">
            <w:pPr>
              <w:jc w:val="center"/>
              <w:rPr>
                <w:highlight w:val="yellow"/>
              </w:rPr>
            </w:pPr>
            <w:r>
              <w:t xml:space="preserve">19 011 </w:t>
            </w:r>
            <w:r w:rsidRPr="00AB326B">
              <w:t>843</w:t>
            </w:r>
          </w:p>
        </w:tc>
        <w:tc>
          <w:tcPr>
            <w:tcW w:w="663" w:type="pct"/>
            <w:tcBorders>
              <w:top w:val="outset" w:sz="6" w:space="0" w:color="414142"/>
              <w:left w:val="outset" w:sz="6" w:space="0" w:color="414142"/>
              <w:bottom w:val="outset" w:sz="6" w:space="0" w:color="414142"/>
              <w:right w:val="outset" w:sz="6" w:space="0" w:color="414142"/>
            </w:tcBorders>
          </w:tcPr>
          <w:p w14:paraId="63BE7FDC" w14:textId="77777777"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14:paraId="1E3BFE5B" w14:textId="77777777" w:rsidR="00395A99" w:rsidRPr="00C246EC" w:rsidRDefault="00395A99" w:rsidP="00395A99">
            <w:pPr>
              <w:jc w:val="center"/>
            </w:pPr>
            <w:r w:rsidRPr="00C246EC">
              <w:t>-2 100 000</w:t>
            </w:r>
          </w:p>
        </w:tc>
        <w:tc>
          <w:tcPr>
            <w:tcW w:w="663" w:type="pct"/>
            <w:tcBorders>
              <w:top w:val="outset" w:sz="6" w:space="0" w:color="414142"/>
              <w:left w:val="outset" w:sz="6" w:space="0" w:color="414142"/>
              <w:bottom w:val="outset" w:sz="6" w:space="0" w:color="414142"/>
              <w:right w:val="outset" w:sz="6" w:space="0" w:color="414142"/>
            </w:tcBorders>
          </w:tcPr>
          <w:p w14:paraId="7E999DF4" w14:textId="77777777" w:rsidR="00395A99" w:rsidRPr="00C246EC" w:rsidRDefault="00395A99" w:rsidP="00395A99">
            <w:pPr>
              <w:jc w:val="center"/>
            </w:pPr>
            <w:r w:rsidRPr="00C246EC">
              <w:t>-2 100 000</w:t>
            </w:r>
          </w:p>
        </w:tc>
        <w:tc>
          <w:tcPr>
            <w:tcW w:w="661" w:type="pct"/>
            <w:tcBorders>
              <w:top w:val="outset" w:sz="6" w:space="0" w:color="414142"/>
              <w:left w:val="outset" w:sz="6" w:space="0" w:color="414142"/>
              <w:bottom w:val="outset" w:sz="6" w:space="0" w:color="414142"/>
              <w:right w:val="outset" w:sz="6" w:space="0" w:color="414142"/>
            </w:tcBorders>
          </w:tcPr>
          <w:p w14:paraId="664DA2FB" w14:textId="77777777" w:rsidR="00395A99" w:rsidRPr="00C246EC" w:rsidRDefault="00395A99" w:rsidP="00395A99">
            <w:pPr>
              <w:jc w:val="center"/>
            </w:pPr>
            <w:r w:rsidRPr="00C246EC">
              <w:t>-2 100 000</w:t>
            </w:r>
          </w:p>
        </w:tc>
      </w:tr>
      <w:tr w:rsidR="00395A99" w:rsidRPr="00C246EC" w14:paraId="1F3CC6B8" w14:textId="77777777"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tcPr>
          <w:p w14:paraId="01102601" w14:textId="77777777" w:rsidR="00395A99" w:rsidRPr="00C246EC" w:rsidRDefault="00395A99" w:rsidP="00395A99">
            <w:pPr>
              <w:spacing w:before="100" w:beforeAutospacing="1" w:after="100" w:afterAutospacing="1" w:line="293" w:lineRule="atLeast"/>
            </w:pPr>
            <w:r w:rsidRPr="00C246EC">
              <w:t>2. Budžeta izdevumi:</w:t>
            </w:r>
          </w:p>
        </w:tc>
        <w:tc>
          <w:tcPr>
            <w:tcW w:w="677" w:type="pct"/>
            <w:tcBorders>
              <w:top w:val="outset" w:sz="6" w:space="0" w:color="414142"/>
              <w:left w:val="outset" w:sz="6" w:space="0" w:color="414142"/>
              <w:bottom w:val="outset" w:sz="6" w:space="0" w:color="414142"/>
              <w:right w:val="outset" w:sz="6" w:space="0" w:color="414142"/>
            </w:tcBorders>
          </w:tcPr>
          <w:p w14:paraId="638E9F72" w14:textId="77777777"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14:paraId="7187C343" w14:textId="77777777"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14:paraId="005AC765" w14:textId="77777777"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14:paraId="35A03074" w14:textId="77777777" w:rsidR="00395A99" w:rsidRPr="00C246EC" w:rsidRDefault="00395A99" w:rsidP="00395A99">
            <w:pPr>
              <w:jc w:val="center"/>
            </w:pPr>
            <w:r w:rsidRPr="00C246EC">
              <w:t>0</w:t>
            </w:r>
          </w:p>
        </w:tc>
        <w:tc>
          <w:tcPr>
            <w:tcW w:w="661" w:type="pct"/>
            <w:tcBorders>
              <w:top w:val="outset" w:sz="6" w:space="0" w:color="414142"/>
              <w:left w:val="outset" w:sz="6" w:space="0" w:color="414142"/>
              <w:bottom w:val="outset" w:sz="6" w:space="0" w:color="414142"/>
              <w:right w:val="outset" w:sz="6" w:space="0" w:color="414142"/>
            </w:tcBorders>
          </w:tcPr>
          <w:p w14:paraId="5D6FA5E9" w14:textId="77777777" w:rsidR="00395A99" w:rsidRPr="00C246EC" w:rsidRDefault="00395A99" w:rsidP="00395A99">
            <w:pPr>
              <w:jc w:val="center"/>
            </w:pPr>
            <w:r w:rsidRPr="00C246EC">
              <w:t>0</w:t>
            </w:r>
          </w:p>
        </w:tc>
      </w:tr>
      <w:tr w:rsidR="00395A99" w:rsidRPr="00C246EC" w14:paraId="36A28843" w14:textId="77777777"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tcPr>
          <w:p w14:paraId="79A049F8" w14:textId="77777777" w:rsidR="00395A99" w:rsidRPr="00C246EC" w:rsidRDefault="00395A99" w:rsidP="00395A99">
            <w:pPr>
              <w:spacing w:before="100" w:beforeAutospacing="1" w:after="100" w:afterAutospacing="1" w:line="293" w:lineRule="atLeast"/>
            </w:pPr>
            <w:r w:rsidRPr="00C246EC">
              <w:t>2.1. valsts pamatbudžets</w:t>
            </w:r>
          </w:p>
        </w:tc>
        <w:tc>
          <w:tcPr>
            <w:tcW w:w="677" w:type="pct"/>
            <w:tcBorders>
              <w:top w:val="outset" w:sz="6" w:space="0" w:color="414142"/>
              <w:left w:val="outset" w:sz="6" w:space="0" w:color="414142"/>
              <w:bottom w:val="outset" w:sz="6" w:space="0" w:color="414142"/>
              <w:right w:val="outset" w:sz="6" w:space="0" w:color="414142"/>
            </w:tcBorders>
          </w:tcPr>
          <w:p w14:paraId="1542BA17" w14:textId="77777777"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14:paraId="3BE9B5BC" w14:textId="77777777"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14:paraId="0FEDBBAD" w14:textId="77777777"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14:paraId="2E458F2D" w14:textId="77777777" w:rsidR="00395A99" w:rsidRPr="00C246EC" w:rsidRDefault="00395A99" w:rsidP="00395A99">
            <w:pPr>
              <w:jc w:val="center"/>
            </w:pPr>
            <w:r w:rsidRPr="00C246EC">
              <w:t>0</w:t>
            </w:r>
          </w:p>
        </w:tc>
        <w:tc>
          <w:tcPr>
            <w:tcW w:w="661" w:type="pct"/>
            <w:tcBorders>
              <w:top w:val="outset" w:sz="6" w:space="0" w:color="414142"/>
              <w:left w:val="outset" w:sz="6" w:space="0" w:color="414142"/>
              <w:bottom w:val="outset" w:sz="6" w:space="0" w:color="414142"/>
              <w:right w:val="outset" w:sz="6" w:space="0" w:color="414142"/>
            </w:tcBorders>
          </w:tcPr>
          <w:p w14:paraId="3D927515" w14:textId="77777777" w:rsidR="00395A99" w:rsidRPr="00C246EC" w:rsidRDefault="00395A99" w:rsidP="00395A99">
            <w:pPr>
              <w:jc w:val="center"/>
            </w:pPr>
            <w:r w:rsidRPr="00C246EC">
              <w:t>0</w:t>
            </w:r>
          </w:p>
        </w:tc>
      </w:tr>
      <w:tr w:rsidR="00395A99" w:rsidRPr="00C246EC" w14:paraId="6D47FF53" w14:textId="77777777"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tcPr>
          <w:p w14:paraId="14523FD2" w14:textId="77777777" w:rsidR="00395A99" w:rsidRPr="00C246EC" w:rsidRDefault="00395A99" w:rsidP="00395A99">
            <w:pPr>
              <w:spacing w:before="100" w:beforeAutospacing="1" w:after="100" w:afterAutospacing="1" w:line="293" w:lineRule="atLeast"/>
            </w:pPr>
            <w:r w:rsidRPr="00C246EC">
              <w:t>2.2. valsts speciālais budžets</w:t>
            </w:r>
          </w:p>
        </w:tc>
        <w:tc>
          <w:tcPr>
            <w:tcW w:w="677" w:type="pct"/>
            <w:tcBorders>
              <w:top w:val="outset" w:sz="6" w:space="0" w:color="414142"/>
              <w:left w:val="outset" w:sz="6" w:space="0" w:color="414142"/>
              <w:bottom w:val="outset" w:sz="6" w:space="0" w:color="414142"/>
              <w:right w:val="outset" w:sz="6" w:space="0" w:color="414142"/>
            </w:tcBorders>
          </w:tcPr>
          <w:p w14:paraId="326707B9" w14:textId="77777777"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14:paraId="35A01308" w14:textId="77777777"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14:paraId="5906F70A" w14:textId="77777777"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14:paraId="7B40325D" w14:textId="77777777" w:rsidR="00395A99" w:rsidRPr="00C246EC" w:rsidRDefault="00395A99" w:rsidP="00395A99">
            <w:pPr>
              <w:jc w:val="center"/>
            </w:pPr>
            <w:r w:rsidRPr="00C246EC">
              <w:t>0</w:t>
            </w:r>
          </w:p>
        </w:tc>
        <w:tc>
          <w:tcPr>
            <w:tcW w:w="661" w:type="pct"/>
            <w:tcBorders>
              <w:top w:val="outset" w:sz="6" w:space="0" w:color="414142"/>
              <w:left w:val="outset" w:sz="6" w:space="0" w:color="414142"/>
              <w:bottom w:val="outset" w:sz="6" w:space="0" w:color="414142"/>
              <w:right w:val="outset" w:sz="6" w:space="0" w:color="414142"/>
            </w:tcBorders>
          </w:tcPr>
          <w:p w14:paraId="68D92407" w14:textId="77777777" w:rsidR="00395A99" w:rsidRPr="00C246EC" w:rsidRDefault="00395A99" w:rsidP="00395A99">
            <w:pPr>
              <w:jc w:val="center"/>
            </w:pPr>
            <w:r w:rsidRPr="00C246EC">
              <w:t>0</w:t>
            </w:r>
          </w:p>
        </w:tc>
      </w:tr>
      <w:tr w:rsidR="00395A99" w:rsidRPr="00C246EC" w14:paraId="4E13B1F1" w14:textId="77777777"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tcPr>
          <w:p w14:paraId="7E1B0ABC" w14:textId="77777777" w:rsidR="00395A99" w:rsidRPr="00C246EC" w:rsidRDefault="00395A99" w:rsidP="00395A99">
            <w:pPr>
              <w:spacing w:before="100" w:beforeAutospacing="1" w:after="100" w:afterAutospacing="1" w:line="293" w:lineRule="atLeast"/>
            </w:pPr>
            <w:r w:rsidRPr="00C246EC">
              <w:t>2.3. pašvaldību budžets</w:t>
            </w:r>
          </w:p>
        </w:tc>
        <w:tc>
          <w:tcPr>
            <w:tcW w:w="677" w:type="pct"/>
            <w:tcBorders>
              <w:top w:val="outset" w:sz="6" w:space="0" w:color="414142"/>
              <w:left w:val="outset" w:sz="6" w:space="0" w:color="414142"/>
              <w:bottom w:val="outset" w:sz="6" w:space="0" w:color="414142"/>
              <w:right w:val="outset" w:sz="6" w:space="0" w:color="414142"/>
            </w:tcBorders>
          </w:tcPr>
          <w:p w14:paraId="6E77CA9A" w14:textId="77777777"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14:paraId="04A45CFA" w14:textId="77777777"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14:paraId="308F8D02" w14:textId="77777777"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14:paraId="0E214352" w14:textId="77777777" w:rsidR="00395A99" w:rsidRPr="00C246EC" w:rsidRDefault="00395A99" w:rsidP="00395A99">
            <w:pPr>
              <w:jc w:val="center"/>
            </w:pPr>
            <w:r w:rsidRPr="00C246EC">
              <w:t>0</w:t>
            </w:r>
          </w:p>
        </w:tc>
        <w:tc>
          <w:tcPr>
            <w:tcW w:w="661" w:type="pct"/>
            <w:tcBorders>
              <w:top w:val="outset" w:sz="6" w:space="0" w:color="414142"/>
              <w:left w:val="outset" w:sz="6" w:space="0" w:color="414142"/>
              <w:bottom w:val="outset" w:sz="6" w:space="0" w:color="414142"/>
              <w:right w:val="outset" w:sz="6" w:space="0" w:color="414142"/>
            </w:tcBorders>
          </w:tcPr>
          <w:p w14:paraId="2D20601B" w14:textId="77777777" w:rsidR="00395A99" w:rsidRPr="00C246EC" w:rsidRDefault="00395A99" w:rsidP="00395A99">
            <w:pPr>
              <w:jc w:val="center"/>
            </w:pPr>
            <w:r w:rsidRPr="00C246EC">
              <w:t>0</w:t>
            </w:r>
          </w:p>
        </w:tc>
      </w:tr>
      <w:tr w:rsidR="00395A99" w:rsidRPr="00C246EC" w14:paraId="2772F740" w14:textId="77777777"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tcPr>
          <w:p w14:paraId="649E44FD" w14:textId="77777777" w:rsidR="00395A99" w:rsidRPr="00C246EC" w:rsidRDefault="00395A99" w:rsidP="00395A99">
            <w:pPr>
              <w:spacing w:before="100" w:beforeAutospacing="1" w:after="100" w:afterAutospacing="1" w:line="293" w:lineRule="atLeast"/>
            </w:pPr>
            <w:r w:rsidRPr="00C246EC">
              <w:t>3. Finansiālā ietekme:</w:t>
            </w:r>
          </w:p>
        </w:tc>
        <w:tc>
          <w:tcPr>
            <w:tcW w:w="677" w:type="pct"/>
            <w:tcBorders>
              <w:top w:val="outset" w:sz="6" w:space="0" w:color="414142"/>
              <w:left w:val="outset" w:sz="6" w:space="0" w:color="414142"/>
              <w:bottom w:val="outset" w:sz="6" w:space="0" w:color="414142"/>
              <w:right w:val="outset" w:sz="6" w:space="0" w:color="414142"/>
            </w:tcBorders>
          </w:tcPr>
          <w:p w14:paraId="26C980F8" w14:textId="77777777"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14:paraId="1B656284" w14:textId="77777777"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14:paraId="1B81332E" w14:textId="77777777"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14:paraId="46951B4A" w14:textId="77777777" w:rsidR="00395A99" w:rsidRPr="00C246EC" w:rsidRDefault="00395A99" w:rsidP="00395A99">
            <w:pPr>
              <w:jc w:val="center"/>
            </w:pPr>
            <w:r w:rsidRPr="00C246EC">
              <w:t>0</w:t>
            </w:r>
          </w:p>
        </w:tc>
        <w:tc>
          <w:tcPr>
            <w:tcW w:w="661" w:type="pct"/>
            <w:tcBorders>
              <w:top w:val="outset" w:sz="6" w:space="0" w:color="414142"/>
              <w:left w:val="outset" w:sz="6" w:space="0" w:color="414142"/>
              <w:bottom w:val="outset" w:sz="6" w:space="0" w:color="414142"/>
              <w:right w:val="outset" w:sz="6" w:space="0" w:color="414142"/>
            </w:tcBorders>
          </w:tcPr>
          <w:p w14:paraId="6144CCD5" w14:textId="77777777" w:rsidR="00395A99" w:rsidRPr="00C246EC" w:rsidRDefault="00395A99" w:rsidP="00395A99">
            <w:pPr>
              <w:jc w:val="center"/>
            </w:pPr>
            <w:r w:rsidRPr="00C246EC">
              <w:t>0</w:t>
            </w:r>
          </w:p>
        </w:tc>
      </w:tr>
      <w:tr w:rsidR="00395A99" w:rsidRPr="00C246EC" w14:paraId="4A79756A" w14:textId="77777777"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tcPr>
          <w:p w14:paraId="00840CFF" w14:textId="77777777" w:rsidR="00395A99" w:rsidRPr="00C246EC" w:rsidRDefault="00395A99" w:rsidP="00395A99">
            <w:pPr>
              <w:spacing w:before="100" w:beforeAutospacing="1" w:after="100" w:afterAutospacing="1" w:line="293" w:lineRule="atLeast"/>
            </w:pPr>
            <w:r w:rsidRPr="00C246EC">
              <w:t>3.1. valsts pamatbudžets</w:t>
            </w:r>
          </w:p>
        </w:tc>
        <w:tc>
          <w:tcPr>
            <w:tcW w:w="677" w:type="pct"/>
            <w:tcBorders>
              <w:top w:val="outset" w:sz="6" w:space="0" w:color="414142"/>
              <w:left w:val="outset" w:sz="6" w:space="0" w:color="414142"/>
              <w:bottom w:val="outset" w:sz="6" w:space="0" w:color="414142"/>
              <w:right w:val="outset" w:sz="6" w:space="0" w:color="414142"/>
            </w:tcBorders>
          </w:tcPr>
          <w:p w14:paraId="64F355B2" w14:textId="77777777"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14:paraId="662B7D4E" w14:textId="77777777"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14:paraId="2D73175E" w14:textId="77777777"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14:paraId="3354388E" w14:textId="77777777" w:rsidR="00395A99" w:rsidRPr="00C246EC" w:rsidRDefault="00395A99" w:rsidP="00395A99">
            <w:pPr>
              <w:jc w:val="center"/>
            </w:pPr>
            <w:r w:rsidRPr="00C246EC">
              <w:t>0</w:t>
            </w:r>
          </w:p>
        </w:tc>
        <w:tc>
          <w:tcPr>
            <w:tcW w:w="661" w:type="pct"/>
            <w:tcBorders>
              <w:top w:val="outset" w:sz="6" w:space="0" w:color="414142"/>
              <w:left w:val="outset" w:sz="6" w:space="0" w:color="414142"/>
              <w:bottom w:val="outset" w:sz="6" w:space="0" w:color="414142"/>
              <w:right w:val="outset" w:sz="6" w:space="0" w:color="414142"/>
            </w:tcBorders>
          </w:tcPr>
          <w:p w14:paraId="410A7D65" w14:textId="77777777" w:rsidR="00395A99" w:rsidRPr="00C246EC" w:rsidRDefault="00395A99" w:rsidP="00395A99">
            <w:pPr>
              <w:jc w:val="center"/>
            </w:pPr>
            <w:r w:rsidRPr="00C246EC">
              <w:t>0</w:t>
            </w:r>
          </w:p>
        </w:tc>
      </w:tr>
      <w:tr w:rsidR="00395A99" w:rsidRPr="00C246EC" w14:paraId="0F7EF719" w14:textId="77777777"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tcPr>
          <w:p w14:paraId="309A48AA" w14:textId="77777777" w:rsidR="00395A99" w:rsidRPr="00C246EC" w:rsidRDefault="00395A99" w:rsidP="00395A99">
            <w:pPr>
              <w:spacing w:before="100" w:beforeAutospacing="1" w:after="100" w:afterAutospacing="1" w:line="293" w:lineRule="atLeast"/>
            </w:pPr>
            <w:r w:rsidRPr="00C246EC">
              <w:t>3.2. speciālais budžets</w:t>
            </w:r>
          </w:p>
        </w:tc>
        <w:tc>
          <w:tcPr>
            <w:tcW w:w="677" w:type="pct"/>
            <w:tcBorders>
              <w:top w:val="outset" w:sz="6" w:space="0" w:color="414142"/>
              <w:left w:val="outset" w:sz="6" w:space="0" w:color="414142"/>
              <w:bottom w:val="outset" w:sz="6" w:space="0" w:color="414142"/>
              <w:right w:val="outset" w:sz="6" w:space="0" w:color="414142"/>
            </w:tcBorders>
          </w:tcPr>
          <w:p w14:paraId="29E25D7A" w14:textId="77777777"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14:paraId="6C28E23E" w14:textId="77777777"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14:paraId="777C44F4" w14:textId="77777777"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14:paraId="756E3C26" w14:textId="77777777" w:rsidR="00395A99" w:rsidRPr="00C246EC" w:rsidRDefault="00395A99" w:rsidP="00395A99">
            <w:pPr>
              <w:jc w:val="center"/>
            </w:pPr>
            <w:r w:rsidRPr="00C246EC">
              <w:t>0</w:t>
            </w:r>
          </w:p>
        </w:tc>
        <w:tc>
          <w:tcPr>
            <w:tcW w:w="661" w:type="pct"/>
            <w:tcBorders>
              <w:top w:val="outset" w:sz="6" w:space="0" w:color="414142"/>
              <w:left w:val="outset" w:sz="6" w:space="0" w:color="414142"/>
              <w:bottom w:val="outset" w:sz="6" w:space="0" w:color="414142"/>
              <w:right w:val="outset" w:sz="6" w:space="0" w:color="414142"/>
            </w:tcBorders>
          </w:tcPr>
          <w:p w14:paraId="21067338" w14:textId="77777777" w:rsidR="00395A99" w:rsidRPr="00C246EC" w:rsidRDefault="00395A99" w:rsidP="00395A99">
            <w:pPr>
              <w:jc w:val="center"/>
            </w:pPr>
            <w:r w:rsidRPr="00C246EC">
              <w:t>0</w:t>
            </w:r>
          </w:p>
        </w:tc>
      </w:tr>
      <w:tr w:rsidR="00395A99" w:rsidRPr="00C246EC" w14:paraId="3F38879C" w14:textId="77777777"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tcPr>
          <w:p w14:paraId="14DA4610" w14:textId="77777777" w:rsidR="00395A99" w:rsidRPr="00C246EC" w:rsidRDefault="00395A99" w:rsidP="00395A99">
            <w:pPr>
              <w:spacing w:before="100" w:beforeAutospacing="1" w:after="100" w:afterAutospacing="1" w:line="293" w:lineRule="atLeast"/>
            </w:pPr>
            <w:r w:rsidRPr="00C246EC">
              <w:t>3.3. pašvaldību budžets</w:t>
            </w:r>
          </w:p>
        </w:tc>
        <w:tc>
          <w:tcPr>
            <w:tcW w:w="677" w:type="pct"/>
            <w:tcBorders>
              <w:top w:val="outset" w:sz="6" w:space="0" w:color="414142"/>
              <w:left w:val="outset" w:sz="6" w:space="0" w:color="414142"/>
              <w:bottom w:val="outset" w:sz="6" w:space="0" w:color="414142"/>
              <w:right w:val="outset" w:sz="6" w:space="0" w:color="414142"/>
            </w:tcBorders>
          </w:tcPr>
          <w:p w14:paraId="14BE8E56" w14:textId="77777777"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14:paraId="6D672765" w14:textId="77777777"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14:paraId="295F49B3" w14:textId="77777777"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14:paraId="479B232E" w14:textId="77777777" w:rsidR="00395A99" w:rsidRPr="00C246EC" w:rsidRDefault="00395A99" w:rsidP="00395A99">
            <w:pPr>
              <w:jc w:val="center"/>
            </w:pPr>
            <w:r w:rsidRPr="00C246EC">
              <w:t>0</w:t>
            </w:r>
          </w:p>
        </w:tc>
        <w:tc>
          <w:tcPr>
            <w:tcW w:w="661" w:type="pct"/>
            <w:tcBorders>
              <w:top w:val="outset" w:sz="6" w:space="0" w:color="414142"/>
              <w:left w:val="outset" w:sz="6" w:space="0" w:color="414142"/>
              <w:bottom w:val="outset" w:sz="6" w:space="0" w:color="414142"/>
              <w:right w:val="outset" w:sz="6" w:space="0" w:color="414142"/>
            </w:tcBorders>
          </w:tcPr>
          <w:p w14:paraId="25A17CAC" w14:textId="77777777" w:rsidR="00395A99" w:rsidRPr="00C246EC" w:rsidRDefault="00395A99" w:rsidP="00395A99">
            <w:pPr>
              <w:jc w:val="center"/>
            </w:pPr>
            <w:r w:rsidRPr="00C246EC">
              <w:t>0</w:t>
            </w:r>
          </w:p>
        </w:tc>
      </w:tr>
      <w:tr w:rsidR="00395A99" w:rsidRPr="00C246EC" w14:paraId="4776825B" w14:textId="77777777" w:rsidTr="00F04D32">
        <w:trPr>
          <w:trHeight w:val="276"/>
          <w:jc w:val="center"/>
        </w:trPr>
        <w:tc>
          <w:tcPr>
            <w:tcW w:w="1673" w:type="pct"/>
            <w:vMerge w:val="restart"/>
            <w:tcBorders>
              <w:top w:val="outset" w:sz="6" w:space="0" w:color="414142"/>
              <w:left w:val="outset" w:sz="6" w:space="0" w:color="414142"/>
              <w:right w:val="outset" w:sz="6" w:space="0" w:color="414142"/>
            </w:tcBorders>
            <w:vAlign w:val="center"/>
          </w:tcPr>
          <w:p w14:paraId="76B73D31" w14:textId="77777777" w:rsidR="00395A99" w:rsidRPr="00C246EC" w:rsidRDefault="00395A99" w:rsidP="00395A99">
            <w:pPr>
              <w:spacing w:before="100" w:beforeAutospacing="1" w:after="100" w:afterAutospacing="1" w:line="293" w:lineRule="atLeast"/>
            </w:pPr>
            <w:r w:rsidRPr="00C246EC">
              <w:t>4. Finanšu līdzekļi papildu izdevumu finansēšanai (kompensējošu izdevumu samazinājumu norāda ar "+" zīmi)</w:t>
            </w:r>
          </w:p>
        </w:tc>
        <w:tc>
          <w:tcPr>
            <w:tcW w:w="677" w:type="pct"/>
            <w:vMerge w:val="restart"/>
            <w:tcBorders>
              <w:top w:val="outset" w:sz="6" w:space="0" w:color="414142"/>
              <w:left w:val="outset" w:sz="6" w:space="0" w:color="414142"/>
              <w:right w:val="outset" w:sz="6" w:space="0" w:color="414142"/>
            </w:tcBorders>
          </w:tcPr>
          <w:p w14:paraId="6EB3729D" w14:textId="77777777" w:rsidR="00395A99" w:rsidRPr="00C246EC" w:rsidRDefault="00395A99" w:rsidP="00395A99">
            <w:pPr>
              <w:ind w:firstLine="300"/>
              <w:jc w:val="center"/>
            </w:pPr>
          </w:p>
        </w:tc>
        <w:tc>
          <w:tcPr>
            <w:tcW w:w="663" w:type="pct"/>
            <w:tcBorders>
              <w:top w:val="outset" w:sz="6" w:space="0" w:color="414142"/>
              <w:left w:val="outset" w:sz="6" w:space="0" w:color="414142"/>
              <w:bottom w:val="single" w:sz="4" w:space="0" w:color="auto"/>
              <w:right w:val="outset" w:sz="6" w:space="0" w:color="414142"/>
            </w:tcBorders>
          </w:tcPr>
          <w:p w14:paraId="7540EDF0" w14:textId="77777777" w:rsidR="00395A99" w:rsidRPr="00C246EC" w:rsidRDefault="00395A99" w:rsidP="00395A99">
            <w:pPr>
              <w:jc w:val="center"/>
            </w:pPr>
            <w:r w:rsidRPr="00C246EC">
              <w:t>0</w:t>
            </w:r>
          </w:p>
        </w:tc>
        <w:tc>
          <w:tcPr>
            <w:tcW w:w="663" w:type="pct"/>
            <w:tcBorders>
              <w:top w:val="outset" w:sz="6" w:space="0" w:color="414142"/>
              <w:left w:val="outset" w:sz="6" w:space="0" w:color="414142"/>
              <w:bottom w:val="single" w:sz="4" w:space="0" w:color="auto"/>
              <w:right w:val="outset" w:sz="6" w:space="0" w:color="414142"/>
            </w:tcBorders>
          </w:tcPr>
          <w:p w14:paraId="56F50899" w14:textId="77777777" w:rsidR="00395A99" w:rsidRPr="00C246EC" w:rsidRDefault="00395A99" w:rsidP="00395A99">
            <w:pPr>
              <w:jc w:val="center"/>
            </w:pPr>
            <w:r w:rsidRPr="00C246EC">
              <w:t>0</w:t>
            </w:r>
          </w:p>
        </w:tc>
        <w:tc>
          <w:tcPr>
            <w:tcW w:w="663" w:type="pct"/>
            <w:tcBorders>
              <w:top w:val="outset" w:sz="6" w:space="0" w:color="414142"/>
              <w:left w:val="outset" w:sz="6" w:space="0" w:color="414142"/>
              <w:bottom w:val="single" w:sz="4" w:space="0" w:color="auto"/>
              <w:right w:val="outset" w:sz="6" w:space="0" w:color="414142"/>
            </w:tcBorders>
          </w:tcPr>
          <w:p w14:paraId="1157AB87" w14:textId="77777777" w:rsidR="00395A99" w:rsidRPr="00C246EC" w:rsidRDefault="00395A99" w:rsidP="00395A99">
            <w:pPr>
              <w:jc w:val="center"/>
            </w:pPr>
            <w:r w:rsidRPr="00C246EC">
              <w:t>0</w:t>
            </w:r>
          </w:p>
        </w:tc>
        <w:tc>
          <w:tcPr>
            <w:tcW w:w="661" w:type="pct"/>
            <w:tcBorders>
              <w:top w:val="outset" w:sz="6" w:space="0" w:color="414142"/>
              <w:left w:val="outset" w:sz="6" w:space="0" w:color="414142"/>
              <w:bottom w:val="single" w:sz="4" w:space="0" w:color="auto"/>
              <w:right w:val="outset" w:sz="6" w:space="0" w:color="414142"/>
            </w:tcBorders>
          </w:tcPr>
          <w:p w14:paraId="6B5C1AA1" w14:textId="77777777" w:rsidR="00395A99" w:rsidRPr="00C246EC" w:rsidRDefault="00395A99" w:rsidP="00395A99">
            <w:pPr>
              <w:jc w:val="center"/>
            </w:pPr>
            <w:r w:rsidRPr="00C246EC">
              <w:t>0</w:t>
            </w:r>
          </w:p>
        </w:tc>
      </w:tr>
      <w:tr w:rsidR="00395A99" w:rsidRPr="00C246EC" w14:paraId="1276A40D" w14:textId="77777777" w:rsidTr="00F04D32">
        <w:trPr>
          <w:trHeight w:val="156"/>
          <w:jc w:val="center"/>
        </w:trPr>
        <w:tc>
          <w:tcPr>
            <w:tcW w:w="1673" w:type="pct"/>
            <w:vMerge/>
            <w:tcBorders>
              <w:left w:val="outset" w:sz="6" w:space="0" w:color="414142"/>
              <w:right w:val="outset" w:sz="6" w:space="0" w:color="414142"/>
            </w:tcBorders>
            <w:vAlign w:val="center"/>
          </w:tcPr>
          <w:p w14:paraId="2873BE3E" w14:textId="77777777" w:rsidR="00395A99" w:rsidRPr="00C246EC" w:rsidRDefault="00395A99" w:rsidP="00395A99">
            <w:pPr>
              <w:spacing w:before="100" w:beforeAutospacing="1" w:after="100" w:afterAutospacing="1" w:line="293" w:lineRule="atLeast"/>
            </w:pPr>
          </w:p>
        </w:tc>
        <w:tc>
          <w:tcPr>
            <w:tcW w:w="677" w:type="pct"/>
            <w:vMerge/>
            <w:tcBorders>
              <w:left w:val="outset" w:sz="6" w:space="0" w:color="414142"/>
              <w:right w:val="outset" w:sz="6" w:space="0" w:color="414142"/>
            </w:tcBorders>
          </w:tcPr>
          <w:p w14:paraId="7B561A8D" w14:textId="77777777" w:rsidR="00395A99" w:rsidRPr="00C246EC" w:rsidRDefault="00395A99" w:rsidP="00395A99">
            <w:pPr>
              <w:ind w:firstLine="300"/>
              <w:jc w:val="center"/>
            </w:pPr>
          </w:p>
        </w:tc>
        <w:tc>
          <w:tcPr>
            <w:tcW w:w="663" w:type="pct"/>
            <w:tcBorders>
              <w:top w:val="outset" w:sz="6" w:space="0" w:color="414142"/>
              <w:left w:val="outset" w:sz="6" w:space="0" w:color="414142"/>
              <w:bottom w:val="single" w:sz="4" w:space="0" w:color="auto"/>
              <w:right w:val="outset" w:sz="6" w:space="0" w:color="414142"/>
            </w:tcBorders>
          </w:tcPr>
          <w:p w14:paraId="31457EBF" w14:textId="77777777" w:rsidR="00395A99" w:rsidRPr="00C246EC" w:rsidRDefault="00395A99" w:rsidP="00395A99">
            <w:pPr>
              <w:jc w:val="center"/>
            </w:pPr>
            <w:r w:rsidRPr="00C246EC">
              <w:t>0</w:t>
            </w:r>
          </w:p>
        </w:tc>
        <w:tc>
          <w:tcPr>
            <w:tcW w:w="663" w:type="pct"/>
            <w:tcBorders>
              <w:top w:val="outset" w:sz="6" w:space="0" w:color="414142"/>
              <w:left w:val="outset" w:sz="6" w:space="0" w:color="414142"/>
              <w:bottom w:val="single" w:sz="4" w:space="0" w:color="auto"/>
              <w:right w:val="outset" w:sz="6" w:space="0" w:color="414142"/>
            </w:tcBorders>
          </w:tcPr>
          <w:p w14:paraId="521C320A" w14:textId="77777777" w:rsidR="00395A99" w:rsidRPr="00C246EC" w:rsidRDefault="00395A99" w:rsidP="00395A99">
            <w:pPr>
              <w:jc w:val="center"/>
            </w:pPr>
            <w:r w:rsidRPr="00C246EC">
              <w:t>0</w:t>
            </w:r>
          </w:p>
        </w:tc>
        <w:tc>
          <w:tcPr>
            <w:tcW w:w="663" w:type="pct"/>
            <w:tcBorders>
              <w:top w:val="outset" w:sz="6" w:space="0" w:color="414142"/>
              <w:left w:val="outset" w:sz="6" w:space="0" w:color="414142"/>
              <w:bottom w:val="single" w:sz="4" w:space="0" w:color="auto"/>
              <w:right w:val="outset" w:sz="6" w:space="0" w:color="414142"/>
            </w:tcBorders>
          </w:tcPr>
          <w:p w14:paraId="1EB87C82" w14:textId="77777777" w:rsidR="00395A99" w:rsidRPr="00C246EC" w:rsidRDefault="00395A99" w:rsidP="00395A99">
            <w:pPr>
              <w:jc w:val="center"/>
            </w:pPr>
            <w:r w:rsidRPr="00C246EC">
              <w:t>0</w:t>
            </w:r>
          </w:p>
        </w:tc>
        <w:tc>
          <w:tcPr>
            <w:tcW w:w="661" w:type="pct"/>
            <w:tcBorders>
              <w:top w:val="outset" w:sz="6" w:space="0" w:color="414142"/>
              <w:left w:val="outset" w:sz="6" w:space="0" w:color="414142"/>
              <w:bottom w:val="single" w:sz="4" w:space="0" w:color="auto"/>
              <w:right w:val="outset" w:sz="6" w:space="0" w:color="414142"/>
            </w:tcBorders>
          </w:tcPr>
          <w:p w14:paraId="268D36A8" w14:textId="77777777" w:rsidR="00395A99" w:rsidRPr="00C246EC" w:rsidRDefault="00395A99" w:rsidP="00395A99">
            <w:pPr>
              <w:jc w:val="center"/>
            </w:pPr>
            <w:r w:rsidRPr="00C246EC">
              <w:t>0</w:t>
            </w:r>
          </w:p>
        </w:tc>
      </w:tr>
      <w:tr w:rsidR="00395A99" w:rsidRPr="00C246EC" w14:paraId="74A1C548" w14:textId="77777777" w:rsidTr="00A43D18">
        <w:trPr>
          <w:trHeight w:val="490"/>
          <w:jc w:val="center"/>
        </w:trPr>
        <w:tc>
          <w:tcPr>
            <w:tcW w:w="1673" w:type="pct"/>
            <w:vMerge/>
            <w:tcBorders>
              <w:left w:val="outset" w:sz="6" w:space="0" w:color="414142"/>
              <w:bottom w:val="outset" w:sz="6" w:space="0" w:color="414142"/>
              <w:right w:val="outset" w:sz="6" w:space="0" w:color="414142"/>
            </w:tcBorders>
            <w:vAlign w:val="center"/>
          </w:tcPr>
          <w:p w14:paraId="6C80321B" w14:textId="77777777" w:rsidR="00395A99" w:rsidRPr="00C246EC" w:rsidRDefault="00395A99" w:rsidP="00395A99">
            <w:pPr>
              <w:spacing w:before="100" w:beforeAutospacing="1" w:after="100" w:afterAutospacing="1" w:line="293" w:lineRule="atLeast"/>
            </w:pPr>
          </w:p>
        </w:tc>
        <w:tc>
          <w:tcPr>
            <w:tcW w:w="677" w:type="pct"/>
            <w:vMerge/>
            <w:tcBorders>
              <w:left w:val="outset" w:sz="6" w:space="0" w:color="414142"/>
              <w:bottom w:val="outset" w:sz="6" w:space="0" w:color="414142"/>
              <w:right w:val="outset" w:sz="6" w:space="0" w:color="414142"/>
            </w:tcBorders>
          </w:tcPr>
          <w:p w14:paraId="0D0F162B" w14:textId="77777777" w:rsidR="00395A99" w:rsidRPr="00C246EC" w:rsidRDefault="00395A99" w:rsidP="00395A99">
            <w:pPr>
              <w:ind w:firstLine="300"/>
              <w:jc w:val="center"/>
            </w:pPr>
          </w:p>
        </w:tc>
        <w:tc>
          <w:tcPr>
            <w:tcW w:w="663" w:type="pct"/>
            <w:tcBorders>
              <w:top w:val="outset" w:sz="6" w:space="0" w:color="414142"/>
              <w:left w:val="outset" w:sz="6" w:space="0" w:color="414142"/>
              <w:bottom w:val="single" w:sz="4" w:space="0" w:color="auto"/>
              <w:right w:val="outset" w:sz="6" w:space="0" w:color="414142"/>
            </w:tcBorders>
          </w:tcPr>
          <w:p w14:paraId="16D239E1" w14:textId="77777777" w:rsidR="00395A99" w:rsidRPr="00C246EC" w:rsidRDefault="00395A99" w:rsidP="00395A99">
            <w:pPr>
              <w:jc w:val="center"/>
            </w:pPr>
            <w:r w:rsidRPr="00C246EC">
              <w:t>0</w:t>
            </w:r>
          </w:p>
        </w:tc>
        <w:tc>
          <w:tcPr>
            <w:tcW w:w="663" w:type="pct"/>
            <w:tcBorders>
              <w:top w:val="outset" w:sz="6" w:space="0" w:color="414142"/>
              <w:left w:val="outset" w:sz="6" w:space="0" w:color="414142"/>
              <w:bottom w:val="single" w:sz="4" w:space="0" w:color="auto"/>
              <w:right w:val="outset" w:sz="6" w:space="0" w:color="414142"/>
            </w:tcBorders>
          </w:tcPr>
          <w:p w14:paraId="1A032071" w14:textId="77777777" w:rsidR="00395A99" w:rsidRPr="00C246EC" w:rsidRDefault="00395A99" w:rsidP="00395A99">
            <w:pPr>
              <w:jc w:val="center"/>
            </w:pPr>
            <w:r w:rsidRPr="00C246EC">
              <w:t>0</w:t>
            </w:r>
          </w:p>
        </w:tc>
        <w:tc>
          <w:tcPr>
            <w:tcW w:w="663" w:type="pct"/>
            <w:tcBorders>
              <w:top w:val="outset" w:sz="6" w:space="0" w:color="414142"/>
              <w:left w:val="outset" w:sz="6" w:space="0" w:color="414142"/>
              <w:bottom w:val="single" w:sz="4" w:space="0" w:color="auto"/>
              <w:right w:val="outset" w:sz="6" w:space="0" w:color="414142"/>
            </w:tcBorders>
          </w:tcPr>
          <w:p w14:paraId="05004F45" w14:textId="77777777" w:rsidR="00395A99" w:rsidRPr="00C246EC" w:rsidRDefault="00395A99" w:rsidP="00395A99">
            <w:pPr>
              <w:jc w:val="center"/>
            </w:pPr>
            <w:r w:rsidRPr="00C246EC">
              <w:t>0</w:t>
            </w:r>
          </w:p>
        </w:tc>
        <w:tc>
          <w:tcPr>
            <w:tcW w:w="661" w:type="pct"/>
            <w:tcBorders>
              <w:top w:val="outset" w:sz="6" w:space="0" w:color="414142"/>
              <w:left w:val="outset" w:sz="6" w:space="0" w:color="414142"/>
              <w:bottom w:val="single" w:sz="4" w:space="0" w:color="auto"/>
              <w:right w:val="outset" w:sz="6" w:space="0" w:color="414142"/>
            </w:tcBorders>
          </w:tcPr>
          <w:p w14:paraId="77EDB0BA" w14:textId="77777777" w:rsidR="00395A99" w:rsidRPr="00C246EC" w:rsidRDefault="00395A99" w:rsidP="00395A99">
            <w:pPr>
              <w:jc w:val="center"/>
            </w:pPr>
            <w:r w:rsidRPr="00C246EC">
              <w:t>0</w:t>
            </w:r>
          </w:p>
        </w:tc>
      </w:tr>
      <w:tr w:rsidR="00395A99" w:rsidRPr="00C246EC" w14:paraId="3429EC0C" w14:textId="77777777" w:rsidTr="00A43D18">
        <w:trPr>
          <w:trHeight w:val="126"/>
          <w:jc w:val="center"/>
        </w:trPr>
        <w:tc>
          <w:tcPr>
            <w:tcW w:w="1673" w:type="pct"/>
            <w:tcBorders>
              <w:left w:val="outset" w:sz="6" w:space="0" w:color="414142"/>
              <w:bottom w:val="outset" w:sz="6" w:space="0" w:color="414142"/>
              <w:right w:val="outset" w:sz="6" w:space="0" w:color="414142"/>
            </w:tcBorders>
            <w:vAlign w:val="center"/>
          </w:tcPr>
          <w:p w14:paraId="7D1A42C7" w14:textId="77777777" w:rsidR="00395A99" w:rsidRPr="00C246EC" w:rsidRDefault="00395A99" w:rsidP="00395A99">
            <w:pPr>
              <w:spacing w:before="100" w:beforeAutospacing="1" w:after="100" w:afterAutospacing="1" w:line="293" w:lineRule="atLeast"/>
            </w:pPr>
            <w:r w:rsidRPr="00C246EC">
              <w:t>5. Precizēta finansiālā ietekme:</w:t>
            </w:r>
          </w:p>
        </w:tc>
        <w:tc>
          <w:tcPr>
            <w:tcW w:w="677" w:type="pct"/>
            <w:vMerge w:val="restart"/>
            <w:tcBorders>
              <w:left w:val="outset" w:sz="6" w:space="0" w:color="414142"/>
              <w:right w:val="single" w:sz="4" w:space="0" w:color="auto"/>
            </w:tcBorders>
          </w:tcPr>
          <w:p w14:paraId="7380D496" w14:textId="77777777" w:rsidR="00395A99" w:rsidRPr="00C246EC" w:rsidRDefault="00395A99" w:rsidP="00395A99">
            <w:pPr>
              <w:ind w:firstLine="300"/>
              <w:jc w:val="center"/>
            </w:pPr>
          </w:p>
        </w:tc>
        <w:tc>
          <w:tcPr>
            <w:tcW w:w="663" w:type="pct"/>
            <w:tcBorders>
              <w:top w:val="single" w:sz="4" w:space="0" w:color="auto"/>
              <w:left w:val="single" w:sz="4" w:space="0" w:color="auto"/>
              <w:bottom w:val="single" w:sz="4" w:space="0" w:color="auto"/>
              <w:right w:val="single" w:sz="4" w:space="0" w:color="auto"/>
            </w:tcBorders>
          </w:tcPr>
          <w:p w14:paraId="306867EB" w14:textId="77777777" w:rsidR="00395A99" w:rsidRPr="00C246EC" w:rsidRDefault="00395A99" w:rsidP="00395A99">
            <w:pPr>
              <w:jc w:val="center"/>
            </w:pPr>
            <w:r w:rsidRPr="00C246EC">
              <w:t>0</w:t>
            </w:r>
          </w:p>
        </w:tc>
        <w:tc>
          <w:tcPr>
            <w:tcW w:w="663" w:type="pct"/>
            <w:tcBorders>
              <w:top w:val="single" w:sz="4" w:space="0" w:color="auto"/>
              <w:left w:val="single" w:sz="4" w:space="0" w:color="auto"/>
              <w:bottom w:val="single" w:sz="4" w:space="0" w:color="auto"/>
              <w:right w:val="single" w:sz="4" w:space="0" w:color="auto"/>
            </w:tcBorders>
          </w:tcPr>
          <w:p w14:paraId="30676BBA" w14:textId="77777777" w:rsidR="00395A99" w:rsidRPr="00C246EC" w:rsidRDefault="00395A99" w:rsidP="00395A99">
            <w:pPr>
              <w:jc w:val="center"/>
            </w:pPr>
            <w:r w:rsidRPr="00C246EC">
              <w:t>0</w:t>
            </w:r>
          </w:p>
        </w:tc>
        <w:tc>
          <w:tcPr>
            <w:tcW w:w="663" w:type="pct"/>
            <w:tcBorders>
              <w:top w:val="single" w:sz="4" w:space="0" w:color="auto"/>
              <w:left w:val="single" w:sz="4" w:space="0" w:color="auto"/>
              <w:bottom w:val="single" w:sz="4" w:space="0" w:color="auto"/>
              <w:right w:val="single" w:sz="4" w:space="0" w:color="auto"/>
            </w:tcBorders>
          </w:tcPr>
          <w:p w14:paraId="0A9C91BF" w14:textId="77777777" w:rsidR="00395A99" w:rsidRPr="00C246EC" w:rsidRDefault="00395A99" w:rsidP="00395A99">
            <w:pPr>
              <w:jc w:val="center"/>
            </w:pPr>
            <w:r w:rsidRPr="00C246EC">
              <w:t>0</w:t>
            </w:r>
          </w:p>
        </w:tc>
        <w:tc>
          <w:tcPr>
            <w:tcW w:w="661" w:type="pct"/>
            <w:tcBorders>
              <w:top w:val="single" w:sz="4" w:space="0" w:color="auto"/>
              <w:left w:val="single" w:sz="4" w:space="0" w:color="auto"/>
              <w:bottom w:val="single" w:sz="4" w:space="0" w:color="auto"/>
              <w:right w:val="single" w:sz="4" w:space="0" w:color="auto"/>
            </w:tcBorders>
          </w:tcPr>
          <w:p w14:paraId="338FF154" w14:textId="77777777" w:rsidR="00395A99" w:rsidRPr="00C246EC" w:rsidRDefault="00395A99" w:rsidP="00395A99">
            <w:pPr>
              <w:jc w:val="center"/>
            </w:pPr>
            <w:r w:rsidRPr="00C246EC">
              <w:t>0</w:t>
            </w:r>
          </w:p>
        </w:tc>
      </w:tr>
      <w:tr w:rsidR="00395A99" w:rsidRPr="00C246EC" w14:paraId="1BEC0D2D" w14:textId="77777777" w:rsidTr="00A43D18">
        <w:trPr>
          <w:trHeight w:val="123"/>
          <w:jc w:val="center"/>
        </w:trPr>
        <w:tc>
          <w:tcPr>
            <w:tcW w:w="1673" w:type="pct"/>
            <w:tcBorders>
              <w:left w:val="outset" w:sz="6" w:space="0" w:color="414142"/>
              <w:bottom w:val="outset" w:sz="6" w:space="0" w:color="414142"/>
              <w:right w:val="outset" w:sz="6" w:space="0" w:color="414142"/>
            </w:tcBorders>
            <w:vAlign w:val="center"/>
          </w:tcPr>
          <w:p w14:paraId="47515B9B" w14:textId="77777777" w:rsidR="00395A99" w:rsidRPr="00C246EC" w:rsidRDefault="00395A99" w:rsidP="00395A99">
            <w:pPr>
              <w:spacing w:before="100" w:beforeAutospacing="1" w:after="100" w:afterAutospacing="1" w:line="293" w:lineRule="atLeast"/>
            </w:pPr>
            <w:r w:rsidRPr="00C246EC">
              <w:t>5.1. valsts pamatbudžets</w:t>
            </w:r>
          </w:p>
        </w:tc>
        <w:tc>
          <w:tcPr>
            <w:tcW w:w="677" w:type="pct"/>
            <w:vMerge/>
            <w:tcBorders>
              <w:left w:val="outset" w:sz="6" w:space="0" w:color="414142"/>
              <w:right w:val="single" w:sz="4" w:space="0" w:color="auto"/>
            </w:tcBorders>
          </w:tcPr>
          <w:p w14:paraId="17341B95" w14:textId="77777777" w:rsidR="00395A99" w:rsidRPr="00C246EC" w:rsidRDefault="00395A99" w:rsidP="00395A99">
            <w:pPr>
              <w:ind w:firstLine="300"/>
              <w:jc w:val="center"/>
            </w:pPr>
          </w:p>
        </w:tc>
        <w:tc>
          <w:tcPr>
            <w:tcW w:w="663" w:type="pct"/>
            <w:tcBorders>
              <w:top w:val="single" w:sz="4" w:space="0" w:color="auto"/>
              <w:left w:val="single" w:sz="4" w:space="0" w:color="auto"/>
              <w:bottom w:val="single" w:sz="4" w:space="0" w:color="auto"/>
              <w:right w:val="single" w:sz="4" w:space="0" w:color="auto"/>
            </w:tcBorders>
          </w:tcPr>
          <w:p w14:paraId="4512E78A" w14:textId="77777777" w:rsidR="00395A99" w:rsidRPr="00C246EC" w:rsidRDefault="00395A99" w:rsidP="00395A99">
            <w:pPr>
              <w:jc w:val="center"/>
            </w:pPr>
            <w:r w:rsidRPr="00C246EC">
              <w:t>0</w:t>
            </w:r>
          </w:p>
        </w:tc>
        <w:tc>
          <w:tcPr>
            <w:tcW w:w="663" w:type="pct"/>
            <w:tcBorders>
              <w:top w:val="single" w:sz="4" w:space="0" w:color="auto"/>
              <w:left w:val="single" w:sz="4" w:space="0" w:color="auto"/>
              <w:bottom w:val="single" w:sz="4" w:space="0" w:color="auto"/>
              <w:right w:val="single" w:sz="4" w:space="0" w:color="auto"/>
            </w:tcBorders>
          </w:tcPr>
          <w:p w14:paraId="01496CC2" w14:textId="77777777" w:rsidR="00395A99" w:rsidRPr="00C246EC" w:rsidRDefault="00395A99" w:rsidP="00395A99">
            <w:pPr>
              <w:jc w:val="center"/>
            </w:pPr>
            <w:r w:rsidRPr="00C246EC">
              <w:t>0</w:t>
            </w:r>
          </w:p>
        </w:tc>
        <w:tc>
          <w:tcPr>
            <w:tcW w:w="663" w:type="pct"/>
            <w:tcBorders>
              <w:top w:val="single" w:sz="4" w:space="0" w:color="auto"/>
              <w:left w:val="single" w:sz="4" w:space="0" w:color="auto"/>
              <w:bottom w:val="single" w:sz="4" w:space="0" w:color="auto"/>
              <w:right w:val="single" w:sz="4" w:space="0" w:color="auto"/>
            </w:tcBorders>
          </w:tcPr>
          <w:p w14:paraId="78DDF6DC" w14:textId="77777777" w:rsidR="00395A99" w:rsidRPr="00C246EC" w:rsidRDefault="00395A99" w:rsidP="00395A99">
            <w:pPr>
              <w:jc w:val="center"/>
            </w:pPr>
            <w:r w:rsidRPr="00C246EC">
              <w:t>0</w:t>
            </w:r>
          </w:p>
        </w:tc>
        <w:tc>
          <w:tcPr>
            <w:tcW w:w="661" w:type="pct"/>
            <w:tcBorders>
              <w:top w:val="single" w:sz="4" w:space="0" w:color="auto"/>
              <w:left w:val="single" w:sz="4" w:space="0" w:color="auto"/>
              <w:bottom w:val="single" w:sz="4" w:space="0" w:color="auto"/>
              <w:right w:val="single" w:sz="4" w:space="0" w:color="auto"/>
            </w:tcBorders>
          </w:tcPr>
          <w:p w14:paraId="76545273" w14:textId="77777777" w:rsidR="00395A99" w:rsidRPr="00C246EC" w:rsidRDefault="00395A99" w:rsidP="00395A99">
            <w:pPr>
              <w:jc w:val="center"/>
            </w:pPr>
            <w:r w:rsidRPr="00C246EC">
              <w:t>0</w:t>
            </w:r>
          </w:p>
        </w:tc>
      </w:tr>
      <w:tr w:rsidR="00395A99" w:rsidRPr="00C246EC" w14:paraId="4B9AB8C5" w14:textId="77777777" w:rsidTr="00A43D18">
        <w:trPr>
          <w:trHeight w:val="123"/>
          <w:jc w:val="center"/>
        </w:trPr>
        <w:tc>
          <w:tcPr>
            <w:tcW w:w="1673" w:type="pct"/>
            <w:tcBorders>
              <w:left w:val="outset" w:sz="6" w:space="0" w:color="414142"/>
              <w:bottom w:val="outset" w:sz="6" w:space="0" w:color="414142"/>
              <w:right w:val="outset" w:sz="6" w:space="0" w:color="414142"/>
            </w:tcBorders>
            <w:vAlign w:val="center"/>
          </w:tcPr>
          <w:p w14:paraId="49C23384" w14:textId="77777777" w:rsidR="00395A99" w:rsidRPr="00C246EC" w:rsidRDefault="00395A99" w:rsidP="00395A99">
            <w:pPr>
              <w:spacing w:before="100" w:beforeAutospacing="1" w:after="100" w:afterAutospacing="1" w:line="293" w:lineRule="atLeast"/>
            </w:pPr>
            <w:r w:rsidRPr="00C246EC">
              <w:t>5.2. speciālais budžets</w:t>
            </w:r>
          </w:p>
        </w:tc>
        <w:tc>
          <w:tcPr>
            <w:tcW w:w="677" w:type="pct"/>
            <w:vMerge/>
            <w:tcBorders>
              <w:left w:val="outset" w:sz="6" w:space="0" w:color="414142"/>
              <w:right w:val="single" w:sz="4" w:space="0" w:color="auto"/>
            </w:tcBorders>
          </w:tcPr>
          <w:p w14:paraId="3A3F2353" w14:textId="77777777" w:rsidR="00395A99" w:rsidRPr="00C246EC" w:rsidRDefault="00395A99" w:rsidP="00395A99">
            <w:pPr>
              <w:ind w:firstLine="300"/>
              <w:jc w:val="center"/>
            </w:pPr>
          </w:p>
        </w:tc>
        <w:tc>
          <w:tcPr>
            <w:tcW w:w="663" w:type="pct"/>
            <w:tcBorders>
              <w:top w:val="single" w:sz="4" w:space="0" w:color="auto"/>
              <w:left w:val="single" w:sz="4" w:space="0" w:color="auto"/>
              <w:bottom w:val="single" w:sz="4" w:space="0" w:color="auto"/>
              <w:right w:val="single" w:sz="4" w:space="0" w:color="auto"/>
            </w:tcBorders>
          </w:tcPr>
          <w:p w14:paraId="233AEEDC" w14:textId="77777777" w:rsidR="00395A99" w:rsidRPr="00C246EC" w:rsidRDefault="00395A99" w:rsidP="00395A99">
            <w:pPr>
              <w:jc w:val="center"/>
            </w:pPr>
            <w:r w:rsidRPr="00C246EC">
              <w:t>0</w:t>
            </w:r>
          </w:p>
        </w:tc>
        <w:tc>
          <w:tcPr>
            <w:tcW w:w="663" w:type="pct"/>
            <w:tcBorders>
              <w:top w:val="single" w:sz="4" w:space="0" w:color="auto"/>
              <w:left w:val="single" w:sz="4" w:space="0" w:color="auto"/>
              <w:bottom w:val="single" w:sz="4" w:space="0" w:color="auto"/>
              <w:right w:val="single" w:sz="4" w:space="0" w:color="auto"/>
            </w:tcBorders>
          </w:tcPr>
          <w:p w14:paraId="26EA413E" w14:textId="77777777" w:rsidR="00395A99" w:rsidRPr="00C246EC" w:rsidRDefault="00395A99" w:rsidP="00395A99">
            <w:pPr>
              <w:jc w:val="center"/>
            </w:pPr>
            <w:r w:rsidRPr="00C246EC">
              <w:t>0</w:t>
            </w:r>
          </w:p>
        </w:tc>
        <w:tc>
          <w:tcPr>
            <w:tcW w:w="663" w:type="pct"/>
            <w:tcBorders>
              <w:top w:val="single" w:sz="4" w:space="0" w:color="auto"/>
              <w:left w:val="single" w:sz="4" w:space="0" w:color="auto"/>
              <w:bottom w:val="single" w:sz="4" w:space="0" w:color="auto"/>
              <w:right w:val="single" w:sz="4" w:space="0" w:color="auto"/>
            </w:tcBorders>
          </w:tcPr>
          <w:p w14:paraId="03D5C0C4" w14:textId="77777777" w:rsidR="00395A99" w:rsidRPr="00C246EC" w:rsidRDefault="00395A99" w:rsidP="00395A99">
            <w:pPr>
              <w:jc w:val="center"/>
            </w:pPr>
            <w:r w:rsidRPr="00C246EC">
              <w:t>0</w:t>
            </w:r>
          </w:p>
        </w:tc>
        <w:tc>
          <w:tcPr>
            <w:tcW w:w="661" w:type="pct"/>
            <w:tcBorders>
              <w:top w:val="single" w:sz="4" w:space="0" w:color="auto"/>
              <w:left w:val="single" w:sz="4" w:space="0" w:color="auto"/>
              <w:bottom w:val="single" w:sz="4" w:space="0" w:color="auto"/>
              <w:right w:val="single" w:sz="4" w:space="0" w:color="auto"/>
            </w:tcBorders>
          </w:tcPr>
          <w:p w14:paraId="3A50DF7E" w14:textId="77777777" w:rsidR="00395A99" w:rsidRPr="00C246EC" w:rsidRDefault="00395A99" w:rsidP="00395A99">
            <w:pPr>
              <w:jc w:val="center"/>
            </w:pPr>
            <w:r w:rsidRPr="00C246EC">
              <w:t>0</w:t>
            </w:r>
          </w:p>
        </w:tc>
      </w:tr>
      <w:tr w:rsidR="00395A99" w:rsidRPr="00C246EC" w14:paraId="632D9348" w14:textId="77777777" w:rsidTr="00A43D18">
        <w:trPr>
          <w:trHeight w:val="123"/>
          <w:jc w:val="center"/>
        </w:trPr>
        <w:tc>
          <w:tcPr>
            <w:tcW w:w="1673" w:type="pct"/>
            <w:tcBorders>
              <w:left w:val="outset" w:sz="6" w:space="0" w:color="414142"/>
              <w:bottom w:val="outset" w:sz="6" w:space="0" w:color="414142"/>
              <w:right w:val="outset" w:sz="6" w:space="0" w:color="414142"/>
            </w:tcBorders>
            <w:vAlign w:val="center"/>
          </w:tcPr>
          <w:p w14:paraId="09AF28CC" w14:textId="77777777" w:rsidR="00395A99" w:rsidRPr="00C246EC" w:rsidRDefault="00395A99" w:rsidP="00395A99">
            <w:pPr>
              <w:spacing w:before="100" w:beforeAutospacing="1" w:after="100" w:afterAutospacing="1" w:line="293" w:lineRule="atLeast"/>
            </w:pPr>
            <w:r w:rsidRPr="00C246EC">
              <w:t>5.3. pašvaldību budžets</w:t>
            </w:r>
          </w:p>
        </w:tc>
        <w:tc>
          <w:tcPr>
            <w:tcW w:w="677" w:type="pct"/>
            <w:vMerge/>
            <w:tcBorders>
              <w:left w:val="outset" w:sz="6" w:space="0" w:color="414142"/>
              <w:bottom w:val="outset" w:sz="6" w:space="0" w:color="414142"/>
              <w:right w:val="single" w:sz="4" w:space="0" w:color="auto"/>
            </w:tcBorders>
          </w:tcPr>
          <w:p w14:paraId="1FBCDBAD" w14:textId="77777777" w:rsidR="00395A99" w:rsidRPr="00C246EC" w:rsidRDefault="00395A99" w:rsidP="00395A99">
            <w:pPr>
              <w:ind w:firstLine="300"/>
              <w:jc w:val="center"/>
            </w:pPr>
          </w:p>
        </w:tc>
        <w:tc>
          <w:tcPr>
            <w:tcW w:w="663" w:type="pct"/>
            <w:tcBorders>
              <w:top w:val="single" w:sz="4" w:space="0" w:color="auto"/>
              <w:left w:val="single" w:sz="4" w:space="0" w:color="auto"/>
              <w:bottom w:val="single" w:sz="4" w:space="0" w:color="auto"/>
              <w:right w:val="single" w:sz="4" w:space="0" w:color="auto"/>
            </w:tcBorders>
          </w:tcPr>
          <w:p w14:paraId="2B442CDA" w14:textId="77777777" w:rsidR="00395A99" w:rsidRPr="00C246EC" w:rsidRDefault="00395A99" w:rsidP="00395A99">
            <w:pPr>
              <w:jc w:val="center"/>
            </w:pPr>
            <w:r w:rsidRPr="00C246EC">
              <w:t>0</w:t>
            </w:r>
          </w:p>
        </w:tc>
        <w:tc>
          <w:tcPr>
            <w:tcW w:w="663" w:type="pct"/>
            <w:tcBorders>
              <w:top w:val="single" w:sz="4" w:space="0" w:color="auto"/>
              <w:left w:val="single" w:sz="4" w:space="0" w:color="auto"/>
              <w:bottom w:val="single" w:sz="4" w:space="0" w:color="auto"/>
              <w:right w:val="single" w:sz="4" w:space="0" w:color="auto"/>
            </w:tcBorders>
          </w:tcPr>
          <w:p w14:paraId="71797917" w14:textId="77777777" w:rsidR="00395A99" w:rsidRPr="00C246EC" w:rsidRDefault="00395A99" w:rsidP="00395A99">
            <w:pPr>
              <w:jc w:val="center"/>
            </w:pPr>
            <w:r w:rsidRPr="00C246EC">
              <w:t>0</w:t>
            </w:r>
          </w:p>
        </w:tc>
        <w:tc>
          <w:tcPr>
            <w:tcW w:w="663" w:type="pct"/>
            <w:tcBorders>
              <w:top w:val="single" w:sz="4" w:space="0" w:color="auto"/>
              <w:left w:val="single" w:sz="4" w:space="0" w:color="auto"/>
              <w:bottom w:val="single" w:sz="4" w:space="0" w:color="auto"/>
              <w:right w:val="single" w:sz="4" w:space="0" w:color="auto"/>
            </w:tcBorders>
          </w:tcPr>
          <w:p w14:paraId="5C2755A6" w14:textId="77777777" w:rsidR="00395A99" w:rsidRPr="00C246EC" w:rsidRDefault="00395A99" w:rsidP="00395A99">
            <w:pPr>
              <w:jc w:val="center"/>
            </w:pPr>
            <w:r w:rsidRPr="00C246EC">
              <w:t>0</w:t>
            </w:r>
          </w:p>
        </w:tc>
        <w:tc>
          <w:tcPr>
            <w:tcW w:w="661" w:type="pct"/>
            <w:tcBorders>
              <w:top w:val="single" w:sz="4" w:space="0" w:color="auto"/>
              <w:left w:val="single" w:sz="4" w:space="0" w:color="auto"/>
              <w:bottom w:val="single" w:sz="4" w:space="0" w:color="auto"/>
              <w:right w:val="single" w:sz="4" w:space="0" w:color="auto"/>
            </w:tcBorders>
          </w:tcPr>
          <w:p w14:paraId="6C0DA987" w14:textId="77777777" w:rsidR="00395A99" w:rsidRPr="00C246EC" w:rsidRDefault="00395A99" w:rsidP="00395A99">
            <w:pPr>
              <w:jc w:val="center"/>
            </w:pPr>
            <w:r w:rsidRPr="00C246EC">
              <w:t>0</w:t>
            </w:r>
          </w:p>
        </w:tc>
      </w:tr>
      <w:tr w:rsidR="00395A99" w:rsidRPr="00C246EC" w14:paraId="3A400B41" w14:textId="77777777" w:rsidTr="00C62C8E">
        <w:trPr>
          <w:trHeight w:val="100"/>
          <w:jc w:val="center"/>
        </w:trPr>
        <w:tc>
          <w:tcPr>
            <w:tcW w:w="1673" w:type="pct"/>
            <w:tcBorders>
              <w:left w:val="outset" w:sz="6" w:space="0" w:color="414142"/>
              <w:bottom w:val="outset" w:sz="6" w:space="0" w:color="414142"/>
              <w:right w:val="outset" w:sz="6" w:space="0" w:color="414142"/>
            </w:tcBorders>
            <w:vAlign w:val="center"/>
          </w:tcPr>
          <w:p w14:paraId="66781914" w14:textId="77777777" w:rsidR="00395A99" w:rsidRPr="00C246EC" w:rsidRDefault="00395A99" w:rsidP="00395A99">
            <w:pPr>
              <w:spacing w:before="100" w:beforeAutospacing="1" w:after="100" w:afterAutospacing="1" w:line="293" w:lineRule="atLeast"/>
            </w:pPr>
            <w:r w:rsidRPr="00C246EC">
              <w:t>6. Detalizēts ieņēmumu un izdevumu aprēķins (ja nepieciešams, detalizētu ieņēmumu un izdevumu aprēķinu var pievienot anotācijas pielikumā):</w:t>
            </w:r>
          </w:p>
        </w:tc>
        <w:tc>
          <w:tcPr>
            <w:tcW w:w="3327" w:type="pct"/>
            <w:gridSpan w:val="5"/>
            <w:vMerge w:val="restart"/>
            <w:tcBorders>
              <w:left w:val="outset" w:sz="6" w:space="0" w:color="414142"/>
              <w:right w:val="single" w:sz="4" w:space="0" w:color="auto"/>
            </w:tcBorders>
          </w:tcPr>
          <w:p w14:paraId="286711FF" w14:textId="77777777" w:rsidR="00991E88" w:rsidRPr="00C246EC" w:rsidRDefault="00991E88" w:rsidP="00395A99">
            <w:r w:rsidRPr="00C246EC">
              <w:t xml:space="preserve">Režīmu turpmāk varēs izmantot ne tikai esošie </w:t>
            </w:r>
            <w:proofErr w:type="spellStart"/>
            <w:r w:rsidRPr="00C246EC">
              <w:t>mikrouzņēmumu</w:t>
            </w:r>
            <w:proofErr w:type="spellEnd"/>
            <w:r w:rsidRPr="00C246EC">
              <w:t xml:space="preserve"> nodokļa maksātāji, bet arī saimnieciskās darbības veicēji, kuri atbildīs noteiktajiem principiem.  Kopā to varētu izmantot ap 27 tūkst. esoši </w:t>
            </w:r>
            <w:proofErr w:type="spellStart"/>
            <w:r w:rsidRPr="00C246EC">
              <w:t>mikrouzņēmumu</w:t>
            </w:r>
            <w:proofErr w:type="spellEnd"/>
            <w:r w:rsidRPr="00C246EC">
              <w:t xml:space="preserve"> nodokļa maksātāji, kuros nodarbināti ap 68 tūkst. darbinieku. Pieaugot ekonomiskajām aktivitātēm, pieaugs budžeta ieņēmumi. </w:t>
            </w:r>
          </w:p>
          <w:p w14:paraId="152A3589" w14:textId="77777777" w:rsidR="00395A99" w:rsidRPr="00C246EC" w:rsidRDefault="00395A99" w:rsidP="00395A99">
            <w:r w:rsidRPr="00C246EC">
              <w:t xml:space="preserve">Mainot valsts budžetā iemaksātā </w:t>
            </w:r>
            <w:proofErr w:type="spellStart"/>
            <w:r w:rsidRPr="00C246EC">
              <w:t>mikrouzņēmumu</w:t>
            </w:r>
            <w:proofErr w:type="spellEnd"/>
            <w:r w:rsidRPr="00C246EC">
              <w:t xml:space="preserve"> nodokļa ieņēmumu sadalījumu, palielināsies valsts speciālā budžeta ieņēmumi.</w:t>
            </w:r>
          </w:p>
          <w:p w14:paraId="0F5490B4" w14:textId="77777777" w:rsidR="00991E88" w:rsidRPr="00C246EC" w:rsidRDefault="00991E88" w:rsidP="00395A99"/>
        </w:tc>
      </w:tr>
      <w:tr w:rsidR="00395A99" w:rsidRPr="00C246EC" w14:paraId="4330C2DE" w14:textId="77777777" w:rsidTr="00C62C8E">
        <w:trPr>
          <w:trHeight w:val="100"/>
          <w:jc w:val="center"/>
        </w:trPr>
        <w:tc>
          <w:tcPr>
            <w:tcW w:w="1673" w:type="pct"/>
            <w:tcBorders>
              <w:left w:val="outset" w:sz="6" w:space="0" w:color="414142"/>
              <w:bottom w:val="outset" w:sz="6" w:space="0" w:color="414142"/>
              <w:right w:val="outset" w:sz="6" w:space="0" w:color="414142"/>
            </w:tcBorders>
            <w:vAlign w:val="center"/>
          </w:tcPr>
          <w:p w14:paraId="45FC897D" w14:textId="77777777" w:rsidR="00395A99" w:rsidRPr="00C246EC" w:rsidRDefault="00395A99" w:rsidP="00395A99">
            <w:pPr>
              <w:spacing w:before="100" w:beforeAutospacing="1" w:after="100" w:afterAutospacing="1" w:line="293" w:lineRule="atLeast"/>
            </w:pPr>
            <w:r w:rsidRPr="00C246EC">
              <w:t>6.1. detalizēts ieņēmumu aprēķins</w:t>
            </w:r>
          </w:p>
        </w:tc>
        <w:tc>
          <w:tcPr>
            <w:tcW w:w="3327" w:type="pct"/>
            <w:gridSpan w:val="5"/>
            <w:vMerge/>
            <w:tcBorders>
              <w:left w:val="outset" w:sz="6" w:space="0" w:color="414142"/>
              <w:right w:val="single" w:sz="4" w:space="0" w:color="auto"/>
            </w:tcBorders>
          </w:tcPr>
          <w:p w14:paraId="04336831" w14:textId="77777777" w:rsidR="00395A99" w:rsidRPr="00C246EC" w:rsidRDefault="00395A99" w:rsidP="00395A99"/>
        </w:tc>
      </w:tr>
      <w:tr w:rsidR="00395A99" w:rsidRPr="00C246EC" w14:paraId="706D3794" w14:textId="77777777" w:rsidTr="00A43D18">
        <w:trPr>
          <w:trHeight w:val="100"/>
          <w:jc w:val="center"/>
        </w:trPr>
        <w:tc>
          <w:tcPr>
            <w:tcW w:w="1673" w:type="pct"/>
            <w:tcBorders>
              <w:left w:val="outset" w:sz="6" w:space="0" w:color="414142"/>
              <w:bottom w:val="outset" w:sz="6" w:space="0" w:color="414142"/>
              <w:right w:val="outset" w:sz="6" w:space="0" w:color="414142"/>
            </w:tcBorders>
            <w:vAlign w:val="center"/>
          </w:tcPr>
          <w:p w14:paraId="40B098CA" w14:textId="77777777" w:rsidR="00395A99" w:rsidRPr="00C246EC" w:rsidRDefault="00395A99" w:rsidP="00395A99">
            <w:pPr>
              <w:spacing w:before="100" w:beforeAutospacing="1" w:after="100" w:afterAutospacing="1" w:line="293" w:lineRule="atLeast"/>
            </w:pPr>
            <w:r w:rsidRPr="00C246EC">
              <w:t>6.2. detalizēts izdevumu aprēķins</w:t>
            </w:r>
          </w:p>
        </w:tc>
        <w:tc>
          <w:tcPr>
            <w:tcW w:w="3327" w:type="pct"/>
            <w:gridSpan w:val="5"/>
            <w:vMerge/>
            <w:tcBorders>
              <w:left w:val="outset" w:sz="6" w:space="0" w:color="414142"/>
              <w:bottom w:val="outset" w:sz="6" w:space="0" w:color="414142"/>
              <w:right w:val="single" w:sz="4" w:space="0" w:color="auto"/>
            </w:tcBorders>
          </w:tcPr>
          <w:p w14:paraId="51E24490" w14:textId="77777777" w:rsidR="00395A99" w:rsidRPr="00C246EC" w:rsidRDefault="00395A99" w:rsidP="00395A99"/>
        </w:tc>
      </w:tr>
      <w:tr w:rsidR="00395A99" w:rsidRPr="00C246EC" w14:paraId="3A3B7D12" w14:textId="77777777" w:rsidTr="00122073">
        <w:trPr>
          <w:jc w:val="center"/>
        </w:trPr>
        <w:tc>
          <w:tcPr>
            <w:tcW w:w="1673" w:type="pct"/>
            <w:tcBorders>
              <w:top w:val="outset" w:sz="6" w:space="0" w:color="414142"/>
              <w:left w:val="outset" w:sz="6" w:space="0" w:color="414142"/>
              <w:bottom w:val="outset" w:sz="6" w:space="0" w:color="414142"/>
              <w:right w:val="outset" w:sz="6" w:space="0" w:color="414142"/>
            </w:tcBorders>
          </w:tcPr>
          <w:p w14:paraId="28FA1EDB" w14:textId="77777777" w:rsidR="00395A99" w:rsidRPr="00C246EC" w:rsidRDefault="00395A99" w:rsidP="00395A99">
            <w:r w:rsidRPr="00C246EC">
              <w:t>7. Cita informācija</w:t>
            </w:r>
          </w:p>
        </w:tc>
        <w:tc>
          <w:tcPr>
            <w:tcW w:w="3327" w:type="pct"/>
            <w:gridSpan w:val="5"/>
            <w:tcBorders>
              <w:top w:val="outset" w:sz="6" w:space="0" w:color="414142"/>
              <w:left w:val="outset" w:sz="6" w:space="0" w:color="414142"/>
              <w:bottom w:val="outset" w:sz="6" w:space="0" w:color="414142"/>
              <w:right w:val="outset" w:sz="6" w:space="0" w:color="414142"/>
            </w:tcBorders>
            <w:vAlign w:val="center"/>
          </w:tcPr>
          <w:p w14:paraId="1E7E753A" w14:textId="77777777" w:rsidR="00395A99" w:rsidRPr="00C246EC" w:rsidRDefault="00395A99" w:rsidP="00395A99"/>
          <w:p w14:paraId="7463F85A" w14:textId="77777777" w:rsidR="00395A99" w:rsidRPr="00C246EC" w:rsidRDefault="00395A99" w:rsidP="00395A99">
            <w:pPr>
              <w:jc w:val="both"/>
            </w:pPr>
            <w:r w:rsidRPr="00C246EC">
              <w:t>Nav</w:t>
            </w:r>
          </w:p>
        </w:tc>
      </w:tr>
    </w:tbl>
    <w:p w14:paraId="1739F66E" w14:textId="77777777" w:rsidR="00762529" w:rsidRPr="00C246EC" w:rsidRDefault="00762529" w:rsidP="0047074D">
      <w:pPr>
        <w:pStyle w:val="naiskr"/>
        <w:tabs>
          <w:tab w:val="left" w:pos="2628"/>
        </w:tabs>
        <w:spacing w:before="0" w:after="0"/>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860"/>
        <w:gridCol w:w="6414"/>
      </w:tblGrid>
      <w:tr w:rsidR="00E547C1" w:rsidRPr="00C246EC" w14:paraId="5CB79D80" w14:textId="77777777" w:rsidTr="0053367B">
        <w:trPr>
          <w:jc w:val="center"/>
        </w:trPr>
        <w:tc>
          <w:tcPr>
            <w:tcW w:w="9670" w:type="dxa"/>
            <w:gridSpan w:val="3"/>
          </w:tcPr>
          <w:p w14:paraId="25AF9A1A" w14:textId="77777777" w:rsidR="00924023" w:rsidRPr="00C246EC" w:rsidRDefault="00924023" w:rsidP="0047074D">
            <w:pPr>
              <w:pStyle w:val="naisnod"/>
              <w:spacing w:before="0" w:after="0"/>
            </w:pPr>
            <w:r w:rsidRPr="00C246EC">
              <w:t>IV</w:t>
            </w:r>
            <w:r w:rsidR="000941C5" w:rsidRPr="00C246EC">
              <w:t>.</w:t>
            </w:r>
            <w:r w:rsidRPr="00C246EC">
              <w:t xml:space="preserve"> Tiesību akta projekta ietekme uz</w:t>
            </w:r>
            <w:r w:rsidR="005060A1" w:rsidRPr="00C246EC">
              <w:t xml:space="preserve"> </w:t>
            </w:r>
            <w:r w:rsidRPr="00C246EC">
              <w:t>spēkā esošo tiesību normu sistēmu</w:t>
            </w:r>
          </w:p>
        </w:tc>
      </w:tr>
      <w:tr w:rsidR="00E547C1" w:rsidRPr="00C246EC" w14:paraId="78C5B248" w14:textId="77777777" w:rsidTr="00080409">
        <w:trPr>
          <w:jc w:val="center"/>
        </w:trPr>
        <w:tc>
          <w:tcPr>
            <w:tcW w:w="396" w:type="dxa"/>
          </w:tcPr>
          <w:p w14:paraId="0B223156" w14:textId="77777777" w:rsidR="00924023" w:rsidRPr="00C246EC" w:rsidRDefault="00924023" w:rsidP="0047074D">
            <w:pPr>
              <w:pStyle w:val="naiskr"/>
              <w:tabs>
                <w:tab w:val="left" w:pos="2628"/>
              </w:tabs>
              <w:spacing w:before="0" w:after="0"/>
              <w:rPr>
                <w:iCs/>
              </w:rPr>
            </w:pPr>
            <w:r w:rsidRPr="00C246EC">
              <w:rPr>
                <w:iCs/>
              </w:rPr>
              <w:t>1.</w:t>
            </w:r>
          </w:p>
        </w:tc>
        <w:tc>
          <w:tcPr>
            <w:tcW w:w="2860" w:type="dxa"/>
          </w:tcPr>
          <w:p w14:paraId="39CB710E" w14:textId="77777777" w:rsidR="00924023" w:rsidRPr="00C246EC" w:rsidRDefault="00924023" w:rsidP="0047074D">
            <w:pPr>
              <w:pStyle w:val="naiskr"/>
              <w:tabs>
                <w:tab w:val="left" w:pos="2628"/>
              </w:tabs>
              <w:spacing w:before="0" w:after="0"/>
              <w:rPr>
                <w:iCs/>
              </w:rPr>
            </w:pPr>
            <w:r w:rsidRPr="00C246EC">
              <w:t>Nepieciešamie saistītie tiesību akt</w:t>
            </w:r>
            <w:r w:rsidR="00DD1020" w:rsidRPr="00C246EC">
              <w:t>u</w:t>
            </w:r>
            <w:r w:rsidRPr="00C246EC">
              <w:t xml:space="preserve"> projekti</w:t>
            </w:r>
          </w:p>
        </w:tc>
        <w:tc>
          <w:tcPr>
            <w:tcW w:w="6414" w:type="dxa"/>
          </w:tcPr>
          <w:p w14:paraId="0A6250E2" w14:textId="0D44A276" w:rsidR="005C07F9" w:rsidRPr="000D5436" w:rsidRDefault="005C07F9" w:rsidP="000D5436">
            <w:pPr>
              <w:pStyle w:val="naiskr"/>
              <w:tabs>
                <w:tab w:val="left" w:pos="427"/>
                <w:tab w:val="left" w:pos="2628"/>
              </w:tabs>
              <w:jc w:val="both"/>
            </w:pPr>
            <w:r w:rsidRPr="00C246EC">
              <w:t>G</w:t>
            </w:r>
            <w:r w:rsidR="00395A99" w:rsidRPr="00C246EC">
              <w:t>r</w:t>
            </w:r>
            <w:r w:rsidRPr="00C246EC">
              <w:t xml:space="preserve">ozījumi likumā “Par iedzīvotāju ienākuma nodokli”, </w:t>
            </w:r>
            <w:r w:rsidR="00270AF5" w:rsidRPr="00C246EC">
              <w:t xml:space="preserve">paredzot aplikt ar nodokļiem vispārējā kārtībā (IIN, VSAOI) taksācijas gada ienākumu (darba algu) tiem darbiniekiem, kuru kopējie ienākumi (darba alga) no </w:t>
            </w:r>
            <w:proofErr w:type="spellStart"/>
            <w:r w:rsidR="00270AF5" w:rsidRPr="00C246EC">
              <w:t>mikrouzņēmumiem</w:t>
            </w:r>
            <w:proofErr w:type="spellEnd"/>
            <w:r w:rsidR="00270AF5" w:rsidRPr="00C246EC">
              <w:t xml:space="preserve"> pārsniedz 10</w:t>
            </w:r>
            <w:r w:rsidR="00D479B5">
              <w:t xml:space="preserve"> </w:t>
            </w:r>
            <w:r w:rsidR="00270AF5" w:rsidRPr="00C246EC">
              <w:t xml:space="preserve">800 EUR taksācijas gadā. </w:t>
            </w:r>
          </w:p>
        </w:tc>
      </w:tr>
      <w:tr w:rsidR="00E547C1" w:rsidRPr="00C246EC" w14:paraId="4E91C9B4" w14:textId="77777777" w:rsidTr="00080409">
        <w:trPr>
          <w:trHeight w:val="321"/>
          <w:jc w:val="center"/>
        </w:trPr>
        <w:tc>
          <w:tcPr>
            <w:tcW w:w="396" w:type="dxa"/>
          </w:tcPr>
          <w:p w14:paraId="53557F99" w14:textId="77777777" w:rsidR="00EE337A" w:rsidRPr="00C246EC" w:rsidRDefault="00EE337A" w:rsidP="0047074D">
            <w:pPr>
              <w:pStyle w:val="naiskr"/>
              <w:tabs>
                <w:tab w:val="left" w:pos="2628"/>
              </w:tabs>
              <w:spacing w:before="0" w:after="0"/>
              <w:rPr>
                <w:iCs/>
              </w:rPr>
            </w:pPr>
            <w:r w:rsidRPr="00C246EC">
              <w:rPr>
                <w:iCs/>
              </w:rPr>
              <w:t xml:space="preserve">2. </w:t>
            </w:r>
          </w:p>
        </w:tc>
        <w:tc>
          <w:tcPr>
            <w:tcW w:w="2860" w:type="dxa"/>
          </w:tcPr>
          <w:p w14:paraId="120CEBC6" w14:textId="77777777" w:rsidR="00EE337A" w:rsidRPr="00C246EC" w:rsidRDefault="00EE337A" w:rsidP="0047074D">
            <w:pPr>
              <w:pStyle w:val="naiskr"/>
              <w:tabs>
                <w:tab w:val="left" w:pos="2628"/>
              </w:tabs>
              <w:spacing w:before="0" w:after="0"/>
            </w:pPr>
            <w:r w:rsidRPr="00C246EC">
              <w:t>Atbildīgā institūcija</w:t>
            </w:r>
          </w:p>
        </w:tc>
        <w:tc>
          <w:tcPr>
            <w:tcW w:w="6414" w:type="dxa"/>
          </w:tcPr>
          <w:p w14:paraId="14BDC095" w14:textId="77777777" w:rsidR="00EE337A" w:rsidRPr="00C246EC" w:rsidRDefault="005C07F9" w:rsidP="0047074D">
            <w:pPr>
              <w:pStyle w:val="naiskr"/>
              <w:tabs>
                <w:tab w:val="left" w:pos="427"/>
                <w:tab w:val="left" w:pos="2628"/>
              </w:tabs>
              <w:spacing w:before="0" w:after="120"/>
              <w:rPr>
                <w:iCs/>
              </w:rPr>
            </w:pPr>
            <w:r w:rsidRPr="00C246EC">
              <w:rPr>
                <w:iCs/>
              </w:rPr>
              <w:t>Finanšu ministrija</w:t>
            </w:r>
          </w:p>
        </w:tc>
      </w:tr>
      <w:tr w:rsidR="00924023" w:rsidRPr="00C246EC" w14:paraId="6F1F2F92" w14:textId="77777777" w:rsidTr="00080409">
        <w:trPr>
          <w:trHeight w:val="321"/>
          <w:jc w:val="center"/>
        </w:trPr>
        <w:tc>
          <w:tcPr>
            <w:tcW w:w="396" w:type="dxa"/>
          </w:tcPr>
          <w:p w14:paraId="49F3D35C" w14:textId="77777777" w:rsidR="00924023" w:rsidRPr="00C246EC" w:rsidRDefault="00EE337A" w:rsidP="0047074D">
            <w:pPr>
              <w:pStyle w:val="naiskr"/>
              <w:tabs>
                <w:tab w:val="left" w:pos="2628"/>
              </w:tabs>
              <w:spacing w:before="0" w:after="0"/>
              <w:rPr>
                <w:iCs/>
              </w:rPr>
            </w:pPr>
            <w:r w:rsidRPr="00C246EC">
              <w:rPr>
                <w:iCs/>
              </w:rPr>
              <w:t>3</w:t>
            </w:r>
            <w:r w:rsidR="00924023" w:rsidRPr="00C246EC">
              <w:rPr>
                <w:iCs/>
              </w:rPr>
              <w:t>.</w:t>
            </w:r>
          </w:p>
        </w:tc>
        <w:tc>
          <w:tcPr>
            <w:tcW w:w="2860" w:type="dxa"/>
          </w:tcPr>
          <w:p w14:paraId="2A004983" w14:textId="77777777" w:rsidR="00924023" w:rsidRPr="00C246EC" w:rsidRDefault="00924023" w:rsidP="0047074D">
            <w:pPr>
              <w:pStyle w:val="naiskr"/>
              <w:tabs>
                <w:tab w:val="left" w:pos="2628"/>
              </w:tabs>
              <w:spacing w:before="0" w:after="0"/>
              <w:rPr>
                <w:iCs/>
              </w:rPr>
            </w:pPr>
            <w:r w:rsidRPr="00C246EC">
              <w:t>Cita informācija</w:t>
            </w:r>
          </w:p>
        </w:tc>
        <w:tc>
          <w:tcPr>
            <w:tcW w:w="6414" w:type="dxa"/>
          </w:tcPr>
          <w:p w14:paraId="6810FF4E" w14:textId="77777777" w:rsidR="00924023" w:rsidRPr="00C246EC" w:rsidRDefault="008E5A64" w:rsidP="0047074D">
            <w:pPr>
              <w:pStyle w:val="naiskr"/>
              <w:tabs>
                <w:tab w:val="left" w:pos="427"/>
                <w:tab w:val="left" w:pos="2628"/>
              </w:tabs>
              <w:spacing w:before="0" w:after="120"/>
              <w:rPr>
                <w:iCs/>
              </w:rPr>
            </w:pPr>
            <w:r w:rsidRPr="00C246EC">
              <w:rPr>
                <w:iCs/>
              </w:rPr>
              <w:t>Nav</w:t>
            </w:r>
          </w:p>
        </w:tc>
      </w:tr>
    </w:tbl>
    <w:p w14:paraId="1A70E4E2" w14:textId="77777777" w:rsidR="00AE5066" w:rsidRPr="00C246EC" w:rsidRDefault="00AE5066" w:rsidP="0047074D">
      <w:pPr>
        <w:pStyle w:val="naiskr"/>
        <w:tabs>
          <w:tab w:val="left" w:pos="2628"/>
        </w:tabs>
        <w:spacing w:before="0" w:after="0"/>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860"/>
        <w:gridCol w:w="6403"/>
      </w:tblGrid>
      <w:tr w:rsidR="00E547C1" w:rsidRPr="00C246EC" w14:paraId="1EBB0BB6" w14:textId="77777777" w:rsidTr="0053367B">
        <w:trPr>
          <w:jc w:val="center"/>
        </w:trPr>
        <w:tc>
          <w:tcPr>
            <w:tcW w:w="9659" w:type="dxa"/>
            <w:gridSpan w:val="3"/>
          </w:tcPr>
          <w:p w14:paraId="78097ADB" w14:textId="77777777" w:rsidR="000F4794" w:rsidRPr="00C246EC" w:rsidRDefault="000F4794" w:rsidP="005F79EF">
            <w:pPr>
              <w:pStyle w:val="naisnod"/>
              <w:spacing w:before="0" w:after="0"/>
            </w:pPr>
            <w:r w:rsidRPr="00C246EC">
              <w:lastRenderedPageBreak/>
              <w:t>V</w:t>
            </w:r>
            <w:r w:rsidR="000941C5" w:rsidRPr="00C246EC">
              <w:t>.</w:t>
            </w:r>
            <w:r w:rsidRPr="00C246EC">
              <w:t xml:space="preserve"> Tiesību akta projekta atbilstība Latvijas Republikas starptautiskajām saistībām</w:t>
            </w:r>
          </w:p>
        </w:tc>
      </w:tr>
      <w:tr w:rsidR="00E547C1" w:rsidRPr="00C246EC" w14:paraId="5B4A88DB" w14:textId="77777777" w:rsidTr="00080409">
        <w:trPr>
          <w:jc w:val="center"/>
        </w:trPr>
        <w:tc>
          <w:tcPr>
            <w:tcW w:w="396" w:type="dxa"/>
          </w:tcPr>
          <w:p w14:paraId="08BD0B2E" w14:textId="77777777" w:rsidR="008C6112" w:rsidRPr="00C246EC" w:rsidRDefault="008C6112" w:rsidP="0047074D">
            <w:pPr>
              <w:pStyle w:val="naiskr"/>
              <w:tabs>
                <w:tab w:val="left" w:pos="2628"/>
              </w:tabs>
              <w:spacing w:before="0" w:after="0"/>
              <w:rPr>
                <w:iCs/>
              </w:rPr>
            </w:pPr>
            <w:r w:rsidRPr="00C246EC">
              <w:rPr>
                <w:iCs/>
              </w:rPr>
              <w:t>1.</w:t>
            </w:r>
          </w:p>
        </w:tc>
        <w:tc>
          <w:tcPr>
            <w:tcW w:w="2860" w:type="dxa"/>
          </w:tcPr>
          <w:p w14:paraId="576290D1" w14:textId="77777777" w:rsidR="008C6112" w:rsidRPr="00C246EC" w:rsidRDefault="008C6112" w:rsidP="0047074D">
            <w:pPr>
              <w:pStyle w:val="naiskr"/>
              <w:tabs>
                <w:tab w:val="left" w:pos="2628"/>
              </w:tabs>
              <w:spacing w:before="0" w:after="0"/>
              <w:rPr>
                <w:iCs/>
              </w:rPr>
            </w:pPr>
            <w:r w:rsidRPr="00C246EC">
              <w:rPr>
                <w:szCs w:val="28"/>
              </w:rPr>
              <w:t>Saistības pret Eiropas Savienību</w:t>
            </w:r>
          </w:p>
        </w:tc>
        <w:tc>
          <w:tcPr>
            <w:tcW w:w="6403" w:type="dxa"/>
          </w:tcPr>
          <w:p w14:paraId="7B5A8919" w14:textId="77777777" w:rsidR="008C6112" w:rsidRPr="00C246EC" w:rsidRDefault="001E1803" w:rsidP="00E51227">
            <w:pPr>
              <w:pStyle w:val="naiskr"/>
              <w:spacing w:before="0" w:after="120"/>
              <w:jc w:val="both"/>
            </w:pPr>
            <w:r w:rsidRPr="00C246EC">
              <w:rPr>
                <w:szCs w:val="28"/>
              </w:rPr>
              <w:t xml:space="preserve"> </w:t>
            </w:r>
            <w:r w:rsidR="00E51227" w:rsidRPr="00C246EC">
              <w:t>Likumprojekts šo jomu neskar.</w:t>
            </w:r>
          </w:p>
        </w:tc>
      </w:tr>
      <w:tr w:rsidR="00E547C1" w:rsidRPr="00C246EC" w14:paraId="3D56FEE1" w14:textId="77777777" w:rsidTr="00080409">
        <w:trPr>
          <w:trHeight w:val="321"/>
          <w:jc w:val="center"/>
        </w:trPr>
        <w:tc>
          <w:tcPr>
            <w:tcW w:w="396" w:type="dxa"/>
          </w:tcPr>
          <w:p w14:paraId="55710E4D" w14:textId="77777777" w:rsidR="008C6112" w:rsidRPr="00C246EC" w:rsidRDefault="008C6112" w:rsidP="0047074D">
            <w:pPr>
              <w:pStyle w:val="naiskr"/>
              <w:tabs>
                <w:tab w:val="left" w:pos="2628"/>
              </w:tabs>
              <w:spacing w:before="0" w:after="0"/>
              <w:rPr>
                <w:iCs/>
              </w:rPr>
            </w:pPr>
            <w:r w:rsidRPr="00C246EC">
              <w:rPr>
                <w:iCs/>
              </w:rPr>
              <w:t>2.</w:t>
            </w:r>
          </w:p>
        </w:tc>
        <w:tc>
          <w:tcPr>
            <w:tcW w:w="2860" w:type="dxa"/>
          </w:tcPr>
          <w:p w14:paraId="6D3E8A85" w14:textId="77777777" w:rsidR="008C6112" w:rsidRPr="00C246EC" w:rsidRDefault="008C6112" w:rsidP="0047074D">
            <w:pPr>
              <w:pStyle w:val="naiskr"/>
              <w:tabs>
                <w:tab w:val="left" w:pos="2628"/>
              </w:tabs>
              <w:spacing w:before="0" w:after="0"/>
            </w:pPr>
            <w:r w:rsidRPr="00C246EC">
              <w:t>Citas starptautiskās saistības</w:t>
            </w:r>
          </w:p>
        </w:tc>
        <w:tc>
          <w:tcPr>
            <w:tcW w:w="6403" w:type="dxa"/>
          </w:tcPr>
          <w:p w14:paraId="1354F566" w14:textId="77777777" w:rsidR="008C6112" w:rsidRPr="00C246EC" w:rsidRDefault="00E51227" w:rsidP="00E51227">
            <w:pPr>
              <w:pStyle w:val="naiskr"/>
              <w:spacing w:before="0" w:after="120"/>
              <w:jc w:val="both"/>
            </w:pPr>
            <w:r w:rsidRPr="00C246EC">
              <w:t>Likumprojekts šo jomu neskar.</w:t>
            </w:r>
          </w:p>
        </w:tc>
      </w:tr>
      <w:tr w:rsidR="008C6112" w:rsidRPr="00C246EC" w14:paraId="60AA275F" w14:textId="77777777" w:rsidTr="00080409">
        <w:trPr>
          <w:trHeight w:val="321"/>
          <w:jc w:val="center"/>
        </w:trPr>
        <w:tc>
          <w:tcPr>
            <w:tcW w:w="396" w:type="dxa"/>
          </w:tcPr>
          <w:p w14:paraId="4D7CD9C0" w14:textId="77777777" w:rsidR="008C6112" w:rsidRPr="00C246EC" w:rsidRDefault="008C6112" w:rsidP="0047074D">
            <w:pPr>
              <w:pStyle w:val="naiskr"/>
              <w:tabs>
                <w:tab w:val="left" w:pos="2628"/>
              </w:tabs>
              <w:spacing w:before="0" w:after="0"/>
              <w:rPr>
                <w:iCs/>
              </w:rPr>
            </w:pPr>
            <w:r w:rsidRPr="00C246EC">
              <w:rPr>
                <w:iCs/>
              </w:rPr>
              <w:t>3.</w:t>
            </w:r>
          </w:p>
        </w:tc>
        <w:tc>
          <w:tcPr>
            <w:tcW w:w="2860" w:type="dxa"/>
          </w:tcPr>
          <w:p w14:paraId="49BA76B0" w14:textId="77777777" w:rsidR="008C6112" w:rsidRPr="00C246EC" w:rsidRDefault="008C6112" w:rsidP="0047074D">
            <w:pPr>
              <w:pStyle w:val="naiskr"/>
              <w:tabs>
                <w:tab w:val="left" w:pos="2628"/>
              </w:tabs>
              <w:spacing w:before="0" w:after="0"/>
              <w:rPr>
                <w:iCs/>
              </w:rPr>
            </w:pPr>
            <w:r w:rsidRPr="00C246EC">
              <w:t>Cita informācija</w:t>
            </w:r>
          </w:p>
        </w:tc>
        <w:tc>
          <w:tcPr>
            <w:tcW w:w="6403" w:type="dxa"/>
          </w:tcPr>
          <w:p w14:paraId="116812E9" w14:textId="77777777" w:rsidR="008C6112" w:rsidRPr="00C246EC" w:rsidRDefault="008C6112" w:rsidP="0047074D">
            <w:pPr>
              <w:pStyle w:val="naiskr"/>
              <w:tabs>
                <w:tab w:val="left" w:pos="427"/>
                <w:tab w:val="left" w:pos="2628"/>
              </w:tabs>
              <w:spacing w:before="0" w:after="120"/>
              <w:rPr>
                <w:iCs/>
              </w:rPr>
            </w:pPr>
            <w:r w:rsidRPr="00C246EC">
              <w:rPr>
                <w:iCs/>
              </w:rPr>
              <w:t>Nav</w:t>
            </w:r>
          </w:p>
        </w:tc>
      </w:tr>
    </w:tbl>
    <w:p w14:paraId="7AB54039" w14:textId="77777777" w:rsidR="00EB4050" w:rsidRPr="00C246EC" w:rsidRDefault="00EB4050" w:rsidP="0047074D"/>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835"/>
        <w:gridCol w:w="6369"/>
      </w:tblGrid>
      <w:tr w:rsidR="00E547C1" w:rsidRPr="00C246EC" w14:paraId="0D6A1A42" w14:textId="77777777" w:rsidTr="00EB4050">
        <w:trPr>
          <w:jc w:val="center"/>
        </w:trPr>
        <w:tc>
          <w:tcPr>
            <w:tcW w:w="9625" w:type="dxa"/>
            <w:gridSpan w:val="3"/>
          </w:tcPr>
          <w:p w14:paraId="166DCD4F" w14:textId="77777777" w:rsidR="007067D6" w:rsidRPr="00C246EC" w:rsidRDefault="00277929" w:rsidP="007067D6">
            <w:pPr>
              <w:pStyle w:val="naisnod"/>
              <w:keepNext/>
              <w:keepLines/>
              <w:spacing w:before="0" w:after="0"/>
              <w:ind w:left="57" w:right="57"/>
            </w:pPr>
            <w:r w:rsidRPr="00C246EC">
              <w:lastRenderedPageBreak/>
              <w:t>VI</w:t>
            </w:r>
            <w:r w:rsidR="000941C5" w:rsidRPr="00C246EC">
              <w:t>.</w:t>
            </w:r>
            <w:r w:rsidRPr="00C246EC">
              <w:t xml:space="preserve"> Sabiedrības līdzdalība un </w:t>
            </w:r>
            <w:r w:rsidR="00EE337A" w:rsidRPr="00C246EC">
              <w:t>komunikācijas aktivitātes</w:t>
            </w:r>
          </w:p>
        </w:tc>
      </w:tr>
      <w:tr w:rsidR="00EB4050" w:rsidRPr="00C246EC" w14:paraId="68CB1F16" w14:textId="77777777" w:rsidTr="00080409">
        <w:trPr>
          <w:jc w:val="center"/>
        </w:trPr>
        <w:tc>
          <w:tcPr>
            <w:tcW w:w="421" w:type="dxa"/>
          </w:tcPr>
          <w:p w14:paraId="3A7DFF30" w14:textId="77777777" w:rsidR="00EB4050" w:rsidRPr="00C246EC" w:rsidRDefault="00EB4050" w:rsidP="00EB4050">
            <w:pPr>
              <w:pStyle w:val="naisnod"/>
              <w:keepNext/>
              <w:keepLines/>
              <w:spacing w:before="0" w:after="0"/>
              <w:ind w:left="57" w:right="57"/>
              <w:jc w:val="left"/>
              <w:rPr>
                <w:b w:val="0"/>
              </w:rPr>
            </w:pPr>
            <w:r w:rsidRPr="00C246EC">
              <w:rPr>
                <w:b w:val="0"/>
              </w:rPr>
              <w:t>1.</w:t>
            </w:r>
          </w:p>
        </w:tc>
        <w:tc>
          <w:tcPr>
            <w:tcW w:w="2835" w:type="dxa"/>
          </w:tcPr>
          <w:p w14:paraId="0EB3AA89" w14:textId="77777777" w:rsidR="00EB4050" w:rsidRPr="00C246EC" w:rsidRDefault="00EB4050" w:rsidP="00EB4050">
            <w:pPr>
              <w:pStyle w:val="naisnod"/>
              <w:keepNext/>
              <w:keepLines/>
              <w:spacing w:before="0" w:after="0"/>
              <w:ind w:left="57" w:right="57"/>
              <w:jc w:val="both"/>
              <w:rPr>
                <w:b w:val="0"/>
              </w:rPr>
            </w:pPr>
            <w:r w:rsidRPr="00C246EC">
              <w:rPr>
                <w:b w:val="0"/>
              </w:rPr>
              <w:t>Plānotās sabiedrības līdzdalības un komunikācijas aktivitātes saistībā ar projektu</w:t>
            </w:r>
          </w:p>
        </w:tc>
        <w:tc>
          <w:tcPr>
            <w:tcW w:w="6369" w:type="dxa"/>
          </w:tcPr>
          <w:p w14:paraId="1DA1F1EF" w14:textId="77777777" w:rsidR="00E51227" w:rsidRPr="00C246EC" w:rsidRDefault="00270AF5" w:rsidP="00912A06">
            <w:pPr>
              <w:pStyle w:val="naisf"/>
              <w:keepNext/>
              <w:keepLines/>
              <w:ind w:firstLine="0"/>
            </w:pPr>
            <w:r w:rsidRPr="00C246EC">
              <w:t>Ekonomikas ministrija rīkoja Latvijas mazo uzņēmumu aptauju par problēmām un izaicinājumiem nodokļu sistēmā, kā arī ieteikumiem uzņēmējdarbības vides uzlabošanā mazajiem uzņēmumiem nodokļu jomā.</w:t>
            </w:r>
          </w:p>
        </w:tc>
      </w:tr>
      <w:tr w:rsidR="00EB4050" w:rsidRPr="00C246EC" w14:paraId="5AE59C13" w14:textId="77777777" w:rsidTr="00080409">
        <w:trPr>
          <w:jc w:val="center"/>
        </w:trPr>
        <w:tc>
          <w:tcPr>
            <w:tcW w:w="421" w:type="dxa"/>
          </w:tcPr>
          <w:p w14:paraId="537470D9" w14:textId="77777777" w:rsidR="00EB4050" w:rsidRPr="00C246EC" w:rsidRDefault="00EB4050" w:rsidP="00EB4050">
            <w:pPr>
              <w:pStyle w:val="naisnod"/>
              <w:keepNext/>
              <w:keepLines/>
              <w:spacing w:before="0" w:after="0"/>
              <w:ind w:left="57" w:right="57"/>
              <w:jc w:val="left"/>
              <w:rPr>
                <w:b w:val="0"/>
              </w:rPr>
            </w:pPr>
            <w:r w:rsidRPr="00C246EC">
              <w:rPr>
                <w:b w:val="0"/>
              </w:rPr>
              <w:t>2.</w:t>
            </w:r>
          </w:p>
        </w:tc>
        <w:tc>
          <w:tcPr>
            <w:tcW w:w="2835" w:type="dxa"/>
          </w:tcPr>
          <w:p w14:paraId="351A1737" w14:textId="77777777" w:rsidR="00EB4050" w:rsidRPr="00C246EC" w:rsidRDefault="00EB4050" w:rsidP="00EB4050">
            <w:pPr>
              <w:pStyle w:val="naisnod"/>
              <w:keepNext/>
              <w:keepLines/>
              <w:spacing w:before="0" w:after="0"/>
              <w:ind w:left="57" w:right="57"/>
              <w:jc w:val="both"/>
              <w:rPr>
                <w:b w:val="0"/>
              </w:rPr>
            </w:pPr>
            <w:r w:rsidRPr="00C246EC">
              <w:rPr>
                <w:b w:val="0"/>
              </w:rPr>
              <w:t>Sabiedrības līdzdalība projekta izstrādē</w:t>
            </w:r>
          </w:p>
        </w:tc>
        <w:tc>
          <w:tcPr>
            <w:tcW w:w="6369" w:type="dxa"/>
          </w:tcPr>
          <w:p w14:paraId="2DCE3575" w14:textId="6BD2E861" w:rsidR="00E51227" w:rsidRPr="00C246EC" w:rsidRDefault="00270AF5" w:rsidP="00E51227">
            <w:pPr>
              <w:pStyle w:val="naisf"/>
              <w:ind w:firstLine="0"/>
            </w:pPr>
            <w:r w:rsidRPr="00C246EC">
              <w:t>Latvijas mazo uzņēmumu aptauju nodrošināja pētījumu centrs SKDS.</w:t>
            </w:r>
          </w:p>
        </w:tc>
      </w:tr>
      <w:tr w:rsidR="00EB4050" w:rsidRPr="00C246EC" w14:paraId="34DF11C0" w14:textId="77777777" w:rsidTr="00080409">
        <w:trPr>
          <w:jc w:val="center"/>
        </w:trPr>
        <w:tc>
          <w:tcPr>
            <w:tcW w:w="421" w:type="dxa"/>
          </w:tcPr>
          <w:p w14:paraId="35A16530" w14:textId="77777777" w:rsidR="00EB4050" w:rsidRPr="00C246EC" w:rsidRDefault="00EB4050" w:rsidP="00EB4050">
            <w:pPr>
              <w:pStyle w:val="naisnod"/>
              <w:keepNext/>
              <w:keepLines/>
              <w:spacing w:before="0" w:after="0"/>
              <w:ind w:left="57" w:right="57"/>
              <w:jc w:val="left"/>
              <w:rPr>
                <w:b w:val="0"/>
              </w:rPr>
            </w:pPr>
            <w:r w:rsidRPr="00C246EC">
              <w:rPr>
                <w:b w:val="0"/>
              </w:rPr>
              <w:lastRenderedPageBreak/>
              <w:t>3.</w:t>
            </w:r>
          </w:p>
        </w:tc>
        <w:tc>
          <w:tcPr>
            <w:tcW w:w="2835" w:type="dxa"/>
          </w:tcPr>
          <w:p w14:paraId="0BB3A594" w14:textId="77777777" w:rsidR="00EB4050" w:rsidRPr="00C246EC" w:rsidRDefault="00EB4050" w:rsidP="00EB4050">
            <w:pPr>
              <w:pStyle w:val="naisnod"/>
              <w:keepNext/>
              <w:keepLines/>
              <w:spacing w:before="0" w:after="0"/>
              <w:ind w:left="57" w:right="57"/>
              <w:jc w:val="both"/>
              <w:rPr>
                <w:b w:val="0"/>
              </w:rPr>
            </w:pPr>
            <w:r w:rsidRPr="00C246EC">
              <w:rPr>
                <w:b w:val="0"/>
              </w:rPr>
              <w:t>Sabiedrības līdzdalības rezultāti</w:t>
            </w:r>
          </w:p>
        </w:tc>
        <w:tc>
          <w:tcPr>
            <w:tcW w:w="6369" w:type="dxa"/>
          </w:tcPr>
          <w:p w14:paraId="05E3C8A8" w14:textId="77777777" w:rsidR="00912A06" w:rsidRPr="00C246EC" w:rsidRDefault="00912A06" w:rsidP="00912A06">
            <w:pPr>
              <w:pStyle w:val="naisf"/>
              <w:keepNext/>
              <w:keepLines/>
              <w:ind w:firstLine="0"/>
            </w:pPr>
            <w:r w:rsidRPr="00C246EC">
              <w:t xml:space="preserve">Pētījumu centra SKDS 2017. gada martā veiktās Latvijas mazo uzņēmumu (uzņēmumi ar darbinieku skaitu no 0 līdz 5 un gada apgrozījumu līdz 100 000 eiro) aptaujas dati liecina, ka salīdzinoši neliela daļa uzņēmumu saskaņā ar to amatpersonu norādīto ir nesen dibināti un ar ambīcijām strauji augt – to norādīja 13% aptaujāto mazo uzņēmumu amatpersonu (15% uzņēmumu grupā, kas ir </w:t>
            </w:r>
            <w:proofErr w:type="spellStart"/>
            <w:r w:rsidRPr="00C246EC">
              <w:t>mikrouzņēmumu</w:t>
            </w:r>
            <w:proofErr w:type="spellEnd"/>
            <w:r w:rsidRPr="00C246EC">
              <w:t xml:space="preserve"> nodokļa (MUN) maksātāji, un 11% uzņēmumu grupā, kas maksā nodokļus vispārējā režīmā).</w:t>
            </w:r>
          </w:p>
          <w:p w14:paraId="0E9576C1" w14:textId="77777777" w:rsidR="00912A06" w:rsidRPr="00C246EC" w:rsidRDefault="00912A06" w:rsidP="00912A06">
            <w:pPr>
              <w:pStyle w:val="naisf"/>
              <w:keepNext/>
              <w:keepLines/>
              <w:ind w:firstLine="0"/>
            </w:pPr>
            <w:r w:rsidRPr="00C246EC">
              <w:t>Lielākā daļa mazo uzņēmumu amatpersonu kā savam uzņēmumam atbilstošus izvēlējās piezemētākus raksturojumus:</w:t>
            </w:r>
          </w:p>
          <w:p w14:paraId="16F9738D" w14:textId="77777777" w:rsidR="00912A06" w:rsidRPr="00C246EC" w:rsidRDefault="00912A06" w:rsidP="00270AF5">
            <w:pPr>
              <w:pStyle w:val="naisf"/>
              <w:keepNext/>
              <w:keepLines/>
              <w:numPr>
                <w:ilvl w:val="0"/>
                <w:numId w:val="34"/>
              </w:numPr>
            </w:pPr>
            <w:r w:rsidRPr="00C246EC">
              <w:t>uzņēmuma darbības galvenais mērķis ir palīdzēt uzturēt īpašnieku un tā ģimeni – to norādīja 37% mazo uzņēmumu amatpersonas visu uzņēmumu grupā, 47% - uzņēmumu, kas ir MUN maksātāji, grupā, 29% - uzņēmumu, kas maksā nodokļus vispārējā režīmā, grupā;</w:t>
            </w:r>
          </w:p>
          <w:p w14:paraId="7AD2ACDB" w14:textId="77777777" w:rsidR="00912A06" w:rsidRPr="00C246EC" w:rsidRDefault="00912A06" w:rsidP="00270AF5">
            <w:pPr>
              <w:pStyle w:val="naisf"/>
              <w:keepNext/>
              <w:keepLines/>
              <w:numPr>
                <w:ilvl w:val="0"/>
                <w:numId w:val="34"/>
              </w:numPr>
            </w:pPr>
            <w:r w:rsidRPr="00C246EC">
              <w:t>uzņēmuma īpašniekam paralēli uzņēmējdarbībai ir arī citi stabili un garantēti ienākumi (piemēram, algots darbs): 35% - visu uzņēmumu grupā, 29% - uzņēmumu, kas ir MUN maksātāji, grupā, 41% uzņēmumu, kas maksā nodokļus vispārējā režīmā, grupā;</w:t>
            </w:r>
          </w:p>
          <w:p w14:paraId="7F3E3614" w14:textId="77777777" w:rsidR="00912A06" w:rsidRPr="00C246EC" w:rsidRDefault="00912A06" w:rsidP="00270AF5">
            <w:pPr>
              <w:pStyle w:val="naisf"/>
              <w:keepNext/>
              <w:keepLines/>
              <w:numPr>
                <w:ilvl w:val="0"/>
                <w:numId w:val="33"/>
              </w:numPr>
            </w:pPr>
            <w:r w:rsidRPr="00C246EC">
              <w:t>uzņēmumam nav ambīcijas strauji augt un palielināt apgrozījumu: 21% - visu uzņēmumu grupā, 23% - uzņēmumu, kas ir MUN maksātāji, grupā, 18% - uzņēmumu, kas maksā nodokļus vispārējā režīmā, grupā.</w:t>
            </w:r>
          </w:p>
          <w:p w14:paraId="10ADAC75" w14:textId="77777777" w:rsidR="00912A06" w:rsidRPr="00C246EC" w:rsidRDefault="00912A06" w:rsidP="00270AF5">
            <w:pPr>
              <w:pStyle w:val="naisf"/>
              <w:keepNext/>
              <w:keepLines/>
              <w:numPr>
                <w:ilvl w:val="0"/>
                <w:numId w:val="33"/>
              </w:numPr>
            </w:pPr>
            <w:r w:rsidRPr="00C246EC">
              <w:t>Attiecībā uz uzņēmuma peļņas izlietojumu apmēram vienlīdz bieži mazo uzņēmumu amatpersonas norādīja, ka:</w:t>
            </w:r>
          </w:p>
          <w:p w14:paraId="71BDBC79" w14:textId="77777777" w:rsidR="00912A06" w:rsidRPr="00C246EC" w:rsidRDefault="00912A06" w:rsidP="00270AF5">
            <w:pPr>
              <w:pStyle w:val="naisf"/>
              <w:keepNext/>
              <w:keepLines/>
              <w:numPr>
                <w:ilvl w:val="0"/>
                <w:numId w:val="33"/>
              </w:numPr>
            </w:pPr>
            <w:r w:rsidRPr="00C246EC">
              <w:t>uzņēmumam nav bijusi peļņa - to norādīja 31% mazo uzņēmumu amatpersonas visu uzņēmumu grupā, 25% - uzņēmumu, kas ir MUN maksātāji, grupā, 36% - uzņēmumu, kas maksā nodokļus vispārējā režīmā, grupā;</w:t>
            </w:r>
          </w:p>
          <w:p w14:paraId="16F46219" w14:textId="77777777" w:rsidR="00912A06" w:rsidRPr="00C246EC" w:rsidRDefault="00912A06" w:rsidP="00270AF5">
            <w:pPr>
              <w:pStyle w:val="naisf"/>
              <w:keepNext/>
              <w:keepLines/>
              <w:numPr>
                <w:ilvl w:val="0"/>
                <w:numId w:val="33"/>
              </w:numPr>
            </w:pPr>
            <w:r w:rsidRPr="00C246EC">
              <w:t>visa peļņa vai lielākā tās daļa tiek ieguldīta šī uzņēmuma attīstībā – to norādīja 29% uzņēmumu amatpersonas visu uzņēmumu grupā, 25% - uzņēmumu, kas ir MUN maksātāji, grupā, 33% - uzņēmumu, kas maksā nodokļus vispārējā režīmā, grupā;</w:t>
            </w:r>
          </w:p>
          <w:p w14:paraId="3864218A" w14:textId="77777777" w:rsidR="00912A06" w:rsidRPr="00C246EC" w:rsidRDefault="00912A06" w:rsidP="00270AF5">
            <w:pPr>
              <w:pStyle w:val="naisf"/>
              <w:keepNext/>
              <w:keepLines/>
              <w:numPr>
                <w:ilvl w:val="0"/>
                <w:numId w:val="33"/>
              </w:numPr>
            </w:pPr>
            <w:r w:rsidRPr="00C246EC">
              <w:t>peļņa tiek ieguldīta gan šī uzņēmuma attīstībā, gan izmantota īpašnieka/ tā ģimenes uzturēšanā vai citiem ar šo uzņēmumu nesaistītiem mērķiem – to norādīja 27% uzņēmumu amatpersonas visu uzņēmumu grupā, 31% - uzņēmumu, kas ir MUN maksātāji, grupā, 24% - uzņēmumu, kas maksā nodokļus vispārējā režīmā, grupā.</w:t>
            </w:r>
          </w:p>
          <w:p w14:paraId="74677768" w14:textId="77777777" w:rsidR="00912A06" w:rsidRPr="00C246EC" w:rsidRDefault="00912A06" w:rsidP="00912A06">
            <w:pPr>
              <w:pStyle w:val="naisf"/>
              <w:keepNext/>
              <w:keepLines/>
              <w:ind w:firstLine="0"/>
            </w:pPr>
            <w:r w:rsidRPr="00C246EC">
              <w:t>Salīdzinoši retāk aptaujātās uzņēmumu amatpersonas norādīja, ka visa peļņa vai lielākā tās daļa tiek izmantota īpašnieka/ tā ģimenes uzturēšanā vai citiem ar šo uzņēmumu nesaistītiem mērķiem: 13% - visu uzņēmumu grupā, 19% - uzņēmumu, kas ir MUN maksātāji, grupā, 8% - uzņēmumu, kas maksā nodokļus vispārējā režīmā, grupā.</w:t>
            </w:r>
          </w:p>
          <w:p w14:paraId="405CCD8A" w14:textId="77777777" w:rsidR="00912A06" w:rsidRPr="00C246EC" w:rsidRDefault="00912A06" w:rsidP="00912A06">
            <w:pPr>
              <w:pStyle w:val="naisf"/>
              <w:keepNext/>
              <w:keepLines/>
              <w:ind w:firstLine="0"/>
            </w:pPr>
            <w:r w:rsidRPr="00C246EC">
              <w:lastRenderedPageBreak/>
              <w:t>Aptaujas dati arī liecina, ka salīdzinoši maza daļa uzņēmumu tuvākajos pāris gados plāno sasniegt apgrozījumu virs 100 tūkstoš eiro gadā – to norādīja 13% mazo uzņēmumu amatpersonas visu uzņēmumu grupā, 9% - uzņēmumu, kas ir MUN maksātāji, grupā, 17% - uzņēmumu, kas maksā nodokļus vispārējā režīmā, grupā.</w:t>
            </w:r>
          </w:p>
          <w:p w14:paraId="4345EB3E" w14:textId="77777777" w:rsidR="00912A06" w:rsidRPr="00AC49BF" w:rsidRDefault="00912A06" w:rsidP="00912A06">
            <w:pPr>
              <w:pStyle w:val="naisf"/>
              <w:keepNext/>
              <w:keepLines/>
              <w:ind w:firstLine="0"/>
              <w:rPr>
                <w:u w:val="single"/>
              </w:rPr>
            </w:pPr>
            <w:r w:rsidRPr="00AC49BF">
              <w:rPr>
                <w:u w:val="single"/>
              </w:rPr>
              <w:t>Mazo uzņēmumu attieksme pret nodokļu jautājumiem</w:t>
            </w:r>
          </w:p>
          <w:p w14:paraId="6C5E87A2" w14:textId="77777777" w:rsidR="00912A06" w:rsidRPr="00C246EC" w:rsidRDefault="00912A06" w:rsidP="00912A06">
            <w:pPr>
              <w:pStyle w:val="naisf"/>
              <w:keepNext/>
              <w:keepLines/>
              <w:ind w:firstLine="0"/>
            </w:pPr>
            <w:r w:rsidRPr="00C246EC">
              <w:t>Saskaņā ar mazo uzņēmumu amatpersonu sniegtajām atbildēm lielākie šķēršļi uzņēmumu darbībai ir:</w:t>
            </w:r>
          </w:p>
          <w:p w14:paraId="01863117" w14:textId="77777777" w:rsidR="00912A06" w:rsidRPr="00C246EC" w:rsidRDefault="00912A06" w:rsidP="00270AF5">
            <w:pPr>
              <w:pStyle w:val="naisf"/>
              <w:keepNext/>
              <w:keepLines/>
              <w:numPr>
                <w:ilvl w:val="0"/>
                <w:numId w:val="31"/>
              </w:numPr>
            </w:pPr>
            <w:r w:rsidRPr="00C246EC">
              <w:t>pašreizējais kopējais nodokļu apmērs – 36% vērtē, ka tas uzņēmumam rada ļoti lielas grūtības, un 30% - ka drīzāk lielas grūtības (kopā: 66%);</w:t>
            </w:r>
          </w:p>
          <w:p w14:paraId="1415EDBD" w14:textId="77777777" w:rsidR="00912A06" w:rsidRPr="00C246EC" w:rsidRDefault="00912A06" w:rsidP="00270AF5">
            <w:pPr>
              <w:pStyle w:val="naisf"/>
              <w:keepNext/>
              <w:keepLines/>
              <w:numPr>
                <w:ilvl w:val="0"/>
                <w:numId w:val="31"/>
              </w:numPr>
            </w:pPr>
            <w:r w:rsidRPr="00C246EC">
              <w:t>pašreizējais darbaspēka nodokļu apmērs – attiecīgi 35% un 29% (kopā 64%);</w:t>
            </w:r>
          </w:p>
          <w:p w14:paraId="284E2FD9" w14:textId="77777777" w:rsidR="00912A06" w:rsidRPr="00C246EC" w:rsidRDefault="00912A06" w:rsidP="00270AF5">
            <w:pPr>
              <w:pStyle w:val="naisf"/>
              <w:keepNext/>
              <w:keepLines/>
              <w:numPr>
                <w:ilvl w:val="0"/>
                <w:numId w:val="31"/>
              </w:numPr>
            </w:pPr>
            <w:r w:rsidRPr="00C246EC">
              <w:t>iedzīvotāju pirktspēja - attiecīgi 29% un 23% (kopā 52%).</w:t>
            </w:r>
          </w:p>
          <w:p w14:paraId="5A8E620C" w14:textId="77777777" w:rsidR="00912A06" w:rsidRPr="00C246EC" w:rsidRDefault="00912A06" w:rsidP="00912A06">
            <w:pPr>
              <w:pStyle w:val="naisf"/>
              <w:keepNext/>
              <w:keepLines/>
              <w:ind w:firstLine="0"/>
            </w:pPr>
            <w:r w:rsidRPr="00AC49BF">
              <w:rPr>
                <w:u w:val="single"/>
              </w:rPr>
              <w:t xml:space="preserve">Aptaujas dati liecina, ka lielākā daļa mazo uzņēmumu amatpersonu uzskata, ka Latvijā būtu jāsaglabā </w:t>
            </w:r>
            <w:proofErr w:type="spellStart"/>
            <w:r w:rsidRPr="00AC49BF">
              <w:rPr>
                <w:u w:val="single"/>
              </w:rPr>
              <w:t>mikrouzņēmumu</w:t>
            </w:r>
            <w:proofErr w:type="spellEnd"/>
            <w:r w:rsidRPr="00AC49BF">
              <w:rPr>
                <w:u w:val="single"/>
              </w:rPr>
              <w:t xml:space="preserve"> nodokļa režīms, turklāt to atbalsta arī lielākā daļa mazo uzņēmumu, kas nodokļus maksā vispārējā režīmā.</w:t>
            </w:r>
            <w:r w:rsidRPr="00C246EC">
              <w:t xml:space="preserve"> Visu mazo uzņēmumu grupā </w:t>
            </w:r>
            <w:proofErr w:type="spellStart"/>
            <w:r w:rsidRPr="00C246EC">
              <w:t>mikrouzņēmumu</w:t>
            </w:r>
            <w:proofErr w:type="spellEnd"/>
            <w:r w:rsidRPr="00C246EC">
              <w:t xml:space="preserve"> nodokļu režīma saglabāšanu atbalsta 74% aptaujāto mazo uzņēmumu amatpersonu, uzņēmumu, kas ir MUN maksātāji, grupā – 91%, uzņēmumu, kas maksā nodokļus vispārējā režīmā, grupā – 59%.</w:t>
            </w:r>
          </w:p>
          <w:p w14:paraId="2354501F" w14:textId="77777777" w:rsidR="00912A06" w:rsidRPr="00C246EC" w:rsidRDefault="00912A06" w:rsidP="00912A06">
            <w:pPr>
              <w:pStyle w:val="naisf"/>
              <w:keepNext/>
              <w:keepLines/>
              <w:ind w:firstLine="0"/>
            </w:pPr>
            <w:r w:rsidRPr="00C246EC">
              <w:t>Aptaujas dati liecina, ka, izvēloties no vairākiem iespējamiem nodokļu režīmiem, uzņēmumi, kas šobrīd maksā MUN, visbiežāk par sev piemērotāko atzina pašreizējo MUN režīmu – to norādīja gandrīz 2/3 jeb 65% šīs grupas uzņēmumu amatpersonu.</w:t>
            </w:r>
          </w:p>
          <w:p w14:paraId="74928AAD" w14:textId="77777777" w:rsidR="00EB4050" w:rsidRPr="00C246EC" w:rsidRDefault="00912A06" w:rsidP="00912A06">
            <w:pPr>
              <w:pStyle w:val="naisf"/>
              <w:ind w:firstLine="0"/>
            </w:pPr>
            <w:r w:rsidRPr="00C246EC">
              <w:t>Savukārt mazie uzņēmumi, kas maksā nodokļus vispārējā režīmā, par sev piemērotāko atzina esošo vispārējo nodokļu režīmu - to norādīja gandrīz puse jeb 46% šīs grupas uzņēmumu amatpersonu.</w:t>
            </w:r>
          </w:p>
        </w:tc>
      </w:tr>
      <w:tr w:rsidR="00EB4050" w:rsidRPr="00C246EC" w14:paraId="1B8E2C8B" w14:textId="77777777" w:rsidTr="00080409">
        <w:trPr>
          <w:jc w:val="center"/>
        </w:trPr>
        <w:tc>
          <w:tcPr>
            <w:tcW w:w="421" w:type="dxa"/>
          </w:tcPr>
          <w:p w14:paraId="6CB8B2D0" w14:textId="77777777" w:rsidR="00EB4050" w:rsidRPr="00C246EC" w:rsidRDefault="00EB4050" w:rsidP="00EB4050">
            <w:pPr>
              <w:pStyle w:val="naisnod"/>
              <w:keepNext/>
              <w:keepLines/>
              <w:spacing w:before="0" w:after="0"/>
              <w:ind w:left="57" w:right="57"/>
              <w:jc w:val="left"/>
              <w:rPr>
                <w:b w:val="0"/>
              </w:rPr>
            </w:pPr>
            <w:r w:rsidRPr="00C246EC">
              <w:rPr>
                <w:b w:val="0"/>
              </w:rPr>
              <w:lastRenderedPageBreak/>
              <w:t>4.</w:t>
            </w:r>
          </w:p>
        </w:tc>
        <w:tc>
          <w:tcPr>
            <w:tcW w:w="2835" w:type="dxa"/>
          </w:tcPr>
          <w:p w14:paraId="04B0BB05" w14:textId="77777777" w:rsidR="00EB4050" w:rsidRPr="00C246EC" w:rsidRDefault="00EB4050" w:rsidP="00EB4050">
            <w:pPr>
              <w:pStyle w:val="naisnod"/>
              <w:keepNext/>
              <w:keepLines/>
              <w:spacing w:before="0" w:after="0"/>
              <w:ind w:left="57" w:right="57"/>
              <w:jc w:val="both"/>
              <w:rPr>
                <w:b w:val="0"/>
              </w:rPr>
            </w:pPr>
            <w:r w:rsidRPr="00C246EC">
              <w:rPr>
                <w:b w:val="0"/>
              </w:rPr>
              <w:t>Cita informācija</w:t>
            </w:r>
          </w:p>
        </w:tc>
        <w:tc>
          <w:tcPr>
            <w:tcW w:w="6369" w:type="dxa"/>
          </w:tcPr>
          <w:p w14:paraId="0B036033" w14:textId="77777777" w:rsidR="00EB4050" w:rsidRPr="00C246EC" w:rsidRDefault="00EB4050" w:rsidP="00EB4050">
            <w:pPr>
              <w:pStyle w:val="naisf"/>
              <w:ind w:firstLine="0"/>
            </w:pPr>
            <w:r w:rsidRPr="00C246EC">
              <w:t>Nav</w:t>
            </w:r>
            <w:r w:rsidR="00912A06" w:rsidRPr="00C246EC">
              <w:t>.</w:t>
            </w:r>
          </w:p>
        </w:tc>
      </w:tr>
    </w:tbl>
    <w:p w14:paraId="384F83D3" w14:textId="77777777" w:rsidR="00DC5289" w:rsidRPr="00C246EC" w:rsidRDefault="00DC5289" w:rsidP="00EB4050">
      <w:pPr>
        <w:pStyle w:val="naisf"/>
        <w:spacing w:before="0" w:after="0"/>
        <w:ind w:firstLine="0"/>
      </w:pPr>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2802"/>
        <w:gridCol w:w="6412"/>
      </w:tblGrid>
      <w:tr w:rsidR="00E547C1" w:rsidRPr="00C246EC" w14:paraId="37EC2C99" w14:textId="77777777" w:rsidTr="0053367B">
        <w:tc>
          <w:tcPr>
            <w:tcW w:w="9640" w:type="dxa"/>
            <w:gridSpan w:val="3"/>
            <w:tcBorders>
              <w:top w:val="single" w:sz="4" w:space="0" w:color="auto"/>
            </w:tcBorders>
          </w:tcPr>
          <w:p w14:paraId="5D80F963" w14:textId="77777777" w:rsidR="0023436E" w:rsidRPr="00C246EC" w:rsidRDefault="0023436E" w:rsidP="0047074D">
            <w:pPr>
              <w:pStyle w:val="naisnod"/>
              <w:spacing w:before="0" w:after="0"/>
              <w:ind w:left="57" w:right="57"/>
            </w:pPr>
            <w:r w:rsidRPr="00C246EC">
              <w:t>VII</w:t>
            </w:r>
            <w:r w:rsidR="000941C5" w:rsidRPr="00C246EC">
              <w:t>.</w:t>
            </w:r>
            <w:r w:rsidRPr="00C246EC">
              <w:t xml:space="preserve"> Tiesību akta projekta izpildes nodrošināšana un tās ietekme uz institūcijām</w:t>
            </w:r>
          </w:p>
        </w:tc>
      </w:tr>
      <w:tr w:rsidR="00E547C1" w:rsidRPr="00C246EC" w14:paraId="4D079B20" w14:textId="77777777" w:rsidTr="00080409">
        <w:trPr>
          <w:trHeight w:val="427"/>
        </w:trPr>
        <w:tc>
          <w:tcPr>
            <w:tcW w:w="426" w:type="dxa"/>
          </w:tcPr>
          <w:p w14:paraId="7A77B70E" w14:textId="77777777" w:rsidR="0023436E" w:rsidRPr="00C246EC" w:rsidRDefault="0023436E" w:rsidP="0047074D">
            <w:pPr>
              <w:pStyle w:val="naisnod"/>
              <w:spacing w:before="0" w:after="0"/>
              <w:ind w:left="57" w:right="57"/>
              <w:jc w:val="left"/>
              <w:rPr>
                <w:b w:val="0"/>
              </w:rPr>
            </w:pPr>
            <w:r w:rsidRPr="00C246EC">
              <w:rPr>
                <w:b w:val="0"/>
              </w:rPr>
              <w:t>1.</w:t>
            </w:r>
          </w:p>
        </w:tc>
        <w:tc>
          <w:tcPr>
            <w:tcW w:w="2802" w:type="dxa"/>
          </w:tcPr>
          <w:p w14:paraId="5DB68D3E" w14:textId="77777777" w:rsidR="0023436E" w:rsidRPr="00C246EC" w:rsidRDefault="001A4066" w:rsidP="0047074D">
            <w:pPr>
              <w:pStyle w:val="naisf"/>
              <w:spacing w:before="0" w:after="0"/>
              <w:ind w:left="57" w:right="57" w:firstLine="0"/>
              <w:jc w:val="left"/>
            </w:pPr>
            <w:r w:rsidRPr="00C246EC">
              <w:t>P</w:t>
            </w:r>
            <w:r w:rsidR="0023436E" w:rsidRPr="00C246EC">
              <w:t xml:space="preserve">rojekta izpildē iesaistītās institūcijas </w:t>
            </w:r>
          </w:p>
        </w:tc>
        <w:tc>
          <w:tcPr>
            <w:tcW w:w="6412" w:type="dxa"/>
          </w:tcPr>
          <w:p w14:paraId="3F5578C9" w14:textId="77777777" w:rsidR="0023436E" w:rsidRPr="00C246EC" w:rsidRDefault="00991E88" w:rsidP="0047074D">
            <w:pPr>
              <w:pStyle w:val="naiskr"/>
              <w:tabs>
                <w:tab w:val="left" w:pos="427"/>
                <w:tab w:val="left" w:pos="2628"/>
              </w:tabs>
              <w:spacing w:before="0" w:after="120"/>
              <w:ind w:left="70"/>
              <w:jc w:val="both"/>
              <w:rPr>
                <w:iCs/>
              </w:rPr>
            </w:pPr>
            <w:r w:rsidRPr="00C246EC">
              <w:rPr>
                <w:iCs/>
              </w:rPr>
              <w:t>Valsts ieņēmumu dienests</w:t>
            </w:r>
          </w:p>
        </w:tc>
      </w:tr>
      <w:tr w:rsidR="00E547C1" w:rsidRPr="00C246EC" w14:paraId="4C006EDC" w14:textId="77777777" w:rsidTr="00080409">
        <w:trPr>
          <w:trHeight w:val="463"/>
        </w:trPr>
        <w:tc>
          <w:tcPr>
            <w:tcW w:w="426" w:type="dxa"/>
          </w:tcPr>
          <w:p w14:paraId="37D6E7E0" w14:textId="77777777" w:rsidR="0023436E" w:rsidRPr="00C246EC" w:rsidRDefault="0023436E" w:rsidP="0047074D">
            <w:pPr>
              <w:pStyle w:val="naisnod"/>
              <w:spacing w:before="0" w:after="0"/>
              <w:ind w:left="57" w:right="57"/>
              <w:jc w:val="left"/>
              <w:rPr>
                <w:b w:val="0"/>
              </w:rPr>
            </w:pPr>
            <w:r w:rsidRPr="00C246EC">
              <w:rPr>
                <w:b w:val="0"/>
              </w:rPr>
              <w:t>2.</w:t>
            </w:r>
          </w:p>
        </w:tc>
        <w:tc>
          <w:tcPr>
            <w:tcW w:w="2802" w:type="dxa"/>
          </w:tcPr>
          <w:p w14:paraId="4A8A60A1" w14:textId="77777777" w:rsidR="0023436E" w:rsidRPr="00C246EC" w:rsidRDefault="001A4066" w:rsidP="0047074D">
            <w:pPr>
              <w:pStyle w:val="naisf"/>
              <w:spacing w:before="0" w:after="0"/>
              <w:ind w:left="57" w:right="57" w:firstLine="0"/>
              <w:jc w:val="left"/>
            </w:pPr>
            <w:r w:rsidRPr="00C246EC">
              <w:t>Projekta i</w:t>
            </w:r>
            <w:r w:rsidR="0023436E" w:rsidRPr="00C246EC">
              <w:t xml:space="preserve">zpildes ietekme uz pārvaldes funkcijām </w:t>
            </w:r>
            <w:r w:rsidR="0053367B" w:rsidRPr="00C246EC">
              <w:t xml:space="preserve">un institucionālo struktūru. </w:t>
            </w:r>
          </w:p>
          <w:p w14:paraId="39A9DBAD" w14:textId="77777777" w:rsidR="0053367B" w:rsidRPr="00C246EC" w:rsidRDefault="0053367B" w:rsidP="0047074D">
            <w:pPr>
              <w:pStyle w:val="naisf"/>
              <w:spacing w:before="0" w:after="0"/>
              <w:ind w:left="57" w:right="57" w:firstLine="0"/>
              <w:jc w:val="left"/>
            </w:pPr>
            <w:r w:rsidRPr="00C246EC">
              <w:rPr>
                <w:szCs w:val="28"/>
              </w:rPr>
              <w:t>Jaunu institūciju izveide, esošu institūciju likvidācija vai reorganizācija, to ietekme uz institūcijas cilvēkresursiem</w:t>
            </w:r>
          </w:p>
        </w:tc>
        <w:tc>
          <w:tcPr>
            <w:tcW w:w="6412" w:type="dxa"/>
          </w:tcPr>
          <w:p w14:paraId="445D57DC" w14:textId="53EFE785" w:rsidR="0023436E" w:rsidRPr="00C246EC" w:rsidRDefault="00265B6A" w:rsidP="00270AF5">
            <w:pPr>
              <w:pStyle w:val="naisnod"/>
              <w:spacing w:after="120"/>
              <w:ind w:left="57" w:right="57"/>
              <w:jc w:val="both"/>
              <w:rPr>
                <w:b w:val="0"/>
              </w:rPr>
            </w:pPr>
            <w:r>
              <w:rPr>
                <w:b w:val="0"/>
              </w:rPr>
              <w:t>Nav</w:t>
            </w:r>
          </w:p>
        </w:tc>
      </w:tr>
      <w:tr w:rsidR="00E547C1" w:rsidRPr="00C246EC" w14:paraId="53E71D3A" w14:textId="77777777" w:rsidTr="00080409">
        <w:trPr>
          <w:trHeight w:val="476"/>
        </w:trPr>
        <w:tc>
          <w:tcPr>
            <w:tcW w:w="426" w:type="dxa"/>
          </w:tcPr>
          <w:p w14:paraId="47A9C2E4" w14:textId="77777777" w:rsidR="0023436E" w:rsidRPr="00C246EC" w:rsidRDefault="0053367B" w:rsidP="0047074D">
            <w:pPr>
              <w:pStyle w:val="naiskr"/>
              <w:spacing w:before="0" w:after="0"/>
              <w:ind w:left="57" w:right="57"/>
            </w:pPr>
            <w:r w:rsidRPr="00C246EC">
              <w:t>3</w:t>
            </w:r>
            <w:r w:rsidR="0023436E" w:rsidRPr="00C246EC">
              <w:t>.</w:t>
            </w:r>
          </w:p>
        </w:tc>
        <w:tc>
          <w:tcPr>
            <w:tcW w:w="2802" w:type="dxa"/>
          </w:tcPr>
          <w:p w14:paraId="56A67DEB" w14:textId="77777777" w:rsidR="0023436E" w:rsidRPr="00C246EC" w:rsidRDefault="006C4607" w:rsidP="0047074D">
            <w:pPr>
              <w:pStyle w:val="naiskr"/>
              <w:spacing w:before="0" w:after="0"/>
              <w:ind w:left="57" w:right="57"/>
            </w:pPr>
            <w:r w:rsidRPr="00C246EC">
              <w:t>Cita informācija</w:t>
            </w:r>
          </w:p>
        </w:tc>
        <w:tc>
          <w:tcPr>
            <w:tcW w:w="6412" w:type="dxa"/>
          </w:tcPr>
          <w:p w14:paraId="4C397916" w14:textId="77777777" w:rsidR="0023436E" w:rsidRPr="00C246EC" w:rsidRDefault="0023436E" w:rsidP="0047074D">
            <w:pPr>
              <w:pStyle w:val="naiskr"/>
              <w:spacing w:before="0" w:after="0"/>
              <w:ind w:left="57" w:right="57"/>
            </w:pPr>
            <w:r w:rsidRPr="00C246EC">
              <w:t>Nav</w:t>
            </w:r>
          </w:p>
        </w:tc>
      </w:tr>
    </w:tbl>
    <w:p w14:paraId="64592AE9" w14:textId="77777777" w:rsidR="00BF40ED" w:rsidRPr="00C246EC" w:rsidRDefault="00BF40ED" w:rsidP="0047074D">
      <w:pPr>
        <w:pStyle w:val="naisf"/>
        <w:tabs>
          <w:tab w:val="left" w:pos="6804"/>
        </w:tabs>
        <w:spacing w:before="0" w:after="0"/>
        <w:ind w:firstLine="0"/>
      </w:pPr>
    </w:p>
    <w:p w14:paraId="4BD01B9D" w14:textId="77777777" w:rsidR="0063409F" w:rsidRPr="0063409F" w:rsidRDefault="0063409F" w:rsidP="0063409F">
      <w:pPr>
        <w:rPr>
          <w:szCs w:val="28"/>
          <w:lang w:eastAsia="zh-CN"/>
        </w:rPr>
      </w:pPr>
      <w:r w:rsidRPr="0063409F">
        <w:rPr>
          <w:szCs w:val="28"/>
          <w:lang w:eastAsia="zh-CN"/>
        </w:rPr>
        <w:t xml:space="preserve">Ministru prezidenta biedrs, </w:t>
      </w:r>
    </w:p>
    <w:p w14:paraId="09C03041" w14:textId="77777777" w:rsidR="00F32F6D" w:rsidRPr="00F32F6D" w:rsidRDefault="0063409F" w:rsidP="0063409F">
      <w:pPr>
        <w:rPr>
          <w:szCs w:val="28"/>
          <w:lang w:eastAsia="zh-CN"/>
        </w:rPr>
      </w:pPr>
      <w:r w:rsidRPr="0063409F">
        <w:rPr>
          <w:szCs w:val="28"/>
          <w:lang w:eastAsia="zh-CN"/>
        </w:rPr>
        <w:t>ekonomikas  ministrs</w:t>
      </w:r>
      <w:r w:rsidR="00F32F6D" w:rsidRPr="00F32F6D">
        <w:rPr>
          <w:szCs w:val="28"/>
          <w:lang w:eastAsia="zh-CN"/>
        </w:rPr>
        <w:tab/>
      </w:r>
      <w:r w:rsidR="00F32F6D">
        <w:rPr>
          <w:szCs w:val="28"/>
          <w:lang w:eastAsia="zh-CN"/>
        </w:rPr>
        <w:tab/>
      </w:r>
      <w:r w:rsidR="00F32F6D">
        <w:rPr>
          <w:szCs w:val="28"/>
          <w:lang w:eastAsia="zh-CN"/>
        </w:rPr>
        <w:tab/>
      </w:r>
      <w:r w:rsidR="00F32F6D">
        <w:rPr>
          <w:szCs w:val="28"/>
          <w:lang w:eastAsia="zh-CN"/>
        </w:rPr>
        <w:tab/>
      </w:r>
      <w:r w:rsidR="00F32F6D">
        <w:rPr>
          <w:szCs w:val="28"/>
          <w:lang w:eastAsia="zh-CN"/>
        </w:rPr>
        <w:tab/>
      </w:r>
      <w:r w:rsidR="00F32F6D">
        <w:rPr>
          <w:szCs w:val="28"/>
          <w:lang w:eastAsia="zh-CN"/>
        </w:rPr>
        <w:tab/>
      </w:r>
      <w:r w:rsidR="00F32F6D">
        <w:rPr>
          <w:szCs w:val="28"/>
          <w:lang w:eastAsia="zh-CN"/>
        </w:rPr>
        <w:tab/>
      </w:r>
      <w:r w:rsidR="00F32F6D" w:rsidRPr="00F32F6D">
        <w:rPr>
          <w:szCs w:val="28"/>
          <w:lang w:eastAsia="zh-CN"/>
        </w:rPr>
        <w:t>A. Ašeradens</w:t>
      </w:r>
    </w:p>
    <w:p w14:paraId="2D07D567" w14:textId="77777777" w:rsidR="00F32F6D" w:rsidRPr="00F32F6D" w:rsidRDefault="00F32F6D" w:rsidP="00F32F6D">
      <w:pPr>
        <w:rPr>
          <w:szCs w:val="28"/>
          <w:lang w:eastAsia="zh-CN"/>
        </w:rPr>
      </w:pPr>
    </w:p>
    <w:p w14:paraId="20929534" w14:textId="77777777" w:rsidR="00F32F6D" w:rsidRPr="00F32F6D" w:rsidRDefault="00F32F6D" w:rsidP="00F32F6D">
      <w:pPr>
        <w:rPr>
          <w:szCs w:val="28"/>
          <w:lang w:eastAsia="zh-CN"/>
        </w:rPr>
      </w:pPr>
    </w:p>
    <w:p w14:paraId="3272BBFD" w14:textId="77777777" w:rsidR="004550C6" w:rsidRPr="00C246EC" w:rsidRDefault="00F32F6D" w:rsidP="00F32F6D">
      <w:pPr>
        <w:rPr>
          <w:sz w:val="20"/>
          <w:szCs w:val="20"/>
        </w:rPr>
      </w:pPr>
      <w:r w:rsidRPr="00F32F6D">
        <w:rPr>
          <w:szCs w:val="28"/>
          <w:lang w:eastAsia="zh-CN"/>
        </w:rPr>
        <w:t>Valsts sekretārs</w:t>
      </w:r>
      <w:r w:rsidRPr="00F32F6D">
        <w:rPr>
          <w:szCs w:val="28"/>
          <w:lang w:eastAsia="zh-CN"/>
        </w:rPr>
        <w:tab/>
      </w:r>
      <w:r>
        <w:rPr>
          <w:szCs w:val="28"/>
          <w:lang w:eastAsia="zh-CN"/>
        </w:rPr>
        <w:tab/>
      </w:r>
      <w:r>
        <w:rPr>
          <w:szCs w:val="28"/>
          <w:lang w:eastAsia="zh-CN"/>
        </w:rPr>
        <w:tab/>
      </w:r>
      <w:r>
        <w:rPr>
          <w:szCs w:val="28"/>
          <w:lang w:eastAsia="zh-CN"/>
        </w:rPr>
        <w:tab/>
      </w:r>
      <w:r>
        <w:rPr>
          <w:szCs w:val="28"/>
          <w:lang w:eastAsia="zh-CN"/>
        </w:rPr>
        <w:tab/>
      </w:r>
      <w:r>
        <w:rPr>
          <w:szCs w:val="28"/>
          <w:lang w:eastAsia="zh-CN"/>
        </w:rPr>
        <w:tab/>
      </w:r>
      <w:r>
        <w:rPr>
          <w:szCs w:val="28"/>
          <w:lang w:eastAsia="zh-CN"/>
        </w:rPr>
        <w:tab/>
      </w:r>
      <w:r w:rsidRPr="00F32F6D">
        <w:rPr>
          <w:szCs w:val="28"/>
          <w:lang w:eastAsia="zh-CN"/>
        </w:rPr>
        <w:t>J. Stinka</w:t>
      </w:r>
    </w:p>
    <w:p w14:paraId="76A2B96A" w14:textId="77777777" w:rsidR="00427968" w:rsidRPr="00C246EC" w:rsidRDefault="00427968" w:rsidP="004550C6">
      <w:pPr>
        <w:rPr>
          <w:sz w:val="20"/>
          <w:szCs w:val="20"/>
        </w:rPr>
      </w:pPr>
    </w:p>
    <w:p w14:paraId="5BB015E9" w14:textId="77777777" w:rsidR="00EB4050" w:rsidRPr="00C246EC" w:rsidRDefault="00EB4050" w:rsidP="00427968">
      <w:pPr>
        <w:rPr>
          <w:sz w:val="20"/>
          <w:szCs w:val="20"/>
        </w:rPr>
      </w:pPr>
    </w:p>
    <w:p w14:paraId="0D4575F9" w14:textId="77777777" w:rsidR="00F32F6D" w:rsidRDefault="00F32F6D" w:rsidP="00427968">
      <w:pPr>
        <w:rPr>
          <w:color w:val="000000" w:themeColor="text1"/>
          <w:sz w:val="20"/>
          <w:szCs w:val="20"/>
        </w:rPr>
      </w:pPr>
    </w:p>
    <w:p w14:paraId="3CCB7B44" w14:textId="77777777" w:rsidR="00F32F6D" w:rsidRDefault="00F32F6D" w:rsidP="00427968">
      <w:pPr>
        <w:rPr>
          <w:color w:val="000000" w:themeColor="text1"/>
          <w:sz w:val="20"/>
          <w:szCs w:val="20"/>
        </w:rPr>
      </w:pPr>
    </w:p>
    <w:p w14:paraId="6544C72D" w14:textId="77777777" w:rsidR="00F32F6D" w:rsidRDefault="00F32F6D" w:rsidP="00427968">
      <w:pPr>
        <w:rPr>
          <w:color w:val="000000" w:themeColor="text1"/>
          <w:sz w:val="20"/>
          <w:szCs w:val="20"/>
        </w:rPr>
      </w:pPr>
    </w:p>
    <w:p w14:paraId="1A9A03A2" w14:textId="77777777" w:rsidR="00F32F6D" w:rsidRDefault="00F32F6D" w:rsidP="00427968">
      <w:pPr>
        <w:rPr>
          <w:color w:val="000000" w:themeColor="text1"/>
          <w:sz w:val="20"/>
          <w:szCs w:val="20"/>
        </w:rPr>
      </w:pPr>
    </w:p>
    <w:p w14:paraId="218A221D" w14:textId="77777777" w:rsidR="00F32F6D" w:rsidRDefault="00F32F6D" w:rsidP="00427968">
      <w:pPr>
        <w:rPr>
          <w:color w:val="000000" w:themeColor="text1"/>
          <w:sz w:val="20"/>
          <w:szCs w:val="20"/>
        </w:rPr>
      </w:pPr>
    </w:p>
    <w:p w14:paraId="4B4B7838" w14:textId="77777777" w:rsidR="00F32F6D" w:rsidRDefault="00F32F6D" w:rsidP="00427968">
      <w:pPr>
        <w:rPr>
          <w:color w:val="000000" w:themeColor="text1"/>
          <w:sz w:val="20"/>
          <w:szCs w:val="20"/>
        </w:rPr>
      </w:pPr>
    </w:p>
    <w:p w14:paraId="294FD356" w14:textId="5C24FFE6" w:rsidR="005271FE" w:rsidRDefault="009F5805" w:rsidP="00427968">
      <w:pPr>
        <w:rPr>
          <w:color w:val="000000" w:themeColor="text1"/>
          <w:sz w:val="20"/>
          <w:szCs w:val="20"/>
        </w:rPr>
      </w:pPr>
      <w:r>
        <w:rPr>
          <w:color w:val="000000" w:themeColor="text1"/>
          <w:sz w:val="20"/>
          <w:szCs w:val="20"/>
        </w:rPr>
        <w:t>31</w:t>
      </w:r>
      <w:r w:rsidR="00D479B5">
        <w:rPr>
          <w:color w:val="000000" w:themeColor="text1"/>
          <w:sz w:val="20"/>
          <w:szCs w:val="20"/>
        </w:rPr>
        <w:t>.05</w:t>
      </w:r>
      <w:r w:rsidR="005271FE">
        <w:rPr>
          <w:color w:val="000000" w:themeColor="text1"/>
          <w:sz w:val="20"/>
          <w:szCs w:val="20"/>
        </w:rPr>
        <w:t>.2017 12:00</w:t>
      </w:r>
    </w:p>
    <w:p w14:paraId="1041B2EF" w14:textId="77777777" w:rsidR="00427968" w:rsidRPr="00C246EC" w:rsidRDefault="00E42FB9" w:rsidP="00427968">
      <w:pPr>
        <w:rPr>
          <w:color w:val="000000" w:themeColor="text1"/>
          <w:sz w:val="20"/>
          <w:szCs w:val="20"/>
        </w:rPr>
      </w:pPr>
      <w:r w:rsidRPr="00C246EC">
        <w:rPr>
          <w:color w:val="000000" w:themeColor="text1"/>
          <w:sz w:val="20"/>
          <w:szCs w:val="20"/>
        </w:rPr>
        <w:t>Jurušs</w:t>
      </w:r>
      <w:r w:rsidR="00427968" w:rsidRPr="00C246EC">
        <w:rPr>
          <w:color w:val="000000" w:themeColor="text1"/>
          <w:sz w:val="20"/>
          <w:szCs w:val="20"/>
        </w:rPr>
        <w:t>, 67</w:t>
      </w:r>
      <w:r w:rsidR="00B30EF4" w:rsidRPr="00C246EC">
        <w:rPr>
          <w:color w:val="000000" w:themeColor="text1"/>
          <w:sz w:val="20"/>
          <w:szCs w:val="20"/>
        </w:rPr>
        <w:t>013044</w:t>
      </w:r>
    </w:p>
    <w:p w14:paraId="437A3AE3" w14:textId="77777777" w:rsidR="00427968" w:rsidRPr="00C246EC" w:rsidRDefault="00E42FB9" w:rsidP="00427968">
      <w:pPr>
        <w:rPr>
          <w:rStyle w:val="Hyperlink"/>
          <w:sz w:val="20"/>
          <w:szCs w:val="20"/>
        </w:rPr>
      </w:pPr>
      <w:r w:rsidRPr="00C246EC">
        <w:rPr>
          <w:rStyle w:val="Hyperlink"/>
          <w:sz w:val="20"/>
          <w:szCs w:val="20"/>
        </w:rPr>
        <w:t>Maris.Juruss@e</w:t>
      </w:r>
      <w:r w:rsidR="00427968" w:rsidRPr="00C246EC">
        <w:rPr>
          <w:rStyle w:val="Hyperlink"/>
          <w:sz w:val="20"/>
          <w:szCs w:val="20"/>
        </w:rPr>
        <w:t>m.gov.lv</w:t>
      </w:r>
    </w:p>
    <w:p w14:paraId="4331FBEB" w14:textId="39162A6C" w:rsidR="009777DD" w:rsidRDefault="009777DD" w:rsidP="00427968">
      <w:pPr>
        <w:rPr>
          <w:sz w:val="20"/>
        </w:rPr>
      </w:pPr>
    </w:p>
    <w:p w14:paraId="0E608B98" w14:textId="77777777" w:rsidR="009777DD" w:rsidRPr="009777DD" w:rsidRDefault="009777DD" w:rsidP="009777DD">
      <w:pPr>
        <w:rPr>
          <w:sz w:val="20"/>
        </w:rPr>
      </w:pPr>
    </w:p>
    <w:p w14:paraId="030B56E3" w14:textId="77777777" w:rsidR="009777DD" w:rsidRPr="00AB326B" w:rsidRDefault="009777DD" w:rsidP="00AB326B">
      <w:pPr>
        <w:rPr>
          <w:sz w:val="20"/>
        </w:rPr>
      </w:pPr>
    </w:p>
    <w:p w14:paraId="58C318B0" w14:textId="77777777" w:rsidR="009777DD" w:rsidRPr="00AB326B" w:rsidRDefault="009777DD" w:rsidP="00AB326B">
      <w:pPr>
        <w:rPr>
          <w:sz w:val="20"/>
        </w:rPr>
      </w:pPr>
    </w:p>
    <w:p w14:paraId="6CFCCE81" w14:textId="77777777" w:rsidR="009777DD" w:rsidRPr="00AB326B" w:rsidRDefault="009777DD" w:rsidP="00AB326B">
      <w:pPr>
        <w:rPr>
          <w:sz w:val="20"/>
        </w:rPr>
      </w:pPr>
    </w:p>
    <w:p w14:paraId="2AB26057" w14:textId="77777777" w:rsidR="009777DD" w:rsidRPr="00AB326B" w:rsidRDefault="009777DD" w:rsidP="00AB326B">
      <w:pPr>
        <w:rPr>
          <w:sz w:val="20"/>
        </w:rPr>
      </w:pPr>
    </w:p>
    <w:p w14:paraId="2180E576" w14:textId="77777777" w:rsidR="009777DD" w:rsidRPr="00AB326B" w:rsidRDefault="009777DD" w:rsidP="00AB326B">
      <w:pPr>
        <w:rPr>
          <w:sz w:val="20"/>
        </w:rPr>
      </w:pPr>
    </w:p>
    <w:p w14:paraId="4A984145" w14:textId="77777777" w:rsidR="009777DD" w:rsidRPr="00AB326B" w:rsidRDefault="009777DD" w:rsidP="00AB326B">
      <w:pPr>
        <w:rPr>
          <w:sz w:val="20"/>
        </w:rPr>
      </w:pPr>
    </w:p>
    <w:p w14:paraId="5B7DB7E0" w14:textId="77777777" w:rsidR="009777DD" w:rsidRPr="00AB326B" w:rsidRDefault="009777DD" w:rsidP="00AB326B">
      <w:pPr>
        <w:rPr>
          <w:sz w:val="20"/>
        </w:rPr>
      </w:pPr>
    </w:p>
    <w:p w14:paraId="0FF0E325" w14:textId="77777777" w:rsidR="009777DD" w:rsidRPr="00AB326B" w:rsidRDefault="009777DD" w:rsidP="00AB326B">
      <w:pPr>
        <w:rPr>
          <w:sz w:val="20"/>
        </w:rPr>
      </w:pPr>
    </w:p>
    <w:p w14:paraId="5E8CF7BE" w14:textId="77777777" w:rsidR="009777DD" w:rsidRPr="00AB326B" w:rsidRDefault="009777DD" w:rsidP="00AB326B">
      <w:pPr>
        <w:rPr>
          <w:sz w:val="20"/>
        </w:rPr>
      </w:pPr>
    </w:p>
    <w:p w14:paraId="34868BEC" w14:textId="77777777" w:rsidR="009777DD" w:rsidRPr="00AB326B" w:rsidRDefault="009777DD" w:rsidP="00AB326B">
      <w:pPr>
        <w:rPr>
          <w:sz w:val="20"/>
        </w:rPr>
      </w:pPr>
    </w:p>
    <w:p w14:paraId="6BA87059" w14:textId="77777777" w:rsidR="009777DD" w:rsidRPr="00AB326B" w:rsidRDefault="009777DD" w:rsidP="00AB326B">
      <w:pPr>
        <w:rPr>
          <w:sz w:val="20"/>
        </w:rPr>
      </w:pPr>
    </w:p>
    <w:p w14:paraId="4AF6EF17" w14:textId="77777777" w:rsidR="009777DD" w:rsidRPr="00AB326B" w:rsidRDefault="009777DD" w:rsidP="00AB326B">
      <w:pPr>
        <w:rPr>
          <w:sz w:val="20"/>
        </w:rPr>
      </w:pPr>
    </w:p>
    <w:p w14:paraId="56D8F01E" w14:textId="77777777" w:rsidR="009777DD" w:rsidRPr="00AB326B" w:rsidRDefault="009777DD" w:rsidP="00AB326B">
      <w:pPr>
        <w:rPr>
          <w:sz w:val="20"/>
        </w:rPr>
      </w:pPr>
    </w:p>
    <w:p w14:paraId="71435BB4" w14:textId="77777777" w:rsidR="009777DD" w:rsidRPr="00AB326B" w:rsidRDefault="009777DD" w:rsidP="00AB326B">
      <w:pPr>
        <w:rPr>
          <w:sz w:val="20"/>
        </w:rPr>
      </w:pPr>
    </w:p>
    <w:p w14:paraId="72605B9B" w14:textId="77777777" w:rsidR="009777DD" w:rsidRPr="00AB326B" w:rsidRDefault="009777DD" w:rsidP="00AB326B">
      <w:pPr>
        <w:rPr>
          <w:sz w:val="20"/>
        </w:rPr>
      </w:pPr>
    </w:p>
    <w:p w14:paraId="29B406B1" w14:textId="77777777" w:rsidR="009777DD" w:rsidRPr="00AB326B" w:rsidRDefault="009777DD" w:rsidP="00AB326B">
      <w:pPr>
        <w:rPr>
          <w:sz w:val="20"/>
        </w:rPr>
      </w:pPr>
    </w:p>
    <w:p w14:paraId="6ED76A3C" w14:textId="77777777" w:rsidR="009777DD" w:rsidRPr="00AB326B" w:rsidRDefault="009777DD" w:rsidP="00AB326B">
      <w:pPr>
        <w:rPr>
          <w:sz w:val="20"/>
        </w:rPr>
      </w:pPr>
    </w:p>
    <w:p w14:paraId="592B73E3" w14:textId="77777777" w:rsidR="009777DD" w:rsidRPr="00AB326B" w:rsidRDefault="009777DD" w:rsidP="00AB326B">
      <w:pPr>
        <w:rPr>
          <w:sz w:val="20"/>
        </w:rPr>
      </w:pPr>
    </w:p>
    <w:p w14:paraId="57226FF6" w14:textId="77777777" w:rsidR="009777DD" w:rsidRPr="00AB326B" w:rsidRDefault="009777DD" w:rsidP="00AB326B">
      <w:pPr>
        <w:rPr>
          <w:sz w:val="20"/>
        </w:rPr>
      </w:pPr>
    </w:p>
    <w:p w14:paraId="03982CF3" w14:textId="77777777" w:rsidR="009777DD" w:rsidRPr="00AB326B" w:rsidRDefault="009777DD" w:rsidP="00AB326B">
      <w:pPr>
        <w:rPr>
          <w:sz w:val="20"/>
        </w:rPr>
      </w:pPr>
    </w:p>
    <w:p w14:paraId="43406A10" w14:textId="77777777" w:rsidR="009777DD" w:rsidRPr="00AB326B" w:rsidRDefault="009777DD" w:rsidP="00AB326B">
      <w:pPr>
        <w:rPr>
          <w:sz w:val="20"/>
        </w:rPr>
      </w:pPr>
    </w:p>
    <w:p w14:paraId="26BC2DBC" w14:textId="77777777" w:rsidR="009777DD" w:rsidRPr="00AB326B" w:rsidRDefault="009777DD" w:rsidP="00AB326B">
      <w:pPr>
        <w:rPr>
          <w:sz w:val="20"/>
        </w:rPr>
      </w:pPr>
    </w:p>
    <w:p w14:paraId="7874034A" w14:textId="77777777" w:rsidR="009777DD" w:rsidRPr="00AB326B" w:rsidRDefault="009777DD" w:rsidP="00AB326B">
      <w:pPr>
        <w:rPr>
          <w:sz w:val="20"/>
        </w:rPr>
      </w:pPr>
    </w:p>
    <w:p w14:paraId="7DAFE67D" w14:textId="77777777" w:rsidR="009777DD" w:rsidRPr="00AB326B" w:rsidRDefault="009777DD" w:rsidP="00AB326B">
      <w:pPr>
        <w:rPr>
          <w:sz w:val="20"/>
        </w:rPr>
      </w:pPr>
    </w:p>
    <w:p w14:paraId="52FD6AD8" w14:textId="77777777" w:rsidR="009777DD" w:rsidRPr="00AB326B" w:rsidRDefault="009777DD" w:rsidP="00AB326B">
      <w:pPr>
        <w:rPr>
          <w:sz w:val="20"/>
        </w:rPr>
      </w:pPr>
    </w:p>
    <w:p w14:paraId="0A493542" w14:textId="77777777" w:rsidR="009777DD" w:rsidRPr="00AB326B" w:rsidRDefault="009777DD" w:rsidP="00AB326B">
      <w:pPr>
        <w:rPr>
          <w:sz w:val="20"/>
        </w:rPr>
      </w:pPr>
    </w:p>
    <w:p w14:paraId="78418155" w14:textId="77777777" w:rsidR="009777DD" w:rsidRPr="00AB326B" w:rsidRDefault="009777DD" w:rsidP="00AB326B">
      <w:pPr>
        <w:rPr>
          <w:sz w:val="20"/>
        </w:rPr>
      </w:pPr>
    </w:p>
    <w:p w14:paraId="4DC97670" w14:textId="77777777" w:rsidR="009777DD" w:rsidRPr="00AB326B" w:rsidRDefault="009777DD" w:rsidP="00AB326B">
      <w:pPr>
        <w:rPr>
          <w:sz w:val="20"/>
        </w:rPr>
      </w:pPr>
    </w:p>
    <w:p w14:paraId="37758799" w14:textId="77777777" w:rsidR="009777DD" w:rsidRPr="00AB326B" w:rsidRDefault="009777DD" w:rsidP="00AB326B">
      <w:pPr>
        <w:rPr>
          <w:sz w:val="20"/>
        </w:rPr>
      </w:pPr>
    </w:p>
    <w:p w14:paraId="5081206E" w14:textId="77777777" w:rsidR="009777DD" w:rsidRPr="00AB326B" w:rsidRDefault="009777DD" w:rsidP="00AB326B">
      <w:pPr>
        <w:rPr>
          <w:sz w:val="20"/>
        </w:rPr>
      </w:pPr>
    </w:p>
    <w:p w14:paraId="3B1A1822" w14:textId="77777777" w:rsidR="009777DD" w:rsidRPr="00AB326B" w:rsidRDefault="009777DD" w:rsidP="00AB326B">
      <w:pPr>
        <w:rPr>
          <w:sz w:val="20"/>
        </w:rPr>
      </w:pPr>
    </w:p>
    <w:p w14:paraId="2EDC3E69" w14:textId="77777777" w:rsidR="009777DD" w:rsidRPr="00AB326B" w:rsidRDefault="009777DD" w:rsidP="00AB326B">
      <w:pPr>
        <w:rPr>
          <w:sz w:val="20"/>
        </w:rPr>
      </w:pPr>
    </w:p>
    <w:p w14:paraId="5A345AE8" w14:textId="77777777" w:rsidR="009777DD" w:rsidRPr="00AB326B" w:rsidRDefault="009777DD" w:rsidP="00AB326B">
      <w:pPr>
        <w:rPr>
          <w:sz w:val="20"/>
        </w:rPr>
      </w:pPr>
    </w:p>
    <w:p w14:paraId="2DD4361F" w14:textId="77777777" w:rsidR="009777DD" w:rsidRPr="00AB326B" w:rsidRDefault="009777DD" w:rsidP="00AB326B">
      <w:pPr>
        <w:rPr>
          <w:sz w:val="20"/>
        </w:rPr>
      </w:pPr>
    </w:p>
    <w:p w14:paraId="7AE4BE90" w14:textId="77777777" w:rsidR="009777DD" w:rsidRPr="00AB326B" w:rsidRDefault="009777DD" w:rsidP="00AB326B">
      <w:pPr>
        <w:rPr>
          <w:sz w:val="20"/>
        </w:rPr>
      </w:pPr>
    </w:p>
    <w:p w14:paraId="36CCDF9E" w14:textId="77777777" w:rsidR="009777DD" w:rsidRPr="00AB326B" w:rsidRDefault="009777DD" w:rsidP="00AB326B">
      <w:pPr>
        <w:rPr>
          <w:sz w:val="20"/>
        </w:rPr>
      </w:pPr>
    </w:p>
    <w:p w14:paraId="0A3C8AD9" w14:textId="77777777" w:rsidR="009777DD" w:rsidRPr="00AB326B" w:rsidRDefault="009777DD" w:rsidP="00AB326B">
      <w:pPr>
        <w:rPr>
          <w:sz w:val="20"/>
        </w:rPr>
      </w:pPr>
    </w:p>
    <w:p w14:paraId="60FE68DB" w14:textId="77777777" w:rsidR="009777DD" w:rsidRPr="00AB326B" w:rsidRDefault="009777DD" w:rsidP="00AB326B">
      <w:pPr>
        <w:rPr>
          <w:sz w:val="20"/>
        </w:rPr>
      </w:pPr>
    </w:p>
    <w:p w14:paraId="54B9A06F" w14:textId="77777777" w:rsidR="009777DD" w:rsidRPr="00AB326B" w:rsidRDefault="009777DD" w:rsidP="00AB326B">
      <w:pPr>
        <w:rPr>
          <w:sz w:val="20"/>
        </w:rPr>
      </w:pPr>
    </w:p>
    <w:p w14:paraId="226650B2" w14:textId="3E42C3F1" w:rsidR="004550C6" w:rsidRPr="009777DD" w:rsidRDefault="009777DD" w:rsidP="00AB326B">
      <w:pPr>
        <w:tabs>
          <w:tab w:val="left" w:pos="1115"/>
        </w:tabs>
        <w:rPr>
          <w:sz w:val="20"/>
        </w:rPr>
      </w:pPr>
      <w:r>
        <w:rPr>
          <w:sz w:val="20"/>
        </w:rPr>
        <w:tab/>
      </w:r>
    </w:p>
    <w:sectPr w:rsidR="004550C6" w:rsidRPr="009777DD" w:rsidSect="00845811">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FC8C7" w14:textId="77777777" w:rsidR="00301C8B" w:rsidRDefault="00301C8B">
      <w:r>
        <w:separator/>
      </w:r>
    </w:p>
  </w:endnote>
  <w:endnote w:type="continuationSeparator" w:id="0">
    <w:p w14:paraId="371BB5B7" w14:textId="77777777" w:rsidR="00301C8B" w:rsidRDefault="00301C8B">
      <w:r>
        <w:continuationSeparator/>
      </w:r>
    </w:p>
  </w:endnote>
  <w:endnote w:type="continuationNotice" w:id="1">
    <w:p w14:paraId="33AC7290" w14:textId="77777777" w:rsidR="00301C8B" w:rsidRDefault="00301C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62DFD" w14:textId="77777777" w:rsidR="009F5805" w:rsidRDefault="009F5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E0390" w14:textId="51FA7FA8" w:rsidR="00F23D3A" w:rsidRPr="0045502B" w:rsidRDefault="005C07F9" w:rsidP="00F23D3A">
    <w:pPr>
      <w:pStyle w:val="Footer"/>
      <w:rPr>
        <w:sz w:val="20"/>
        <w:szCs w:val="20"/>
      </w:rPr>
    </w:pPr>
    <w:r>
      <w:rPr>
        <w:sz w:val="20"/>
        <w:szCs w:val="20"/>
      </w:rPr>
      <w:t>E</w:t>
    </w:r>
    <w:r w:rsidR="00F23D3A" w:rsidRPr="00D607C0">
      <w:rPr>
        <w:sz w:val="20"/>
        <w:szCs w:val="20"/>
      </w:rPr>
      <w:t>MAnot_</w:t>
    </w:r>
    <w:r w:rsidR="009F5805">
      <w:rPr>
        <w:sz w:val="20"/>
        <w:szCs w:val="20"/>
      </w:rPr>
      <w:t>31</w:t>
    </w:r>
    <w:r w:rsidR="000E248B">
      <w:rPr>
        <w:sz w:val="20"/>
        <w:szCs w:val="20"/>
      </w:rPr>
      <w:t>05</w:t>
    </w:r>
    <w:r>
      <w:rPr>
        <w:sz w:val="20"/>
        <w:szCs w:val="20"/>
      </w:rPr>
      <w:t>17_MUN</w:t>
    </w:r>
  </w:p>
  <w:p w14:paraId="31FBAA9E" w14:textId="77777777" w:rsidR="007323F5" w:rsidRDefault="007323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094B3" w14:textId="7C4A5383" w:rsidR="00F23D3A" w:rsidRPr="0045502B" w:rsidRDefault="005C07F9" w:rsidP="00F23D3A">
    <w:pPr>
      <w:pStyle w:val="Footer"/>
      <w:rPr>
        <w:sz w:val="20"/>
        <w:szCs w:val="20"/>
      </w:rPr>
    </w:pPr>
    <w:r>
      <w:rPr>
        <w:sz w:val="20"/>
        <w:szCs w:val="20"/>
      </w:rPr>
      <w:t>E</w:t>
    </w:r>
    <w:r w:rsidR="00F23D3A" w:rsidRPr="00D607C0">
      <w:rPr>
        <w:sz w:val="20"/>
        <w:szCs w:val="20"/>
      </w:rPr>
      <w:t>MAnot_</w:t>
    </w:r>
    <w:r w:rsidR="009F5805">
      <w:rPr>
        <w:sz w:val="20"/>
        <w:szCs w:val="20"/>
      </w:rPr>
      <w:t>31</w:t>
    </w:r>
    <w:bookmarkStart w:id="0" w:name="_GoBack"/>
    <w:bookmarkEnd w:id="0"/>
    <w:r w:rsidR="000E248B">
      <w:rPr>
        <w:sz w:val="20"/>
        <w:szCs w:val="20"/>
      </w:rPr>
      <w:t>05</w:t>
    </w:r>
    <w:r>
      <w:rPr>
        <w:sz w:val="20"/>
        <w:szCs w:val="20"/>
      </w:rPr>
      <w:t>17_MUN</w:t>
    </w:r>
  </w:p>
  <w:p w14:paraId="42955CA3" w14:textId="77777777" w:rsidR="007323F5" w:rsidRDefault="007323F5">
    <w:pPr>
      <w:pStyle w:val="Footer"/>
    </w:pPr>
  </w:p>
  <w:p w14:paraId="770FA93C" w14:textId="77777777" w:rsidR="007323F5" w:rsidRPr="009B42E5" w:rsidRDefault="007323F5" w:rsidP="001B71CD">
    <w:pPr>
      <w:pStyle w:val="Foote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B4693" w14:textId="77777777" w:rsidR="00301C8B" w:rsidRDefault="00301C8B">
      <w:r>
        <w:separator/>
      </w:r>
    </w:p>
  </w:footnote>
  <w:footnote w:type="continuationSeparator" w:id="0">
    <w:p w14:paraId="550937CD" w14:textId="77777777" w:rsidR="00301C8B" w:rsidRDefault="00301C8B">
      <w:r>
        <w:continuationSeparator/>
      </w:r>
    </w:p>
  </w:footnote>
  <w:footnote w:type="continuationNotice" w:id="1">
    <w:p w14:paraId="1091D825" w14:textId="77777777" w:rsidR="00301C8B" w:rsidRDefault="00301C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79B10" w14:textId="77777777" w:rsidR="007323F5" w:rsidRDefault="007323F5"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77AD">
      <w:rPr>
        <w:rStyle w:val="PageNumber"/>
        <w:noProof/>
      </w:rPr>
      <w:t>9</w:t>
    </w:r>
    <w:r>
      <w:rPr>
        <w:rStyle w:val="PageNumber"/>
      </w:rPr>
      <w:fldChar w:fldCharType="end"/>
    </w:r>
  </w:p>
  <w:p w14:paraId="331465E4" w14:textId="77777777" w:rsidR="007323F5" w:rsidRDefault="00732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1DFF9" w14:textId="3511795E" w:rsidR="007323F5" w:rsidRDefault="007323F5"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5805">
      <w:rPr>
        <w:rStyle w:val="PageNumber"/>
        <w:noProof/>
      </w:rPr>
      <w:t>2</w:t>
    </w:r>
    <w:r>
      <w:rPr>
        <w:rStyle w:val="PageNumber"/>
      </w:rPr>
      <w:fldChar w:fldCharType="end"/>
    </w:r>
  </w:p>
  <w:p w14:paraId="4C3A4AB4" w14:textId="77777777" w:rsidR="007323F5" w:rsidRDefault="007323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A57C9" w14:textId="77777777" w:rsidR="009F5805" w:rsidRDefault="009F5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789D"/>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4C0A45"/>
    <w:multiLevelType w:val="hybridMultilevel"/>
    <w:tmpl w:val="5E7C1524"/>
    <w:lvl w:ilvl="0" w:tplc="CBD07130">
      <w:start w:val="1"/>
      <w:numFmt w:val="lowerLetter"/>
      <w:lvlText w:val="%1)"/>
      <w:lvlJc w:val="left"/>
      <w:pPr>
        <w:ind w:left="36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3" w15:restartNumberingAfterBreak="0">
    <w:nsid w:val="180B2004"/>
    <w:multiLevelType w:val="hybridMultilevel"/>
    <w:tmpl w:val="D1DC878A"/>
    <w:lvl w:ilvl="0" w:tplc="2DEC4358">
      <w:start w:val="1"/>
      <w:numFmt w:val="decimal"/>
      <w:lvlText w:val="%1)"/>
      <w:lvlJc w:val="left"/>
      <w:pPr>
        <w:ind w:left="114" w:hanging="222"/>
      </w:pPr>
      <w:rPr>
        <w:rFonts w:ascii="Arial" w:eastAsia="Arial" w:hAnsi="Arial" w:hint="default"/>
        <w:spacing w:val="-1"/>
        <w:w w:val="101"/>
        <w:sz w:val="18"/>
        <w:szCs w:val="18"/>
      </w:rPr>
    </w:lvl>
    <w:lvl w:ilvl="1" w:tplc="02864652">
      <w:start w:val="1"/>
      <w:numFmt w:val="lowerLetter"/>
      <w:lvlText w:val="%2)"/>
      <w:lvlJc w:val="left"/>
      <w:pPr>
        <w:ind w:left="114" w:hanging="239"/>
      </w:pPr>
      <w:rPr>
        <w:rFonts w:ascii="Arial" w:eastAsia="Arial" w:hAnsi="Arial" w:hint="default"/>
        <w:spacing w:val="-1"/>
        <w:w w:val="101"/>
        <w:sz w:val="18"/>
        <w:szCs w:val="18"/>
      </w:rPr>
    </w:lvl>
    <w:lvl w:ilvl="2" w:tplc="0DBC69C8">
      <w:start w:val="1"/>
      <w:numFmt w:val="bullet"/>
      <w:lvlText w:val="•"/>
      <w:lvlJc w:val="left"/>
      <w:pPr>
        <w:ind w:left="2063" w:hanging="239"/>
      </w:pPr>
      <w:rPr>
        <w:rFonts w:hint="default"/>
      </w:rPr>
    </w:lvl>
    <w:lvl w:ilvl="3" w:tplc="95EE3D12">
      <w:start w:val="1"/>
      <w:numFmt w:val="bullet"/>
      <w:lvlText w:val="•"/>
      <w:lvlJc w:val="left"/>
      <w:pPr>
        <w:ind w:left="3037" w:hanging="239"/>
      </w:pPr>
      <w:rPr>
        <w:rFonts w:hint="default"/>
      </w:rPr>
    </w:lvl>
    <w:lvl w:ilvl="4" w:tplc="60C2614C">
      <w:start w:val="1"/>
      <w:numFmt w:val="bullet"/>
      <w:lvlText w:val="•"/>
      <w:lvlJc w:val="left"/>
      <w:pPr>
        <w:ind w:left="4012" w:hanging="239"/>
      </w:pPr>
      <w:rPr>
        <w:rFonts w:hint="default"/>
      </w:rPr>
    </w:lvl>
    <w:lvl w:ilvl="5" w:tplc="14A66D16">
      <w:start w:val="1"/>
      <w:numFmt w:val="bullet"/>
      <w:lvlText w:val="•"/>
      <w:lvlJc w:val="left"/>
      <w:pPr>
        <w:ind w:left="4987" w:hanging="239"/>
      </w:pPr>
      <w:rPr>
        <w:rFonts w:hint="default"/>
      </w:rPr>
    </w:lvl>
    <w:lvl w:ilvl="6" w:tplc="5E5A11F4">
      <w:start w:val="1"/>
      <w:numFmt w:val="bullet"/>
      <w:lvlText w:val="•"/>
      <w:lvlJc w:val="left"/>
      <w:pPr>
        <w:ind w:left="5961" w:hanging="239"/>
      </w:pPr>
      <w:rPr>
        <w:rFonts w:hint="default"/>
      </w:rPr>
    </w:lvl>
    <w:lvl w:ilvl="7" w:tplc="0F3CE912">
      <w:start w:val="1"/>
      <w:numFmt w:val="bullet"/>
      <w:lvlText w:val="•"/>
      <w:lvlJc w:val="left"/>
      <w:pPr>
        <w:ind w:left="6936" w:hanging="239"/>
      </w:pPr>
      <w:rPr>
        <w:rFonts w:hint="default"/>
      </w:rPr>
    </w:lvl>
    <w:lvl w:ilvl="8" w:tplc="EB5CC41C">
      <w:start w:val="1"/>
      <w:numFmt w:val="bullet"/>
      <w:lvlText w:val="•"/>
      <w:lvlJc w:val="left"/>
      <w:pPr>
        <w:ind w:left="7910" w:hanging="239"/>
      </w:pPr>
      <w:rPr>
        <w:rFonts w:hint="default"/>
      </w:rPr>
    </w:lvl>
  </w:abstractNum>
  <w:abstractNum w:abstractNumId="4"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EA96AD8"/>
    <w:multiLevelType w:val="hybridMultilevel"/>
    <w:tmpl w:val="40A2D70A"/>
    <w:lvl w:ilvl="0" w:tplc="9850E2BE">
      <w:start w:val="316"/>
      <w:numFmt w:val="bullet"/>
      <w:lvlText w:val="-"/>
      <w:lvlJc w:val="left"/>
      <w:pPr>
        <w:ind w:left="1029" w:hanging="360"/>
      </w:pPr>
      <w:rPr>
        <w:rFonts w:ascii="Times New Roman" w:eastAsia="Times New Roman" w:hAnsi="Times New Roman" w:cs="Times New Roman" w:hint="default"/>
      </w:rPr>
    </w:lvl>
    <w:lvl w:ilvl="1" w:tplc="04260003" w:tentative="1">
      <w:start w:val="1"/>
      <w:numFmt w:val="bullet"/>
      <w:lvlText w:val="o"/>
      <w:lvlJc w:val="left"/>
      <w:pPr>
        <w:ind w:left="1749" w:hanging="360"/>
      </w:pPr>
      <w:rPr>
        <w:rFonts w:ascii="Courier New" w:hAnsi="Courier New" w:cs="Courier New" w:hint="default"/>
      </w:rPr>
    </w:lvl>
    <w:lvl w:ilvl="2" w:tplc="04260005" w:tentative="1">
      <w:start w:val="1"/>
      <w:numFmt w:val="bullet"/>
      <w:lvlText w:val=""/>
      <w:lvlJc w:val="left"/>
      <w:pPr>
        <w:ind w:left="2469" w:hanging="360"/>
      </w:pPr>
      <w:rPr>
        <w:rFonts w:ascii="Wingdings" w:hAnsi="Wingdings" w:hint="default"/>
      </w:rPr>
    </w:lvl>
    <w:lvl w:ilvl="3" w:tplc="04260001" w:tentative="1">
      <w:start w:val="1"/>
      <w:numFmt w:val="bullet"/>
      <w:lvlText w:val=""/>
      <w:lvlJc w:val="left"/>
      <w:pPr>
        <w:ind w:left="3189" w:hanging="360"/>
      </w:pPr>
      <w:rPr>
        <w:rFonts w:ascii="Symbol" w:hAnsi="Symbol" w:hint="default"/>
      </w:rPr>
    </w:lvl>
    <w:lvl w:ilvl="4" w:tplc="04260003" w:tentative="1">
      <w:start w:val="1"/>
      <w:numFmt w:val="bullet"/>
      <w:lvlText w:val="o"/>
      <w:lvlJc w:val="left"/>
      <w:pPr>
        <w:ind w:left="3909" w:hanging="360"/>
      </w:pPr>
      <w:rPr>
        <w:rFonts w:ascii="Courier New" w:hAnsi="Courier New" w:cs="Courier New" w:hint="default"/>
      </w:rPr>
    </w:lvl>
    <w:lvl w:ilvl="5" w:tplc="04260005" w:tentative="1">
      <w:start w:val="1"/>
      <w:numFmt w:val="bullet"/>
      <w:lvlText w:val=""/>
      <w:lvlJc w:val="left"/>
      <w:pPr>
        <w:ind w:left="4629" w:hanging="360"/>
      </w:pPr>
      <w:rPr>
        <w:rFonts w:ascii="Wingdings" w:hAnsi="Wingdings" w:hint="default"/>
      </w:rPr>
    </w:lvl>
    <w:lvl w:ilvl="6" w:tplc="04260001" w:tentative="1">
      <w:start w:val="1"/>
      <w:numFmt w:val="bullet"/>
      <w:lvlText w:val=""/>
      <w:lvlJc w:val="left"/>
      <w:pPr>
        <w:ind w:left="5349" w:hanging="360"/>
      </w:pPr>
      <w:rPr>
        <w:rFonts w:ascii="Symbol" w:hAnsi="Symbol" w:hint="default"/>
      </w:rPr>
    </w:lvl>
    <w:lvl w:ilvl="7" w:tplc="04260003" w:tentative="1">
      <w:start w:val="1"/>
      <w:numFmt w:val="bullet"/>
      <w:lvlText w:val="o"/>
      <w:lvlJc w:val="left"/>
      <w:pPr>
        <w:ind w:left="6069" w:hanging="360"/>
      </w:pPr>
      <w:rPr>
        <w:rFonts w:ascii="Courier New" w:hAnsi="Courier New" w:cs="Courier New" w:hint="default"/>
      </w:rPr>
    </w:lvl>
    <w:lvl w:ilvl="8" w:tplc="04260005" w:tentative="1">
      <w:start w:val="1"/>
      <w:numFmt w:val="bullet"/>
      <w:lvlText w:val=""/>
      <w:lvlJc w:val="left"/>
      <w:pPr>
        <w:ind w:left="6789" w:hanging="360"/>
      </w:pPr>
      <w:rPr>
        <w:rFonts w:ascii="Wingdings" w:hAnsi="Wingdings" w:hint="default"/>
      </w:rPr>
    </w:lvl>
  </w:abstractNum>
  <w:abstractNum w:abstractNumId="7"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2513DD7"/>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4E05BBB"/>
    <w:multiLevelType w:val="hybridMultilevel"/>
    <w:tmpl w:val="CF70B036"/>
    <w:lvl w:ilvl="0" w:tplc="9562338C">
      <w:start w:val="1"/>
      <w:numFmt w:val="decimal"/>
      <w:lvlText w:val="%1."/>
      <w:lvlJc w:val="left"/>
      <w:pPr>
        <w:ind w:left="114" w:hanging="157"/>
      </w:pPr>
      <w:rPr>
        <w:rFonts w:ascii="Arial" w:eastAsia="Arial" w:hAnsi="Arial" w:hint="default"/>
        <w:b/>
        <w:bCs/>
        <w:spacing w:val="-1"/>
        <w:w w:val="101"/>
        <w:sz w:val="18"/>
        <w:szCs w:val="18"/>
      </w:rPr>
    </w:lvl>
    <w:lvl w:ilvl="1" w:tplc="F80EEA34">
      <w:start w:val="1"/>
      <w:numFmt w:val="bullet"/>
      <w:lvlText w:val="•"/>
      <w:lvlJc w:val="left"/>
      <w:pPr>
        <w:ind w:left="765" w:hanging="157"/>
      </w:pPr>
      <w:rPr>
        <w:rFonts w:hint="default"/>
      </w:rPr>
    </w:lvl>
    <w:lvl w:ilvl="2" w:tplc="4DCA9A00">
      <w:start w:val="1"/>
      <w:numFmt w:val="bullet"/>
      <w:lvlText w:val="•"/>
      <w:lvlJc w:val="left"/>
      <w:pPr>
        <w:ind w:left="1416" w:hanging="157"/>
      </w:pPr>
      <w:rPr>
        <w:rFonts w:hint="default"/>
      </w:rPr>
    </w:lvl>
    <w:lvl w:ilvl="3" w:tplc="7BB8C4D4">
      <w:start w:val="1"/>
      <w:numFmt w:val="bullet"/>
      <w:lvlText w:val="•"/>
      <w:lvlJc w:val="left"/>
      <w:pPr>
        <w:ind w:left="2067" w:hanging="157"/>
      </w:pPr>
      <w:rPr>
        <w:rFonts w:hint="default"/>
      </w:rPr>
    </w:lvl>
    <w:lvl w:ilvl="4" w:tplc="B0067AFC">
      <w:start w:val="1"/>
      <w:numFmt w:val="bullet"/>
      <w:lvlText w:val="•"/>
      <w:lvlJc w:val="left"/>
      <w:pPr>
        <w:ind w:left="2718" w:hanging="157"/>
      </w:pPr>
      <w:rPr>
        <w:rFonts w:hint="default"/>
      </w:rPr>
    </w:lvl>
    <w:lvl w:ilvl="5" w:tplc="9E18A090">
      <w:start w:val="1"/>
      <w:numFmt w:val="bullet"/>
      <w:lvlText w:val="•"/>
      <w:lvlJc w:val="left"/>
      <w:pPr>
        <w:ind w:left="3370" w:hanging="157"/>
      </w:pPr>
      <w:rPr>
        <w:rFonts w:hint="default"/>
      </w:rPr>
    </w:lvl>
    <w:lvl w:ilvl="6" w:tplc="54B4EE96">
      <w:start w:val="1"/>
      <w:numFmt w:val="bullet"/>
      <w:lvlText w:val="•"/>
      <w:lvlJc w:val="left"/>
      <w:pPr>
        <w:ind w:left="4021" w:hanging="157"/>
      </w:pPr>
      <w:rPr>
        <w:rFonts w:hint="default"/>
      </w:rPr>
    </w:lvl>
    <w:lvl w:ilvl="7" w:tplc="99108602">
      <w:start w:val="1"/>
      <w:numFmt w:val="bullet"/>
      <w:lvlText w:val="•"/>
      <w:lvlJc w:val="left"/>
      <w:pPr>
        <w:ind w:left="4672" w:hanging="157"/>
      </w:pPr>
      <w:rPr>
        <w:rFonts w:hint="default"/>
      </w:rPr>
    </w:lvl>
    <w:lvl w:ilvl="8" w:tplc="5A503C84">
      <w:start w:val="1"/>
      <w:numFmt w:val="bullet"/>
      <w:lvlText w:val="•"/>
      <w:lvlJc w:val="left"/>
      <w:pPr>
        <w:ind w:left="5323" w:hanging="157"/>
      </w:pPr>
      <w:rPr>
        <w:rFonts w:hint="default"/>
      </w:rPr>
    </w:lvl>
  </w:abstractNum>
  <w:abstractNum w:abstractNumId="10"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15:restartNumberingAfterBreak="0">
    <w:nsid w:val="39E66A52"/>
    <w:multiLevelType w:val="hybridMultilevel"/>
    <w:tmpl w:val="C018F2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BD766FC"/>
    <w:multiLevelType w:val="hybridMultilevel"/>
    <w:tmpl w:val="448623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05D77AA"/>
    <w:multiLevelType w:val="hybridMultilevel"/>
    <w:tmpl w:val="E820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A036FD"/>
    <w:multiLevelType w:val="hybridMultilevel"/>
    <w:tmpl w:val="AA2E47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362598B"/>
    <w:multiLevelType w:val="hybridMultilevel"/>
    <w:tmpl w:val="DAC8B5D8"/>
    <w:lvl w:ilvl="0" w:tplc="AD029D9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3C81F7D"/>
    <w:multiLevelType w:val="hybridMultilevel"/>
    <w:tmpl w:val="917A6BA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5E403B0"/>
    <w:multiLevelType w:val="hybridMultilevel"/>
    <w:tmpl w:val="7150694C"/>
    <w:lvl w:ilvl="0" w:tplc="AD029D9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7014386"/>
    <w:multiLevelType w:val="hybridMultilevel"/>
    <w:tmpl w:val="3F32DC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53192CC0"/>
    <w:multiLevelType w:val="hybridMultilevel"/>
    <w:tmpl w:val="D446300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7180A82"/>
    <w:multiLevelType w:val="hybridMultilevel"/>
    <w:tmpl w:val="665EC4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7" w15:restartNumberingAfterBreak="0">
    <w:nsid w:val="5FC24DF0"/>
    <w:multiLevelType w:val="hybridMultilevel"/>
    <w:tmpl w:val="B9FEE538"/>
    <w:lvl w:ilvl="0" w:tplc="4552B40C">
      <w:start w:val="1"/>
      <w:numFmt w:val="decimal"/>
      <w:lvlText w:val="%1)"/>
      <w:lvlJc w:val="left"/>
      <w:pPr>
        <w:ind w:left="361" w:hanging="360"/>
      </w:pPr>
      <w:rPr>
        <w:rFonts w:hint="default"/>
      </w:rPr>
    </w:lvl>
    <w:lvl w:ilvl="1" w:tplc="04260019" w:tentative="1">
      <w:start w:val="1"/>
      <w:numFmt w:val="lowerLetter"/>
      <w:lvlText w:val="%2."/>
      <w:lvlJc w:val="left"/>
      <w:pPr>
        <w:ind w:left="1081" w:hanging="360"/>
      </w:pPr>
    </w:lvl>
    <w:lvl w:ilvl="2" w:tplc="0426001B" w:tentative="1">
      <w:start w:val="1"/>
      <w:numFmt w:val="lowerRoman"/>
      <w:lvlText w:val="%3."/>
      <w:lvlJc w:val="right"/>
      <w:pPr>
        <w:ind w:left="1801" w:hanging="180"/>
      </w:pPr>
    </w:lvl>
    <w:lvl w:ilvl="3" w:tplc="0426000F" w:tentative="1">
      <w:start w:val="1"/>
      <w:numFmt w:val="decimal"/>
      <w:lvlText w:val="%4."/>
      <w:lvlJc w:val="left"/>
      <w:pPr>
        <w:ind w:left="2521" w:hanging="360"/>
      </w:pPr>
    </w:lvl>
    <w:lvl w:ilvl="4" w:tplc="04260019" w:tentative="1">
      <w:start w:val="1"/>
      <w:numFmt w:val="lowerLetter"/>
      <w:lvlText w:val="%5."/>
      <w:lvlJc w:val="left"/>
      <w:pPr>
        <w:ind w:left="3241" w:hanging="360"/>
      </w:pPr>
    </w:lvl>
    <w:lvl w:ilvl="5" w:tplc="0426001B" w:tentative="1">
      <w:start w:val="1"/>
      <w:numFmt w:val="lowerRoman"/>
      <w:lvlText w:val="%6."/>
      <w:lvlJc w:val="right"/>
      <w:pPr>
        <w:ind w:left="3961" w:hanging="180"/>
      </w:pPr>
    </w:lvl>
    <w:lvl w:ilvl="6" w:tplc="0426000F" w:tentative="1">
      <w:start w:val="1"/>
      <w:numFmt w:val="decimal"/>
      <w:lvlText w:val="%7."/>
      <w:lvlJc w:val="left"/>
      <w:pPr>
        <w:ind w:left="4681" w:hanging="360"/>
      </w:pPr>
    </w:lvl>
    <w:lvl w:ilvl="7" w:tplc="04260019" w:tentative="1">
      <w:start w:val="1"/>
      <w:numFmt w:val="lowerLetter"/>
      <w:lvlText w:val="%8."/>
      <w:lvlJc w:val="left"/>
      <w:pPr>
        <w:ind w:left="5401" w:hanging="360"/>
      </w:pPr>
    </w:lvl>
    <w:lvl w:ilvl="8" w:tplc="0426001B" w:tentative="1">
      <w:start w:val="1"/>
      <w:numFmt w:val="lowerRoman"/>
      <w:lvlText w:val="%9."/>
      <w:lvlJc w:val="right"/>
      <w:pPr>
        <w:ind w:left="6121" w:hanging="180"/>
      </w:pPr>
    </w:lvl>
  </w:abstractNum>
  <w:abstractNum w:abstractNumId="28"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80D04E1"/>
    <w:multiLevelType w:val="hybridMultilevel"/>
    <w:tmpl w:val="D38652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A2678E2"/>
    <w:multiLevelType w:val="hybridMultilevel"/>
    <w:tmpl w:val="9BAA609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DF4745F"/>
    <w:multiLevelType w:val="hybridMultilevel"/>
    <w:tmpl w:val="4B56ADCE"/>
    <w:lvl w:ilvl="0" w:tplc="640C9FD6">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749D7421"/>
    <w:multiLevelType w:val="hybridMultilevel"/>
    <w:tmpl w:val="BB2E45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FD033E7"/>
    <w:multiLevelType w:val="hybridMultilevel"/>
    <w:tmpl w:val="BA3055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28"/>
  </w:num>
  <w:num w:numId="3">
    <w:abstractNumId w:val="7"/>
  </w:num>
  <w:num w:numId="4">
    <w:abstractNumId w:val="4"/>
  </w:num>
  <w:num w:numId="5">
    <w:abstractNumId w:val="1"/>
  </w:num>
  <w:num w:numId="6">
    <w:abstractNumId w:val="23"/>
  </w:num>
  <w:num w:numId="7">
    <w:abstractNumId w:val="29"/>
  </w:num>
  <w:num w:numId="8">
    <w:abstractNumId w:val="19"/>
  </w:num>
  <w:num w:numId="9">
    <w:abstractNumId w:val="5"/>
  </w:num>
  <w:num w:numId="10">
    <w:abstractNumId w:val="20"/>
  </w:num>
  <w:num w:numId="11">
    <w:abstractNumId w:val="21"/>
  </w:num>
  <w:num w:numId="12">
    <w:abstractNumId w:val="25"/>
  </w:num>
  <w:num w:numId="13">
    <w:abstractNumId w:val="26"/>
  </w:num>
  <w:num w:numId="14">
    <w:abstractNumId w:val="32"/>
  </w:num>
  <w:num w:numId="15">
    <w:abstractNumId w:val="6"/>
  </w:num>
  <w:num w:numId="16">
    <w:abstractNumId w:val="33"/>
  </w:num>
  <w:num w:numId="17">
    <w:abstractNumId w:val="0"/>
  </w:num>
  <w:num w:numId="18">
    <w:abstractNumId w:val="8"/>
  </w:num>
  <w:num w:numId="19">
    <w:abstractNumId w:val="2"/>
  </w:num>
  <w:num w:numId="20">
    <w:abstractNumId w:val="30"/>
  </w:num>
  <w:num w:numId="21">
    <w:abstractNumId w:val="17"/>
  </w:num>
  <w:num w:numId="22">
    <w:abstractNumId w:val="15"/>
  </w:num>
  <w:num w:numId="23">
    <w:abstractNumId w:val="16"/>
  </w:num>
  <w:num w:numId="24">
    <w:abstractNumId w:val="24"/>
  </w:num>
  <w:num w:numId="25">
    <w:abstractNumId w:val="3"/>
  </w:num>
  <w:num w:numId="26">
    <w:abstractNumId w:val="9"/>
  </w:num>
  <w:num w:numId="27">
    <w:abstractNumId w:val="22"/>
  </w:num>
  <w:num w:numId="28">
    <w:abstractNumId w:val="12"/>
  </w:num>
  <w:num w:numId="29">
    <w:abstractNumId w:val="11"/>
  </w:num>
  <w:num w:numId="30">
    <w:abstractNumId w:val="13"/>
  </w:num>
  <w:num w:numId="31">
    <w:abstractNumId w:val="14"/>
  </w:num>
  <w:num w:numId="32">
    <w:abstractNumId w:val="34"/>
  </w:num>
  <w:num w:numId="33">
    <w:abstractNumId w:val="31"/>
  </w:num>
  <w:num w:numId="34">
    <w:abstractNumId w:val="18"/>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3E6A"/>
    <w:rsid w:val="000048C9"/>
    <w:rsid w:val="00006E86"/>
    <w:rsid w:val="00007996"/>
    <w:rsid w:val="00011D24"/>
    <w:rsid w:val="00013FF4"/>
    <w:rsid w:val="00014D57"/>
    <w:rsid w:val="00017776"/>
    <w:rsid w:val="00020FE1"/>
    <w:rsid w:val="00022E13"/>
    <w:rsid w:val="0002322C"/>
    <w:rsid w:val="00026BF9"/>
    <w:rsid w:val="00027A66"/>
    <w:rsid w:val="00032211"/>
    <w:rsid w:val="00032388"/>
    <w:rsid w:val="00033BAF"/>
    <w:rsid w:val="000354F6"/>
    <w:rsid w:val="00035CE2"/>
    <w:rsid w:val="0003714E"/>
    <w:rsid w:val="00040D3B"/>
    <w:rsid w:val="00054D69"/>
    <w:rsid w:val="0005553B"/>
    <w:rsid w:val="00056AA4"/>
    <w:rsid w:val="00056D81"/>
    <w:rsid w:val="000604D2"/>
    <w:rsid w:val="00061448"/>
    <w:rsid w:val="00062A9A"/>
    <w:rsid w:val="00062E0C"/>
    <w:rsid w:val="00064B73"/>
    <w:rsid w:val="0007394A"/>
    <w:rsid w:val="00076138"/>
    <w:rsid w:val="00080409"/>
    <w:rsid w:val="00080756"/>
    <w:rsid w:val="000824C6"/>
    <w:rsid w:val="0008268A"/>
    <w:rsid w:val="00082742"/>
    <w:rsid w:val="0008390B"/>
    <w:rsid w:val="000845F7"/>
    <w:rsid w:val="00084751"/>
    <w:rsid w:val="00087255"/>
    <w:rsid w:val="0009005E"/>
    <w:rsid w:val="00092A8C"/>
    <w:rsid w:val="000941C5"/>
    <w:rsid w:val="00095D58"/>
    <w:rsid w:val="000A0078"/>
    <w:rsid w:val="000A2092"/>
    <w:rsid w:val="000A325D"/>
    <w:rsid w:val="000A6451"/>
    <w:rsid w:val="000B064E"/>
    <w:rsid w:val="000B1894"/>
    <w:rsid w:val="000B69CF"/>
    <w:rsid w:val="000B790F"/>
    <w:rsid w:val="000C24FA"/>
    <w:rsid w:val="000C4101"/>
    <w:rsid w:val="000C7199"/>
    <w:rsid w:val="000C790C"/>
    <w:rsid w:val="000D3C06"/>
    <w:rsid w:val="000D4847"/>
    <w:rsid w:val="000D5436"/>
    <w:rsid w:val="000D5940"/>
    <w:rsid w:val="000E248B"/>
    <w:rsid w:val="000E2BC2"/>
    <w:rsid w:val="000E55D0"/>
    <w:rsid w:val="000E671D"/>
    <w:rsid w:val="000F061D"/>
    <w:rsid w:val="000F1F07"/>
    <w:rsid w:val="000F4794"/>
    <w:rsid w:val="0010376B"/>
    <w:rsid w:val="0011193F"/>
    <w:rsid w:val="00114D72"/>
    <w:rsid w:val="00122073"/>
    <w:rsid w:val="0012409D"/>
    <w:rsid w:val="00124F12"/>
    <w:rsid w:val="00136B51"/>
    <w:rsid w:val="00136C22"/>
    <w:rsid w:val="001379C9"/>
    <w:rsid w:val="00140901"/>
    <w:rsid w:val="001416D6"/>
    <w:rsid w:val="00144A1B"/>
    <w:rsid w:val="00144E3A"/>
    <w:rsid w:val="00145B0E"/>
    <w:rsid w:val="0015060C"/>
    <w:rsid w:val="001568D5"/>
    <w:rsid w:val="00157F32"/>
    <w:rsid w:val="0016018A"/>
    <w:rsid w:val="00161814"/>
    <w:rsid w:val="00161F0E"/>
    <w:rsid w:val="00163466"/>
    <w:rsid w:val="00166A1F"/>
    <w:rsid w:val="0016720A"/>
    <w:rsid w:val="00170D44"/>
    <w:rsid w:val="00170E2A"/>
    <w:rsid w:val="001728EC"/>
    <w:rsid w:val="00172EF2"/>
    <w:rsid w:val="0017371B"/>
    <w:rsid w:val="00175482"/>
    <w:rsid w:val="00177394"/>
    <w:rsid w:val="00181E4C"/>
    <w:rsid w:val="00182C18"/>
    <w:rsid w:val="00183CC2"/>
    <w:rsid w:val="00183E35"/>
    <w:rsid w:val="001843F8"/>
    <w:rsid w:val="001900E4"/>
    <w:rsid w:val="00190F88"/>
    <w:rsid w:val="00191865"/>
    <w:rsid w:val="001968B0"/>
    <w:rsid w:val="00196C91"/>
    <w:rsid w:val="00197367"/>
    <w:rsid w:val="001A3BF6"/>
    <w:rsid w:val="001A4066"/>
    <w:rsid w:val="001A4252"/>
    <w:rsid w:val="001A5132"/>
    <w:rsid w:val="001A60A7"/>
    <w:rsid w:val="001A6AE4"/>
    <w:rsid w:val="001B01FD"/>
    <w:rsid w:val="001B18D2"/>
    <w:rsid w:val="001B203C"/>
    <w:rsid w:val="001B315A"/>
    <w:rsid w:val="001B4A71"/>
    <w:rsid w:val="001B71AB"/>
    <w:rsid w:val="001B71CD"/>
    <w:rsid w:val="001C5F71"/>
    <w:rsid w:val="001C6135"/>
    <w:rsid w:val="001C6309"/>
    <w:rsid w:val="001D5B54"/>
    <w:rsid w:val="001E06FA"/>
    <w:rsid w:val="001E0FC7"/>
    <w:rsid w:val="001E1803"/>
    <w:rsid w:val="001E1DBF"/>
    <w:rsid w:val="001E3A84"/>
    <w:rsid w:val="001E4639"/>
    <w:rsid w:val="001E4A7D"/>
    <w:rsid w:val="001E76DD"/>
    <w:rsid w:val="001F0B9B"/>
    <w:rsid w:val="001F28FC"/>
    <w:rsid w:val="001F43A8"/>
    <w:rsid w:val="001F4E7E"/>
    <w:rsid w:val="001F554C"/>
    <w:rsid w:val="001F58C7"/>
    <w:rsid w:val="001F5CD6"/>
    <w:rsid w:val="001F5E6E"/>
    <w:rsid w:val="001F6FF1"/>
    <w:rsid w:val="001F7F52"/>
    <w:rsid w:val="0020435B"/>
    <w:rsid w:val="002079B4"/>
    <w:rsid w:val="00210BD8"/>
    <w:rsid w:val="002113D9"/>
    <w:rsid w:val="0021263D"/>
    <w:rsid w:val="00213D4B"/>
    <w:rsid w:val="00213F0C"/>
    <w:rsid w:val="00214094"/>
    <w:rsid w:val="0021592D"/>
    <w:rsid w:val="00217D8C"/>
    <w:rsid w:val="00220F23"/>
    <w:rsid w:val="00221323"/>
    <w:rsid w:val="00221999"/>
    <w:rsid w:val="00222660"/>
    <w:rsid w:val="00222D76"/>
    <w:rsid w:val="00223EB1"/>
    <w:rsid w:val="00231344"/>
    <w:rsid w:val="0023436E"/>
    <w:rsid w:val="002347C0"/>
    <w:rsid w:val="0023533C"/>
    <w:rsid w:val="002362E4"/>
    <w:rsid w:val="0023658E"/>
    <w:rsid w:val="002368A5"/>
    <w:rsid w:val="00237FA2"/>
    <w:rsid w:val="00241A6C"/>
    <w:rsid w:val="00242092"/>
    <w:rsid w:val="00242805"/>
    <w:rsid w:val="00242D2B"/>
    <w:rsid w:val="002446B7"/>
    <w:rsid w:val="00250220"/>
    <w:rsid w:val="002537CF"/>
    <w:rsid w:val="00255591"/>
    <w:rsid w:val="00262E2B"/>
    <w:rsid w:val="00264301"/>
    <w:rsid w:val="00264B7A"/>
    <w:rsid w:val="00265B6A"/>
    <w:rsid w:val="00265FC5"/>
    <w:rsid w:val="00270429"/>
    <w:rsid w:val="002708CB"/>
    <w:rsid w:val="00270AF5"/>
    <w:rsid w:val="002720EB"/>
    <w:rsid w:val="002723E9"/>
    <w:rsid w:val="00277929"/>
    <w:rsid w:val="00277AB3"/>
    <w:rsid w:val="00283B82"/>
    <w:rsid w:val="00284454"/>
    <w:rsid w:val="002846E9"/>
    <w:rsid w:val="00284C34"/>
    <w:rsid w:val="0029066C"/>
    <w:rsid w:val="002966AD"/>
    <w:rsid w:val="002A2167"/>
    <w:rsid w:val="002A224C"/>
    <w:rsid w:val="002A2EB4"/>
    <w:rsid w:val="002A42E3"/>
    <w:rsid w:val="002A48E8"/>
    <w:rsid w:val="002A75B1"/>
    <w:rsid w:val="002B200B"/>
    <w:rsid w:val="002B21F7"/>
    <w:rsid w:val="002B334B"/>
    <w:rsid w:val="002B50DB"/>
    <w:rsid w:val="002B6FAB"/>
    <w:rsid w:val="002B7C00"/>
    <w:rsid w:val="002C12AB"/>
    <w:rsid w:val="002C34C6"/>
    <w:rsid w:val="002C382E"/>
    <w:rsid w:val="002C7CAC"/>
    <w:rsid w:val="002D0431"/>
    <w:rsid w:val="002D3306"/>
    <w:rsid w:val="002D3C1B"/>
    <w:rsid w:val="002D48AA"/>
    <w:rsid w:val="002D677D"/>
    <w:rsid w:val="002D7BAA"/>
    <w:rsid w:val="002D7F54"/>
    <w:rsid w:val="002E0B38"/>
    <w:rsid w:val="002E1D89"/>
    <w:rsid w:val="002E3E05"/>
    <w:rsid w:val="002E3FF4"/>
    <w:rsid w:val="002E497A"/>
    <w:rsid w:val="002F4671"/>
    <w:rsid w:val="002F78C8"/>
    <w:rsid w:val="00300CEA"/>
    <w:rsid w:val="0030165D"/>
    <w:rsid w:val="00301C8B"/>
    <w:rsid w:val="00301CF3"/>
    <w:rsid w:val="003047D8"/>
    <w:rsid w:val="00305BBD"/>
    <w:rsid w:val="0030705C"/>
    <w:rsid w:val="00307D9B"/>
    <w:rsid w:val="003108B5"/>
    <w:rsid w:val="0031105D"/>
    <w:rsid w:val="0032715C"/>
    <w:rsid w:val="003272E6"/>
    <w:rsid w:val="003333D4"/>
    <w:rsid w:val="00337CA5"/>
    <w:rsid w:val="0034000D"/>
    <w:rsid w:val="00340B5E"/>
    <w:rsid w:val="003431A9"/>
    <w:rsid w:val="00344B65"/>
    <w:rsid w:val="00345B71"/>
    <w:rsid w:val="0034622F"/>
    <w:rsid w:val="00351F03"/>
    <w:rsid w:val="0035341E"/>
    <w:rsid w:val="00355D97"/>
    <w:rsid w:val="00360CCC"/>
    <w:rsid w:val="00362478"/>
    <w:rsid w:val="003624CB"/>
    <w:rsid w:val="00362BAF"/>
    <w:rsid w:val="003646F7"/>
    <w:rsid w:val="0036582C"/>
    <w:rsid w:val="003661FA"/>
    <w:rsid w:val="00370649"/>
    <w:rsid w:val="0037272E"/>
    <w:rsid w:val="003732F3"/>
    <w:rsid w:val="00373C07"/>
    <w:rsid w:val="00374B88"/>
    <w:rsid w:val="0037541E"/>
    <w:rsid w:val="00375B25"/>
    <w:rsid w:val="00380998"/>
    <w:rsid w:val="00380B4C"/>
    <w:rsid w:val="00385B77"/>
    <w:rsid w:val="00385D1E"/>
    <w:rsid w:val="00387E07"/>
    <w:rsid w:val="003931C0"/>
    <w:rsid w:val="00395A99"/>
    <w:rsid w:val="00396542"/>
    <w:rsid w:val="0039685B"/>
    <w:rsid w:val="00397955"/>
    <w:rsid w:val="003A16BE"/>
    <w:rsid w:val="003A2487"/>
    <w:rsid w:val="003A307D"/>
    <w:rsid w:val="003A31A6"/>
    <w:rsid w:val="003A5A2C"/>
    <w:rsid w:val="003A7F0C"/>
    <w:rsid w:val="003A7F79"/>
    <w:rsid w:val="003B33FD"/>
    <w:rsid w:val="003B6404"/>
    <w:rsid w:val="003C098F"/>
    <w:rsid w:val="003C2392"/>
    <w:rsid w:val="003C449B"/>
    <w:rsid w:val="003C52A4"/>
    <w:rsid w:val="003C53C2"/>
    <w:rsid w:val="003C7390"/>
    <w:rsid w:val="003C7B68"/>
    <w:rsid w:val="003D21FF"/>
    <w:rsid w:val="003D2588"/>
    <w:rsid w:val="003D2A9C"/>
    <w:rsid w:val="003D3B30"/>
    <w:rsid w:val="003D7443"/>
    <w:rsid w:val="003E2179"/>
    <w:rsid w:val="003E26FE"/>
    <w:rsid w:val="003E32BC"/>
    <w:rsid w:val="003F0112"/>
    <w:rsid w:val="003F071A"/>
    <w:rsid w:val="003F127A"/>
    <w:rsid w:val="003F160B"/>
    <w:rsid w:val="003F17F9"/>
    <w:rsid w:val="003F1B3E"/>
    <w:rsid w:val="003F75DC"/>
    <w:rsid w:val="00400032"/>
    <w:rsid w:val="00400B5B"/>
    <w:rsid w:val="00405A00"/>
    <w:rsid w:val="00405B8C"/>
    <w:rsid w:val="00406B5E"/>
    <w:rsid w:val="00406E17"/>
    <w:rsid w:val="00412E3D"/>
    <w:rsid w:val="00417F48"/>
    <w:rsid w:val="0042063A"/>
    <w:rsid w:val="00420870"/>
    <w:rsid w:val="00422E6D"/>
    <w:rsid w:val="00423E2C"/>
    <w:rsid w:val="00423F05"/>
    <w:rsid w:val="00427968"/>
    <w:rsid w:val="00430254"/>
    <w:rsid w:val="004338B6"/>
    <w:rsid w:val="004356CC"/>
    <w:rsid w:val="0043791B"/>
    <w:rsid w:val="00441483"/>
    <w:rsid w:val="00441BCB"/>
    <w:rsid w:val="004453C8"/>
    <w:rsid w:val="00445988"/>
    <w:rsid w:val="00450432"/>
    <w:rsid w:val="0045176A"/>
    <w:rsid w:val="004550C6"/>
    <w:rsid w:val="004552BD"/>
    <w:rsid w:val="00455928"/>
    <w:rsid w:val="00456332"/>
    <w:rsid w:val="00457C0D"/>
    <w:rsid w:val="00460DAC"/>
    <w:rsid w:val="00461826"/>
    <w:rsid w:val="00462A51"/>
    <w:rsid w:val="0046402C"/>
    <w:rsid w:val="0046472D"/>
    <w:rsid w:val="0047074D"/>
    <w:rsid w:val="004719BE"/>
    <w:rsid w:val="004744C6"/>
    <w:rsid w:val="00474B30"/>
    <w:rsid w:val="00474BF5"/>
    <w:rsid w:val="004800F9"/>
    <w:rsid w:val="00480614"/>
    <w:rsid w:val="00482F4A"/>
    <w:rsid w:val="0049134A"/>
    <w:rsid w:val="00492F0C"/>
    <w:rsid w:val="004933F1"/>
    <w:rsid w:val="004943BF"/>
    <w:rsid w:val="00495610"/>
    <w:rsid w:val="00496285"/>
    <w:rsid w:val="004A58CB"/>
    <w:rsid w:val="004A5AAA"/>
    <w:rsid w:val="004B1795"/>
    <w:rsid w:val="004B1F53"/>
    <w:rsid w:val="004B368C"/>
    <w:rsid w:val="004B3BFD"/>
    <w:rsid w:val="004B56DD"/>
    <w:rsid w:val="004C020F"/>
    <w:rsid w:val="004C1AFD"/>
    <w:rsid w:val="004C1B47"/>
    <w:rsid w:val="004C558B"/>
    <w:rsid w:val="004C5778"/>
    <w:rsid w:val="004C64BC"/>
    <w:rsid w:val="004D5832"/>
    <w:rsid w:val="004E5371"/>
    <w:rsid w:val="004E7AE9"/>
    <w:rsid w:val="004F1331"/>
    <w:rsid w:val="004F1F88"/>
    <w:rsid w:val="004F239E"/>
    <w:rsid w:val="004F5F1B"/>
    <w:rsid w:val="004F5F21"/>
    <w:rsid w:val="004F6EEC"/>
    <w:rsid w:val="00501A36"/>
    <w:rsid w:val="00502374"/>
    <w:rsid w:val="005040B2"/>
    <w:rsid w:val="005060A1"/>
    <w:rsid w:val="005072AB"/>
    <w:rsid w:val="00507312"/>
    <w:rsid w:val="00511C16"/>
    <w:rsid w:val="00513168"/>
    <w:rsid w:val="00516072"/>
    <w:rsid w:val="00521B0B"/>
    <w:rsid w:val="005233C2"/>
    <w:rsid w:val="00526FE9"/>
    <w:rsid w:val="005271FE"/>
    <w:rsid w:val="0053025D"/>
    <w:rsid w:val="00532DDB"/>
    <w:rsid w:val="005332EC"/>
    <w:rsid w:val="0053367B"/>
    <w:rsid w:val="00534418"/>
    <w:rsid w:val="005344CA"/>
    <w:rsid w:val="005353AB"/>
    <w:rsid w:val="00535D86"/>
    <w:rsid w:val="00541A3B"/>
    <w:rsid w:val="00541FEA"/>
    <w:rsid w:val="00552444"/>
    <w:rsid w:val="00554AC2"/>
    <w:rsid w:val="00555308"/>
    <w:rsid w:val="005560BC"/>
    <w:rsid w:val="005573BE"/>
    <w:rsid w:val="0056263A"/>
    <w:rsid w:val="00572700"/>
    <w:rsid w:val="00580437"/>
    <w:rsid w:val="00580468"/>
    <w:rsid w:val="00581184"/>
    <w:rsid w:val="0058603B"/>
    <w:rsid w:val="005863AD"/>
    <w:rsid w:val="00587568"/>
    <w:rsid w:val="00587D99"/>
    <w:rsid w:val="0059232A"/>
    <w:rsid w:val="0059431B"/>
    <w:rsid w:val="00595CB7"/>
    <w:rsid w:val="00597C7E"/>
    <w:rsid w:val="005A0AC4"/>
    <w:rsid w:val="005A39CC"/>
    <w:rsid w:val="005B2183"/>
    <w:rsid w:val="005B401B"/>
    <w:rsid w:val="005B4730"/>
    <w:rsid w:val="005C02E9"/>
    <w:rsid w:val="005C05B5"/>
    <w:rsid w:val="005C07F9"/>
    <w:rsid w:val="005C0C52"/>
    <w:rsid w:val="005C1ECE"/>
    <w:rsid w:val="005C4DF3"/>
    <w:rsid w:val="005C57DF"/>
    <w:rsid w:val="005C7AB5"/>
    <w:rsid w:val="005D4ECE"/>
    <w:rsid w:val="005D624F"/>
    <w:rsid w:val="005D7E17"/>
    <w:rsid w:val="005E05D7"/>
    <w:rsid w:val="005E1387"/>
    <w:rsid w:val="005E41E7"/>
    <w:rsid w:val="005E450F"/>
    <w:rsid w:val="005E596F"/>
    <w:rsid w:val="005F1A9F"/>
    <w:rsid w:val="005F65CB"/>
    <w:rsid w:val="005F79EF"/>
    <w:rsid w:val="005F7C1D"/>
    <w:rsid w:val="0060085D"/>
    <w:rsid w:val="0060416D"/>
    <w:rsid w:val="0060554D"/>
    <w:rsid w:val="006077F5"/>
    <w:rsid w:val="00613FD3"/>
    <w:rsid w:val="00614B8B"/>
    <w:rsid w:val="00614BA8"/>
    <w:rsid w:val="00617BC7"/>
    <w:rsid w:val="0062298A"/>
    <w:rsid w:val="00626514"/>
    <w:rsid w:val="00626589"/>
    <w:rsid w:val="006334AB"/>
    <w:rsid w:val="006339A0"/>
    <w:rsid w:val="0063409F"/>
    <w:rsid w:val="006413A8"/>
    <w:rsid w:val="00642E56"/>
    <w:rsid w:val="00645B07"/>
    <w:rsid w:val="00651E00"/>
    <w:rsid w:val="006540EA"/>
    <w:rsid w:val="00654B68"/>
    <w:rsid w:val="006557D6"/>
    <w:rsid w:val="006620AA"/>
    <w:rsid w:val="0066511F"/>
    <w:rsid w:val="00666465"/>
    <w:rsid w:val="00670692"/>
    <w:rsid w:val="006732E7"/>
    <w:rsid w:val="00674572"/>
    <w:rsid w:val="0067764C"/>
    <w:rsid w:val="00682282"/>
    <w:rsid w:val="0068642B"/>
    <w:rsid w:val="00687763"/>
    <w:rsid w:val="0069131D"/>
    <w:rsid w:val="0069152A"/>
    <w:rsid w:val="006928E7"/>
    <w:rsid w:val="00692B0D"/>
    <w:rsid w:val="00693E0E"/>
    <w:rsid w:val="00696A69"/>
    <w:rsid w:val="006A1AE3"/>
    <w:rsid w:val="006A1C32"/>
    <w:rsid w:val="006A50FB"/>
    <w:rsid w:val="006A62FF"/>
    <w:rsid w:val="006B0105"/>
    <w:rsid w:val="006B1E0B"/>
    <w:rsid w:val="006B20CC"/>
    <w:rsid w:val="006C1EFF"/>
    <w:rsid w:val="006C30E1"/>
    <w:rsid w:val="006C4607"/>
    <w:rsid w:val="006C4A8D"/>
    <w:rsid w:val="006D48F1"/>
    <w:rsid w:val="006D60D2"/>
    <w:rsid w:val="006E1407"/>
    <w:rsid w:val="006E7222"/>
    <w:rsid w:val="006F0091"/>
    <w:rsid w:val="006F36D6"/>
    <w:rsid w:val="006F45BE"/>
    <w:rsid w:val="006F6551"/>
    <w:rsid w:val="006F6579"/>
    <w:rsid w:val="006F667C"/>
    <w:rsid w:val="007004FC"/>
    <w:rsid w:val="00706670"/>
    <w:rsid w:val="007067D6"/>
    <w:rsid w:val="007105C4"/>
    <w:rsid w:val="007120F6"/>
    <w:rsid w:val="00713D5A"/>
    <w:rsid w:val="00715CFA"/>
    <w:rsid w:val="00716A76"/>
    <w:rsid w:val="00722767"/>
    <w:rsid w:val="0072417C"/>
    <w:rsid w:val="007244D0"/>
    <w:rsid w:val="0072599A"/>
    <w:rsid w:val="00726DE2"/>
    <w:rsid w:val="00731318"/>
    <w:rsid w:val="007323F5"/>
    <w:rsid w:val="00734211"/>
    <w:rsid w:val="00734450"/>
    <w:rsid w:val="0073516A"/>
    <w:rsid w:val="00737664"/>
    <w:rsid w:val="00737872"/>
    <w:rsid w:val="00745C48"/>
    <w:rsid w:val="00745F67"/>
    <w:rsid w:val="00746084"/>
    <w:rsid w:val="00746335"/>
    <w:rsid w:val="0075039E"/>
    <w:rsid w:val="00750FAA"/>
    <w:rsid w:val="00752D9D"/>
    <w:rsid w:val="007543A3"/>
    <w:rsid w:val="00754784"/>
    <w:rsid w:val="00757C6E"/>
    <w:rsid w:val="00762529"/>
    <w:rsid w:val="00762BDA"/>
    <w:rsid w:val="00763484"/>
    <w:rsid w:val="0076378A"/>
    <w:rsid w:val="00766503"/>
    <w:rsid w:val="0077044D"/>
    <w:rsid w:val="00773A44"/>
    <w:rsid w:val="00776F6D"/>
    <w:rsid w:val="007805FD"/>
    <w:rsid w:val="00781E6E"/>
    <w:rsid w:val="00782956"/>
    <w:rsid w:val="00782AE8"/>
    <w:rsid w:val="00784422"/>
    <w:rsid w:val="00787A61"/>
    <w:rsid w:val="00790B92"/>
    <w:rsid w:val="00792C50"/>
    <w:rsid w:val="00797F7B"/>
    <w:rsid w:val="007A096E"/>
    <w:rsid w:val="007A2A02"/>
    <w:rsid w:val="007A530E"/>
    <w:rsid w:val="007A6D22"/>
    <w:rsid w:val="007A741B"/>
    <w:rsid w:val="007B18ED"/>
    <w:rsid w:val="007B2D43"/>
    <w:rsid w:val="007B3B54"/>
    <w:rsid w:val="007B3FA0"/>
    <w:rsid w:val="007B5CB5"/>
    <w:rsid w:val="007B6EE1"/>
    <w:rsid w:val="007B700D"/>
    <w:rsid w:val="007C0F2C"/>
    <w:rsid w:val="007C2BCC"/>
    <w:rsid w:val="007C4EF0"/>
    <w:rsid w:val="007C6FD0"/>
    <w:rsid w:val="007D08E5"/>
    <w:rsid w:val="007D099D"/>
    <w:rsid w:val="007D09DD"/>
    <w:rsid w:val="007D2C8E"/>
    <w:rsid w:val="007D3806"/>
    <w:rsid w:val="007D426A"/>
    <w:rsid w:val="007E2664"/>
    <w:rsid w:val="007E3ABF"/>
    <w:rsid w:val="007E5509"/>
    <w:rsid w:val="007E577C"/>
    <w:rsid w:val="007E5BFA"/>
    <w:rsid w:val="007E6689"/>
    <w:rsid w:val="007E731C"/>
    <w:rsid w:val="007F0A03"/>
    <w:rsid w:val="007F6093"/>
    <w:rsid w:val="007F67E0"/>
    <w:rsid w:val="007F70B8"/>
    <w:rsid w:val="00800BD2"/>
    <w:rsid w:val="00810040"/>
    <w:rsid w:val="0081105D"/>
    <w:rsid w:val="00811EA6"/>
    <w:rsid w:val="0081583D"/>
    <w:rsid w:val="0082023A"/>
    <w:rsid w:val="00821246"/>
    <w:rsid w:val="00821A7A"/>
    <w:rsid w:val="008252BB"/>
    <w:rsid w:val="008253F8"/>
    <w:rsid w:val="00827D03"/>
    <w:rsid w:val="00830130"/>
    <w:rsid w:val="00830B0D"/>
    <w:rsid w:val="008311D0"/>
    <w:rsid w:val="008325E4"/>
    <w:rsid w:val="00832A2B"/>
    <w:rsid w:val="008332BA"/>
    <w:rsid w:val="008334B5"/>
    <w:rsid w:val="00840495"/>
    <w:rsid w:val="00841B2A"/>
    <w:rsid w:val="00845811"/>
    <w:rsid w:val="00846994"/>
    <w:rsid w:val="00850451"/>
    <w:rsid w:val="00852042"/>
    <w:rsid w:val="008522EC"/>
    <w:rsid w:val="00852641"/>
    <w:rsid w:val="008534C9"/>
    <w:rsid w:val="00853A64"/>
    <w:rsid w:val="008555FD"/>
    <w:rsid w:val="0085599D"/>
    <w:rsid w:val="008578AF"/>
    <w:rsid w:val="008608E2"/>
    <w:rsid w:val="0086381B"/>
    <w:rsid w:val="008677AD"/>
    <w:rsid w:val="00874741"/>
    <w:rsid w:val="00874FD4"/>
    <w:rsid w:val="0087510C"/>
    <w:rsid w:val="00882AB0"/>
    <w:rsid w:val="00882F6C"/>
    <w:rsid w:val="008832EF"/>
    <w:rsid w:val="00887A21"/>
    <w:rsid w:val="00887A61"/>
    <w:rsid w:val="0089401C"/>
    <w:rsid w:val="0089738E"/>
    <w:rsid w:val="008A28E7"/>
    <w:rsid w:val="008A3D95"/>
    <w:rsid w:val="008A41DF"/>
    <w:rsid w:val="008A568D"/>
    <w:rsid w:val="008A69E2"/>
    <w:rsid w:val="008A6A58"/>
    <w:rsid w:val="008B1649"/>
    <w:rsid w:val="008B2E81"/>
    <w:rsid w:val="008B51C6"/>
    <w:rsid w:val="008B5FDB"/>
    <w:rsid w:val="008B6C24"/>
    <w:rsid w:val="008C0194"/>
    <w:rsid w:val="008C50F4"/>
    <w:rsid w:val="008C54AF"/>
    <w:rsid w:val="008C5649"/>
    <w:rsid w:val="008C6112"/>
    <w:rsid w:val="008D25B0"/>
    <w:rsid w:val="008D519B"/>
    <w:rsid w:val="008D7AFC"/>
    <w:rsid w:val="008E1BEB"/>
    <w:rsid w:val="008E44A2"/>
    <w:rsid w:val="008E54D9"/>
    <w:rsid w:val="008E5A64"/>
    <w:rsid w:val="008E697D"/>
    <w:rsid w:val="008E7E03"/>
    <w:rsid w:val="008F1590"/>
    <w:rsid w:val="008F5ED2"/>
    <w:rsid w:val="008F7E15"/>
    <w:rsid w:val="00903263"/>
    <w:rsid w:val="00903468"/>
    <w:rsid w:val="009036E5"/>
    <w:rsid w:val="00904A49"/>
    <w:rsid w:val="00906A21"/>
    <w:rsid w:val="009079C3"/>
    <w:rsid w:val="00910462"/>
    <w:rsid w:val="00910FAA"/>
    <w:rsid w:val="00912A06"/>
    <w:rsid w:val="009142F2"/>
    <w:rsid w:val="00915AB1"/>
    <w:rsid w:val="009172C4"/>
    <w:rsid w:val="00917532"/>
    <w:rsid w:val="009177FF"/>
    <w:rsid w:val="00920A6B"/>
    <w:rsid w:val="00922A98"/>
    <w:rsid w:val="009235BA"/>
    <w:rsid w:val="00924023"/>
    <w:rsid w:val="00924CE2"/>
    <w:rsid w:val="00924F17"/>
    <w:rsid w:val="00925B9F"/>
    <w:rsid w:val="00925FBC"/>
    <w:rsid w:val="0093000A"/>
    <w:rsid w:val="00930460"/>
    <w:rsid w:val="00931AED"/>
    <w:rsid w:val="009325E8"/>
    <w:rsid w:val="00932D95"/>
    <w:rsid w:val="0093347F"/>
    <w:rsid w:val="009335C1"/>
    <w:rsid w:val="00935DF1"/>
    <w:rsid w:val="0093647D"/>
    <w:rsid w:val="00940F05"/>
    <w:rsid w:val="0094387E"/>
    <w:rsid w:val="00944770"/>
    <w:rsid w:val="00946801"/>
    <w:rsid w:val="009476A3"/>
    <w:rsid w:val="0095334F"/>
    <w:rsid w:val="00955811"/>
    <w:rsid w:val="00962DC3"/>
    <w:rsid w:val="00965897"/>
    <w:rsid w:val="00966A6D"/>
    <w:rsid w:val="0096765C"/>
    <w:rsid w:val="009727E4"/>
    <w:rsid w:val="00975447"/>
    <w:rsid w:val="009777DD"/>
    <w:rsid w:val="00981C38"/>
    <w:rsid w:val="0099022F"/>
    <w:rsid w:val="00990D6A"/>
    <w:rsid w:val="00991E88"/>
    <w:rsid w:val="009933D7"/>
    <w:rsid w:val="009934C5"/>
    <w:rsid w:val="00994C0F"/>
    <w:rsid w:val="00995CEE"/>
    <w:rsid w:val="00997C34"/>
    <w:rsid w:val="009A3CA4"/>
    <w:rsid w:val="009B22D7"/>
    <w:rsid w:val="009B2AA7"/>
    <w:rsid w:val="009B3E34"/>
    <w:rsid w:val="009B42E5"/>
    <w:rsid w:val="009B72ED"/>
    <w:rsid w:val="009C5435"/>
    <w:rsid w:val="009C6DEB"/>
    <w:rsid w:val="009C7761"/>
    <w:rsid w:val="009D0894"/>
    <w:rsid w:val="009D1944"/>
    <w:rsid w:val="009D3309"/>
    <w:rsid w:val="009D3888"/>
    <w:rsid w:val="009D4BA0"/>
    <w:rsid w:val="009D59DA"/>
    <w:rsid w:val="009D6504"/>
    <w:rsid w:val="009E12D7"/>
    <w:rsid w:val="009E58EA"/>
    <w:rsid w:val="009E661A"/>
    <w:rsid w:val="009E775E"/>
    <w:rsid w:val="009F0526"/>
    <w:rsid w:val="009F5805"/>
    <w:rsid w:val="009F78BC"/>
    <w:rsid w:val="00A00418"/>
    <w:rsid w:val="00A0251E"/>
    <w:rsid w:val="00A02E68"/>
    <w:rsid w:val="00A04096"/>
    <w:rsid w:val="00A047AC"/>
    <w:rsid w:val="00A06781"/>
    <w:rsid w:val="00A074C3"/>
    <w:rsid w:val="00A100D9"/>
    <w:rsid w:val="00A12D5A"/>
    <w:rsid w:val="00A12E52"/>
    <w:rsid w:val="00A1397A"/>
    <w:rsid w:val="00A1509C"/>
    <w:rsid w:val="00A15277"/>
    <w:rsid w:val="00A16200"/>
    <w:rsid w:val="00A277E3"/>
    <w:rsid w:val="00A30C68"/>
    <w:rsid w:val="00A34260"/>
    <w:rsid w:val="00A37906"/>
    <w:rsid w:val="00A42E83"/>
    <w:rsid w:val="00A43D18"/>
    <w:rsid w:val="00A43DE9"/>
    <w:rsid w:val="00A50CE2"/>
    <w:rsid w:val="00A64637"/>
    <w:rsid w:val="00A709A5"/>
    <w:rsid w:val="00A70CFD"/>
    <w:rsid w:val="00A72A0B"/>
    <w:rsid w:val="00A750B2"/>
    <w:rsid w:val="00A75E7F"/>
    <w:rsid w:val="00A762F8"/>
    <w:rsid w:val="00A80DDE"/>
    <w:rsid w:val="00A81E42"/>
    <w:rsid w:val="00A8324F"/>
    <w:rsid w:val="00A836B6"/>
    <w:rsid w:val="00A8442D"/>
    <w:rsid w:val="00A864FE"/>
    <w:rsid w:val="00A86F41"/>
    <w:rsid w:val="00A87D04"/>
    <w:rsid w:val="00A90665"/>
    <w:rsid w:val="00A90D7A"/>
    <w:rsid w:val="00A950C5"/>
    <w:rsid w:val="00AA14F9"/>
    <w:rsid w:val="00AA1D25"/>
    <w:rsid w:val="00AA38A8"/>
    <w:rsid w:val="00AA423F"/>
    <w:rsid w:val="00AA51B3"/>
    <w:rsid w:val="00AA75BD"/>
    <w:rsid w:val="00AB2B1A"/>
    <w:rsid w:val="00AB326B"/>
    <w:rsid w:val="00AB397F"/>
    <w:rsid w:val="00AB42ED"/>
    <w:rsid w:val="00AB5705"/>
    <w:rsid w:val="00AB5832"/>
    <w:rsid w:val="00AC49BF"/>
    <w:rsid w:val="00AC51F2"/>
    <w:rsid w:val="00AC6CDF"/>
    <w:rsid w:val="00AC7AAD"/>
    <w:rsid w:val="00AD2B04"/>
    <w:rsid w:val="00AD53D6"/>
    <w:rsid w:val="00AE0819"/>
    <w:rsid w:val="00AE0CB0"/>
    <w:rsid w:val="00AE2256"/>
    <w:rsid w:val="00AE25AC"/>
    <w:rsid w:val="00AE30FC"/>
    <w:rsid w:val="00AE5066"/>
    <w:rsid w:val="00AE5E24"/>
    <w:rsid w:val="00AE61B7"/>
    <w:rsid w:val="00AE6CBA"/>
    <w:rsid w:val="00AE7256"/>
    <w:rsid w:val="00AE79AD"/>
    <w:rsid w:val="00AF35E4"/>
    <w:rsid w:val="00AF3D7F"/>
    <w:rsid w:val="00AF48F6"/>
    <w:rsid w:val="00AF5CDE"/>
    <w:rsid w:val="00AF6716"/>
    <w:rsid w:val="00B1004D"/>
    <w:rsid w:val="00B11A57"/>
    <w:rsid w:val="00B12997"/>
    <w:rsid w:val="00B12C38"/>
    <w:rsid w:val="00B16121"/>
    <w:rsid w:val="00B211C3"/>
    <w:rsid w:val="00B23B35"/>
    <w:rsid w:val="00B25597"/>
    <w:rsid w:val="00B267B9"/>
    <w:rsid w:val="00B30EF4"/>
    <w:rsid w:val="00B31738"/>
    <w:rsid w:val="00B33E09"/>
    <w:rsid w:val="00B35D1B"/>
    <w:rsid w:val="00B36380"/>
    <w:rsid w:val="00B40361"/>
    <w:rsid w:val="00B4661D"/>
    <w:rsid w:val="00B47569"/>
    <w:rsid w:val="00B47A2B"/>
    <w:rsid w:val="00B47BCA"/>
    <w:rsid w:val="00B47DE1"/>
    <w:rsid w:val="00B50708"/>
    <w:rsid w:val="00B50C68"/>
    <w:rsid w:val="00B51293"/>
    <w:rsid w:val="00B52B1E"/>
    <w:rsid w:val="00B544A7"/>
    <w:rsid w:val="00B55481"/>
    <w:rsid w:val="00B56C32"/>
    <w:rsid w:val="00B57ACF"/>
    <w:rsid w:val="00B62436"/>
    <w:rsid w:val="00B64BB1"/>
    <w:rsid w:val="00B65318"/>
    <w:rsid w:val="00B66B5F"/>
    <w:rsid w:val="00B67189"/>
    <w:rsid w:val="00B70DAE"/>
    <w:rsid w:val="00B7258F"/>
    <w:rsid w:val="00B73166"/>
    <w:rsid w:val="00B73BE1"/>
    <w:rsid w:val="00B7455C"/>
    <w:rsid w:val="00B77DE2"/>
    <w:rsid w:val="00B80E9F"/>
    <w:rsid w:val="00B8426C"/>
    <w:rsid w:val="00B87CC7"/>
    <w:rsid w:val="00B90244"/>
    <w:rsid w:val="00B91B8D"/>
    <w:rsid w:val="00B94E90"/>
    <w:rsid w:val="00B95C35"/>
    <w:rsid w:val="00B95D06"/>
    <w:rsid w:val="00BA5BC1"/>
    <w:rsid w:val="00BA7CAA"/>
    <w:rsid w:val="00BB0A82"/>
    <w:rsid w:val="00BB14DB"/>
    <w:rsid w:val="00BB2E13"/>
    <w:rsid w:val="00BB6022"/>
    <w:rsid w:val="00BB766D"/>
    <w:rsid w:val="00BB7C94"/>
    <w:rsid w:val="00BC0A9D"/>
    <w:rsid w:val="00BC1E72"/>
    <w:rsid w:val="00BC369D"/>
    <w:rsid w:val="00BD129B"/>
    <w:rsid w:val="00BD1D2B"/>
    <w:rsid w:val="00BE2E2C"/>
    <w:rsid w:val="00BE32D0"/>
    <w:rsid w:val="00BE4981"/>
    <w:rsid w:val="00BE6A0D"/>
    <w:rsid w:val="00BE7190"/>
    <w:rsid w:val="00BF40ED"/>
    <w:rsid w:val="00BF5BC2"/>
    <w:rsid w:val="00BF6160"/>
    <w:rsid w:val="00BF7303"/>
    <w:rsid w:val="00C00322"/>
    <w:rsid w:val="00C0735D"/>
    <w:rsid w:val="00C1133D"/>
    <w:rsid w:val="00C116A8"/>
    <w:rsid w:val="00C13F6C"/>
    <w:rsid w:val="00C17F45"/>
    <w:rsid w:val="00C20646"/>
    <w:rsid w:val="00C21732"/>
    <w:rsid w:val="00C2317A"/>
    <w:rsid w:val="00C24147"/>
    <w:rsid w:val="00C246EC"/>
    <w:rsid w:val="00C25E93"/>
    <w:rsid w:val="00C270AA"/>
    <w:rsid w:val="00C27A08"/>
    <w:rsid w:val="00C31312"/>
    <w:rsid w:val="00C324C0"/>
    <w:rsid w:val="00C326C6"/>
    <w:rsid w:val="00C332C3"/>
    <w:rsid w:val="00C33C34"/>
    <w:rsid w:val="00C35295"/>
    <w:rsid w:val="00C36ADD"/>
    <w:rsid w:val="00C36E74"/>
    <w:rsid w:val="00C40595"/>
    <w:rsid w:val="00C409A4"/>
    <w:rsid w:val="00C41621"/>
    <w:rsid w:val="00C449FA"/>
    <w:rsid w:val="00C47D59"/>
    <w:rsid w:val="00C515F8"/>
    <w:rsid w:val="00C517AC"/>
    <w:rsid w:val="00C52675"/>
    <w:rsid w:val="00C5384F"/>
    <w:rsid w:val="00C54C12"/>
    <w:rsid w:val="00C54FCA"/>
    <w:rsid w:val="00C55F2E"/>
    <w:rsid w:val="00C56964"/>
    <w:rsid w:val="00C6040E"/>
    <w:rsid w:val="00C656D5"/>
    <w:rsid w:val="00C65A97"/>
    <w:rsid w:val="00C67103"/>
    <w:rsid w:val="00C70386"/>
    <w:rsid w:val="00C71BB9"/>
    <w:rsid w:val="00C754CC"/>
    <w:rsid w:val="00C83765"/>
    <w:rsid w:val="00C842AE"/>
    <w:rsid w:val="00C85AAA"/>
    <w:rsid w:val="00C903F1"/>
    <w:rsid w:val="00C90AED"/>
    <w:rsid w:val="00C929AF"/>
    <w:rsid w:val="00C92A52"/>
    <w:rsid w:val="00C933B4"/>
    <w:rsid w:val="00C94C28"/>
    <w:rsid w:val="00C96C04"/>
    <w:rsid w:val="00CA31FC"/>
    <w:rsid w:val="00CA6C46"/>
    <w:rsid w:val="00CB0247"/>
    <w:rsid w:val="00CB075A"/>
    <w:rsid w:val="00CB2C1B"/>
    <w:rsid w:val="00CB3440"/>
    <w:rsid w:val="00CB4BF9"/>
    <w:rsid w:val="00CB74B5"/>
    <w:rsid w:val="00CC0350"/>
    <w:rsid w:val="00CC1692"/>
    <w:rsid w:val="00CC257A"/>
    <w:rsid w:val="00CC3152"/>
    <w:rsid w:val="00CC6449"/>
    <w:rsid w:val="00CC6941"/>
    <w:rsid w:val="00CD138B"/>
    <w:rsid w:val="00CD2759"/>
    <w:rsid w:val="00CD3E31"/>
    <w:rsid w:val="00CD46D0"/>
    <w:rsid w:val="00CD6AF7"/>
    <w:rsid w:val="00CD74A3"/>
    <w:rsid w:val="00CE04F1"/>
    <w:rsid w:val="00CE0527"/>
    <w:rsid w:val="00CE11E8"/>
    <w:rsid w:val="00CE5772"/>
    <w:rsid w:val="00CE5B23"/>
    <w:rsid w:val="00CE72B0"/>
    <w:rsid w:val="00CE76F7"/>
    <w:rsid w:val="00CE7A04"/>
    <w:rsid w:val="00CF14B1"/>
    <w:rsid w:val="00CF1C2F"/>
    <w:rsid w:val="00CF1E1A"/>
    <w:rsid w:val="00CF27CC"/>
    <w:rsid w:val="00CF70AD"/>
    <w:rsid w:val="00CF7729"/>
    <w:rsid w:val="00CF77A8"/>
    <w:rsid w:val="00D00059"/>
    <w:rsid w:val="00D107FA"/>
    <w:rsid w:val="00D113EA"/>
    <w:rsid w:val="00D12073"/>
    <w:rsid w:val="00D12275"/>
    <w:rsid w:val="00D12766"/>
    <w:rsid w:val="00D129B5"/>
    <w:rsid w:val="00D12E07"/>
    <w:rsid w:val="00D20FF4"/>
    <w:rsid w:val="00D2421A"/>
    <w:rsid w:val="00D24D2C"/>
    <w:rsid w:val="00D30DE0"/>
    <w:rsid w:val="00D35881"/>
    <w:rsid w:val="00D401F8"/>
    <w:rsid w:val="00D4043C"/>
    <w:rsid w:val="00D41329"/>
    <w:rsid w:val="00D442F6"/>
    <w:rsid w:val="00D479B5"/>
    <w:rsid w:val="00D52E62"/>
    <w:rsid w:val="00D543DB"/>
    <w:rsid w:val="00D55560"/>
    <w:rsid w:val="00D5764C"/>
    <w:rsid w:val="00D607C0"/>
    <w:rsid w:val="00D66D08"/>
    <w:rsid w:val="00D713BD"/>
    <w:rsid w:val="00D73336"/>
    <w:rsid w:val="00D73EB0"/>
    <w:rsid w:val="00D76EF3"/>
    <w:rsid w:val="00D80273"/>
    <w:rsid w:val="00D81982"/>
    <w:rsid w:val="00D8574C"/>
    <w:rsid w:val="00D866B5"/>
    <w:rsid w:val="00D87512"/>
    <w:rsid w:val="00D92C68"/>
    <w:rsid w:val="00D9673E"/>
    <w:rsid w:val="00D97D8A"/>
    <w:rsid w:val="00DA013A"/>
    <w:rsid w:val="00DA03FB"/>
    <w:rsid w:val="00DA0B1E"/>
    <w:rsid w:val="00DA40A9"/>
    <w:rsid w:val="00DA55E3"/>
    <w:rsid w:val="00DA6317"/>
    <w:rsid w:val="00DA7DA5"/>
    <w:rsid w:val="00DB073B"/>
    <w:rsid w:val="00DB172E"/>
    <w:rsid w:val="00DB2A01"/>
    <w:rsid w:val="00DB383F"/>
    <w:rsid w:val="00DB5119"/>
    <w:rsid w:val="00DB7080"/>
    <w:rsid w:val="00DB78F0"/>
    <w:rsid w:val="00DC05EB"/>
    <w:rsid w:val="00DC0AD0"/>
    <w:rsid w:val="00DC1D8F"/>
    <w:rsid w:val="00DC2E43"/>
    <w:rsid w:val="00DC39C0"/>
    <w:rsid w:val="00DC49E7"/>
    <w:rsid w:val="00DC5289"/>
    <w:rsid w:val="00DC5E12"/>
    <w:rsid w:val="00DD095C"/>
    <w:rsid w:val="00DD1020"/>
    <w:rsid w:val="00DD1330"/>
    <w:rsid w:val="00DD3FD8"/>
    <w:rsid w:val="00DE0B83"/>
    <w:rsid w:val="00DE0DC5"/>
    <w:rsid w:val="00DE1A81"/>
    <w:rsid w:val="00DE1C13"/>
    <w:rsid w:val="00DE4E10"/>
    <w:rsid w:val="00DE5519"/>
    <w:rsid w:val="00DF14AA"/>
    <w:rsid w:val="00DF2997"/>
    <w:rsid w:val="00E00B99"/>
    <w:rsid w:val="00E02ABF"/>
    <w:rsid w:val="00E03666"/>
    <w:rsid w:val="00E043CC"/>
    <w:rsid w:val="00E057D5"/>
    <w:rsid w:val="00E114F5"/>
    <w:rsid w:val="00E135B1"/>
    <w:rsid w:val="00E13817"/>
    <w:rsid w:val="00E1487E"/>
    <w:rsid w:val="00E14995"/>
    <w:rsid w:val="00E14C58"/>
    <w:rsid w:val="00E155B3"/>
    <w:rsid w:val="00E16C32"/>
    <w:rsid w:val="00E16C5A"/>
    <w:rsid w:val="00E179CD"/>
    <w:rsid w:val="00E17EC7"/>
    <w:rsid w:val="00E20F53"/>
    <w:rsid w:val="00E225AB"/>
    <w:rsid w:val="00E23E8D"/>
    <w:rsid w:val="00E243EB"/>
    <w:rsid w:val="00E27B4D"/>
    <w:rsid w:val="00E307D6"/>
    <w:rsid w:val="00E34404"/>
    <w:rsid w:val="00E3583B"/>
    <w:rsid w:val="00E36314"/>
    <w:rsid w:val="00E37F98"/>
    <w:rsid w:val="00E41AA7"/>
    <w:rsid w:val="00E42FB9"/>
    <w:rsid w:val="00E4502A"/>
    <w:rsid w:val="00E46559"/>
    <w:rsid w:val="00E51227"/>
    <w:rsid w:val="00E517F2"/>
    <w:rsid w:val="00E51BED"/>
    <w:rsid w:val="00E547C1"/>
    <w:rsid w:val="00E60222"/>
    <w:rsid w:val="00E608A5"/>
    <w:rsid w:val="00E66595"/>
    <w:rsid w:val="00E6670C"/>
    <w:rsid w:val="00E70CA5"/>
    <w:rsid w:val="00E76A1B"/>
    <w:rsid w:val="00E776E8"/>
    <w:rsid w:val="00E81D81"/>
    <w:rsid w:val="00E83A97"/>
    <w:rsid w:val="00E85317"/>
    <w:rsid w:val="00E866EA"/>
    <w:rsid w:val="00E86758"/>
    <w:rsid w:val="00E8679B"/>
    <w:rsid w:val="00E92C1F"/>
    <w:rsid w:val="00E95D4B"/>
    <w:rsid w:val="00EA0C91"/>
    <w:rsid w:val="00EA20A6"/>
    <w:rsid w:val="00EA2CA8"/>
    <w:rsid w:val="00EA5E78"/>
    <w:rsid w:val="00EA78B3"/>
    <w:rsid w:val="00EB199F"/>
    <w:rsid w:val="00EB4050"/>
    <w:rsid w:val="00EB6CC6"/>
    <w:rsid w:val="00EC23F7"/>
    <w:rsid w:val="00EC2484"/>
    <w:rsid w:val="00EC404C"/>
    <w:rsid w:val="00EC4A0E"/>
    <w:rsid w:val="00EC4BD8"/>
    <w:rsid w:val="00EC63EB"/>
    <w:rsid w:val="00ED03E5"/>
    <w:rsid w:val="00ED0B84"/>
    <w:rsid w:val="00ED37ED"/>
    <w:rsid w:val="00ED412F"/>
    <w:rsid w:val="00ED5BF2"/>
    <w:rsid w:val="00ED7ED6"/>
    <w:rsid w:val="00EE0F59"/>
    <w:rsid w:val="00EE337A"/>
    <w:rsid w:val="00EE407C"/>
    <w:rsid w:val="00EE78A6"/>
    <w:rsid w:val="00EF10BF"/>
    <w:rsid w:val="00EF36B2"/>
    <w:rsid w:val="00EF63B5"/>
    <w:rsid w:val="00EF6A9B"/>
    <w:rsid w:val="00F026FB"/>
    <w:rsid w:val="00F031FB"/>
    <w:rsid w:val="00F04D32"/>
    <w:rsid w:val="00F0770A"/>
    <w:rsid w:val="00F11F8D"/>
    <w:rsid w:val="00F17625"/>
    <w:rsid w:val="00F201EC"/>
    <w:rsid w:val="00F208A9"/>
    <w:rsid w:val="00F2176D"/>
    <w:rsid w:val="00F218E5"/>
    <w:rsid w:val="00F23D3A"/>
    <w:rsid w:val="00F26319"/>
    <w:rsid w:val="00F26689"/>
    <w:rsid w:val="00F30AE2"/>
    <w:rsid w:val="00F30D28"/>
    <w:rsid w:val="00F31CB5"/>
    <w:rsid w:val="00F32F6D"/>
    <w:rsid w:val="00F33962"/>
    <w:rsid w:val="00F37013"/>
    <w:rsid w:val="00F41D75"/>
    <w:rsid w:val="00F44338"/>
    <w:rsid w:val="00F4705E"/>
    <w:rsid w:val="00F5139D"/>
    <w:rsid w:val="00F6215A"/>
    <w:rsid w:val="00F63DAC"/>
    <w:rsid w:val="00F641D8"/>
    <w:rsid w:val="00F65CAF"/>
    <w:rsid w:val="00F65EB8"/>
    <w:rsid w:val="00F668FB"/>
    <w:rsid w:val="00F66A37"/>
    <w:rsid w:val="00F710DD"/>
    <w:rsid w:val="00F7428D"/>
    <w:rsid w:val="00F7454F"/>
    <w:rsid w:val="00F7668C"/>
    <w:rsid w:val="00F76A55"/>
    <w:rsid w:val="00F77988"/>
    <w:rsid w:val="00F77F48"/>
    <w:rsid w:val="00F802E2"/>
    <w:rsid w:val="00F833D4"/>
    <w:rsid w:val="00F839ED"/>
    <w:rsid w:val="00F83AD2"/>
    <w:rsid w:val="00F83B4D"/>
    <w:rsid w:val="00F87856"/>
    <w:rsid w:val="00F90D90"/>
    <w:rsid w:val="00F921F8"/>
    <w:rsid w:val="00F96D85"/>
    <w:rsid w:val="00FA11EC"/>
    <w:rsid w:val="00FA17E5"/>
    <w:rsid w:val="00FA52D1"/>
    <w:rsid w:val="00FB30F1"/>
    <w:rsid w:val="00FB37AF"/>
    <w:rsid w:val="00FB387D"/>
    <w:rsid w:val="00FB53E7"/>
    <w:rsid w:val="00FB67FA"/>
    <w:rsid w:val="00FB77E6"/>
    <w:rsid w:val="00FC0F2D"/>
    <w:rsid w:val="00FD3432"/>
    <w:rsid w:val="00FD71D6"/>
    <w:rsid w:val="00FD75B5"/>
    <w:rsid w:val="00FE0DF3"/>
    <w:rsid w:val="00FE2EE6"/>
    <w:rsid w:val="00FE30E3"/>
    <w:rsid w:val="00FE6810"/>
    <w:rsid w:val="00FE6828"/>
    <w:rsid w:val="00FE79F8"/>
    <w:rsid w:val="00FF0150"/>
    <w:rsid w:val="00FF0331"/>
    <w:rsid w:val="00FF48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7E853AD"/>
  <w15:docId w15:val="{E1955B1F-46EB-46E8-9E90-A9D402FF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uiPriority w:val="99"/>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ListParagraph">
    <w:name w:val="List Paragraph"/>
    <w:basedOn w:val="Normal"/>
    <w:uiPriority w:val="34"/>
    <w:qFormat/>
    <w:rsid w:val="001B71CD"/>
    <w:pPr>
      <w:spacing w:after="200" w:line="276" w:lineRule="auto"/>
      <w:ind w:left="720"/>
      <w:contextualSpacing/>
    </w:pPr>
    <w:rPr>
      <w:rFonts w:ascii="Calibri" w:eastAsia="Calibri" w:hAnsi="Calibri"/>
      <w:sz w:val="22"/>
      <w:szCs w:val="22"/>
      <w:lang w:eastAsia="en-US"/>
    </w:rPr>
  </w:style>
  <w:style w:type="paragraph" w:customStyle="1" w:styleId="tv2131">
    <w:name w:val="tv2131"/>
    <w:basedOn w:val="Normal"/>
    <w:rsid w:val="0059232A"/>
    <w:pPr>
      <w:spacing w:line="360" w:lineRule="auto"/>
      <w:ind w:firstLine="300"/>
    </w:pPr>
    <w:rPr>
      <w:color w:val="414142"/>
      <w:sz w:val="20"/>
      <w:szCs w:val="20"/>
    </w:rPr>
  </w:style>
  <w:style w:type="paragraph" w:styleId="BlockText">
    <w:name w:val="Block Text"/>
    <w:basedOn w:val="Normal"/>
    <w:uiPriority w:val="99"/>
    <w:unhideWhenUsed/>
    <w:rsid w:val="00874FD4"/>
    <w:pPr>
      <w:spacing w:before="100" w:beforeAutospacing="1" w:after="100" w:afterAutospacing="1"/>
    </w:pPr>
    <w:rPr>
      <w:color w:val="000000"/>
    </w:rPr>
  </w:style>
  <w:style w:type="paragraph" w:styleId="PlainText">
    <w:name w:val="Plain Text"/>
    <w:basedOn w:val="Normal"/>
    <w:link w:val="PlainTextChar"/>
    <w:uiPriority w:val="99"/>
    <w:unhideWhenUsed/>
    <w:rsid w:val="00874FD4"/>
    <w:rPr>
      <w:rFonts w:ascii="Calibri" w:eastAsia="Calibri" w:hAnsi="Calibri"/>
      <w:sz w:val="22"/>
      <w:szCs w:val="22"/>
    </w:rPr>
  </w:style>
  <w:style w:type="character" w:customStyle="1" w:styleId="PlainTextChar">
    <w:name w:val="Plain Text Char"/>
    <w:link w:val="PlainText"/>
    <w:uiPriority w:val="99"/>
    <w:rsid w:val="00874FD4"/>
    <w:rPr>
      <w:rFonts w:ascii="Calibri" w:eastAsia="Calibri" w:hAnsi="Calibri"/>
      <w:sz w:val="22"/>
      <w:szCs w:val="22"/>
    </w:rPr>
  </w:style>
  <w:style w:type="paragraph" w:customStyle="1" w:styleId="tv2132">
    <w:name w:val="tv2132"/>
    <w:basedOn w:val="Normal"/>
    <w:rsid w:val="003272E6"/>
    <w:pPr>
      <w:spacing w:line="360" w:lineRule="auto"/>
      <w:ind w:firstLine="300"/>
    </w:pPr>
    <w:rPr>
      <w:color w:val="414142"/>
      <w:sz w:val="20"/>
      <w:szCs w:val="20"/>
    </w:rPr>
  </w:style>
  <w:style w:type="paragraph" w:customStyle="1" w:styleId="Default">
    <w:name w:val="Default"/>
    <w:rsid w:val="000C24FA"/>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0C24FA"/>
    <w:rPr>
      <w:rFonts w:cs="Times New Roman"/>
      <w:color w:val="auto"/>
    </w:rPr>
  </w:style>
  <w:style w:type="paragraph" w:customStyle="1" w:styleId="CM3">
    <w:name w:val="CM3"/>
    <w:basedOn w:val="Default"/>
    <w:next w:val="Default"/>
    <w:uiPriority w:val="99"/>
    <w:rsid w:val="000C24FA"/>
    <w:rPr>
      <w:rFonts w:cs="Times New Roman"/>
      <w:color w:val="auto"/>
    </w:rPr>
  </w:style>
  <w:style w:type="paragraph" w:styleId="Revision">
    <w:name w:val="Revision"/>
    <w:hidden/>
    <w:uiPriority w:val="99"/>
    <w:semiHidden/>
    <w:rsid w:val="00541A3B"/>
    <w:rPr>
      <w:sz w:val="24"/>
      <w:szCs w:val="24"/>
    </w:rPr>
  </w:style>
  <w:style w:type="paragraph" w:styleId="BodyText">
    <w:name w:val="Body Text"/>
    <w:basedOn w:val="Normal"/>
    <w:link w:val="BodyTextChar"/>
    <w:rsid w:val="004550C6"/>
    <w:pPr>
      <w:tabs>
        <w:tab w:val="left" w:pos="720"/>
      </w:tabs>
      <w:suppressAutoHyphens/>
      <w:spacing w:after="120" w:line="276" w:lineRule="auto"/>
    </w:pPr>
    <w:rPr>
      <w:color w:val="00000A"/>
      <w:lang w:eastAsia="zh-CN"/>
    </w:rPr>
  </w:style>
  <w:style w:type="character" w:customStyle="1" w:styleId="BodyTextChar">
    <w:name w:val="Body Text Char"/>
    <w:basedOn w:val="DefaultParagraphFont"/>
    <w:link w:val="BodyText"/>
    <w:rsid w:val="004550C6"/>
    <w:rPr>
      <w:color w:val="00000A"/>
      <w:sz w:val="24"/>
      <w:szCs w:val="24"/>
      <w:lang w:eastAsia="zh-CN"/>
    </w:rPr>
  </w:style>
  <w:style w:type="character" w:styleId="FollowedHyperlink">
    <w:name w:val="FollowedHyperlink"/>
    <w:basedOn w:val="DefaultParagraphFont"/>
    <w:semiHidden/>
    <w:unhideWhenUsed/>
    <w:rsid w:val="000E67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48784">
      <w:bodyDiv w:val="1"/>
      <w:marLeft w:val="0"/>
      <w:marRight w:val="0"/>
      <w:marTop w:val="0"/>
      <w:marBottom w:val="0"/>
      <w:divBdr>
        <w:top w:val="none" w:sz="0" w:space="0" w:color="auto"/>
        <w:left w:val="none" w:sz="0" w:space="0" w:color="auto"/>
        <w:bottom w:val="none" w:sz="0" w:space="0" w:color="auto"/>
        <w:right w:val="none" w:sz="0" w:space="0" w:color="auto"/>
      </w:divBdr>
    </w:div>
    <w:div w:id="301811694">
      <w:bodyDiv w:val="1"/>
      <w:marLeft w:val="0"/>
      <w:marRight w:val="0"/>
      <w:marTop w:val="0"/>
      <w:marBottom w:val="0"/>
      <w:divBdr>
        <w:top w:val="none" w:sz="0" w:space="0" w:color="auto"/>
        <w:left w:val="none" w:sz="0" w:space="0" w:color="auto"/>
        <w:bottom w:val="none" w:sz="0" w:space="0" w:color="auto"/>
        <w:right w:val="none" w:sz="0" w:space="0" w:color="auto"/>
      </w:divBdr>
    </w:div>
    <w:div w:id="599948709">
      <w:bodyDiv w:val="1"/>
      <w:marLeft w:val="0"/>
      <w:marRight w:val="0"/>
      <w:marTop w:val="0"/>
      <w:marBottom w:val="0"/>
      <w:divBdr>
        <w:top w:val="none" w:sz="0" w:space="0" w:color="auto"/>
        <w:left w:val="none" w:sz="0" w:space="0" w:color="auto"/>
        <w:bottom w:val="none" w:sz="0" w:space="0" w:color="auto"/>
        <w:right w:val="none" w:sz="0" w:space="0" w:color="auto"/>
      </w:divBdr>
      <w:divsChild>
        <w:div w:id="939066279">
          <w:marLeft w:val="0"/>
          <w:marRight w:val="0"/>
          <w:marTop w:val="0"/>
          <w:marBottom w:val="0"/>
          <w:divBdr>
            <w:top w:val="none" w:sz="0" w:space="0" w:color="auto"/>
            <w:left w:val="none" w:sz="0" w:space="0" w:color="auto"/>
            <w:bottom w:val="none" w:sz="0" w:space="0" w:color="auto"/>
            <w:right w:val="none" w:sz="0" w:space="0" w:color="auto"/>
          </w:divBdr>
          <w:divsChild>
            <w:div w:id="1027679026">
              <w:marLeft w:val="0"/>
              <w:marRight w:val="0"/>
              <w:marTop w:val="0"/>
              <w:marBottom w:val="0"/>
              <w:divBdr>
                <w:top w:val="none" w:sz="0" w:space="0" w:color="auto"/>
                <w:left w:val="none" w:sz="0" w:space="0" w:color="auto"/>
                <w:bottom w:val="none" w:sz="0" w:space="0" w:color="auto"/>
                <w:right w:val="none" w:sz="0" w:space="0" w:color="auto"/>
              </w:divBdr>
              <w:divsChild>
                <w:div w:id="393310995">
                  <w:marLeft w:val="0"/>
                  <w:marRight w:val="0"/>
                  <w:marTop w:val="0"/>
                  <w:marBottom w:val="0"/>
                  <w:divBdr>
                    <w:top w:val="none" w:sz="0" w:space="0" w:color="auto"/>
                    <w:left w:val="none" w:sz="0" w:space="0" w:color="auto"/>
                    <w:bottom w:val="none" w:sz="0" w:space="0" w:color="auto"/>
                    <w:right w:val="none" w:sz="0" w:space="0" w:color="auto"/>
                  </w:divBdr>
                  <w:divsChild>
                    <w:div w:id="1402210662">
                      <w:marLeft w:val="0"/>
                      <w:marRight w:val="0"/>
                      <w:marTop w:val="0"/>
                      <w:marBottom w:val="0"/>
                      <w:divBdr>
                        <w:top w:val="none" w:sz="0" w:space="0" w:color="auto"/>
                        <w:left w:val="none" w:sz="0" w:space="0" w:color="auto"/>
                        <w:bottom w:val="none" w:sz="0" w:space="0" w:color="auto"/>
                        <w:right w:val="none" w:sz="0" w:space="0" w:color="auto"/>
                      </w:divBdr>
                      <w:divsChild>
                        <w:div w:id="1489400015">
                          <w:marLeft w:val="0"/>
                          <w:marRight w:val="0"/>
                          <w:marTop w:val="0"/>
                          <w:marBottom w:val="0"/>
                          <w:divBdr>
                            <w:top w:val="none" w:sz="0" w:space="0" w:color="auto"/>
                            <w:left w:val="none" w:sz="0" w:space="0" w:color="auto"/>
                            <w:bottom w:val="none" w:sz="0" w:space="0" w:color="auto"/>
                            <w:right w:val="none" w:sz="0" w:space="0" w:color="auto"/>
                          </w:divBdr>
                          <w:divsChild>
                            <w:div w:id="3860305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413081">
      <w:bodyDiv w:val="1"/>
      <w:marLeft w:val="0"/>
      <w:marRight w:val="0"/>
      <w:marTop w:val="0"/>
      <w:marBottom w:val="0"/>
      <w:divBdr>
        <w:top w:val="none" w:sz="0" w:space="0" w:color="auto"/>
        <w:left w:val="none" w:sz="0" w:space="0" w:color="auto"/>
        <w:bottom w:val="none" w:sz="0" w:space="0" w:color="auto"/>
        <w:right w:val="none" w:sz="0" w:space="0" w:color="auto"/>
      </w:divBdr>
      <w:divsChild>
        <w:div w:id="451704328">
          <w:marLeft w:val="0"/>
          <w:marRight w:val="0"/>
          <w:marTop w:val="0"/>
          <w:marBottom w:val="0"/>
          <w:divBdr>
            <w:top w:val="none" w:sz="0" w:space="0" w:color="auto"/>
            <w:left w:val="none" w:sz="0" w:space="0" w:color="auto"/>
            <w:bottom w:val="none" w:sz="0" w:space="0" w:color="auto"/>
            <w:right w:val="none" w:sz="0" w:space="0" w:color="auto"/>
          </w:divBdr>
          <w:divsChild>
            <w:div w:id="2129664726">
              <w:marLeft w:val="0"/>
              <w:marRight w:val="0"/>
              <w:marTop w:val="0"/>
              <w:marBottom w:val="0"/>
              <w:divBdr>
                <w:top w:val="none" w:sz="0" w:space="0" w:color="auto"/>
                <w:left w:val="none" w:sz="0" w:space="0" w:color="auto"/>
                <w:bottom w:val="none" w:sz="0" w:space="0" w:color="auto"/>
                <w:right w:val="none" w:sz="0" w:space="0" w:color="auto"/>
              </w:divBdr>
              <w:divsChild>
                <w:div w:id="1133794303">
                  <w:marLeft w:val="0"/>
                  <w:marRight w:val="0"/>
                  <w:marTop w:val="0"/>
                  <w:marBottom w:val="0"/>
                  <w:divBdr>
                    <w:top w:val="none" w:sz="0" w:space="0" w:color="auto"/>
                    <w:left w:val="none" w:sz="0" w:space="0" w:color="auto"/>
                    <w:bottom w:val="none" w:sz="0" w:space="0" w:color="auto"/>
                    <w:right w:val="none" w:sz="0" w:space="0" w:color="auto"/>
                  </w:divBdr>
                  <w:divsChild>
                    <w:div w:id="267663232">
                      <w:marLeft w:val="0"/>
                      <w:marRight w:val="0"/>
                      <w:marTop w:val="0"/>
                      <w:marBottom w:val="0"/>
                      <w:divBdr>
                        <w:top w:val="none" w:sz="0" w:space="0" w:color="auto"/>
                        <w:left w:val="none" w:sz="0" w:space="0" w:color="auto"/>
                        <w:bottom w:val="none" w:sz="0" w:space="0" w:color="auto"/>
                        <w:right w:val="none" w:sz="0" w:space="0" w:color="auto"/>
                      </w:divBdr>
                      <w:divsChild>
                        <w:div w:id="1174107565">
                          <w:marLeft w:val="0"/>
                          <w:marRight w:val="0"/>
                          <w:marTop w:val="0"/>
                          <w:marBottom w:val="0"/>
                          <w:divBdr>
                            <w:top w:val="none" w:sz="0" w:space="0" w:color="auto"/>
                            <w:left w:val="none" w:sz="0" w:space="0" w:color="auto"/>
                            <w:bottom w:val="none" w:sz="0" w:space="0" w:color="auto"/>
                            <w:right w:val="none" w:sz="0" w:space="0" w:color="auto"/>
                          </w:divBdr>
                          <w:divsChild>
                            <w:div w:id="13746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972818">
      <w:bodyDiv w:val="1"/>
      <w:marLeft w:val="0"/>
      <w:marRight w:val="0"/>
      <w:marTop w:val="0"/>
      <w:marBottom w:val="0"/>
      <w:divBdr>
        <w:top w:val="none" w:sz="0" w:space="0" w:color="auto"/>
        <w:left w:val="none" w:sz="0" w:space="0" w:color="auto"/>
        <w:bottom w:val="none" w:sz="0" w:space="0" w:color="auto"/>
        <w:right w:val="none" w:sz="0" w:space="0" w:color="auto"/>
      </w:divBdr>
      <w:divsChild>
        <w:div w:id="2059085728">
          <w:marLeft w:val="0"/>
          <w:marRight w:val="0"/>
          <w:marTop w:val="0"/>
          <w:marBottom w:val="0"/>
          <w:divBdr>
            <w:top w:val="none" w:sz="0" w:space="0" w:color="auto"/>
            <w:left w:val="none" w:sz="0" w:space="0" w:color="auto"/>
            <w:bottom w:val="none" w:sz="0" w:space="0" w:color="auto"/>
            <w:right w:val="none" w:sz="0" w:space="0" w:color="auto"/>
          </w:divBdr>
          <w:divsChild>
            <w:div w:id="3031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077">
      <w:bodyDiv w:val="1"/>
      <w:marLeft w:val="0"/>
      <w:marRight w:val="0"/>
      <w:marTop w:val="0"/>
      <w:marBottom w:val="0"/>
      <w:divBdr>
        <w:top w:val="none" w:sz="0" w:space="0" w:color="auto"/>
        <w:left w:val="none" w:sz="0" w:space="0" w:color="auto"/>
        <w:bottom w:val="none" w:sz="0" w:space="0" w:color="auto"/>
        <w:right w:val="none" w:sz="0" w:space="0" w:color="auto"/>
      </w:divBdr>
    </w:div>
    <w:div w:id="994143904">
      <w:bodyDiv w:val="1"/>
      <w:marLeft w:val="0"/>
      <w:marRight w:val="0"/>
      <w:marTop w:val="0"/>
      <w:marBottom w:val="0"/>
      <w:divBdr>
        <w:top w:val="none" w:sz="0" w:space="0" w:color="auto"/>
        <w:left w:val="none" w:sz="0" w:space="0" w:color="auto"/>
        <w:bottom w:val="none" w:sz="0" w:space="0" w:color="auto"/>
        <w:right w:val="none" w:sz="0" w:space="0" w:color="auto"/>
      </w:divBdr>
    </w:div>
    <w:div w:id="1301769013">
      <w:bodyDiv w:val="1"/>
      <w:marLeft w:val="0"/>
      <w:marRight w:val="0"/>
      <w:marTop w:val="0"/>
      <w:marBottom w:val="0"/>
      <w:divBdr>
        <w:top w:val="none" w:sz="0" w:space="0" w:color="auto"/>
        <w:left w:val="none" w:sz="0" w:space="0" w:color="auto"/>
        <w:bottom w:val="none" w:sz="0" w:space="0" w:color="auto"/>
        <w:right w:val="none" w:sz="0" w:space="0" w:color="auto"/>
      </w:divBdr>
      <w:divsChild>
        <w:div w:id="375855912">
          <w:marLeft w:val="0"/>
          <w:marRight w:val="0"/>
          <w:marTop w:val="0"/>
          <w:marBottom w:val="0"/>
          <w:divBdr>
            <w:top w:val="none" w:sz="0" w:space="0" w:color="auto"/>
            <w:left w:val="none" w:sz="0" w:space="0" w:color="auto"/>
            <w:bottom w:val="none" w:sz="0" w:space="0" w:color="auto"/>
            <w:right w:val="none" w:sz="0" w:space="0" w:color="auto"/>
          </w:divBdr>
          <w:divsChild>
            <w:div w:id="433062999">
              <w:marLeft w:val="0"/>
              <w:marRight w:val="0"/>
              <w:marTop w:val="0"/>
              <w:marBottom w:val="0"/>
              <w:divBdr>
                <w:top w:val="none" w:sz="0" w:space="0" w:color="auto"/>
                <w:left w:val="none" w:sz="0" w:space="0" w:color="auto"/>
                <w:bottom w:val="none" w:sz="0" w:space="0" w:color="auto"/>
                <w:right w:val="none" w:sz="0" w:space="0" w:color="auto"/>
              </w:divBdr>
              <w:divsChild>
                <w:div w:id="1547061304">
                  <w:marLeft w:val="0"/>
                  <w:marRight w:val="0"/>
                  <w:marTop w:val="0"/>
                  <w:marBottom w:val="0"/>
                  <w:divBdr>
                    <w:top w:val="none" w:sz="0" w:space="0" w:color="auto"/>
                    <w:left w:val="none" w:sz="0" w:space="0" w:color="auto"/>
                    <w:bottom w:val="none" w:sz="0" w:space="0" w:color="auto"/>
                    <w:right w:val="none" w:sz="0" w:space="0" w:color="auto"/>
                  </w:divBdr>
                  <w:divsChild>
                    <w:div w:id="1691949554">
                      <w:marLeft w:val="0"/>
                      <w:marRight w:val="0"/>
                      <w:marTop w:val="0"/>
                      <w:marBottom w:val="0"/>
                      <w:divBdr>
                        <w:top w:val="none" w:sz="0" w:space="0" w:color="auto"/>
                        <w:left w:val="none" w:sz="0" w:space="0" w:color="auto"/>
                        <w:bottom w:val="none" w:sz="0" w:space="0" w:color="auto"/>
                        <w:right w:val="none" w:sz="0" w:space="0" w:color="auto"/>
                      </w:divBdr>
                      <w:divsChild>
                        <w:div w:id="1134715213">
                          <w:marLeft w:val="0"/>
                          <w:marRight w:val="0"/>
                          <w:marTop w:val="0"/>
                          <w:marBottom w:val="0"/>
                          <w:divBdr>
                            <w:top w:val="none" w:sz="0" w:space="0" w:color="auto"/>
                            <w:left w:val="none" w:sz="0" w:space="0" w:color="auto"/>
                            <w:bottom w:val="none" w:sz="0" w:space="0" w:color="auto"/>
                            <w:right w:val="none" w:sz="0" w:space="0" w:color="auto"/>
                          </w:divBdr>
                          <w:divsChild>
                            <w:div w:id="5837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667274">
      <w:bodyDiv w:val="1"/>
      <w:marLeft w:val="0"/>
      <w:marRight w:val="0"/>
      <w:marTop w:val="0"/>
      <w:marBottom w:val="0"/>
      <w:divBdr>
        <w:top w:val="none" w:sz="0" w:space="0" w:color="auto"/>
        <w:left w:val="none" w:sz="0" w:space="0" w:color="auto"/>
        <w:bottom w:val="none" w:sz="0" w:space="0" w:color="auto"/>
        <w:right w:val="none" w:sz="0" w:space="0" w:color="auto"/>
      </w:divBdr>
    </w:div>
    <w:div w:id="1442726997">
      <w:bodyDiv w:val="1"/>
      <w:marLeft w:val="0"/>
      <w:marRight w:val="0"/>
      <w:marTop w:val="0"/>
      <w:marBottom w:val="0"/>
      <w:divBdr>
        <w:top w:val="none" w:sz="0" w:space="0" w:color="auto"/>
        <w:left w:val="none" w:sz="0" w:space="0" w:color="auto"/>
        <w:bottom w:val="none" w:sz="0" w:space="0" w:color="auto"/>
        <w:right w:val="none" w:sz="0" w:space="0" w:color="auto"/>
      </w:divBdr>
    </w:div>
    <w:div w:id="1579169944">
      <w:bodyDiv w:val="1"/>
      <w:marLeft w:val="0"/>
      <w:marRight w:val="0"/>
      <w:marTop w:val="0"/>
      <w:marBottom w:val="0"/>
      <w:divBdr>
        <w:top w:val="none" w:sz="0" w:space="0" w:color="auto"/>
        <w:left w:val="none" w:sz="0" w:space="0" w:color="auto"/>
        <w:bottom w:val="none" w:sz="0" w:space="0" w:color="auto"/>
        <w:right w:val="none" w:sz="0" w:space="0" w:color="auto"/>
      </w:divBdr>
      <w:divsChild>
        <w:div w:id="341862319">
          <w:marLeft w:val="0"/>
          <w:marRight w:val="0"/>
          <w:marTop w:val="0"/>
          <w:marBottom w:val="0"/>
          <w:divBdr>
            <w:top w:val="none" w:sz="0" w:space="0" w:color="auto"/>
            <w:left w:val="none" w:sz="0" w:space="0" w:color="auto"/>
            <w:bottom w:val="none" w:sz="0" w:space="0" w:color="auto"/>
            <w:right w:val="none" w:sz="0" w:space="0" w:color="auto"/>
          </w:divBdr>
          <w:divsChild>
            <w:div w:id="399984679">
              <w:marLeft w:val="0"/>
              <w:marRight w:val="0"/>
              <w:marTop w:val="0"/>
              <w:marBottom w:val="0"/>
              <w:divBdr>
                <w:top w:val="none" w:sz="0" w:space="0" w:color="auto"/>
                <w:left w:val="none" w:sz="0" w:space="0" w:color="auto"/>
                <w:bottom w:val="none" w:sz="0" w:space="0" w:color="auto"/>
                <w:right w:val="none" w:sz="0" w:space="0" w:color="auto"/>
              </w:divBdr>
              <w:divsChild>
                <w:div w:id="705564730">
                  <w:marLeft w:val="0"/>
                  <w:marRight w:val="0"/>
                  <w:marTop w:val="0"/>
                  <w:marBottom w:val="0"/>
                  <w:divBdr>
                    <w:top w:val="none" w:sz="0" w:space="0" w:color="auto"/>
                    <w:left w:val="none" w:sz="0" w:space="0" w:color="auto"/>
                    <w:bottom w:val="none" w:sz="0" w:space="0" w:color="auto"/>
                    <w:right w:val="none" w:sz="0" w:space="0" w:color="auto"/>
                  </w:divBdr>
                  <w:divsChild>
                    <w:div w:id="1214972095">
                      <w:marLeft w:val="0"/>
                      <w:marRight w:val="0"/>
                      <w:marTop w:val="0"/>
                      <w:marBottom w:val="0"/>
                      <w:divBdr>
                        <w:top w:val="none" w:sz="0" w:space="0" w:color="auto"/>
                        <w:left w:val="none" w:sz="0" w:space="0" w:color="auto"/>
                        <w:bottom w:val="none" w:sz="0" w:space="0" w:color="auto"/>
                        <w:right w:val="none" w:sz="0" w:space="0" w:color="auto"/>
                      </w:divBdr>
                      <w:divsChild>
                        <w:div w:id="333536996">
                          <w:marLeft w:val="0"/>
                          <w:marRight w:val="0"/>
                          <w:marTop w:val="300"/>
                          <w:marBottom w:val="0"/>
                          <w:divBdr>
                            <w:top w:val="none" w:sz="0" w:space="0" w:color="auto"/>
                            <w:left w:val="none" w:sz="0" w:space="0" w:color="auto"/>
                            <w:bottom w:val="none" w:sz="0" w:space="0" w:color="auto"/>
                            <w:right w:val="none" w:sz="0" w:space="0" w:color="auto"/>
                          </w:divBdr>
                          <w:divsChild>
                            <w:div w:id="13292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269601">
      <w:bodyDiv w:val="1"/>
      <w:marLeft w:val="0"/>
      <w:marRight w:val="0"/>
      <w:marTop w:val="0"/>
      <w:marBottom w:val="0"/>
      <w:divBdr>
        <w:top w:val="none" w:sz="0" w:space="0" w:color="auto"/>
        <w:left w:val="none" w:sz="0" w:space="0" w:color="auto"/>
        <w:bottom w:val="none" w:sz="0" w:space="0" w:color="auto"/>
        <w:right w:val="none" w:sz="0" w:space="0" w:color="auto"/>
      </w:divBdr>
      <w:divsChild>
        <w:div w:id="850684828">
          <w:marLeft w:val="0"/>
          <w:marRight w:val="0"/>
          <w:marTop w:val="0"/>
          <w:marBottom w:val="0"/>
          <w:divBdr>
            <w:top w:val="none" w:sz="0" w:space="0" w:color="auto"/>
            <w:left w:val="none" w:sz="0" w:space="0" w:color="auto"/>
            <w:bottom w:val="none" w:sz="0" w:space="0" w:color="auto"/>
            <w:right w:val="none" w:sz="0" w:space="0" w:color="auto"/>
          </w:divBdr>
          <w:divsChild>
            <w:div w:id="13041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27417">
      <w:bodyDiv w:val="1"/>
      <w:marLeft w:val="0"/>
      <w:marRight w:val="0"/>
      <w:marTop w:val="0"/>
      <w:marBottom w:val="0"/>
      <w:divBdr>
        <w:top w:val="none" w:sz="0" w:space="0" w:color="auto"/>
        <w:left w:val="none" w:sz="0" w:space="0" w:color="auto"/>
        <w:bottom w:val="none" w:sz="0" w:space="0" w:color="auto"/>
        <w:right w:val="none" w:sz="0" w:space="0" w:color="auto"/>
      </w:divBdr>
    </w:div>
    <w:div w:id="1967422769">
      <w:bodyDiv w:val="1"/>
      <w:marLeft w:val="0"/>
      <w:marRight w:val="0"/>
      <w:marTop w:val="0"/>
      <w:marBottom w:val="0"/>
      <w:divBdr>
        <w:top w:val="none" w:sz="0" w:space="0" w:color="auto"/>
        <w:left w:val="none" w:sz="0" w:space="0" w:color="auto"/>
        <w:bottom w:val="none" w:sz="0" w:space="0" w:color="auto"/>
        <w:right w:val="none" w:sz="0" w:space="0" w:color="auto"/>
      </w:divBdr>
    </w:div>
    <w:div w:id="2121027053">
      <w:bodyDiv w:val="1"/>
      <w:marLeft w:val="0"/>
      <w:marRight w:val="0"/>
      <w:marTop w:val="0"/>
      <w:marBottom w:val="0"/>
      <w:divBdr>
        <w:top w:val="none" w:sz="0" w:space="0" w:color="auto"/>
        <w:left w:val="none" w:sz="0" w:space="0" w:color="auto"/>
        <w:bottom w:val="none" w:sz="0" w:space="0" w:color="auto"/>
        <w:right w:val="none" w:sz="0" w:space="0" w:color="auto"/>
      </w:divBdr>
      <w:divsChild>
        <w:div w:id="1724674202">
          <w:marLeft w:val="0"/>
          <w:marRight w:val="0"/>
          <w:marTop w:val="0"/>
          <w:marBottom w:val="0"/>
          <w:divBdr>
            <w:top w:val="none" w:sz="0" w:space="0" w:color="auto"/>
            <w:left w:val="none" w:sz="0" w:space="0" w:color="auto"/>
            <w:bottom w:val="none" w:sz="0" w:space="0" w:color="auto"/>
            <w:right w:val="none" w:sz="0" w:space="0" w:color="auto"/>
          </w:divBdr>
          <w:divsChild>
            <w:div w:id="2146268077">
              <w:marLeft w:val="0"/>
              <w:marRight w:val="0"/>
              <w:marTop w:val="0"/>
              <w:marBottom w:val="0"/>
              <w:divBdr>
                <w:top w:val="none" w:sz="0" w:space="0" w:color="auto"/>
                <w:left w:val="none" w:sz="0" w:space="0" w:color="auto"/>
                <w:bottom w:val="none" w:sz="0" w:space="0" w:color="auto"/>
                <w:right w:val="none" w:sz="0" w:space="0" w:color="auto"/>
              </w:divBdr>
              <w:divsChild>
                <w:div w:id="1265267043">
                  <w:marLeft w:val="0"/>
                  <w:marRight w:val="0"/>
                  <w:marTop w:val="0"/>
                  <w:marBottom w:val="0"/>
                  <w:divBdr>
                    <w:top w:val="none" w:sz="0" w:space="0" w:color="auto"/>
                    <w:left w:val="none" w:sz="0" w:space="0" w:color="auto"/>
                    <w:bottom w:val="none" w:sz="0" w:space="0" w:color="auto"/>
                    <w:right w:val="none" w:sz="0" w:space="0" w:color="auto"/>
                  </w:divBdr>
                  <w:divsChild>
                    <w:div w:id="1955012492">
                      <w:marLeft w:val="0"/>
                      <w:marRight w:val="0"/>
                      <w:marTop w:val="0"/>
                      <w:marBottom w:val="0"/>
                      <w:divBdr>
                        <w:top w:val="none" w:sz="0" w:space="0" w:color="auto"/>
                        <w:left w:val="none" w:sz="0" w:space="0" w:color="auto"/>
                        <w:bottom w:val="none" w:sz="0" w:space="0" w:color="auto"/>
                        <w:right w:val="none" w:sz="0" w:space="0" w:color="auto"/>
                      </w:divBdr>
                      <w:divsChild>
                        <w:div w:id="882594157">
                          <w:marLeft w:val="0"/>
                          <w:marRight w:val="0"/>
                          <w:marTop w:val="0"/>
                          <w:marBottom w:val="0"/>
                          <w:divBdr>
                            <w:top w:val="none" w:sz="0" w:space="0" w:color="auto"/>
                            <w:left w:val="none" w:sz="0" w:space="0" w:color="auto"/>
                            <w:bottom w:val="none" w:sz="0" w:space="0" w:color="auto"/>
                            <w:right w:val="none" w:sz="0" w:space="0" w:color="auto"/>
                          </w:divBdr>
                          <w:divsChild>
                            <w:div w:id="13157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79</DK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43B76-BBBC-407A-AD42-5B1510B39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573176D-7834-4498-8531-AC37A59BDB0E}">
  <ds:schemaRefs>
    <ds:schemaRef ds:uri="http://schemas.microsoft.com/sharepoint/v3/contenttype/forms"/>
  </ds:schemaRefs>
</ds:datastoreItem>
</file>

<file path=customXml/itemProps3.xml><?xml version="1.0" encoding="utf-8"?>
<ds:datastoreItem xmlns:ds="http://schemas.openxmlformats.org/officeDocument/2006/customXml" ds:itemID="{F9DAEEDB-20D9-4166-AEE2-BBA7D8164E97}">
  <ds:schemaRefs>
    <ds:schemaRef ds:uri="http://purl.org/dc/dcmitype/"/>
    <ds:schemaRef ds:uri="http://purl.org/dc/terms/"/>
    <ds:schemaRef ds:uri="2e5bb04e-596e-45bd-9003-43ca78b1ba16"/>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9DE5E02-1507-431D-9BAF-27A2DA3FA494}">
  <ds:schemaRefs>
    <ds:schemaRef ds:uri="http://schemas.openxmlformats.org/officeDocument/2006/bibliography"/>
  </ds:schemaRefs>
</ds:datastoreItem>
</file>

<file path=customXml/itemProps5.xml><?xml version="1.0" encoding="utf-8"?>
<ds:datastoreItem xmlns:ds="http://schemas.openxmlformats.org/officeDocument/2006/customXml" ds:itemID="{DFE7CA4B-C28F-4B99-9F99-992927484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2832</Words>
  <Characters>18621</Characters>
  <Application>Microsoft Office Word</Application>
  <DocSecurity>0</DocSecurity>
  <Lines>155</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Mikrouzņēmumu nodokļa likumā</vt:lpstr>
      <vt:lpstr>Likumprojekta "Grozījums Kredītu reģistra likumā" sākotnējās ietekmes novērtējuma ziņojums (anotācija)</vt:lpstr>
    </vt:vector>
  </TitlesOfParts>
  <Company>Finanšu ministrija</Company>
  <LinksUpToDate>false</LinksUpToDate>
  <CharactersWithSpaces>21411</CharactersWithSpaces>
  <SharedDoc>false</SharedDoc>
  <HLinks>
    <vt:vector size="6" baseType="variant">
      <vt:variant>
        <vt:i4>8192086</vt:i4>
      </vt:variant>
      <vt:variant>
        <vt:i4>0</vt:i4>
      </vt:variant>
      <vt:variant>
        <vt:i4>0</vt:i4>
      </vt:variant>
      <vt:variant>
        <vt:i4>5</vt:i4>
      </vt:variant>
      <vt:variant>
        <vt:lpwstr>mailto:maris.stepins@fm.gov.lv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Mikrouzņēmumu nodokļa likumā</dc:title>
  <dc:subject>Likumprojekts</dc:subject>
  <dc:creator>Māris Jurušs</dc:creator>
  <dc:description>67013044, maris.juruss@em.gov.lv</dc:description>
  <cp:lastModifiedBy>Māris Jurušs</cp:lastModifiedBy>
  <cp:revision>3</cp:revision>
  <cp:lastPrinted>2017-02-27T13:37:00Z</cp:lastPrinted>
  <dcterms:created xsi:type="dcterms:W3CDTF">2017-05-31T06:13:00Z</dcterms:created>
  <dcterms:modified xsi:type="dcterms:W3CDTF">2017-05-31T06:14:00Z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