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6A86" w14:textId="10D16EA7" w:rsidR="004C354D" w:rsidRPr="0033623B" w:rsidRDefault="000A3E27" w:rsidP="004C354D">
      <w:pPr>
        <w:pStyle w:val="naisf"/>
        <w:spacing w:before="0" w:beforeAutospacing="0" w:after="0" w:afterAutospacing="0"/>
        <w:jc w:val="center"/>
        <w:rPr>
          <w:b/>
        </w:rPr>
      </w:pPr>
      <w:r>
        <w:rPr>
          <w:b/>
        </w:rPr>
        <w:t>Ministru kabineta noteikumu projekta</w:t>
      </w:r>
      <w:r w:rsidRPr="00607E5E">
        <w:rPr>
          <w:b/>
        </w:rPr>
        <w:t xml:space="preserve"> “Grozījumi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r w:rsidR="00EA6D5D">
        <w:rPr>
          <w:b/>
        </w:rPr>
        <w:t>”</w:t>
      </w:r>
      <w:r>
        <w:rPr>
          <w:b/>
        </w:rPr>
        <w:t xml:space="preserve"> </w:t>
      </w:r>
      <w:r w:rsidR="004C354D" w:rsidRPr="0033623B">
        <w:rPr>
          <w:b/>
        </w:rPr>
        <w:t>sākotnējās ietekmes novērtējuma ziņojums (anotācija)</w:t>
      </w:r>
    </w:p>
    <w:p w14:paraId="59947AB5" w14:textId="77777777" w:rsidR="004C354D" w:rsidRPr="00304612" w:rsidRDefault="004C354D" w:rsidP="004C354D">
      <w:pPr>
        <w:pStyle w:val="naisf"/>
        <w:spacing w:before="0" w:beforeAutospacing="0" w:after="0" w:afterAutospacing="0"/>
        <w:jc w:val="right"/>
        <w:rPr>
          <w:sz w:val="28"/>
          <w:szCs w:val="28"/>
        </w:rPr>
      </w:pPr>
      <w:bookmarkStart w:id="0" w:name="_GoBack"/>
      <w:bookmarkEnd w:id="0"/>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4"/>
        <w:gridCol w:w="2895"/>
        <w:gridCol w:w="6521"/>
      </w:tblGrid>
      <w:tr w:rsidR="004C354D" w:rsidRPr="00304612" w14:paraId="6416576E" w14:textId="77777777" w:rsidTr="00246B8E">
        <w:trPr>
          <w:trHeight w:val="419"/>
        </w:trPr>
        <w:tc>
          <w:tcPr>
            <w:tcW w:w="5000" w:type="pct"/>
            <w:gridSpan w:val="3"/>
            <w:vAlign w:val="center"/>
          </w:tcPr>
          <w:p w14:paraId="30345E67" w14:textId="77777777" w:rsidR="004C354D" w:rsidRPr="005510E6" w:rsidRDefault="004C354D" w:rsidP="00246B8E">
            <w:pPr>
              <w:pStyle w:val="naisnod"/>
              <w:spacing w:before="0" w:beforeAutospacing="0" w:after="0" w:afterAutospacing="0"/>
              <w:ind w:left="-535" w:right="57"/>
              <w:jc w:val="center"/>
              <w:rPr>
                <w:b/>
              </w:rPr>
            </w:pPr>
            <w:r w:rsidRPr="005510E6">
              <w:rPr>
                <w:b/>
              </w:rPr>
              <w:t>I. Tiesību akta projekta izstrādes nepieciešamība</w:t>
            </w:r>
          </w:p>
        </w:tc>
      </w:tr>
      <w:tr w:rsidR="004C354D" w:rsidRPr="00304612" w14:paraId="71A3DE58" w14:textId="77777777" w:rsidTr="00246B8E">
        <w:trPr>
          <w:trHeight w:val="1969"/>
        </w:trPr>
        <w:tc>
          <w:tcPr>
            <w:tcW w:w="482" w:type="pct"/>
          </w:tcPr>
          <w:p w14:paraId="4824F1C6" w14:textId="77777777" w:rsidR="004C354D" w:rsidRPr="005510E6" w:rsidRDefault="004C354D" w:rsidP="00246B8E">
            <w:pPr>
              <w:pStyle w:val="naiskr"/>
              <w:spacing w:before="0" w:beforeAutospacing="0" w:after="0" w:afterAutospacing="0"/>
              <w:ind w:left="57" w:right="57"/>
              <w:jc w:val="center"/>
            </w:pPr>
            <w:r w:rsidRPr="005510E6">
              <w:t>1.</w:t>
            </w:r>
          </w:p>
        </w:tc>
        <w:tc>
          <w:tcPr>
            <w:tcW w:w="1389" w:type="pct"/>
          </w:tcPr>
          <w:p w14:paraId="4C5C1876" w14:textId="77777777" w:rsidR="004C354D" w:rsidRDefault="004C354D" w:rsidP="00246B8E">
            <w:pPr>
              <w:pStyle w:val="naiskr"/>
              <w:spacing w:before="0" w:beforeAutospacing="0" w:after="200" w:afterAutospacing="0" w:line="360" w:lineRule="auto"/>
              <w:ind w:left="57" w:right="57"/>
            </w:pPr>
            <w:r w:rsidRPr="005510E6">
              <w:t>Pamatojums</w:t>
            </w:r>
          </w:p>
          <w:p w14:paraId="0423576A" w14:textId="77777777" w:rsidR="004C354D" w:rsidRPr="00460EBE" w:rsidRDefault="004C354D" w:rsidP="00246B8E"/>
          <w:p w14:paraId="5ADD2A3D" w14:textId="77777777" w:rsidR="004C354D" w:rsidRPr="00460EBE" w:rsidRDefault="004C354D" w:rsidP="00246B8E"/>
        </w:tc>
        <w:tc>
          <w:tcPr>
            <w:tcW w:w="3129" w:type="pct"/>
          </w:tcPr>
          <w:p w14:paraId="71AA50DB" w14:textId="2D86A3BE" w:rsidR="004A4215" w:rsidRDefault="004A4215" w:rsidP="004A4215">
            <w:pPr>
              <w:ind w:right="78" w:firstLine="348"/>
              <w:jc w:val="both"/>
            </w:pPr>
            <w:r>
              <w:t>Padomes 2015. gada 13. jūlija Regula</w:t>
            </w:r>
            <w:r w:rsidR="0015028F">
              <w:t>s</w:t>
            </w:r>
            <w:r w:rsidRPr="004A4215">
              <w:t xml:space="preserve"> (ES) 2015/1589, ar ko nosaka sīki izstrādātus noteikumus Līguma par Eiropas Savienības darbību 108. panta piemērošanai (kodificēta redakcija)</w:t>
            </w:r>
            <w:r>
              <w:t xml:space="preserve"> (turpmāk – </w:t>
            </w:r>
            <w:r w:rsidR="00C0223B">
              <w:t xml:space="preserve">Padomes </w:t>
            </w:r>
            <w:r>
              <w:t xml:space="preserve">Regula Nr. </w:t>
            </w:r>
            <w:r w:rsidRPr="004A4215">
              <w:t>2015/1589</w:t>
            </w:r>
            <w:r w:rsidR="0015028F">
              <w:t>)</w:t>
            </w:r>
            <w:r>
              <w:t xml:space="preserve"> </w:t>
            </w:r>
            <w:r w:rsidRPr="002422B5">
              <w:t>2.pant</w:t>
            </w:r>
            <w:r>
              <w:t xml:space="preserve">s, </w:t>
            </w:r>
            <w:r w:rsidR="00885198" w:rsidRPr="002422B5">
              <w:t>Komisijas 2004. gada 21. aprīļa Regulas  (EK) Nr. 794/2004 ar ko īsteno Padomes Regulu (EK) Nr. 659/1999, ar kuru nosaka sīki izstrādātus noteikumus EK Līguma 93. panta</w:t>
            </w:r>
            <w:r w:rsidR="00885198">
              <w:t xml:space="preserve"> piemērošanai (turpmāk – Komisijas Regula Nr. </w:t>
            </w:r>
            <w:r w:rsidR="00885198" w:rsidRPr="00D0705F">
              <w:t>794/2004</w:t>
            </w:r>
            <w:r w:rsidR="004626C6">
              <w:t>)</w:t>
            </w:r>
            <w:r w:rsidR="00885198">
              <w:t xml:space="preserve"> 3. pants un Komercdarbības atbalsta kontroles likuma 12. panta 1. punkts.</w:t>
            </w:r>
          </w:p>
          <w:p w14:paraId="2DECD493" w14:textId="105771C5" w:rsidR="004C354D" w:rsidRPr="00473639" w:rsidRDefault="004A4215" w:rsidP="00885198">
            <w:pPr>
              <w:ind w:right="78" w:firstLine="348"/>
              <w:jc w:val="both"/>
            </w:pPr>
            <w:r w:rsidRPr="00607E5E">
              <w:t xml:space="preserve">Noteikumu projekts izstrādāts, pamatojoties uz Eiropas Komisijas </w:t>
            </w:r>
            <w:r>
              <w:t xml:space="preserve">izstrādātajām papildus iespējām </w:t>
            </w:r>
            <w:r w:rsidRPr="00607E5E">
              <w:t>Eiropas Komisijas pārziņā esošajā elektroniskajā sistēmā SANI2 (</w:t>
            </w:r>
            <w:proofErr w:type="spellStart"/>
            <w:r w:rsidRPr="00607E5E">
              <w:rPr>
                <w:i/>
              </w:rPr>
              <w:t>State</w:t>
            </w:r>
            <w:proofErr w:type="spellEnd"/>
            <w:r w:rsidRPr="00607E5E">
              <w:rPr>
                <w:i/>
              </w:rPr>
              <w:t xml:space="preserve"> Aid </w:t>
            </w:r>
            <w:proofErr w:type="spellStart"/>
            <w:r w:rsidRPr="00607E5E">
              <w:rPr>
                <w:i/>
              </w:rPr>
              <w:t>Notification</w:t>
            </w:r>
            <w:proofErr w:type="spellEnd"/>
            <w:r w:rsidRPr="00607E5E">
              <w:rPr>
                <w:i/>
              </w:rPr>
              <w:t xml:space="preserve"> </w:t>
            </w:r>
            <w:proofErr w:type="spellStart"/>
            <w:r w:rsidRPr="00607E5E">
              <w:rPr>
                <w:i/>
              </w:rPr>
              <w:t>Interactive</w:t>
            </w:r>
            <w:proofErr w:type="spellEnd"/>
            <w:r w:rsidRPr="00607E5E">
              <w:t>)</w:t>
            </w:r>
            <w:r w:rsidR="004626C6">
              <w:t xml:space="preserve"> (turpmāk – SANI2 sistēma)</w:t>
            </w:r>
            <w:r>
              <w:t>, kas nodrošinās efektīvāku kontroli pār iesniegšanai Eiropas Komisijā plānotajām atbalsta programmām, individuāliem atbalsta projektu paziņojumiem</w:t>
            </w:r>
            <w:r w:rsidRPr="00607E5E">
              <w:t>, kā arī kopsavilkuma informāciju</w:t>
            </w:r>
            <w:r>
              <w:t>.</w:t>
            </w:r>
          </w:p>
        </w:tc>
      </w:tr>
      <w:tr w:rsidR="004C354D" w:rsidRPr="00304612" w14:paraId="5FAEE671" w14:textId="77777777" w:rsidTr="00246B8E">
        <w:trPr>
          <w:trHeight w:val="472"/>
        </w:trPr>
        <w:tc>
          <w:tcPr>
            <w:tcW w:w="482" w:type="pct"/>
          </w:tcPr>
          <w:p w14:paraId="3695D918" w14:textId="77777777" w:rsidR="004C354D" w:rsidRPr="005510E6" w:rsidRDefault="004C354D" w:rsidP="00246B8E">
            <w:pPr>
              <w:pStyle w:val="naiskr"/>
              <w:spacing w:before="0" w:beforeAutospacing="0" w:after="0" w:afterAutospacing="0"/>
              <w:ind w:left="57" w:right="57"/>
              <w:jc w:val="center"/>
            </w:pPr>
            <w:r w:rsidRPr="005510E6">
              <w:t>2.</w:t>
            </w:r>
          </w:p>
        </w:tc>
        <w:tc>
          <w:tcPr>
            <w:tcW w:w="1389" w:type="pct"/>
          </w:tcPr>
          <w:p w14:paraId="2DB642C4" w14:textId="77777777" w:rsidR="004C354D" w:rsidRDefault="004C354D" w:rsidP="00246B8E">
            <w:pPr>
              <w:pStyle w:val="naiskr"/>
              <w:tabs>
                <w:tab w:val="left" w:pos="170"/>
              </w:tabs>
              <w:spacing w:before="0" w:beforeAutospacing="0" w:after="0" w:afterAutospacing="0"/>
              <w:ind w:left="57" w:right="57"/>
              <w:jc w:val="both"/>
            </w:pPr>
            <w:r w:rsidRPr="005510E6">
              <w:t>Pašreizējā situācija un problēmas, kuru risināšanai tiesību akta projekts izstrādāts, tiesiskā regulējuma mērķis un būtība</w:t>
            </w:r>
          </w:p>
          <w:p w14:paraId="442C12E6" w14:textId="1E9E1664" w:rsidR="004C354D" w:rsidRPr="00460EBE" w:rsidRDefault="007F18B1" w:rsidP="007F18B1">
            <w:pPr>
              <w:tabs>
                <w:tab w:val="left" w:pos="2085"/>
              </w:tabs>
            </w:pPr>
            <w:r>
              <w:tab/>
            </w:r>
          </w:p>
          <w:p w14:paraId="69DDD626" w14:textId="77777777" w:rsidR="004C354D" w:rsidRPr="00460EBE" w:rsidRDefault="004C354D" w:rsidP="00246B8E">
            <w:pPr>
              <w:jc w:val="right"/>
            </w:pPr>
          </w:p>
          <w:p w14:paraId="7E6D4C6A" w14:textId="77777777" w:rsidR="004C354D" w:rsidRDefault="004C354D" w:rsidP="00246B8E"/>
          <w:p w14:paraId="42196BD4" w14:textId="77777777" w:rsidR="004C354D" w:rsidRPr="00460EBE" w:rsidRDefault="004C354D" w:rsidP="00246B8E">
            <w:pPr>
              <w:ind w:firstLine="720"/>
              <w:jc w:val="right"/>
            </w:pPr>
          </w:p>
        </w:tc>
        <w:tc>
          <w:tcPr>
            <w:tcW w:w="3129" w:type="pct"/>
          </w:tcPr>
          <w:p w14:paraId="644A7E74" w14:textId="1423172A" w:rsidR="000A3E27" w:rsidRDefault="000A3E27" w:rsidP="00246B8E">
            <w:pPr>
              <w:ind w:right="78" w:firstLine="348"/>
              <w:jc w:val="both"/>
            </w:pPr>
            <w:r>
              <w:t>Ņemot vērā to, ka Eiropas Komisija</w:t>
            </w:r>
            <w:r w:rsidR="004626C6">
              <w:t xml:space="preserve"> (turpmāk – EK)</w:t>
            </w:r>
            <w:r>
              <w:t xml:space="preserve"> ir izstrādājusi jauninājumus SANI2 sistēmā, kas palīdzētu dalībvalstīm efektīvāk nodrošināt komercdarbības atbalsta kontroli</w:t>
            </w:r>
            <w:r w:rsidR="004626C6">
              <w:t>,</w:t>
            </w:r>
            <w:r>
              <w:t xml:space="preserve"> ir nepieciešams veikt grozījumus </w:t>
            </w:r>
            <w:r w:rsidRPr="000A3E27">
              <w:t xml:space="preserve"> Ministru kabineta 2014.</w:t>
            </w:r>
            <w:r w:rsidR="00F55823">
              <w:t xml:space="preserve"> </w:t>
            </w:r>
            <w:r w:rsidRPr="000A3E27">
              <w:t>gada 16.</w:t>
            </w:r>
            <w:r w:rsidR="00F55823">
              <w:t xml:space="preserve"> </w:t>
            </w:r>
            <w:r w:rsidRPr="000A3E27">
              <w:t>decembra noteikumos Nr.</w:t>
            </w:r>
            <w:r w:rsidR="00F55823">
              <w:t xml:space="preserve"> </w:t>
            </w:r>
            <w:r w:rsidRPr="000A3E27">
              <w:t>759 “Kārtība, kādā Eiropas Komisijā iesniedz atbalsta programmu un individuālo atbalsta projektu paziņojumus un kopsavilkuma informāciju, un kārtība, kādā piešķir un anulē elektroniskās sistēmas lietošanas tiesības”</w:t>
            </w:r>
            <w:r w:rsidR="00F55823">
              <w:t xml:space="preserve"> (turpmāk – MK noteikumi Nr. 759)</w:t>
            </w:r>
            <w:r>
              <w:t>.</w:t>
            </w:r>
          </w:p>
          <w:p w14:paraId="18E20B33" w14:textId="6997C026" w:rsidR="00F55823" w:rsidRDefault="000A3E27" w:rsidP="00246B8E">
            <w:pPr>
              <w:ind w:right="78" w:firstLine="348"/>
              <w:jc w:val="both"/>
            </w:pPr>
            <w:r>
              <w:rPr>
                <w:iCs/>
              </w:rPr>
              <w:t>Noteikumu projekts n</w:t>
            </w:r>
            <w:r w:rsidR="00F55823">
              <w:rPr>
                <w:iCs/>
              </w:rPr>
              <w:t>osaka</w:t>
            </w:r>
            <w:r>
              <w:rPr>
                <w:iCs/>
              </w:rPr>
              <w:t xml:space="preserve"> jauna lietotāja – </w:t>
            </w:r>
            <w:proofErr w:type="spellStart"/>
            <w:r>
              <w:rPr>
                <w:iCs/>
              </w:rPr>
              <w:t>pirmsvalidētāja</w:t>
            </w:r>
            <w:proofErr w:type="spellEnd"/>
            <w:r>
              <w:rPr>
                <w:iCs/>
              </w:rPr>
              <w:t xml:space="preserve"> (</w:t>
            </w:r>
            <w:proofErr w:type="spellStart"/>
            <w:r w:rsidRPr="000B5709">
              <w:rPr>
                <w:i/>
                <w:iCs/>
              </w:rPr>
              <w:t>pre-validator</w:t>
            </w:r>
            <w:proofErr w:type="spellEnd"/>
            <w:r>
              <w:rPr>
                <w:iCs/>
              </w:rPr>
              <w:t xml:space="preserve">) tiesības SANI2 sistēmā, kas nodrošinās </w:t>
            </w:r>
            <w:r w:rsidR="004626C6">
              <w:rPr>
                <w:iCs/>
              </w:rPr>
              <w:t>ātrāku informācijas apriti ar EK</w:t>
            </w:r>
            <w:r>
              <w:rPr>
                <w:iCs/>
              </w:rPr>
              <w:t xml:space="preserve"> p</w:t>
            </w:r>
            <w:r w:rsidR="004626C6">
              <w:rPr>
                <w:iCs/>
              </w:rPr>
              <w:t>a</w:t>
            </w:r>
            <w:r>
              <w:rPr>
                <w:iCs/>
              </w:rPr>
              <w:t xml:space="preserve">r </w:t>
            </w:r>
            <w:r>
              <w:t>plānotajām atbalsta programmām, individuāliem atbalsta projektu paziņojumiem</w:t>
            </w:r>
            <w:r w:rsidRPr="00607E5E">
              <w:t>, kā arī kopsavilkuma informāciju</w:t>
            </w:r>
            <w:r>
              <w:t>, nekā tas paredzēts šobrīd esošajos Ministru kabineta noteikumos Nr.</w:t>
            </w:r>
            <w:r w:rsidR="00F55823">
              <w:t xml:space="preserve"> 759.</w:t>
            </w:r>
          </w:p>
          <w:p w14:paraId="32D45BF3" w14:textId="657D672D" w:rsidR="00F55823" w:rsidRDefault="000A3E27" w:rsidP="00246B8E">
            <w:pPr>
              <w:ind w:right="78" w:firstLine="348"/>
              <w:jc w:val="both"/>
            </w:pPr>
            <w:r>
              <w:t>Papildus</w:t>
            </w:r>
            <w:r w:rsidR="00F55823">
              <w:t xml:space="preserve"> noteikumu projekts paredz</w:t>
            </w:r>
            <w:r>
              <w:t xml:space="preserve"> tehniskus grozījumus attiecībā uz kārtību, kā tiks īstenota savstarpējā informācijas apmaiņa starp Finanšu ministriju/Zemkopības ministriju un attiecīgo </w:t>
            </w:r>
            <w:r w:rsidRPr="000B5709">
              <w:t>val</w:t>
            </w:r>
            <w:r>
              <w:t>sts vai pašvaldības institūciju</w:t>
            </w:r>
            <w:r w:rsidRPr="000B5709">
              <w:t xml:space="preserve"> </w:t>
            </w:r>
            <w:r>
              <w:t xml:space="preserve">vai šo institūciju pilnvaroto juridisko personu par iesniegšanai </w:t>
            </w:r>
            <w:r w:rsidR="004626C6">
              <w:t>EK</w:t>
            </w:r>
            <w:r>
              <w:t xml:space="preserve"> plānotajām atbalsta programmām, individuāliem atbalsta projektu paziņojumiem</w:t>
            </w:r>
            <w:r w:rsidRPr="00607E5E">
              <w:t>, kā arī kopsavilkuma informāciju</w:t>
            </w:r>
            <w:r w:rsidR="00F55823">
              <w:t>.</w:t>
            </w:r>
          </w:p>
          <w:p w14:paraId="17D84A81" w14:textId="7BC09302" w:rsidR="004C354D" w:rsidRPr="00B72AA1" w:rsidRDefault="000A3E27" w:rsidP="00B94794">
            <w:pPr>
              <w:ind w:right="78" w:firstLine="348"/>
              <w:jc w:val="both"/>
            </w:pPr>
            <w:r>
              <w:t xml:space="preserve">Vienlaikus </w:t>
            </w:r>
            <w:r w:rsidR="00F55823">
              <w:t>noteikumu projekts paredz tehniskus grozījumus</w:t>
            </w:r>
            <w:r>
              <w:t xml:space="preserve"> SANI2 sistēmas lietošanas tiesību piešķiršanas, grozīšanas un anulēšanas kārtībā Finanšu ministrij</w:t>
            </w:r>
            <w:r w:rsidR="004626C6">
              <w:t>ā</w:t>
            </w:r>
            <w:r>
              <w:t xml:space="preserve"> </w:t>
            </w:r>
            <w:r w:rsidR="004626C6">
              <w:t>un</w:t>
            </w:r>
            <w:r>
              <w:t xml:space="preserve"> </w:t>
            </w:r>
            <w:r w:rsidRPr="00A43288">
              <w:t>Zemkopības minis</w:t>
            </w:r>
            <w:r w:rsidR="00C0223B" w:rsidRPr="00A43288">
              <w:t>trij</w:t>
            </w:r>
            <w:r w:rsidR="004626C6" w:rsidRPr="00A43288">
              <w:t>ā</w:t>
            </w:r>
            <w:r w:rsidR="004626C6">
              <w:t>, ņemot vērā to, ka šīs ministrijas ir atbildīgas par sistēmas lietošanas tiesību piešķiršanu</w:t>
            </w:r>
            <w:r w:rsidR="00A43288">
              <w:t>, grozīšanu un anulēšanu</w:t>
            </w:r>
            <w:r w:rsidR="00C0223B">
              <w:t>.</w:t>
            </w:r>
            <w:r w:rsidR="00B918BB">
              <w:t xml:space="preserve"> Turpmāk </w:t>
            </w:r>
            <w:r w:rsidR="00BD16F5">
              <w:rPr>
                <w:szCs w:val="28"/>
              </w:rPr>
              <w:t>sistēmas lietošanas tiesību piešķiršana, grozīšana vai anulēšana</w:t>
            </w:r>
            <w:r w:rsidR="00BD16F5">
              <w:t xml:space="preserve"> SANI2 </w:t>
            </w:r>
            <w:r w:rsidR="00BD16F5">
              <w:lastRenderedPageBreak/>
              <w:t>sistēmā</w:t>
            </w:r>
            <w:r w:rsidR="00BD16F5">
              <w:rPr>
                <w:szCs w:val="28"/>
              </w:rPr>
              <w:t xml:space="preserve"> </w:t>
            </w:r>
            <w:r w:rsidR="00B918BB">
              <w:rPr>
                <w:szCs w:val="28"/>
              </w:rPr>
              <w:t>Finanšu ministrijas un Zemkopības ministrijas</w:t>
            </w:r>
            <w:r w:rsidR="00B918BB">
              <w:t xml:space="preserve"> ierēdņiem un darbiniekiem </w:t>
            </w:r>
            <w:r w:rsidR="00BD16F5">
              <w:t>notiks</w:t>
            </w:r>
            <w:r w:rsidR="00B918BB">
              <w:t xml:space="preserve"> saskaņā ar to izstr</w:t>
            </w:r>
            <w:r w:rsidR="007A34BA">
              <w:t>ādātajie</w:t>
            </w:r>
            <w:r w:rsidR="00B918BB">
              <w:t>m ie</w:t>
            </w:r>
            <w:r w:rsidR="00B918BB">
              <w:rPr>
                <w:szCs w:val="28"/>
              </w:rPr>
              <w:t>kšēj</w:t>
            </w:r>
            <w:r w:rsidR="007A34BA">
              <w:rPr>
                <w:szCs w:val="28"/>
              </w:rPr>
              <w:t>iem normatīvajiem aktiem</w:t>
            </w:r>
            <w:r w:rsidR="00B918BB">
              <w:rPr>
                <w:szCs w:val="28"/>
              </w:rPr>
              <w:t>.</w:t>
            </w:r>
          </w:p>
        </w:tc>
      </w:tr>
      <w:tr w:rsidR="004C354D" w:rsidRPr="00304612" w14:paraId="641EE189" w14:textId="77777777" w:rsidTr="00246B8E">
        <w:trPr>
          <w:trHeight w:val="476"/>
        </w:trPr>
        <w:tc>
          <w:tcPr>
            <w:tcW w:w="482" w:type="pct"/>
          </w:tcPr>
          <w:p w14:paraId="53CB6400" w14:textId="77777777" w:rsidR="004C354D" w:rsidRPr="005510E6" w:rsidRDefault="004C354D" w:rsidP="00246B8E">
            <w:pPr>
              <w:pStyle w:val="naiskr"/>
              <w:spacing w:before="0" w:beforeAutospacing="0" w:after="0" w:afterAutospacing="0"/>
              <w:ind w:left="57" w:right="57"/>
              <w:jc w:val="center"/>
            </w:pPr>
            <w:r>
              <w:lastRenderedPageBreak/>
              <w:t>3.</w:t>
            </w:r>
          </w:p>
        </w:tc>
        <w:tc>
          <w:tcPr>
            <w:tcW w:w="1389" w:type="pct"/>
          </w:tcPr>
          <w:p w14:paraId="3CC843DE" w14:textId="77777777" w:rsidR="004C354D" w:rsidRPr="005510E6" w:rsidRDefault="004C354D" w:rsidP="00246B8E">
            <w:pPr>
              <w:pStyle w:val="naiskr"/>
              <w:spacing w:before="0" w:beforeAutospacing="0" w:after="0" w:afterAutospacing="0"/>
              <w:ind w:left="57" w:right="57"/>
            </w:pPr>
            <w:r w:rsidRPr="005510E6">
              <w:t>Projekta izstrādē iesaistītās institūcijas</w:t>
            </w:r>
          </w:p>
        </w:tc>
        <w:tc>
          <w:tcPr>
            <w:tcW w:w="3129" w:type="pct"/>
          </w:tcPr>
          <w:p w14:paraId="69E07CC1" w14:textId="77777777" w:rsidR="004C354D" w:rsidRPr="005510E6" w:rsidRDefault="004C354D" w:rsidP="00246B8E">
            <w:pPr>
              <w:ind w:left="57" w:right="57"/>
              <w:jc w:val="both"/>
              <w:rPr>
                <w:b/>
              </w:rPr>
            </w:pPr>
            <w:r w:rsidRPr="005510E6">
              <w:t xml:space="preserve">MK noteikumu projektu izstrādāja </w:t>
            </w:r>
            <w:r>
              <w:t>Finanšu ministrija</w:t>
            </w:r>
            <w:r>
              <w:rPr>
                <w:iCs/>
              </w:rPr>
              <w:t xml:space="preserve">. </w:t>
            </w:r>
          </w:p>
        </w:tc>
      </w:tr>
      <w:tr w:rsidR="004C354D" w:rsidRPr="00304612" w14:paraId="3F25DFA7" w14:textId="77777777" w:rsidTr="00246B8E">
        <w:tc>
          <w:tcPr>
            <w:tcW w:w="482" w:type="pct"/>
          </w:tcPr>
          <w:p w14:paraId="0FBF346A" w14:textId="77777777" w:rsidR="004C354D" w:rsidRPr="005510E6" w:rsidRDefault="004C354D" w:rsidP="00246B8E">
            <w:pPr>
              <w:pStyle w:val="naiskr"/>
              <w:spacing w:before="0" w:beforeAutospacing="0" w:after="0" w:afterAutospacing="0"/>
              <w:ind w:left="57" w:right="57"/>
              <w:jc w:val="center"/>
            </w:pPr>
            <w:r w:rsidRPr="005510E6">
              <w:t>4.</w:t>
            </w:r>
          </w:p>
        </w:tc>
        <w:tc>
          <w:tcPr>
            <w:tcW w:w="1389" w:type="pct"/>
          </w:tcPr>
          <w:p w14:paraId="354A92B6" w14:textId="77777777" w:rsidR="004C354D" w:rsidRPr="005510E6" w:rsidRDefault="004C354D" w:rsidP="00246B8E">
            <w:pPr>
              <w:pStyle w:val="naiskr"/>
              <w:spacing w:before="0" w:beforeAutospacing="0" w:after="0" w:afterAutospacing="0"/>
              <w:ind w:left="57" w:right="57"/>
            </w:pPr>
            <w:r w:rsidRPr="005510E6">
              <w:t>Cita informācija</w:t>
            </w:r>
          </w:p>
        </w:tc>
        <w:tc>
          <w:tcPr>
            <w:tcW w:w="3129" w:type="pct"/>
          </w:tcPr>
          <w:p w14:paraId="08EB1F8B" w14:textId="77777777" w:rsidR="004C354D" w:rsidRPr="005510E6" w:rsidRDefault="004C354D" w:rsidP="00246B8E">
            <w:pPr>
              <w:pStyle w:val="naiskr"/>
              <w:spacing w:before="0" w:beforeAutospacing="0" w:after="0" w:afterAutospacing="0"/>
              <w:ind w:left="57" w:right="57"/>
            </w:pPr>
            <w:r w:rsidRPr="005510E6">
              <w:t>Nav</w:t>
            </w:r>
          </w:p>
        </w:tc>
      </w:tr>
    </w:tbl>
    <w:p w14:paraId="2B01E070" w14:textId="77777777" w:rsidR="004C354D" w:rsidRPr="00304612" w:rsidRDefault="004C354D" w:rsidP="004C354D"/>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4C354D" w:rsidRPr="00304612" w14:paraId="3BE164D4" w14:textId="77777777" w:rsidTr="00246B8E">
        <w:trPr>
          <w:trHeight w:val="556"/>
        </w:trPr>
        <w:tc>
          <w:tcPr>
            <w:tcW w:w="10222" w:type="dxa"/>
            <w:gridSpan w:val="3"/>
            <w:vAlign w:val="center"/>
          </w:tcPr>
          <w:p w14:paraId="020BE934" w14:textId="77777777" w:rsidR="004C354D" w:rsidRPr="00304612" w:rsidRDefault="004C354D" w:rsidP="00246B8E">
            <w:pPr>
              <w:pStyle w:val="naisnod"/>
              <w:spacing w:before="0" w:beforeAutospacing="0" w:after="0" w:afterAutospacing="0"/>
              <w:ind w:left="57" w:right="57"/>
              <w:jc w:val="center"/>
              <w:rPr>
                <w:b/>
              </w:rPr>
            </w:pPr>
            <w:r w:rsidRPr="00304612">
              <w:rPr>
                <w:b/>
              </w:rPr>
              <w:t>II. Tiesību akta projekta ietekme uz sabiedrību, tautsaimniecības attīstību</w:t>
            </w:r>
          </w:p>
          <w:p w14:paraId="1DFE326E" w14:textId="77777777" w:rsidR="004C354D" w:rsidRPr="00304612" w:rsidRDefault="004C354D" w:rsidP="00246B8E">
            <w:pPr>
              <w:pStyle w:val="naisnod"/>
              <w:spacing w:before="0" w:beforeAutospacing="0" w:after="0" w:afterAutospacing="0"/>
              <w:ind w:left="57" w:right="57"/>
              <w:jc w:val="center"/>
              <w:rPr>
                <w:b/>
              </w:rPr>
            </w:pPr>
            <w:r w:rsidRPr="00304612">
              <w:rPr>
                <w:b/>
              </w:rPr>
              <w:t>un administratīvo slogu</w:t>
            </w:r>
          </w:p>
        </w:tc>
      </w:tr>
      <w:tr w:rsidR="004C354D" w:rsidRPr="00304612" w14:paraId="784E7178" w14:textId="77777777" w:rsidTr="00246B8E">
        <w:trPr>
          <w:trHeight w:val="467"/>
        </w:trPr>
        <w:tc>
          <w:tcPr>
            <w:tcW w:w="857" w:type="dxa"/>
          </w:tcPr>
          <w:p w14:paraId="50E5F2B4" w14:textId="77777777" w:rsidR="004C354D" w:rsidRPr="00304612" w:rsidRDefault="004C354D" w:rsidP="00246B8E">
            <w:pPr>
              <w:pStyle w:val="naiskr"/>
              <w:spacing w:before="0" w:beforeAutospacing="0" w:after="0" w:afterAutospacing="0"/>
              <w:ind w:left="57" w:right="57"/>
              <w:jc w:val="center"/>
            </w:pPr>
            <w:r w:rsidRPr="00304612">
              <w:t>1.</w:t>
            </w:r>
          </w:p>
        </w:tc>
        <w:tc>
          <w:tcPr>
            <w:tcW w:w="2976" w:type="dxa"/>
          </w:tcPr>
          <w:p w14:paraId="209CCD7E" w14:textId="77777777" w:rsidR="004C354D" w:rsidRPr="00304612" w:rsidRDefault="004C354D" w:rsidP="00246B8E">
            <w:pPr>
              <w:pStyle w:val="naiskr"/>
              <w:spacing w:before="0" w:beforeAutospacing="0" w:after="0" w:afterAutospacing="0"/>
              <w:ind w:left="57" w:right="57"/>
              <w:jc w:val="both"/>
            </w:pPr>
            <w:r w:rsidRPr="00304612">
              <w:t xml:space="preserve">Sabiedrības </w:t>
            </w:r>
            <w:proofErr w:type="spellStart"/>
            <w:r w:rsidRPr="00304612">
              <w:t>mērķgrupas</w:t>
            </w:r>
            <w:proofErr w:type="spellEnd"/>
            <w:r w:rsidRPr="00304612">
              <w:t>, kuras tiesiskais regulējums ietekmē vai varētu ietekmēt</w:t>
            </w:r>
          </w:p>
        </w:tc>
        <w:tc>
          <w:tcPr>
            <w:tcW w:w="6389" w:type="dxa"/>
          </w:tcPr>
          <w:p w14:paraId="3A84160B" w14:textId="2E951870" w:rsidR="004C354D" w:rsidRPr="007D35A1" w:rsidRDefault="004C354D" w:rsidP="00A43288">
            <w:pPr>
              <w:shd w:val="clear" w:color="auto" w:fill="FFFFFF"/>
              <w:ind w:left="57" w:right="57"/>
              <w:jc w:val="both"/>
              <w:rPr>
                <w:rFonts w:asciiTheme="majorBidi" w:hAnsiTheme="majorBidi" w:cstheme="majorBidi"/>
              </w:rPr>
            </w:pPr>
            <w:bookmarkStart w:id="1" w:name="p21"/>
            <w:bookmarkEnd w:id="1"/>
            <w:r w:rsidRPr="006D3DF5">
              <w:rPr>
                <w:rFonts w:asciiTheme="majorBidi" w:hAnsiTheme="majorBidi" w:cstheme="majorBidi"/>
              </w:rPr>
              <w:t>Ministrijas, tās padotīb</w:t>
            </w:r>
            <w:r>
              <w:rPr>
                <w:rFonts w:asciiTheme="majorBidi" w:hAnsiTheme="majorBidi" w:cstheme="majorBidi"/>
              </w:rPr>
              <w:t>ā esošas</w:t>
            </w:r>
            <w:r w:rsidRPr="006D3DF5">
              <w:rPr>
                <w:rFonts w:asciiTheme="majorBidi" w:hAnsiTheme="majorBidi" w:cstheme="majorBidi"/>
              </w:rPr>
              <w:t xml:space="preserve"> iestā</w:t>
            </w:r>
            <w:r w:rsidRPr="006D3DF5">
              <w:rPr>
                <w:rFonts w:asciiTheme="majorBidi" w:hAnsiTheme="majorBidi" w:cstheme="majorBidi"/>
              </w:rPr>
              <w:softHyphen/>
              <w:t>des, pašvaldības un pašvaldības iestādes vai šo institūciju pilnvarotas juridiskas personas</w:t>
            </w:r>
            <w:r w:rsidR="004626C6">
              <w:rPr>
                <w:rFonts w:asciiTheme="majorBidi" w:hAnsiTheme="majorBidi" w:cstheme="majorBidi"/>
              </w:rPr>
              <w:t xml:space="preserve">, kas </w:t>
            </w:r>
            <w:r w:rsidR="004626C6" w:rsidRPr="004626C6">
              <w:rPr>
                <w:rFonts w:asciiTheme="majorBidi" w:hAnsiTheme="majorBidi" w:cstheme="majorBidi"/>
              </w:rPr>
              <w:t xml:space="preserve">elektroniski </w:t>
            </w:r>
            <w:r w:rsidR="00A43288">
              <w:rPr>
                <w:rFonts w:asciiTheme="majorBidi" w:hAnsiTheme="majorBidi" w:cstheme="majorBidi"/>
              </w:rPr>
              <w:t xml:space="preserve">paziņo </w:t>
            </w:r>
            <w:r w:rsidR="00AC78D6">
              <w:rPr>
                <w:rFonts w:asciiTheme="majorBidi" w:hAnsiTheme="majorBidi" w:cstheme="majorBidi"/>
              </w:rPr>
              <w:t>EK</w:t>
            </w:r>
            <w:r w:rsidR="00A43288">
              <w:rPr>
                <w:rFonts w:asciiTheme="majorBidi" w:hAnsiTheme="majorBidi" w:cstheme="majorBidi"/>
              </w:rPr>
              <w:t xml:space="preserve"> par izstrādātajiem komercdarbības atbalsta pasākumiem</w:t>
            </w:r>
            <w:r w:rsidRPr="006D3DF5">
              <w:rPr>
                <w:rFonts w:asciiTheme="majorBidi" w:hAnsiTheme="majorBidi" w:cstheme="majorBidi"/>
              </w:rPr>
              <w:t>.</w:t>
            </w:r>
          </w:p>
        </w:tc>
      </w:tr>
      <w:tr w:rsidR="004C354D" w:rsidRPr="00304612" w14:paraId="4F76803B" w14:textId="77777777" w:rsidTr="00246B8E">
        <w:trPr>
          <w:trHeight w:val="523"/>
        </w:trPr>
        <w:tc>
          <w:tcPr>
            <w:tcW w:w="857" w:type="dxa"/>
          </w:tcPr>
          <w:p w14:paraId="746401C0" w14:textId="77777777" w:rsidR="004C354D" w:rsidRPr="00304612" w:rsidRDefault="004C354D" w:rsidP="00246B8E">
            <w:pPr>
              <w:pStyle w:val="naiskr"/>
              <w:spacing w:before="0" w:beforeAutospacing="0" w:after="0" w:afterAutospacing="0"/>
              <w:ind w:left="57" w:right="57"/>
              <w:jc w:val="center"/>
            </w:pPr>
            <w:r w:rsidRPr="00304612">
              <w:t>2.</w:t>
            </w:r>
          </w:p>
        </w:tc>
        <w:tc>
          <w:tcPr>
            <w:tcW w:w="2976" w:type="dxa"/>
          </w:tcPr>
          <w:p w14:paraId="3BA41803" w14:textId="77777777" w:rsidR="004C354D" w:rsidRPr="00A663C0" w:rsidRDefault="004C354D" w:rsidP="00246B8E">
            <w:pPr>
              <w:pStyle w:val="naiskr"/>
              <w:spacing w:before="0" w:beforeAutospacing="0" w:after="0" w:afterAutospacing="0"/>
              <w:ind w:left="57" w:right="57"/>
              <w:jc w:val="both"/>
            </w:pPr>
            <w:r w:rsidRPr="00A663C0">
              <w:t>Tiesiskā regulējuma ietekme uz tautsaimniecību un administratīvo slogu</w:t>
            </w:r>
          </w:p>
          <w:p w14:paraId="213A0F45" w14:textId="77777777" w:rsidR="004C354D" w:rsidRPr="00A663C0" w:rsidRDefault="004C354D" w:rsidP="00246B8E">
            <w:pPr>
              <w:pStyle w:val="naiskr"/>
              <w:spacing w:before="0" w:beforeAutospacing="0" w:after="0" w:afterAutospacing="0"/>
              <w:ind w:left="57" w:right="57"/>
            </w:pPr>
          </w:p>
        </w:tc>
        <w:tc>
          <w:tcPr>
            <w:tcW w:w="6389" w:type="dxa"/>
          </w:tcPr>
          <w:p w14:paraId="4B689E49" w14:textId="244CEDE1" w:rsidR="00C0223B" w:rsidRDefault="00C0223B" w:rsidP="00C0223B">
            <w:pPr>
              <w:shd w:val="clear" w:color="auto" w:fill="FFFFFF"/>
              <w:ind w:left="57" w:right="57"/>
              <w:jc w:val="both"/>
              <w:rPr>
                <w:bCs/>
              </w:rPr>
            </w:pPr>
            <w:r>
              <w:t>I</w:t>
            </w:r>
            <w:r w:rsidRPr="006B5DAC">
              <w:t>nstitūcijām</w:t>
            </w:r>
            <w:r>
              <w:t>, kuras izstrādā atbalsta pasākumus,</w:t>
            </w:r>
            <w:r w:rsidRPr="006B5DAC">
              <w:t xml:space="preserve"> projekta tiesiskais regulējums nemaina tiesības un pienākumus,</w:t>
            </w:r>
            <w:r>
              <w:t xml:space="preserve"> salīdzinot ar spēkā esošajām.</w:t>
            </w:r>
            <w:r w:rsidRPr="006B5DAC">
              <w:t xml:space="preserve"> </w:t>
            </w:r>
            <w:r>
              <w:rPr>
                <w:bCs/>
              </w:rPr>
              <w:t xml:space="preserve">Jebkura plānotā atbalsta paziņošanas pienākums </w:t>
            </w:r>
            <w:r w:rsidR="004626C6">
              <w:rPr>
                <w:bCs/>
              </w:rPr>
              <w:t>EK</w:t>
            </w:r>
            <w:r>
              <w:rPr>
                <w:bCs/>
              </w:rPr>
              <w:t xml:space="preserve"> izriet no Līguma par Eiropas Savienības darbību 108.panta 3. un 4.punkta. </w:t>
            </w:r>
            <w:r w:rsidR="00AC78D6">
              <w:rPr>
                <w:bCs/>
              </w:rPr>
              <w:t xml:space="preserve">No </w:t>
            </w:r>
            <w:r>
              <w:rPr>
                <w:bCs/>
              </w:rPr>
              <w:t xml:space="preserve">2007.gada, kad Latvijā tika ieviesta </w:t>
            </w:r>
            <w:r w:rsidR="004626C6">
              <w:rPr>
                <w:bCs/>
              </w:rPr>
              <w:t>EK</w:t>
            </w:r>
            <w:r>
              <w:rPr>
                <w:bCs/>
              </w:rPr>
              <w:t xml:space="preserve"> izstrādātā valsts atbalsta paziņojumu elektroniskā sistēma, administratīvais process ir vienkāršojies, jo visām valsts atbalsta paziņojuma izstrādē un uzraudzībā iesaistītajām valsts pārvaldes institūcijām ir iespēja organizēt sinhronu informācijas skatīšanos interneta vidē bez informācijas sūtīšanas papīra vai elektroniskajā formātā. </w:t>
            </w:r>
          </w:p>
          <w:p w14:paraId="078D36A8" w14:textId="364E8E1B" w:rsidR="004C354D" w:rsidRPr="00F35630" w:rsidRDefault="00C0223B" w:rsidP="008444A1">
            <w:pPr>
              <w:shd w:val="clear" w:color="auto" w:fill="FFFFFF"/>
              <w:ind w:left="57" w:right="57"/>
              <w:jc w:val="both"/>
            </w:pPr>
            <w:r>
              <w:rPr>
                <w:bCs/>
              </w:rPr>
              <w:t xml:space="preserve">Šis MK noteikumu projekts ņem vērā tos uzlabojumus sistēmā, ko informācijas aprites efektīvā nodrošināšanā ir ieviesusi </w:t>
            </w:r>
            <w:r w:rsidR="004626C6">
              <w:rPr>
                <w:bCs/>
              </w:rPr>
              <w:t>EK</w:t>
            </w:r>
            <w:r>
              <w:rPr>
                <w:bCs/>
              </w:rPr>
              <w:t>.</w:t>
            </w:r>
          </w:p>
        </w:tc>
      </w:tr>
      <w:tr w:rsidR="004C354D" w:rsidRPr="00304612" w14:paraId="06AB3E52" w14:textId="77777777" w:rsidTr="00246B8E">
        <w:trPr>
          <w:trHeight w:val="523"/>
        </w:trPr>
        <w:tc>
          <w:tcPr>
            <w:tcW w:w="857" w:type="dxa"/>
          </w:tcPr>
          <w:p w14:paraId="10222FED" w14:textId="77777777" w:rsidR="004C354D" w:rsidRPr="00304612" w:rsidRDefault="004C354D" w:rsidP="00246B8E">
            <w:pPr>
              <w:pStyle w:val="naiskr"/>
              <w:spacing w:before="0" w:beforeAutospacing="0" w:after="0" w:afterAutospacing="0"/>
              <w:ind w:left="57" w:right="57"/>
              <w:jc w:val="center"/>
            </w:pPr>
            <w:r w:rsidRPr="00304612">
              <w:t>3.</w:t>
            </w:r>
          </w:p>
        </w:tc>
        <w:tc>
          <w:tcPr>
            <w:tcW w:w="2976" w:type="dxa"/>
          </w:tcPr>
          <w:p w14:paraId="0A955E6F" w14:textId="77777777" w:rsidR="004C354D" w:rsidRPr="00A663C0" w:rsidRDefault="004C354D" w:rsidP="00246B8E">
            <w:pPr>
              <w:pStyle w:val="naiskr"/>
              <w:spacing w:before="0" w:beforeAutospacing="0" w:after="0" w:afterAutospacing="0"/>
              <w:ind w:left="57" w:right="57"/>
              <w:jc w:val="both"/>
            </w:pPr>
            <w:r w:rsidRPr="00A663C0">
              <w:t>Administratīvo izmaksu monetārs novērtējums</w:t>
            </w:r>
          </w:p>
        </w:tc>
        <w:tc>
          <w:tcPr>
            <w:tcW w:w="6389" w:type="dxa"/>
          </w:tcPr>
          <w:p w14:paraId="1F5478CE" w14:textId="77777777" w:rsidR="004C354D" w:rsidRPr="00304612" w:rsidRDefault="004C354D" w:rsidP="00246B8E">
            <w:pPr>
              <w:shd w:val="clear" w:color="auto" w:fill="FFFFFF"/>
              <w:ind w:left="57" w:right="57"/>
              <w:jc w:val="both"/>
            </w:pPr>
            <w:r>
              <w:rPr>
                <w:rFonts w:asciiTheme="majorBidi" w:hAnsiTheme="majorBidi" w:cstheme="majorBidi"/>
              </w:rPr>
              <w:t xml:space="preserve">Ministrijām, tās </w:t>
            </w:r>
            <w:r w:rsidRPr="006D3DF5">
              <w:rPr>
                <w:rFonts w:asciiTheme="majorBidi" w:hAnsiTheme="majorBidi" w:cstheme="majorBidi"/>
              </w:rPr>
              <w:t xml:space="preserve"> padotīb</w:t>
            </w:r>
            <w:r>
              <w:rPr>
                <w:rFonts w:asciiTheme="majorBidi" w:hAnsiTheme="majorBidi" w:cstheme="majorBidi"/>
              </w:rPr>
              <w:t>ā esošām</w:t>
            </w:r>
            <w:r w:rsidRPr="006D3DF5">
              <w:rPr>
                <w:rFonts w:asciiTheme="majorBidi" w:hAnsiTheme="majorBidi" w:cstheme="majorBidi"/>
              </w:rPr>
              <w:t xml:space="preserve"> </w:t>
            </w:r>
            <w:r>
              <w:rPr>
                <w:rFonts w:asciiTheme="majorBidi" w:hAnsiTheme="majorBidi" w:cstheme="majorBidi"/>
              </w:rPr>
              <w:t xml:space="preserve"> iestā</w:t>
            </w:r>
            <w:r>
              <w:rPr>
                <w:rFonts w:asciiTheme="majorBidi" w:hAnsiTheme="majorBidi" w:cstheme="majorBidi"/>
              </w:rPr>
              <w:softHyphen/>
              <w:t>dēm, pašvaldībām un pašvaldības iestādēm</w:t>
            </w:r>
            <w:r w:rsidRPr="006D3DF5">
              <w:rPr>
                <w:rFonts w:asciiTheme="majorBidi" w:hAnsiTheme="majorBidi" w:cstheme="majorBidi"/>
              </w:rPr>
              <w:t xml:space="preserve"> vai šo institūciju pilnvarot</w:t>
            </w:r>
            <w:r>
              <w:rPr>
                <w:rFonts w:asciiTheme="majorBidi" w:hAnsiTheme="majorBidi" w:cstheme="majorBidi"/>
              </w:rPr>
              <w:t>ām</w:t>
            </w:r>
            <w:r w:rsidRPr="006D3DF5">
              <w:rPr>
                <w:rFonts w:asciiTheme="majorBidi" w:hAnsiTheme="majorBidi" w:cstheme="majorBidi"/>
              </w:rPr>
              <w:t xml:space="preserve"> juridisk</w:t>
            </w:r>
            <w:r>
              <w:rPr>
                <w:rFonts w:asciiTheme="majorBidi" w:hAnsiTheme="majorBidi" w:cstheme="majorBidi"/>
              </w:rPr>
              <w:t>ām</w:t>
            </w:r>
            <w:r w:rsidRPr="006D3DF5">
              <w:rPr>
                <w:rFonts w:asciiTheme="majorBidi" w:hAnsiTheme="majorBidi" w:cstheme="majorBidi"/>
              </w:rPr>
              <w:t xml:space="preserve"> person</w:t>
            </w:r>
            <w:r>
              <w:rPr>
                <w:rFonts w:asciiTheme="majorBidi" w:hAnsiTheme="majorBidi" w:cstheme="majorBidi"/>
              </w:rPr>
              <w:t>ām tiesību akta projekts nepalielina administratīvās izmaksas</w:t>
            </w:r>
            <w:r w:rsidRPr="006D3DF5">
              <w:rPr>
                <w:rFonts w:asciiTheme="majorBidi" w:hAnsiTheme="majorBidi" w:cstheme="majorBidi"/>
              </w:rPr>
              <w:t>.</w:t>
            </w:r>
          </w:p>
        </w:tc>
      </w:tr>
      <w:tr w:rsidR="004C354D" w:rsidRPr="00304612" w14:paraId="4BD8A988" w14:textId="77777777" w:rsidTr="00246B8E">
        <w:trPr>
          <w:trHeight w:val="357"/>
        </w:trPr>
        <w:tc>
          <w:tcPr>
            <w:tcW w:w="857" w:type="dxa"/>
          </w:tcPr>
          <w:p w14:paraId="72828E34" w14:textId="77777777" w:rsidR="004C354D" w:rsidRPr="00304612" w:rsidRDefault="004C354D" w:rsidP="00246B8E">
            <w:pPr>
              <w:pStyle w:val="naiskr"/>
              <w:spacing w:before="0" w:beforeAutospacing="0" w:after="0" w:afterAutospacing="0"/>
              <w:ind w:left="57" w:right="57"/>
              <w:jc w:val="center"/>
            </w:pPr>
            <w:r w:rsidRPr="00304612">
              <w:t>4.</w:t>
            </w:r>
          </w:p>
        </w:tc>
        <w:tc>
          <w:tcPr>
            <w:tcW w:w="2976" w:type="dxa"/>
          </w:tcPr>
          <w:p w14:paraId="1596467F" w14:textId="77777777" w:rsidR="004C354D" w:rsidRPr="00304612" w:rsidRDefault="004C354D" w:rsidP="00246B8E">
            <w:pPr>
              <w:pStyle w:val="naiskr"/>
              <w:spacing w:before="0" w:beforeAutospacing="0" w:after="0" w:afterAutospacing="0"/>
              <w:ind w:left="57" w:right="57"/>
            </w:pPr>
            <w:r w:rsidRPr="00304612">
              <w:t>Cita informācija</w:t>
            </w:r>
          </w:p>
        </w:tc>
        <w:tc>
          <w:tcPr>
            <w:tcW w:w="6389" w:type="dxa"/>
          </w:tcPr>
          <w:p w14:paraId="411B354D" w14:textId="77777777" w:rsidR="004C354D" w:rsidRPr="00304612" w:rsidRDefault="004C354D" w:rsidP="00246B8E">
            <w:pPr>
              <w:shd w:val="clear" w:color="auto" w:fill="FFFFFF"/>
              <w:ind w:left="57" w:right="57"/>
            </w:pPr>
            <w:r>
              <w:t>Nav</w:t>
            </w:r>
          </w:p>
        </w:tc>
      </w:tr>
    </w:tbl>
    <w:p w14:paraId="4920D824" w14:textId="77777777" w:rsidR="004C354D" w:rsidRDefault="004C354D" w:rsidP="004C354D"/>
    <w:tbl>
      <w:tblPr>
        <w:tblW w:w="5635"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3"/>
        <w:gridCol w:w="2676"/>
        <w:gridCol w:w="7246"/>
      </w:tblGrid>
      <w:tr w:rsidR="004C354D" w:rsidRPr="0055454B" w14:paraId="79403BCA" w14:textId="77777777" w:rsidTr="00246B8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0BD70" w14:textId="77777777" w:rsidR="004C354D" w:rsidRPr="0055454B" w:rsidRDefault="004C354D" w:rsidP="00246B8E">
            <w:pPr>
              <w:jc w:val="center"/>
              <w:rPr>
                <w:b/>
                <w:bCs/>
              </w:rPr>
            </w:pPr>
            <w:r w:rsidRPr="0055454B">
              <w:rPr>
                <w:b/>
                <w:bCs/>
              </w:rPr>
              <w:t>VI. Sabiedrības līdzdalība un komunikācijas aktivitātes</w:t>
            </w:r>
          </w:p>
        </w:tc>
      </w:tr>
      <w:tr w:rsidR="004C354D" w:rsidRPr="0055454B" w14:paraId="68A49D6C" w14:textId="77777777" w:rsidTr="00AA797F">
        <w:trPr>
          <w:trHeight w:val="983"/>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3042A6E0" w14:textId="77777777" w:rsidR="004C354D" w:rsidRPr="0055454B" w:rsidRDefault="004C354D" w:rsidP="00246B8E">
            <w:r w:rsidRPr="0055454B">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0808A7D6" w14:textId="77777777" w:rsidR="004C354D" w:rsidRPr="0055454B" w:rsidRDefault="004C354D" w:rsidP="00246B8E">
            <w:r w:rsidRPr="0055454B">
              <w:t>Plānotās sabiedrības līdzdalības un komunikācijas aktivitātes saistībā ar projektu</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4F1B62A8" w14:textId="7DAF2383" w:rsidR="004C354D" w:rsidRPr="00AA797F" w:rsidRDefault="008444A1" w:rsidP="00A43288">
            <w:pPr>
              <w:jc w:val="both"/>
            </w:pPr>
            <w:r>
              <w:t xml:space="preserve">Noteikumu projekts paredz tehniskas dabas grozījumus, kas attiecināmi uz  </w:t>
            </w:r>
            <w:r>
              <w:rPr>
                <w:rFonts w:asciiTheme="majorBidi" w:hAnsiTheme="majorBidi" w:cstheme="majorBidi"/>
              </w:rPr>
              <w:t xml:space="preserve">ministrijām, tās </w:t>
            </w:r>
            <w:r w:rsidRPr="006D3DF5">
              <w:rPr>
                <w:rFonts w:asciiTheme="majorBidi" w:hAnsiTheme="majorBidi" w:cstheme="majorBidi"/>
              </w:rPr>
              <w:t xml:space="preserve"> padotīb</w:t>
            </w:r>
            <w:r>
              <w:rPr>
                <w:rFonts w:asciiTheme="majorBidi" w:hAnsiTheme="majorBidi" w:cstheme="majorBidi"/>
              </w:rPr>
              <w:t>ā esošām</w:t>
            </w:r>
            <w:r w:rsidRPr="006D3DF5">
              <w:rPr>
                <w:rFonts w:asciiTheme="majorBidi" w:hAnsiTheme="majorBidi" w:cstheme="majorBidi"/>
              </w:rPr>
              <w:t xml:space="preserve"> </w:t>
            </w:r>
            <w:r>
              <w:rPr>
                <w:rFonts w:asciiTheme="majorBidi" w:hAnsiTheme="majorBidi" w:cstheme="majorBidi"/>
              </w:rPr>
              <w:t xml:space="preserve"> iestā</w:t>
            </w:r>
            <w:r>
              <w:rPr>
                <w:rFonts w:asciiTheme="majorBidi" w:hAnsiTheme="majorBidi" w:cstheme="majorBidi"/>
              </w:rPr>
              <w:softHyphen/>
              <w:t>dēm, pašvaldībām un pašvaldības iestādēm</w:t>
            </w:r>
            <w:r w:rsidRPr="006D3DF5">
              <w:rPr>
                <w:rFonts w:asciiTheme="majorBidi" w:hAnsiTheme="majorBidi" w:cstheme="majorBidi"/>
              </w:rPr>
              <w:t xml:space="preserve"> vai šo institūciju pilnvarot</w:t>
            </w:r>
            <w:r>
              <w:rPr>
                <w:rFonts w:asciiTheme="majorBidi" w:hAnsiTheme="majorBidi" w:cstheme="majorBidi"/>
              </w:rPr>
              <w:t>ām</w:t>
            </w:r>
            <w:r w:rsidRPr="006D3DF5">
              <w:rPr>
                <w:rFonts w:asciiTheme="majorBidi" w:hAnsiTheme="majorBidi" w:cstheme="majorBidi"/>
              </w:rPr>
              <w:t xml:space="preserve"> juridisk</w:t>
            </w:r>
            <w:r>
              <w:rPr>
                <w:rFonts w:asciiTheme="majorBidi" w:hAnsiTheme="majorBidi" w:cstheme="majorBidi"/>
              </w:rPr>
              <w:t>ām</w:t>
            </w:r>
            <w:r w:rsidRPr="006D3DF5">
              <w:rPr>
                <w:rFonts w:asciiTheme="majorBidi" w:hAnsiTheme="majorBidi" w:cstheme="majorBidi"/>
              </w:rPr>
              <w:t xml:space="preserve"> person</w:t>
            </w:r>
            <w:r>
              <w:rPr>
                <w:rFonts w:asciiTheme="majorBidi" w:hAnsiTheme="majorBidi" w:cstheme="majorBidi"/>
              </w:rPr>
              <w:t>ām, tāpēc noteikumu projekts neskar sabiedrību un attiecīgi sabiedrības līdzdalība nav nepieciešama.</w:t>
            </w:r>
          </w:p>
        </w:tc>
      </w:tr>
      <w:tr w:rsidR="004C354D" w:rsidRPr="0055454B" w14:paraId="0DEEAAC9" w14:textId="77777777" w:rsidTr="00AA797F">
        <w:trPr>
          <w:trHeight w:val="330"/>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0E3822A3" w14:textId="77777777" w:rsidR="004C354D" w:rsidRPr="0055454B" w:rsidRDefault="004C354D" w:rsidP="00246B8E">
            <w:r w:rsidRPr="0055454B">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1A9577FF" w14:textId="77777777" w:rsidR="004C354D" w:rsidRPr="0055454B" w:rsidRDefault="004C354D" w:rsidP="00246B8E">
            <w:r w:rsidRPr="0055454B">
              <w:t>Sabiedrības līdzdalība projekta izstrādē</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73292EA0" w14:textId="42F24D2E" w:rsidR="004C354D" w:rsidRPr="00AA797F" w:rsidRDefault="008444A1" w:rsidP="00264E6B">
            <w:r>
              <w:t>Nav attiecināms</w:t>
            </w:r>
          </w:p>
        </w:tc>
      </w:tr>
      <w:tr w:rsidR="004C354D" w:rsidRPr="0055454B" w14:paraId="36721E2D" w14:textId="77777777" w:rsidTr="00AA797F">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181AA1D6" w14:textId="77777777" w:rsidR="004C354D" w:rsidRPr="0055454B" w:rsidRDefault="004C354D" w:rsidP="00246B8E">
            <w:r w:rsidRPr="0055454B">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50BF46CA" w14:textId="77777777" w:rsidR="004C354D" w:rsidRPr="0055454B" w:rsidRDefault="004C354D" w:rsidP="00246B8E">
            <w:r w:rsidRPr="0055454B">
              <w:t>Sabiedrības līdzdalības rezultāti</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550B8820" w14:textId="6487A976" w:rsidR="004C354D" w:rsidRPr="00AA797F" w:rsidRDefault="008444A1" w:rsidP="00264E6B">
            <w:r>
              <w:t>Nav attiecināms</w:t>
            </w:r>
          </w:p>
        </w:tc>
      </w:tr>
      <w:tr w:rsidR="004C354D" w:rsidRPr="0055454B" w14:paraId="75CC184E" w14:textId="77777777" w:rsidTr="00AA797F">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52FC6310" w14:textId="77777777" w:rsidR="004C354D" w:rsidRPr="0055454B" w:rsidRDefault="004C354D" w:rsidP="00246B8E">
            <w:r w:rsidRPr="0055454B">
              <w:t>4.</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377137ED" w14:textId="77777777" w:rsidR="004C354D" w:rsidRPr="0055454B" w:rsidRDefault="004C354D" w:rsidP="00246B8E">
            <w:r w:rsidRPr="0055454B">
              <w:t>Cita informācija</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4F57C923" w14:textId="6BD75DB7" w:rsidR="004C354D" w:rsidRPr="00AA797F" w:rsidRDefault="008444A1" w:rsidP="00246B8E">
            <w:pPr>
              <w:jc w:val="both"/>
            </w:pPr>
            <w:r>
              <w:t>Nav</w:t>
            </w:r>
          </w:p>
        </w:tc>
      </w:tr>
    </w:tbl>
    <w:p w14:paraId="31CD6B50" w14:textId="77777777" w:rsidR="004C354D" w:rsidRDefault="004C354D" w:rsidP="004C354D"/>
    <w:tbl>
      <w:tblPr>
        <w:tblStyle w:val="TableGrid"/>
        <w:tblW w:w="10207" w:type="dxa"/>
        <w:tblInd w:w="-572" w:type="dxa"/>
        <w:tblLook w:val="04A0" w:firstRow="1" w:lastRow="0" w:firstColumn="1" w:lastColumn="0" w:noHBand="0" w:noVBand="1"/>
      </w:tblPr>
      <w:tblGrid>
        <w:gridCol w:w="425"/>
        <w:gridCol w:w="5104"/>
        <w:gridCol w:w="4678"/>
      </w:tblGrid>
      <w:tr w:rsidR="004C354D" w14:paraId="376CD12E" w14:textId="77777777" w:rsidTr="00246B8E">
        <w:tc>
          <w:tcPr>
            <w:tcW w:w="10207" w:type="dxa"/>
            <w:gridSpan w:val="3"/>
          </w:tcPr>
          <w:p w14:paraId="309AA305" w14:textId="77777777" w:rsidR="004C354D" w:rsidRPr="00834301" w:rsidRDefault="004C354D" w:rsidP="00246B8E">
            <w:pPr>
              <w:jc w:val="center"/>
              <w:rPr>
                <w:b/>
                <w:sz w:val="24"/>
              </w:rPr>
            </w:pPr>
            <w:r w:rsidRPr="00834301">
              <w:rPr>
                <w:b/>
                <w:sz w:val="24"/>
              </w:rPr>
              <w:t>VII. Tiesību akta projekta izpildes nodrošināšana un tās ietekme uz institūcijām</w:t>
            </w:r>
          </w:p>
        </w:tc>
      </w:tr>
      <w:tr w:rsidR="004C354D" w14:paraId="7F84236F" w14:textId="77777777" w:rsidTr="00246B8E">
        <w:tc>
          <w:tcPr>
            <w:tcW w:w="425" w:type="dxa"/>
          </w:tcPr>
          <w:p w14:paraId="64A1ADCC" w14:textId="77777777" w:rsidR="004C354D" w:rsidRPr="004638E5" w:rsidRDefault="004C354D" w:rsidP="00246B8E">
            <w:pPr>
              <w:jc w:val="center"/>
              <w:rPr>
                <w:sz w:val="24"/>
              </w:rPr>
            </w:pPr>
            <w:r w:rsidRPr="004638E5">
              <w:rPr>
                <w:sz w:val="24"/>
              </w:rPr>
              <w:t>1.</w:t>
            </w:r>
          </w:p>
        </w:tc>
        <w:tc>
          <w:tcPr>
            <w:tcW w:w="5104" w:type="dxa"/>
          </w:tcPr>
          <w:p w14:paraId="29954E04" w14:textId="77777777" w:rsidR="004C354D" w:rsidRPr="004638E5" w:rsidRDefault="004C354D" w:rsidP="00246B8E">
            <w:pPr>
              <w:rPr>
                <w:sz w:val="24"/>
              </w:rPr>
            </w:pPr>
            <w:r w:rsidRPr="004638E5">
              <w:rPr>
                <w:sz w:val="24"/>
              </w:rPr>
              <w:t>Projekta izpildē iesaistītās institūcijas</w:t>
            </w:r>
          </w:p>
        </w:tc>
        <w:tc>
          <w:tcPr>
            <w:tcW w:w="4678" w:type="dxa"/>
          </w:tcPr>
          <w:p w14:paraId="5FDEC04D" w14:textId="0024D32B" w:rsidR="004C354D" w:rsidRPr="00834301" w:rsidRDefault="004C354D" w:rsidP="008444A1">
            <w:pPr>
              <w:jc w:val="both"/>
              <w:rPr>
                <w:i/>
                <w:sz w:val="24"/>
              </w:rPr>
            </w:pPr>
            <w:r w:rsidRPr="006D3DF5">
              <w:rPr>
                <w:rFonts w:asciiTheme="majorBidi" w:hAnsiTheme="majorBidi" w:cstheme="majorBidi"/>
                <w:sz w:val="24"/>
              </w:rPr>
              <w:t>Ministrijas, tās padotīb</w:t>
            </w:r>
            <w:r>
              <w:rPr>
                <w:rFonts w:asciiTheme="majorBidi" w:hAnsiTheme="majorBidi" w:cstheme="majorBidi"/>
                <w:sz w:val="24"/>
              </w:rPr>
              <w:t>ā esošas</w:t>
            </w:r>
            <w:r w:rsidRPr="006D3DF5">
              <w:rPr>
                <w:rFonts w:asciiTheme="majorBidi" w:hAnsiTheme="majorBidi" w:cstheme="majorBidi"/>
                <w:sz w:val="24"/>
              </w:rPr>
              <w:t xml:space="preserve"> iestā</w:t>
            </w:r>
            <w:r w:rsidRPr="006D3DF5">
              <w:rPr>
                <w:rFonts w:asciiTheme="majorBidi" w:hAnsiTheme="majorBidi" w:cstheme="majorBidi"/>
                <w:sz w:val="24"/>
              </w:rPr>
              <w:softHyphen/>
              <w:t>des, pašvaldības un pašvaldības iestādes vai šo institūciju pilnvarotas juridiskas personas</w:t>
            </w:r>
            <w:r>
              <w:rPr>
                <w:rFonts w:asciiTheme="majorBidi" w:hAnsiTheme="majorBidi" w:cstheme="majorBidi"/>
                <w:sz w:val="24"/>
              </w:rPr>
              <w:t xml:space="preserve">, </w:t>
            </w:r>
            <w:r>
              <w:rPr>
                <w:rFonts w:asciiTheme="majorBidi" w:hAnsiTheme="majorBidi" w:cstheme="majorBidi"/>
                <w:sz w:val="24"/>
              </w:rPr>
              <w:lastRenderedPageBreak/>
              <w:t xml:space="preserve">kuras izstrādā komercdarbības atbalsta programmas un individuālos atbalsta projektus, kā arī </w:t>
            </w:r>
            <w:r w:rsidRPr="009D3BB4">
              <w:rPr>
                <w:rFonts w:asciiTheme="majorBidi" w:hAnsiTheme="majorBidi" w:cstheme="majorBidi"/>
                <w:sz w:val="24"/>
              </w:rPr>
              <w:t xml:space="preserve">Finanšu ministrijas </w:t>
            </w:r>
            <w:r w:rsidR="000802EA" w:rsidRPr="009D3BB4">
              <w:rPr>
                <w:rFonts w:asciiTheme="majorBidi" w:hAnsiTheme="majorBidi" w:cstheme="majorBidi"/>
                <w:sz w:val="24"/>
              </w:rPr>
              <w:t xml:space="preserve">un </w:t>
            </w:r>
            <w:r w:rsidRPr="009D3BB4">
              <w:rPr>
                <w:rFonts w:asciiTheme="majorBidi" w:hAnsiTheme="majorBidi" w:cstheme="majorBidi"/>
                <w:sz w:val="24"/>
              </w:rPr>
              <w:t xml:space="preserve">Zemkopības ministrijas </w:t>
            </w:r>
            <w:r>
              <w:rPr>
                <w:rFonts w:asciiTheme="majorBidi" w:hAnsiTheme="majorBidi" w:cstheme="majorBidi"/>
                <w:sz w:val="24"/>
              </w:rPr>
              <w:t>ierēdņi/darbinieki</w:t>
            </w:r>
            <w:r w:rsidRPr="006D3DF5">
              <w:rPr>
                <w:rFonts w:asciiTheme="majorBidi" w:hAnsiTheme="majorBidi" w:cstheme="majorBidi"/>
                <w:sz w:val="24"/>
              </w:rPr>
              <w:t>.</w:t>
            </w:r>
          </w:p>
        </w:tc>
      </w:tr>
      <w:tr w:rsidR="004C354D" w14:paraId="35AADE3D" w14:textId="77777777" w:rsidTr="00246B8E">
        <w:tc>
          <w:tcPr>
            <w:tcW w:w="425" w:type="dxa"/>
          </w:tcPr>
          <w:p w14:paraId="0B5054E2" w14:textId="77777777" w:rsidR="004C354D" w:rsidRPr="004638E5" w:rsidRDefault="004C354D" w:rsidP="00246B8E">
            <w:pPr>
              <w:jc w:val="center"/>
              <w:rPr>
                <w:sz w:val="24"/>
              </w:rPr>
            </w:pPr>
            <w:r w:rsidRPr="004638E5">
              <w:rPr>
                <w:sz w:val="24"/>
              </w:rPr>
              <w:lastRenderedPageBreak/>
              <w:t>2.</w:t>
            </w:r>
          </w:p>
        </w:tc>
        <w:tc>
          <w:tcPr>
            <w:tcW w:w="5104" w:type="dxa"/>
          </w:tcPr>
          <w:p w14:paraId="23D529CF" w14:textId="77777777" w:rsidR="004C354D" w:rsidRPr="004638E5" w:rsidRDefault="004C354D" w:rsidP="00246B8E">
            <w:pPr>
              <w:rPr>
                <w:sz w:val="24"/>
              </w:rPr>
            </w:pPr>
            <w:r w:rsidRPr="004638E5">
              <w:rPr>
                <w:sz w:val="24"/>
              </w:rPr>
              <w:t xml:space="preserve">Projekta izpildes ietekme uz pārvaldes funkcijām un institucionālo struktūru. </w:t>
            </w:r>
          </w:p>
          <w:p w14:paraId="43B1BD85" w14:textId="77777777" w:rsidR="004C354D" w:rsidRPr="004638E5" w:rsidRDefault="004C354D" w:rsidP="00246B8E">
            <w:pPr>
              <w:rPr>
                <w:sz w:val="24"/>
              </w:rPr>
            </w:pPr>
            <w:r w:rsidRPr="004638E5">
              <w:rPr>
                <w:sz w:val="24"/>
              </w:rPr>
              <w:t>Jaunu institūciju izveide, esošu institūciju likvidācija vai reorganizācija, to ietekme uz institūcijas cilvēkresursiem</w:t>
            </w:r>
          </w:p>
        </w:tc>
        <w:tc>
          <w:tcPr>
            <w:tcW w:w="4678" w:type="dxa"/>
          </w:tcPr>
          <w:p w14:paraId="14C0708F" w14:textId="77777777" w:rsidR="004C354D" w:rsidRPr="00007918" w:rsidRDefault="004C354D" w:rsidP="00246B8E">
            <w:pPr>
              <w:jc w:val="both"/>
              <w:rPr>
                <w:iCs/>
                <w:sz w:val="24"/>
              </w:rPr>
            </w:pPr>
            <w:r w:rsidRPr="00007918">
              <w:rPr>
                <w:iCs/>
                <w:sz w:val="24"/>
              </w:rPr>
              <w:t xml:space="preserve">Projekts </w:t>
            </w:r>
            <w:r>
              <w:rPr>
                <w:iCs/>
                <w:sz w:val="24"/>
              </w:rPr>
              <w:t>nerada jaunas pārvaldes funkcijas un institucionālo struktūru, salīdzinot ar spēkā esošo. Projekts tiks realizēts esošo cilvēkresursu ietvaros.</w:t>
            </w:r>
          </w:p>
        </w:tc>
      </w:tr>
      <w:tr w:rsidR="004C354D" w14:paraId="349BFFC9" w14:textId="77777777" w:rsidTr="00246B8E">
        <w:tc>
          <w:tcPr>
            <w:tcW w:w="425" w:type="dxa"/>
          </w:tcPr>
          <w:p w14:paraId="771C9E27" w14:textId="77777777" w:rsidR="004C354D" w:rsidRPr="004638E5" w:rsidRDefault="004C354D" w:rsidP="00246B8E">
            <w:pPr>
              <w:jc w:val="center"/>
              <w:rPr>
                <w:sz w:val="24"/>
              </w:rPr>
            </w:pPr>
            <w:r w:rsidRPr="004638E5">
              <w:rPr>
                <w:sz w:val="24"/>
              </w:rPr>
              <w:t>3.</w:t>
            </w:r>
          </w:p>
        </w:tc>
        <w:tc>
          <w:tcPr>
            <w:tcW w:w="5104" w:type="dxa"/>
          </w:tcPr>
          <w:p w14:paraId="1FEC2FC3" w14:textId="77777777" w:rsidR="004C354D" w:rsidRPr="004638E5" w:rsidRDefault="004C354D" w:rsidP="00246B8E">
            <w:pPr>
              <w:rPr>
                <w:sz w:val="24"/>
              </w:rPr>
            </w:pPr>
            <w:r w:rsidRPr="004638E5">
              <w:rPr>
                <w:sz w:val="24"/>
              </w:rPr>
              <w:t>Cita informācija</w:t>
            </w:r>
          </w:p>
        </w:tc>
        <w:tc>
          <w:tcPr>
            <w:tcW w:w="4678" w:type="dxa"/>
          </w:tcPr>
          <w:p w14:paraId="42F10D67" w14:textId="77777777" w:rsidR="004C354D" w:rsidRPr="00834301" w:rsidRDefault="004C354D" w:rsidP="00246B8E">
            <w:pPr>
              <w:rPr>
                <w:i/>
                <w:sz w:val="24"/>
              </w:rPr>
            </w:pPr>
            <w:r w:rsidRPr="00007918">
              <w:rPr>
                <w:iCs/>
                <w:sz w:val="24"/>
              </w:rPr>
              <w:t>Nav</w:t>
            </w:r>
          </w:p>
        </w:tc>
      </w:tr>
    </w:tbl>
    <w:p w14:paraId="5FB093EA" w14:textId="7EE972A5" w:rsidR="004C354D" w:rsidRPr="007966F6" w:rsidRDefault="004C354D" w:rsidP="004C354D">
      <w:pPr>
        <w:rPr>
          <w:i/>
        </w:rPr>
      </w:pPr>
      <w:r w:rsidRPr="007966F6">
        <w:rPr>
          <w:i/>
        </w:rPr>
        <w:t xml:space="preserve">Anotācijas </w:t>
      </w:r>
      <w:r>
        <w:rPr>
          <w:i/>
        </w:rPr>
        <w:t>III</w:t>
      </w:r>
      <w:r w:rsidR="000802EA">
        <w:rPr>
          <w:i/>
        </w:rPr>
        <w:t>,</w:t>
      </w:r>
      <w:r w:rsidRPr="00E92DBF">
        <w:rPr>
          <w:i/>
        </w:rPr>
        <w:t xml:space="preserve"> </w:t>
      </w:r>
      <w:r w:rsidR="000802EA" w:rsidRPr="007966F6">
        <w:rPr>
          <w:i/>
        </w:rPr>
        <w:t>IV</w:t>
      </w:r>
      <w:r w:rsidR="000802EA">
        <w:rPr>
          <w:i/>
        </w:rPr>
        <w:t xml:space="preserve"> </w:t>
      </w:r>
      <w:r>
        <w:rPr>
          <w:i/>
        </w:rPr>
        <w:t>un</w:t>
      </w:r>
      <w:r w:rsidR="000802EA">
        <w:rPr>
          <w:i/>
        </w:rPr>
        <w:t xml:space="preserve"> V</w:t>
      </w:r>
      <w:r>
        <w:rPr>
          <w:i/>
        </w:rPr>
        <w:t xml:space="preserve"> </w:t>
      </w:r>
      <w:r w:rsidRPr="007966F6">
        <w:rPr>
          <w:i/>
        </w:rPr>
        <w:t>- projekts šīs jomas neskar.</w:t>
      </w:r>
    </w:p>
    <w:p w14:paraId="1427664E" w14:textId="77777777" w:rsidR="004C354D" w:rsidRDefault="004C354D" w:rsidP="004C354D">
      <w:pPr>
        <w:pStyle w:val="naislab"/>
        <w:spacing w:before="0" w:after="0"/>
      </w:pPr>
    </w:p>
    <w:p w14:paraId="468C8033" w14:textId="77777777" w:rsidR="00504DE1" w:rsidRDefault="00504DE1" w:rsidP="004C354D">
      <w:pPr>
        <w:pStyle w:val="naislab"/>
        <w:spacing w:before="0" w:after="0"/>
      </w:pPr>
    </w:p>
    <w:p w14:paraId="171EF168" w14:textId="77777777" w:rsidR="00504DE1" w:rsidRDefault="00504DE1" w:rsidP="004C354D">
      <w:pPr>
        <w:pStyle w:val="naislab"/>
        <w:spacing w:before="0" w:after="0"/>
      </w:pPr>
    </w:p>
    <w:p w14:paraId="191FE432" w14:textId="77777777" w:rsidR="004C354D" w:rsidRPr="007966F6" w:rsidRDefault="004C354D" w:rsidP="004C354D">
      <w:pPr>
        <w:jc w:val="both"/>
        <w:rPr>
          <w:color w:val="000000"/>
        </w:rPr>
      </w:pPr>
      <w:r>
        <w:rPr>
          <w:color w:val="000000"/>
        </w:rPr>
        <w:t xml:space="preserve">Finanšu ministre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D.Reizniece</w:t>
      </w:r>
      <w:proofErr w:type="spellEnd"/>
      <w:r>
        <w:rPr>
          <w:color w:val="000000"/>
        </w:rPr>
        <w:t>-Ozola</w:t>
      </w:r>
    </w:p>
    <w:p w14:paraId="77821B97" w14:textId="77777777" w:rsidR="004C354D" w:rsidRDefault="004C354D" w:rsidP="004C354D">
      <w:pPr>
        <w:tabs>
          <w:tab w:val="left" w:pos="709"/>
          <w:tab w:val="left" w:pos="6521"/>
          <w:tab w:val="left" w:pos="6804"/>
          <w:tab w:val="left" w:pos="7938"/>
        </w:tabs>
        <w:ind w:right="26"/>
        <w:jc w:val="both"/>
      </w:pPr>
    </w:p>
    <w:p w14:paraId="5569705B" w14:textId="77777777" w:rsidR="00504DE1" w:rsidRDefault="00504DE1" w:rsidP="004C354D">
      <w:pPr>
        <w:tabs>
          <w:tab w:val="left" w:pos="709"/>
          <w:tab w:val="left" w:pos="6521"/>
          <w:tab w:val="left" w:pos="6804"/>
          <w:tab w:val="left" w:pos="7938"/>
        </w:tabs>
        <w:ind w:right="26"/>
        <w:jc w:val="both"/>
      </w:pPr>
    </w:p>
    <w:p w14:paraId="6C9CCE98" w14:textId="77777777" w:rsidR="004C354D" w:rsidRDefault="004C354D" w:rsidP="004C354D">
      <w:pPr>
        <w:ind w:right="-335"/>
      </w:pPr>
    </w:p>
    <w:p w14:paraId="56AE819F" w14:textId="77777777" w:rsidR="00504DE1" w:rsidRDefault="00504DE1" w:rsidP="004C354D">
      <w:pPr>
        <w:ind w:right="-335"/>
      </w:pPr>
    </w:p>
    <w:p w14:paraId="7FAF99E2" w14:textId="77777777" w:rsidR="00504DE1" w:rsidRDefault="00504DE1" w:rsidP="004C354D">
      <w:pPr>
        <w:ind w:right="-335"/>
      </w:pPr>
    </w:p>
    <w:p w14:paraId="0EAF6D3D" w14:textId="77777777" w:rsidR="00504DE1" w:rsidRDefault="00504DE1" w:rsidP="004C354D">
      <w:pPr>
        <w:ind w:right="-335"/>
      </w:pPr>
    </w:p>
    <w:p w14:paraId="3460DFA2" w14:textId="77777777" w:rsidR="00504DE1" w:rsidRPr="00504DE1" w:rsidRDefault="00504DE1" w:rsidP="00504DE1">
      <w:pPr>
        <w:rPr>
          <w:sz w:val="20"/>
          <w:szCs w:val="20"/>
        </w:rPr>
      </w:pPr>
      <w:proofErr w:type="spellStart"/>
      <w:r w:rsidRPr="00504DE1">
        <w:rPr>
          <w:sz w:val="20"/>
          <w:szCs w:val="20"/>
        </w:rPr>
        <w:t>J.Jenuševskis</w:t>
      </w:r>
      <w:proofErr w:type="spellEnd"/>
      <w:r w:rsidRPr="00504DE1">
        <w:rPr>
          <w:sz w:val="20"/>
          <w:szCs w:val="20"/>
        </w:rPr>
        <w:t>, 67095478</w:t>
      </w:r>
    </w:p>
    <w:p w14:paraId="03700EA4" w14:textId="77777777" w:rsidR="00504DE1" w:rsidRPr="00504DE1" w:rsidRDefault="00644B39" w:rsidP="00504DE1">
      <w:pPr>
        <w:rPr>
          <w:sz w:val="20"/>
          <w:szCs w:val="20"/>
        </w:rPr>
      </w:pPr>
      <w:hyperlink r:id="rId8" w:history="1">
        <w:r w:rsidR="00504DE1" w:rsidRPr="00504DE1">
          <w:rPr>
            <w:rStyle w:val="Hyperlink"/>
            <w:sz w:val="20"/>
            <w:szCs w:val="20"/>
          </w:rPr>
          <w:t>jurijs.jenusevskis@fm.gov.lv</w:t>
        </w:r>
      </w:hyperlink>
    </w:p>
    <w:p w14:paraId="7CEE534F" w14:textId="77777777" w:rsidR="00504896" w:rsidRDefault="00504896"/>
    <w:sectPr w:rsidR="00504896" w:rsidSect="00C4470C">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D103" w14:textId="77777777" w:rsidR="007F18B1" w:rsidRDefault="007F18B1" w:rsidP="007F18B1">
      <w:r>
        <w:separator/>
      </w:r>
    </w:p>
  </w:endnote>
  <w:endnote w:type="continuationSeparator" w:id="0">
    <w:p w14:paraId="67616165" w14:textId="77777777" w:rsidR="007F18B1" w:rsidRDefault="007F18B1" w:rsidP="007F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8507" w14:textId="16E5020A" w:rsidR="007F18B1" w:rsidRPr="007F18B1" w:rsidRDefault="007F18B1" w:rsidP="007F18B1">
    <w:pPr>
      <w:pStyle w:val="Footer"/>
      <w:jc w:val="both"/>
      <w:rPr>
        <w:sz w:val="20"/>
      </w:rPr>
    </w:pPr>
    <w:r w:rsidRPr="007F18B1">
      <w:rPr>
        <w:sz w:val="20"/>
      </w:rPr>
      <w:fldChar w:fldCharType="begin"/>
    </w:r>
    <w:r w:rsidRPr="007F18B1">
      <w:rPr>
        <w:sz w:val="20"/>
      </w:rPr>
      <w:instrText xml:space="preserve"> FILENAME   \* MERGEFORMAT </w:instrText>
    </w:r>
    <w:r w:rsidRPr="007F18B1">
      <w:rPr>
        <w:sz w:val="20"/>
      </w:rPr>
      <w:fldChar w:fldCharType="separate"/>
    </w:r>
    <w:r w:rsidR="00650699">
      <w:rPr>
        <w:noProof/>
        <w:sz w:val="20"/>
      </w:rPr>
      <w:t>FMAnot_06062017_groz_MKNot_759.docx</w:t>
    </w:r>
    <w:r w:rsidRPr="007F18B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0E39" w14:textId="77777777" w:rsidR="007F18B1" w:rsidRDefault="007F18B1" w:rsidP="007F18B1">
      <w:r>
        <w:separator/>
      </w:r>
    </w:p>
  </w:footnote>
  <w:footnote w:type="continuationSeparator" w:id="0">
    <w:p w14:paraId="4CF063EE" w14:textId="77777777" w:rsidR="007F18B1" w:rsidRDefault="007F18B1" w:rsidP="007F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4763"/>
    <w:multiLevelType w:val="hybridMultilevel"/>
    <w:tmpl w:val="8BC226D4"/>
    <w:lvl w:ilvl="0" w:tplc="E2927666">
      <w:numFmt w:val="bullet"/>
      <w:lvlText w:val="-"/>
      <w:lvlJc w:val="left"/>
      <w:pPr>
        <w:ind w:left="708" w:hanging="360"/>
      </w:pPr>
      <w:rPr>
        <w:rFonts w:ascii="Times New Roman" w:eastAsia="Times New Roman" w:hAnsi="Times New Roman" w:cs="Times New Roman" w:hint="default"/>
      </w:rPr>
    </w:lvl>
    <w:lvl w:ilvl="1" w:tplc="04260003" w:tentative="1">
      <w:start w:val="1"/>
      <w:numFmt w:val="bullet"/>
      <w:lvlText w:val="o"/>
      <w:lvlJc w:val="left"/>
      <w:pPr>
        <w:ind w:left="1428" w:hanging="360"/>
      </w:pPr>
      <w:rPr>
        <w:rFonts w:ascii="Courier New" w:hAnsi="Courier New" w:cs="Courier New" w:hint="default"/>
      </w:rPr>
    </w:lvl>
    <w:lvl w:ilvl="2" w:tplc="04260005" w:tentative="1">
      <w:start w:val="1"/>
      <w:numFmt w:val="bullet"/>
      <w:lvlText w:val=""/>
      <w:lvlJc w:val="left"/>
      <w:pPr>
        <w:ind w:left="2148" w:hanging="360"/>
      </w:pPr>
      <w:rPr>
        <w:rFonts w:ascii="Wingdings" w:hAnsi="Wingdings" w:hint="default"/>
      </w:rPr>
    </w:lvl>
    <w:lvl w:ilvl="3" w:tplc="04260001" w:tentative="1">
      <w:start w:val="1"/>
      <w:numFmt w:val="bullet"/>
      <w:lvlText w:val=""/>
      <w:lvlJc w:val="left"/>
      <w:pPr>
        <w:ind w:left="2868" w:hanging="360"/>
      </w:pPr>
      <w:rPr>
        <w:rFonts w:ascii="Symbol" w:hAnsi="Symbol" w:hint="default"/>
      </w:rPr>
    </w:lvl>
    <w:lvl w:ilvl="4" w:tplc="04260003" w:tentative="1">
      <w:start w:val="1"/>
      <w:numFmt w:val="bullet"/>
      <w:lvlText w:val="o"/>
      <w:lvlJc w:val="left"/>
      <w:pPr>
        <w:ind w:left="3588" w:hanging="360"/>
      </w:pPr>
      <w:rPr>
        <w:rFonts w:ascii="Courier New" w:hAnsi="Courier New" w:cs="Courier New" w:hint="default"/>
      </w:rPr>
    </w:lvl>
    <w:lvl w:ilvl="5" w:tplc="04260005" w:tentative="1">
      <w:start w:val="1"/>
      <w:numFmt w:val="bullet"/>
      <w:lvlText w:val=""/>
      <w:lvlJc w:val="left"/>
      <w:pPr>
        <w:ind w:left="4308" w:hanging="360"/>
      </w:pPr>
      <w:rPr>
        <w:rFonts w:ascii="Wingdings" w:hAnsi="Wingdings" w:hint="default"/>
      </w:rPr>
    </w:lvl>
    <w:lvl w:ilvl="6" w:tplc="04260001" w:tentative="1">
      <w:start w:val="1"/>
      <w:numFmt w:val="bullet"/>
      <w:lvlText w:val=""/>
      <w:lvlJc w:val="left"/>
      <w:pPr>
        <w:ind w:left="5028" w:hanging="360"/>
      </w:pPr>
      <w:rPr>
        <w:rFonts w:ascii="Symbol" w:hAnsi="Symbol" w:hint="default"/>
      </w:rPr>
    </w:lvl>
    <w:lvl w:ilvl="7" w:tplc="04260003" w:tentative="1">
      <w:start w:val="1"/>
      <w:numFmt w:val="bullet"/>
      <w:lvlText w:val="o"/>
      <w:lvlJc w:val="left"/>
      <w:pPr>
        <w:ind w:left="5748" w:hanging="360"/>
      </w:pPr>
      <w:rPr>
        <w:rFonts w:ascii="Courier New" w:hAnsi="Courier New" w:cs="Courier New" w:hint="default"/>
      </w:rPr>
    </w:lvl>
    <w:lvl w:ilvl="8" w:tplc="0426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4D"/>
    <w:rsid w:val="000802EA"/>
    <w:rsid w:val="000A3E27"/>
    <w:rsid w:val="000D39BB"/>
    <w:rsid w:val="0015028F"/>
    <w:rsid w:val="00181101"/>
    <w:rsid w:val="00247EAB"/>
    <w:rsid w:val="00264E6B"/>
    <w:rsid w:val="00324863"/>
    <w:rsid w:val="004170C4"/>
    <w:rsid w:val="004535D3"/>
    <w:rsid w:val="004626C6"/>
    <w:rsid w:val="004757A4"/>
    <w:rsid w:val="00477FFC"/>
    <w:rsid w:val="00482584"/>
    <w:rsid w:val="004A4215"/>
    <w:rsid w:val="004C354D"/>
    <w:rsid w:val="004D6183"/>
    <w:rsid w:val="00504896"/>
    <w:rsid w:val="00504DE1"/>
    <w:rsid w:val="005379EE"/>
    <w:rsid w:val="00537A0C"/>
    <w:rsid w:val="00644B39"/>
    <w:rsid w:val="00650699"/>
    <w:rsid w:val="0068083F"/>
    <w:rsid w:val="007A34BA"/>
    <w:rsid w:val="007F18B1"/>
    <w:rsid w:val="00811545"/>
    <w:rsid w:val="008444A1"/>
    <w:rsid w:val="00885198"/>
    <w:rsid w:val="008A0820"/>
    <w:rsid w:val="008B61A7"/>
    <w:rsid w:val="008E1629"/>
    <w:rsid w:val="009C666C"/>
    <w:rsid w:val="00A43288"/>
    <w:rsid w:val="00AA797F"/>
    <w:rsid w:val="00AC78D6"/>
    <w:rsid w:val="00B918BB"/>
    <w:rsid w:val="00B94794"/>
    <w:rsid w:val="00B97579"/>
    <w:rsid w:val="00BD16F5"/>
    <w:rsid w:val="00C0223B"/>
    <w:rsid w:val="00C4470C"/>
    <w:rsid w:val="00C72AC7"/>
    <w:rsid w:val="00D72499"/>
    <w:rsid w:val="00D866FF"/>
    <w:rsid w:val="00D96BFB"/>
    <w:rsid w:val="00D9702F"/>
    <w:rsid w:val="00DA0527"/>
    <w:rsid w:val="00EA6D5D"/>
    <w:rsid w:val="00F55823"/>
    <w:rsid w:val="00FF2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3693"/>
  <w15:chartTrackingRefBased/>
  <w15:docId w15:val="{33D9142F-254B-4B0A-9652-9A3E4D4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4D"/>
    <w:rPr>
      <w:rFonts w:eastAsia="Times New Roman" w:cs="Times New Roman"/>
      <w:szCs w:val="24"/>
      <w:lang w:eastAsia="lv-LV"/>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paragraph" w:customStyle="1" w:styleId="naislab">
    <w:name w:val="naislab"/>
    <w:basedOn w:val="Normal"/>
    <w:uiPriority w:val="99"/>
    <w:rsid w:val="004C354D"/>
    <w:pPr>
      <w:spacing w:before="75" w:after="75"/>
      <w:jc w:val="right"/>
    </w:pPr>
  </w:style>
  <w:style w:type="paragraph" w:customStyle="1" w:styleId="naisf">
    <w:name w:val="naisf"/>
    <w:basedOn w:val="Normal"/>
    <w:uiPriority w:val="99"/>
    <w:rsid w:val="004C354D"/>
    <w:pPr>
      <w:spacing w:before="100" w:beforeAutospacing="1" w:after="100" w:afterAutospacing="1"/>
    </w:pPr>
  </w:style>
  <w:style w:type="paragraph" w:customStyle="1" w:styleId="naisnod">
    <w:name w:val="naisnod"/>
    <w:basedOn w:val="Normal"/>
    <w:uiPriority w:val="99"/>
    <w:rsid w:val="004C354D"/>
    <w:pPr>
      <w:spacing w:before="100" w:beforeAutospacing="1" w:after="100" w:afterAutospacing="1"/>
    </w:pPr>
  </w:style>
  <w:style w:type="paragraph" w:customStyle="1" w:styleId="naiskr">
    <w:name w:val="naiskr"/>
    <w:basedOn w:val="Normal"/>
    <w:uiPriority w:val="99"/>
    <w:rsid w:val="004C354D"/>
    <w:pPr>
      <w:spacing w:before="100" w:beforeAutospacing="1" w:after="100" w:afterAutospacing="1"/>
    </w:pPr>
  </w:style>
  <w:style w:type="character" w:styleId="Hyperlink">
    <w:name w:val="Hyperlink"/>
    <w:basedOn w:val="DefaultParagraphFont"/>
    <w:uiPriority w:val="99"/>
    <w:rsid w:val="004C354D"/>
    <w:rPr>
      <w:rFonts w:ascii="Times New Roman" w:hAnsi="Times New Roman" w:cs="Times New Roman"/>
      <w:color w:val="0000FF"/>
      <w:u w:val="single"/>
    </w:rPr>
  </w:style>
  <w:style w:type="paragraph" w:customStyle="1" w:styleId="Default">
    <w:name w:val="Default"/>
    <w:rsid w:val="004C354D"/>
    <w:pPr>
      <w:autoSpaceDE w:val="0"/>
      <w:autoSpaceDN w:val="0"/>
      <w:adjustRightInd w:val="0"/>
    </w:pPr>
    <w:rPr>
      <w:rFonts w:ascii="EUAlbertina" w:eastAsia="Times New Roman" w:hAnsi="EUAlbertina" w:cs="EUAlbertina"/>
      <w:color w:val="000000"/>
      <w:szCs w:val="24"/>
      <w:lang w:eastAsia="lv-LV"/>
    </w:rPr>
  </w:style>
  <w:style w:type="table" w:styleId="TableGrid">
    <w:name w:val="Table Grid"/>
    <w:basedOn w:val="TableNormal"/>
    <w:rsid w:val="004C354D"/>
    <w:rPr>
      <w:rFonts w:eastAsia="Times New Roman"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54D"/>
    <w:pPr>
      <w:spacing w:after="200" w:line="276" w:lineRule="auto"/>
      <w:ind w:left="720"/>
      <w:contextualSpacing/>
    </w:pPr>
    <w:rPr>
      <w:rFonts w:ascii="Calibri" w:hAnsi="Calibri"/>
      <w:sz w:val="22"/>
      <w:szCs w:val="22"/>
      <w:lang w:eastAsia="en-US"/>
    </w:rPr>
  </w:style>
  <w:style w:type="character" w:styleId="FollowedHyperlink">
    <w:name w:val="FollowedHyperlink"/>
    <w:basedOn w:val="DefaultParagraphFont"/>
    <w:uiPriority w:val="99"/>
    <w:semiHidden/>
    <w:unhideWhenUsed/>
    <w:rsid w:val="00264E6B"/>
    <w:rPr>
      <w:color w:val="954F72" w:themeColor="followedHyperlink"/>
      <w:u w:val="single"/>
    </w:rPr>
  </w:style>
  <w:style w:type="character" w:styleId="CommentReference">
    <w:name w:val="annotation reference"/>
    <w:basedOn w:val="DefaultParagraphFont"/>
    <w:uiPriority w:val="99"/>
    <w:semiHidden/>
    <w:unhideWhenUsed/>
    <w:rsid w:val="008E1629"/>
    <w:rPr>
      <w:sz w:val="16"/>
      <w:szCs w:val="16"/>
    </w:rPr>
  </w:style>
  <w:style w:type="paragraph" w:styleId="CommentText">
    <w:name w:val="annotation text"/>
    <w:basedOn w:val="Normal"/>
    <w:link w:val="CommentTextChar"/>
    <w:uiPriority w:val="99"/>
    <w:semiHidden/>
    <w:unhideWhenUsed/>
    <w:rsid w:val="008E1629"/>
    <w:rPr>
      <w:sz w:val="20"/>
      <w:szCs w:val="20"/>
    </w:rPr>
  </w:style>
  <w:style w:type="character" w:customStyle="1" w:styleId="CommentTextChar">
    <w:name w:val="Comment Text Char"/>
    <w:basedOn w:val="DefaultParagraphFont"/>
    <w:link w:val="CommentText"/>
    <w:uiPriority w:val="99"/>
    <w:semiHidden/>
    <w:rsid w:val="008E162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1629"/>
    <w:rPr>
      <w:b/>
      <w:bCs/>
    </w:rPr>
  </w:style>
  <w:style w:type="character" w:customStyle="1" w:styleId="CommentSubjectChar">
    <w:name w:val="Comment Subject Char"/>
    <w:basedOn w:val="CommentTextChar"/>
    <w:link w:val="CommentSubject"/>
    <w:uiPriority w:val="99"/>
    <w:semiHidden/>
    <w:rsid w:val="008E1629"/>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8E1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29"/>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F18B1"/>
    <w:pPr>
      <w:tabs>
        <w:tab w:val="center" w:pos="4153"/>
        <w:tab w:val="right" w:pos="8306"/>
      </w:tabs>
    </w:pPr>
  </w:style>
  <w:style w:type="character" w:customStyle="1" w:styleId="HeaderChar">
    <w:name w:val="Header Char"/>
    <w:basedOn w:val="DefaultParagraphFont"/>
    <w:link w:val="Header"/>
    <w:uiPriority w:val="99"/>
    <w:rsid w:val="007F18B1"/>
    <w:rPr>
      <w:rFonts w:eastAsia="Times New Roman" w:cs="Times New Roman"/>
      <w:szCs w:val="24"/>
      <w:lang w:eastAsia="lv-LV"/>
    </w:rPr>
  </w:style>
  <w:style w:type="paragraph" w:styleId="Footer">
    <w:name w:val="footer"/>
    <w:basedOn w:val="Normal"/>
    <w:link w:val="FooterChar"/>
    <w:uiPriority w:val="99"/>
    <w:unhideWhenUsed/>
    <w:rsid w:val="007F18B1"/>
    <w:pPr>
      <w:tabs>
        <w:tab w:val="center" w:pos="4153"/>
        <w:tab w:val="right" w:pos="8306"/>
      </w:tabs>
    </w:pPr>
  </w:style>
  <w:style w:type="character" w:customStyle="1" w:styleId="FooterChar">
    <w:name w:val="Footer Char"/>
    <w:basedOn w:val="DefaultParagraphFont"/>
    <w:link w:val="Footer"/>
    <w:uiPriority w:val="99"/>
    <w:rsid w:val="007F18B1"/>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jenusevskis@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3FA1-E17C-44F1-80DC-CBAEAF48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4158</Words>
  <Characters>2371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16.decembra noteikumos Nr.759 “Kārtība, kādā Eiropas Komisijā iesniedz atbalsta programmu un individuālo atbalsta projektu paziņojumus un kopsavilkuma informāciju, un kārtība, kād</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dc:title>
  <dc:subject>Noteikumu projekts</dc:subject>
  <dc:creator>Jurijs Jenuševskis</dc:creator>
  <cp:keywords>Anotācija</cp:keywords>
  <dc:description>67095478, jurijs.jenusevskis@fm.gov.lv</dc:description>
  <cp:lastModifiedBy>Jurijs Jenuševskis</cp:lastModifiedBy>
  <cp:revision>23</cp:revision>
  <cp:lastPrinted>2017-06-08T13:37:00Z</cp:lastPrinted>
  <dcterms:created xsi:type="dcterms:W3CDTF">2017-03-06T15:12:00Z</dcterms:created>
  <dcterms:modified xsi:type="dcterms:W3CDTF">2017-06-12T09:11:00Z</dcterms:modified>
  <cp:category>Anotācija</cp:category>
  <cp:contentStatus>Pabeigts</cp:contentStatus>
</cp:coreProperties>
</file>