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8B8" w:rsidRPr="0097439B" w:rsidRDefault="00752840" w:rsidP="00D3660C">
      <w:pPr>
        <w:pStyle w:val="naisf"/>
        <w:spacing w:before="0" w:after="0"/>
        <w:ind w:firstLine="0"/>
        <w:jc w:val="center"/>
        <w:rPr>
          <w:rFonts w:eastAsia="Calibri"/>
          <w:b/>
          <w:bCs/>
          <w:color w:val="000000" w:themeColor="text1"/>
          <w:sz w:val="28"/>
          <w:szCs w:val="28"/>
          <w:lang w:eastAsia="x-none"/>
        </w:rPr>
      </w:pPr>
      <w:r w:rsidRPr="0097439B">
        <w:rPr>
          <w:rFonts w:eastAsia="Calibri"/>
          <w:b/>
          <w:bCs/>
          <w:color w:val="000000" w:themeColor="text1"/>
          <w:sz w:val="28"/>
          <w:szCs w:val="28"/>
          <w:lang w:eastAsia="x-none"/>
        </w:rPr>
        <w:t>Likumprojekta “</w:t>
      </w:r>
      <w:r w:rsidR="00B45B73" w:rsidRPr="0097439B">
        <w:rPr>
          <w:rFonts w:eastAsia="Calibri"/>
          <w:b/>
          <w:bCs/>
          <w:color w:val="000000" w:themeColor="text1"/>
          <w:sz w:val="28"/>
          <w:szCs w:val="28"/>
          <w:lang w:eastAsia="x-none"/>
        </w:rPr>
        <w:t>Grozījumi Solidaritātes nodokļa likumā”</w:t>
      </w:r>
      <w:r w:rsidR="00DC1A95" w:rsidRPr="0097439B">
        <w:rPr>
          <w:rFonts w:eastAsia="Calibri"/>
          <w:b/>
          <w:bCs/>
          <w:color w:val="000000" w:themeColor="text1"/>
          <w:sz w:val="28"/>
          <w:szCs w:val="28"/>
          <w:lang w:eastAsia="x-none"/>
        </w:rPr>
        <w:t xml:space="preserve"> </w:t>
      </w:r>
      <w:r w:rsidR="008078B8" w:rsidRPr="0097439B">
        <w:rPr>
          <w:rFonts w:eastAsia="Calibri"/>
          <w:b/>
          <w:bCs/>
          <w:color w:val="000000" w:themeColor="text1"/>
          <w:sz w:val="28"/>
          <w:szCs w:val="28"/>
          <w:lang w:eastAsia="x-none"/>
        </w:rPr>
        <w:t>sākotnējās ietekmes novērtējuma ziņojums (anotācija)</w:t>
      </w:r>
    </w:p>
    <w:p w:rsidR="0092720E" w:rsidRPr="0097439B" w:rsidRDefault="0092720E" w:rsidP="00D3660C">
      <w:pPr>
        <w:pStyle w:val="naisf"/>
        <w:spacing w:before="0" w:after="0"/>
        <w:ind w:firstLine="0"/>
        <w:jc w:val="center"/>
        <w:rPr>
          <w:color w:val="000000" w:themeColor="text1"/>
          <w:sz w:val="28"/>
          <w:szCs w:val="28"/>
        </w:rPr>
      </w:pPr>
    </w:p>
    <w:tbl>
      <w:tblPr>
        <w:tblStyle w:val="TableGrid"/>
        <w:tblW w:w="9351" w:type="dxa"/>
        <w:tblLook w:val="04A0" w:firstRow="1" w:lastRow="0" w:firstColumn="1" w:lastColumn="0" w:noHBand="0" w:noVBand="1"/>
      </w:tblPr>
      <w:tblGrid>
        <w:gridCol w:w="396"/>
        <w:gridCol w:w="2122"/>
        <w:gridCol w:w="6833"/>
      </w:tblGrid>
      <w:tr w:rsidR="00E478AF" w:rsidRPr="0097439B" w:rsidTr="00BB56B7">
        <w:tc>
          <w:tcPr>
            <w:tcW w:w="9351" w:type="dxa"/>
            <w:gridSpan w:val="3"/>
          </w:tcPr>
          <w:p w:rsidR="0069437E" w:rsidRPr="0097439B" w:rsidRDefault="0069437E" w:rsidP="00F22B6A">
            <w:pPr>
              <w:pStyle w:val="naisf"/>
              <w:spacing w:before="0" w:after="0"/>
              <w:ind w:firstLine="0"/>
              <w:jc w:val="center"/>
              <w:rPr>
                <w:rFonts w:ascii="Times New Roman" w:hAnsi="Times New Roman"/>
                <w:b/>
                <w:color w:val="000000" w:themeColor="text1"/>
              </w:rPr>
            </w:pPr>
            <w:r w:rsidRPr="0097439B">
              <w:rPr>
                <w:rFonts w:ascii="Times New Roman" w:hAnsi="Times New Roman"/>
                <w:b/>
                <w:color w:val="000000" w:themeColor="text1"/>
              </w:rPr>
              <w:t>I. Tiesību akta projekta izstrādes nepieciešamība</w:t>
            </w:r>
          </w:p>
        </w:tc>
      </w:tr>
      <w:tr w:rsidR="00E478AF" w:rsidRPr="0097439B" w:rsidTr="00D91385">
        <w:tc>
          <w:tcPr>
            <w:tcW w:w="396" w:type="dxa"/>
          </w:tcPr>
          <w:p w:rsidR="0069437E" w:rsidRPr="0097439B" w:rsidRDefault="0069437E" w:rsidP="00F22B6A">
            <w:pPr>
              <w:pStyle w:val="naisf"/>
              <w:spacing w:before="0" w:after="0"/>
              <w:ind w:firstLine="0"/>
              <w:jc w:val="center"/>
              <w:rPr>
                <w:rFonts w:ascii="Times New Roman" w:hAnsi="Times New Roman"/>
                <w:color w:val="000000" w:themeColor="text1"/>
              </w:rPr>
            </w:pPr>
            <w:r w:rsidRPr="0097439B">
              <w:rPr>
                <w:rFonts w:ascii="Times New Roman" w:hAnsi="Times New Roman"/>
                <w:color w:val="000000" w:themeColor="text1"/>
              </w:rPr>
              <w:t>1.</w:t>
            </w:r>
          </w:p>
        </w:tc>
        <w:tc>
          <w:tcPr>
            <w:tcW w:w="2122" w:type="dxa"/>
          </w:tcPr>
          <w:p w:rsidR="0069437E" w:rsidRPr="0097439B" w:rsidRDefault="0069437E" w:rsidP="0069437E">
            <w:pPr>
              <w:pStyle w:val="naisf"/>
              <w:spacing w:before="0" w:after="0"/>
              <w:ind w:firstLine="0"/>
              <w:jc w:val="left"/>
              <w:rPr>
                <w:rFonts w:ascii="Times New Roman" w:hAnsi="Times New Roman"/>
                <w:color w:val="000000" w:themeColor="text1"/>
              </w:rPr>
            </w:pPr>
            <w:r w:rsidRPr="0097439B">
              <w:rPr>
                <w:rFonts w:ascii="Times New Roman" w:hAnsi="Times New Roman"/>
                <w:color w:val="000000" w:themeColor="text1"/>
              </w:rPr>
              <w:t>Pamatojums</w:t>
            </w:r>
          </w:p>
        </w:tc>
        <w:tc>
          <w:tcPr>
            <w:tcW w:w="6833" w:type="dxa"/>
          </w:tcPr>
          <w:p w:rsidR="0069437E" w:rsidRPr="0097439B" w:rsidRDefault="005025DE" w:rsidP="005025DE">
            <w:pPr>
              <w:pStyle w:val="naisf"/>
              <w:spacing w:before="0" w:after="0"/>
              <w:ind w:firstLine="0"/>
              <w:rPr>
                <w:rFonts w:ascii="Times New Roman" w:hAnsi="Times New Roman"/>
                <w:color w:val="000000" w:themeColor="text1"/>
              </w:rPr>
            </w:pPr>
            <w:r w:rsidRPr="0097439B">
              <w:rPr>
                <w:rFonts w:ascii="Times New Roman" w:hAnsi="Times New Roman"/>
                <w:color w:val="000000" w:themeColor="text1"/>
              </w:rPr>
              <w:t xml:space="preserve">Koalīcijas sadarbības padomes </w:t>
            </w:r>
            <w:r w:rsidR="00B96E3B" w:rsidRPr="0097439B">
              <w:rPr>
                <w:rFonts w:ascii="Times New Roman" w:hAnsi="Times New Roman"/>
                <w:color w:val="000000" w:themeColor="text1"/>
              </w:rPr>
              <w:t xml:space="preserve">2017.gada </w:t>
            </w:r>
            <w:r w:rsidR="006A0176" w:rsidRPr="0097439B">
              <w:rPr>
                <w:rFonts w:ascii="Times New Roman" w:hAnsi="Times New Roman"/>
                <w:color w:val="000000" w:themeColor="text1"/>
              </w:rPr>
              <w:t>26</w:t>
            </w:r>
            <w:r w:rsidR="00B96E3B" w:rsidRPr="0097439B">
              <w:rPr>
                <w:rFonts w:ascii="Times New Roman" w:hAnsi="Times New Roman"/>
                <w:color w:val="000000" w:themeColor="text1"/>
              </w:rPr>
              <w:t xml:space="preserve">.jūnija </w:t>
            </w:r>
            <w:r w:rsidR="00C47E18" w:rsidRPr="0097439B">
              <w:rPr>
                <w:rFonts w:ascii="Times New Roman" w:hAnsi="Times New Roman"/>
                <w:color w:val="000000" w:themeColor="text1"/>
              </w:rPr>
              <w:t xml:space="preserve">un 3.jūlija </w:t>
            </w:r>
            <w:r w:rsidRPr="0097439B">
              <w:rPr>
                <w:rFonts w:ascii="Times New Roman" w:hAnsi="Times New Roman"/>
                <w:color w:val="000000" w:themeColor="text1"/>
              </w:rPr>
              <w:t>lēmums par</w:t>
            </w:r>
            <w:r w:rsidR="00770E1A" w:rsidRPr="0097439B">
              <w:rPr>
                <w:rFonts w:ascii="Times New Roman" w:hAnsi="Times New Roman"/>
                <w:color w:val="000000" w:themeColor="text1"/>
              </w:rPr>
              <w:t xml:space="preserve"> </w:t>
            </w:r>
            <w:r w:rsidR="00854AC6" w:rsidRPr="0097439B">
              <w:rPr>
                <w:rFonts w:ascii="Times New Roman" w:hAnsi="Times New Roman"/>
                <w:color w:val="000000" w:themeColor="text1"/>
              </w:rPr>
              <w:t>solidaritātes</w:t>
            </w:r>
            <w:r w:rsidR="00770E1A" w:rsidRPr="0097439B">
              <w:rPr>
                <w:rFonts w:ascii="Times New Roman" w:hAnsi="Times New Roman"/>
                <w:color w:val="000000" w:themeColor="text1"/>
              </w:rPr>
              <w:t xml:space="preserve"> nodok</w:t>
            </w:r>
            <w:r w:rsidRPr="0097439B">
              <w:rPr>
                <w:rFonts w:ascii="Times New Roman" w:hAnsi="Times New Roman"/>
                <w:color w:val="000000" w:themeColor="text1"/>
              </w:rPr>
              <w:t>ļa</w:t>
            </w:r>
            <w:r w:rsidR="00854AC6" w:rsidRPr="0097439B">
              <w:rPr>
                <w:rFonts w:ascii="Times New Roman" w:hAnsi="Times New Roman"/>
                <w:color w:val="000000" w:themeColor="text1"/>
              </w:rPr>
              <w:t xml:space="preserve"> </w:t>
            </w:r>
            <w:r w:rsidRPr="0097439B">
              <w:rPr>
                <w:rFonts w:ascii="Times New Roman" w:hAnsi="Times New Roman"/>
                <w:color w:val="000000" w:themeColor="text1"/>
              </w:rPr>
              <w:t xml:space="preserve">transformēšanu, sākot </w:t>
            </w:r>
            <w:r w:rsidR="00854AC6" w:rsidRPr="0097439B">
              <w:rPr>
                <w:rFonts w:ascii="Times New Roman" w:hAnsi="Times New Roman"/>
                <w:color w:val="000000" w:themeColor="text1"/>
              </w:rPr>
              <w:t>ar 2018.gadu</w:t>
            </w:r>
            <w:r w:rsidR="00770E1A" w:rsidRPr="0097439B">
              <w:rPr>
                <w:rFonts w:ascii="Times New Roman" w:hAnsi="Times New Roman"/>
                <w:color w:val="000000" w:themeColor="text1"/>
              </w:rPr>
              <w:t>.</w:t>
            </w:r>
          </w:p>
        </w:tc>
      </w:tr>
      <w:tr w:rsidR="00E478AF" w:rsidRPr="0097439B" w:rsidTr="00D91385">
        <w:tc>
          <w:tcPr>
            <w:tcW w:w="396" w:type="dxa"/>
          </w:tcPr>
          <w:p w:rsidR="0069437E" w:rsidRPr="0097439B" w:rsidRDefault="0069437E" w:rsidP="00F22B6A">
            <w:pPr>
              <w:pStyle w:val="naisf"/>
              <w:spacing w:before="0" w:after="0"/>
              <w:ind w:firstLine="0"/>
              <w:jc w:val="center"/>
              <w:rPr>
                <w:rFonts w:ascii="Times New Roman" w:hAnsi="Times New Roman"/>
                <w:color w:val="000000" w:themeColor="text1"/>
              </w:rPr>
            </w:pPr>
            <w:r w:rsidRPr="0097439B">
              <w:rPr>
                <w:rFonts w:ascii="Times New Roman" w:hAnsi="Times New Roman"/>
                <w:color w:val="000000" w:themeColor="text1"/>
              </w:rPr>
              <w:t>2.</w:t>
            </w:r>
          </w:p>
        </w:tc>
        <w:tc>
          <w:tcPr>
            <w:tcW w:w="2122" w:type="dxa"/>
          </w:tcPr>
          <w:p w:rsidR="0069437E" w:rsidRPr="0097439B" w:rsidRDefault="0069437E" w:rsidP="0069437E">
            <w:pPr>
              <w:pStyle w:val="naisf"/>
              <w:spacing w:before="0" w:after="0"/>
              <w:ind w:firstLine="0"/>
              <w:jc w:val="left"/>
              <w:rPr>
                <w:rFonts w:ascii="Times New Roman" w:hAnsi="Times New Roman"/>
                <w:color w:val="000000" w:themeColor="text1"/>
              </w:rPr>
            </w:pPr>
            <w:r w:rsidRPr="0097439B">
              <w:rPr>
                <w:rFonts w:ascii="Times New Roman" w:hAnsi="Times New Roman"/>
                <w:color w:val="000000" w:themeColor="text1"/>
              </w:rPr>
              <w:t>Pašreizējā situācija un problēmas, kuru risināšanai tiesību akta projekts izstrādāts, tiesiskā regulējuma mērķis un būtība</w:t>
            </w:r>
          </w:p>
        </w:tc>
        <w:tc>
          <w:tcPr>
            <w:tcW w:w="6833" w:type="dxa"/>
            <w:shd w:val="clear" w:color="auto" w:fill="auto"/>
          </w:tcPr>
          <w:p w:rsidR="00854AC6" w:rsidRPr="0097439B" w:rsidRDefault="00854AC6" w:rsidP="000A538C">
            <w:pPr>
              <w:jc w:val="both"/>
              <w:rPr>
                <w:rFonts w:ascii="Times New Roman" w:hAnsi="Times New Roman"/>
                <w:color w:val="000000" w:themeColor="text1"/>
                <w:spacing w:val="-2"/>
              </w:rPr>
            </w:pPr>
            <w:r w:rsidRPr="0097439B">
              <w:rPr>
                <w:rFonts w:ascii="Times New Roman" w:hAnsi="Times New Roman"/>
                <w:color w:val="000000" w:themeColor="text1"/>
                <w:spacing w:val="-2"/>
              </w:rPr>
              <w:t xml:space="preserve">Solidaritātes nodokļa likums pieņemts 2015.gada </w:t>
            </w:r>
            <w:r w:rsidR="00E21DDF" w:rsidRPr="0097439B">
              <w:rPr>
                <w:rFonts w:ascii="Times New Roman" w:hAnsi="Times New Roman"/>
                <w:color w:val="000000" w:themeColor="text1"/>
                <w:spacing w:val="-2"/>
              </w:rPr>
              <w:t>30</w:t>
            </w:r>
            <w:r w:rsidRPr="0097439B">
              <w:rPr>
                <w:rFonts w:ascii="Times New Roman" w:hAnsi="Times New Roman"/>
                <w:color w:val="000000" w:themeColor="text1"/>
                <w:spacing w:val="-2"/>
              </w:rPr>
              <w:t xml:space="preserve">.novembrī un ir spēkā no 2016.gada 1.janvāra. </w:t>
            </w:r>
            <w:r w:rsidR="005025DE" w:rsidRPr="0097439B">
              <w:rPr>
                <w:rFonts w:ascii="Times New Roman" w:hAnsi="Times New Roman"/>
                <w:color w:val="000000" w:themeColor="text1"/>
                <w:spacing w:val="-2"/>
              </w:rPr>
              <w:t xml:space="preserve">Izstrādājot </w:t>
            </w:r>
            <w:r w:rsidRPr="0097439B">
              <w:rPr>
                <w:rFonts w:ascii="Times New Roman" w:hAnsi="Times New Roman"/>
                <w:color w:val="000000" w:themeColor="text1"/>
                <w:spacing w:val="-2"/>
              </w:rPr>
              <w:t>Valsts nodokļu politikas pamatnostādn</w:t>
            </w:r>
            <w:r w:rsidR="005025DE" w:rsidRPr="0097439B">
              <w:rPr>
                <w:rFonts w:ascii="Times New Roman" w:hAnsi="Times New Roman"/>
                <w:color w:val="000000" w:themeColor="text1"/>
                <w:spacing w:val="-2"/>
              </w:rPr>
              <w:t>es vien</w:t>
            </w:r>
            <w:r w:rsidRPr="0097439B">
              <w:rPr>
                <w:rFonts w:ascii="Times New Roman" w:hAnsi="Times New Roman"/>
                <w:color w:val="000000" w:themeColor="text1"/>
                <w:spacing w:val="-2"/>
              </w:rPr>
              <w:t xml:space="preserve">s </w:t>
            </w:r>
            <w:r w:rsidR="004D1CE0" w:rsidRPr="0097439B">
              <w:rPr>
                <w:rFonts w:ascii="Times New Roman" w:hAnsi="Times New Roman"/>
                <w:color w:val="000000" w:themeColor="text1"/>
                <w:spacing w:val="-2"/>
              </w:rPr>
              <w:t>no</w:t>
            </w:r>
            <w:r w:rsidR="005025DE" w:rsidRPr="0097439B">
              <w:rPr>
                <w:rFonts w:ascii="Times New Roman" w:hAnsi="Times New Roman"/>
                <w:color w:val="000000" w:themeColor="text1"/>
                <w:spacing w:val="-2"/>
              </w:rPr>
              <w:t xml:space="preserve"> paredzētajiem</w:t>
            </w:r>
            <w:r w:rsidR="005025DE" w:rsidRPr="0097439B" w:rsidDel="005025DE">
              <w:rPr>
                <w:rFonts w:ascii="Times New Roman" w:hAnsi="Times New Roman"/>
                <w:color w:val="000000" w:themeColor="text1"/>
                <w:spacing w:val="-2"/>
              </w:rPr>
              <w:t xml:space="preserve"> </w:t>
            </w:r>
            <w:r w:rsidRPr="0097439B">
              <w:rPr>
                <w:rFonts w:ascii="Times New Roman" w:hAnsi="Times New Roman"/>
                <w:color w:val="000000" w:themeColor="text1"/>
                <w:spacing w:val="-2"/>
              </w:rPr>
              <w:t>darbaspēka nodokļu sistēmas reformas elementiem</w:t>
            </w:r>
            <w:r w:rsidR="005025DE" w:rsidRPr="0097439B">
              <w:rPr>
                <w:rFonts w:ascii="Times New Roman" w:hAnsi="Times New Roman"/>
                <w:color w:val="000000" w:themeColor="text1"/>
                <w:spacing w:val="-2"/>
              </w:rPr>
              <w:t xml:space="preserve"> bija </w:t>
            </w:r>
            <w:r w:rsidRPr="0097439B">
              <w:rPr>
                <w:rFonts w:ascii="Times New Roman" w:hAnsi="Times New Roman"/>
                <w:color w:val="000000" w:themeColor="text1"/>
                <w:spacing w:val="-2"/>
              </w:rPr>
              <w:t xml:space="preserve">solidaritātes nodokļa </w:t>
            </w:r>
            <w:r w:rsidR="005025DE" w:rsidRPr="0097439B">
              <w:rPr>
                <w:rFonts w:ascii="Times New Roman" w:hAnsi="Times New Roman"/>
                <w:color w:val="000000" w:themeColor="text1"/>
                <w:spacing w:val="-2"/>
              </w:rPr>
              <w:t xml:space="preserve">atcelšana, tā </w:t>
            </w:r>
            <w:r w:rsidRPr="0097439B">
              <w:rPr>
                <w:rFonts w:ascii="Times New Roman" w:hAnsi="Times New Roman"/>
                <w:color w:val="000000" w:themeColor="text1"/>
                <w:spacing w:val="-2"/>
              </w:rPr>
              <w:t xml:space="preserve">vietā </w:t>
            </w:r>
            <w:r w:rsidR="005025DE" w:rsidRPr="0097439B">
              <w:rPr>
                <w:rFonts w:ascii="Times New Roman" w:hAnsi="Times New Roman"/>
                <w:color w:val="000000" w:themeColor="text1"/>
                <w:spacing w:val="-2"/>
              </w:rPr>
              <w:t xml:space="preserve">nosakot </w:t>
            </w:r>
            <w:r w:rsidRPr="0097439B">
              <w:rPr>
                <w:rFonts w:ascii="Times New Roman" w:hAnsi="Times New Roman"/>
                <w:color w:val="000000" w:themeColor="text1"/>
                <w:spacing w:val="-2"/>
              </w:rPr>
              <w:t xml:space="preserve">valsts sociālās apdrošināšanas obligāto iemaksu objekta maksimālā apmēra otrā līmeņa griestus 95 100 </w:t>
            </w:r>
            <w:r w:rsidRPr="0097439B">
              <w:rPr>
                <w:rFonts w:ascii="Times New Roman" w:hAnsi="Times New Roman"/>
                <w:i/>
                <w:color w:val="000000" w:themeColor="text1"/>
                <w:spacing w:val="-2"/>
              </w:rPr>
              <w:t>euro</w:t>
            </w:r>
            <w:r w:rsidRPr="0097439B">
              <w:rPr>
                <w:rFonts w:ascii="Times New Roman" w:hAnsi="Times New Roman"/>
                <w:color w:val="000000" w:themeColor="text1"/>
                <w:spacing w:val="-2"/>
              </w:rPr>
              <w:t xml:space="preserve">  gadā:</w:t>
            </w:r>
          </w:p>
          <w:p w:rsidR="00854AC6" w:rsidRPr="0097439B" w:rsidRDefault="00854AC6" w:rsidP="003069A3">
            <w:pPr>
              <w:pStyle w:val="ListParagraph"/>
              <w:numPr>
                <w:ilvl w:val="0"/>
                <w:numId w:val="44"/>
              </w:numPr>
              <w:spacing w:after="0" w:line="240" w:lineRule="auto"/>
              <w:jc w:val="both"/>
              <w:rPr>
                <w:rFonts w:ascii="Times New Roman" w:hAnsi="Times New Roman"/>
                <w:color w:val="000000" w:themeColor="text1"/>
                <w:spacing w:val="-2"/>
                <w:sz w:val="24"/>
                <w:szCs w:val="24"/>
                <w:lang w:val="lv-LV"/>
              </w:rPr>
            </w:pPr>
            <w:r w:rsidRPr="0097439B">
              <w:rPr>
                <w:rFonts w:ascii="Times New Roman" w:hAnsi="Times New Roman"/>
                <w:color w:val="000000" w:themeColor="text1"/>
                <w:spacing w:val="-2"/>
                <w:sz w:val="24"/>
                <w:szCs w:val="24"/>
                <w:lang w:val="lv-LV"/>
              </w:rPr>
              <w:t>ienākumiem līdz 55</w:t>
            </w:r>
            <w:r w:rsidR="000A538C" w:rsidRPr="0097439B">
              <w:rPr>
                <w:rFonts w:ascii="Times New Roman" w:hAnsi="Times New Roman"/>
                <w:color w:val="000000" w:themeColor="text1"/>
                <w:spacing w:val="-2"/>
                <w:sz w:val="24"/>
                <w:szCs w:val="24"/>
                <w:lang w:val="lv-LV"/>
              </w:rPr>
              <w:t> </w:t>
            </w:r>
            <w:r w:rsidRPr="0097439B">
              <w:rPr>
                <w:rFonts w:ascii="Times New Roman" w:hAnsi="Times New Roman"/>
                <w:color w:val="000000" w:themeColor="text1"/>
                <w:spacing w:val="-2"/>
                <w:sz w:val="24"/>
                <w:szCs w:val="24"/>
                <w:lang w:val="lv-LV"/>
              </w:rPr>
              <w:t xml:space="preserve">000 </w:t>
            </w:r>
            <w:r w:rsidR="000A538C" w:rsidRPr="0097439B">
              <w:rPr>
                <w:rFonts w:ascii="Times New Roman" w:hAnsi="Times New Roman"/>
                <w:i/>
                <w:color w:val="000000" w:themeColor="text1"/>
                <w:spacing w:val="-2"/>
                <w:sz w:val="24"/>
                <w:szCs w:val="24"/>
                <w:lang w:val="lv-LV"/>
              </w:rPr>
              <w:t>euro</w:t>
            </w:r>
            <w:r w:rsidRPr="0097439B">
              <w:rPr>
                <w:rFonts w:ascii="Times New Roman" w:hAnsi="Times New Roman"/>
                <w:color w:val="000000" w:themeColor="text1"/>
                <w:spacing w:val="-2"/>
                <w:sz w:val="24"/>
                <w:szCs w:val="24"/>
                <w:lang w:val="lv-LV"/>
              </w:rPr>
              <w:t xml:space="preserve"> gadā tiek veiktas </w:t>
            </w:r>
            <w:r w:rsidR="003069A3" w:rsidRPr="0097439B">
              <w:rPr>
                <w:rFonts w:ascii="Times New Roman" w:hAnsi="Times New Roman"/>
                <w:color w:val="000000" w:themeColor="text1"/>
                <w:spacing w:val="-2"/>
                <w:sz w:val="24"/>
                <w:szCs w:val="24"/>
                <w:lang w:val="lv-LV"/>
              </w:rPr>
              <w:t xml:space="preserve">valsts sociālās apdrošināšanas obligāto iemaksas </w:t>
            </w:r>
            <w:r w:rsidRPr="0097439B">
              <w:rPr>
                <w:rFonts w:ascii="Times New Roman" w:hAnsi="Times New Roman"/>
                <w:color w:val="000000" w:themeColor="text1"/>
                <w:spacing w:val="-2"/>
                <w:sz w:val="24"/>
                <w:szCs w:val="24"/>
                <w:lang w:val="lv-LV"/>
              </w:rPr>
              <w:t>vispārējā kārtībā un tiek saņemti visi sociālās apdrošināšanas pakalpojumi</w:t>
            </w:r>
          </w:p>
          <w:p w:rsidR="00854AC6" w:rsidRPr="0097439B" w:rsidRDefault="00854AC6" w:rsidP="003069A3">
            <w:pPr>
              <w:pStyle w:val="ListParagraph"/>
              <w:numPr>
                <w:ilvl w:val="0"/>
                <w:numId w:val="44"/>
              </w:numPr>
              <w:spacing w:after="0" w:line="240" w:lineRule="auto"/>
              <w:jc w:val="both"/>
              <w:rPr>
                <w:rFonts w:ascii="Times New Roman" w:hAnsi="Times New Roman"/>
                <w:color w:val="000000" w:themeColor="text1"/>
                <w:spacing w:val="-2"/>
                <w:sz w:val="24"/>
                <w:szCs w:val="24"/>
                <w:lang w:val="lv-LV"/>
              </w:rPr>
            </w:pPr>
            <w:r w:rsidRPr="0097439B">
              <w:rPr>
                <w:rFonts w:ascii="Times New Roman" w:hAnsi="Times New Roman"/>
                <w:color w:val="000000" w:themeColor="text1"/>
                <w:spacing w:val="-2"/>
                <w:sz w:val="24"/>
                <w:szCs w:val="24"/>
                <w:lang w:val="lv-LV"/>
              </w:rPr>
              <w:t>ienākumiem no 55</w:t>
            </w:r>
            <w:r w:rsidR="000A538C" w:rsidRPr="0097439B">
              <w:rPr>
                <w:rFonts w:ascii="Times New Roman" w:hAnsi="Times New Roman"/>
                <w:color w:val="000000" w:themeColor="text1"/>
                <w:spacing w:val="-2"/>
                <w:sz w:val="24"/>
                <w:szCs w:val="24"/>
                <w:lang w:val="lv-LV"/>
              </w:rPr>
              <w:t> </w:t>
            </w:r>
            <w:r w:rsidRPr="0097439B">
              <w:rPr>
                <w:rFonts w:ascii="Times New Roman" w:hAnsi="Times New Roman"/>
                <w:color w:val="000000" w:themeColor="text1"/>
                <w:spacing w:val="-2"/>
                <w:sz w:val="24"/>
                <w:szCs w:val="24"/>
                <w:lang w:val="lv-LV"/>
              </w:rPr>
              <w:t>000 līdz 95</w:t>
            </w:r>
            <w:r w:rsidR="000A538C" w:rsidRPr="0097439B">
              <w:rPr>
                <w:rFonts w:ascii="Times New Roman" w:hAnsi="Times New Roman"/>
                <w:color w:val="000000" w:themeColor="text1"/>
                <w:spacing w:val="-2"/>
                <w:sz w:val="24"/>
                <w:szCs w:val="24"/>
                <w:lang w:val="lv-LV"/>
              </w:rPr>
              <w:t> </w:t>
            </w:r>
            <w:r w:rsidRPr="0097439B">
              <w:rPr>
                <w:rFonts w:ascii="Times New Roman" w:hAnsi="Times New Roman"/>
                <w:color w:val="000000" w:themeColor="text1"/>
                <w:spacing w:val="-2"/>
                <w:sz w:val="24"/>
                <w:szCs w:val="24"/>
                <w:lang w:val="lv-LV"/>
              </w:rPr>
              <w:t xml:space="preserve">100 </w:t>
            </w:r>
            <w:r w:rsidR="000A538C" w:rsidRPr="0097439B">
              <w:rPr>
                <w:rFonts w:ascii="Times New Roman" w:hAnsi="Times New Roman"/>
                <w:i/>
                <w:color w:val="000000" w:themeColor="text1"/>
                <w:spacing w:val="-2"/>
                <w:sz w:val="24"/>
                <w:szCs w:val="24"/>
                <w:lang w:val="lv-LV"/>
              </w:rPr>
              <w:t>euro</w:t>
            </w:r>
            <w:r w:rsidRPr="0097439B">
              <w:rPr>
                <w:rFonts w:ascii="Times New Roman" w:hAnsi="Times New Roman"/>
                <w:color w:val="000000" w:themeColor="text1"/>
                <w:spacing w:val="-2"/>
                <w:sz w:val="24"/>
                <w:szCs w:val="24"/>
                <w:lang w:val="lv-LV"/>
              </w:rPr>
              <w:t xml:space="preserve"> gadā (2018.gadam plānotā tautsaimniecībā nodarbinātā vidējā bruto alga x 100) –tiek veiktas </w:t>
            </w:r>
            <w:r w:rsidR="003069A3" w:rsidRPr="0097439B">
              <w:rPr>
                <w:rFonts w:ascii="Times New Roman" w:hAnsi="Times New Roman"/>
                <w:color w:val="000000" w:themeColor="text1"/>
                <w:spacing w:val="-2"/>
                <w:sz w:val="24"/>
                <w:szCs w:val="24"/>
                <w:lang w:val="lv-LV"/>
              </w:rPr>
              <w:t xml:space="preserve">valsts sociālās apdrošināšanas obligāto iemaksas </w:t>
            </w:r>
            <w:r w:rsidRPr="0097439B">
              <w:rPr>
                <w:rFonts w:ascii="Times New Roman" w:hAnsi="Times New Roman"/>
                <w:color w:val="000000" w:themeColor="text1"/>
                <w:spacing w:val="-2"/>
                <w:sz w:val="24"/>
                <w:szCs w:val="24"/>
                <w:lang w:val="lv-LV"/>
              </w:rPr>
              <w:t>vispārējā kārtībā, nodrošinot tikai pensiju apdrošināšanu 1.un 2.līmenī;</w:t>
            </w:r>
          </w:p>
          <w:p w:rsidR="000A538C" w:rsidRPr="0097439B" w:rsidRDefault="00854AC6" w:rsidP="003069A3">
            <w:pPr>
              <w:pStyle w:val="ListParagraph"/>
              <w:numPr>
                <w:ilvl w:val="0"/>
                <w:numId w:val="44"/>
              </w:numPr>
              <w:spacing w:after="0" w:line="240" w:lineRule="auto"/>
              <w:jc w:val="both"/>
              <w:rPr>
                <w:rFonts w:ascii="Times New Roman" w:hAnsi="Times New Roman"/>
                <w:color w:val="000000" w:themeColor="text1"/>
                <w:spacing w:val="-2"/>
                <w:lang w:val="lv-LV"/>
              </w:rPr>
            </w:pPr>
            <w:r w:rsidRPr="0097439B">
              <w:rPr>
                <w:rFonts w:ascii="Times New Roman" w:hAnsi="Times New Roman"/>
                <w:color w:val="000000" w:themeColor="text1"/>
                <w:spacing w:val="-2"/>
                <w:sz w:val="24"/>
                <w:szCs w:val="24"/>
                <w:lang w:val="lv-LV"/>
              </w:rPr>
              <w:t>no ienākumiem virs 95</w:t>
            </w:r>
            <w:r w:rsidR="000A538C" w:rsidRPr="0097439B">
              <w:rPr>
                <w:rFonts w:ascii="Times New Roman" w:hAnsi="Times New Roman"/>
                <w:color w:val="000000" w:themeColor="text1"/>
                <w:spacing w:val="-2"/>
                <w:sz w:val="24"/>
                <w:szCs w:val="24"/>
                <w:lang w:val="lv-LV"/>
              </w:rPr>
              <w:t> </w:t>
            </w:r>
            <w:r w:rsidR="00C07D4F" w:rsidRPr="0097439B">
              <w:rPr>
                <w:rFonts w:ascii="Times New Roman" w:hAnsi="Times New Roman"/>
                <w:color w:val="000000" w:themeColor="text1"/>
                <w:spacing w:val="-2"/>
                <w:sz w:val="24"/>
                <w:szCs w:val="24"/>
                <w:lang w:val="lv-LV"/>
              </w:rPr>
              <w:t>1</w:t>
            </w:r>
            <w:r w:rsidRPr="0097439B">
              <w:rPr>
                <w:rFonts w:ascii="Times New Roman" w:hAnsi="Times New Roman"/>
                <w:color w:val="000000" w:themeColor="text1"/>
                <w:spacing w:val="-2"/>
                <w:sz w:val="24"/>
                <w:szCs w:val="24"/>
                <w:lang w:val="lv-LV"/>
              </w:rPr>
              <w:t xml:space="preserve">00 </w:t>
            </w:r>
            <w:r w:rsidR="000A538C" w:rsidRPr="0097439B">
              <w:rPr>
                <w:rFonts w:ascii="Times New Roman" w:hAnsi="Times New Roman"/>
                <w:i/>
                <w:color w:val="000000" w:themeColor="text1"/>
                <w:spacing w:val="-2"/>
                <w:sz w:val="24"/>
                <w:szCs w:val="24"/>
                <w:lang w:val="lv-LV"/>
              </w:rPr>
              <w:t>euro</w:t>
            </w:r>
            <w:r w:rsidRPr="0097439B">
              <w:rPr>
                <w:rFonts w:ascii="Times New Roman" w:hAnsi="Times New Roman"/>
                <w:color w:val="000000" w:themeColor="text1"/>
                <w:spacing w:val="-2"/>
                <w:sz w:val="24"/>
                <w:szCs w:val="24"/>
                <w:lang w:val="lv-LV"/>
              </w:rPr>
              <w:t xml:space="preserve"> gadā – </w:t>
            </w:r>
            <w:r w:rsidR="003069A3" w:rsidRPr="0097439B">
              <w:rPr>
                <w:rFonts w:ascii="Times New Roman" w:hAnsi="Times New Roman"/>
                <w:color w:val="000000" w:themeColor="text1"/>
                <w:spacing w:val="-2"/>
                <w:sz w:val="24"/>
                <w:szCs w:val="24"/>
                <w:lang w:val="lv-LV"/>
              </w:rPr>
              <w:t xml:space="preserve">valsts sociālās apdrošināšanas obligātās </w:t>
            </w:r>
            <w:r w:rsidRPr="0097439B">
              <w:rPr>
                <w:rFonts w:ascii="Times New Roman" w:hAnsi="Times New Roman"/>
                <w:color w:val="000000" w:themeColor="text1"/>
                <w:spacing w:val="-2"/>
                <w:sz w:val="24"/>
                <w:szCs w:val="24"/>
                <w:lang w:val="lv-LV"/>
              </w:rPr>
              <w:t>iemaksas nav jāmaksā</w:t>
            </w:r>
            <w:r w:rsidR="00C07D4F" w:rsidRPr="0097439B">
              <w:rPr>
                <w:rFonts w:ascii="Times New Roman" w:hAnsi="Times New Roman"/>
                <w:color w:val="000000" w:themeColor="text1"/>
                <w:spacing w:val="-2"/>
                <w:lang w:val="lv-LV"/>
              </w:rPr>
              <w:t>.</w:t>
            </w:r>
          </w:p>
          <w:p w:rsidR="00DC231B" w:rsidRPr="0097439B" w:rsidRDefault="005025DE" w:rsidP="00C47E18">
            <w:pPr>
              <w:jc w:val="both"/>
              <w:rPr>
                <w:rFonts w:ascii="Times New Roman" w:hAnsi="Times New Roman"/>
                <w:color w:val="000000" w:themeColor="text1"/>
                <w:spacing w:val="-2"/>
              </w:rPr>
            </w:pPr>
            <w:r w:rsidRPr="0097439B">
              <w:rPr>
                <w:rFonts w:ascii="Times New Roman" w:hAnsi="Times New Roman"/>
                <w:color w:val="000000" w:themeColor="text1"/>
                <w:spacing w:val="-2"/>
              </w:rPr>
              <w:t xml:space="preserve">Tomēr </w:t>
            </w:r>
            <w:r w:rsidR="00B96E3B" w:rsidRPr="0097439B">
              <w:rPr>
                <w:rFonts w:ascii="Times New Roman" w:hAnsi="Times New Roman"/>
                <w:color w:val="000000" w:themeColor="text1"/>
                <w:spacing w:val="-2"/>
              </w:rPr>
              <w:t xml:space="preserve">valdību veidojošās partijas turpmākajā apspriešanā, </w:t>
            </w:r>
            <w:r w:rsidR="00A27993" w:rsidRPr="0097439B">
              <w:rPr>
                <w:rFonts w:ascii="Times New Roman" w:hAnsi="Times New Roman"/>
                <w:color w:val="000000" w:themeColor="text1"/>
                <w:spacing w:val="-2"/>
              </w:rPr>
              <w:t>lai nodrošinātu veselības aprūpes finansēšanai nepieciešamos līdzekļus</w:t>
            </w:r>
            <w:r w:rsidR="00B96E3B" w:rsidRPr="0097439B">
              <w:rPr>
                <w:rFonts w:ascii="Times New Roman" w:hAnsi="Times New Roman"/>
                <w:color w:val="000000" w:themeColor="text1"/>
                <w:spacing w:val="-2"/>
              </w:rPr>
              <w:t>,</w:t>
            </w:r>
            <w:r w:rsidR="00A27993" w:rsidRPr="0097439B">
              <w:rPr>
                <w:rFonts w:ascii="Times New Roman" w:hAnsi="Times New Roman"/>
                <w:color w:val="000000" w:themeColor="text1"/>
                <w:spacing w:val="-2"/>
              </w:rPr>
              <w:t xml:space="preserve"> vienojās solidaritātes nodokli nevis atcelt, bet transform</w:t>
            </w:r>
            <w:r w:rsidR="00B96E3B" w:rsidRPr="0097439B">
              <w:rPr>
                <w:rFonts w:ascii="Times New Roman" w:hAnsi="Times New Roman"/>
                <w:color w:val="000000" w:themeColor="text1"/>
                <w:spacing w:val="-2"/>
              </w:rPr>
              <w:t>ēt. Tādējādi likumprojekts</w:t>
            </w:r>
            <w:r w:rsidR="00A27993" w:rsidRPr="0097439B">
              <w:rPr>
                <w:rFonts w:ascii="Times New Roman" w:hAnsi="Times New Roman"/>
                <w:color w:val="000000" w:themeColor="text1"/>
                <w:spacing w:val="-2"/>
              </w:rPr>
              <w:t xml:space="preserve"> paredz</w:t>
            </w:r>
            <w:r w:rsidR="00C47E18" w:rsidRPr="0097439B">
              <w:rPr>
                <w:rFonts w:ascii="Times New Roman" w:hAnsi="Times New Roman"/>
                <w:color w:val="000000" w:themeColor="text1"/>
                <w:spacing w:val="-2"/>
              </w:rPr>
              <w:t>, ka</w:t>
            </w:r>
            <w:r w:rsidR="00A27993" w:rsidRPr="0097439B">
              <w:rPr>
                <w:rFonts w:ascii="Times New Roman" w:hAnsi="Times New Roman"/>
                <w:color w:val="000000" w:themeColor="text1"/>
                <w:spacing w:val="-2"/>
              </w:rPr>
              <w:t xml:space="preserve"> solidaritātes nodok</w:t>
            </w:r>
            <w:r w:rsidR="00C47E18" w:rsidRPr="0097439B">
              <w:rPr>
                <w:rFonts w:ascii="Times New Roman" w:hAnsi="Times New Roman"/>
                <w:color w:val="000000" w:themeColor="text1"/>
                <w:spacing w:val="-2"/>
              </w:rPr>
              <w:t xml:space="preserve">lis 1 procentpunkta apmērā tiks novirzīts </w:t>
            </w:r>
            <w:r w:rsidR="00A27993" w:rsidRPr="0097439B">
              <w:rPr>
                <w:rFonts w:ascii="Times New Roman" w:hAnsi="Times New Roman"/>
                <w:color w:val="000000" w:themeColor="text1"/>
                <w:spacing w:val="-2"/>
              </w:rPr>
              <w:t xml:space="preserve">veselības </w:t>
            </w:r>
            <w:r w:rsidR="00C47E18" w:rsidRPr="0097439B">
              <w:rPr>
                <w:rFonts w:ascii="Times New Roman" w:hAnsi="Times New Roman"/>
                <w:color w:val="000000" w:themeColor="text1"/>
                <w:spacing w:val="-2"/>
              </w:rPr>
              <w:t xml:space="preserve">aprūpes finansēšanai (veselības </w:t>
            </w:r>
            <w:r w:rsidR="00A27993" w:rsidRPr="0097439B">
              <w:rPr>
                <w:rFonts w:ascii="Times New Roman" w:hAnsi="Times New Roman"/>
                <w:color w:val="000000" w:themeColor="text1"/>
                <w:spacing w:val="-2"/>
              </w:rPr>
              <w:t>ap</w:t>
            </w:r>
            <w:r w:rsidR="00C93C68" w:rsidRPr="0097439B">
              <w:rPr>
                <w:rFonts w:ascii="Times New Roman" w:hAnsi="Times New Roman"/>
                <w:color w:val="000000" w:themeColor="text1"/>
                <w:spacing w:val="-2"/>
              </w:rPr>
              <w:t>d</w:t>
            </w:r>
            <w:r w:rsidR="00A27993" w:rsidRPr="0097439B">
              <w:rPr>
                <w:rFonts w:ascii="Times New Roman" w:hAnsi="Times New Roman"/>
                <w:color w:val="000000" w:themeColor="text1"/>
                <w:spacing w:val="-2"/>
              </w:rPr>
              <w:t>r</w:t>
            </w:r>
            <w:r w:rsidR="00C93C68" w:rsidRPr="0097439B">
              <w:rPr>
                <w:rFonts w:ascii="Times New Roman" w:hAnsi="Times New Roman"/>
                <w:color w:val="000000" w:themeColor="text1"/>
                <w:spacing w:val="-2"/>
              </w:rPr>
              <w:t>ošināšanai</w:t>
            </w:r>
            <w:r w:rsidR="00C47E18" w:rsidRPr="0097439B">
              <w:rPr>
                <w:rFonts w:ascii="Times New Roman" w:hAnsi="Times New Roman"/>
                <w:color w:val="000000" w:themeColor="text1"/>
                <w:spacing w:val="-2"/>
              </w:rPr>
              <w:t xml:space="preserve">), </w:t>
            </w:r>
            <w:r w:rsidR="00B96E3B" w:rsidRPr="0097439B">
              <w:rPr>
                <w:rFonts w:ascii="Times New Roman" w:hAnsi="Times New Roman"/>
                <w:color w:val="000000" w:themeColor="text1"/>
                <w:spacing w:val="-2"/>
              </w:rPr>
              <w:t xml:space="preserve">6% procentpunktu apmērā sociāli apdrošināto personu </w:t>
            </w:r>
            <w:r w:rsidR="00C47E18" w:rsidRPr="0097439B">
              <w:rPr>
                <w:rFonts w:ascii="Times New Roman" w:hAnsi="Times New Roman"/>
                <w:color w:val="000000" w:themeColor="text1"/>
                <w:spacing w:val="-2"/>
              </w:rPr>
              <w:t>–</w:t>
            </w:r>
            <w:r w:rsidR="00B96E3B" w:rsidRPr="0097439B">
              <w:rPr>
                <w:rFonts w:ascii="Times New Roman" w:hAnsi="Times New Roman"/>
                <w:color w:val="000000" w:themeColor="text1"/>
                <w:spacing w:val="-2"/>
              </w:rPr>
              <w:t xml:space="preserve"> </w:t>
            </w:r>
            <w:r w:rsidR="00B96E3B" w:rsidRPr="0097439B">
              <w:rPr>
                <w:rFonts w:ascii="Times New Roman" w:eastAsia="Times New Roman" w:hAnsi="Times New Roman"/>
                <w:bCs/>
                <w:color w:val="000000" w:themeColor="text1"/>
                <w:szCs w:val="28"/>
                <w:lang w:eastAsia="lv-LV"/>
              </w:rPr>
              <w:t xml:space="preserve">fondēto pensiju shēmas dalībnieku kontos, kas veidos </w:t>
            </w:r>
            <w:r w:rsidR="00BB2A1C" w:rsidRPr="0097439B">
              <w:rPr>
                <w:rFonts w:ascii="Times New Roman" w:eastAsia="Times New Roman" w:hAnsi="Times New Roman"/>
                <w:bCs/>
                <w:color w:val="000000" w:themeColor="text1"/>
                <w:szCs w:val="28"/>
                <w:lang w:eastAsia="lv-LV"/>
              </w:rPr>
              <w:t xml:space="preserve">minēto personu </w:t>
            </w:r>
            <w:r w:rsidR="00B96E3B" w:rsidRPr="0097439B">
              <w:rPr>
                <w:rFonts w:ascii="Times New Roman" w:eastAsia="Times New Roman" w:hAnsi="Times New Roman"/>
                <w:bCs/>
                <w:color w:val="000000" w:themeColor="text1"/>
                <w:szCs w:val="28"/>
                <w:lang w:eastAsia="lv-LV"/>
              </w:rPr>
              <w:t>valsts vecuma pensijai uzkrāt</w:t>
            </w:r>
            <w:r w:rsidR="00BB2A1C" w:rsidRPr="0097439B">
              <w:rPr>
                <w:rFonts w:ascii="Times New Roman" w:eastAsia="Times New Roman" w:hAnsi="Times New Roman"/>
                <w:bCs/>
                <w:color w:val="000000" w:themeColor="text1"/>
                <w:szCs w:val="28"/>
                <w:lang w:eastAsia="lv-LV"/>
              </w:rPr>
              <w:t>o</w:t>
            </w:r>
            <w:r w:rsidR="00B96E3B" w:rsidRPr="0097439B">
              <w:rPr>
                <w:rFonts w:ascii="Times New Roman" w:eastAsia="Times New Roman" w:hAnsi="Times New Roman"/>
                <w:bCs/>
                <w:color w:val="000000" w:themeColor="text1"/>
                <w:szCs w:val="28"/>
                <w:lang w:eastAsia="lv-LV"/>
              </w:rPr>
              <w:t xml:space="preserve"> </w:t>
            </w:r>
            <w:proofErr w:type="spellStart"/>
            <w:r w:rsidR="00B96E3B" w:rsidRPr="0097439B">
              <w:rPr>
                <w:rFonts w:ascii="Times New Roman" w:eastAsia="Times New Roman" w:hAnsi="Times New Roman"/>
                <w:bCs/>
                <w:color w:val="000000" w:themeColor="text1"/>
                <w:szCs w:val="28"/>
                <w:lang w:eastAsia="lv-LV"/>
              </w:rPr>
              <w:t>fondētās</w:t>
            </w:r>
            <w:proofErr w:type="spellEnd"/>
            <w:r w:rsidR="00B96E3B" w:rsidRPr="0097439B">
              <w:rPr>
                <w:rFonts w:ascii="Times New Roman" w:eastAsia="Times New Roman" w:hAnsi="Times New Roman"/>
                <w:bCs/>
                <w:color w:val="000000" w:themeColor="text1"/>
                <w:szCs w:val="28"/>
                <w:lang w:eastAsia="lv-LV"/>
              </w:rPr>
              <w:t xml:space="preserve"> </w:t>
            </w:r>
            <w:r w:rsidR="00BB2A1C" w:rsidRPr="0097439B">
              <w:rPr>
                <w:rFonts w:ascii="Times New Roman" w:eastAsia="Times New Roman" w:hAnsi="Times New Roman"/>
                <w:bCs/>
                <w:color w:val="000000" w:themeColor="text1"/>
                <w:szCs w:val="28"/>
                <w:lang w:eastAsia="lv-LV"/>
              </w:rPr>
              <w:t>pensijas kapitālu</w:t>
            </w:r>
            <w:r w:rsidR="00C93C68" w:rsidRPr="0097439B">
              <w:rPr>
                <w:rFonts w:ascii="Times New Roman" w:eastAsia="Times New Roman" w:hAnsi="Times New Roman"/>
                <w:bCs/>
                <w:color w:val="000000" w:themeColor="text1"/>
                <w:szCs w:val="28"/>
                <w:lang w:eastAsia="lv-LV"/>
              </w:rPr>
              <w:t xml:space="preserve">, vai ja persona nav </w:t>
            </w:r>
            <w:r w:rsidR="00082155" w:rsidRPr="0097439B">
              <w:rPr>
                <w:rFonts w:ascii="Times New Roman" w:eastAsia="Times New Roman" w:hAnsi="Times New Roman"/>
                <w:bCs/>
                <w:color w:val="000000" w:themeColor="text1"/>
                <w:szCs w:val="28"/>
                <w:lang w:eastAsia="lv-LV"/>
              </w:rPr>
              <w:t xml:space="preserve">fondēto pensiju shēmas dalībniece </w:t>
            </w:r>
            <w:r w:rsidR="00C47E18" w:rsidRPr="0097439B">
              <w:rPr>
                <w:rFonts w:ascii="Times New Roman" w:eastAsia="Times New Roman" w:hAnsi="Times New Roman"/>
                <w:bCs/>
                <w:color w:val="000000" w:themeColor="text1"/>
                <w:szCs w:val="28"/>
                <w:lang w:eastAsia="lv-LV"/>
              </w:rPr>
              <w:t>–</w:t>
            </w:r>
            <w:r w:rsidR="00082155" w:rsidRPr="0097439B">
              <w:rPr>
                <w:rFonts w:ascii="Times New Roman" w:eastAsia="Times New Roman" w:hAnsi="Times New Roman"/>
                <w:bCs/>
                <w:color w:val="000000" w:themeColor="text1"/>
                <w:szCs w:val="28"/>
                <w:lang w:eastAsia="lv-LV"/>
              </w:rPr>
              <w:t xml:space="preserve"> </w:t>
            </w:r>
            <w:r w:rsidR="00C47E18" w:rsidRPr="0097439B">
              <w:rPr>
                <w:rFonts w:ascii="Times New Roman" w:eastAsia="Times New Roman" w:hAnsi="Times New Roman"/>
                <w:bCs/>
                <w:color w:val="000000" w:themeColor="text1"/>
                <w:szCs w:val="28"/>
                <w:lang w:eastAsia="lv-LV"/>
              </w:rPr>
              <w:t xml:space="preserve">personas izvēlētajā </w:t>
            </w:r>
            <w:r w:rsidR="00082155" w:rsidRPr="0097439B">
              <w:rPr>
                <w:rFonts w:ascii="Times New Roman" w:eastAsia="Times New Roman" w:hAnsi="Times New Roman"/>
                <w:bCs/>
                <w:color w:val="000000" w:themeColor="text1"/>
                <w:szCs w:val="28"/>
                <w:lang w:eastAsia="lv-LV"/>
              </w:rPr>
              <w:t xml:space="preserve">privātā pensiju </w:t>
            </w:r>
            <w:r w:rsidR="00A41CF5" w:rsidRPr="0097439B">
              <w:rPr>
                <w:rFonts w:ascii="Times New Roman" w:eastAsia="Times New Roman" w:hAnsi="Times New Roman"/>
                <w:bCs/>
                <w:color w:val="000000" w:themeColor="text1"/>
                <w:szCs w:val="28"/>
                <w:lang w:eastAsia="lv-LV"/>
              </w:rPr>
              <w:t>fond</w:t>
            </w:r>
            <w:r w:rsidR="00C47E18" w:rsidRPr="0097439B">
              <w:rPr>
                <w:rFonts w:ascii="Times New Roman" w:eastAsia="Times New Roman" w:hAnsi="Times New Roman"/>
                <w:bCs/>
                <w:color w:val="000000" w:themeColor="text1"/>
                <w:szCs w:val="28"/>
                <w:lang w:eastAsia="lv-LV"/>
              </w:rPr>
              <w:t>a pensiju plān</w:t>
            </w:r>
            <w:r w:rsidR="00A41CF5" w:rsidRPr="0097439B">
              <w:rPr>
                <w:rFonts w:ascii="Times New Roman" w:eastAsia="Times New Roman" w:hAnsi="Times New Roman"/>
                <w:bCs/>
                <w:color w:val="000000" w:themeColor="text1"/>
                <w:szCs w:val="28"/>
                <w:lang w:eastAsia="lv-LV"/>
              </w:rPr>
              <w:t>ā</w:t>
            </w:r>
            <w:r w:rsidR="00C47E18" w:rsidRPr="0097439B">
              <w:rPr>
                <w:rFonts w:ascii="Times New Roman" w:eastAsia="Times New Roman" w:hAnsi="Times New Roman"/>
                <w:bCs/>
                <w:color w:val="000000" w:themeColor="text1"/>
                <w:szCs w:val="28"/>
                <w:lang w:eastAsia="lv-LV"/>
              </w:rPr>
              <w:t xml:space="preserve">, 4 </w:t>
            </w:r>
            <w:r w:rsidR="00C47E18" w:rsidRPr="0097439B">
              <w:rPr>
                <w:rFonts w:ascii="Times New Roman" w:hAnsi="Times New Roman"/>
                <w:color w:val="000000" w:themeColor="text1"/>
                <w:spacing w:val="-2"/>
              </w:rPr>
              <w:t>procentpunktu apmērā nodokļa maksātāja izvēlētajā privātā pensiju fonda pensiju plānā.</w:t>
            </w:r>
            <w:r w:rsidR="00BB2A1C" w:rsidRPr="0097439B">
              <w:rPr>
                <w:rFonts w:ascii="Times New Roman" w:eastAsia="Times New Roman" w:hAnsi="Times New Roman"/>
                <w:bCs/>
                <w:color w:val="000000" w:themeColor="text1"/>
                <w:szCs w:val="28"/>
                <w:lang w:eastAsia="lv-LV"/>
              </w:rPr>
              <w:t xml:space="preserve"> </w:t>
            </w:r>
            <w:r w:rsidR="00BB2A1C" w:rsidRPr="0097439B">
              <w:rPr>
                <w:rFonts w:ascii="Times New Roman" w:hAnsi="Times New Roman"/>
                <w:color w:val="000000" w:themeColor="text1"/>
                <w:spacing w:val="-2"/>
              </w:rPr>
              <w:t>Bez tam tiek paredzēts, ka solidaritātes nodoklis 10,5 procentpunktu apmērā (atbilst darba ņēmēja likmei vispārējā gadījumā</w:t>
            </w:r>
            <w:r w:rsidR="00C16021" w:rsidRPr="0097439B">
              <w:rPr>
                <w:rFonts w:ascii="Times New Roman" w:hAnsi="Times New Roman"/>
                <w:color w:val="000000" w:themeColor="text1"/>
                <w:spacing w:val="-2"/>
              </w:rPr>
              <w:t>, no kuras atņemta veselības apdrošināšanas procentu likme</w:t>
            </w:r>
            <w:r w:rsidR="00BB2A1C" w:rsidRPr="0097439B">
              <w:rPr>
                <w:rFonts w:ascii="Times New Roman" w:hAnsi="Times New Roman"/>
                <w:color w:val="000000" w:themeColor="text1"/>
                <w:spacing w:val="-2"/>
              </w:rPr>
              <w:t xml:space="preserve">) tiks ieskaitīts </w:t>
            </w:r>
            <w:r w:rsidR="00C16021" w:rsidRPr="0097439B">
              <w:rPr>
                <w:rFonts w:ascii="Times New Roman" w:hAnsi="Times New Roman"/>
                <w:color w:val="000000" w:themeColor="text1"/>
                <w:spacing w:val="-2"/>
              </w:rPr>
              <w:t>iedzīvotāju ienākuma nodokļa sadales kontā, no kura to atbilstoši iedzīvotāju ienākuma nodokļa sadalījumam sadalīs valsts budžet</w:t>
            </w:r>
            <w:r w:rsidR="00C47E18" w:rsidRPr="0097439B">
              <w:rPr>
                <w:rFonts w:ascii="Times New Roman" w:hAnsi="Times New Roman"/>
                <w:color w:val="000000" w:themeColor="text1"/>
                <w:spacing w:val="-2"/>
              </w:rPr>
              <w:t>ā</w:t>
            </w:r>
            <w:r w:rsidR="00C16021" w:rsidRPr="0097439B">
              <w:rPr>
                <w:rFonts w:ascii="Times New Roman" w:hAnsi="Times New Roman"/>
                <w:color w:val="000000" w:themeColor="text1"/>
                <w:spacing w:val="-2"/>
              </w:rPr>
              <w:t xml:space="preserve"> un </w:t>
            </w:r>
            <w:r w:rsidR="00FE469E" w:rsidRPr="0097439B">
              <w:rPr>
                <w:rFonts w:ascii="Times New Roman" w:hAnsi="Times New Roman"/>
                <w:color w:val="000000" w:themeColor="text1"/>
                <w:spacing w:val="-2"/>
              </w:rPr>
              <w:t xml:space="preserve">darba ņēmēja vai pašnodarbinātā deklarētās dzīvesvietas </w:t>
            </w:r>
            <w:r w:rsidR="00BB2A1C" w:rsidRPr="0097439B">
              <w:rPr>
                <w:rFonts w:ascii="Times New Roman" w:hAnsi="Times New Roman"/>
                <w:color w:val="000000" w:themeColor="text1"/>
                <w:spacing w:val="-2"/>
              </w:rPr>
              <w:t xml:space="preserve">pašvaldību budžetos atbilstoši likuma “Par iedzīvotāju ienākuma nodokli” nosacījumiem. Atlikusī nodokļa ieņēmumu daļa tiks </w:t>
            </w:r>
            <w:r w:rsidR="00C47E18" w:rsidRPr="0097439B">
              <w:rPr>
                <w:rFonts w:ascii="Times New Roman" w:hAnsi="Times New Roman"/>
                <w:color w:val="000000" w:themeColor="text1"/>
                <w:spacing w:val="-2"/>
              </w:rPr>
              <w:t>novirz</w:t>
            </w:r>
            <w:r w:rsidR="00BB2A1C" w:rsidRPr="0097439B">
              <w:rPr>
                <w:rFonts w:ascii="Times New Roman" w:hAnsi="Times New Roman"/>
                <w:color w:val="000000" w:themeColor="text1"/>
                <w:spacing w:val="-2"/>
              </w:rPr>
              <w:t xml:space="preserve">īta valsts </w:t>
            </w:r>
            <w:r w:rsidR="00C47E18" w:rsidRPr="0097439B">
              <w:rPr>
                <w:rFonts w:ascii="Times New Roman" w:hAnsi="Times New Roman"/>
                <w:color w:val="000000" w:themeColor="text1"/>
                <w:spacing w:val="-2"/>
              </w:rPr>
              <w:t xml:space="preserve">pensiju speciālā </w:t>
            </w:r>
            <w:r w:rsidR="00BB2A1C" w:rsidRPr="0097439B">
              <w:rPr>
                <w:rFonts w:ascii="Times New Roman" w:hAnsi="Times New Roman"/>
                <w:color w:val="000000" w:themeColor="text1"/>
                <w:spacing w:val="-2"/>
              </w:rPr>
              <w:t>budžeta ieņēmumos.</w:t>
            </w:r>
            <w:r w:rsidR="00966A8F" w:rsidRPr="0097439B">
              <w:rPr>
                <w:rFonts w:ascii="Times New Roman" w:hAnsi="Times New Roman"/>
                <w:color w:val="000000" w:themeColor="text1"/>
                <w:spacing w:val="-2"/>
              </w:rPr>
              <w:t xml:space="preserve"> Ar solidaritātes nodokļa daļas novirzīšanu iedzīvotāju ienākuma nodokļa maksājumiem tiek nodrošināta iedzīvotāju ienākuma nodokļa likmes trešā progresivitātes pakāpe, vienlaicīgi nepalielinot darbaspēka nodokļu slogu darba ņēmējam. </w:t>
            </w:r>
            <w:r w:rsidR="00C47E18" w:rsidRPr="0097439B">
              <w:rPr>
                <w:rFonts w:ascii="Times New Roman" w:hAnsi="Times New Roman"/>
                <w:color w:val="000000" w:themeColor="text1"/>
                <w:spacing w:val="-2"/>
              </w:rPr>
              <w:t xml:space="preserve">Solidaritātes nodokļa daļa, kas novirzīta veselības aprūpes finansēšanai atbilst 1 procentpunktam nodokļa likmes </w:t>
            </w:r>
            <w:proofErr w:type="spellStart"/>
            <w:r w:rsidR="00C47E18" w:rsidRPr="0097439B">
              <w:rPr>
                <w:rFonts w:ascii="Times New Roman" w:hAnsi="Times New Roman"/>
                <w:color w:val="000000" w:themeColor="text1"/>
                <w:spacing w:val="-2"/>
              </w:rPr>
              <w:t>pašnodarbinātības</w:t>
            </w:r>
            <w:proofErr w:type="spellEnd"/>
            <w:r w:rsidR="00C47E18" w:rsidRPr="0097439B">
              <w:rPr>
                <w:rFonts w:ascii="Times New Roman" w:hAnsi="Times New Roman"/>
                <w:color w:val="000000" w:themeColor="text1"/>
                <w:spacing w:val="-2"/>
              </w:rPr>
              <w:t xml:space="preserve"> gadījumā vai pa 0,5 procentpunktam attiecīgi no darba devēja un darba ņēmēja likmes nodarbinātības gadījumā.</w:t>
            </w:r>
          </w:p>
          <w:p w:rsidR="00E4431F" w:rsidRPr="0097439B" w:rsidRDefault="00BB2A1C" w:rsidP="00BB2A1C">
            <w:pPr>
              <w:jc w:val="both"/>
              <w:rPr>
                <w:rFonts w:ascii="Times New Roman" w:hAnsi="Times New Roman"/>
                <w:color w:val="000000" w:themeColor="text1"/>
                <w:spacing w:val="-2"/>
              </w:rPr>
            </w:pPr>
            <w:r w:rsidRPr="0097439B">
              <w:rPr>
                <w:rFonts w:ascii="Times New Roman" w:hAnsi="Times New Roman"/>
                <w:color w:val="000000" w:themeColor="text1"/>
                <w:spacing w:val="-2"/>
              </w:rPr>
              <w:t xml:space="preserve">Ņemot vērā minēto, tiek papildināts likuma 2.pantā noteiktais </w:t>
            </w:r>
            <w:r w:rsidR="00E4431F" w:rsidRPr="0097439B">
              <w:rPr>
                <w:rFonts w:ascii="Times New Roman" w:hAnsi="Times New Roman"/>
                <w:color w:val="000000" w:themeColor="text1"/>
                <w:spacing w:val="-2"/>
              </w:rPr>
              <w:t>likuma mērķis</w:t>
            </w:r>
            <w:r w:rsidR="004D1CE0" w:rsidRPr="0097439B">
              <w:rPr>
                <w:rFonts w:ascii="Times New Roman" w:hAnsi="Times New Roman"/>
                <w:color w:val="000000" w:themeColor="text1"/>
                <w:spacing w:val="-2"/>
              </w:rPr>
              <w:t>.</w:t>
            </w:r>
            <w:r w:rsidR="00FE469E" w:rsidRPr="0097439B">
              <w:rPr>
                <w:rFonts w:ascii="Times New Roman" w:hAnsi="Times New Roman"/>
              </w:rPr>
              <w:t xml:space="preserve"> </w:t>
            </w:r>
          </w:p>
          <w:p w:rsidR="00DC231B" w:rsidRPr="0097439B" w:rsidRDefault="00DC231B" w:rsidP="00DC231B">
            <w:pPr>
              <w:jc w:val="both"/>
              <w:rPr>
                <w:rFonts w:ascii="Times New Roman" w:hAnsi="Times New Roman"/>
                <w:color w:val="000000" w:themeColor="text1"/>
                <w:spacing w:val="-2"/>
              </w:rPr>
            </w:pPr>
            <w:r w:rsidRPr="0097439B">
              <w:rPr>
                <w:rFonts w:ascii="Times New Roman" w:hAnsi="Times New Roman"/>
                <w:color w:val="000000" w:themeColor="text1"/>
                <w:spacing w:val="-2"/>
              </w:rPr>
              <w:lastRenderedPageBreak/>
              <w:t>Paredzēts, ka solidaritātes nodokļa daļa, kas novirzīta fondēto pensiju shēmām, tiek pārskaitīta fondēto pensiju shēmas dalībnieka kontā</w:t>
            </w:r>
            <w:r w:rsidRPr="0097439B">
              <w:rPr>
                <w:rFonts w:ascii="Times New Roman" w:hAnsi="Times New Roman"/>
              </w:rPr>
              <w:t xml:space="preserve"> </w:t>
            </w:r>
            <w:r w:rsidRPr="0097439B">
              <w:rPr>
                <w:rFonts w:ascii="Times New Roman" w:hAnsi="Times New Roman"/>
                <w:color w:val="000000" w:themeColor="text1"/>
                <w:spacing w:val="-2"/>
              </w:rPr>
              <w:t>Ministru kabineta 2003. gada 27. maija noteikumos Nr.272 „Noteikumi par valsts fondēto pensiju shēmas darbību” kārtībā un termiņos.</w:t>
            </w:r>
          </w:p>
          <w:p w:rsidR="00B54EF7" w:rsidRPr="0097439B" w:rsidRDefault="000A538C" w:rsidP="00E4431F">
            <w:pPr>
              <w:jc w:val="both"/>
              <w:rPr>
                <w:rFonts w:ascii="Times New Roman" w:hAnsi="Times New Roman"/>
                <w:color w:val="000000" w:themeColor="text1"/>
                <w:spacing w:val="-2"/>
              </w:rPr>
            </w:pPr>
            <w:r w:rsidRPr="0097439B">
              <w:rPr>
                <w:rFonts w:ascii="Times New Roman" w:hAnsi="Times New Roman"/>
                <w:color w:val="000000" w:themeColor="text1"/>
                <w:spacing w:val="-2"/>
              </w:rPr>
              <w:t xml:space="preserve">Ar  likumprojektu tiek </w:t>
            </w:r>
            <w:r w:rsidR="00E4431F" w:rsidRPr="0097439B">
              <w:rPr>
                <w:rFonts w:ascii="Times New Roman" w:hAnsi="Times New Roman"/>
                <w:color w:val="000000" w:themeColor="text1"/>
                <w:spacing w:val="-2"/>
              </w:rPr>
              <w:t xml:space="preserve">papildināti </w:t>
            </w:r>
            <w:r w:rsidRPr="0097439B">
              <w:rPr>
                <w:rFonts w:ascii="Times New Roman" w:hAnsi="Times New Roman"/>
                <w:color w:val="000000" w:themeColor="text1"/>
                <w:spacing w:val="-2"/>
              </w:rPr>
              <w:t>likum</w:t>
            </w:r>
            <w:r w:rsidR="00E4431F" w:rsidRPr="0097439B">
              <w:rPr>
                <w:rFonts w:ascii="Times New Roman" w:hAnsi="Times New Roman"/>
                <w:color w:val="000000" w:themeColor="text1"/>
                <w:spacing w:val="-2"/>
              </w:rPr>
              <w:t>a pārejas noteikumi</w:t>
            </w:r>
            <w:r w:rsidRPr="0097439B">
              <w:rPr>
                <w:rFonts w:ascii="Times New Roman" w:hAnsi="Times New Roman"/>
                <w:color w:val="000000" w:themeColor="text1"/>
                <w:spacing w:val="-2"/>
              </w:rPr>
              <w:t>, paredzot, ka tie solidaritātes nodokļa maksājumi, kas atteicas uz periodu</w:t>
            </w:r>
            <w:r w:rsidR="00E4431F" w:rsidRPr="0097439B">
              <w:rPr>
                <w:rFonts w:ascii="Times New Roman" w:hAnsi="Times New Roman"/>
                <w:color w:val="000000" w:themeColor="text1"/>
                <w:spacing w:val="-2"/>
              </w:rPr>
              <w:t xml:space="preserve"> līdz likuma grozījumu</w:t>
            </w:r>
            <w:r w:rsidRPr="0097439B">
              <w:rPr>
                <w:rFonts w:ascii="Times New Roman" w:hAnsi="Times New Roman"/>
                <w:color w:val="000000" w:themeColor="text1"/>
                <w:spacing w:val="-2"/>
              </w:rPr>
              <w:t xml:space="preserve"> spēkā</w:t>
            </w:r>
            <w:r w:rsidR="00E4431F" w:rsidRPr="0097439B">
              <w:rPr>
                <w:rFonts w:ascii="Times New Roman" w:hAnsi="Times New Roman"/>
                <w:color w:val="000000" w:themeColor="text1"/>
                <w:spacing w:val="-2"/>
              </w:rPr>
              <w:t xml:space="preserve"> stāšanās dienai,</w:t>
            </w:r>
            <w:r w:rsidRPr="0097439B">
              <w:rPr>
                <w:rFonts w:ascii="Times New Roman" w:hAnsi="Times New Roman"/>
                <w:color w:val="000000" w:themeColor="text1"/>
                <w:spacing w:val="-2"/>
              </w:rPr>
              <w:t xml:space="preserve"> tiek administrēti </w:t>
            </w:r>
            <w:r w:rsidR="00E4431F" w:rsidRPr="0097439B">
              <w:rPr>
                <w:rFonts w:ascii="Times New Roman" w:hAnsi="Times New Roman"/>
                <w:color w:val="000000" w:themeColor="text1"/>
                <w:spacing w:val="-2"/>
              </w:rPr>
              <w:t>minē</w:t>
            </w:r>
            <w:r w:rsidRPr="0097439B">
              <w:rPr>
                <w:rFonts w:ascii="Times New Roman" w:hAnsi="Times New Roman"/>
                <w:color w:val="000000" w:themeColor="text1"/>
                <w:spacing w:val="-2"/>
              </w:rPr>
              <w:t>taj</w:t>
            </w:r>
            <w:r w:rsidR="00E4431F" w:rsidRPr="0097439B">
              <w:rPr>
                <w:rFonts w:ascii="Times New Roman" w:hAnsi="Times New Roman"/>
                <w:color w:val="000000" w:themeColor="text1"/>
                <w:spacing w:val="-2"/>
              </w:rPr>
              <w:t>am</w:t>
            </w:r>
            <w:r w:rsidRPr="0097439B">
              <w:rPr>
                <w:rFonts w:ascii="Times New Roman" w:hAnsi="Times New Roman"/>
                <w:color w:val="000000" w:themeColor="text1"/>
                <w:spacing w:val="-2"/>
              </w:rPr>
              <w:t xml:space="preserve"> </w:t>
            </w:r>
            <w:r w:rsidR="00E4431F" w:rsidRPr="0097439B">
              <w:rPr>
                <w:rFonts w:ascii="Times New Roman" w:hAnsi="Times New Roman"/>
                <w:color w:val="000000" w:themeColor="text1"/>
                <w:spacing w:val="-2"/>
              </w:rPr>
              <w:t xml:space="preserve">periodam noteiktajā </w:t>
            </w:r>
            <w:r w:rsidRPr="0097439B">
              <w:rPr>
                <w:rFonts w:ascii="Times New Roman" w:hAnsi="Times New Roman"/>
                <w:color w:val="000000" w:themeColor="text1"/>
                <w:spacing w:val="-2"/>
              </w:rPr>
              <w:t>kārtībā</w:t>
            </w:r>
            <w:r w:rsidR="00E4431F" w:rsidRPr="0097439B">
              <w:rPr>
                <w:rFonts w:ascii="Times New Roman" w:hAnsi="Times New Roman"/>
                <w:color w:val="000000" w:themeColor="text1"/>
                <w:spacing w:val="-2"/>
              </w:rPr>
              <w:t xml:space="preserve"> un ieskaitīti valsts pamatbudžetā.</w:t>
            </w:r>
          </w:p>
        </w:tc>
      </w:tr>
      <w:tr w:rsidR="00E478AF" w:rsidRPr="0097439B" w:rsidTr="00D91385">
        <w:tc>
          <w:tcPr>
            <w:tcW w:w="396" w:type="dxa"/>
          </w:tcPr>
          <w:p w:rsidR="0069437E" w:rsidRPr="0097439B" w:rsidRDefault="00395538" w:rsidP="00F22B6A">
            <w:pPr>
              <w:pStyle w:val="naisf"/>
              <w:spacing w:before="0" w:after="0"/>
              <w:ind w:firstLine="0"/>
              <w:jc w:val="center"/>
              <w:rPr>
                <w:rFonts w:ascii="Times New Roman" w:hAnsi="Times New Roman"/>
                <w:color w:val="000000" w:themeColor="text1"/>
              </w:rPr>
            </w:pPr>
            <w:r w:rsidRPr="0097439B">
              <w:rPr>
                <w:rFonts w:ascii="Times New Roman" w:hAnsi="Times New Roman"/>
                <w:color w:val="000000" w:themeColor="text1"/>
              </w:rPr>
              <w:lastRenderedPageBreak/>
              <w:t xml:space="preserve">3. </w:t>
            </w:r>
          </w:p>
        </w:tc>
        <w:tc>
          <w:tcPr>
            <w:tcW w:w="2122" w:type="dxa"/>
          </w:tcPr>
          <w:p w:rsidR="0069437E" w:rsidRPr="0097439B" w:rsidRDefault="0069437E" w:rsidP="0069437E">
            <w:pPr>
              <w:pStyle w:val="naisf"/>
              <w:spacing w:before="0" w:after="0"/>
              <w:ind w:firstLine="0"/>
              <w:jc w:val="left"/>
              <w:rPr>
                <w:rFonts w:ascii="Times New Roman" w:hAnsi="Times New Roman"/>
                <w:color w:val="000000" w:themeColor="text1"/>
              </w:rPr>
            </w:pPr>
            <w:r w:rsidRPr="0097439B">
              <w:rPr>
                <w:rFonts w:ascii="Times New Roman" w:hAnsi="Times New Roman"/>
                <w:color w:val="000000" w:themeColor="text1"/>
              </w:rPr>
              <w:t>Projekta izstrādē iesaistītās institūcijas</w:t>
            </w:r>
          </w:p>
        </w:tc>
        <w:tc>
          <w:tcPr>
            <w:tcW w:w="6833" w:type="dxa"/>
          </w:tcPr>
          <w:p w:rsidR="0069437E" w:rsidRPr="0097439B" w:rsidRDefault="0069437E" w:rsidP="00DB08AE">
            <w:pPr>
              <w:pStyle w:val="naisf"/>
              <w:spacing w:before="0" w:after="0"/>
              <w:ind w:firstLine="0"/>
              <w:jc w:val="left"/>
              <w:rPr>
                <w:rFonts w:ascii="Times New Roman" w:hAnsi="Times New Roman"/>
                <w:color w:val="000000" w:themeColor="text1"/>
              </w:rPr>
            </w:pPr>
            <w:r w:rsidRPr="0097439B">
              <w:rPr>
                <w:rFonts w:ascii="Times New Roman" w:hAnsi="Times New Roman"/>
                <w:color w:val="000000" w:themeColor="text1"/>
              </w:rPr>
              <w:t>Finanšu ministrija</w:t>
            </w:r>
            <w:r w:rsidR="00E21DDF" w:rsidRPr="0097439B">
              <w:rPr>
                <w:rFonts w:ascii="Times New Roman" w:hAnsi="Times New Roman"/>
                <w:color w:val="000000" w:themeColor="text1"/>
              </w:rPr>
              <w:t>.</w:t>
            </w:r>
          </w:p>
        </w:tc>
      </w:tr>
      <w:tr w:rsidR="0041743E" w:rsidRPr="0097439B" w:rsidTr="00D91385">
        <w:tc>
          <w:tcPr>
            <w:tcW w:w="396" w:type="dxa"/>
          </w:tcPr>
          <w:p w:rsidR="0069437E" w:rsidRPr="0097439B" w:rsidRDefault="0069437E" w:rsidP="00F22B6A">
            <w:pPr>
              <w:pStyle w:val="naisf"/>
              <w:spacing w:before="0" w:after="0"/>
              <w:ind w:firstLine="0"/>
              <w:jc w:val="center"/>
              <w:rPr>
                <w:rFonts w:ascii="Times New Roman" w:hAnsi="Times New Roman"/>
                <w:color w:val="000000" w:themeColor="text1"/>
              </w:rPr>
            </w:pPr>
            <w:r w:rsidRPr="0097439B">
              <w:rPr>
                <w:rFonts w:ascii="Times New Roman" w:hAnsi="Times New Roman"/>
                <w:color w:val="000000" w:themeColor="text1"/>
              </w:rPr>
              <w:t>4.</w:t>
            </w:r>
          </w:p>
        </w:tc>
        <w:tc>
          <w:tcPr>
            <w:tcW w:w="2122" w:type="dxa"/>
          </w:tcPr>
          <w:p w:rsidR="0069437E" w:rsidRPr="0097439B" w:rsidRDefault="0069437E" w:rsidP="0069437E">
            <w:pPr>
              <w:pStyle w:val="naisf"/>
              <w:spacing w:before="0" w:after="0"/>
              <w:ind w:firstLine="0"/>
              <w:jc w:val="left"/>
              <w:rPr>
                <w:rFonts w:ascii="Times New Roman" w:hAnsi="Times New Roman"/>
                <w:color w:val="000000" w:themeColor="text1"/>
              </w:rPr>
            </w:pPr>
            <w:r w:rsidRPr="0097439B">
              <w:rPr>
                <w:rFonts w:ascii="Times New Roman" w:hAnsi="Times New Roman"/>
                <w:color w:val="000000" w:themeColor="text1"/>
              </w:rPr>
              <w:t>Cita informācija</w:t>
            </w:r>
          </w:p>
        </w:tc>
        <w:tc>
          <w:tcPr>
            <w:tcW w:w="6833" w:type="dxa"/>
          </w:tcPr>
          <w:p w:rsidR="0069437E" w:rsidRPr="0097439B" w:rsidRDefault="0069437E" w:rsidP="0069437E">
            <w:pPr>
              <w:pStyle w:val="naisf"/>
              <w:spacing w:before="0" w:after="0"/>
              <w:ind w:firstLine="0"/>
              <w:jc w:val="left"/>
              <w:rPr>
                <w:rFonts w:ascii="Times New Roman" w:hAnsi="Times New Roman"/>
                <w:color w:val="000000" w:themeColor="text1"/>
              </w:rPr>
            </w:pPr>
            <w:r w:rsidRPr="0097439B">
              <w:rPr>
                <w:rFonts w:ascii="Times New Roman" w:hAnsi="Times New Roman"/>
                <w:color w:val="000000" w:themeColor="text1"/>
              </w:rPr>
              <w:t>Nav.</w:t>
            </w:r>
          </w:p>
        </w:tc>
      </w:tr>
    </w:tbl>
    <w:p w:rsidR="00F22B6A" w:rsidRPr="0097439B" w:rsidRDefault="00F22B6A" w:rsidP="00F22B6A">
      <w:pPr>
        <w:rPr>
          <w:color w:val="000000" w:themeColor="text1"/>
        </w:rPr>
      </w:pPr>
    </w:p>
    <w:tbl>
      <w:tblPr>
        <w:tblpPr w:leftFromText="180" w:rightFromText="180" w:vertAnchor="text" w:horzAnchor="margin" w:tblpX="-10" w:tblpY="149"/>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34"/>
        <w:gridCol w:w="2838"/>
        <w:gridCol w:w="6083"/>
      </w:tblGrid>
      <w:tr w:rsidR="00E478AF" w:rsidRPr="0097439B" w:rsidTr="00D3660C">
        <w:trPr>
          <w:trHeight w:val="419"/>
        </w:trPr>
        <w:tc>
          <w:tcPr>
            <w:tcW w:w="5000" w:type="pct"/>
            <w:gridSpan w:val="3"/>
            <w:vAlign w:val="center"/>
          </w:tcPr>
          <w:p w:rsidR="008078B8" w:rsidRPr="0097439B" w:rsidRDefault="008078B8" w:rsidP="00F22B6A">
            <w:pPr>
              <w:jc w:val="center"/>
              <w:rPr>
                <w:b/>
                <w:color w:val="000000" w:themeColor="text1"/>
              </w:rPr>
            </w:pPr>
            <w:r w:rsidRPr="0097439B">
              <w:rPr>
                <w:b/>
                <w:bCs/>
                <w:color w:val="000000" w:themeColor="text1"/>
              </w:rPr>
              <w:t>II. Tiesību akta projekta ietekme uz sabiedrību, tautsaimniecības attīstību un administratīvo slogu</w:t>
            </w:r>
          </w:p>
        </w:tc>
      </w:tr>
      <w:tr w:rsidR="00E478AF" w:rsidRPr="0097439B" w:rsidTr="00D3660C">
        <w:trPr>
          <w:trHeight w:val="415"/>
        </w:trPr>
        <w:tc>
          <w:tcPr>
            <w:tcW w:w="232" w:type="pct"/>
          </w:tcPr>
          <w:p w:rsidR="008078B8" w:rsidRPr="0097439B" w:rsidRDefault="008078B8" w:rsidP="00F22B6A">
            <w:pPr>
              <w:rPr>
                <w:color w:val="000000" w:themeColor="text1"/>
              </w:rPr>
            </w:pPr>
            <w:r w:rsidRPr="0097439B">
              <w:rPr>
                <w:color w:val="000000" w:themeColor="text1"/>
              </w:rPr>
              <w:t>1.</w:t>
            </w:r>
          </w:p>
        </w:tc>
        <w:tc>
          <w:tcPr>
            <w:tcW w:w="1517" w:type="pct"/>
          </w:tcPr>
          <w:p w:rsidR="008078B8" w:rsidRPr="0097439B" w:rsidRDefault="008078B8" w:rsidP="00F22B6A">
            <w:pPr>
              <w:rPr>
                <w:color w:val="000000" w:themeColor="text1"/>
              </w:rPr>
            </w:pPr>
            <w:r w:rsidRPr="0097439B">
              <w:rPr>
                <w:color w:val="000000" w:themeColor="text1"/>
              </w:rPr>
              <w:t xml:space="preserve">Sabiedrības </w:t>
            </w:r>
            <w:proofErr w:type="spellStart"/>
            <w:r w:rsidRPr="0097439B">
              <w:rPr>
                <w:color w:val="000000" w:themeColor="text1"/>
              </w:rPr>
              <w:t>mērķgrupas</w:t>
            </w:r>
            <w:proofErr w:type="spellEnd"/>
            <w:r w:rsidRPr="0097439B">
              <w:rPr>
                <w:color w:val="000000" w:themeColor="text1"/>
              </w:rPr>
              <w:t>, kuras tiesiskais regulējums ietekmē vai varētu ietekmēt</w:t>
            </w:r>
          </w:p>
        </w:tc>
        <w:tc>
          <w:tcPr>
            <w:tcW w:w="3251" w:type="pct"/>
          </w:tcPr>
          <w:p w:rsidR="004E3D10" w:rsidRPr="0097439B" w:rsidRDefault="00745882" w:rsidP="00D9768D">
            <w:pPr>
              <w:pStyle w:val="ListParagraph"/>
              <w:numPr>
                <w:ilvl w:val="0"/>
                <w:numId w:val="35"/>
              </w:numPr>
              <w:spacing w:after="0" w:line="240" w:lineRule="auto"/>
              <w:jc w:val="both"/>
              <w:rPr>
                <w:rFonts w:ascii="Times New Roman" w:hAnsi="Times New Roman"/>
                <w:color w:val="000000" w:themeColor="text1"/>
                <w:sz w:val="24"/>
                <w:szCs w:val="24"/>
                <w:lang w:val="lv-LV"/>
              </w:rPr>
            </w:pPr>
            <w:r w:rsidRPr="0097439B">
              <w:rPr>
                <w:rFonts w:ascii="Times New Roman" w:hAnsi="Times New Roman"/>
                <w:color w:val="000000" w:themeColor="text1"/>
                <w:sz w:val="24"/>
                <w:szCs w:val="24"/>
                <w:lang w:val="lv-LV"/>
              </w:rPr>
              <w:t>Fiziskās personas, kur</w:t>
            </w:r>
            <w:r w:rsidR="00F22B6A" w:rsidRPr="0097439B">
              <w:rPr>
                <w:rFonts w:ascii="Times New Roman" w:hAnsi="Times New Roman"/>
                <w:color w:val="000000" w:themeColor="text1"/>
                <w:sz w:val="24"/>
                <w:szCs w:val="24"/>
                <w:lang w:val="lv-LV"/>
              </w:rPr>
              <w:t>as ir sociālai apdrošināšanai pakļautas personas un kur</w:t>
            </w:r>
            <w:r w:rsidRPr="0097439B">
              <w:rPr>
                <w:rFonts w:ascii="Times New Roman" w:hAnsi="Times New Roman"/>
                <w:color w:val="000000" w:themeColor="text1"/>
                <w:sz w:val="24"/>
                <w:szCs w:val="24"/>
                <w:lang w:val="lv-LV"/>
              </w:rPr>
              <w:t xml:space="preserve">u ienākumi pārsniedz </w:t>
            </w:r>
            <w:r w:rsidR="00CB4DDF" w:rsidRPr="0097439B">
              <w:rPr>
                <w:rFonts w:ascii="Times New Roman" w:hAnsi="Times New Roman"/>
                <w:color w:val="000000" w:themeColor="text1"/>
                <w:sz w:val="24"/>
                <w:szCs w:val="24"/>
                <w:lang w:val="lv-LV"/>
              </w:rPr>
              <w:t xml:space="preserve">kalendāra </w:t>
            </w:r>
            <w:r w:rsidRPr="0097439B">
              <w:rPr>
                <w:rFonts w:ascii="Times New Roman" w:hAnsi="Times New Roman"/>
                <w:color w:val="000000" w:themeColor="text1"/>
                <w:sz w:val="24"/>
                <w:szCs w:val="24"/>
                <w:lang w:val="lv-LV"/>
              </w:rPr>
              <w:t>gada valsts sociālās apdrošināšanas obligāto iemaksu objekt</w:t>
            </w:r>
            <w:r w:rsidR="00F22B6A" w:rsidRPr="0097439B">
              <w:rPr>
                <w:rFonts w:ascii="Times New Roman" w:hAnsi="Times New Roman"/>
                <w:color w:val="000000" w:themeColor="text1"/>
                <w:sz w:val="24"/>
                <w:szCs w:val="24"/>
                <w:lang w:val="lv-LV"/>
              </w:rPr>
              <w:t>a</w:t>
            </w:r>
            <w:r w:rsidRPr="0097439B">
              <w:rPr>
                <w:rFonts w:ascii="Times New Roman" w:hAnsi="Times New Roman"/>
                <w:color w:val="000000" w:themeColor="text1"/>
                <w:sz w:val="24"/>
                <w:szCs w:val="24"/>
                <w:lang w:val="lv-LV"/>
              </w:rPr>
              <w:t xml:space="preserve"> </w:t>
            </w:r>
            <w:r w:rsidR="00F22B6A" w:rsidRPr="0097439B">
              <w:rPr>
                <w:rFonts w:ascii="Times New Roman" w:hAnsi="Times New Roman"/>
                <w:color w:val="000000" w:themeColor="text1"/>
                <w:sz w:val="24"/>
                <w:szCs w:val="24"/>
                <w:lang w:val="lv-LV"/>
              </w:rPr>
              <w:t xml:space="preserve">maksimālo  apmēru </w:t>
            </w:r>
            <w:r w:rsidRPr="0097439B">
              <w:rPr>
                <w:rFonts w:ascii="Times New Roman" w:hAnsi="Times New Roman"/>
                <w:color w:val="000000" w:themeColor="text1"/>
                <w:sz w:val="24"/>
                <w:szCs w:val="24"/>
                <w:lang w:val="lv-LV"/>
              </w:rPr>
              <w:t>(</w:t>
            </w:r>
            <w:r w:rsidR="00BB56B7" w:rsidRPr="0097439B">
              <w:rPr>
                <w:rFonts w:ascii="Times New Roman" w:hAnsi="Times New Roman"/>
                <w:color w:val="000000" w:themeColor="text1"/>
                <w:sz w:val="24"/>
                <w:szCs w:val="24"/>
                <w:lang w:val="lv-LV"/>
              </w:rPr>
              <w:t>201</w:t>
            </w:r>
            <w:r w:rsidR="000A538C" w:rsidRPr="0097439B">
              <w:rPr>
                <w:rFonts w:ascii="Times New Roman" w:hAnsi="Times New Roman"/>
                <w:color w:val="000000" w:themeColor="text1"/>
                <w:sz w:val="24"/>
                <w:szCs w:val="24"/>
                <w:lang w:val="lv-LV"/>
              </w:rPr>
              <w:t>7</w:t>
            </w:r>
            <w:r w:rsidR="00BB56B7" w:rsidRPr="0097439B">
              <w:rPr>
                <w:rFonts w:ascii="Times New Roman" w:hAnsi="Times New Roman"/>
                <w:color w:val="000000" w:themeColor="text1"/>
                <w:sz w:val="24"/>
                <w:szCs w:val="24"/>
                <w:lang w:val="lv-LV"/>
              </w:rPr>
              <w:t xml:space="preserve">.gadā </w:t>
            </w:r>
            <w:r w:rsidR="00C16D21" w:rsidRPr="0097439B">
              <w:rPr>
                <w:rFonts w:ascii="Times New Roman" w:hAnsi="Times New Roman"/>
                <w:color w:val="000000" w:themeColor="text1"/>
                <w:sz w:val="24"/>
                <w:szCs w:val="24"/>
                <w:lang w:val="lv-LV"/>
              </w:rPr>
              <w:t>52 400</w:t>
            </w:r>
            <w:r w:rsidR="005C3885" w:rsidRPr="0097439B">
              <w:rPr>
                <w:rFonts w:ascii="Times New Roman" w:hAnsi="Times New Roman"/>
                <w:color w:val="000000" w:themeColor="text1"/>
                <w:sz w:val="24"/>
                <w:szCs w:val="24"/>
                <w:lang w:val="lv-LV"/>
              </w:rPr>
              <w:t xml:space="preserve"> </w:t>
            </w:r>
            <w:r w:rsidRPr="0097439B">
              <w:rPr>
                <w:rFonts w:ascii="Times New Roman" w:hAnsi="Times New Roman"/>
                <w:i/>
                <w:color w:val="000000" w:themeColor="text1"/>
                <w:sz w:val="24"/>
                <w:szCs w:val="24"/>
                <w:lang w:val="lv-LV"/>
              </w:rPr>
              <w:t>euro</w:t>
            </w:r>
            <w:r w:rsidRPr="0097439B">
              <w:rPr>
                <w:rFonts w:ascii="Times New Roman" w:hAnsi="Times New Roman"/>
                <w:color w:val="000000" w:themeColor="text1"/>
                <w:sz w:val="24"/>
                <w:szCs w:val="24"/>
                <w:lang w:val="lv-LV"/>
              </w:rPr>
              <w:t>).</w:t>
            </w:r>
            <w:r w:rsidR="00664081" w:rsidRPr="0097439B">
              <w:rPr>
                <w:rFonts w:ascii="Times New Roman" w:hAnsi="Times New Roman"/>
                <w:color w:val="000000" w:themeColor="text1"/>
                <w:sz w:val="24"/>
                <w:szCs w:val="24"/>
                <w:lang w:val="lv-LV"/>
              </w:rPr>
              <w:t xml:space="preserve"> Šādu personu skaits </w:t>
            </w:r>
            <w:r w:rsidR="00CB4DDF" w:rsidRPr="0097439B">
              <w:rPr>
                <w:rFonts w:ascii="Times New Roman" w:hAnsi="Times New Roman"/>
                <w:color w:val="000000" w:themeColor="text1"/>
                <w:sz w:val="24"/>
                <w:szCs w:val="24"/>
                <w:lang w:val="lv-LV"/>
              </w:rPr>
              <w:t>2</w:t>
            </w:r>
            <w:r w:rsidR="00C16D21" w:rsidRPr="0097439B">
              <w:rPr>
                <w:rFonts w:ascii="Times New Roman" w:hAnsi="Times New Roman"/>
                <w:color w:val="000000" w:themeColor="text1"/>
                <w:sz w:val="24"/>
                <w:szCs w:val="24"/>
                <w:lang w:val="lv-LV"/>
              </w:rPr>
              <w:t>017</w:t>
            </w:r>
            <w:r w:rsidR="00CB4DDF" w:rsidRPr="0097439B">
              <w:rPr>
                <w:rFonts w:ascii="Times New Roman" w:hAnsi="Times New Roman"/>
                <w:color w:val="000000" w:themeColor="text1"/>
                <w:sz w:val="24"/>
                <w:szCs w:val="24"/>
                <w:lang w:val="lv-LV"/>
              </w:rPr>
              <w:t>.gad</w:t>
            </w:r>
            <w:r w:rsidR="0031330B" w:rsidRPr="0097439B">
              <w:rPr>
                <w:rFonts w:ascii="Times New Roman" w:hAnsi="Times New Roman"/>
                <w:color w:val="000000" w:themeColor="text1"/>
                <w:sz w:val="24"/>
                <w:szCs w:val="24"/>
                <w:lang w:val="lv-LV"/>
              </w:rPr>
              <w:t xml:space="preserve">a </w:t>
            </w:r>
            <w:r w:rsidR="007036D0" w:rsidRPr="0097439B">
              <w:rPr>
                <w:rFonts w:ascii="Times New Roman" w:hAnsi="Times New Roman"/>
                <w:color w:val="000000" w:themeColor="text1"/>
                <w:sz w:val="24"/>
                <w:szCs w:val="24"/>
                <w:lang w:val="lv-LV"/>
              </w:rPr>
              <w:t>pirmajos piecos mēnešos</w:t>
            </w:r>
            <w:r w:rsidR="00C16D21" w:rsidRPr="0097439B">
              <w:rPr>
                <w:rFonts w:ascii="Times New Roman" w:hAnsi="Times New Roman"/>
                <w:color w:val="000000" w:themeColor="text1"/>
                <w:sz w:val="24"/>
                <w:szCs w:val="24"/>
                <w:lang w:val="lv-LV"/>
              </w:rPr>
              <w:t xml:space="preserve"> </w:t>
            </w:r>
            <w:r w:rsidR="00CB4DDF" w:rsidRPr="0097439B">
              <w:rPr>
                <w:rFonts w:ascii="Times New Roman" w:hAnsi="Times New Roman"/>
                <w:color w:val="000000" w:themeColor="text1"/>
                <w:sz w:val="24"/>
                <w:szCs w:val="24"/>
                <w:lang w:val="lv-LV"/>
              </w:rPr>
              <w:t xml:space="preserve">bija </w:t>
            </w:r>
            <w:r w:rsidR="007036D0" w:rsidRPr="0097439B">
              <w:rPr>
                <w:rFonts w:ascii="Times New Roman" w:hAnsi="Times New Roman"/>
                <w:color w:val="000000" w:themeColor="text1"/>
                <w:sz w:val="24"/>
                <w:szCs w:val="24"/>
                <w:lang w:val="lv-LV"/>
              </w:rPr>
              <w:t>592</w:t>
            </w:r>
            <w:r w:rsidR="00C16D21" w:rsidRPr="0097439B">
              <w:rPr>
                <w:rFonts w:ascii="Times New Roman" w:hAnsi="Times New Roman"/>
                <w:color w:val="000000" w:themeColor="text1"/>
                <w:sz w:val="24"/>
                <w:szCs w:val="24"/>
                <w:lang w:val="lv-LV"/>
              </w:rPr>
              <w:t xml:space="preserve">, bet </w:t>
            </w:r>
            <w:r w:rsidR="00C50BCE" w:rsidRPr="0097439B">
              <w:rPr>
                <w:rFonts w:ascii="Times New Roman" w:hAnsi="Times New Roman"/>
                <w:color w:val="000000" w:themeColor="text1"/>
                <w:sz w:val="24"/>
                <w:szCs w:val="24"/>
                <w:lang w:val="lv-LV"/>
              </w:rPr>
              <w:t>kopumā sagaidāms, ka personu skaits</w:t>
            </w:r>
            <w:r w:rsidR="00D9768D" w:rsidRPr="0097439B">
              <w:rPr>
                <w:rFonts w:ascii="Times New Roman" w:hAnsi="Times New Roman"/>
                <w:color w:val="000000" w:themeColor="text1"/>
                <w:sz w:val="24"/>
                <w:szCs w:val="24"/>
                <w:lang w:val="lv-LV"/>
              </w:rPr>
              <w:t>, kas atbilst solidaritātes nodokļa maksātāja kritērijiem,</w:t>
            </w:r>
            <w:r w:rsidR="00C50BCE" w:rsidRPr="0097439B">
              <w:rPr>
                <w:rFonts w:ascii="Times New Roman" w:hAnsi="Times New Roman"/>
                <w:color w:val="000000" w:themeColor="text1"/>
                <w:sz w:val="24"/>
                <w:szCs w:val="24"/>
                <w:lang w:val="lv-LV"/>
              </w:rPr>
              <w:t xml:space="preserve"> </w:t>
            </w:r>
            <w:r w:rsidR="00D9768D" w:rsidRPr="0097439B">
              <w:rPr>
                <w:rFonts w:ascii="Times New Roman" w:hAnsi="Times New Roman"/>
                <w:color w:val="000000" w:themeColor="text1"/>
                <w:sz w:val="24"/>
                <w:szCs w:val="24"/>
                <w:lang w:val="lv-LV"/>
              </w:rPr>
              <w:t xml:space="preserve">2017.gadā </w:t>
            </w:r>
            <w:r w:rsidR="00C50BCE" w:rsidRPr="0097439B">
              <w:rPr>
                <w:rFonts w:ascii="Times New Roman" w:hAnsi="Times New Roman"/>
                <w:color w:val="000000" w:themeColor="text1"/>
                <w:sz w:val="24"/>
                <w:szCs w:val="24"/>
                <w:lang w:val="lv-LV"/>
              </w:rPr>
              <w:t xml:space="preserve">būs tuvu tam skaitam, kāds bija šī nodokļa maksātāju skaits </w:t>
            </w:r>
            <w:r w:rsidR="00C16D21" w:rsidRPr="0097439B">
              <w:rPr>
                <w:rFonts w:ascii="Times New Roman" w:hAnsi="Times New Roman"/>
                <w:color w:val="000000" w:themeColor="text1"/>
                <w:sz w:val="24"/>
                <w:szCs w:val="24"/>
                <w:lang w:val="lv-LV"/>
              </w:rPr>
              <w:t>2016.gadā</w:t>
            </w:r>
            <w:r w:rsidR="00C50BCE" w:rsidRPr="0097439B">
              <w:rPr>
                <w:rFonts w:ascii="Times New Roman" w:hAnsi="Times New Roman"/>
                <w:color w:val="000000" w:themeColor="text1"/>
                <w:sz w:val="24"/>
                <w:szCs w:val="24"/>
                <w:lang w:val="lv-LV"/>
              </w:rPr>
              <w:t>. 2016.gadā</w:t>
            </w:r>
            <w:r w:rsidR="00C16D21" w:rsidRPr="0097439B">
              <w:rPr>
                <w:rFonts w:ascii="Times New Roman" w:hAnsi="Times New Roman"/>
                <w:color w:val="000000" w:themeColor="text1"/>
                <w:sz w:val="24"/>
                <w:szCs w:val="24"/>
                <w:lang w:val="lv-LV"/>
              </w:rPr>
              <w:t xml:space="preserve"> bija 5939 personu, kuru </w:t>
            </w:r>
            <w:r w:rsidR="00C16D21" w:rsidRPr="0097439B">
              <w:rPr>
                <w:rFonts w:ascii="Times New Roman" w:hAnsi="Times New Roman"/>
                <w:color w:val="000000" w:themeColor="text1"/>
                <w:lang w:val="lv-LV"/>
              </w:rPr>
              <w:t xml:space="preserve"> </w:t>
            </w:r>
            <w:r w:rsidR="00C16D21" w:rsidRPr="0097439B">
              <w:rPr>
                <w:rFonts w:ascii="Times New Roman" w:hAnsi="Times New Roman"/>
                <w:color w:val="000000" w:themeColor="text1"/>
                <w:sz w:val="24"/>
                <w:szCs w:val="24"/>
                <w:lang w:val="lv-LV"/>
              </w:rPr>
              <w:t xml:space="preserve">valsts sociālās apdrošināšanas obligāto iemaksu objekta apmērs bija lielāks 48 600 </w:t>
            </w:r>
            <w:r w:rsidR="00C16D21" w:rsidRPr="0097439B">
              <w:rPr>
                <w:rFonts w:ascii="Times New Roman" w:hAnsi="Times New Roman"/>
                <w:i/>
                <w:color w:val="000000" w:themeColor="text1"/>
                <w:sz w:val="24"/>
                <w:szCs w:val="24"/>
                <w:lang w:val="lv-LV"/>
              </w:rPr>
              <w:t>euro</w:t>
            </w:r>
            <w:r w:rsidR="00C16D21" w:rsidRPr="0097439B">
              <w:rPr>
                <w:rFonts w:ascii="Times New Roman" w:hAnsi="Times New Roman"/>
                <w:color w:val="000000" w:themeColor="text1"/>
                <w:sz w:val="24"/>
                <w:szCs w:val="24"/>
                <w:lang w:val="lv-LV"/>
              </w:rPr>
              <w:t xml:space="preserve">, </w:t>
            </w:r>
            <w:r w:rsidR="00FF560A" w:rsidRPr="0097439B">
              <w:rPr>
                <w:rFonts w:ascii="Times New Roman" w:hAnsi="Times New Roman"/>
                <w:color w:val="000000" w:themeColor="text1"/>
                <w:sz w:val="24"/>
                <w:szCs w:val="24"/>
                <w:lang w:val="lv-LV"/>
              </w:rPr>
              <w:t>t.i., lielā</w:t>
            </w:r>
            <w:r w:rsidR="00C16D21" w:rsidRPr="0097439B">
              <w:rPr>
                <w:rFonts w:ascii="Times New Roman" w:hAnsi="Times New Roman"/>
                <w:color w:val="000000" w:themeColor="text1"/>
                <w:sz w:val="24"/>
                <w:szCs w:val="24"/>
                <w:lang w:val="lv-LV"/>
              </w:rPr>
              <w:t xml:space="preserve">ks </w:t>
            </w:r>
            <w:r w:rsidR="00FF560A" w:rsidRPr="0097439B">
              <w:rPr>
                <w:rFonts w:ascii="Times New Roman" w:hAnsi="Times New Roman"/>
                <w:color w:val="000000" w:themeColor="text1"/>
                <w:sz w:val="24"/>
                <w:szCs w:val="24"/>
                <w:lang w:val="lv-LV"/>
              </w:rPr>
              <w:t xml:space="preserve">par 2016.gadam  </w:t>
            </w:r>
            <w:r w:rsidR="00E4431F" w:rsidRPr="0097439B">
              <w:rPr>
                <w:rFonts w:ascii="Times New Roman" w:hAnsi="Times New Roman"/>
                <w:color w:val="000000" w:themeColor="text1"/>
                <w:sz w:val="24"/>
                <w:szCs w:val="24"/>
                <w:lang w:val="lv-LV"/>
              </w:rPr>
              <w:t>noteikto</w:t>
            </w:r>
            <w:r w:rsidR="00C16D21" w:rsidRPr="0097439B">
              <w:rPr>
                <w:rFonts w:ascii="Times New Roman" w:hAnsi="Times New Roman"/>
                <w:color w:val="000000" w:themeColor="text1"/>
                <w:sz w:val="24"/>
                <w:szCs w:val="24"/>
                <w:lang w:val="lv-LV"/>
              </w:rPr>
              <w:t xml:space="preserve"> </w:t>
            </w:r>
            <w:r w:rsidR="00C16D21" w:rsidRPr="0097439B">
              <w:rPr>
                <w:rFonts w:ascii="Times New Roman" w:hAnsi="Times New Roman"/>
                <w:color w:val="000000" w:themeColor="text1"/>
                <w:lang w:val="lv-LV"/>
              </w:rPr>
              <w:t xml:space="preserve"> </w:t>
            </w:r>
            <w:r w:rsidR="00C16D21" w:rsidRPr="0097439B">
              <w:rPr>
                <w:rFonts w:ascii="Times New Roman" w:hAnsi="Times New Roman"/>
                <w:color w:val="000000" w:themeColor="text1"/>
                <w:sz w:val="24"/>
                <w:szCs w:val="24"/>
                <w:lang w:val="lv-LV"/>
              </w:rPr>
              <w:t>valsts sociālās apdrošināšanas obligāto ie</w:t>
            </w:r>
            <w:r w:rsidR="00FF560A" w:rsidRPr="0097439B">
              <w:rPr>
                <w:rFonts w:ascii="Times New Roman" w:hAnsi="Times New Roman"/>
                <w:color w:val="000000" w:themeColor="text1"/>
                <w:sz w:val="24"/>
                <w:szCs w:val="24"/>
                <w:lang w:val="lv-LV"/>
              </w:rPr>
              <w:t xml:space="preserve">maksu objekta </w:t>
            </w:r>
            <w:r w:rsidR="00E4431F" w:rsidRPr="0097439B">
              <w:rPr>
                <w:rFonts w:ascii="Times New Roman" w:hAnsi="Times New Roman"/>
                <w:color w:val="000000" w:themeColor="text1"/>
                <w:sz w:val="24"/>
                <w:szCs w:val="24"/>
                <w:lang w:val="lv-LV"/>
              </w:rPr>
              <w:t>maksimālo</w:t>
            </w:r>
            <w:r w:rsidR="00FF560A" w:rsidRPr="0097439B">
              <w:rPr>
                <w:rFonts w:ascii="Times New Roman" w:hAnsi="Times New Roman"/>
                <w:color w:val="000000" w:themeColor="text1"/>
                <w:sz w:val="24"/>
                <w:szCs w:val="24"/>
                <w:lang w:val="lv-LV"/>
              </w:rPr>
              <w:t xml:space="preserve"> apmēru</w:t>
            </w:r>
            <w:r w:rsidR="00C16D21" w:rsidRPr="0097439B">
              <w:rPr>
                <w:rFonts w:ascii="Times New Roman" w:hAnsi="Times New Roman"/>
                <w:color w:val="000000" w:themeColor="text1"/>
                <w:sz w:val="24"/>
                <w:szCs w:val="24"/>
                <w:lang w:val="lv-LV"/>
              </w:rPr>
              <w:t>.</w:t>
            </w:r>
            <w:r w:rsidR="0031330B" w:rsidRPr="0097439B">
              <w:rPr>
                <w:rFonts w:ascii="Times New Roman" w:hAnsi="Times New Roman"/>
                <w:color w:val="000000" w:themeColor="text1"/>
                <w:sz w:val="24"/>
                <w:szCs w:val="24"/>
                <w:lang w:val="lv-LV"/>
              </w:rPr>
              <w:t xml:space="preserve"> 2016.gadā personu, kuras  atbilda solidaritātes nodokļa maksātāja kritērijiem, bija par 12,7% vairāk nekā 2015.gadā</w:t>
            </w:r>
            <w:r w:rsidR="00D9768D" w:rsidRPr="0097439B">
              <w:rPr>
                <w:rFonts w:ascii="Times New Roman" w:hAnsi="Times New Roman"/>
                <w:color w:val="000000" w:themeColor="text1"/>
                <w:sz w:val="24"/>
                <w:szCs w:val="24"/>
                <w:lang w:val="lv-LV"/>
              </w:rPr>
              <w:t xml:space="preserve"> (valsts sociālās apdrošināšanas obligāto iemaksu objekta maksimālais  apmērs bija tāds pats kā 2016.gadā)</w:t>
            </w:r>
            <w:r w:rsidR="0031330B" w:rsidRPr="0097439B">
              <w:rPr>
                <w:rFonts w:ascii="Times New Roman" w:hAnsi="Times New Roman"/>
                <w:color w:val="000000" w:themeColor="text1"/>
                <w:sz w:val="24"/>
                <w:szCs w:val="24"/>
                <w:lang w:val="lv-LV"/>
              </w:rPr>
              <w:t xml:space="preserve">. </w:t>
            </w:r>
            <w:r w:rsidR="00FF560A" w:rsidRPr="0097439B">
              <w:rPr>
                <w:rFonts w:ascii="Times New Roman" w:hAnsi="Times New Roman"/>
                <w:color w:val="000000" w:themeColor="text1"/>
                <w:sz w:val="24"/>
                <w:szCs w:val="24"/>
                <w:lang w:val="lv-LV"/>
              </w:rPr>
              <w:t>S</w:t>
            </w:r>
            <w:r w:rsidR="00D9768D" w:rsidRPr="0097439B">
              <w:rPr>
                <w:rFonts w:ascii="Times New Roman" w:hAnsi="Times New Roman"/>
                <w:color w:val="000000" w:themeColor="text1"/>
                <w:sz w:val="24"/>
                <w:szCs w:val="24"/>
                <w:lang w:val="lv-LV"/>
              </w:rPr>
              <w:t xml:space="preserve">olidaritātes  nodokļa maksātāju skaits </w:t>
            </w:r>
            <w:r w:rsidR="00FF560A" w:rsidRPr="0097439B">
              <w:rPr>
                <w:rFonts w:ascii="Times New Roman" w:hAnsi="Times New Roman"/>
                <w:color w:val="000000" w:themeColor="text1"/>
                <w:sz w:val="24"/>
                <w:szCs w:val="24"/>
                <w:lang w:val="lv-LV"/>
              </w:rPr>
              <w:t xml:space="preserve"> maksimumu </w:t>
            </w:r>
            <w:r w:rsidR="00D9768D" w:rsidRPr="0097439B">
              <w:rPr>
                <w:rFonts w:ascii="Times New Roman" w:hAnsi="Times New Roman"/>
                <w:color w:val="000000" w:themeColor="text1"/>
                <w:sz w:val="24"/>
                <w:szCs w:val="24"/>
                <w:lang w:val="lv-LV"/>
              </w:rPr>
              <w:t>sasniedz gada pēdējā ceturksnī.</w:t>
            </w:r>
          </w:p>
          <w:p w:rsidR="00042684" w:rsidRPr="0097439B" w:rsidRDefault="00042684" w:rsidP="00C50BCE">
            <w:pPr>
              <w:pStyle w:val="ListParagraph"/>
              <w:numPr>
                <w:ilvl w:val="0"/>
                <w:numId w:val="35"/>
              </w:numPr>
              <w:spacing w:after="0" w:line="240" w:lineRule="auto"/>
              <w:jc w:val="both"/>
              <w:rPr>
                <w:rFonts w:ascii="Times New Roman" w:hAnsi="Times New Roman"/>
                <w:color w:val="000000" w:themeColor="text1"/>
                <w:sz w:val="24"/>
                <w:szCs w:val="24"/>
                <w:lang w:val="lv-LV"/>
              </w:rPr>
            </w:pPr>
            <w:r w:rsidRPr="0097439B">
              <w:rPr>
                <w:rFonts w:ascii="Times New Roman" w:hAnsi="Times New Roman"/>
                <w:color w:val="000000" w:themeColor="text1"/>
                <w:sz w:val="24"/>
                <w:szCs w:val="24"/>
                <w:lang w:val="lv-LV"/>
              </w:rPr>
              <w:t>Darba devēji, kuru darba ņēmēju gūtie ienākumi pārsniedz</w:t>
            </w:r>
            <w:r w:rsidR="00C50BCE" w:rsidRPr="0097439B">
              <w:rPr>
                <w:rFonts w:ascii="Times New Roman" w:hAnsi="Times New Roman"/>
                <w:color w:val="000000" w:themeColor="text1"/>
                <w:sz w:val="24"/>
                <w:szCs w:val="24"/>
                <w:lang w:val="lv-LV"/>
              </w:rPr>
              <w:t xml:space="preserve"> valsts sociālās apdrošināšanas obligāto iemaksu objekta </w:t>
            </w:r>
            <w:r w:rsidR="00F22B6A" w:rsidRPr="0097439B">
              <w:rPr>
                <w:rFonts w:ascii="Times New Roman" w:hAnsi="Times New Roman"/>
                <w:color w:val="000000" w:themeColor="text1"/>
                <w:sz w:val="24"/>
                <w:szCs w:val="24"/>
                <w:lang w:val="lv-LV"/>
              </w:rPr>
              <w:t xml:space="preserve">maksimālo  apmēru </w:t>
            </w:r>
            <w:r w:rsidRPr="0097439B">
              <w:rPr>
                <w:rFonts w:ascii="Times New Roman" w:hAnsi="Times New Roman"/>
                <w:color w:val="000000" w:themeColor="text1"/>
                <w:sz w:val="24"/>
                <w:szCs w:val="24"/>
                <w:lang w:val="lv-LV"/>
              </w:rPr>
              <w:t>.</w:t>
            </w:r>
          </w:p>
        </w:tc>
      </w:tr>
      <w:tr w:rsidR="00E478AF" w:rsidRPr="0097439B" w:rsidTr="00D3660C">
        <w:trPr>
          <w:trHeight w:val="472"/>
        </w:trPr>
        <w:tc>
          <w:tcPr>
            <w:tcW w:w="232" w:type="pct"/>
          </w:tcPr>
          <w:p w:rsidR="008078B8" w:rsidRPr="0097439B" w:rsidRDefault="008078B8" w:rsidP="00F22B6A">
            <w:pPr>
              <w:rPr>
                <w:color w:val="000000" w:themeColor="text1"/>
              </w:rPr>
            </w:pPr>
            <w:r w:rsidRPr="0097439B">
              <w:rPr>
                <w:color w:val="000000" w:themeColor="text1"/>
              </w:rPr>
              <w:t>2.</w:t>
            </w:r>
          </w:p>
        </w:tc>
        <w:tc>
          <w:tcPr>
            <w:tcW w:w="1517" w:type="pct"/>
          </w:tcPr>
          <w:p w:rsidR="008078B8" w:rsidRPr="0097439B" w:rsidRDefault="008078B8" w:rsidP="00F22B6A">
            <w:pPr>
              <w:rPr>
                <w:color w:val="000000" w:themeColor="text1"/>
              </w:rPr>
            </w:pPr>
            <w:r w:rsidRPr="0097439B">
              <w:rPr>
                <w:color w:val="000000" w:themeColor="text1"/>
              </w:rPr>
              <w:t>Tiesiskā regulējuma ietekme uz tautsaimniecību un administratīvo slogu</w:t>
            </w:r>
          </w:p>
        </w:tc>
        <w:tc>
          <w:tcPr>
            <w:tcW w:w="3251" w:type="pct"/>
          </w:tcPr>
          <w:p w:rsidR="00AA15DC" w:rsidRPr="0097439B" w:rsidRDefault="0015638A" w:rsidP="00BB56B7">
            <w:pPr>
              <w:jc w:val="both"/>
              <w:rPr>
                <w:color w:val="000000" w:themeColor="text1"/>
              </w:rPr>
            </w:pPr>
            <w:r w:rsidRPr="0097439B">
              <w:rPr>
                <w:color w:val="000000" w:themeColor="text1"/>
              </w:rPr>
              <w:t>Attiecībā uz fiziskajām personām</w:t>
            </w:r>
            <w:r w:rsidR="005C3885" w:rsidRPr="0097439B">
              <w:rPr>
                <w:color w:val="000000" w:themeColor="text1"/>
              </w:rPr>
              <w:t xml:space="preserve"> – ienākumu guvējām, kā arī darba devējiem </w:t>
            </w:r>
            <w:r w:rsidRPr="0097439B">
              <w:rPr>
                <w:color w:val="000000" w:themeColor="text1"/>
              </w:rPr>
              <w:t>administratīvais slogs nemainīsies.</w:t>
            </w:r>
          </w:p>
          <w:p w:rsidR="00AA15DC" w:rsidRPr="0097439B" w:rsidRDefault="00A41CF5" w:rsidP="00BB56B7">
            <w:pPr>
              <w:jc w:val="both"/>
              <w:rPr>
                <w:color w:val="000000" w:themeColor="text1"/>
              </w:rPr>
            </w:pPr>
            <w:r w:rsidRPr="0097439B">
              <w:rPr>
                <w:color w:val="000000" w:themeColor="text1"/>
              </w:rPr>
              <w:t xml:space="preserve">Lai novirzītu </w:t>
            </w:r>
            <w:r w:rsidR="00F3644D" w:rsidRPr="0097439B">
              <w:rPr>
                <w:color w:val="000000" w:themeColor="text1"/>
              </w:rPr>
              <w:t xml:space="preserve">uz </w:t>
            </w:r>
            <w:r w:rsidR="00F3644D" w:rsidRPr="0097439B">
              <w:rPr>
                <w:bCs/>
                <w:color w:val="000000" w:themeColor="text1"/>
                <w:szCs w:val="28"/>
              </w:rPr>
              <w:t>privāto pensiju fondu pensiju plānu</w:t>
            </w:r>
            <w:r w:rsidR="00F3644D" w:rsidRPr="0097439B">
              <w:rPr>
                <w:color w:val="000000" w:themeColor="text1"/>
              </w:rPr>
              <w:t xml:space="preserve"> </w:t>
            </w:r>
            <w:r w:rsidR="00966A8F" w:rsidRPr="0097439B">
              <w:rPr>
                <w:color w:val="000000" w:themeColor="text1"/>
              </w:rPr>
              <w:t xml:space="preserve">solidaritātes nodokļa </w:t>
            </w:r>
            <w:r w:rsidRPr="0097439B">
              <w:rPr>
                <w:color w:val="000000" w:themeColor="text1"/>
              </w:rPr>
              <w:t>6</w:t>
            </w:r>
            <w:r w:rsidR="00966A8F" w:rsidRPr="0097439B">
              <w:rPr>
                <w:color w:val="000000" w:themeColor="text1"/>
              </w:rPr>
              <w:t xml:space="preserve"> procentpunktus</w:t>
            </w:r>
            <w:r w:rsidRPr="0097439B">
              <w:rPr>
                <w:color w:val="000000" w:themeColor="text1"/>
              </w:rPr>
              <w:t xml:space="preserve"> </w:t>
            </w:r>
            <w:r w:rsidR="00C47E18" w:rsidRPr="0097439B">
              <w:rPr>
                <w:color w:val="000000" w:themeColor="text1"/>
              </w:rPr>
              <w:t xml:space="preserve">tajā gadījumā, kad nodokļa maksātājs nav </w:t>
            </w:r>
            <w:r w:rsidR="00C47E18" w:rsidRPr="0097439B">
              <w:rPr>
                <w:bCs/>
                <w:color w:val="000000" w:themeColor="text1"/>
                <w:szCs w:val="28"/>
              </w:rPr>
              <w:t>fondēto pensiju shēmas dalībnieks</w:t>
            </w:r>
            <w:r w:rsidR="00F3644D" w:rsidRPr="0097439B">
              <w:rPr>
                <w:bCs/>
                <w:color w:val="000000" w:themeColor="text1"/>
                <w:szCs w:val="28"/>
              </w:rPr>
              <w:t>,</w:t>
            </w:r>
            <w:r w:rsidR="00C47E18" w:rsidRPr="0097439B">
              <w:rPr>
                <w:bCs/>
                <w:color w:val="000000" w:themeColor="text1"/>
                <w:szCs w:val="28"/>
              </w:rPr>
              <w:t xml:space="preserve"> </w:t>
            </w:r>
            <w:r w:rsidR="00C47E18" w:rsidRPr="0097439B">
              <w:rPr>
                <w:color w:val="000000" w:themeColor="text1"/>
              </w:rPr>
              <w:t>un</w:t>
            </w:r>
            <w:r w:rsidR="00F3644D" w:rsidRPr="0097439B">
              <w:rPr>
                <w:color w:val="000000" w:themeColor="text1"/>
              </w:rPr>
              <w:t xml:space="preserve"> 4 procentpunktus visu solidaritātes nodokļa maksātāju privāto pensiju fondu pensiju plānos</w:t>
            </w:r>
            <w:r w:rsidRPr="0097439B">
              <w:rPr>
                <w:bCs/>
                <w:color w:val="000000" w:themeColor="text1"/>
                <w:szCs w:val="28"/>
              </w:rPr>
              <w:t>, personai būs jāiesniedz Valsts sociālās apdrošināšanas aģentūrai</w:t>
            </w:r>
            <w:r w:rsidR="00B00FCD" w:rsidRPr="0097439B">
              <w:rPr>
                <w:bCs/>
                <w:color w:val="000000" w:themeColor="text1"/>
                <w:szCs w:val="28"/>
              </w:rPr>
              <w:t xml:space="preserve"> </w:t>
            </w:r>
            <w:r w:rsidR="00640521" w:rsidRPr="0097439B">
              <w:rPr>
                <w:bCs/>
                <w:color w:val="000000" w:themeColor="text1"/>
                <w:szCs w:val="28"/>
              </w:rPr>
              <w:t xml:space="preserve">(VSAA) </w:t>
            </w:r>
            <w:r w:rsidRPr="0097439B">
              <w:rPr>
                <w:bCs/>
                <w:color w:val="000000" w:themeColor="text1"/>
                <w:szCs w:val="28"/>
              </w:rPr>
              <w:t>informācija par to</w:t>
            </w:r>
            <w:r w:rsidR="00B00FCD" w:rsidRPr="0097439B">
              <w:rPr>
                <w:bCs/>
                <w:color w:val="000000" w:themeColor="text1"/>
                <w:szCs w:val="28"/>
              </w:rPr>
              <w:t>,</w:t>
            </w:r>
            <w:r w:rsidRPr="0097439B">
              <w:rPr>
                <w:bCs/>
                <w:color w:val="000000" w:themeColor="text1"/>
                <w:szCs w:val="28"/>
              </w:rPr>
              <w:t xml:space="preserve"> kurā pensiju fondā ir veicami ieguldījumi.</w:t>
            </w:r>
          </w:p>
          <w:p w:rsidR="0015638A" w:rsidRPr="0097439B" w:rsidRDefault="0015638A" w:rsidP="003069A3">
            <w:pPr>
              <w:jc w:val="both"/>
              <w:rPr>
                <w:color w:val="000000" w:themeColor="text1"/>
              </w:rPr>
            </w:pPr>
          </w:p>
        </w:tc>
      </w:tr>
      <w:tr w:rsidR="00E478AF" w:rsidRPr="0097439B" w:rsidTr="00D3660C">
        <w:trPr>
          <w:trHeight w:val="309"/>
        </w:trPr>
        <w:tc>
          <w:tcPr>
            <w:tcW w:w="232" w:type="pct"/>
          </w:tcPr>
          <w:p w:rsidR="008078B8" w:rsidRPr="0097439B" w:rsidRDefault="008078B8" w:rsidP="00F22B6A">
            <w:pPr>
              <w:rPr>
                <w:color w:val="000000" w:themeColor="text1"/>
              </w:rPr>
            </w:pPr>
            <w:r w:rsidRPr="0097439B">
              <w:rPr>
                <w:color w:val="000000" w:themeColor="text1"/>
              </w:rPr>
              <w:t>3.</w:t>
            </w:r>
          </w:p>
        </w:tc>
        <w:tc>
          <w:tcPr>
            <w:tcW w:w="1517" w:type="pct"/>
          </w:tcPr>
          <w:p w:rsidR="008078B8" w:rsidRPr="0097439B" w:rsidRDefault="008078B8" w:rsidP="00F22B6A">
            <w:pPr>
              <w:rPr>
                <w:color w:val="000000" w:themeColor="text1"/>
              </w:rPr>
            </w:pPr>
            <w:r w:rsidRPr="0097439B">
              <w:rPr>
                <w:color w:val="000000" w:themeColor="text1"/>
              </w:rPr>
              <w:t>Administratīvo izmaksu monetārs novērtējums</w:t>
            </w:r>
          </w:p>
        </w:tc>
        <w:tc>
          <w:tcPr>
            <w:tcW w:w="3251" w:type="pct"/>
          </w:tcPr>
          <w:p w:rsidR="008078B8" w:rsidRPr="0097439B" w:rsidRDefault="0015638A" w:rsidP="00F22B6A">
            <w:pPr>
              <w:rPr>
                <w:color w:val="000000" w:themeColor="text1"/>
              </w:rPr>
            </w:pPr>
            <w:r w:rsidRPr="0097439B">
              <w:rPr>
                <w:color w:val="000000" w:themeColor="text1"/>
              </w:rPr>
              <w:t>Projekts šo jomu neskar.</w:t>
            </w:r>
          </w:p>
        </w:tc>
      </w:tr>
      <w:tr w:rsidR="00E478AF" w:rsidRPr="0097439B" w:rsidTr="00D3660C">
        <w:trPr>
          <w:trHeight w:val="242"/>
        </w:trPr>
        <w:tc>
          <w:tcPr>
            <w:tcW w:w="232" w:type="pct"/>
          </w:tcPr>
          <w:p w:rsidR="008078B8" w:rsidRPr="0097439B" w:rsidRDefault="008078B8" w:rsidP="00F22B6A">
            <w:pPr>
              <w:rPr>
                <w:color w:val="000000" w:themeColor="text1"/>
              </w:rPr>
            </w:pPr>
            <w:r w:rsidRPr="0097439B">
              <w:rPr>
                <w:color w:val="000000" w:themeColor="text1"/>
              </w:rPr>
              <w:t>4.</w:t>
            </w:r>
          </w:p>
        </w:tc>
        <w:tc>
          <w:tcPr>
            <w:tcW w:w="1517" w:type="pct"/>
          </w:tcPr>
          <w:p w:rsidR="008078B8" w:rsidRPr="0097439B" w:rsidRDefault="008078B8" w:rsidP="00F22B6A">
            <w:pPr>
              <w:rPr>
                <w:color w:val="000000" w:themeColor="text1"/>
              </w:rPr>
            </w:pPr>
            <w:r w:rsidRPr="0097439B">
              <w:rPr>
                <w:color w:val="000000" w:themeColor="text1"/>
              </w:rPr>
              <w:t>Cita informācija</w:t>
            </w:r>
          </w:p>
        </w:tc>
        <w:tc>
          <w:tcPr>
            <w:tcW w:w="3251" w:type="pct"/>
          </w:tcPr>
          <w:p w:rsidR="008078B8" w:rsidRPr="0097439B" w:rsidRDefault="008078B8" w:rsidP="00F22B6A">
            <w:pPr>
              <w:rPr>
                <w:color w:val="000000" w:themeColor="text1"/>
              </w:rPr>
            </w:pPr>
            <w:r w:rsidRPr="0097439B">
              <w:rPr>
                <w:color w:val="000000" w:themeColor="text1"/>
              </w:rPr>
              <w:t>Nav.</w:t>
            </w:r>
          </w:p>
        </w:tc>
      </w:tr>
    </w:tbl>
    <w:p w:rsidR="00FD2F15" w:rsidRPr="0097439B" w:rsidRDefault="00FD2F15" w:rsidP="00FD2F15">
      <w:pPr>
        <w:rPr>
          <w:color w:val="000000" w:themeColor="text1"/>
        </w:rPr>
      </w:pPr>
    </w:p>
    <w:tbl>
      <w:tblPr>
        <w:tblW w:w="9463" w:type="dxa"/>
        <w:tblInd w:w="-112" w:type="dxa"/>
        <w:tblBorders>
          <w:top w:val="outset" w:sz="6" w:space="0" w:color="000000"/>
          <w:left w:val="outset" w:sz="6" w:space="0" w:color="000000"/>
          <w:bottom w:val="outset" w:sz="6" w:space="0" w:color="000000"/>
          <w:right w:val="outset" w:sz="6" w:space="0" w:color="000000"/>
        </w:tblBorders>
        <w:tblLayout w:type="fixed"/>
        <w:tblCellMar>
          <w:left w:w="85" w:type="dxa"/>
          <w:right w:w="85" w:type="dxa"/>
        </w:tblCellMar>
        <w:tblLook w:val="04A0" w:firstRow="1" w:lastRow="0" w:firstColumn="1" w:lastColumn="0" w:noHBand="0" w:noVBand="1"/>
      </w:tblPr>
      <w:tblGrid>
        <w:gridCol w:w="2562"/>
        <w:gridCol w:w="1650"/>
        <w:gridCol w:w="997"/>
        <w:gridCol w:w="1418"/>
        <w:gridCol w:w="1418"/>
        <w:gridCol w:w="1418"/>
      </w:tblGrid>
      <w:tr w:rsidR="00E478AF" w:rsidRPr="0097439B" w:rsidTr="0049256B">
        <w:tc>
          <w:tcPr>
            <w:tcW w:w="5000" w:type="pct"/>
            <w:gridSpan w:val="6"/>
            <w:tcBorders>
              <w:top w:val="single" w:sz="4" w:space="0" w:color="auto"/>
              <w:left w:val="single" w:sz="4" w:space="0" w:color="auto"/>
              <w:bottom w:val="single" w:sz="4" w:space="0" w:color="auto"/>
              <w:right w:val="single" w:sz="4" w:space="0" w:color="auto"/>
            </w:tcBorders>
            <w:hideMark/>
          </w:tcPr>
          <w:p w:rsidR="00FD2F15" w:rsidRPr="0097439B" w:rsidRDefault="00FD2F15" w:rsidP="004674E3">
            <w:pPr>
              <w:jc w:val="center"/>
              <w:rPr>
                <w:b/>
                <w:bCs/>
                <w:color w:val="000000" w:themeColor="text1"/>
              </w:rPr>
            </w:pPr>
            <w:r w:rsidRPr="0097439B">
              <w:rPr>
                <w:b/>
                <w:bCs/>
                <w:color w:val="000000" w:themeColor="text1"/>
              </w:rPr>
              <w:t>III. Tiesību akta projekta ietekme uz valsts budžetu un pašvaldību budžetiem</w:t>
            </w:r>
          </w:p>
        </w:tc>
      </w:tr>
      <w:tr w:rsidR="00E478AF" w:rsidRPr="0097439B" w:rsidTr="00E102DA">
        <w:tc>
          <w:tcPr>
            <w:tcW w:w="1354" w:type="pct"/>
            <w:vMerge w:val="restart"/>
            <w:tcBorders>
              <w:top w:val="single" w:sz="4" w:space="0" w:color="auto"/>
              <w:left w:val="single" w:sz="4" w:space="0" w:color="auto"/>
              <w:bottom w:val="single" w:sz="4" w:space="0" w:color="auto"/>
              <w:right w:val="single" w:sz="4" w:space="0" w:color="auto"/>
            </w:tcBorders>
            <w:hideMark/>
          </w:tcPr>
          <w:p w:rsidR="00FD2F15" w:rsidRPr="0097439B" w:rsidRDefault="00FD2F15" w:rsidP="004674E3">
            <w:pPr>
              <w:jc w:val="center"/>
              <w:rPr>
                <w:b/>
                <w:color w:val="000000" w:themeColor="text1"/>
              </w:rPr>
            </w:pPr>
            <w:r w:rsidRPr="0097439B">
              <w:rPr>
                <w:b/>
                <w:color w:val="000000" w:themeColor="text1"/>
              </w:rPr>
              <w:t>Rādītāji</w:t>
            </w:r>
          </w:p>
        </w:tc>
        <w:tc>
          <w:tcPr>
            <w:tcW w:w="1399" w:type="pct"/>
            <w:gridSpan w:val="2"/>
            <w:vMerge w:val="restart"/>
            <w:tcBorders>
              <w:top w:val="single" w:sz="4" w:space="0" w:color="auto"/>
              <w:left w:val="single" w:sz="4" w:space="0" w:color="auto"/>
              <w:bottom w:val="single" w:sz="4" w:space="0" w:color="auto"/>
              <w:right w:val="single" w:sz="4" w:space="0" w:color="auto"/>
            </w:tcBorders>
            <w:vAlign w:val="bottom"/>
            <w:hideMark/>
          </w:tcPr>
          <w:p w:rsidR="00FD2F15" w:rsidRPr="0097439B" w:rsidRDefault="00FD2F15" w:rsidP="00E21DDF">
            <w:pPr>
              <w:jc w:val="center"/>
              <w:rPr>
                <w:b/>
                <w:color w:val="000000" w:themeColor="text1"/>
              </w:rPr>
            </w:pPr>
            <w:r w:rsidRPr="0097439B">
              <w:rPr>
                <w:b/>
                <w:color w:val="000000" w:themeColor="text1"/>
              </w:rPr>
              <w:t>201</w:t>
            </w:r>
            <w:r w:rsidR="00E21DDF" w:rsidRPr="0097439B">
              <w:rPr>
                <w:b/>
                <w:color w:val="000000" w:themeColor="text1"/>
              </w:rPr>
              <w:t>7</w:t>
            </w:r>
            <w:r w:rsidRPr="0097439B">
              <w:rPr>
                <w:b/>
                <w:color w:val="000000" w:themeColor="text1"/>
              </w:rPr>
              <w:t>.</w:t>
            </w:r>
            <w:r w:rsidR="002274EA" w:rsidRPr="0097439B">
              <w:rPr>
                <w:b/>
                <w:color w:val="000000" w:themeColor="text1"/>
              </w:rPr>
              <w:t>gads</w:t>
            </w:r>
          </w:p>
        </w:tc>
        <w:tc>
          <w:tcPr>
            <w:tcW w:w="2248" w:type="pct"/>
            <w:gridSpan w:val="3"/>
            <w:tcBorders>
              <w:top w:val="single" w:sz="4" w:space="0" w:color="auto"/>
              <w:left w:val="single" w:sz="4" w:space="0" w:color="auto"/>
              <w:bottom w:val="single" w:sz="4" w:space="0" w:color="auto"/>
              <w:right w:val="single" w:sz="4" w:space="0" w:color="auto"/>
            </w:tcBorders>
            <w:hideMark/>
          </w:tcPr>
          <w:p w:rsidR="00FD2F15" w:rsidRPr="0097439B" w:rsidRDefault="00FD2F15" w:rsidP="004674E3">
            <w:pPr>
              <w:jc w:val="center"/>
              <w:rPr>
                <w:color w:val="000000" w:themeColor="text1"/>
              </w:rPr>
            </w:pPr>
            <w:r w:rsidRPr="0097439B">
              <w:rPr>
                <w:color w:val="000000" w:themeColor="text1"/>
              </w:rPr>
              <w:t>Turpmākie trīs gadi (</w:t>
            </w:r>
            <w:r w:rsidRPr="0097439B">
              <w:rPr>
                <w:i/>
                <w:color w:val="000000" w:themeColor="text1"/>
              </w:rPr>
              <w:t>euro</w:t>
            </w:r>
            <w:r w:rsidRPr="0097439B">
              <w:rPr>
                <w:color w:val="000000" w:themeColor="text1"/>
              </w:rPr>
              <w:t>)</w:t>
            </w:r>
          </w:p>
        </w:tc>
      </w:tr>
      <w:tr w:rsidR="00E478AF" w:rsidRPr="0097439B" w:rsidTr="00926643">
        <w:trPr>
          <w:trHeight w:val="96"/>
        </w:trPr>
        <w:tc>
          <w:tcPr>
            <w:tcW w:w="1354" w:type="pct"/>
            <w:vMerge/>
            <w:tcBorders>
              <w:top w:val="single" w:sz="4" w:space="0" w:color="auto"/>
              <w:left w:val="single" w:sz="4" w:space="0" w:color="auto"/>
              <w:bottom w:val="single" w:sz="4" w:space="0" w:color="auto"/>
              <w:right w:val="single" w:sz="4" w:space="0" w:color="auto"/>
            </w:tcBorders>
            <w:vAlign w:val="center"/>
            <w:hideMark/>
          </w:tcPr>
          <w:p w:rsidR="00FD2F15" w:rsidRPr="0097439B" w:rsidRDefault="00FD2F15" w:rsidP="004674E3">
            <w:pPr>
              <w:rPr>
                <w:b/>
                <w:color w:val="000000" w:themeColor="text1"/>
              </w:rPr>
            </w:pPr>
          </w:p>
        </w:tc>
        <w:tc>
          <w:tcPr>
            <w:tcW w:w="1399" w:type="pct"/>
            <w:gridSpan w:val="2"/>
            <w:vMerge/>
            <w:tcBorders>
              <w:top w:val="single" w:sz="4" w:space="0" w:color="auto"/>
              <w:left w:val="single" w:sz="4" w:space="0" w:color="auto"/>
              <w:bottom w:val="single" w:sz="4" w:space="0" w:color="auto"/>
              <w:right w:val="single" w:sz="4" w:space="0" w:color="auto"/>
            </w:tcBorders>
            <w:vAlign w:val="center"/>
            <w:hideMark/>
          </w:tcPr>
          <w:p w:rsidR="00FD2F15" w:rsidRPr="0097439B" w:rsidRDefault="00FD2F15" w:rsidP="004674E3">
            <w:pPr>
              <w:rPr>
                <w:b/>
                <w:color w:val="000000" w:themeColor="text1"/>
              </w:rPr>
            </w:pPr>
          </w:p>
        </w:tc>
        <w:tc>
          <w:tcPr>
            <w:tcW w:w="749" w:type="pct"/>
            <w:tcBorders>
              <w:top w:val="single" w:sz="4" w:space="0" w:color="auto"/>
              <w:left w:val="single" w:sz="4" w:space="0" w:color="auto"/>
              <w:bottom w:val="single" w:sz="4" w:space="0" w:color="auto"/>
              <w:right w:val="single" w:sz="4" w:space="0" w:color="auto"/>
            </w:tcBorders>
            <w:vAlign w:val="bottom"/>
            <w:hideMark/>
          </w:tcPr>
          <w:p w:rsidR="00FD2F15" w:rsidRPr="0097439B" w:rsidRDefault="00FD2F15" w:rsidP="00F27C8A">
            <w:pPr>
              <w:jc w:val="center"/>
              <w:rPr>
                <w:b/>
                <w:color w:val="000000" w:themeColor="text1"/>
              </w:rPr>
            </w:pPr>
            <w:r w:rsidRPr="0097439B">
              <w:rPr>
                <w:b/>
                <w:color w:val="000000" w:themeColor="text1"/>
              </w:rPr>
              <w:t>201</w:t>
            </w:r>
            <w:r w:rsidR="00F27C8A" w:rsidRPr="0097439B">
              <w:rPr>
                <w:b/>
                <w:color w:val="000000" w:themeColor="text1"/>
              </w:rPr>
              <w:t>8</w:t>
            </w:r>
            <w:r w:rsidRPr="0097439B">
              <w:rPr>
                <w:b/>
                <w:color w:val="000000" w:themeColor="text1"/>
              </w:rPr>
              <w:t>.</w:t>
            </w:r>
            <w:r w:rsidR="002274EA" w:rsidRPr="0097439B">
              <w:rPr>
                <w:b/>
                <w:color w:val="000000" w:themeColor="text1"/>
              </w:rPr>
              <w:t>gads</w:t>
            </w:r>
          </w:p>
        </w:tc>
        <w:tc>
          <w:tcPr>
            <w:tcW w:w="749" w:type="pct"/>
            <w:tcBorders>
              <w:top w:val="single" w:sz="4" w:space="0" w:color="auto"/>
              <w:left w:val="single" w:sz="4" w:space="0" w:color="auto"/>
              <w:bottom w:val="single" w:sz="4" w:space="0" w:color="auto"/>
              <w:right w:val="single" w:sz="4" w:space="0" w:color="auto"/>
            </w:tcBorders>
            <w:vAlign w:val="bottom"/>
            <w:hideMark/>
          </w:tcPr>
          <w:p w:rsidR="00FD2F15" w:rsidRPr="0097439B" w:rsidRDefault="00FD2F15" w:rsidP="00F27C8A">
            <w:pPr>
              <w:jc w:val="center"/>
              <w:rPr>
                <w:b/>
                <w:color w:val="000000" w:themeColor="text1"/>
              </w:rPr>
            </w:pPr>
            <w:r w:rsidRPr="0097439B">
              <w:rPr>
                <w:b/>
                <w:color w:val="000000" w:themeColor="text1"/>
              </w:rPr>
              <w:t>201</w:t>
            </w:r>
            <w:r w:rsidR="00F27C8A" w:rsidRPr="0097439B">
              <w:rPr>
                <w:b/>
                <w:color w:val="000000" w:themeColor="text1"/>
              </w:rPr>
              <w:t>9</w:t>
            </w:r>
            <w:r w:rsidRPr="0097439B">
              <w:rPr>
                <w:b/>
                <w:color w:val="000000" w:themeColor="text1"/>
              </w:rPr>
              <w:t>.</w:t>
            </w:r>
            <w:r w:rsidR="002274EA" w:rsidRPr="0097439B">
              <w:rPr>
                <w:b/>
                <w:color w:val="000000" w:themeColor="text1"/>
              </w:rPr>
              <w:t>gads</w:t>
            </w:r>
          </w:p>
        </w:tc>
        <w:tc>
          <w:tcPr>
            <w:tcW w:w="749" w:type="pct"/>
            <w:tcBorders>
              <w:top w:val="single" w:sz="4" w:space="0" w:color="auto"/>
              <w:left w:val="single" w:sz="4" w:space="0" w:color="auto"/>
              <w:bottom w:val="single" w:sz="4" w:space="0" w:color="auto"/>
              <w:right w:val="single" w:sz="4" w:space="0" w:color="auto"/>
            </w:tcBorders>
            <w:vAlign w:val="bottom"/>
            <w:hideMark/>
          </w:tcPr>
          <w:p w:rsidR="00FD2F15" w:rsidRPr="0097439B" w:rsidRDefault="00F27C8A" w:rsidP="00F27C8A">
            <w:pPr>
              <w:jc w:val="center"/>
              <w:rPr>
                <w:b/>
                <w:color w:val="000000" w:themeColor="text1"/>
              </w:rPr>
            </w:pPr>
            <w:r w:rsidRPr="0097439B">
              <w:rPr>
                <w:b/>
                <w:color w:val="000000" w:themeColor="text1"/>
              </w:rPr>
              <w:t>2020</w:t>
            </w:r>
            <w:r w:rsidR="00FD2F15" w:rsidRPr="0097439B">
              <w:rPr>
                <w:b/>
                <w:color w:val="000000" w:themeColor="text1"/>
              </w:rPr>
              <w:t>.</w:t>
            </w:r>
            <w:r w:rsidR="002274EA" w:rsidRPr="0097439B">
              <w:rPr>
                <w:b/>
                <w:color w:val="000000" w:themeColor="text1"/>
              </w:rPr>
              <w:t>gads</w:t>
            </w:r>
          </w:p>
        </w:tc>
      </w:tr>
      <w:tr w:rsidR="00E478AF" w:rsidRPr="0097439B" w:rsidTr="00AB600C">
        <w:trPr>
          <w:trHeight w:val="96"/>
        </w:trPr>
        <w:tc>
          <w:tcPr>
            <w:tcW w:w="1354" w:type="pct"/>
            <w:vMerge/>
            <w:tcBorders>
              <w:top w:val="single" w:sz="4" w:space="0" w:color="auto"/>
              <w:left w:val="single" w:sz="4" w:space="0" w:color="auto"/>
              <w:bottom w:val="single" w:sz="4" w:space="0" w:color="auto"/>
              <w:right w:val="single" w:sz="4" w:space="0" w:color="auto"/>
            </w:tcBorders>
            <w:vAlign w:val="center"/>
            <w:hideMark/>
          </w:tcPr>
          <w:p w:rsidR="00FD2F15" w:rsidRPr="0097439B" w:rsidRDefault="00FD2F15" w:rsidP="004674E3">
            <w:pPr>
              <w:rPr>
                <w:b/>
                <w:color w:val="000000" w:themeColor="text1"/>
              </w:rPr>
            </w:pPr>
          </w:p>
        </w:tc>
        <w:tc>
          <w:tcPr>
            <w:tcW w:w="872" w:type="pct"/>
            <w:tcBorders>
              <w:top w:val="single" w:sz="4" w:space="0" w:color="auto"/>
              <w:left w:val="single" w:sz="4" w:space="0" w:color="auto"/>
              <w:bottom w:val="single" w:sz="4" w:space="0" w:color="auto"/>
              <w:right w:val="single" w:sz="4" w:space="0" w:color="auto"/>
            </w:tcBorders>
            <w:hideMark/>
          </w:tcPr>
          <w:p w:rsidR="00FD2F15" w:rsidRPr="0097439B" w:rsidRDefault="00FD2F15" w:rsidP="00E21DDF">
            <w:pPr>
              <w:jc w:val="center"/>
              <w:rPr>
                <w:color w:val="000000" w:themeColor="text1"/>
              </w:rPr>
            </w:pPr>
            <w:r w:rsidRPr="0097439B">
              <w:rPr>
                <w:color w:val="000000" w:themeColor="text1"/>
              </w:rPr>
              <w:t xml:space="preserve">saskaņā ar valsts budžetu kārtējam </w:t>
            </w:r>
            <w:r w:rsidR="00E21DDF" w:rsidRPr="0097439B">
              <w:rPr>
                <w:color w:val="000000" w:themeColor="text1"/>
              </w:rPr>
              <w:t>2017.</w:t>
            </w:r>
            <w:r w:rsidRPr="0097439B">
              <w:rPr>
                <w:color w:val="000000" w:themeColor="text1"/>
              </w:rPr>
              <w:t>gadam</w:t>
            </w:r>
          </w:p>
        </w:tc>
        <w:tc>
          <w:tcPr>
            <w:tcW w:w="527" w:type="pct"/>
            <w:tcBorders>
              <w:top w:val="single" w:sz="4" w:space="0" w:color="auto"/>
              <w:left w:val="single" w:sz="4" w:space="0" w:color="auto"/>
              <w:bottom w:val="single" w:sz="4" w:space="0" w:color="auto"/>
              <w:right w:val="single" w:sz="4" w:space="0" w:color="auto"/>
            </w:tcBorders>
            <w:hideMark/>
          </w:tcPr>
          <w:p w:rsidR="00FD2F15" w:rsidRPr="0097439B" w:rsidRDefault="00FD2F15" w:rsidP="00F27C8A">
            <w:pPr>
              <w:jc w:val="center"/>
              <w:rPr>
                <w:color w:val="000000" w:themeColor="text1"/>
                <w:spacing w:val="-6"/>
              </w:rPr>
            </w:pPr>
            <w:r w:rsidRPr="0097439B">
              <w:rPr>
                <w:color w:val="000000" w:themeColor="text1"/>
                <w:spacing w:val="-6"/>
              </w:rPr>
              <w:t xml:space="preserve">izmaiņas kārtējā gadā, salīdzinot ar budžetu kārtējam </w:t>
            </w:r>
            <w:r w:rsidR="00F27C8A" w:rsidRPr="0097439B">
              <w:rPr>
                <w:color w:val="000000" w:themeColor="text1"/>
                <w:spacing w:val="-6"/>
              </w:rPr>
              <w:t>2017.</w:t>
            </w:r>
            <w:r w:rsidRPr="0097439B">
              <w:rPr>
                <w:color w:val="000000" w:themeColor="text1"/>
                <w:spacing w:val="-6"/>
              </w:rPr>
              <w:t>gadam</w:t>
            </w:r>
          </w:p>
        </w:tc>
        <w:tc>
          <w:tcPr>
            <w:tcW w:w="749" w:type="pct"/>
            <w:tcBorders>
              <w:top w:val="single" w:sz="4" w:space="0" w:color="auto"/>
              <w:left w:val="single" w:sz="4" w:space="0" w:color="auto"/>
              <w:bottom w:val="single" w:sz="4" w:space="0" w:color="auto"/>
              <w:right w:val="single" w:sz="4" w:space="0" w:color="auto"/>
            </w:tcBorders>
            <w:hideMark/>
          </w:tcPr>
          <w:p w:rsidR="00FD2F15" w:rsidRPr="0097439B" w:rsidRDefault="00FD2F15" w:rsidP="00F27C8A">
            <w:pPr>
              <w:jc w:val="center"/>
              <w:rPr>
                <w:color w:val="000000" w:themeColor="text1"/>
              </w:rPr>
            </w:pPr>
            <w:r w:rsidRPr="0097439B">
              <w:rPr>
                <w:color w:val="000000" w:themeColor="text1"/>
              </w:rPr>
              <w:t xml:space="preserve">izmaiņas, salīdzinot ar kārtējo </w:t>
            </w:r>
            <w:r w:rsidR="00F27C8A" w:rsidRPr="0097439B">
              <w:rPr>
                <w:color w:val="000000" w:themeColor="text1"/>
              </w:rPr>
              <w:t>2017.</w:t>
            </w:r>
            <w:r w:rsidRPr="0097439B">
              <w:rPr>
                <w:color w:val="000000" w:themeColor="text1"/>
              </w:rPr>
              <w:t>gadu</w:t>
            </w:r>
          </w:p>
        </w:tc>
        <w:tc>
          <w:tcPr>
            <w:tcW w:w="749" w:type="pct"/>
            <w:tcBorders>
              <w:top w:val="single" w:sz="4" w:space="0" w:color="auto"/>
              <w:left w:val="single" w:sz="4" w:space="0" w:color="auto"/>
              <w:bottom w:val="single" w:sz="4" w:space="0" w:color="auto"/>
              <w:right w:val="single" w:sz="4" w:space="0" w:color="auto"/>
            </w:tcBorders>
            <w:hideMark/>
          </w:tcPr>
          <w:p w:rsidR="00FD2F15" w:rsidRPr="0097439B" w:rsidRDefault="00FD2F15" w:rsidP="00F27C8A">
            <w:pPr>
              <w:jc w:val="center"/>
              <w:rPr>
                <w:color w:val="000000" w:themeColor="text1"/>
              </w:rPr>
            </w:pPr>
            <w:r w:rsidRPr="0097439B">
              <w:rPr>
                <w:color w:val="000000" w:themeColor="text1"/>
              </w:rPr>
              <w:t xml:space="preserve">izmaiņas, salīdzinot ar kārtējo </w:t>
            </w:r>
            <w:r w:rsidR="00F27C8A" w:rsidRPr="0097439B">
              <w:rPr>
                <w:color w:val="000000" w:themeColor="text1"/>
              </w:rPr>
              <w:t>2017.</w:t>
            </w:r>
            <w:r w:rsidRPr="0097439B">
              <w:rPr>
                <w:color w:val="000000" w:themeColor="text1"/>
              </w:rPr>
              <w:t>gadu</w:t>
            </w:r>
          </w:p>
        </w:tc>
        <w:tc>
          <w:tcPr>
            <w:tcW w:w="749" w:type="pct"/>
            <w:tcBorders>
              <w:top w:val="single" w:sz="4" w:space="0" w:color="auto"/>
              <w:left w:val="single" w:sz="4" w:space="0" w:color="auto"/>
              <w:bottom w:val="single" w:sz="4" w:space="0" w:color="auto"/>
              <w:right w:val="single" w:sz="4" w:space="0" w:color="auto"/>
            </w:tcBorders>
            <w:hideMark/>
          </w:tcPr>
          <w:p w:rsidR="00FD2F15" w:rsidRPr="0097439B" w:rsidRDefault="00FD2F15" w:rsidP="00F27C8A">
            <w:pPr>
              <w:jc w:val="center"/>
              <w:rPr>
                <w:color w:val="000000" w:themeColor="text1"/>
              </w:rPr>
            </w:pPr>
            <w:r w:rsidRPr="0097439B">
              <w:rPr>
                <w:color w:val="000000" w:themeColor="text1"/>
              </w:rPr>
              <w:t xml:space="preserve">izmaiņas, salīdzinot ar kārtējo </w:t>
            </w:r>
            <w:r w:rsidR="00F27C8A" w:rsidRPr="0097439B">
              <w:rPr>
                <w:color w:val="000000" w:themeColor="text1"/>
              </w:rPr>
              <w:t>2017.</w:t>
            </w:r>
            <w:r w:rsidRPr="0097439B">
              <w:rPr>
                <w:color w:val="000000" w:themeColor="text1"/>
              </w:rPr>
              <w:t>gadu</w:t>
            </w:r>
          </w:p>
        </w:tc>
      </w:tr>
      <w:tr w:rsidR="00E478AF" w:rsidRPr="0097439B" w:rsidTr="00AB600C">
        <w:trPr>
          <w:trHeight w:val="96"/>
        </w:trPr>
        <w:tc>
          <w:tcPr>
            <w:tcW w:w="1354" w:type="pct"/>
            <w:tcBorders>
              <w:top w:val="single" w:sz="4" w:space="0" w:color="auto"/>
              <w:left w:val="single" w:sz="4" w:space="0" w:color="auto"/>
              <w:bottom w:val="single" w:sz="4" w:space="0" w:color="auto"/>
              <w:right w:val="single" w:sz="4" w:space="0" w:color="auto"/>
            </w:tcBorders>
            <w:hideMark/>
          </w:tcPr>
          <w:p w:rsidR="00FD2F15" w:rsidRPr="0097439B" w:rsidRDefault="00FD2F15" w:rsidP="004674E3">
            <w:pPr>
              <w:jc w:val="center"/>
              <w:rPr>
                <w:i/>
                <w:color w:val="000000" w:themeColor="text1"/>
                <w:sz w:val="22"/>
              </w:rPr>
            </w:pPr>
            <w:r w:rsidRPr="0097439B">
              <w:rPr>
                <w:i/>
                <w:color w:val="000000" w:themeColor="text1"/>
                <w:sz w:val="22"/>
              </w:rPr>
              <w:t>1</w:t>
            </w:r>
          </w:p>
        </w:tc>
        <w:tc>
          <w:tcPr>
            <w:tcW w:w="872" w:type="pct"/>
            <w:tcBorders>
              <w:top w:val="single" w:sz="4" w:space="0" w:color="auto"/>
              <w:left w:val="single" w:sz="4" w:space="0" w:color="auto"/>
              <w:bottom w:val="single" w:sz="4" w:space="0" w:color="auto"/>
              <w:right w:val="single" w:sz="4" w:space="0" w:color="auto"/>
            </w:tcBorders>
            <w:hideMark/>
          </w:tcPr>
          <w:p w:rsidR="00FD2F15" w:rsidRPr="0097439B" w:rsidRDefault="00FD2F15" w:rsidP="004674E3">
            <w:pPr>
              <w:jc w:val="center"/>
              <w:rPr>
                <w:i/>
                <w:color w:val="000000" w:themeColor="text1"/>
                <w:sz w:val="22"/>
              </w:rPr>
            </w:pPr>
            <w:r w:rsidRPr="0097439B">
              <w:rPr>
                <w:i/>
                <w:color w:val="000000" w:themeColor="text1"/>
                <w:sz w:val="22"/>
              </w:rPr>
              <w:t>2</w:t>
            </w:r>
          </w:p>
        </w:tc>
        <w:tc>
          <w:tcPr>
            <w:tcW w:w="527" w:type="pct"/>
            <w:tcBorders>
              <w:top w:val="single" w:sz="4" w:space="0" w:color="auto"/>
              <w:left w:val="single" w:sz="4" w:space="0" w:color="auto"/>
              <w:bottom w:val="single" w:sz="4" w:space="0" w:color="auto"/>
              <w:right w:val="single" w:sz="4" w:space="0" w:color="auto"/>
            </w:tcBorders>
            <w:hideMark/>
          </w:tcPr>
          <w:p w:rsidR="00FD2F15" w:rsidRPr="0097439B" w:rsidRDefault="00FD2F15" w:rsidP="004674E3">
            <w:pPr>
              <w:jc w:val="center"/>
              <w:rPr>
                <w:i/>
                <w:color w:val="000000" w:themeColor="text1"/>
                <w:sz w:val="22"/>
              </w:rPr>
            </w:pPr>
            <w:r w:rsidRPr="0097439B">
              <w:rPr>
                <w:i/>
                <w:color w:val="000000" w:themeColor="text1"/>
                <w:sz w:val="22"/>
              </w:rPr>
              <w:t>3</w:t>
            </w:r>
          </w:p>
        </w:tc>
        <w:tc>
          <w:tcPr>
            <w:tcW w:w="749" w:type="pct"/>
            <w:tcBorders>
              <w:top w:val="single" w:sz="4" w:space="0" w:color="auto"/>
              <w:left w:val="single" w:sz="4" w:space="0" w:color="auto"/>
              <w:bottom w:val="single" w:sz="4" w:space="0" w:color="auto"/>
              <w:right w:val="single" w:sz="4" w:space="0" w:color="auto"/>
            </w:tcBorders>
            <w:hideMark/>
          </w:tcPr>
          <w:p w:rsidR="00FD2F15" w:rsidRPr="0097439B" w:rsidRDefault="00FD2F15" w:rsidP="004674E3">
            <w:pPr>
              <w:jc w:val="center"/>
              <w:rPr>
                <w:i/>
                <w:color w:val="000000" w:themeColor="text1"/>
                <w:sz w:val="22"/>
              </w:rPr>
            </w:pPr>
            <w:r w:rsidRPr="0097439B">
              <w:rPr>
                <w:i/>
                <w:color w:val="000000" w:themeColor="text1"/>
                <w:sz w:val="22"/>
              </w:rPr>
              <w:t>4</w:t>
            </w:r>
          </w:p>
        </w:tc>
        <w:tc>
          <w:tcPr>
            <w:tcW w:w="749" w:type="pct"/>
            <w:tcBorders>
              <w:top w:val="single" w:sz="4" w:space="0" w:color="auto"/>
              <w:left w:val="single" w:sz="4" w:space="0" w:color="auto"/>
              <w:bottom w:val="single" w:sz="4" w:space="0" w:color="auto"/>
              <w:right w:val="single" w:sz="4" w:space="0" w:color="auto"/>
            </w:tcBorders>
            <w:hideMark/>
          </w:tcPr>
          <w:p w:rsidR="00FD2F15" w:rsidRPr="0097439B" w:rsidRDefault="00FD2F15" w:rsidP="004674E3">
            <w:pPr>
              <w:jc w:val="center"/>
              <w:rPr>
                <w:i/>
                <w:color w:val="000000" w:themeColor="text1"/>
                <w:sz w:val="22"/>
              </w:rPr>
            </w:pPr>
            <w:r w:rsidRPr="0097439B">
              <w:rPr>
                <w:i/>
                <w:color w:val="000000" w:themeColor="text1"/>
                <w:sz w:val="22"/>
              </w:rPr>
              <w:t>5</w:t>
            </w:r>
          </w:p>
        </w:tc>
        <w:tc>
          <w:tcPr>
            <w:tcW w:w="749" w:type="pct"/>
            <w:tcBorders>
              <w:top w:val="single" w:sz="4" w:space="0" w:color="auto"/>
              <w:left w:val="single" w:sz="4" w:space="0" w:color="auto"/>
              <w:bottom w:val="single" w:sz="4" w:space="0" w:color="auto"/>
              <w:right w:val="single" w:sz="4" w:space="0" w:color="auto"/>
            </w:tcBorders>
            <w:hideMark/>
          </w:tcPr>
          <w:p w:rsidR="00FD2F15" w:rsidRPr="0097439B" w:rsidRDefault="00FD2F15" w:rsidP="004674E3">
            <w:pPr>
              <w:jc w:val="center"/>
              <w:rPr>
                <w:i/>
                <w:color w:val="000000" w:themeColor="text1"/>
                <w:sz w:val="22"/>
              </w:rPr>
            </w:pPr>
            <w:r w:rsidRPr="0097439B">
              <w:rPr>
                <w:i/>
                <w:color w:val="000000" w:themeColor="text1"/>
                <w:sz w:val="22"/>
              </w:rPr>
              <w:t>6</w:t>
            </w:r>
          </w:p>
        </w:tc>
      </w:tr>
      <w:tr w:rsidR="008929EE" w:rsidRPr="0097439B" w:rsidTr="00F428A2">
        <w:trPr>
          <w:trHeight w:val="96"/>
        </w:trPr>
        <w:tc>
          <w:tcPr>
            <w:tcW w:w="1354"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8929EE" w:rsidRPr="0097439B" w:rsidRDefault="008929EE" w:rsidP="008929EE">
            <w:pPr>
              <w:ind w:left="254" w:hanging="254"/>
              <w:jc w:val="both"/>
              <w:rPr>
                <w:color w:val="000000" w:themeColor="text1"/>
              </w:rPr>
            </w:pPr>
            <w:bookmarkStart w:id="0" w:name="_GoBack" w:colFirst="1" w:colLast="5"/>
            <w:r w:rsidRPr="0097439B">
              <w:rPr>
                <w:color w:val="000000" w:themeColor="text1"/>
              </w:rPr>
              <w:t>1.   Budžeta ieņēmumi*:</w:t>
            </w:r>
          </w:p>
        </w:tc>
        <w:tc>
          <w:tcPr>
            <w:tcW w:w="87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929EE" w:rsidRPr="0097439B" w:rsidRDefault="008929EE" w:rsidP="00B44A78">
            <w:pPr>
              <w:jc w:val="center"/>
              <w:rPr>
                <w:b/>
                <w:color w:val="000000" w:themeColor="text1"/>
              </w:rPr>
            </w:pPr>
            <w:r w:rsidRPr="0097439B">
              <w:rPr>
                <w:b/>
                <w:color w:val="000000" w:themeColor="text1"/>
              </w:rPr>
              <w:t>3 931 210 598</w:t>
            </w:r>
          </w:p>
        </w:tc>
        <w:tc>
          <w:tcPr>
            <w:tcW w:w="52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929EE" w:rsidRPr="0097439B" w:rsidRDefault="008929EE" w:rsidP="00B44A78">
            <w:pPr>
              <w:jc w:val="center"/>
              <w:rPr>
                <w:b/>
                <w:color w:val="000000" w:themeColor="text1"/>
              </w:rPr>
            </w:pPr>
            <w:r w:rsidRPr="0097439B">
              <w:rPr>
                <w:b/>
                <w:color w:val="000000" w:themeColor="text1"/>
              </w:rPr>
              <w:t>0</w:t>
            </w:r>
          </w:p>
        </w:tc>
        <w:tc>
          <w:tcPr>
            <w:tcW w:w="749" w:type="pct"/>
            <w:tcBorders>
              <w:top w:val="single" w:sz="4" w:space="0" w:color="auto"/>
              <w:left w:val="single" w:sz="4" w:space="0" w:color="auto"/>
              <w:bottom w:val="single" w:sz="4" w:space="0" w:color="auto"/>
              <w:right w:val="single" w:sz="4" w:space="0" w:color="auto"/>
            </w:tcBorders>
            <w:shd w:val="clear" w:color="auto" w:fill="E7E6E6" w:themeFill="background2"/>
          </w:tcPr>
          <w:p w:rsidR="008929EE" w:rsidRPr="004C2DAC" w:rsidRDefault="008929EE" w:rsidP="00B44A78">
            <w:pPr>
              <w:jc w:val="center"/>
            </w:pPr>
            <w:r w:rsidRPr="004C2DAC">
              <w:t>+3 000 000</w:t>
            </w:r>
          </w:p>
        </w:tc>
        <w:tc>
          <w:tcPr>
            <w:tcW w:w="749" w:type="pct"/>
            <w:tcBorders>
              <w:top w:val="single" w:sz="4" w:space="0" w:color="auto"/>
              <w:left w:val="single" w:sz="4" w:space="0" w:color="auto"/>
              <w:bottom w:val="single" w:sz="4" w:space="0" w:color="auto"/>
              <w:right w:val="single" w:sz="4" w:space="0" w:color="auto"/>
            </w:tcBorders>
            <w:shd w:val="clear" w:color="auto" w:fill="E7E6E6" w:themeFill="background2"/>
          </w:tcPr>
          <w:p w:rsidR="008929EE" w:rsidRPr="004C2DAC" w:rsidRDefault="008929EE" w:rsidP="00B44A78">
            <w:pPr>
              <w:jc w:val="center"/>
            </w:pPr>
            <w:r w:rsidRPr="004C2DAC">
              <w:t>-28 570 000</w:t>
            </w:r>
          </w:p>
        </w:tc>
        <w:tc>
          <w:tcPr>
            <w:tcW w:w="749" w:type="pct"/>
            <w:tcBorders>
              <w:top w:val="single" w:sz="4" w:space="0" w:color="auto"/>
              <w:left w:val="single" w:sz="4" w:space="0" w:color="auto"/>
              <w:bottom w:val="single" w:sz="4" w:space="0" w:color="auto"/>
              <w:right w:val="single" w:sz="4" w:space="0" w:color="auto"/>
            </w:tcBorders>
            <w:shd w:val="clear" w:color="auto" w:fill="E7E6E6" w:themeFill="background2"/>
          </w:tcPr>
          <w:p w:rsidR="008929EE" w:rsidRPr="004C2DAC" w:rsidRDefault="008929EE" w:rsidP="00B44A78">
            <w:pPr>
              <w:jc w:val="center"/>
            </w:pPr>
            <w:r w:rsidRPr="004C2DAC">
              <w:t>-28 130 000</w:t>
            </w:r>
          </w:p>
        </w:tc>
      </w:tr>
      <w:tr w:rsidR="008929EE" w:rsidRPr="0097439B" w:rsidTr="00F428A2">
        <w:tc>
          <w:tcPr>
            <w:tcW w:w="1354" w:type="pct"/>
            <w:tcBorders>
              <w:top w:val="single" w:sz="4" w:space="0" w:color="auto"/>
              <w:left w:val="single" w:sz="4" w:space="0" w:color="auto"/>
              <w:bottom w:val="single" w:sz="4" w:space="0" w:color="auto"/>
              <w:right w:val="single" w:sz="4" w:space="0" w:color="auto"/>
            </w:tcBorders>
            <w:hideMark/>
          </w:tcPr>
          <w:p w:rsidR="008929EE" w:rsidRPr="0097439B" w:rsidRDefault="008929EE" w:rsidP="008929EE">
            <w:pPr>
              <w:rPr>
                <w:color w:val="000000" w:themeColor="text1"/>
              </w:rPr>
            </w:pPr>
            <w:r w:rsidRPr="0097439B">
              <w:rPr>
                <w:color w:val="000000" w:themeColor="text1"/>
              </w:rPr>
              <w:t>1</w:t>
            </w:r>
            <w:r w:rsidRPr="0097439B">
              <w:rPr>
                <w:color w:val="000000" w:themeColor="text1"/>
                <w:spacing w:val="-6"/>
              </w:rPr>
              <w:t>.1. valsts pamatbudžets, tai skaitā ieņēmumi no maksas pakalpojumiem un citi pašu ieņēmumi, t.sk.,</w:t>
            </w:r>
          </w:p>
        </w:tc>
        <w:tc>
          <w:tcPr>
            <w:tcW w:w="872" w:type="pct"/>
            <w:tcBorders>
              <w:top w:val="single" w:sz="4" w:space="0" w:color="auto"/>
              <w:left w:val="single" w:sz="4" w:space="0" w:color="auto"/>
              <w:bottom w:val="single" w:sz="4" w:space="0" w:color="auto"/>
              <w:right w:val="single" w:sz="4" w:space="0" w:color="auto"/>
            </w:tcBorders>
            <w:vAlign w:val="center"/>
          </w:tcPr>
          <w:p w:rsidR="008929EE" w:rsidRPr="0097439B" w:rsidRDefault="008929EE" w:rsidP="00B44A78">
            <w:pPr>
              <w:jc w:val="center"/>
              <w:rPr>
                <w:b/>
                <w:color w:val="000000" w:themeColor="text1"/>
              </w:rPr>
            </w:pPr>
            <w:r w:rsidRPr="0097439B">
              <w:rPr>
                <w:b/>
                <w:color w:val="000000" w:themeColor="text1"/>
              </w:rPr>
              <w:t>46 897 000</w:t>
            </w:r>
          </w:p>
        </w:tc>
        <w:tc>
          <w:tcPr>
            <w:tcW w:w="527" w:type="pct"/>
            <w:tcBorders>
              <w:top w:val="single" w:sz="4" w:space="0" w:color="auto"/>
              <w:left w:val="single" w:sz="4" w:space="0" w:color="auto"/>
              <w:bottom w:val="single" w:sz="4" w:space="0" w:color="auto"/>
              <w:right w:val="single" w:sz="4" w:space="0" w:color="auto"/>
            </w:tcBorders>
            <w:vAlign w:val="center"/>
          </w:tcPr>
          <w:p w:rsidR="008929EE" w:rsidRPr="0097439B" w:rsidRDefault="008929EE" w:rsidP="00B44A78">
            <w:pPr>
              <w:jc w:val="center"/>
              <w:rPr>
                <w:b/>
                <w:color w:val="000000" w:themeColor="text1"/>
              </w:rPr>
            </w:pPr>
            <w:r w:rsidRPr="0097439B">
              <w:rPr>
                <w:b/>
                <w:color w:val="000000" w:themeColor="text1"/>
              </w:rPr>
              <w:t>0</w:t>
            </w:r>
          </w:p>
        </w:tc>
        <w:tc>
          <w:tcPr>
            <w:tcW w:w="749" w:type="pct"/>
            <w:tcBorders>
              <w:top w:val="single" w:sz="4" w:space="0" w:color="auto"/>
              <w:left w:val="single" w:sz="4" w:space="0" w:color="auto"/>
              <w:bottom w:val="single" w:sz="4" w:space="0" w:color="auto"/>
              <w:right w:val="single" w:sz="4" w:space="0" w:color="auto"/>
            </w:tcBorders>
          </w:tcPr>
          <w:p w:rsidR="008929EE" w:rsidRPr="004C2DAC" w:rsidRDefault="008929EE" w:rsidP="00B44A78">
            <w:pPr>
              <w:jc w:val="center"/>
            </w:pPr>
            <w:r w:rsidRPr="004C2DAC">
              <w:t>-21 900 000</w:t>
            </w:r>
          </w:p>
        </w:tc>
        <w:tc>
          <w:tcPr>
            <w:tcW w:w="749" w:type="pct"/>
            <w:tcBorders>
              <w:top w:val="single" w:sz="4" w:space="0" w:color="auto"/>
              <w:left w:val="single" w:sz="4" w:space="0" w:color="auto"/>
              <w:bottom w:val="single" w:sz="4" w:space="0" w:color="auto"/>
              <w:right w:val="single" w:sz="4" w:space="0" w:color="auto"/>
            </w:tcBorders>
          </w:tcPr>
          <w:p w:rsidR="008929EE" w:rsidRPr="004C2DAC" w:rsidRDefault="008929EE" w:rsidP="00B44A78">
            <w:pPr>
              <w:jc w:val="center"/>
            </w:pPr>
            <w:r w:rsidRPr="004C2DAC">
              <w:t>-49 070 000</w:t>
            </w:r>
          </w:p>
        </w:tc>
        <w:tc>
          <w:tcPr>
            <w:tcW w:w="749" w:type="pct"/>
            <w:tcBorders>
              <w:top w:val="single" w:sz="4" w:space="0" w:color="auto"/>
              <w:left w:val="single" w:sz="4" w:space="0" w:color="auto"/>
              <w:bottom w:val="single" w:sz="4" w:space="0" w:color="auto"/>
              <w:right w:val="single" w:sz="4" w:space="0" w:color="auto"/>
            </w:tcBorders>
          </w:tcPr>
          <w:p w:rsidR="008929EE" w:rsidRPr="004C2DAC" w:rsidRDefault="008929EE" w:rsidP="00B44A78">
            <w:pPr>
              <w:jc w:val="center"/>
            </w:pPr>
            <w:r w:rsidRPr="004C2DAC">
              <w:t>-49 630 000</w:t>
            </w:r>
          </w:p>
        </w:tc>
      </w:tr>
      <w:tr w:rsidR="008929EE" w:rsidRPr="0097439B" w:rsidTr="00F428A2">
        <w:tc>
          <w:tcPr>
            <w:tcW w:w="1354" w:type="pct"/>
            <w:tcBorders>
              <w:top w:val="single" w:sz="4" w:space="0" w:color="auto"/>
              <w:left w:val="single" w:sz="4" w:space="0" w:color="auto"/>
              <w:bottom w:val="single" w:sz="4" w:space="0" w:color="auto"/>
              <w:right w:val="single" w:sz="4" w:space="0" w:color="auto"/>
            </w:tcBorders>
          </w:tcPr>
          <w:p w:rsidR="008929EE" w:rsidRPr="0097439B" w:rsidRDefault="008929EE" w:rsidP="008929EE">
            <w:pPr>
              <w:rPr>
                <w:color w:val="000000" w:themeColor="text1"/>
              </w:rPr>
            </w:pPr>
            <w:r w:rsidRPr="0097439B">
              <w:rPr>
                <w:color w:val="000000" w:themeColor="text1"/>
              </w:rPr>
              <w:t>solidaritātes nodoklis</w:t>
            </w:r>
          </w:p>
        </w:tc>
        <w:tc>
          <w:tcPr>
            <w:tcW w:w="872" w:type="pct"/>
            <w:tcBorders>
              <w:top w:val="single" w:sz="4" w:space="0" w:color="auto"/>
              <w:left w:val="single" w:sz="4" w:space="0" w:color="auto"/>
              <w:bottom w:val="single" w:sz="4" w:space="0" w:color="auto"/>
              <w:right w:val="single" w:sz="4" w:space="0" w:color="auto"/>
            </w:tcBorders>
            <w:vAlign w:val="center"/>
          </w:tcPr>
          <w:p w:rsidR="008929EE" w:rsidRPr="0097439B" w:rsidRDefault="008929EE" w:rsidP="00B44A78">
            <w:pPr>
              <w:jc w:val="center"/>
              <w:rPr>
                <w:color w:val="000000" w:themeColor="text1"/>
              </w:rPr>
            </w:pPr>
            <w:r w:rsidRPr="0097439B">
              <w:rPr>
                <w:color w:val="000000" w:themeColor="text1"/>
              </w:rPr>
              <w:t>46 897 000</w:t>
            </w:r>
          </w:p>
        </w:tc>
        <w:tc>
          <w:tcPr>
            <w:tcW w:w="527" w:type="pct"/>
            <w:tcBorders>
              <w:top w:val="single" w:sz="4" w:space="0" w:color="auto"/>
              <w:left w:val="single" w:sz="4" w:space="0" w:color="auto"/>
              <w:bottom w:val="single" w:sz="4" w:space="0" w:color="auto"/>
              <w:right w:val="single" w:sz="4" w:space="0" w:color="auto"/>
            </w:tcBorders>
            <w:vAlign w:val="center"/>
          </w:tcPr>
          <w:p w:rsidR="008929EE" w:rsidRPr="0097439B" w:rsidRDefault="008929EE" w:rsidP="00B44A78">
            <w:pPr>
              <w:jc w:val="center"/>
              <w:rPr>
                <w:color w:val="000000" w:themeColor="text1"/>
              </w:rPr>
            </w:pPr>
            <w:r w:rsidRPr="0097439B">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tcPr>
          <w:p w:rsidR="008929EE" w:rsidRPr="004C2DAC" w:rsidRDefault="008929EE" w:rsidP="00B44A78">
            <w:pPr>
              <w:jc w:val="center"/>
            </w:pPr>
            <w:r w:rsidRPr="004C2DAC">
              <w:t>-22 600 000</w:t>
            </w:r>
          </w:p>
        </w:tc>
        <w:tc>
          <w:tcPr>
            <w:tcW w:w="749" w:type="pct"/>
            <w:tcBorders>
              <w:top w:val="single" w:sz="4" w:space="0" w:color="auto"/>
              <w:left w:val="single" w:sz="4" w:space="0" w:color="auto"/>
              <w:bottom w:val="single" w:sz="4" w:space="0" w:color="auto"/>
              <w:right w:val="single" w:sz="4" w:space="0" w:color="auto"/>
            </w:tcBorders>
          </w:tcPr>
          <w:p w:rsidR="008929EE" w:rsidRPr="004C2DAC" w:rsidRDefault="008929EE" w:rsidP="00B44A78">
            <w:pPr>
              <w:jc w:val="center"/>
            </w:pPr>
            <w:r w:rsidRPr="004C2DAC">
              <w:t>-50 570 000</w:t>
            </w:r>
          </w:p>
        </w:tc>
        <w:tc>
          <w:tcPr>
            <w:tcW w:w="749" w:type="pct"/>
            <w:tcBorders>
              <w:top w:val="single" w:sz="4" w:space="0" w:color="auto"/>
              <w:left w:val="single" w:sz="4" w:space="0" w:color="auto"/>
              <w:bottom w:val="single" w:sz="4" w:space="0" w:color="auto"/>
              <w:right w:val="single" w:sz="4" w:space="0" w:color="auto"/>
            </w:tcBorders>
          </w:tcPr>
          <w:p w:rsidR="008929EE" w:rsidRPr="004C2DAC" w:rsidRDefault="008929EE" w:rsidP="00B44A78">
            <w:pPr>
              <w:jc w:val="center"/>
            </w:pPr>
            <w:r w:rsidRPr="004C2DAC">
              <w:t>-51 330 000</w:t>
            </w:r>
          </w:p>
        </w:tc>
      </w:tr>
      <w:tr w:rsidR="008929EE" w:rsidRPr="0097439B" w:rsidTr="00F428A2">
        <w:tc>
          <w:tcPr>
            <w:tcW w:w="1354" w:type="pct"/>
            <w:tcBorders>
              <w:top w:val="single" w:sz="4" w:space="0" w:color="auto"/>
              <w:left w:val="single" w:sz="4" w:space="0" w:color="auto"/>
              <w:bottom w:val="single" w:sz="4" w:space="0" w:color="auto"/>
              <w:right w:val="single" w:sz="4" w:space="0" w:color="auto"/>
            </w:tcBorders>
          </w:tcPr>
          <w:p w:rsidR="008929EE" w:rsidRPr="0097439B" w:rsidRDefault="008929EE" w:rsidP="008929EE">
            <w:pPr>
              <w:rPr>
                <w:color w:val="000000" w:themeColor="text1"/>
              </w:rPr>
            </w:pPr>
            <w:r w:rsidRPr="0097439B">
              <w:rPr>
                <w:color w:val="000000" w:themeColor="text1"/>
              </w:rPr>
              <w:t>Valsts sociālās apdrošināšanas obligātās iemaksas pamatbudžetā veselības aprūpes nodrošināšanai</w:t>
            </w:r>
          </w:p>
        </w:tc>
        <w:tc>
          <w:tcPr>
            <w:tcW w:w="872" w:type="pct"/>
            <w:tcBorders>
              <w:top w:val="single" w:sz="4" w:space="0" w:color="auto"/>
              <w:left w:val="single" w:sz="4" w:space="0" w:color="auto"/>
              <w:bottom w:val="single" w:sz="4" w:space="0" w:color="auto"/>
              <w:right w:val="single" w:sz="4" w:space="0" w:color="auto"/>
            </w:tcBorders>
            <w:vAlign w:val="center"/>
          </w:tcPr>
          <w:p w:rsidR="008929EE" w:rsidRPr="0097439B" w:rsidRDefault="008929EE" w:rsidP="00B44A78">
            <w:pPr>
              <w:jc w:val="center"/>
              <w:rPr>
                <w:b/>
                <w:color w:val="000000" w:themeColor="text1"/>
              </w:rPr>
            </w:pPr>
          </w:p>
        </w:tc>
        <w:tc>
          <w:tcPr>
            <w:tcW w:w="527" w:type="pct"/>
            <w:tcBorders>
              <w:top w:val="single" w:sz="4" w:space="0" w:color="auto"/>
              <w:left w:val="single" w:sz="4" w:space="0" w:color="auto"/>
              <w:bottom w:val="single" w:sz="4" w:space="0" w:color="auto"/>
              <w:right w:val="single" w:sz="4" w:space="0" w:color="auto"/>
            </w:tcBorders>
            <w:vAlign w:val="center"/>
          </w:tcPr>
          <w:p w:rsidR="008929EE" w:rsidRPr="0097439B" w:rsidRDefault="008929EE" w:rsidP="00B44A78">
            <w:pPr>
              <w:jc w:val="center"/>
              <w:rPr>
                <w:b/>
                <w:color w:val="000000" w:themeColor="text1"/>
              </w:rPr>
            </w:pPr>
          </w:p>
        </w:tc>
        <w:tc>
          <w:tcPr>
            <w:tcW w:w="749" w:type="pct"/>
            <w:tcBorders>
              <w:top w:val="single" w:sz="4" w:space="0" w:color="auto"/>
              <w:left w:val="single" w:sz="4" w:space="0" w:color="auto"/>
              <w:bottom w:val="single" w:sz="4" w:space="0" w:color="auto"/>
              <w:right w:val="single" w:sz="4" w:space="0" w:color="auto"/>
            </w:tcBorders>
          </w:tcPr>
          <w:p w:rsidR="008929EE" w:rsidRPr="004C2DAC" w:rsidRDefault="008929EE" w:rsidP="00B44A78">
            <w:pPr>
              <w:jc w:val="center"/>
            </w:pPr>
            <w:r w:rsidRPr="004C2DAC">
              <w:t>+700 000</w:t>
            </w:r>
          </w:p>
        </w:tc>
        <w:tc>
          <w:tcPr>
            <w:tcW w:w="749" w:type="pct"/>
            <w:tcBorders>
              <w:top w:val="single" w:sz="4" w:space="0" w:color="auto"/>
              <w:left w:val="single" w:sz="4" w:space="0" w:color="auto"/>
              <w:bottom w:val="single" w:sz="4" w:space="0" w:color="auto"/>
              <w:right w:val="single" w:sz="4" w:space="0" w:color="auto"/>
            </w:tcBorders>
          </w:tcPr>
          <w:p w:rsidR="008929EE" w:rsidRPr="004C2DAC" w:rsidRDefault="008929EE" w:rsidP="00B44A78">
            <w:pPr>
              <w:jc w:val="center"/>
            </w:pPr>
            <w:r w:rsidRPr="004C2DAC">
              <w:t>+1 500 000</w:t>
            </w:r>
          </w:p>
        </w:tc>
        <w:tc>
          <w:tcPr>
            <w:tcW w:w="749" w:type="pct"/>
            <w:tcBorders>
              <w:top w:val="single" w:sz="4" w:space="0" w:color="auto"/>
              <w:left w:val="single" w:sz="4" w:space="0" w:color="auto"/>
              <w:bottom w:val="single" w:sz="4" w:space="0" w:color="auto"/>
              <w:right w:val="single" w:sz="4" w:space="0" w:color="auto"/>
            </w:tcBorders>
          </w:tcPr>
          <w:p w:rsidR="008929EE" w:rsidRPr="004C2DAC" w:rsidRDefault="008929EE" w:rsidP="00B44A78">
            <w:pPr>
              <w:jc w:val="center"/>
            </w:pPr>
            <w:r w:rsidRPr="004C2DAC">
              <w:t>+1 700 000</w:t>
            </w:r>
          </w:p>
        </w:tc>
      </w:tr>
      <w:tr w:rsidR="008929EE" w:rsidRPr="0097439B" w:rsidTr="00F428A2">
        <w:tc>
          <w:tcPr>
            <w:tcW w:w="1354" w:type="pct"/>
            <w:tcBorders>
              <w:top w:val="single" w:sz="4" w:space="0" w:color="auto"/>
              <w:left w:val="single" w:sz="4" w:space="0" w:color="auto"/>
              <w:bottom w:val="single" w:sz="4" w:space="0" w:color="auto"/>
              <w:right w:val="single" w:sz="4" w:space="0" w:color="auto"/>
            </w:tcBorders>
            <w:hideMark/>
          </w:tcPr>
          <w:p w:rsidR="008929EE" w:rsidRPr="0097439B" w:rsidRDefault="008929EE" w:rsidP="008929EE">
            <w:pPr>
              <w:rPr>
                <w:color w:val="000000" w:themeColor="text1"/>
              </w:rPr>
            </w:pPr>
            <w:r w:rsidRPr="0097439B">
              <w:rPr>
                <w:color w:val="000000" w:themeColor="text1"/>
              </w:rPr>
              <w:t>1.2. valsts speciālais budžets ((neskaitot iemaksas valsts fondēto pensiju shēmā)</w:t>
            </w:r>
          </w:p>
        </w:tc>
        <w:tc>
          <w:tcPr>
            <w:tcW w:w="872" w:type="pct"/>
            <w:tcBorders>
              <w:top w:val="single" w:sz="4" w:space="0" w:color="auto"/>
              <w:left w:val="single" w:sz="4" w:space="0" w:color="auto"/>
              <w:bottom w:val="single" w:sz="4" w:space="0" w:color="auto"/>
              <w:right w:val="single" w:sz="4" w:space="0" w:color="auto"/>
            </w:tcBorders>
            <w:vAlign w:val="center"/>
          </w:tcPr>
          <w:p w:rsidR="008929EE" w:rsidRPr="0097439B" w:rsidRDefault="008929EE" w:rsidP="00B44A78">
            <w:pPr>
              <w:jc w:val="center"/>
              <w:rPr>
                <w:b/>
                <w:color w:val="000000" w:themeColor="text1"/>
              </w:rPr>
            </w:pPr>
            <w:r w:rsidRPr="0097439B">
              <w:rPr>
                <w:b/>
                <w:color w:val="000000" w:themeColor="text1"/>
              </w:rPr>
              <w:t>2 244 077 642</w:t>
            </w:r>
          </w:p>
        </w:tc>
        <w:tc>
          <w:tcPr>
            <w:tcW w:w="527" w:type="pct"/>
            <w:tcBorders>
              <w:top w:val="single" w:sz="4" w:space="0" w:color="auto"/>
              <w:left w:val="single" w:sz="4" w:space="0" w:color="auto"/>
              <w:bottom w:val="single" w:sz="4" w:space="0" w:color="auto"/>
              <w:right w:val="single" w:sz="4" w:space="0" w:color="auto"/>
            </w:tcBorders>
            <w:vAlign w:val="center"/>
          </w:tcPr>
          <w:p w:rsidR="008929EE" w:rsidRPr="0097439B" w:rsidRDefault="008929EE" w:rsidP="00B44A78">
            <w:pPr>
              <w:jc w:val="center"/>
              <w:rPr>
                <w:b/>
                <w:color w:val="000000" w:themeColor="text1"/>
              </w:rPr>
            </w:pPr>
            <w:r w:rsidRPr="0097439B">
              <w:rPr>
                <w:b/>
                <w:color w:val="000000" w:themeColor="text1"/>
              </w:rPr>
              <w:t>0</w:t>
            </w:r>
          </w:p>
        </w:tc>
        <w:tc>
          <w:tcPr>
            <w:tcW w:w="749" w:type="pct"/>
            <w:tcBorders>
              <w:top w:val="single" w:sz="4" w:space="0" w:color="auto"/>
              <w:left w:val="single" w:sz="4" w:space="0" w:color="auto"/>
              <w:bottom w:val="single" w:sz="4" w:space="0" w:color="auto"/>
              <w:right w:val="single" w:sz="4" w:space="0" w:color="auto"/>
            </w:tcBorders>
          </w:tcPr>
          <w:p w:rsidR="008929EE" w:rsidRPr="004C2DAC" w:rsidRDefault="008929EE" w:rsidP="00B44A78">
            <w:pPr>
              <w:jc w:val="center"/>
            </w:pPr>
            <w:r w:rsidRPr="004C2DAC">
              <w:t>+24 900 000</w:t>
            </w:r>
          </w:p>
        </w:tc>
        <w:tc>
          <w:tcPr>
            <w:tcW w:w="749" w:type="pct"/>
            <w:tcBorders>
              <w:top w:val="single" w:sz="4" w:space="0" w:color="auto"/>
              <w:left w:val="single" w:sz="4" w:space="0" w:color="auto"/>
              <w:bottom w:val="single" w:sz="4" w:space="0" w:color="auto"/>
              <w:right w:val="single" w:sz="4" w:space="0" w:color="auto"/>
            </w:tcBorders>
          </w:tcPr>
          <w:p w:rsidR="008929EE" w:rsidRPr="004C2DAC" w:rsidRDefault="008929EE" w:rsidP="00B44A78">
            <w:pPr>
              <w:jc w:val="center"/>
            </w:pPr>
            <w:r w:rsidRPr="004C2DAC">
              <w:t>+20 500 000</w:t>
            </w:r>
          </w:p>
        </w:tc>
        <w:tc>
          <w:tcPr>
            <w:tcW w:w="749" w:type="pct"/>
            <w:tcBorders>
              <w:top w:val="single" w:sz="4" w:space="0" w:color="auto"/>
              <w:left w:val="single" w:sz="4" w:space="0" w:color="auto"/>
              <w:bottom w:val="single" w:sz="4" w:space="0" w:color="auto"/>
              <w:right w:val="single" w:sz="4" w:space="0" w:color="auto"/>
            </w:tcBorders>
          </w:tcPr>
          <w:p w:rsidR="008929EE" w:rsidRPr="004C2DAC" w:rsidRDefault="008929EE" w:rsidP="00B44A78">
            <w:pPr>
              <w:jc w:val="center"/>
            </w:pPr>
            <w:r w:rsidRPr="004C2DAC">
              <w:t>+21 500 000</w:t>
            </w:r>
          </w:p>
        </w:tc>
      </w:tr>
      <w:tr w:rsidR="008929EE" w:rsidRPr="0097439B" w:rsidTr="00F428A2">
        <w:tc>
          <w:tcPr>
            <w:tcW w:w="1354" w:type="pct"/>
            <w:tcBorders>
              <w:top w:val="single" w:sz="4" w:space="0" w:color="auto"/>
              <w:left w:val="single" w:sz="4" w:space="0" w:color="auto"/>
              <w:bottom w:val="single" w:sz="4" w:space="0" w:color="auto"/>
              <w:right w:val="single" w:sz="4" w:space="0" w:color="auto"/>
            </w:tcBorders>
            <w:hideMark/>
          </w:tcPr>
          <w:p w:rsidR="008929EE" w:rsidRPr="0097439B" w:rsidRDefault="008929EE" w:rsidP="008929EE">
            <w:pPr>
              <w:rPr>
                <w:color w:val="000000" w:themeColor="text1"/>
              </w:rPr>
            </w:pPr>
            <w:r w:rsidRPr="0097439B">
              <w:rPr>
                <w:color w:val="000000" w:themeColor="text1"/>
              </w:rPr>
              <w:t>1.3. pašvaldību budžets</w:t>
            </w:r>
          </w:p>
        </w:tc>
        <w:tc>
          <w:tcPr>
            <w:tcW w:w="872" w:type="pct"/>
            <w:tcBorders>
              <w:top w:val="single" w:sz="4" w:space="0" w:color="auto"/>
              <w:left w:val="single" w:sz="4" w:space="0" w:color="auto"/>
              <w:bottom w:val="single" w:sz="4" w:space="0" w:color="auto"/>
              <w:right w:val="single" w:sz="4" w:space="0" w:color="auto"/>
            </w:tcBorders>
            <w:vAlign w:val="center"/>
          </w:tcPr>
          <w:p w:rsidR="008929EE" w:rsidRPr="0097439B" w:rsidRDefault="008929EE" w:rsidP="00B44A78">
            <w:pPr>
              <w:jc w:val="center"/>
              <w:rPr>
                <w:color w:val="000000" w:themeColor="text1"/>
              </w:rPr>
            </w:pPr>
            <w:r w:rsidRPr="0097439B">
              <w:rPr>
                <w:color w:val="000000" w:themeColor="text1"/>
              </w:rPr>
              <w:t>0</w:t>
            </w:r>
          </w:p>
        </w:tc>
        <w:tc>
          <w:tcPr>
            <w:tcW w:w="527" w:type="pct"/>
            <w:tcBorders>
              <w:top w:val="single" w:sz="4" w:space="0" w:color="auto"/>
              <w:left w:val="single" w:sz="4" w:space="0" w:color="auto"/>
              <w:bottom w:val="single" w:sz="4" w:space="0" w:color="auto"/>
              <w:right w:val="single" w:sz="4" w:space="0" w:color="auto"/>
            </w:tcBorders>
            <w:vAlign w:val="center"/>
          </w:tcPr>
          <w:p w:rsidR="008929EE" w:rsidRPr="0097439B" w:rsidRDefault="008929EE" w:rsidP="00B44A78">
            <w:pPr>
              <w:jc w:val="center"/>
              <w:rPr>
                <w:color w:val="000000" w:themeColor="text1"/>
              </w:rPr>
            </w:pPr>
            <w:r w:rsidRPr="0097439B">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tcPr>
          <w:p w:rsidR="008929EE" w:rsidRPr="004C2DAC" w:rsidRDefault="008929EE" w:rsidP="00B44A78">
            <w:pPr>
              <w:jc w:val="center"/>
            </w:pPr>
            <w:r w:rsidRPr="004C2DAC">
              <w:t>0</w:t>
            </w:r>
          </w:p>
        </w:tc>
        <w:tc>
          <w:tcPr>
            <w:tcW w:w="749" w:type="pct"/>
            <w:tcBorders>
              <w:top w:val="single" w:sz="4" w:space="0" w:color="auto"/>
              <w:left w:val="single" w:sz="4" w:space="0" w:color="auto"/>
              <w:bottom w:val="single" w:sz="4" w:space="0" w:color="auto"/>
              <w:right w:val="single" w:sz="4" w:space="0" w:color="auto"/>
            </w:tcBorders>
          </w:tcPr>
          <w:p w:rsidR="008929EE" w:rsidRPr="004C2DAC" w:rsidRDefault="008929EE" w:rsidP="00B44A78">
            <w:pPr>
              <w:jc w:val="center"/>
            </w:pPr>
            <w:r w:rsidRPr="004C2DAC">
              <w:t>0</w:t>
            </w:r>
          </w:p>
        </w:tc>
        <w:tc>
          <w:tcPr>
            <w:tcW w:w="749" w:type="pct"/>
            <w:tcBorders>
              <w:top w:val="single" w:sz="4" w:space="0" w:color="auto"/>
              <w:left w:val="single" w:sz="4" w:space="0" w:color="auto"/>
              <w:bottom w:val="single" w:sz="4" w:space="0" w:color="auto"/>
              <w:right w:val="single" w:sz="4" w:space="0" w:color="auto"/>
            </w:tcBorders>
          </w:tcPr>
          <w:p w:rsidR="008929EE" w:rsidRPr="004C2DAC" w:rsidRDefault="008929EE" w:rsidP="00B44A78">
            <w:pPr>
              <w:jc w:val="center"/>
            </w:pPr>
            <w:r w:rsidRPr="004C2DAC">
              <w:t>0</w:t>
            </w:r>
          </w:p>
        </w:tc>
      </w:tr>
      <w:tr w:rsidR="008929EE" w:rsidRPr="0097439B" w:rsidTr="0072118E">
        <w:trPr>
          <w:trHeight w:val="96"/>
        </w:trPr>
        <w:tc>
          <w:tcPr>
            <w:tcW w:w="1354" w:type="pct"/>
            <w:tcBorders>
              <w:top w:val="single" w:sz="4" w:space="0" w:color="auto"/>
              <w:left w:val="single" w:sz="4" w:space="0" w:color="auto"/>
              <w:bottom w:val="single" w:sz="4" w:space="0" w:color="auto"/>
              <w:right w:val="single" w:sz="4" w:space="0" w:color="auto"/>
            </w:tcBorders>
            <w:shd w:val="clear" w:color="auto" w:fill="E7E6E6" w:themeFill="background2"/>
            <w:hideMark/>
          </w:tcPr>
          <w:p w:rsidR="008929EE" w:rsidRPr="0097439B" w:rsidRDefault="008929EE" w:rsidP="008929EE">
            <w:pPr>
              <w:ind w:left="254" w:hanging="254"/>
              <w:jc w:val="both"/>
              <w:rPr>
                <w:color w:val="000000" w:themeColor="text1"/>
              </w:rPr>
            </w:pPr>
            <w:r w:rsidRPr="0097439B">
              <w:rPr>
                <w:color w:val="000000" w:themeColor="text1"/>
              </w:rPr>
              <w:t>2.   Budžeta izdevumi:</w:t>
            </w:r>
          </w:p>
        </w:tc>
        <w:tc>
          <w:tcPr>
            <w:tcW w:w="87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929EE" w:rsidRPr="0097439B" w:rsidRDefault="008929EE" w:rsidP="00B44A78">
            <w:pPr>
              <w:jc w:val="center"/>
              <w:rPr>
                <w:color w:val="000000" w:themeColor="text1"/>
              </w:rPr>
            </w:pPr>
            <w:r w:rsidRPr="0097439B">
              <w:rPr>
                <w:color w:val="000000" w:themeColor="text1"/>
              </w:rPr>
              <w:t>0</w:t>
            </w:r>
          </w:p>
        </w:tc>
        <w:tc>
          <w:tcPr>
            <w:tcW w:w="527"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8929EE" w:rsidRPr="0097439B" w:rsidRDefault="008929EE" w:rsidP="00B44A78">
            <w:pPr>
              <w:jc w:val="center"/>
              <w:rPr>
                <w:color w:val="000000" w:themeColor="text1"/>
              </w:rPr>
            </w:pPr>
            <w:r w:rsidRPr="0097439B">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shd w:val="clear" w:color="auto" w:fill="E7E6E6" w:themeFill="background2"/>
          </w:tcPr>
          <w:p w:rsidR="008929EE" w:rsidRPr="004C2DAC" w:rsidRDefault="008929EE" w:rsidP="00B44A78">
            <w:pPr>
              <w:jc w:val="center"/>
            </w:pPr>
            <w:r w:rsidRPr="004C2DAC">
              <w:t>700 000</w:t>
            </w:r>
          </w:p>
        </w:tc>
        <w:tc>
          <w:tcPr>
            <w:tcW w:w="749" w:type="pct"/>
            <w:tcBorders>
              <w:top w:val="single" w:sz="4" w:space="0" w:color="auto"/>
              <w:left w:val="single" w:sz="4" w:space="0" w:color="auto"/>
              <w:bottom w:val="single" w:sz="4" w:space="0" w:color="auto"/>
              <w:right w:val="single" w:sz="4" w:space="0" w:color="auto"/>
            </w:tcBorders>
            <w:shd w:val="clear" w:color="auto" w:fill="E7E6E6" w:themeFill="background2"/>
          </w:tcPr>
          <w:p w:rsidR="008929EE" w:rsidRPr="004C2DAC" w:rsidRDefault="008929EE" w:rsidP="00B44A78">
            <w:pPr>
              <w:jc w:val="center"/>
            </w:pPr>
            <w:r w:rsidRPr="004C2DAC">
              <w:t>1 500 000</w:t>
            </w:r>
          </w:p>
        </w:tc>
        <w:tc>
          <w:tcPr>
            <w:tcW w:w="749" w:type="pct"/>
            <w:tcBorders>
              <w:top w:val="single" w:sz="4" w:space="0" w:color="auto"/>
              <w:left w:val="single" w:sz="4" w:space="0" w:color="auto"/>
              <w:bottom w:val="single" w:sz="4" w:space="0" w:color="auto"/>
              <w:right w:val="single" w:sz="4" w:space="0" w:color="auto"/>
            </w:tcBorders>
            <w:shd w:val="clear" w:color="auto" w:fill="E7E6E6" w:themeFill="background2"/>
          </w:tcPr>
          <w:p w:rsidR="008929EE" w:rsidRPr="004C2DAC" w:rsidRDefault="008929EE" w:rsidP="00B44A78">
            <w:pPr>
              <w:jc w:val="center"/>
            </w:pPr>
            <w:r w:rsidRPr="004C2DAC">
              <w:t>1 600 000</w:t>
            </w:r>
          </w:p>
        </w:tc>
      </w:tr>
      <w:tr w:rsidR="008929EE" w:rsidRPr="0097439B" w:rsidTr="00F428A2">
        <w:tc>
          <w:tcPr>
            <w:tcW w:w="1354" w:type="pct"/>
            <w:tcBorders>
              <w:top w:val="single" w:sz="4" w:space="0" w:color="auto"/>
              <w:left w:val="single" w:sz="4" w:space="0" w:color="auto"/>
              <w:bottom w:val="single" w:sz="4" w:space="0" w:color="auto"/>
              <w:right w:val="single" w:sz="4" w:space="0" w:color="auto"/>
            </w:tcBorders>
            <w:hideMark/>
          </w:tcPr>
          <w:p w:rsidR="008929EE" w:rsidRPr="0097439B" w:rsidRDefault="008929EE" w:rsidP="008929EE">
            <w:pPr>
              <w:rPr>
                <w:color w:val="000000" w:themeColor="text1"/>
              </w:rPr>
            </w:pPr>
            <w:r w:rsidRPr="0097439B">
              <w:rPr>
                <w:color w:val="000000" w:themeColor="text1"/>
              </w:rPr>
              <w:t>2.1. valsts pamatbudžets</w:t>
            </w:r>
          </w:p>
        </w:tc>
        <w:tc>
          <w:tcPr>
            <w:tcW w:w="872" w:type="pct"/>
            <w:tcBorders>
              <w:top w:val="single" w:sz="4" w:space="0" w:color="auto"/>
              <w:left w:val="single" w:sz="4" w:space="0" w:color="auto"/>
              <w:bottom w:val="single" w:sz="4" w:space="0" w:color="auto"/>
              <w:right w:val="single" w:sz="4" w:space="0" w:color="auto"/>
            </w:tcBorders>
            <w:vAlign w:val="center"/>
          </w:tcPr>
          <w:p w:rsidR="008929EE" w:rsidRPr="0097439B" w:rsidRDefault="008929EE" w:rsidP="00B44A78">
            <w:pPr>
              <w:jc w:val="center"/>
              <w:rPr>
                <w:color w:val="000000" w:themeColor="text1"/>
              </w:rPr>
            </w:pPr>
            <w:r w:rsidRPr="0097439B">
              <w:rPr>
                <w:color w:val="000000" w:themeColor="text1"/>
              </w:rPr>
              <w:t>0</w:t>
            </w:r>
          </w:p>
        </w:tc>
        <w:tc>
          <w:tcPr>
            <w:tcW w:w="527" w:type="pct"/>
            <w:tcBorders>
              <w:top w:val="single" w:sz="4" w:space="0" w:color="auto"/>
              <w:left w:val="single" w:sz="4" w:space="0" w:color="auto"/>
              <w:bottom w:val="single" w:sz="4" w:space="0" w:color="auto"/>
              <w:right w:val="single" w:sz="4" w:space="0" w:color="auto"/>
            </w:tcBorders>
            <w:vAlign w:val="center"/>
          </w:tcPr>
          <w:p w:rsidR="008929EE" w:rsidRPr="0097439B" w:rsidRDefault="008929EE" w:rsidP="00B44A78">
            <w:pPr>
              <w:jc w:val="center"/>
              <w:rPr>
                <w:color w:val="000000" w:themeColor="text1"/>
              </w:rPr>
            </w:pPr>
            <w:r w:rsidRPr="0097439B">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tcPr>
          <w:p w:rsidR="008929EE" w:rsidRPr="004C2DAC" w:rsidRDefault="008929EE" w:rsidP="00B44A78">
            <w:pPr>
              <w:jc w:val="center"/>
            </w:pPr>
            <w:r w:rsidRPr="004C2DAC">
              <w:t>700 000</w:t>
            </w:r>
          </w:p>
        </w:tc>
        <w:tc>
          <w:tcPr>
            <w:tcW w:w="749" w:type="pct"/>
            <w:tcBorders>
              <w:top w:val="single" w:sz="4" w:space="0" w:color="auto"/>
              <w:left w:val="single" w:sz="4" w:space="0" w:color="auto"/>
              <w:bottom w:val="single" w:sz="4" w:space="0" w:color="auto"/>
              <w:right w:val="single" w:sz="4" w:space="0" w:color="auto"/>
            </w:tcBorders>
          </w:tcPr>
          <w:p w:rsidR="008929EE" w:rsidRPr="004C2DAC" w:rsidRDefault="008929EE" w:rsidP="00B44A78">
            <w:pPr>
              <w:jc w:val="center"/>
            </w:pPr>
            <w:r w:rsidRPr="004C2DAC">
              <w:t>1 500 000</w:t>
            </w:r>
          </w:p>
        </w:tc>
        <w:tc>
          <w:tcPr>
            <w:tcW w:w="749" w:type="pct"/>
            <w:tcBorders>
              <w:top w:val="single" w:sz="4" w:space="0" w:color="auto"/>
              <w:left w:val="single" w:sz="4" w:space="0" w:color="auto"/>
              <w:bottom w:val="single" w:sz="4" w:space="0" w:color="auto"/>
              <w:right w:val="single" w:sz="4" w:space="0" w:color="auto"/>
            </w:tcBorders>
          </w:tcPr>
          <w:p w:rsidR="008929EE" w:rsidRPr="004C2DAC" w:rsidRDefault="008929EE" w:rsidP="00B44A78">
            <w:pPr>
              <w:jc w:val="center"/>
            </w:pPr>
            <w:r w:rsidRPr="004C2DAC">
              <w:t>1 600 000</w:t>
            </w:r>
          </w:p>
        </w:tc>
      </w:tr>
      <w:tr w:rsidR="008929EE" w:rsidRPr="0097439B" w:rsidTr="00F428A2">
        <w:tc>
          <w:tcPr>
            <w:tcW w:w="1354" w:type="pct"/>
            <w:tcBorders>
              <w:top w:val="single" w:sz="4" w:space="0" w:color="auto"/>
              <w:left w:val="single" w:sz="4" w:space="0" w:color="auto"/>
              <w:bottom w:val="single" w:sz="4" w:space="0" w:color="auto"/>
              <w:right w:val="single" w:sz="4" w:space="0" w:color="auto"/>
            </w:tcBorders>
            <w:hideMark/>
          </w:tcPr>
          <w:p w:rsidR="008929EE" w:rsidRPr="0097439B" w:rsidRDefault="008929EE" w:rsidP="008929EE">
            <w:pPr>
              <w:rPr>
                <w:color w:val="000000" w:themeColor="text1"/>
              </w:rPr>
            </w:pPr>
            <w:r w:rsidRPr="0097439B">
              <w:rPr>
                <w:color w:val="000000" w:themeColor="text1"/>
              </w:rPr>
              <w:t>2.2. valsts speciālais budžets</w:t>
            </w:r>
          </w:p>
        </w:tc>
        <w:tc>
          <w:tcPr>
            <w:tcW w:w="872" w:type="pct"/>
            <w:tcBorders>
              <w:top w:val="single" w:sz="4" w:space="0" w:color="auto"/>
              <w:left w:val="single" w:sz="4" w:space="0" w:color="auto"/>
              <w:bottom w:val="single" w:sz="4" w:space="0" w:color="auto"/>
              <w:right w:val="single" w:sz="4" w:space="0" w:color="auto"/>
            </w:tcBorders>
            <w:vAlign w:val="center"/>
          </w:tcPr>
          <w:p w:rsidR="008929EE" w:rsidRPr="0097439B" w:rsidRDefault="008929EE" w:rsidP="00B44A78">
            <w:pPr>
              <w:jc w:val="center"/>
              <w:rPr>
                <w:color w:val="000000" w:themeColor="text1"/>
              </w:rPr>
            </w:pPr>
            <w:r w:rsidRPr="0097439B">
              <w:rPr>
                <w:color w:val="000000" w:themeColor="text1"/>
              </w:rPr>
              <w:t>0</w:t>
            </w:r>
          </w:p>
        </w:tc>
        <w:tc>
          <w:tcPr>
            <w:tcW w:w="527" w:type="pct"/>
            <w:tcBorders>
              <w:top w:val="single" w:sz="4" w:space="0" w:color="auto"/>
              <w:left w:val="single" w:sz="4" w:space="0" w:color="auto"/>
              <w:bottom w:val="single" w:sz="4" w:space="0" w:color="auto"/>
              <w:right w:val="single" w:sz="4" w:space="0" w:color="auto"/>
            </w:tcBorders>
            <w:vAlign w:val="center"/>
          </w:tcPr>
          <w:p w:rsidR="008929EE" w:rsidRPr="0097439B" w:rsidRDefault="008929EE" w:rsidP="00B44A78">
            <w:pPr>
              <w:jc w:val="center"/>
              <w:rPr>
                <w:color w:val="000000" w:themeColor="text1"/>
              </w:rPr>
            </w:pPr>
            <w:r w:rsidRPr="0097439B">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tcPr>
          <w:p w:rsidR="008929EE" w:rsidRPr="004C2DAC" w:rsidRDefault="008929EE" w:rsidP="00B44A78">
            <w:pPr>
              <w:jc w:val="center"/>
            </w:pPr>
            <w:r w:rsidRPr="004C2DAC">
              <w:t>0</w:t>
            </w:r>
          </w:p>
        </w:tc>
        <w:tc>
          <w:tcPr>
            <w:tcW w:w="749" w:type="pct"/>
            <w:tcBorders>
              <w:top w:val="single" w:sz="4" w:space="0" w:color="auto"/>
              <w:left w:val="single" w:sz="4" w:space="0" w:color="auto"/>
              <w:bottom w:val="single" w:sz="4" w:space="0" w:color="auto"/>
              <w:right w:val="single" w:sz="4" w:space="0" w:color="auto"/>
            </w:tcBorders>
          </w:tcPr>
          <w:p w:rsidR="008929EE" w:rsidRPr="004C2DAC" w:rsidRDefault="008929EE" w:rsidP="00B44A78">
            <w:pPr>
              <w:jc w:val="center"/>
            </w:pPr>
            <w:r w:rsidRPr="004C2DAC">
              <w:t>0</w:t>
            </w:r>
          </w:p>
        </w:tc>
        <w:tc>
          <w:tcPr>
            <w:tcW w:w="749" w:type="pct"/>
            <w:tcBorders>
              <w:top w:val="single" w:sz="4" w:space="0" w:color="auto"/>
              <w:left w:val="single" w:sz="4" w:space="0" w:color="auto"/>
              <w:bottom w:val="single" w:sz="4" w:space="0" w:color="auto"/>
              <w:right w:val="single" w:sz="4" w:space="0" w:color="auto"/>
            </w:tcBorders>
          </w:tcPr>
          <w:p w:rsidR="008929EE" w:rsidRPr="004C2DAC" w:rsidRDefault="008929EE" w:rsidP="00B44A78">
            <w:pPr>
              <w:jc w:val="center"/>
            </w:pPr>
            <w:r w:rsidRPr="004C2DAC">
              <w:t>0</w:t>
            </w:r>
          </w:p>
        </w:tc>
      </w:tr>
      <w:tr w:rsidR="008929EE" w:rsidRPr="0097439B" w:rsidTr="00F428A2">
        <w:tc>
          <w:tcPr>
            <w:tcW w:w="1354" w:type="pct"/>
            <w:tcBorders>
              <w:top w:val="single" w:sz="4" w:space="0" w:color="auto"/>
              <w:left w:val="single" w:sz="4" w:space="0" w:color="auto"/>
              <w:bottom w:val="single" w:sz="4" w:space="0" w:color="auto"/>
              <w:right w:val="single" w:sz="4" w:space="0" w:color="auto"/>
            </w:tcBorders>
            <w:hideMark/>
          </w:tcPr>
          <w:p w:rsidR="008929EE" w:rsidRPr="0097439B" w:rsidRDefault="008929EE" w:rsidP="008929EE">
            <w:pPr>
              <w:rPr>
                <w:color w:val="000000" w:themeColor="text1"/>
              </w:rPr>
            </w:pPr>
            <w:r w:rsidRPr="0097439B">
              <w:rPr>
                <w:color w:val="000000" w:themeColor="text1"/>
              </w:rPr>
              <w:t>2.3. pašvaldību budžets</w:t>
            </w:r>
          </w:p>
        </w:tc>
        <w:tc>
          <w:tcPr>
            <w:tcW w:w="872" w:type="pct"/>
            <w:tcBorders>
              <w:top w:val="single" w:sz="4" w:space="0" w:color="auto"/>
              <w:left w:val="single" w:sz="4" w:space="0" w:color="auto"/>
              <w:bottom w:val="single" w:sz="4" w:space="0" w:color="auto"/>
              <w:right w:val="single" w:sz="4" w:space="0" w:color="auto"/>
            </w:tcBorders>
            <w:vAlign w:val="center"/>
          </w:tcPr>
          <w:p w:rsidR="008929EE" w:rsidRPr="0097439B" w:rsidRDefault="008929EE" w:rsidP="00B44A78">
            <w:pPr>
              <w:jc w:val="center"/>
              <w:rPr>
                <w:color w:val="000000" w:themeColor="text1"/>
              </w:rPr>
            </w:pPr>
            <w:r w:rsidRPr="0097439B">
              <w:rPr>
                <w:color w:val="000000" w:themeColor="text1"/>
              </w:rPr>
              <w:t>0</w:t>
            </w:r>
          </w:p>
        </w:tc>
        <w:tc>
          <w:tcPr>
            <w:tcW w:w="527" w:type="pct"/>
            <w:tcBorders>
              <w:top w:val="single" w:sz="4" w:space="0" w:color="auto"/>
              <w:left w:val="single" w:sz="4" w:space="0" w:color="auto"/>
              <w:bottom w:val="single" w:sz="4" w:space="0" w:color="auto"/>
              <w:right w:val="single" w:sz="4" w:space="0" w:color="auto"/>
            </w:tcBorders>
            <w:vAlign w:val="center"/>
          </w:tcPr>
          <w:p w:rsidR="008929EE" w:rsidRPr="0097439B" w:rsidRDefault="008929EE" w:rsidP="00B44A78">
            <w:pPr>
              <w:jc w:val="center"/>
              <w:rPr>
                <w:color w:val="000000" w:themeColor="text1"/>
              </w:rPr>
            </w:pPr>
            <w:r w:rsidRPr="0097439B">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tcPr>
          <w:p w:rsidR="008929EE" w:rsidRPr="004C2DAC" w:rsidRDefault="008929EE" w:rsidP="00B44A78">
            <w:pPr>
              <w:jc w:val="center"/>
            </w:pPr>
            <w:r w:rsidRPr="004C2DAC">
              <w:t>0</w:t>
            </w:r>
          </w:p>
        </w:tc>
        <w:tc>
          <w:tcPr>
            <w:tcW w:w="749" w:type="pct"/>
            <w:tcBorders>
              <w:top w:val="single" w:sz="4" w:space="0" w:color="auto"/>
              <w:left w:val="single" w:sz="4" w:space="0" w:color="auto"/>
              <w:bottom w:val="single" w:sz="4" w:space="0" w:color="auto"/>
              <w:right w:val="single" w:sz="4" w:space="0" w:color="auto"/>
            </w:tcBorders>
          </w:tcPr>
          <w:p w:rsidR="008929EE" w:rsidRPr="004C2DAC" w:rsidRDefault="008929EE" w:rsidP="00B44A78">
            <w:pPr>
              <w:jc w:val="center"/>
            </w:pPr>
            <w:r w:rsidRPr="004C2DAC">
              <w:t>0</w:t>
            </w:r>
          </w:p>
        </w:tc>
        <w:tc>
          <w:tcPr>
            <w:tcW w:w="749" w:type="pct"/>
            <w:tcBorders>
              <w:top w:val="single" w:sz="4" w:space="0" w:color="auto"/>
              <w:left w:val="single" w:sz="4" w:space="0" w:color="auto"/>
              <w:bottom w:val="single" w:sz="4" w:space="0" w:color="auto"/>
              <w:right w:val="single" w:sz="4" w:space="0" w:color="auto"/>
            </w:tcBorders>
          </w:tcPr>
          <w:p w:rsidR="008929EE" w:rsidRPr="004C2DAC" w:rsidRDefault="008929EE" w:rsidP="00B44A78">
            <w:pPr>
              <w:jc w:val="center"/>
            </w:pPr>
            <w:r w:rsidRPr="004C2DAC">
              <w:t>0</w:t>
            </w:r>
          </w:p>
        </w:tc>
      </w:tr>
      <w:tr w:rsidR="008929EE" w:rsidRPr="0097439B" w:rsidTr="00F428A2">
        <w:trPr>
          <w:trHeight w:val="96"/>
        </w:trPr>
        <w:tc>
          <w:tcPr>
            <w:tcW w:w="1354" w:type="pct"/>
            <w:tcBorders>
              <w:top w:val="single" w:sz="4" w:space="0" w:color="auto"/>
              <w:left w:val="single" w:sz="4" w:space="0" w:color="auto"/>
              <w:bottom w:val="single" w:sz="4" w:space="0" w:color="auto"/>
              <w:right w:val="single" w:sz="4" w:space="0" w:color="auto"/>
            </w:tcBorders>
            <w:hideMark/>
          </w:tcPr>
          <w:p w:rsidR="008929EE" w:rsidRPr="0097439B" w:rsidRDefault="008929EE" w:rsidP="008929EE">
            <w:pPr>
              <w:ind w:left="254" w:hanging="254"/>
              <w:jc w:val="both"/>
              <w:rPr>
                <w:color w:val="000000" w:themeColor="text1"/>
              </w:rPr>
            </w:pPr>
            <w:r w:rsidRPr="0097439B">
              <w:rPr>
                <w:color w:val="000000" w:themeColor="text1"/>
              </w:rPr>
              <w:t>3.   Finansiālā ietekme:</w:t>
            </w:r>
          </w:p>
        </w:tc>
        <w:tc>
          <w:tcPr>
            <w:tcW w:w="872" w:type="pct"/>
            <w:tcBorders>
              <w:top w:val="single" w:sz="4" w:space="0" w:color="auto"/>
              <w:left w:val="single" w:sz="4" w:space="0" w:color="auto"/>
              <w:bottom w:val="single" w:sz="4" w:space="0" w:color="auto"/>
              <w:right w:val="single" w:sz="4" w:space="0" w:color="auto"/>
            </w:tcBorders>
            <w:vAlign w:val="center"/>
          </w:tcPr>
          <w:p w:rsidR="008929EE" w:rsidRPr="0097439B" w:rsidRDefault="008929EE" w:rsidP="00B44A78">
            <w:pPr>
              <w:jc w:val="center"/>
              <w:rPr>
                <w:color w:val="000000" w:themeColor="text1"/>
              </w:rPr>
            </w:pPr>
            <w:r w:rsidRPr="0097439B">
              <w:rPr>
                <w:color w:val="000000" w:themeColor="text1"/>
              </w:rPr>
              <w:t>0</w:t>
            </w:r>
          </w:p>
        </w:tc>
        <w:tc>
          <w:tcPr>
            <w:tcW w:w="527" w:type="pct"/>
            <w:tcBorders>
              <w:top w:val="single" w:sz="4" w:space="0" w:color="auto"/>
              <w:left w:val="single" w:sz="4" w:space="0" w:color="auto"/>
              <w:bottom w:val="single" w:sz="4" w:space="0" w:color="auto"/>
              <w:right w:val="single" w:sz="4" w:space="0" w:color="auto"/>
            </w:tcBorders>
            <w:vAlign w:val="center"/>
          </w:tcPr>
          <w:p w:rsidR="008929EE" w:rsidRPr="0097439B" w:rsidRDefault="008929EE" w:rsidP="00B44A78">
            <w:pPr>
              <w:jc w:val="center"/>
              <w:rPr>
                <w:color w:val="000000" w:themeColor="text1"/>
              </w:rPr>
            </w:pPr>
            <w:r w:rsidRPr="0097439B">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shd w:val="clear" w:color="auto" w:fill="auto"/>
          </w:tcPr>
          <w:p w:rsidR="008929EE" w:rsidRPr="004C2DAC" w:rsidRDefault="008929EE" w:rsidP="00B44A78">
            <w:pPr>
              <w:jc w:val="center"/>
            </w:pPr>
            <w:r w:rsidRPr="004C2DAC">
              <w:t>+2 300 000</w:t>
            </w:r>
          </w:p>
        </w:tc>
        <w:tc>
          <w:tcPr>
            <w:tcW w:w="749" w:type="pct"/>
            <w:tcBorders>
              <w:top w:val="single" w:sz="4" w:space="0" w:color="auto"/>
              <w:left w:val="single" w:sz="4" w:space="0" w:color="auto"/>
              <w:bottom w:val="single" w:sz="4" w:space="0" w:color="auto"/>
              <w:right w:val="single" w:sz="4" w:space="0" w:color="auto"/>
            </w:tcBorders>
          </w:tcPr>
          <w:p w:rsidR="008929EE" w:rsidRPr="004C2DAC" w:rsidRDefault="008929EE" w:rsidP="00B44A78">
            <w:pPr>
              <w:jc w:val="center"/>
            </w:pPr>
            <w:r w:rsidRPr="004C2DAC">
              <w:t>-30 070 000</w:t>
            </w:r>
          </w:p>
        </w:tc>
        <w:tc>
          <w:tcPr>
            <w:tcW w:w="749" w:type="pct"/>
            <w:tcBorders>
              <w:top w:val="single" w:sz="4" w:space="0" w:color="auto"/>
              <w:left w:val="single" w:sz="4" w:space="0" w:color="auto"/>
              <w:bottom w:val="single" w:sz="4" w:space="0" w:color="auto"/>
              <w:right w:val="single" w:sz="4" w:space="0" w:color="auto"/>
            </w:tcBorders>
          </w:tcPr>
          <w:p w:rsidR="008929EE" w:rsidRPr="004C2DAC" w:rsidRDefault="008929EE" w:rsidP="00B44A78">
            <w:pPr>
              <w:jc w:val="center"/>
            </w:pPr>
            <w:r w:rsidRPr="004C2DAC">
              <w:t>-29 730 000</w:t>
            </w:r>
          </w:p>
        </w:tc>
      </w:tr>
      <w:tr w:rsidR="008929EE" w:rsidRPr="0097439B" w:rsidTr="00F428A2">
        <w:tc>
          <w:tcPr>
            <w:tcW w:w="1354" w:type="pct"/>
            <w:tcBorders>
              <w:top w:val="single" w:sz="4" w:space="0" w:color="auto"/>
              <w:left w:val="single" w:sz="4" w:space="0" w:color="auto"/>
              <w:bottom w:val="single" w:sz="4" w:space="0" w:color="auto"/>
              <w:right w:val="single" w:sz="4" w:space="0" w:color="auto"/>
            </w:tcBorders>
            <w:hideMark/>
          </w:tcPr>
          <w:p w:rsidR="008929EE" w:rsidRPr="0097439B" w:rsidRDefault="008929EE" w:rsidP="008929EE">
            <w:pPr>
              <w:rPr>
                <w:color w:val="000000" w:themeColor="text1"/>
              </w:rPr>
            </w:pPr>
            <w:r w:rsidRPr="0097439B">
              <w:rPr>
                <w:color w:val="000000" w:themeColor="text1"/>
              </w:rPr>
              <w:t>3.1. valsts pamatbudžets</w:t>
            </w:r>
          </w:p>
        </w:tc>
        <w:tc>
          <w:tcPr>
            <w:tcW w:w="872" w:type="pct"/>
            <w:tcBorders>
              <w:top w:val="single" w:sz="4" w:space="0" w:color="auto"/>
              <w:left w:val="single" w:sz="4" w:space="0" w:color="auto"/>
              <w:bottom w:val="single" w:sz="4" w:space="0" w:color="auto"/>
              <w:right w:val="single" w:sz="4" w:space="0" w:color="auto"/>
            </w:tcBorders>
            <w:vAlign w:val="center"/>
          </w:tcPr>
          <w:p w:rsidR="008929EE" w:rsidRPr="0097439B" w:rsidRDefault="008929EE" w:rsidP="00B44A78">
            <w:pPr>
              <w:jc w:val="center"/>
              <w:rPr>
                <w:color w:val="000000" w:themeColor="text1"/>
              </w:rPr>
            </w:pPr>
            <w:r w:rsidRPr="0097439B">
              <w:rPr>
                <w:color w:val="000000" w:themeColor="text1"/>
              </w:rPr>
              <w:t>374 944 191</w:t>
            </w:r>
          </w:p>
        </w:tc>
        <w:tc>
          <w:tcPr>
            <w:tcW w:w="527" w:type="pct"/>
            <w:tcBorders>
              <w:top w:val="single" w:sz="4" w:space="0" w:color="auto"/>
              <w:left w:val="single" w:sz="4" w:space="0" w:color="auto"/>
              <w:bottom w:val="single" w:sz="4" w:space="0" w:color="auto"/>
              <w:right w:val="single" w:sz="4" w:space="0" w:color="auto"/>
            </w:tcBorders>
            <w:vAlign w:val="center"/>
          </w:tcPr>
          <w:p w:rsidR="008929EE" w:rsidRPr="0097439B" w:rsidRDefault="008929EE" w:rsidP="00B44A78">
            <w:pPr>
              <w:jc w:val="center"/>
              <w:rPr>
                <w:color w:val="000000" w:themeColor="text1"/>
              </w:rPr>
            </w:pPr>
            <w:r w:rsidRPr="0097439B">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shd w:val="clear" w:color="auto" w:fill="auto"/>
          </w:tcPr>
          <w:p w:rsidR="008929EE" w:rsidRPr="004C2DAC" w:rsidRDefault="008929EE" w:rsidP="00B44A78">
            <w:pPr>
              <w:jc w:val="center"/>
            </w:pPr>
            <w:r w:rsidRPr="004C2DAC">
              <w:t>- 21 200 000</w:t>
            </w:r>
          </w:p>
        </w:tc>
        <w:tc>
          <w:tcPr>
            <w:tcW w:w="749" w:type="pct"/>
            <w:tcBorders>
              <w:top w:val="single" w:sz="4" w:space="0" w:color="auto"/>
              <w:left w:val="single" w:sz="4" w:space="0" w:color="auto"/>
              <w:bottom w:val="single" w:sz="4" w:space="0" w:color="auto"/>
              <w:right w:val="single" w:sz="4" w:space="0" w:color="auto"/>
            </w:tcBorders>
            <w:shd w:val="clear" w:color="auto" w:fill="auto"/>
          </w:tcPr>
          <w:p w:rsidR="008929EE" w:rsidRPr="004C2DAC" w:rsidRDefault="008929EE" w:rsidP="00B44A78">
            <w:pPr>
              <w:jc w:val="center"/>
            </w:pPr>
            <w:r w:rsidRPr="004C2DAC">
              <w:t>-50 570 000</w:t>
            </w:r>
          </w:p>
        </w:tc>
        <w:tc>
          <w:tcPr>
            <w:tcW w:w="749" w:type="pct"/>
            <w:tcBorders>
              <w:top w:val="single" w:sz="4" w:space="0" w:color="auto"/>
              <w:left w:val="single" w:sz="4" w:space="0" w:color="auto"/>
              <w:bottom w:val="single" w:sz="4" w:space="0" w:color="auto"/>
              <w:right w:val="single" w:sz="4" w:space="0" w:color="auto"/>
            </w:tcBorders>
            <w:shd w:val="clear" w:color="auto" w:fill="auto"/>
          </w:tcPr>
          <w:p w:rsidR="008929EE" w:rsidRPr="004C2DAC" w:rsidRDefault="008929EE" w:rsidP="00B44A78">
            <w:pPr>
              <w:jc w:val="center"/>
            </w:pPr>
            <w:r w:rsidRPr="004C2DAC">
              <w:t>-51 230 000</w:t>
            </w:r>
          </w:p>
        </w:tc>
      </w:tr>
      <w:tr w:rsidR="008929EE" w:rsidRPr="0097439B" w:rsidTr="00F428A2">
        <w:tc>
          <w:tcPr>
            <w:tcW w:w="1354" w:type="pct"/>
            <w:tcBorders>
              <w:top w:val="single" w:sz="4" w:space="0" w:color="auto"/>
              <w:left w:val="single" w:sz="4" w:space="0" w:color="auto"/>
              <w:bottom w:val="single" w:sz="4" w:space="0" w:color="auto"/>
              <w:right w:val="single" w:sz="4" w:space="0" w:color="auto"/>
            </w:tcBorders>
            <w:hideMark/>
          </w:tcPr>
          <w:p w:rsidR="008929EE" w:rsidRPr="0097439B" w:rsidRDefault="008929EE" w:rsidP="008929EE">
            <w:pPr>
              <w:rPr>
                <w:color w:val="000000" w:themeColor="text1"/>
              </w:rPr>
            </w:pPr>
            <w:r w:rsidRPr="0097439B">
              <w:rPr>
                <w:color w:val="000000" w:themeColor="text1"/>
              </w:rPr>
              <w:t>3.2. speciālais budžets</w:t>
            </w:r>
          </w:p>
        </w:tc>
        <w:tc>
          <w:tcPr>
            <w:tcW w:w="872" w:type="pct"/>
            <w:tcBorders>
              <w:top w:val="single" w:sz="4" w:space="0" w:color="auto"/>
              <w:left w:val="single" w:sz="4" w:space="0" w:color="auto"/>
              <w:bottom w:val="single" w:sz="4" w:space="0" w:color="auto"/>
              <w:right w:val="single" w:sz="4" w:space="0" w:color="auto"/>
            </w:tcBorders>
            <w:vAlign w:val="center"/>
          </w:tcPr>
          <w:p w:rsidR="008929EE" w:rsidRPr="0097439B" w:rsidRDefault="008929EE" w:rsidP="00B44A78">
            <w:pPr>
              <w:jc w:val="center"/>
              <w:rPr>
                <w:color w:val="000000" w:themeColor="text1"/>
              </w:rPr>
            </w:pPr>
            <w:r w:rsidRPr="0097439B">
              <w:rPr>
                <w:color w:val="000000" w:themeColor="text1"/>
              </w:rPr>
              <w:t>2 244 077 642</w:t>
            </w:r>
          </w:p>
        </w:tc>
        <w:tc>
          <w:tcPr>
            <w:tcW w:w="527" w:type="pct"/>
            <w:tcBorders>
              <w:top w:val="single" w:sz="4" w:space="0" w:color="auto"/>
              <w:left w:val="single" w:sz="4" w:space="0" w:color="auto"/>
              <w:bottom w:val="single" w:sz="4" w:space="0" w:color="auto"/>
              <w:right w:val="single" w:sz="4" w:space="0" w:color="auto"/>
            </w:tcBorders>
            <w:vAlign w:val="center"/>
          </w:tcPr>
          <w:p w:rsidR="008929EE" w:rsidRPr="0097439B" w:rsidRDefault="008929EE" w:rsidP="00B44A78">
            <w:pPr>
              <w:jc w:val="center"/>
              <w:rPr>
                <w:color w:val="000000" w:themeColor="text1"/>
              </w:rPr>
            </w:pPr>
            <w:r w:rsidRPr="0097439B">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shd w:val="clear" w:color="auto" w:fill="auto"/>
          </w:tcPr>
          <w:p w:rsidR="008929EE" w:rsidRPr="004C2DAC" w:rsidRDefault="008929EE" w:rsidP="00B44A78">
            <w:pPr>
              <w:jc w:val="center"/>
            </w:pPr>
            <w:r w:rsidRPr="004C2DAC">
              <w:t>+24 900 000</w:t>
            </w:r>
          </w:p>
        </w:tc>
        <w:tc>
          <w:tcPr>
            <w:tcW w:w="749" w:type="pct"/>
            <w:tcBorders>
              <w:top w:val="single" w:sz="4" w:space="0" w:color="auto"/>
              <w:left w:val="single" w:sz="4" w:space="0" w:color="auto"/>
              <w:bottom w:val="single" w:sz="4" w:space="0" w:color="auto"/>
              <w:right w:val="single" w:sz="4" w:space="0" w:color="auto"/>
            </w:tcBorders>
            <w:shd w:val="clear" w:color="auto" w:fill="auto"/>
          </w:tcPr>
          <w:p w:rsidR="008929EE" w:rsidRPr="004C2DAC" w:rsidRDefault="008929EE" w:rsidP="00B44A78">
            <w:pPr>
              <w:jc w:val="center"/>
            </w:pPr>
            <w:r w:rsidRPr="004C2DAC">
              <w:t>+20 500 000</w:t>
            </w:r>
          </w:p>
        </w:tc>
        <w:tc>
          <w:tcPr>
            <w:tcW w:w="749" w:type="pct"/>
            <w:tcBorders>
              <w:top w:val="single" w:sz="4" w:space="0" w:color="auto"/>
              <w:left w:val="single" w:sz="4" w:space="0" w:color="auto"/>
              <w:bottom w:val="single" w:sz="4" w:space="0" w:color="auto"/>
              <w:right w:val="single" w:sz="4" w:space="0" w:color="auto"/>
            </w:tcBorders>
            <w:shd w:val="clear" w:color="auto" w:fill="auto"/>
          </w:tcPr>
          <w:p w:rsidR="008929EE" w:rsidRDefault="008929EE" w:rsidP="00B44A78">
            <w:pPr>
              <w:jc w:val="center"/>
            </w:pPr>
            <w:r w:rsidRPr="004C2DAC">
              <w:t>+21 500 000</w:t>
            </w:r>
          </w:p>
        </w:tc>
      </w:tr>
      <w:tr w:rsidR="007036D0" w:rsidRPr="0097439B" w:rsidTr="00EE48DD">
        <w:tc>
          <w:tcPr>
            <w:tcW w:w="1354" w:type="pct"/>
            <w:tcBorders>
              <w:top w:val="single" w:sz="4" w:space="0" w:color="auto"/>
              <w:left w:val="single" w:sz="4" w:space="0" w:color="auto"/>
              <w:bottom w:val="single" w:sz="4" w:space="0" w:color="auto"/>
              <w:right w:val="single" w:sz="4" w:space="0" w:color="auto"/>
            </w:tcBorders>
          </w:tcPr>
          <w:p w:rsidR="007036D0" w:rsidRPr="0097439B" w:rsidRDefault="007036D0" w:rsidP="00EE48DD">
            <w:pPr>
              <w:rPr>
                <w:color w:val="000000" w:themeColor="text1"/>
              </w:rPr>
            </w:pPr>
            <w:r w:rsidRPr="0097439B">
              <w:rPr>
                <w:color w:val="000000" w:themeColor="text1"/>
              </w:rPr>
              <w:t>3.3. pašvaldību budžets</w:t>
            </w:r>
          </w:p>
        </w:tc>
        <w:tc>
          <w:tcPr>
            <w:tcW w:w="872" w:type="pct"/>
            <w:tcBorders>
              <w:top w:val="single" w:sz="4" w:space="0" w:color="auto"/>
              <w:left w:val="single" w:sz="4" w:space="0" w:color="auto"/>
              <w:bottom w:val="single" w:sz="4" w:space="0" w:color="auto"/>
              <w:right w:val="single" w:sz="4" w:space="0" w:color="auto"/>
            </w:tcBorders>
            <w:vAlign w:val="center"/>
          </w:tcPr>
          <w:p w:rsidR="007036D0" w:rsidRPr="0097439B" w:rsidRDefault="007036D0" w:rsidP="00B44A78">
            <w:pPr>
              <w:jc w:val="center"/>
              <w:rPr>
                <w:color w:val="000000" w:themeColor="text1"/>
              </w:rPr>
            </w:pPr>
            <w:r w:rsidRPr="0097439B">
              <w:rPr>
                <w:color w:val="000000" w:themeColor="text1"/>
              </w:rPr>
              <w:t>1 312 188 765</w:t>
            </w:r>
          </w:p>
        </w:tc>
        <w:tc>
          <w:tcPr>
            <w:tcW w:w="527" w:type="pct"/>
            <w:tcBorders>
              <w:top w:val="single" w:sz="4" w:space="0" w:color="auto"/>
              <w:left w:val="single" w:sz="4" w:space="0" w:color="auto"/>
              <w:bottom w:val="single" w:sz="4" w:space="0" w:color="auto"/>
              <w:right w:val="single" w:sz="4" w:space="0" w:color="auto"/>
            </w:tcBorders>
            <w:vAlign w:val="center"/>
          </w:tcPr>
          <w:p w:rsidR="007036D0" w:rsidRPr="0097439B" w:rsidRDefault="007036D0" w:rsidP="00B44A78">
            <w:pPr>
              <w:jc w:val="center"/>
              <w:rPr>
                <w:color w:val="000000" w:themeColor="text1"/>
              </w:rPr>
            </w:pPr>
            <w:r w:rsidRPr="0097439B">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vAlign w:val="center"/>
          </w:tcPr>
          <w:p w:rsidR="007036D0" w:rsidRPr="0097439B" w:rsidRDefault="007036D0" w:rsidP="00B44A78">
            <w:pPr>
              <w:jc w:val="center"/>
              <w:rPr>
                <w:color w:val="000000" w:themeColor="text1"/>
              </w:rPr>
            </w:pPr>
            <w:r w:rsidRPr="0097439B">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vAlign w:val="center"/>
          </w:tcPr>
          <w:p w:rsidR="007036D0" w:rsidRPr="0097439B" w:rsidRDefault="007036D0" w:rsidP="00B44A78">
            <w:pPr>
              <w:jc w:val="center"/>
              <w:rPr>
                <w:color w:val="000000" w:themeColor="text1"/>
              </w:rPr>
            </w:pPr>
            <w:r w:rsidRPr="0097439B">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vAlign w:val="center"/>
          </w:tcPr>
          <w:p w:rsidR="007036D0" w:rsidRPr="0097439B" w:rsidRDefault="007036D0" w:rsidP="00B44A78">
            <w:pPr>
              <w:jc w:val="center"/>
              <w:rPr>
                <w:color w:val="000000" w:themeColor="text1"/>
              </w:rPr>
            </w:pPr>
            <w:r w:rsidRPr="0097439B">
              <w:rPr>
                <w:color w:val="000000" w:themeColor="text1"/>
              </w:rPr>
              <w:t>0</w:t>
            </w:r>
          </w:p>
        </w:tc>
      </w:tr>
      <w:tr w:rsidR="007036D0" w:rsidRPr="0097439B" w:rsidTr="00EE48DD">
        <w:trPr>
          <w:trHeight w:val="1474"/>
        </w:trPr>
        <w:tc>
          <w:tcPr>
            <w:tcW w:w="1354" w:type="pct"/>
            <w:tcBorders>
              <w:top w:val="single" w:sz="4" w:space="0" w:color="auto"/>
              <w:left w:val="single" w:sz="4" w:space="0" w:color="auto"/>
              <w:bottom w:val="single" w:sz="4" w:space="0" w:color="auto"/>
              <w:right w:val="single" w:sz="4" w:space="0" w:color="auto"/>
            </w:tcBorders>
            <w:hideMark/>
          </w:tcPr>
          <w:p w:rsidR="007036D0" w:rsidRPr="0097439B" w:rsidRDefault="007036D0" w:rsidP="00EE48DD">
            <w:pPr>
              <w:jc w:val="both"/>
              <w:rPr>
                <w:color w:val="000000" w:themeColor="text1"/>
              </w:rPr>
            </w:pPr>
            <w:r w:rsidRPr="0097439B">
              <w:rPr>
                <w:color w:val="000000" w:themeColor="text1"/>
              </w:rPr>
              <w:t>4</w:t>
            </w:r>
            <w:r w:rsidRPr="0097439B">
              <w:rPr>
                <w:color w:val="000000" w:themeColor="text1"/>
                <w:spacing w:val="-6"/>
              </w:rPr>
              <w:t>.Finanšu līdzekļi papildu izdevumu finansēšanai (kompensējošu izdevumu samazinājumu norāda ar "+" zīmi)</w:t>
            </w:r>
          </w:p>
        </w:tc>
        <w:tc>
          <w:tcPr>
            <w:tcW w:w="872" w:type="pct"/>
            <w:tcBorders>
              <w:top w:val="single" w:sz="4" w:space="0" w:color="auto"/>
              <w:left w:val="single" w:sz="4" w:space="0" w:color="auto"/>
              <w:bottom w:val="single" w:sz="4" w:space="0" w:color="auto"/>
              <w:right w:val="single" w:sz="4" w:space="0" w:color="auto"/>
            </w:tcBorders>
            <w:vAlign w:val="center"/>
          </w:tcPr>
          <w:p w:rsidR="007036D0" w:rsidRPr="0097439B" w:rsidRDefault="007036D0" w:rsidP="00B44A78">
            <w:pPr>
              <w:jc w:val="center"/>
              <w:rPr>
                <w:color w:val="000000" w:themeColor="text1"/>
              </w:rPr>
            </w:pPr>
            <w:r w:rsidRPr="0097439B">
              <w:rPr>
                <w:color w:val="000000" w:themeColor="text1"/>
              </w:rPr>
              <w:t>0</w:t>
            </w:r>
          </w:p>
        </w:tc>
        <w:tc>
          <w:tcPr>
            <w:tcW w:w="527" w:type="pct"/>
            <w:tcBorders>
              <w:top w:val="single" w:sz="4" w:space="0" w:color="auto"/>
              <w:left w:val="single" w:sz="4" w:space="0" w:color="auto"/>
              <w:bottom w:val="single" w:sz="4" w:space="0" w:color="auto"/>
              <w:right w:val="single" w:sz="4" w:space="0" w:color="auto"/>
            </w:tcBorders>
            <w:vAlign w:val="center"/>
          </w:tcPr>
          <w:p w:rsidR="007036D0" w:rsidRPr="0097439B" w:rsidRDefault="007036D0" w:rsidP="00B44A78">
            <w:pPr>
              <w:jc w:val="center"/>
              <w:rPr>
                <w:color w:val="000000" w:themeColor="text1"/>
              </w:rPr>
            </w:pPr>
            <w:r w:rsidRPr="0097439B">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vAlign w:val="center"/>
          </w:tcPr>
          <w:p w:rsidR="007036D0" w:rsidRPr="0097439B" w:rsidRDefault="007036D0" w:rsidP="00B44A78">
            <w:pPr>
              <w:jc w:val="center"/>
              <w:rPr>
                <w:color w:val="000000" w:themeColor="text1"/>
              </w:rPr>
            </w:pPr>
            <w:r w:rsidRPr="0097439B">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vAlign w:val="center"/>
          </w:tcPr>
          <w:p w:rsidR="007036D0" w:rsidRPr="0097439B" w:rsidRDefault="007036D0" w:rsidP="00B44A78">
            <w:pPr>
              <w:jc w:val="center"/>
              <w:rPr>
                <w:color w:val="000000" w:themeColor="text1"/>
              </w:rPr>
            </w:pPr>
            <w:r w:rsidRPr="0097439B">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vAlign w:val="center"/>
          </w:tcPr>
          <w:p w:rsidR="007036D0" w:rsidRPr="0097439B" w:rsidRDefault="007036D0" w:rsidP="00B44A78">
            <w:pPr>
              <w:jc w:val="center"/>
              <w:rPr>
                <w:color w:val="000000" w:themeColor="text1"/>
              </w:rPr>
            </w:pPr>
            <w:r w:rsidRPr="0097439B">
              <w:rPr>
                <w:color w:val="000000" w:themeColor="text1"/>
              </w:rPr>
              <w:t>0</w:t>
            </w:r>
          </w:p>
        </w:tc>
      </w:tr>
      <w:tr w:rsidR="007036D0" w:rsidRPr="0097439B" w:rsidTr="00EE48DD">
        <w:tc>
          <w:tcPr>
            <w:tcW w:w="1354" w:type="pct"/>
            <w:tcBorders>
              <w:top w:val="single" w:sz="4" w:space="0" w:color="auto"/>
              <w:left w:val="single" w:sz="4" w:space="0" w:color="auto"/>
              <w:bottom w:val="single" w:sz="4" w:space="0" w:color="auto"/>
              <w:right w:val="single" w:sz="4" w:space="0" w:color="auto"/>
            </w:tcBorders>
            <w:hideMark/>
          </w:tcPr>
          <w:p w:rsidR="007036D0" w:rsidRPr="0097439B" w:rsidRDefault="007036D0" w:rsidP="00EE48DD">
            <w:pPr>
              <w:ind w:left="255" w:hanging="255"/>
              <w:jc w:val="both"/>
              <w:rPr>
                <w:color w:val="000000" w:themeColor="text1"/>
              </w:rPr>
            </w:pPr>
            <w:r w:rsidRPr="0097439B">
              <w:rPr>
                <w:color w:val="000000" w:themeColor="text1"/>
              </w:rPr>
              <w:t>5.   Precizēta finansiālā ietekme:</w:t>
            </w:r>
          </w:p>
        </w:tc>
        <w:tc>
          <w:tcPr>
            <w:tcW w:w="872" w:type="pct"/>
            <w:tcBorders>
              <w:top w:val="single" w:sz="4" w:space="0" w:color="auto"/>
              <w:left w:val="single" w:sz="4" w:space="0" w:color="auto"/>
              <w:bottom w:val="single" w:sz="4" w:space="0" w:color="auto"/>
              <w:right w:val="single" w:sz="4" w:space="0" w:color="auto"/>
            </w:tcBorders>
            <w:vAlign w:val="center"/>
          </w:tcPr>
          <w:p w:rsidR="007036D0" w:rsidRPr="0097439B" w:rsidRDefault="007036D0" w:rsidP="00B44A78">
            <w:pPr>
              <w:jc w:val="center"/>
              <w:rPr>
                <w:color w:val="000000" w:themeColor="text1"/>
              </w:rPr>
            </w:pPr>
            <w:r w:rsidRPr="0097439B">
              <w:rPr>
                <w:color w:val="000000" w:themeColor="text1"/>
              </w:rPr>
              <w:t>0</w:t>
            </w:r>
          </w:p>
        </w:tc>
        <w:tc>
          <w:tcPr>
            <w:tcW w:w="527" w:type="pct"/>
            <w:tcBorders>
              <w:top w:val="single" w:sz="4" w:space="0" w:color="auto"/>
              <w:left w:val="single" w:sz="4" w:space="0" w:color="auto"/>
              <w:bottom w:val="single" w:sz="4" w:space="0" w:color="auto"/>
              <w:right w:val="single" w:sz="4" w:space="0" w:color="auto"/>
            </w:tcBorders>
            <w:vAlign w:val="center"/>
          </w:tcPr>
          <w:p w:rsidR="007036D0" w:rsidRPr="0097439B" w:rsidRDefault="007036D0" w:rsidP="00B44A78">
            <w:pPr>
              <w:jc w:val="center"/>
              <w:rPr>
                <w:color w:val="000000" w:themeColor="text1"/>
              </w:rPr>
            </w:pPr>
            <w:r w:rsidRPr="0097439B">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vAlign w:val="center"/>
          </w:tcPr>
          <w:p w:rsidR="007036D0" w:rsidRPr="0097439B" w:rsidRDefault="007036D0" w:rsidP="00B44A78">
            <w:pPr>
              <w:jc w:val="center"/>
              <w:rPr>
                <w:color w:val="000000" w:themeColor="text1"/>
              </w:rPr>
            </w:pPr>
            <w:r w:rsidRPr="0097439B">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vAlign w:val="center"/>
          </w:tcPr>
          <w:p w:rsidR="007036D0" w:rsidRPr="0097439B" w:rsidRDefault="007036D0" w:rsidP="00B44A78">
            <w:pPr>
              <w:jc w:val="center"/>
              <w:rPr>
                <w:color w:val="000000" w:themeColor="text1"/>
              </w:rPr>
            </w:pPr>
            <w:r w:rsidRPr="0097439B">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vAlign w:val="center"/>
          </w:tcPr>
          <w:p w:rsidR="007036D0" w:rsidRPr="0097439B" w:rsidRDefault="007036D0" w:rsidP="00B44A78">
            <w:pPr>
              <w:jc w:val="center"/>
              <w:rPr>
                <w:color w:val="000000" w:themeColor="text1"/>
              </w:rPr>
            </w:pPr>
            <w:r w:rsidRPr="0097439B">
              <w:rPr>
                <w:color w:val="000000" w:themeColor="text1"/>
              </w:rPr>
              <w:t>0</w:t>
            </w:r>
          </w:p>
        </w:tc>
      </w:tr>
      <w:tr w:rsidR="007036D0" w:rsidRPr="0097439B" w:rsidTr="00EE48DD">
        <w:tc>
          <w:tcPr>
            <w:tcW w:w="1354" w:type="pct"/>
            <w:tcBorders>
              <w:top w:val="single" w:sz="4" w:space="0" w:color="auto"/>
              <w:left w:val="single" w:sz="4" w:space="0" w:color="auto"/>
              <w:bottom w:val="single" w:sz="4" w:space="0" w:color="auto"/>
              <w:right w:val="single" w:sz="4" w:space="0" w:color="auto"/>
            </w:tcBorders>
            <w:hideMark/>
          </w:tcPr>
          <w:p w:rsidR="007036D0" w:rsidRPr="0097439B" w:rsidRDefault="007036D0" w:rsidP="00EE48DD">
            <w:pPr>
              <w:rPr>
                <w:color w:val="000000" w:themeColor="text1"/>
              </w:rPr>
            </w:pPr>
            <w:r w:rsidRPr="0097439B">
              <w:rPr>
                <w:color w:val="000000" w:themeColor="text1"/>
              </w:rPr>
              <w:t>5.1. valsts pamatbudžets</w:t>
            </w:r>
          </w:p>
        </w:tc>
        <w:tc>
          <w:tcPr>
            <w:tcW w:w="872" w:type="pct"/>
            <w:tcBorders>
              <w:top w:val="single" w:sz="4" w:space="0" w:color="auto"/>
              <w:left w:val="single" w:sz="4" w:space="0" w:color="auto"/>
              <w:bottom w:val="single" w:sz="4" w:space="0" w:color="auto"/>
              <w:right w:val="single" w:sz="4" w:space="0" w:color="auto"/>
            </w:tcBorders>
            <w:vAlign w:val="center"/>
          </w:tcPr>
          <w:p w:rsidR="007036D0" w:rsidRPr="0097439B" w:rsidRDefault="007036D0" w:rsidP="00B44A78">
            <w:pPr>
              <w:jc w:val="center"/>
              <w:rPr>
                <w:color w:val="000000" w:themeColor="text1"/>
              </w:rPr>
            </w:pPr>
            <w:r w:rsidRPr="0097439B">
              <w:rPr>
                <w:color w:val="000000" w:themeColor="text1"/>
              </w:rPr>
              <w:t>0</w:t>
            </w:r>
          </w:p>
        </w:tc>
        <w:tc>
          <w:tcPr>
            <w:tcW w:w="527" w:type="pct"/>
            <w:tcBorders>
              <w:top w:val="single" w:sz="4" w:space="0" w:color="auto"/>
              <w:left w:val="single" w:sz="4" w:space="0" w:color="auto"/>
              <w:bottom w:val="single" w:sz="4" w:space="0" w:color="auto"/>
              <w:right w:val="single" w:sz="4" w:space="0" w:color="auto"/>
            </w:tcBorders>
            <w:vAlign w:val="center"/>
          </w:tcPr>
          <w:p w:rsidR="007036D0" w:rsidRPr="0097439B" w:rsidRDefault="007036D0" w:rsidP="00B44A78">
            <w:pPr>
              <w:jc w:val="center"/>
              <w:rPr>
                <w:color w:val="000000" w:themeColor="text1"/>
              </w:rPr>
            </w:pPr>
            <w:r w:rsidRPr="0097439B">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vAlign w:val="center"/>
          </w:tcPr>
          <w:p w:rsidR="007036D0" w:rsidRPr="0097439B" w:rsidRDefault="007036D0" w:rsidP="00B44A78">
            <w:pPr>
              <w:jc w:val="center"/>
              <w:rPr>
                <w:color w:val="000000" w:themeColor="text1"/>
              </w:rPr>
            </w:pPr>
            <w:r w:rsidRPr="0097439B">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vAlign w:val="center"/>
          </w:tcPr>
          <w:p w:rsidR="007036D0" w:rsidRPr="0097439B" w:rsidRDefault="007036D0" w:rsidP="00B44A78">
            <w:pPr>
              <w:jc w:val="center"/>
              <w:rPr>
                <w:color w:val="000000" w:themeColor="text1"/>
              </w:rPr>
            </w:pPr>
            <w:r w:rsidRPr="0097439B">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vAlign w:val="center"/>
          </w:tcPr>
          <w:p w:rsidR="007036D0" w:rsidRPr="0097439B" w:rsidRDefault="007036D0" w:rsidP="00B44A78">
            <w:pPr>
              <w:jc w:val="center"/>
              <w:rPr>
                <w:color w:val="000000" w:themeColor="text1"/>
              </w:rPr>
            </w:pPr>
            <w:r w:rsidRPr="0097439B">
              <w:rPr>
                <w:color w:val="000000" w:themeColor="text1"/>
              </w:rPr>
              <w:t>0</w:t>
            </w:r>
          </w:p>
        </w:tc>
      </w:tr>
      <w:tr w:rsidR="007036D0" w:rsidRPr="0097439B" w:rsidTr="00EE48DD">
        <w:tc>
          <w:tcPr>
            <w:tcW w:w="1354" w:type="pct"/>
            <w:tcBorders>
              <w:top w:val="single" w:sz="4" w:space="0" w:color="auto"/>
              <w:left w:val="single" w:sz="4" w:space="0" w:color="auto"/>
              <w:bottom w:val="single" w:sz="4" w:space="0" w:color="auto"/>
              <w:right w:val="single" w:sz="4" w:space="0" w:color="auto"/>
            </w:tcBorders>
            <w:hideMark/>
          </w:tcPr>
          <w:p w:rsidR="007036D0" w:rsidRPr="0097439B" w:rsidRDefault="007036D0" w:rsidP="00EE48DD">
            <w:pPr>
              <w:rPr>
                <w:color w:val="000000" w:themeColor="text1"/>
              </w:rPr>
            </w:pPr>
            <w:r w:rsidRPr="0097439B">
              <w:rPr>
                <w:color w:val="000000" w:themeColor="text1"/>
              </w:rPr>
              <w:t>5.2. speciālais budžets</w:t>
            </w:r>
          </w:p>
        </w:tc>
        <w:tc>
          <w:tcPr>
            <w:tcW w:w="872" w:type="pct"/>
            <w:tcBorders>
              <w:top w:val="single" w:sz="4" w:space="0" w:color="auto"/>
              <w:left w:val="single" w:sz="4" w:space="0" w:color="auto"/>
              <w:bottom w:val="single" w:sz="4" w:space="0" w:color="auto"/>
              <w:right w:val="single" w:sz="4" w:space="0" w:color="auto"/>
            </w:tcBorders>
            <w:vAlign w:val="center"/>
          </w:tcPr>
          <w:p w:rsidR="007036D0" w:rsidRPr="0097439B" w:rsidRDefault="007036D0" w:rsidP="00B44A78">
            <w:pPr>
              <w:jc w:val="center"/>
              <w:rPr>
                <w:color w:val="000000" w:themeColor="text1"/>
              </w:rPr>
            </w:pPr>
            <w:r w:rsidRPr="0097439B">
              <w:rPr>
                <w:color w:val="000000" w:themeColor="text1"/>
              </w:rPr>
              <w:t>0</w:t>
            </w:r>
          </w:p>
        </w:tc>
        <w:tc>
          <w:tcPr>
            <w:tcW w:w="527" w:type="pct"/>
            <w:tcBorders>
              <w:top w:val="single" w:sz="4" w:space="0" w:color="auto"/>
              <w:left w:val="single" w:sz="4" w:space="0" w:color="auto"/>
              <w:bottom w:val="single" w:sz="4" w:space="0" w:color="auto"/>
              <w:right w:val="single" w:sz="4" w:space="0" w:color="auto"/>
            </w:tcBorders>
            <w:vAlign w:val="center"/>
          </w:tcPr>
          <w:p w:rsidR="007036D0" w:rsidRPr="0097439B" w:rsidRDefault="007036D0" w:rsidP="00B44A78">
            <w:pPr>
              <w:jc w:val="center"/>
              <w:rPr>
                <w:color w:val="000000" w:themeColor="text1"/>
              </w:rPr>
            </w:pPr>
            <w:r w:rsidRPr="0097439B">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vAlign w:val="center"/>
          </w:tcPr>
          <w:p w:rsidR="007036D0" w:rsidRPr="0097439B" w:rsidRDefault="007036D0" w:rsidP="00B44A78">
            <w:pPr>
              <w:jc w:val="center"/>
              <w:rPr>
                <w:color w:val="000000" w:themeColor="text1"/>
              </w:rPr>
            </w:pPr>
            <w:r w:rsidRPr="0097439B">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vAlign w:val="center"/>
          </w:tcPr>
          <w:p w:rsidR="007036D0" w:rsidRPr="0097439B" w:rsidRDefault="007036D0" w:rsidP="00B44A78">
            <w:pPr>
              <w:jc w:val="center"/>
              <w:rPr>
                <w:color w:val="000000" w:themeColor="text1"/>
              </w:rPr>
            </w:pPr>
            <w:r w:rsidRPr="0097439B">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vAlign w:val="center"/>
          </w:tcPr>
          <w:p w:rsidR="007036D0" w:rsidRPr="0097439B" w:rsidRDefault="007036D0" w:rsidP="00B44A78">
            <w:pPr>
              <w:jc w:val="center"/>
              <w:rPr>
                <w:color w:val="000000" w:themeColor="text1"/>
              </w:rPr>
            </w:pPr>
            <w:r w:rsidRPr="0097439B">
              <w:rPr>
                <w:color w:val="000000" w:themeColor="text1"/>
              </w:rPr>
              <w:t>0</w:t>
            </w:r>
          </w:p>
        </w:tc>
      </w:tr>
      <w:tr w:rsidR="007036D0" w:rsidRPr="0097439B" w:rsidTr="00EE48DD">
        <w:tc>
          <w:tcPr>
            <w:tcW w:w="1354" w:type="pct"/>
            <w:tcBorders>
              <w:top w:val="single" w:sz="4" w:space="0" w:color="auto"/>
              <w:left w:val="single" w:sz="4" w:space="0" w:color="auto"/>
              <w:bottom w:val="single" w:sz="4" w:space="0" w:color="auto"/>
              <w:right w:val="single" w:sz="4" w:space="0" w:color="auto"/>
            </w:tcBorders>
          </w:tcPr>
          <w:p w:rsidR="007036D0" w:rsidRPr="0097439B" w:rsidRDefault="007036D0" w:rsidP="00EE48DD">
            <w:pPr>
              <w:rPr>
                <w:color w:val="000000" w:themeColor="text1"/>
              </w:rPr>
            </w:pPr>
            <w:r w:rsidRPr="0097439B">
              <w:rPr>
                <w:color w:val="000000" w:themeColor="text1"/>
              </w:rPr>
              <w:t>5.3. pašvaldību budžets</w:t>
            </w:r>
          </w:p>
        </w:tc>
        <w:tc>
          <w:tcPr>
            <w:tcW w:w="872" w:type="pct"/>
            <w:tcBorders>
              <w:top w:val="single" w:sz="4" w:space="0" w:color="auto"/>
              <w:left w:val="single" w:sz="4" w:space="0" w:color="auto"/>
              <w:bottom w:val="single" w:sz="4" w:space="0" w:color="auto"/>
              <w:right w:val="single" w:sz="4" w:space="0" w:color="auto"/>
            </w:tcBorders>
            <w:vAlign w:val="center"/>
          </w:tcPr>
          <w:p w:rsidR="007036D0" w:rsidRPr="0097439B" w:rsidRDefault="007036D0" w:rsidP="00B44A78">
            <w:pPr>
              <w:jc w:val="center"/>
              <w:rPr>
                <w:color w:val="000000" w:themeColor="text1"/>
              </w:rPr>
            </w:pPr>
            <w:r w:rsidRPr="0097439B">
              <w:rPr>
                <w:color w:val="000000" w:themeColor="text1"/>
              </w:rPr>
              <w:t>0</w:t>
            </w:r>
          </w:p>
        </w:tc>
        <w:tc>
          <w:tcPr>
            <w:tcW w:w="527" w:type="pct"/>
            <w:tcBorders>
              <w:top w:val="single" w:sz="4" w:space="0" w:color="auto"/>
              <w:left w:val="single" w:sz="4" w:space="0" w:color="auto"/>
              <w:bottom w:val="single" w:sz="4" w:space="0" w:color="auto"/>
              <w:right w:val="single" w:sz="4" w:space="0" w:color="auto"/>
            </w:tcBorders>
            <w:vAlign w:val="center"/>
          </w:tcPr>
          <w:p w:rsidR="007036D0" w:rsidRPr="0097439B" w:rsidRDefault="007036D0" w:rsidP="00B44A78">
            <w:pPr>
              <w:jc w:val="center"/>
              <w:rPr>
                <w:color w:val="000000" w:themeColor="text1"/>
              </w:rPr>
            </w:pPr>
            <w:r w:rsidRPr="0097439B">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vAlign w:val="center"/>
          </w:tcPr>
          <w:p w:rsidR="007036D0" w:rsidRPr="0097439B" w:rsidRDefault="007036D0" w:rsidP="00B44A78">
            <w:pPr>
              <w:jc w:val="center"/>
              <w:rPr>
                <w:color w:val="000000" w:themeColor="text1"/>
              </w:rPr>
            </w:pPr>
            <w:r w:rsidRPr="0097439B">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vAlign w:val="center"/>
          </w:tcPr>
          <w:p w:rsidR="007036D0" w:rsidRPr="0097439B" w:rsidRDefault="007036D0" w:rsidP="00B44A78">
            <w:pPr>
              <w:jc w:val="center"/>
              <w:rPr>
                <w:color w:val="000000" w:themeColor="text1"/>
              </w:rPr>
            </w:pPr>
            <w:r w:rsidRPr="0097439B">
              <w:rPr>
                <w:color w:val="000000" w:themeColor="text1"/>
              </w:rPr>
              <w:t>0</w:t>
            </w:r>
          </w:p>
        </w:tc>
        <w:tc>
          <w:tcPr>
            <w:tcW w:w="749" w:type="pct"/>
            <w:tcBorders>
              <w:top w:val="single" w:sz="4" w:space="0" w:color="auto"/>
              <w:left w:val="single" w:sz="4" w:space="0" w:color="auto"/>
              <w:bottom w:val="single" w:sz="4" w:space="0" w:color="auto"/>
              <w:right w:val="single" w:sz="4" w:space="0" w:color="auto"/>
            </w:tcBorders>
            <w:vAlign w:val="center"/>
          </w:tcPr>
          <w:p w:rsidR="007036D0" w:rsidRPr="0097439B" w:rsidRDefault="007036D0" w:rsidP="00B44A78">
            <w:pPr>
              <w:jc w:val="center"/>
              <w:rPr>
                <w:color w:val="000000" w:themeColor="text1"/>
              </w:rPr>
            </w:pPr>
            <w:r w:rsidRPr="0097439B">
              <w:rPr>
                <w:color w:val="000000" w:themeColor="text1"/>
              </w:rPr>
              <w:t>0</w:t>
            </w:r>
          </w:p>
        </w:tc>
      </w:tr>
      <w:bookmarkEnd w:id="0"/>
      <w:tr w:rsidR="007036D0" w:rsidRPr="0097439B" w:rsidTr="00EE48DD">
        <w:tc>
          <w:tcPr>
            <w:tcW w:w="1354" w:type="pct"/>
            <w:tcBorders>
              <w:top w:val="single" w:sz="4" w:space="0" w:color="auto"/>
              <w:left w:val="single" w:sz="4" w:space="0" w:color="auto"/>
              <w:bottom w:val="single" w:sz="4" w:space="0" w:color="auto"/>
              <w:right w:val="single" w:sz="4" w:space="0" w:color="auto"/>
            </w:tcBorders>
          </w:tcPr>
          <w:p w:rsidR="007036D0" w:rsidRPr="0097439B" w:rsidRDefault="007036D0" w:rsidP="00EE48DD">
            <w:pPr>
              <w:rPr>
                <w:color w:val="000000" w:themeColor="text1"/>
              </w:rPr>
            </w:pPr>
            <w:r w:rsidRPr="0097439B">
              <w:rPr>
                <w:color w:val="000000" w:themeColor="text1"/>
              </w:rPr>
              <w:lastRenderedPageBreak/>
              <w:t>6. Detalizēts ieņēmumu un izdevumu aprēķins (ja nepieciešams, detalizētu ieņēmumu un izdevumu aprēķinu var pievienot anotācijas pielikumā):</w:t>
            </w:r>
          </w:p>
          <w:p w:rsidR="007036D0" w:rsidRPr="0097439B" w:rsidRDefault="007036D0" w:rsidP="00EE48DD">
            <w:pPr>
              <w:rPr>
                <w:color w:val="000000" w:themeColor="text1"/>
              </w:rPr>
            </w:pPr>
            <w:r w:rsidRPr="0097439B">
              <w:rPr>
                <w:color w:val="000000" w:themeColor="text1"/>
              </w:rPr>
              <w:t>6.1. detalizēts ieņēmumu aprēķins</w:t>
            </w:r>
          </w:p>
        </w:tc>
        <w:tc>
          <w:tcPr>
            <w:tcW w:w="3646" w:type="pct"/>
            <w:gridSpan w:val="5"/>
            <w:tcBorders>
              <w:top w:val="single" w:sz="4" w:space="0" w:color="auto"/>
              <w:left w:val="single" w:sz="4" w:space="0" w:color="auto"/>
              <w:bottom w:val="single" w:sz="4" w:space="0" w:color="auto"/>
              <w:right w:val="single" w:sz="4" w:space="0" w:color="auto"/>
            </w:tcBorders>
          </w:tcPr>
          <w:p w:rsidR="007036D0" w:rsidRPr="0097439B" w:rsidRDefault="007036D0" w:rsidP="00EE48DD">
            <w:pPr>
              <w:jc w:val="both"/>
              <w:rPr>
                <w:color w:val="000000" w:themeColor="text1"/>
              </w:rPr>
            </w:pPr>
            <w:r w:rsidRPr="0097439B">
              <w:rPr>
                <w:color w:val="000000" w:themeColor="text1"/>
              </w:rPr>
              <w:t>* Norādīti solidaritātes nodokļa un valsts sociālās apdrošināšanas obligāto iemaksu ieņēmumi budžetā. Iedzīvotāju ienākuma nodokļa ieņēmumi un solidaritātes reformas fiskālā ietekme iekļauta likumprojekta „Grozījumi likumā „Par iedzīvotāju ienākuma nodokli”” sākotnējās ietekmes novērtējuma ziņojumā (anotācijā).</w:t>
            </w:r>
          </w:p>
          <w:p w:rsidR="007036D0" w:rsidRPr="0097439B" w:rsidRDefault="007036D0" w:rsidP="00EE48DD">
            <w:pPr>
              <w:jc w:val="both"/>
              <w:rPr>
                <w:color w:val="000000" w:themeColor="text1"/>
              </w:rPr>
            </w:pPr>
          </w:p>
          <w:p w:rsidR="007036D0" w:rsidRPr="0097439B" w:rsidRDefault="007036D0" w:rsidP="00EE48DD">
            <w:pPr>
              <w:rPr>
                <w:i/>
                <w:color w:val="000000" w:themeColor="text1"/>
              </w:rPr>
            </w:pPr>
            <w:r w:rsidRPr="0097439B">
              <w:rPr>
                <w:color w:val="000000" w:themeColor="text1"/>
              </w:rPr>
              <w:t xml:space="preserve">Ņemot vērā, ka solidaritātes nodoklis tiek transformēts un tā sadalītie ieņēmumi tiks iemaksāti valsts speciālajā budžetā, tad fiskālā ietekme uz valsts pamatbudžetu tiek plānota solidaritātes nodokļa atcelšanas fiskālās ietekmes apmērā, kas 2018. gadā plānota -22,6 milj. euro, 2019. gadā -50,6 milj. euro un 2020. gadā -51,3 milj. </w:t>
            </w:r>
            <w:r w:rsidRPr="0097439B">
              <w:rPr>
                <w:i/>
                <w:color w:val="000000" w:themeColor="text1"/>
              </w:rPr>
              <w:t>euro</w:t>
            </w:r>
            <w:r w:rsidRPr="0097439B">
              <w:rPr>
                <w:color w:val="000000" w:themeColor="text1"/>
              </w:rPr>
              <w:t>. Šīs ietekmes ir iepriekš prognozētais solidaritātes nodokļa ieņēmumu apmērs.</w:t>
            </w:r>
          </w:p>
          <w:p w:rsidR="007036D0" w:rsidRPr="0097439B" w:rsidRDefault="007036D0" w:rsidP="00EE48DD">
            <w:pPr>
              <w:jc w:val="both"/>
              <w:rPr>
                <w:color w:val="000000" w:themeColor="text1"/>
              </w:rPr>
            </w:pPr>
          </w:p>
          <w:p w:rsidR="007036D0" w:rsidRPr="0097439B" w:rsidRDefault="007036D0" w:rsidP="00FF0CDE">
            <w:pPr>
              <w:jc w:val="both"/>
              <w:rPr>
                <w:color w:val="000000" w:themeColor="text1"/>
              </w:rPr>
            </w:pPr>
            <w:r w:rsidRPr="0097439B">
              <w:rPr>
                <w:color w:val="000000" w:themeColor="text1"/>
              </w:rPr>
              <w:t>Reālajā fiskālajā ietekmē nenošķirami jāņem vērā visa solidaritātes nodokļa reformas fiskālā ietekme. Pārējiem mērķiem tā prognozēta šādi:</w:t>
            </w:r>
          </w:p>
          <w:p w:rsidR="007036D0" w:rsidRPr="0097439B" w:rsidRDefault="007036D0" w:rsidP="00FF0CDE">
            <w:pPr>
              <w:jc w:val="both"/>
              <w:rPr>
                <w:color w:val="000000" w:themeColor="text1"/>
              </w:rPr>
            </w:pPr>
          </w:p>
          <w:p w:rsidR="007036D0" w:rsidRPr="009509B5" w:rsidRDefault="007036D0" w:rsidP="00EC51D5">
            <w:pPr>
              <w:pStyle w:val="ListParagraph"/>
              <w:numPr>
                <w:ilvl w:val="0"/>
                <w:numId w:val="45"/>
              </w:numPr>
              <w:spacing w:line="240" w:lineRule="auto"/>
              <w:jc w:val="both"/>
              <w:rPr>
                <w:rFonts w:ascii="Times New Roman" w:hAnsi="Times New Roman"/>
                <w:i/>
                <w:color w:val="000000" w:themeColor="text1"/>
                <w:lang w:val="lv-LV"/>
              </w:rPr>
            </w:pPr>
            <w:r w:rsidRPr="0097439B">
              <w:rPr>
                <w:rFonts w:ascii="Times New Roman" w:hAnsi="Times New Roman"/>
                <w:color w:val="000000" w:themeColor="text1"/>
                <w:sz w:val="24"/>
                <w:szCs w:val="24"/>
                <w:lang w:val="lv-LV"/>
              </w:rPr>
              <w:t xml:space="preserve">1% veselības </w:t>
            </w:r>
            <w:r w:rsidR="00DC231B" w:rsidRPr="0097439B">
              <w:rPr>
                <w:rFonts w:ascii="Times New Roman" w:hAnsi="Times New Roman"/>
                <w:color w:val="000000" w:themeColor="text1"/>
                <w:sz w:val="24"/>
                <w:szCs w:val="24"/>
                <w:lang w:val="lv-LV"/>
              </w:rPr>
              <w:t xml:space="preserve">aprūpes finansēšanai </w:t>
            </w:r>
            <w:r w:rsidRPr="0097439B">
              <w:rPr>
                <w:rFonts w:ascii="Times New Roman" w:hAnsi="Times New Roman"/>
                <w:color w:val="000000" w:themeColor="text1"/>
                <w:sz w:val="24"/>
                <w:szCs w:val="24"/>
                <w:lang w:val="lv-LV"/>
              </w:rPr>
              <w:t xml:space="preserve">– ietekme uz </w:t>
            </w:r>
            <w:r w:rsidR="00E51216" w:rsidRPr="0097439B">
              <w:rPr>
                <w:rFonts w:ascii="Times New Roman" w:hAnsi="Times New Roman"/>
                <w:color w:val="000000" w:themeColor="text1"/>
                <w:sz w:val="24"/>
                <w:szCs w:val="24"/>
                <w:lang w:val="lv-LV"/>
              </w:rPr>
              <w:t xml:space="preserve">valsts </w:t>
            </w:r>
            <w:r w:rsidR="003D4748" w:rsidRPr="0097439B">
              <w:rPr>
                <w:rFonts w:ascii="Times New Roman" w:hAnsi="Times New Roman"/>
                <w:color w:val="000000" w:themeColor="text1"/>
                <w:sz w:val="24"/>
                <w:szCs w:val="24"/>
                <w:lang w:val="lv-LV"/>
              </w:rPr>
              <w:t>pamat</w:t>
            </w:r>
            <w:r w:rsidRPr="0097439B">
              <w:rPr>
                <w:rFonts w:ascii="Times New Roman" w:hAnsi="Times New Roman"/>
                <w:color w:val="000000" w:themeColor="text1"/>
                <w:sz w:val="24"/>
                <w:szCs w:val="24"/>
                <w:lang w:val="lv-LV"/>
              </w:rPr>
              <w:t xml:space="preserve">budžetu 2018.gadā +0,7 milj. </w:t>
            </w:r>
            <w:r w:rsidRPr="0097439B">
              <w:rPr>
                <w:rFonts w:ascii="Times New Roman" w:hAnsi="Times New Roman"/>
                <w:i/>
                <w:color w:val="000000" w:themeColor="text1"/>
                <w:sz w:val="24"/>
                <w:szCs w:val="24"/>
                <w:lang w:val="lv-LV"/>
              </w:rPr>
              <w:t>euro,</w:t>
            </w:r>
            <w:r w:rsidRPr="0097439B">
              <w:rPr>
                <w:rFonts w:ascii="Times New Roman" w:hAnsi="Times New Roman"/>
                <w:color w:val="000000" w:themeColor="text1"/>
                <w:sz w:val="24"/>
                <w:szCs w:val="24"/>
                <w:lang w:val="lv-LV"/>
              </w:rPr>
              <w:t xml:space="preserve"> 2019.gadā +1,5 milj. </w:t>
            </w:r>
            <w:r w:rsidRPr="0097439B">
              <w:rPr>
                <w:rFonts w:ascii="Times New Roman" w:hAnsi="Times New Roman"/>
                <w:i/>
                <w:color w:val="000000" w:themeColor="text1"/>
                <w:sz w:val="24"/>
                <w:szCs w:val="24"/>
                <w:lang w:val="lv-LV"/>
              </w:rPr>
              <w:t>euro,</w:t>
            </w:r>
            <w:r w:rsidRPr="0097439B">
              <w:rPr>
                <w:rFonts w:ascii="Times New Roman" w:hAnsi="Times New Roman"/>
                <w:color w:val="000000" w:themeColor="text1"/>
                <w:sz w:val="24"/>
                <w:szCs w:val="24"/>
                <w:lang w:val="lv-LV"/>
              </w:rPr>
              <w:t xml:space="preserve"> 2020.gadā +1,6 milj. </w:t>
            </w:r>
            <w:r w:rsidRPr="0097439B">
              <w:rPr>
                <w:rFonts w:ascii="Times New Roman" w:hAnsi="Times New Roman"/>
                <w:i/>
                <w:color w:val="000000" w:themeColor="text1"/>
                <w:sz w:val="24"/>
                <w:szCs w:val="24"/>
                <w:lang w:val="lv-LV"/>
              </w:rPr>
              <w:t>euro;</w:t>
            </w:r>
          </w:p>
          <w:p w:rsidR="009509B5" w:rsidRPr="0097439B" w:rsidRDefault="009509B5" w:rsidP="009509B5">
            <w:pPr>
              <w:pStyle w:val="ListParagraph"/>
              <w:spacing w:line="240" w:lineRule="auto"/>
              <w:jc w:val="both"/>
              <w:rPr>
                <w:rFonts w:ascii="Times New Roman" w:hAnsi="Times New Roman"/>
                <w:i/>
                <w:color w:val="000000" w:themeColor="text1"/>
                <w:lang w:val="lv-LV"/>
              </w:rPr>
            </w:pPr>
          </w:p>
          <w:p w:rsidR="007036D0" w:rsidRDefault="007036D0" w:rsidP="00EC51D5">
            <w:pPr>
              <w:pStyle w:val="ListParagraph"/>
              <w:numPr>
                <w:ilvl w:val="0"/>
                <w:numId w:val="45"/>
              </w:numPr>
              <w:spacing w:line="240" w:lineRule="auto"/>
              <w:jc w:val="both"/>
              <w:rPr>
                <w:rFonts w:ascii="Times New Roman" w:hAnsi="Times New Roman"/>
                <w:color w:val="000000" w:themeColor="text1"/>
                <w:sz w:val="24"/>
                <w:szCs w:val="24"/>
                <w:lang w:val="lv-LV"/>
              </w:rPr>
            </w:pPr>
            <w:r w:rsidRPr="0097439B">
              <w:rPr>
                <w:rFonts w:ascii="Times New Roman" w:hAnsi="Times New Roman"/>
                <w:color w:val="000000" w:themeColor="text1"/>
                <w:sz w:val="24"/>
                <w:szCs w:val="24"/>
                <w:lang w:val="lv-LV"/>
              </w:rPr>
              <w:t xml:space="preserve">6% 2.līmeņa pensiju apdrošināšanai – ietekme uz valsts fondēto pensiju shēmu 2018.gadā +4,0 milj. </w:t>
            </w:r>
            <w:r w:rsidRPr="0097439B">
              <w:rPr>
                <w:rFonts w:ascii="Times New Roman" w:hAnsi="Times New Roman"/>
                <w:i/>
                <w:color w:val="000000" w:themeColor="text1"/>
                <w:sz w:val="24"/>
                <w:szCs w:val="24"/>
                <w:lang w:val="lv-LV"/>
              </w:rPr>
              <w:t>euro</w:t>
            </w:r>
            <w:r w:rsidRPr="0097439B">
              <w:rPr>
                <w:rFonts w:ascii="Times New Roman" w:hAnsi="Times New Roman"/>
                <w:color w:val="000000" w:themeColor="text1"/>
                <w:sz w:val="24"/>
                <w:szCs w:val="24"/>
                <w:lang w:val="lv-LV"/>
              </w:rPr>
              <w:t xml:space="preserve">, 2019.gadā +9,0 milj. </w:t>
            </w:r>
            <w:r w:rsidRPr="0097439B">
              <w:rPr>
                <w:rFonts w:ascii="Times New Roman" w:hAnsi="Times New Roman"/>
                <w:i/>
                <w:color w:val="000000" w:themeColor="text1"/>
                <w:sz w:val="24"/>
                <w:szCs w:val="24"/>
                <w:lang w:val="lv-LV"/>
              </w:rPr>
              <w:t>euro</w:t>
            </w:r>
            <w:r w:rsidRPr="0097439B">
              <w:rPr>
                <w:rFonts w:ascii="Times New Roman" w:hAnsi="Times New Roman"/>
                <w:color w:val="000000" w:themeColor="text1"/>
                <w:sz w:val="24"/>
                <w:szCs w:val="24"/>
                <w:lang w:val="lv-LV"/>
              </w:rPr>
              <w:t xml:space="preserve">, 2020.gadā +9,5 milj. </w:t>
            </w:r>
            <w:r w:rsidRPr="0097439B">
              <w:rPr>
                <w:rFonts w:ascii="Times New Roman" w:hAnsi="Times New Roman"/>
                <w:i/>
                <w:color w:val="000000" w:themeColor="text1"/>
                <w:sz w:val="24"/>
                <w:szCs w:val="24"/>
                <w:lang w:val="lv-LV"/>
              </w:rPr>
              <w:t>euro</w:t>
            </w:r>
            <w:r w:rsidRPr="0097439B">
              <w:rPr>
                <w:rFonts w:ascii="Times New Roman" w:hAnsi="Times New Roman"/>
                <w:color w:val="000000" w:themeColor="text1"/>
                <w:sz w:val="24"/>
                <w:szCs w:val="24"/>
                <w:lang w:val="lv-LV"/>
              </w:rPr>
              <w:t>;</w:t>
            </w:r>
          </w:p>
          <w:p w:rsidR="009509B5" w:rsidRPr="009509B5" w:rsidRDefault="009509B5" w:rsidP="009509B5">
            <w:pPr>
              <w:pStyle w:val="ListParagraph"/>
              <w:rPr>
                <w:rFonts w:ascii="Times New Roman" w:hAnsi="Times New Roman"/>
                <w:color w:val="000000" w:themeColor="text1"/>
                <w:sz w:val="24"/>
                <w:szCs w:val="24"/>
                <w:lang w:val="lv-LV"/>
              </w:rPr>
            </w:pPr>
          </w:p>
          <w:p w:rsidR="007036D0" w:rsidRDefault="007036D0" w:rsidP="00EC51D5">
            <w:pPr>
              <w:pStyle w:val="ListParagraph"/>
              <w:numPr>
                <w:ilvl w:val="0"/>
                <w:numId w:val="45"/>
              </w:numPr>
              <w:spacing w:line="240" w:lineRule="auto"/>
              <w:jc w:val="both"/>
              <w:rPr>
                <w:rFonts w:ascii="Times New Roman" w:hAnsi="Times New Roman"/>
                <w:color w:val="000000" w:themeColor="text1"/>
                <w:sz w:val="24"/>
                <w:szCs w:val="24"/>
                <w:lang w:val="lv-LV"/>
              </w:rPr>
            </w:pPr>
            <w:r w:rsidRPr="0097439B">
              <w:rPr>
                <w:rFonts w:ascii="Times New Roman" w:hAnsi="Times New Roman"/>
                <w:color w:val="000000" w:themeColor="text1"/>
                <w:sz w:val="24"/>
                <w:szCs w:val="24"/>
                <w:lang w:val="lv-LV"/>
              </w:rPr>
              <w:t xml:space="preserve">10,5% IIN – ietekme uz kopbudžetu 2018.gadā +7,0 milj. euro (t.sk. 1,4 milj. </w:t>
            </w:r>
            <w:r w:rsidRPr="0097439B">
              <w:rPr>
                <w:rFonts w:ascii="Times New Roman" w:hAnsi="Times New Roman"/>
                <w:i/>
                <w:color w:val="000000" w:themeColor="text1"/>
                <w:sz w:val="24"/>
                <w:szCs w:val="24"/>
                <w:lang w:val="lv-LV"/>
              </w:rPr>
              <w:t>euro</w:t>
            </w:r>
            <w:r w:rsidRPr="0097439B">
              <w:rPr>
                <w:rFonts w:ascii="Times New Roman" w:hAnsi="Times New Roman"/>
                <w:color w:val="000000" w:themeColor="text1"/>
                <w:sz w:val="24"/>
                <w:szCs w:val="24"/>
                <w:lang w:val="lv-LV"/>
              </w:rPr>
              <w:t xml:space="preserve"> valsts pamatbudžetā un 5,6 milj. euro pašvaldību budžetā), 2019.gadā +15,8 milj. </w:t>
            </w:r>
            <w:r w:rsidRPr="0097439B">
              <w:rPr>
                <w:rFonts w:ascii="Times New Roman" w:hAnsi="Times New Roman"/>
                <w:i/>
                <w:color w:val="000000" w:themeColor="text1"/>
                <w:sz w:val="24"/>
                <w:szCs w:val="24"/>
                <w:lang w:val="lv-LV"/>
              </w:rPr>
              <w:t>euro</w:t>
            </w:r>
            <w:r w:rsidRPr="0097439B">
              <w:rPr>
                <w:rFonts w:ascii="Times New Roman" w:hAnsi="Times New Roman"/>
                <w:color w:val="000000" w:themeColor="text1"/>
                <w:sz w:val="24"/>
                <w:szCs w:val="24"/>
                <w:lang w:val="lv-LV"/>
              </w:rPr>
              <w:t xml:space="preserve"> (t.sk. 3,16 milj. euro valsts pamatbudžetā un 12,64 milj. </w:t>
            </w:r>
            <w:r w:rsidRPr="0097439B">
              <w:rPr>
                <w:rFonts w:ascii="Times New Roman" w:hAnsi="Times New Roman"/>
                <w:i/>
                <w:color w:val="000000" w:themeColor="text1"/>
                <w:sz w:val="24"/>
                <w:szCs w:val="24"/>
                <w:lang w:val="lv-LV"/>
              </w:rPr>
              <w:t>euro</w:t>
            </w:r>
            <w:r w:rsidRPr="0097439B">
              <w:rPr>
                <w:rFonts w:ascii="Times New Roman" w:hAnsi="Times New Roman"/>
                <w:color w:val="000000" w:themeColor="text1"/>
                <w:sz w:val="24"/>
                <w:szCs w:val="24"/>
                <w:lang w:val="lv-LV"/>
              </w:rPr>
              <w:t xml:space="preserve"> pašvaldību budžetā), 2020.gadā +16,6 milj. </w:t>
            </w:r>
            <w:r w:rsidRPr="0097439B">
              <w:rPr>
                <w:rFonts w:ascii="Times New Roman" w:hAnsi="Times New Roman"/>
                <w:i/>
                <w:color w:val="000000" w:themeColor="text1"/>
                <w:sz w:val="24"/>
                <w:szCs w:val="24"/>
                <w:lang w:val="lv-LV"/>
              </w:rPr>
              <w:t>euro</w:t>
            </w:r>
            <w:r w:rsidRPr="0097439B">
              <w:rPr>
                <w:rFonts w:ascii="Times New Roman" w:hAnsi="Times New Roman"/>
                <w:color w:val="000000" w:themeColor="text1"/>
                <w:sz w:val="24"/>
                <w:szCs w:val="24"/>
                <w:lang w:val="lv-LV"/>
              </w:rPr>
              <w:t xml:space="preserve"> (t.sk. 3,32 milj. euro valsts pamatbudžetā un 13,28 milj. </w:t>
            </w:r>
            <w:r w:rsidRPr="0097439B">
              <w:rPr>
                <w:rFonts w:ascii="Times New Roman" w:hAnsi="Times New Roman"/>
                <w:i/>
                <w:color w:val="000000" w:themeColor="text1"/>
                <w:sz w:val="24"/>
                <w:szCs w:val="24"/>
                <w:lang w:val="lv-LV"/>
              </w:rPr>
              <w:t>euro</w:t>
            </w:r>
            <w:r w:rsidRPr="0097439B">
              <w:rPr>
                <w:rFonts w:ascii="Times New Roman" w:hAnsi="Times New Roman"/>
                <w:color w:val="000000" w:themeColor="text1"/>
                <w:sz w:val="24"/>
                <w:szCs w:val="24"/>
                <w:lang w:val="lv-LV"/>
              </w:rPr>
              <w:t xml:space="preserve"> pašvaldību budžetā);</w:t>
            </w:r>
          </w:p>
          <w:p w:rsidR="009509B5" w:rsidRPr="009509B5" w:rsidRDefault="009509B5" w:rsidP="009509B5">
            <w:pPr>
              <w:pStyle w:val="ListParagraph"/>
              <w:rPr>
                <w:rFonts w:ascii="Times New Roman" w:hAnsi="Times New Roman"/>
                <w:color w:val="000000" w:themeColor="text1"/>
                <w:sz w:val="24"/>
                <w:szCs w:val="24"/>
                <w:lang w:val="lv-LV"/>
              </w:rPr>
            </w:pPr>
          </w:p>
          <w:p w:rsidR="007036D0" w:rsidRDefault="007036D0" w:rsidP="00EC51D5">
            <w:pPr>
              <w:pStyle w:val="ListParagraph"/>
              <w:numPr>
                <w:ilvl w:val="0"/>
                <w:numId w:val="45"/>
              </w:numPr>
              <w:spacing w:line="240" w:lineRule="auto"/>
              <w:jc w:val="both"/>
              <w:rPr>
                <w:rFonts w:ascii="Times New Roman" w:hAnsi="Times New Roman"/>
                <w:color w:val="000000" w:themeColor="text1"/>
                <w:sz w:val="24"/>
                <w:szCs w:val="24"/>
                <w:lang w:val="lv-LV"/>
              </w:rPr>
            </w:pPr>
            <w:r w:rsidRPr="0097439B">
              <w:rPr>
                <w:rFonts w:ascii="Times New Roman" w:hAnsi="Times New Roman"/>
                <w:color w:val="000000" w:themeColor="text1"/>
                <w:sz w:val="24"/>
                <w:szCs w:val="24"/>
                <w:lang w:val="lv-LV"/>
              </w:rPr>
              <w:t xml:space="preserve">13,59% Solidaritātes maksājums VSAOI - ietekme uz speciālo budžetu 2018.gadā +9,1 milj. </w:t>
            </w:r>
            <w:r w:rsidRPr="0097439B">
              <w:rPr>
                <w:rFonts w:ascii="Times New Roman" w:hAnsi="Times New Roman"/>
                <w:i/>
                <w:color w:val="000000" w:themeColor="text1"/>
                <w:sz w:val="24"/>
                <w:szCs w:val="24"/>
                <w:lang w:val="lv-LV"/>
              </w:rPr>
              <w:t>euro</w:t>
            </w:r>
            <w:r w:rsidRPr="0097439B">
              <w:rPr>
                <w:rFonts w:ascii="Times New Roman" w:hAnsi="Times New Roman"/>
                <w:color w:val="000000" w:themeColor="text1"/>
                <w:sz w:val="24"/>
                <w:szCs w:val="24"/>
                <w:lang w:val="lv-LV"/>
              </w:rPr>
              <w:t xml:space="preserve">, 2019.gadā +20,5 milj. </w:t>
            </w:r>
            <w:r w:rsidRPr="0097439B">
              <w:rPr>
                <w:rFonts w:ascii="Times New Roman" w:hAnsi="Times New Roman"/>
                <w:i/>
                <w:color w:val="000000" w:themeColor="text1"/>
                <w:sz w:val="24"/>
                <w:szCs w:val="24"/>
                <w:lang w:val="lv-LV"/>
              </w:rPr>
              <w:t>euro</w:t>
            </w:r>
            <w:r w:rsidRPr="0097439B">
              <w:rPr>
                <w:rFonts w:ascii="Times New Roman" w:hAnsi="Times New Roman"/>
                <w:color w:val="000000" w:themeColor="text1"/>
                <w:sz w:val="24"/>
                <w:szCs w:val="24"/>
                <w:lang w:val="lv-LV"/>
              </w:rPr>
              <w:t xml:space="preserve">, 2020.gadā +21,5 milj. </w:t>
            </w:r>
            <w:r w:rsidRPr="0097439B">
              <w:rPr>
                <w:rFonts w:ascii="Times New Roman" w:hAnsi="Times New Roman"/>
                <w:i/>
                <w:color w:val="000000" w:themeColor="text1"/>
                <w:sz w:val="24"/>
                <w:szCs w:val="24"/>
                <w:lang w:val="lv-LV"/>
              </w:rPr>
              <w:t>euro</w:t>
            </w:r>
            <w:r w:rsidRPr="0097439B">
              <w:rPr>
                <w:rFonts w:ascii="Times New Roman" w:hAnsi="Times New Roman"/>
                <w:color w:val="000000" w:themeColor="text1"/>
                <w:sz w:val="24"/>
                <w:szCs w:val="24"/>
                <w:lang w:val="lv-LV"/>
              </w:rPr>
              <w:t>;</w:t>
            </w:r>
          </w:p>
          <w:p w:rsidR="009509B5" w:rsidRPr="009509B5" w:rsidRDefault="009509B5" w:rsidP="009509B5">
            <w:pPr>
              <w:pStyle w:val="ListParagraph"/>
              <w:rPr>
                <w:rFonts w:ascii="Times New Roman" w:hAnsi="Times New Roman"/>
                <w:color w:val="000000" w:themeColor="text1"/>
                <w:sz w:val="24"/>
                <w:szCs w:val="24"/>
                <w:lang w:val="lv-LV"/>
              </w:rPr>
            </w:pPr>
          </w:p>
          <w:p w:rsidR="007036D0" w:rsidRDefault="007036D0" w:rsidP="00EC51D5">
            <w:pPr>
              <w:pStyle w:val="ListParagraph"/>
              <w:numPr>
                <w:ilvl w:val="0"/>
                <w:numId w:val="45"/>
              </w:numPr>
              <w:spacing w:line="240" w:lineRule="auto"/>
              <w:rPr>
                <w:rFonts w:ascii="Times New Roman" w:hAnsi="Times New Roman"/>
                <w:i/>
                <w:color w:val="000000" w:themeColor="text1"/>
                <w:sz w:val="24"/>
                <w:szCs w:val="24"/>
                <w:lang w:val="lv-LV"/>
              </w:rPr>
            </w:pPr>
            <w:r w:rsidRPr="0097439B">
              <w:rPr>
                <w:rFonts w:ascii="Times New Roman" w:hAnsi="Times New Roman"/>
                <w:color w:val="000000" w:themeColor="text1"/>
                <w:sz w:val="24"/>
                <w:szCs w:val="24"/>
                <w:lang w:val="lv-LV"/>
              </w:rPr>
              <w:t xml:space="preserve">Tāpat jāņem vērā, ka 4% no SOC daļas, kas samaksāta virs 55 000 </w:t>
            </w:r>
            <w:r w:rsidRPr="0097439B">
              <w:rPr>
                <w:rFonts w:ascii="Times New Roman" w:hAnsi="Times New Roman"/>
                <w:i/>
                <w:color w:val="000000" w:themeColor="text1"/>
                <w:sz w:val="24"/>
                <w:szCs w:val="24"/>
                <w:lang w:val="lv-LV"/>
              </w:rPr>
              <w:t>euro</w:t>
            </w:r>
            <w:r w:rsidRPr="0097439B">
              <w:rPr>
                <w:rFonts w:ascii="Times New Roman" w:hAnsi="Times New Roman"/>
                <w:color w:val="000000" w:themeColor="text1"/>
                <w:sz w:val="24"/>
                <w:szCs w:val="24"/>
                <w:lang w:val="lv-LV"/>
              </w:rPr>
              <w:t xml:space="preserve">, tiks ieskaitīti solidaritātes nodokļa maksātāju 3.pensiju līmenī. Šī daļa, kas netiks ieskaitīta ne valsts, ne speciālajā budžetā radīs negatīvu fiskālo ietekmi:  2018.gadā -2,7 milj. </w:t>
            </w:r>
            <w:r w:rsidRPr="0097439B">
              <w:rPr>
                <w:rFonts w:ascii="Times New Roman" w:hAnsi="Times New Roman"/>
                <w:i/>
                <w:color w:val="000000" w:themeColor="text1"/>
                <w:sz w:val="24"/>
                <w:szCs w:val="24"/>
                <w:lang w:val="lv-LV"/>
              </w:rPr>
              <w:t>euro</w:t>
            </w:r>
            <w:r w:rsidRPr="0097439B">
              <w:rPr>
                <w:rFonts w:ascii="Times New Roman" w:hAnsi="Times New Roman"/>
                <w:color w:val="000000" w:themeColor="text1"/>
                <w:sz w:val="24"/>
                <w:szCs w:val="24"/>
                <w:lang w:val="lv-LV"/>
              </w:rPr>
              <w:t xml:space="preserve">, 2019.gadā -6,0 milj. </w:t>
            </w:r>
            <w:r w:rsidRPr="0097439B">
              <w:rPr>
                <w:rFonts w:ascii="Times New Roman" w:hAnsi="Times New Roman"/>
                <w:i/>
                <w:color w:val="000000" w:themeColor="text1"/>
                <w:sz w:val="24"/>
                <w:szCs w:val="24"/>
                <w:lang w:val="lv-LV"/>
              </w:rPr>
              <w:t>euro</w:t>
            </w:r>
            <w:r w:rsidRPr="0097439B">
              <w:rPr>
                <w:rFonts w:ascii="Times New Roman" w:hAnsi="Times New Roman"/>
                <w:color w:val="000000" w:themeColor="text1"/>
                <w:sz w:val="24"/>
                <w:szCs w:val="24"/>
                <w:lang w:val="lv-LV"/>
              </w:rPr>
              <w:t xml:space="preserve">, 2020.gadā -6,3 milj. </w:t>
            </w:r>
            <w:r w:rsidRPr="0097439B">
              <w:rPr>
                <w:rFonts w:ascii="Times New Roman" w:hAnsi="Times New Roman"/>
                <w:i/>
                <w:color w:val="000000" w:themeColor="text1"/>
                <w:sz w:val="24"/>
                <w:szCs w:val="24"/>
                <w:lang w:val="lv-LV"/>
              </w:rPr>
              <w:t>euro.</w:t>
            </w:r>
          </w:p>
          <w:p w:rsidR="009509B5" w:rsidRDefault="009509B5" w:rsidP="009509B5">
            <w:pPr>
              <w:rPr>
                <w:i/>
                <w:color w:val="000000" w:themeColor="text1"/>
              </w:rPr>
            </w:pPr>
          </w:p>
          <w:p w:rsidR="009509B5" w:rsidRDefault="009509B5" w:rsidP="009509B5">
            <w:pPr>
              <w:rPr>
                <w:i/>
                <w:color w:val="000000" w:themeColor="text1"/>
              </w:rPr>
            </w:pPr>
          </w:p>
          <w:p w:rsidR="009509B5" w:rsidRDefault="009509B5" w:rsidP="009509B5">
            <w:pPr>
              <w:rPr>
                <w:i/>
                <w:color w:val="000000" w:themeColor="text1"/>
              </w:rPr>
            </w:pPr>
          </w:p>
          <w:p w:rsidR="009509B5" w:rsidRDefault="009509B5" w:rsidP="009509B5">
            <w:pPr>
              <w:rPr>
                <w:i/>
                <w:color w:val="000000" w:themeColor="text1"/>
              </w:rPr>
            </w:pPr>
          </w:p>
          <w:p w:rsidR="009509B5" w:rsidRDefault="009509B5" w:rsidP="009509B5">
            <w:pPr>
              <w:rPr>
                <w:i/>
                <w:color w:val="000000" w:themeColor="text1"/>
              </w:rPr>
            </w:pPr>
          </w:p>
          <w:p w:rsidR="009509B5" w:rsidRDefault="009509B5" w:rsidP="009509B5">
            <w:pPr>
              <w:rPr>
                <w:i/>
                <w:color w:val="000000" w:themeColor="text1"/>
              </w:rPr>
            </w:pPr>
          </w:p>
          <w:p w:rsidR="009509B5" w:rsidRDefault="009509B5" w:rsidP="009509B5">
            <w:pPr>
              <w:rPr>
                <w:i/>
                <w:color w:val="000000" w:themeColor="text1"/>
              </w:rPr>
            </w:pPr>
          </w:p>
          <w:p w:rsidR="009509B5" w:rsidRDefault="009509B5" w:rsidP="009509B5">
            <w:pPr>
              <w:rPr>
                <w:i/>
                <w:color w:val="000000" w:themeColor="text1"/>
              </w:rPr>
            </w:pPr>
          </w:p>
          <w:p w:rsidR="009509B5" w:rsidRDefault="009509B5" w:rsidP="009509B5">
            <w:pPr>
              <w:rPr>
                <w:i/>
                <w:color w:val="000000" w:themeColor="text1"/>
              </w:rPr>
            </w:pPr>
          </w:p>
          <w:p w:rsidR="007036D0" w:rsidRPr="0097439B" w:rsidRDefault="007036D0" w:rsidP="00FF0CDE">
            <w:pPr>
              <w:jc w:val="both"/>
              <w:rPr>
                <w:color w:val="000000" w:themeColor="text1"/>
              </w:rPr>
            </w:pPr>
            <w:r w:rsidRPr="0097439B">
              <w:rPr>
                <w:color w:val="000000" w:themeColor="text1"/>
              </w:rPr>
              <w:t>Ņemot vērā iepriekš minēto, solidaritātes nodokļa reformas fiskālā ietekme pa nodokļu veidiem ir šāda:</w:t>
            </w:r>
          </w:p>
          <w:p w:rsidR="007036D0" w:rsidRPr="0097439B" w:rsidRDefault="007036D0" w:rsidP="00EE48DD">
            <w:pPr>
              <w:jc w:val="both"/>
              <w:rPr>
                <w:color w:val="000000" w:themeColor="text1"/>
              </w:rPr>
            </w:pPr>
          </w:p>
          <w:tbl>
            <w:tblPr>
              <w:tblStyle w:val="TableGrid"/>
              <w:tblpPr w:leftFromText="180" w:rightFromText="180" w:vertAnchor="text" w:horzAnchor="margin" w:tblpY="-157"/>
              <w:tblOverlap w:val="never"/>
              <w:tblW w:w="6799" w:type="dxa"/>
              <w:tblLayout w:type="fixed"/>
              <w:tblLook w:val="04A0" w:firstRow="1" w:lastRow="0" w:firstColumn="1" w:lastColumn="0" w:noHBand="0" w:noVBand="1"/>
            </w:tblPr>
            <w:tblGrid>
              <w:gridCol w:w="2972"/>
              <w:gridCol w:w="1418"/>
              <w:gridCol w:w="803"/>
              <w:gridCol w:w="803"/>
              <w:gridCol w:w="803"/>
            </w:tblGrid>
            <w:tr w:rsidR="007036D0" w:rsidRPr="0097439B" w:rsidTr="00EE48DD">
              <w:trPr>
                <w:trHeight w:val="256"/>
              </w:trPr>
              <w:tc>
                <w:tcPr>
                  <w:tcW w:w="2972" w:type="dxa"/>
                </w:tcPr>
                <w:p w:rsidR="007036D0" w:rsidRPr="0097439B" w:rsidRDefault="007036D0" w:rsidP="00EE48DD">
                  <w:pPr>
                    <w:rPr>
                      <w:rFonts w:ascii="Times New Roman" w:hAnsi="Times New Roman"/>
                      <w:color w:val="000000" w:themeColor="text1"/>
                    </w:rPr>
                  </w:pPr>
                  <w:r w:rsidRPr="0097439B">
                    <w:rPr>
                      <w:rFonts w:ascii="Times New Roman" w:hAnsi="Times New Roman"/>
                      <w:color w:val="000000" w:themeColor="text1"/>
                    </w:rPr>
                    <w:t>Milj. </w:t>
                  </w:r>
                  <w:r w:rsidRPr="0097439B">
                    <w:rPr>
                      <w:rFonts w:ascii="Times New Roman" w:hAnsi="Times New Roman"/>
                      <w:i/>
                      <w:color w:val="000000" w:themeColor="text1"/>
                    </w:rPr>
                    <w:t>euro</w:t>
                  </w:r>
                  <w:r w:rsidRPr="0097439B">
                    <w:rPr>
                      <w:rFonts w:ascii="Times New Roman" w:hAnsi="Times New Roman"/>
                      <w:color w:val="000000" w:themeColor="text1"/>
                    </w:rPr>
                    <w:t xml:space="preserve"> </w:t>
                  </w:r>
                </w:p>
              </w:tc>
              <w:tc>
                <w:tcPr>
                  <w:tcW w:w="1418" w:type="dxa"/>
                </w:tcPr>
                <w:p w:rsidR="007036D0" w:rsidRPr="0097439B" w:rsidRDefault="007036D0" w:rsidP="00EE48DD">
                  <w:pPr>
                    <w:jc w:val="center"/>
                    <w:rPr>
                      <w:rFonts w:ascii="Times New Roman" w:hAnsi="Times New Roman"/>
                      <w:color w:val="000000" w:themeColor="text1"/>
                    </w:rPr>
                  </w:pPr>
                </w:p>
              </w:tc>
              <w:tc>
                <w:tcPr>
                  <w:tcW w:w="803" w:type="dxa"/>
                </w:tcPr>
                <w:p w:rsidR="007036D0" w:rsidRPr="0097439B" w:rsidRDefault="007036D0" w:rsidP="00EE48DD">
                  <w:pPr>
                    <w:jc w:val="center"/>
                    <w:rPr>
                      <w:rFonts w:ascii="Times New Roman" w:hAnsi="Times New Roman"/>
                      <w:color w:val="000000" w:themeColor="text1"/>
                    </w:rPr>
                  </w:pPr>
                  <w:r w:rsidRPr="0097439B">
                    <w:rPr>
                      <w:rFonts w:ascii="Times New Roman" w:hAnsi="Times New Roman"/>
                      <w:color w:val="000000" w:themeColor="text1"/>
                    </w:rPr>
                    <w:t>2018</w:t>
                  </w:r>
                </w:p>
              </w:tc>
              <w:tc>
                <w:tcPr>
                  <w:tcW w:w="803" w:type="dxa"/>
                </w:tcPr>
                <w:p w:rsidR="007036D0" w:rsidRPr="0097439B" w:rsidRDefault="007036D0" w:rsidP="00EE48DD">
                  <w:pPr>
                    <w:jc w:val="center"/>
                    <w:rPr>
                      <w:rFonts w:ascii="Times New Roman" w:hAnsi="Times New Roman"/>
                      <w:color w:val="000000" w:themeColor="text1"/>
                    </w:rPr>
                  </w:pPr>
                  <w:r w:rsidRPr="0097439B">
                    <w:rPr>
                      <w:rFonts w:ascii="Times New Roman" w:hAnsi="Times New Roman"/>
                      <w:color w:val="000000" w:themeColor="text1"/>
                    </w:rPr>
                    <w:t>2019</w:t>
                  </w:r>
                </w:p>
              </w:tc>
              <w:tc>
                <w:tcPr>
                  <w:tcW w:w="803" w:type="dxa"/>
                </w:tcPr>
                <w:p w:rsidR="007036D0" w:rsidRPr="0097439B" w:rsidRDefault="007036D0" w:rsidP="00EE48DD">
                  <w:pPr>
                    <w:jc w:val="center"/>
                    <w:rPr>
                      <w:rFonts w:ascii="Times New Roman" w:hAnsi="Times New Roman"/>
                      <w:color w:val="000000" w:themeColor="text1"/>
                    </w:rPr>
                  </w:pPr>
                  <w:r w:rsidRPr="0097439B">
                    <w:rPr>
                      <w:rFonts w:ascii="Times New Roman" w:hAnsi="Times New Roman"/>
                      <w:color w:val="000000" w:themeColor="text1"/>
                    </w:rPr>
                    <w:t>2020</w:t>
                  </w:r>
                </w:p>
              </w:tc>
            </w:tr>
            <w:tr w:rsidR="007036D0" w:rsidRPr="0097439B" w:rsidTr="00EE48DD">
              <w:trPr>
                <w:trHeight w:val="585"/>
              </w:trPr>
              <w:tc>
                <w:tcPr>
                  <w:tcW w:w="2972" w:type="dxa"/>
                  <w:vAlign w:val="center"/>
                </w:tcPr>
                <w:p w:rsidR="007036D0" w:rsidRPr="0097439B" w:rsidRDefault="007036D0" w:rsidP="00EE48DD">
                  <w:pPr>
                    <w:jc w:val="center"/>
                    <w:rPr>
                      <w:rFonts w:ascii="Times New Roman" w:hAnsi="Times New Roman"/>
                      <w:i/>
                      <w:color w:val="000000" w:themeColor="text1"/>
                    </w:rPr>
                  </w:pPr>
                  <w:r w:rsidRPr="0097439B">
                    <w:rPr>
                      <w:rFonts w:ascii="Times New Roman" w:hAnsi="Times New Roman"/>
                      <w:color w:val="000000" w:themeColor="text1"/>
                    </w:rPr>
                    <w:t>Solidaritātes nodokļa daļas izmaiņa</w:t>
                  </w:r>
                </w:p>
              </w:tc>
              <w:tc>
                <w:tcPr>
                  <w:tcW w:w="1418" w:type="dxa"/>
                  <w:vAlign w:val="center"/>
                </w:tcPr>
                <w:p w:rsidR="007036D0" w:rsidRPr="0097439B" w:rsidRDefault="007036D0" w:rsidP="00EE48DD">
                  <w:pPr>
                    <w:jc w:val="center"/>
                    <w:rPr>
                      <w:rFonts w:ascii="Times New Roman" w:hAnsi="Times New Roman"/>
                      <w:color w:val="000000" w:themeColor="text1"/>
                    </w:rPr>
                  </w:pPr>
                  <w:r w:rsidRPr="0097439B">
                    <w:rPr>
                      <w:rFonts w:ascii="Times New Roman" w:hAnsi="Times New Roman"/>
                      <w:i/>
                      <w:iCs/>
                      <w:color w:val="000000" w:themeColor="text1"/>
                      <w:sz w:val="18"/>
                      <w:szCs w:val="18"/>
                    </w:rPr>
                    <w:t>Solidaritātes nodoklis valsts pamatbudžetā</w:t>
                  </w:r>
                </w:p>
              </w:tc>
              <w:tc>
                <w:tcPr>
                  <w:tcW w:w="803" w:type="dxa"/>
                  <w:vAlign w:val="center"/>
                </w:tcPr>
                <w:p w:rsidR="007036D0" w:rsidRPr="0097439B" w:rsidRDefault="007036D0" w:rsidP="00EE48DD">
                  <w:pPr>
                    <w:jc w:val="center"/>
                    <w:rPr>
                      <w:rFonts w:ascii="Times New Roman" w:hAnsi="Times New Roman"/>
                      <w:color w:val="000000" w:themeColor="text1"/>
                    </w:rPr>
                  </w:pPr>
                  <w:r w:rsidRPr="0097439B">
                    <w:rPr>
                      <w:rFonts w:ascii="Times New Roman" w:hAnsi="Times New Roman"/>
                      <w:color w:val="000000" w:themeColor="text1"/>
                    </w:rPr>
                    <w:t>-22,6</w:t>
                  </w:r>
                </w:p>
              </w:tc>
              <w:tc>
                <w:tcPr>
                  <w:tcW w:w="803" w:type="dxa"/>
                  <w:vAlign w:val="center"/>
                </w:tcPr>
                <w:p w:rsidR="007036D0" w:rsidRPr="0097439B" w:rsidRDefault="007036D0" w:rsidP="00EE48DD">
                  <w:pPr>
                    <w:jc w:val="center"/>
                    <w:rPr>
                      <w:rFonts w:ascii="Times New Roman" w:hAnsi="Times New Roman"/>
                      <w:color w:val="000000" w:themeColor="text1"/>
                    </w:rPr>
                  </w:pPr>
                  <w:r w:rsidRPr="0097439B">
                    <w:rPr>
                      <w:rFonts w:ascii="Times New Roman" w:hAnsi="Times New Roman"/>
                      <w:color w:val="000000" w:themeColor="text1"/>
                    </w:rPr>
                    <w:t>-50,6</w:t>
                  </w:r>
                </w:p>
              </w:tc>
              <w:tc>
                <w:tcPr>
                  <w:tcW w:w="803" w:type="dxa"/>
                  <w:vAlign w:val="center"/>
                </w:tcPr>
                <w:p w:rsidR="007036D0" w:rsidRPr="0097439B" w:rsidRDefault="007036D0" w:rsidP="00EE48DD">
                  <w:pPr>
                    <w:jc w:val="center"/>
                    <w:rPr>
                      <w:rFonts w:ascii="Times New Roman" w:hAnsi="Times New Roman"/>
                      <w:color w:val="000000" w:themeColor="text1"/>
                    </w:rPr>
                  </w:pPr>
                  <w:r w:rsidRPr="0097439B">
                    <w:rPr>
                      <w:rFonts w:ascii="Times New Roman" w:hAnsi="Times New Roman"/>
                      <w:color w:val="000000" w:themeColor="text1"/>
                    </w:rPr>
                    <w:t>-51,3</w:t>
                  </w:r>
                </w:p>
              </w:tc>
            </w:tr>
            <w:tr w:rsidR="007036D0" w:rsidRPr="0097439B" w:rsidTr="00EE48DD">
              <w:trPr>
                <w:trHeight w:val="678"/>
              </w:trPr>
              <w:tc>
                <w:tcPr>
                  <w:tcW w:w="2972" w:type="dxa"/>
                  <w:vMerge w:val="restart"/>
                  <w:vAlign w:val="center"/>
                </w:tcPr>
                <w:p w:rsidR="007036D0" w:rsidRPr="0097439B" w:rsidRDefault="007036D0" w:rsidP="00EE48DD">
                  <w:pPr>
                    <w:jc w:val="center"/>
                    <w:rPr>
                      <w:rFonts w:ascii="Times New Roman" w:hAnsi="Times New Roman"/>
                      <w:i/>
                      <w:color w:val="000000" w:themeColor="text1"/>
                    </w:rPr>
                  </w:pPr>
                  <w:r w:rsidRPr="0097439B">
                    <w:rPr>
                      <w:rFonts w:ascii="Times New Roman" w:hAnsi="Times New Roman"/>
                      <w:color w:val="000000" w:themeColor="text1"/>
                    </w:rPr>
                    <w:t>SOC daļas, kas samaksāta virs 55 000 euro, pārdale</w:t>
                  </w:r>
                </w:p>
              </w:tc>
              <w:tc>
                <w:tcPr>
                  <w:tcW w:w="1418" w:type="dxa"/>
                  <w:vAlign w:val="center"/>
                </w:tcPr>
                <w:p w:rsidR="007036D0" w:rsidRPr="0097439B" w:rsidRDefault="007036D0" w:rsidP="00EE48DD">
                  <w:pPr>
                    <w:jc w:val="center"/>
                    <w:rPr>
                      <w:rFonts w:ascii="Times New Roman" w:hAnsi="Times New Roman"/>
                      <w:color w:val="000000" w:themeColor="text1"/>
                      <w:sz w:val="18"/>
                      <w:szCs w:val="18"/>
                    </w:rPr>
                  </w:pPr>
                  <w:r w:rsidRPr="0097439B">
                    <w:rPr>
                      <w:rFonts w:ascii="Times New Roman" w:hAnsi="Times New Roman"/>
                      <w:i/>
                      <w:iCs/>
                      <w:color w:val="000000" w:themeColor="text1"/>
                      <w:sz w:val="18"/>
                      <w:szCs w:val="18"/>
                    </w:rPr>
                    <w:t>6% pensiju otrais līmenis</w:t>
                  </w:r>
                </w:p>
              </w:tc>
              <w:tc>
                <w:tcPr>
                  <w:tcW w:w="803" w:type="dxa"/>
                  <w:vAlign w:val="center"/>
                </w:tcPr>
                <w:p w:rsidR="007036D0" w:rsidRPr="0097439B" w:rsidRDefault="007036D0" w:rsidP="00EE48DD">
                  <w:pPr>
                    <w:jc w:val="center"/>
                    <w:rPr>
                      <w:rFonts w:ascii="Times New Roman" w:hAnsi="Times New Roman"/>
                      <w:color w:val="000000" w:themeColor="text1"/>
                    </w:rPr>
                  </w:pPr>
                  <w:r w:rsidRPr="0097439B">
                    <w:rPr>
                      <w:rFonts w:ascii="Times New Roman" w:hAnsi="Times New Roman"/>
                      <w:color w:val="000000" w:themeColor="text1"/>
                    </w:rPr>
                    <w:t>+4,0</w:t>
                  </w:r>
                </w:p>
              </w:tc>
              <w:tc>
                <w:tcPr>
                  <w:tcW w:w="803" w:type="dxa"/>
                  <w:vAlign w:val="center"/>
                </w:tcPr>
                <w:p w:rsidR="007036D0" w:rsidRPr="0097439B" w:rsidRDefault="007036D0" w:rsidP="00EE48DD">
                  <w:pPr>
                    <w:jc w:val="center"/>
                    <w:rPr>
                      <w:rFonts w:ascii="Times New Roman" w:hAnsi="Times New Roman"/>
                      <w:color w:val="000000" w:themeColor="text1"/>
                    </w:rPr>
                  </w:pPr>
                  <w:r w:rsidRPr="0097439B">
                    <w:rPr>
                      <w:rFonts w:ascii="Times New Roman" w:hAnsi="Times New Roman"/>
                      <w:color w:val="000000" w:themeColor="text1"/>
                    </w:rPr>
                    <w:t>+9,0</w:t>
                  </w:r>
                </w:p>
              </w:tc>
              <w:tc>
                <w:tcPr>
                  <w:tcW w:w="803" w:type="dxa"/>
                  <w:vAlign w:val="center"/>
                </w:tcPr>
                <w:p w:rsidR="007036D0" w:rsidRPr="0097439B" w:rsidRDefault="007036D0" w:rsidP="00EE48DD">
                  <w:pPr>
                    <w:jc w:val="center"/>
                    <w:rPr>
                      <w:rFonts w:ascii="Times New Roman" w:hAnsi="Times New Roman"/>
                      <w:color w:val="000000" w:themeColor="text1"/>
                    </w:rPr>
                  </w:pPr>
                  <w:r w:rsidRPr="0097439B">
                    <w:rPr>
                      <w:rFonts w:ascii="Times New Roman" w:hAnsi="Times New Roman"/>
                      <w:color w:val="000000" w:themeColor="text1"/>
                    </w:rPr>
                    <w:t>+9,5</w:t>
                  </w:r>
                </w:p>
              </w:tc>
            </w:tr>
            <w:tr w:rsidR="007036D0" w:rsidRPr="0097439B" w:rsidTr="00EE48DD">
              <w:trPr>
                <w:trHeight w:val="410"/>
              </w:trPr>
              <w:tc>
                <w:tcPr>
                  <w:tcW w:w="2972" w:type="dxa"/>
                  <w:vMerge/>
                  <w:vAlign w:val="center"/>
                </w:tcPr>
                <w:p w:rsidR="007036D0" w:rsidRPr="0097439B" w:rsidRDefault="007036D0" w:rsidP="00EE48DD">
                  <w:pPr>
                    <w:jc w:val="center"/>
                    <w:rPr>
                      <w:rFonts w:ascii="Times New Roman" w:hAnsi="Times New Roman"/>
                      <w:color w:val="000000" w:themeColor="text1"/>
                    </w:rPr>
                  </w:pPr>
                </w:p>
              </w:tc>
              <w:tc>
                <w:tcPr>
                  <w:tcW w:w="1418" w:type="dxa"/>
                  <w:vAlign w:val="center"/>
                </w:tcPr>
                <w:p w:rsidR="007036D0" w:rsidRPr="0097439B" w:rsidRDefault="007036D0" w:rsidP="00EE48DD">
                  <w:pPr>
                    <w:jc w:val="center"/>
                    <w:rPr>
                      <w:rFonts w:ascii="Times New Roman" w:hAnsi="Times New Roman"/>
                      <w:color w:val="000000" w:themeColor="text1"/>
                      <w:sz w:val="22"/>
                      <w:szCs w:val="22"/>
                    </w:rPr>
                  </w:pPr>
                  <w:r w:rsidRPr="0097439B">
                    <w:rPr>
                      <w:rFonts w:ascii="Times New Roman" w:hAnsi="Times New Roman"/>
                      <w:i/>
                      <w:iCs/>
                      <w:color w:val="000000" w:themeColor="text1"/>
                      <w:sz w:val="18"/>
                      <w:szCs w:val="18"/>
                    </w:rPr>
                    <w:t>1% veselība</w:t>
                  </w:r>
                </w:p>
              </w:tc>
              <w:tc>
                <w:tcPr>
                  <w:tcW w:w="803" w:type="dxa"/>
                  <w:vAlign w:val="center"/>
                </w:tcPr>
                <w:p w:rsidR="007036D0" w:rsidRPr="0097439B" w:rsidRDefault="007036D0" w:rsidP="00EE48DD">
                  <w:pPr>
                    <w:jc w:val="center"/>
                    <w:rPr>
                      <w:rFonts w:ascii="Times New Roman" w:hAnsi="Times New Roman"/>
                      <w:color w:val="000000" w:themeColor="text1"/>
                    </w:rPr>
                  </w:pPr>
                  <w:r w:rsidRPr="0097439B">
                    <w:rPr>
                      <w:rFonts w:ascii="Times New Roman" w:hAnsi="Times New Roman"/>
                      <w:color w:val="000000" w:themeColor="text1"/>
                    </w:rPr>
                    <w:t>+0,7</w:t>
                  </w:r>
                </w:p>
              </w:tc>
              <w:tc>
                <w:tcPr>
                  <w:tcW w:w="803" w:type="dxa"/>
                  <w:vAlign w:val="center"/>
                </w:tcPr>
                <w:p w:rsidR="007036D0" w:rsidRPr="0097439B" w:rsidRDefault="007036D0" w:rsidP="00EE48DD">
                  <w:pPr>
                    <w:jc w:val="center"/>
                    <w:rPr>
                      <w:rFonts w:ascii="Times New Roman" w:hAnsi="Times New Roman"/>
                      <w:color w:val="000000" w:themeColor="text1"/>
                    </w:rPr>
                  </w:pPr>
                  <w:r w:rsidRPr="0097439B">
                    <w:rPr>
                      <w:rFonts w:ascii="Times New Roman" w:hAnsi="Times New Roman"/>
                      <w:color w:val="000000" w:themeColor="text1"/>
                    </w:rPr>
                    <w:t>+1,5</w:t>
                  </w:r>
                </w:p>
              </w:tc>
              <w:tc>
                <w:tcPr>
                  <w:tcW w:w="803" w:type="dxa"/>
                  <w:vAlign w:val="center"/>
                </w:tcPr>
                <w:p w:rsidR="007036D0" w:rsidRPr="0097439B" w:rsidRDefault="007036D0" w:rsidP="00EE48DD">
                  <w:pPr>
                    <w:jc w:val="center"/>
                    <w:rPr>
                      <w:rFonts w:ascii="Times New Roman" w:hAnsi="Times New Roman"/>
                      <w:color w:val="000000" w:themeColor="text1"/>
                    </w:rPr>
                  </w:pPr>
                  <w:r w:rsidRPr="0097439B">
                    <w:rPr>
                      <w:rFonts w:ascii="Times New Roman" w:hAnsi="Times New Roman"/>
                      <w:color w:val="000000" w:themeColor="text1"/>
                    </w:rPr>
                    <w:t>+1,6</w:t>
                  </w:r>
                </w:p>
              </w:tc>
            </w:tr>
            <w:tr w:rsidR="007036D0" w:rsidRPr="0097439B" w:rsidTr="00EE48DD">
              <w:trPr>
                <w:trHeight w:val="434"/>
              </w:trPr>
              <w:tc>
                <w:tcPr>
                  <w:tcW w:w="2972" w:type="dxa"/>
                  <w:vMerge/>
                  <w:vAlign w:val="center"/>
                </w:tcPr>
                <w:p w:rsidR="007036D0" w:rsidRPr="0097439B" w:rsidRDefault="007036D0" w:rsidP="00EE48DD">
                  <w:pPr>
                    <w:jc w:val="center"/>
                    <w:rPr>
                      <w:rFonts w:ascii="Times New Roman" w:hAnsi="Times New Roman"/>
                      <w:color w:val="000000" w:themeColor="text1"/>
                    </w:rPr>
                  </w:pPr>
                </w:p>
              </w:tc>
              <w:tc>
                <w:tcPr>
                  <w:tcW w:w="1418" w:type="dxa"/>
                  <w:vAlign w:val="center"/>
                </w:tcPr>
                <w:p w:rsidR="007036D0" w:rsidRPr="0097439B" w:rsidRDefault="007036D0" w:rsidP="00EE48DD">
                  <w:pPr>
                    <w:jc w:val="center"/>
                    <w:rPr>
                      <w:rFonts w:ascii="Times New Roman" w:hAnsi="Times New Roman"/>
                      <w:i/>
                      <w:iCs/>
                      <w:color w:val="000000" w:themeColor="text1"/>
                      <w:sz w:val="18"/>
                      <w:szCs w:val="18"/>
                    </w:rPr>
                  </w:pPr>
                  <w:r w:rsidRPr="0097439B">
                    <w:rPr>
                      <w:rFonts w:ascii="Times New Roman" w:hAnsi="Times New Roman"/>
                      <w:i/>
                      <w:iCs/>
                      <w:color w:val="000000" w:themeColor="text1"/>
                      <w:sz w:val="18"/>
                      <w:szCs w:val="18"/>
                    </w:rPr>
                    <w:t>13,59% Solidaritātes maksājums VSAOI</w:t>
                  </w:r>
                </w:p>
              </w:tc>
              <w:tc>
                <w:tcPr>
                  <w:tcW w:w="803" w:type="dxa"/>
                  <w:vAlign w:val="center"/>
                </w:tcPr>
                <w:p w:rsidR="007036D0" w:rsidRPr="0097439B" w:rsidRDefault="007036D0" w:rsidP="00EE48DD">
                  <w:pPr>
                    <w:jc w:val="center"/>
                    <w:rPr>
                      <w:rFonts w:ascii="Times New Roman" w:hAnsi="Times New Roman"/>
                      <w:color w:val="000000" w:themeColor="text1"/>
                    </w:rPr>
                  </w:pPr>
                  <w:r w:rsidRPr="0097439B">
                    <w:rPr>
                      <w:rFonts w:ascii="Times New Roman" w:hAnsi="Times New Roman"/>
                      <w:color w:val="000000" w:themeColor="text1"/>
                    </w:rPr>
                    <w:t>+9,1</w:t>
                  </w:r>
                </w:p>
              </w:tc>
              <w:tc>
                <w:tcPr>
                  <w:tcW w:w="803" w:type="dxa"/>
                  <w:vAlign w:val="center"/>
                </w:tcPr>
                <w:p w:rsidR="007036D0" w:rsidRPr="0097439B" w:rsidRDefault="007036D0" w:rsidP="00EE48DD">
                  <w:pPr>
                    <w:jc w:val="center"/>
                    <w:rPr>
                      <w:rFonts w:ascii="Times New Roman" w:hAnsi="Times New Roman"/>
                      <w:color w:val="000000" w:themeColor="text1"/>
                    </w:rPr>
                  </w:pPr>
                  <w:r w:rsidRPr="0097439B">
                    <w:rPr>
                      <w:rFonts w:ascii="Times New Roman" w:hAnsi="Times New Roman"/>
                      <w:color w:val="000000" w:themeColor="text1"/>
                    </w:rPr>
                    <w:t>+20,5</w:t>
                  </w:r>
                </w:p>
              </w:tc>
              <w:tc>
                <w:tcPr>
                  <w:tcW w:w="803" w:type="dxa"/>
                  <w:vAlign w:val="center"/>
                </w:tcPr>
                <w:p w:rsidR="007036D0" w:rsidRPr="0097439B" w:rsidRDefault="007036D0" w:rsidP="00EE48DD">
                  <w:pPr>
                    <w:jc w:val="center"/>
                    <w:rPr>
                      <w:rFonts w:ascii="Times New Roman" w:hAnsi="Times New Roman"/>
                      <w:color w:val="000000" w:themeColor="text1"/>
                    </w:rPr>
                  </w:pPr>
                  <w:r w:rsidRPr="0097439B">
                    <w:rPr>
                      <w:rFonts w:ascii="Times New Roman" w:hAnsi="Times New Roman"/>
                      <w:color w:val="000000" w:themeColor="text1"/>
                    </w:rPr>
                    <w:t>+21,5</w:t>
                  </w:r>
                </w:p>
              </w:tc>
            </w:tr>
            <w:tr w:rsidR="007036D0" w:rsidRPr="0097439B" w:rsidTr="00EE48DD">
              <w:trPr>
                <w:trHeight w:val="434"/>
              </w:trPr>
              <w:tc>
                <w:tcPr>
                  <w:tcW w:w="2972" w:type="dxa"/>
                  <w:vMerge/>
                  <w:vAlign w:val="center"/>
                </w:tcPr>
                <w:p w:rsidR="007036D0" w:rsidRPr="0097439B" w:rsidRDefault="007036D0" w:rsidP="00EE48DD">
                  <w:pPr>
                    <w:jc w:val="center"/>
                    <w:rPr>
                      <w:rFonts w:ascii="Times New Roman" w:hAnsi="Times New Roman"/>
                      <w:color w:val="000000" w:themeColor="text1"/>
                    </w:rPr>
                  </w:pPr>
                </w:p>
              </w:tc>
              <w:tc>
                <w:tcPr>
                  <w:tcW w:w="1418" w:type="dxa"/>
                  <w:tcBorders>
                    <w:top w:val="dashed" w:sz="4" w:space="0" w:color="auto"/>
                    <w:left w:val="single" w:sz="4" w:space="0" w:color="auto"/>
                    <w:bottom w:val="nil"/>
                    <w:right w:val="single" w:sz="4" w:space="0" w:color="auto"/>
                  </w:tcBorders>
                  <w:shd w:val="clear" w:color="auto" w:fill="auto"/>
                  <w:vAlign w:val="center"/>
                </w:tcPr>
                <w:p w:rsidR="007036D0" w:rsidRPr="0097439B" w:rsidRDefault="007036D0" w:rsidP="00EE48DD">
                  <w:pPr>
                    <w:jc w:val="center"/>
                    <w:rPr>
                      <w:rFonts w:ascii="Times New Roman" w:hAnsi="Times New Roman"/>
                      <w:i/>
                      <w:iCs/>
                      <w:color w:val="000000" w:themeColor="text1"/>
                      <w:sz w:val="18"/>
                      <w:szCs w:val="18"/>
                    </w:rPr>
                  </w:pPr>
                  <w:r w:rsidRPr="0097439B">
                    <w:rPr>
                      <w:rFonts w:ascii="Times New Roman" w:hAnsi="Times New Roman"/>
                      <w:i/>
                      <w:iCs/>
                      <w:color w:val="000000" w:themeColor="text1"/>
                      <w:sz w:val="18"/>
                      <w:szCs w:val="18"/>
                    </w:rPr>
                    <w:t>Nesadalītais maksājums</w:t>
                  </w:r>
                </w:p>
              </w:tc>
              <w:tc>
                <w:tcPr>
                  <w:tcW w:w="803" w:type="dxa"/>
                  <w:vAlign w:val="center"/>
                </w:tcPr>
                <w:p w:rsidR="007036D0" w:rsidRPr="0097439B" w:rsidRDefault="007036D0" w:rsidP="00EE48DD">
                  <w:pPr>
                    <w:jc w:val="center"/>
                    <w:rPr>
                      <w:rFonts w:ascii="Times New Roman" w:hAnsi="Times New Roman"/>
                      <w:color w:val="000000" w:themeColor="text1"/>
                    </w:rPr>
                  </w:pPr>
                  <w:r w:rsidRPr="0097439B">
                    <w:rPr>
                      <w:rFonts w:ascii="Times New Roman" w:hAnsi="Times New Roman"/>
                      <w:color w:val="000000" w:themeColor="text1"/>
                    </w:rPr>
                    <w:t>+15,8</w:t>
                  </w:r>
                </w:p>
              </w:tc>
              <w:tc>
                <w:tcPr>
                  <w:tcW w:w="803" w:type="dxa"/>
                  <w:vAlign w:val="center"/>
                </w:tcPr>
                <w:p w:rsidR="007036D0" w:rsidRPr="0097439B" w:rsidRDefault="007036D0" w:rsidP="00EE48DD">
                  <w:pPr>
                    <w:jc w:val="center"/>
                    <w:rPr>
                      <w:rFonts w:ascii="Times New Roman" w:hAnsi="Times New Roman"/>
                      <w:color w:val="000000" w:themeColor="text1"/>
                    </w:rPr>
                  </w:pPr>
                  <w:r w:rsidRPr="0097439B">
                    <w:rPr>
                      <w:rFonts w:ascii="Times New Roman" w:hAnsi="Times New Roman"/>
                      <w:color w:val="000000" w:themeColor="text1"/>
                    </w:rPr>
                    <w:t>0</w:t>
                  </w:r>
                </w:p>
              </w:tc>
              <w:tc>
                <w:tcPr>
                  <w:tcW w:w="803" w:type="dxa"/>
                  <w:vAlign w:val="center"/>
                </w:tcPr>
                <w:p w:rsidR="007036D0" w:rsidRPr="0097439B" w:rsidRDefault="007036D0" w:rsidP="00EE48DD">
                  <w:pPr>
                    <w:jc w:val="center"/>
                    <w:rPr>
                      <w:rFonts w:ascii="Times New Roman" w:hAnsi="Times New Roman"/>
                      <w:color w:val="000000" w:themeColor="text1"/>
                    </w:rPr>
                  </w:pPr>
                  <w:r w:rsidRPr="0097439B">
                    <w:rPr>
                      <w:rFonts w:ascii="Times New Roman" w:hAnsi="Times New Roman"/>
                      <w:color w:val="000000" w:themeColor="text1"/>
                    </w:rPr>
                    <w:t>0</w:t>
                  </w:r>
                </w:p>
              </w:tc>
            </w:tr>
            <w:tr w:rsidR="007036D0" w:rsidRPr="0097439B" w:rsidTr="00EE48DD">
              <w:trPr>
                <w:trHeight w:val="434"/>
              </w:trPr>
              <w:tc>
                <w:tcPr>
                  <w:tcW w:w="2972" w:type="dxa"/>
                  <w:vMerge/>
                  <w:vAlign w:val="center"/>
                </w:tcPr>
                <w:p w:rsidR="007036D0" w:rsidRPr="0097439B" w:rsidRDefault="007036D0" w:rsidP="00EE48DD">
                  <w:pPr>
                    <w:jc w:val="center"/>
                    <w:rPr>
                      <w:rFonts w:ascii="Times New Roman" w:hAnsi="Times New Roman"/>
                      <w:color w:val="000000" w:themeColor="text1"/>
                    </w:rPr>
                  </w:pPr>
                </w:p>
              </w:tc>
              <w:tc>
                <w:tcPr>
                  <w:tcW w:w="1418" w:type="dxa"/>
                  <w:tcBorders>
                    <w:top w:val="dotDotDash" w:sz="8" w:space="0" w:color="auto"/>
                    <w:left w:val="single" w:sz="4" w:space="0" w:color="auto"/>
                    <w:bottom w:val="dashed" w:sz="4" w:space="0" w:color="auto"/>
                    <w:right w:val="single" w:sz="4" w:space="0" w:color="auto"/>
                  </w:tcBorders>
                  <w:shd w:val="clear" w:color="auto" w:fill="auto"/>
                  <w:vAlign w:val="center"/>
                </w:tcPr>
                <w:p w:rsidR="007036D0" w:rsidRPr="0097439B" w:rsidRDefault="007036D0" w:rsidP="00EE48DD">
                  <w:pPr>
                    <w:jc w:val="center"/>
                    <w:rPr>
                      <w:rFonts w:ascii="Times New Roman" w:hAnsi="Times New Roman"/>
                      <w:i/>
                      <w:iCs/>
                      <w:color w:val="000000" w:themeColor="text1"/>
                      <w:sz w:val="18"/>
                      <w:szCs w:val="18"/>
                    </w:rPr>
                  </w:pPr>
                  <w:r w:rsidRPr="0097439B">
                    <w:rPr>
                      <w:rFonts w:ascii="Times New Roman" w:hAnsi="Times New Roman"/>
                      <w:i/>
                      <w:iCs/>
                      <w:color w:val="000000" w:themeColor="text1"/>
                      <w:sz w:val="18"/>
                      <w:szCs w:val="18"/>
                    </w:rPr>
                    <w:t>SOC daļa 10,5%, kas tiek pārskaitīta uz IIN</w:t>
                  </w:r>
                </w:p>
              </w:tc>
              <w:tc>
                <w:tcPr>
                  <w:tcW w:w="803" w:type="dxa"/>
                  <w:vAlign w:val="center"/>
                </w:tcPr>
                <w:p w:rsidR="007036D0" w:rsidRPr="0097439B" w:rsidRDefault="007036D0" w:rsidP="00EE48DD">
                  <w:pPr>
                    <w:jc w:val="center"/>
                    <w:rPr>
                      <w:rFonts w:ascii="Times New Roman" w:hAnsi="Times New Roman"/>
                      <w:color w:val="000000" w:themeColor="text1"/>
                    </w:rPr>
                  </w:pPr>
                  <w:r w:rsidRPr="0097439B">
                    <w:rPr>
                      <w:rFonts w:ascii="Times New Roman" w:hAnsi="Times New Roman"/>
                      <w:color w:val="000000" w:themeColor="text1"/>
                    </w:rPr>
                    <w:t>+7,0</w:t>
                  </w:r>
                </w:p>
              </w:tc>
              <w:tc>
                <w:tcPr>
                  <w:tcW w:w="803" w:type="dxa"/>
                  <w:vAlign w:val="center"/>
                </w:tcPr>
                <w:p w:rsidR="007036D0" w:rsidRPr="0097439B" w:rsidRDefault="007036D0" w:rsidP="00EE48DD">
                  <w:pPr>
                    <w:jc w:val="center"/>
                    <w:rPr>
                      <w:rFonts w:ascii="Times New Roman" w:hAnsi="Times New Roman"/>
                      <w:color w:val="000000" w:themeColor="text1"/>
                    </w:rPr>
                  </w:pPr>
                  <w:r w:rsidRPr="0097439B">
                    <w:rPr>
                      <w:rFonts w:ascii="Times New Roman" w:hAnsi="Times New Roman"/>
                      <w:color w:val="000000" w:themeColor="text1"/>
                    </w:rPr>
                    <w:t>+15,8</w:t>
                  </w:r>
                </w:p>
              </w:tc>
              <w:tc>
                <w:tcPr>
                  <w:tcW w:w="803" w:type="dxa"/>
                  <w:vAlign w:val="center"/>
                </w:tcPr>
                <w:p w:rsidR="007036D0" w:rsidRPr="0097439B" w:rsidRDefault="007036D0" w:rsidP="00EE48DD">
                  <w:pPr>
                    <w:jc w:val="center"/>
                    <w:rPr>
                      <w:rFonts w:ascii="Times New Roman" w:hAnsi="Times New Roman"/>
                      <w:color w:val="000000" w:themeColor="text1"/>
                    </w:rPr>
                  </w:pPr>
                  <w:r w:rsidRPr="0097439B">
                    <w:rPr>
                      <w:rFonts w:ascii="Times New Roman" w:hAnsi="Times New Roman"/>
                      <w:color w:val="000000" w:themeColor="text1"/>
                    </w:rPr>
                    <w:t>+16,6</w:t>
                  </w:r>
                </w:p>
              </w:tc>
            </w:tr>
            <w:tr w:rsidR="007036D0" w:rsidRPr="0097439B" w:rsidTr="00EE48DD">
              <w:trPr>
                <w:trHeight w:val="544"/>
              </w:trPr>
              <w:tc>
                <w:tcPr>
                  <w:tcW w:w="2972" w:type="dxa"/>
                  <w:vMerge/>
                  <w:vAlign w:val="center"/>
                </w:tcPr>
                <w:p w:rsidR="007036D0" w:rsidRPr="0097439B" w:rsidRDefault="007036D0" w:rsidP="00EE48DD">
                  <w:pPr>
                    <w:jc w:val="center"/>
                    <w:rPr>
                      <w:rFonts w:ascii="Times New Roman" w:hAnsi="Times New Roman"/>
                      <w:i/>
                      <w:color w:val="000000" w:themeColor="text1"/>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7036D0" w:rsidRPr="0097439B" w:rsidRDefault="007036D0" w:rsidP="00EE48DD">
                  <w:pPr>
                    <w:jc w:val="center"/>
                    <w:rPr>
                      <w:rFonts w:ascii="Times New Roman" w:hAnsi="Times New Roman"/>
                      <w:color w:val="000000" w:themeColor="text1"/>
                    </w:rPr>
                  </w:pPr>
                  <w:r w:rsidRPr="0097439B">
                    <w:rPr>
                      <w:rFonts w:ascii="Times New Roman" w:hAnsi="Times New Roman"/>
                      <w:i/>
                      <w:iCs/>
                      <w:color w:val="000000" w:themeColor="text1"/>
                      <w:sz w:val="18"/>
                      <w:szCs w:val="18"/>
                    </w:rPr>
                    <w:t>4% 3.pensiju līmenis</w:t>
                  </w:r>
                </w:p>
              </w:tc>
              <w:tc>
                <w:tcPr>
                  <w:tcW w:w="803" w:type="dxa"/>
                  <w:vAlign w:val="center"/>
                </w:tcPr>
                <w:p w:rsidR="007036D0" w:rsidRPr="0097439B" w:rsidRDefault="007036D0" w:rsidP="00EE48DD">
                  <w:pPr>
                    <w:jc w:val="center"/>
                    <w:rPr>
                      <w:rFonts w:ascii="Times New Roman" w:hAnsi="Times New Roman"/>
                      <w:color w:val="000000" w:themeColor="text1"/>
                    </w:rPr>
                  </w:pPr>
                  <w:r w:rsidRPr="0097439B">
                    <w:rPr>
                      <w:rFonts w:ascii="Times New Roman" w:hAnsi="Times New Roman"/>
                      <w:color w:val="000000" w:themeColor="text1"/>
                    </w:rPr>
                    <w:t>-2,7</w:t>
                  </w:r>
                </w:p>
              </w:tc>
              <w:tc>
                <w:tcPr>
                  <w:tcW w:w="803" w:type="dxa"/>
                  <w:vAlign w:val="center"/>
                </w:tcPr>
                <w:p w:rsidR="007036D0" w:rsidRPr="0097439B" w:rsidRDefault="007036D0" w:rsidP="00EE48DD">
                  <w:pPr>
                    <w:jc w:val="center"/>
                    <w:rPr>
                      <w:rFonts w:ascii="Times New Roman" w:hAnsi="Times New Roman"/>
                      <w:color w:val="000000" w:themeColor="text1"/>
                    </w:rPr>
                  </w:pPr>
                  <w:r w:rsidRPr="0097439B">
                    <w:rPr>
                      <w:rFonts w:ascii="Times New Roman" w:hAnsi="Times New Roman"/>
                      <w:color w:val="000000" w:themeColor="text1"/>
                    </w:rPr>
                    <w:t>-6,0</w:t>
                  </w:r>
                </w:p>
              </w:tc>
              <w:tc>
                <w:tcPr>
                  <w:tcW w:w="803" w:type="dxa"/>
                  <w:vAlign w:val="center"/>
                </w:tcPr>
                <w:p w:rsidR="007036D0" w:rsidRPr="0097439B" w:rsidRDefault="007036D0" w:rsidP="00EE48DD">
                  <w:pPr>
                    <w:jc w:val="center"/>
                    <w:rPr>
                      <w:rFonts w:ascii="Times New Roman" w:hAnsi="Times New Roman"/>
                      <w:color w:val="000000" w:themeColor="text1"/>
                    </w:rPr>
                  </w:pPr>
                  <w:r w:rsidRPr="0097439B">
                    <w:rPr>
                      <w:rFonts w:ascii="Times New Roman" w:hAnsi="Times New Roman"/>
                      <w:color w:val="000000" w:themeColor="text1"/>
                    </w:rPr>
                    <w:t>-6,3</w:t>
                  </w:r>
                </w:p>
              </w:tc>
            </w:tr>
            <w:tr w:rsidR="007036D0" w:rsidRPr="0097439B" w:rsidTr="00EE48DD">
              <w:trPr>
                <w:trHeight w:val="574"/>
              </w:trPr>
              <w:tc>
                <w:tcPr>
                  <w:tcW w:w="2972" w:type="dxa"/>
                  <w:vAlign w:val="center"/>
                </w:tcPr>
                <w:p w:rsidR="007036D0" w:rsidRPr="0097439B" w:rsidRDefault="007036D0" w:rsidP="00EE48DD">
                  <w:pPr>
                    <w:jc w:val="center"/>
                    <w:rPr>
                      <w:rFonts w:ascii="Times New Roman" w:hAnsi="Times New Roman"/>
                      <w:color w:val="000000" w:themeColor="text1"/>
                    </w:rPr>
                  </w:pPr>
                  <w:r w:rsidRPr="0097439B">
                    <w:rPr>
                      <w:rFonts w:ascii="Times New Roman" w:hAnsi="Times New Roman"/>
                      <w:color w:val="000000" w:themeColor="text1"/>
                    </w:rPr>
                    <w:t>Kopējā fiskālā ietekme kopbudžetā</w:t>
                  </w:r>
                </w:p>
              </w:tc>
              <w:tc>
                <w:tcPr>
                  <w:tcW w:w="1418" w:type="dxa"/>
                  <w:vAlign w:val="center"/>
                </w:tcPr>
                <w:p w:rsidR="007036D0" w:rsidRPr="0097439B" w:rsidRDefault="007036D0" w:rsidP="00EE48DD">
                  <w:pPr>
                    <w:jc w:val="center"/>
                    <w:rPr>
                      <w:rFonts w:ascii="Times New Roman" w:hAnsi="Times New Roman"/>
                      <w:color w:val="000000" w:themeColor="text1"/>
                    </w:rPr>
                  </w:pPr>
                  <w:r w:rsidRPr="0097439B">
                    <w:rPr>
                      <w:rFonts w:ascii="Times New Roman" w:hAnsi="Times New Roman"/>
                      <w:color w:val="000000" w:themeColor="text1"/>
                    </w:rPr>
                    <w:t>x</w:t>
                  </w:r>
                </w:p>
              </w:tc>
              <w:tc>
                <w:tcPr>
                  <w:tcW w:w="803" w:type="dxa"/>
                  <w:vAlign w:val="center"/>
                </w:tcPr>
                <w:p w:rsidR="007036D0" w:rsidRPr="0097439B" w:rsidRDefault="007036D0" w:rsidP="00EE48DD">
                  <w:pPr>
                    <w:jc w:val="center"/>
                    <w:rPr>
                      <w:rFonts w:ascii="Times New Roman" w:hAnsi="Times New Roman"/>
                      <w:b/>
                      <w:color w:val="000000" w:themeColor="text1"/>
                    </w:rPr>
                  </w:pPr>
                  <w:r w:rsidRPr="0097439B">
                    <w:rPr>
                      <w:rFonts w:ascii="Times New Roman" w:hAnsi="Times New Roman"/>
                      <w:b/>
                      <w:color w:val="000000" w:themeColor="text1"/>
                    </w:rPr>
                    <w:t>+11,3</w:t>
                  </w:r>
                </w:p>
              </w:tc>
              <w:tc>
                <w:tcPr>
                  <w:tcW w:w="803" w:type="dxa"/>
                  <w:vAlign w:val="center"/>
                </w:tcPr>
                <w:p w:rsidR="007036D0" w:rsidRPr="0097439B" w:rsidRDefault="007036D0" w:rsidP="00EE48DD">
                  <w:pPr>
                    <w:jc w:val="center"/>
                    <w:rPr>
                      <w:rFonts w:ascii="Times New Roman" w:hAnsi="Times New Roman"/>
                      <w:b/>
                      <w:color w:val="000000" w:themeColor="text1"/>
                    </w:rPr>
                  </w:pPr>
                  <w:r w:rsidRPr="0097439B">
                    <w:rPr>
                      <w:rFonts w:ascii="Times New Roman" w:hAnsi="Times New Roman"/>
                      <w:b/>
                      <w:color w:val="000000" w:themeColor="text1"/>
                    </w:rPr>
                    <w:t>-9,8</w:t>
                  </w:r>
                </w:p>
              </w:tc>
              <w:tc>
                <w:tcPr>
                  <w:tcW w:w="803" w:type="dxa"/>
                  <w:vAlign w:val="center"/>
                </w:tcPr>
                <w:p w:rsidR="007036D0" w:rsidRPr="0097439B" w:rsidRDefault="007036D0" w:rsidP="00EE48DD">
                  <w:pPr>
                    <w:jc w:val="center"/>
                    <w:rPr>
                      <w:rFonts w:ascii="Times New Roman" w:hAnsi="Times New Roman"/>
                      <w:b/>
                      <w:color w:val="000000" w:themeColor="text1"/>
                    </w:rPr>
                  </w:pPr>
                  <w:r w:rsidRPr="0097439B">
                    <w:rPr>
                      <w:rFonts w:ascii="Times New Roman" w:hAnsi="Times New Roman"/>
                      <w:b/>
                      <w:color w:val="000000" w:themeColor="text1"/>
                    </w:rPr>
                    <w:t>-8,4</w:t>
                  </w:r>
                </w:p>
              </w:tc>
            </w:tr>
          </w:tbl>
          <w:p w:rsidR="007036D0" w:rsidRPr="0097439B" w:rsidRDefault="007036D0" w:rsidP="00EE48DD">
            <w:pPr>
              <w:jc w:val="both"/>
              <w:rPr>
                <w:color w:val="000000" w:themeColor="text1"/>
              </w:rPr>
            </w:pPr>
          </w:p>
          <w:p w:rsidR="007036D0" w:rsidRPr="0097439B" w:rsidRDefault="007036D0" w:rsidP="00EE48DD">
            <w:pPr>
              <w:rPr>
                <w:color w:val="000000" w:themeColor="text1"/>
              </w:rPr>
            </w:pPr>
          </w:p>
          <w:p w:rsidR="007036D0" w:rsidRPr="0097439B" w:rsidRDefault="007036D0" w:rsidP="00EE48DD">
            <w:pPr>
              <w:rPr>
                <w:color w:val="000000" w:themeColor="text1"/>
              </w:rPr>
            </w:pPr>
            <w:r w:rsidRPr="0097439B">
              <w:rPr>
                <w:color w:val="000000" w:themeColor="text1"/>
              </w:rPr>
              <w:t>Fiskālo ietekmju aprēķinā izmantota informācija no 2016.gada darba devēju ziņojumiem par valsts sociālās apdrošināšanas obligātajām iemaksām un iedzīvotāju ienākuma nodokli.</w:t>
            </w:r>
          </w:p>
          <w:p w:rsidR="007036D0" w:rsidRPr="0097439B" w:rsidRDefault="007036D0" w:rsidP="00EE48DD">
            <w:pPr>
              <w:rPr>
                <w:color w:val="000000" w:themeColor="text1"/>
              </w:rPr>
            </w:pPr>
          </w:p>
        </w:tc>
      </w:tr>
      <w:tr w:rsidR="00E478AF" w:rsidRPr="0097439B" w:rsidTr="0049256B">
        <w:tc>
          <w:tcPr>
            <w:tcW w:w="1354" w:type="pct"/>
            <w:tcBorders>
              <w:top w:val="single" w:sz="4" w:space="0" w:color="auto"/>
              <w:left w:val="single" w:sz="4" w:space="0" w:color="auto"/>
              <w:bottom w:val="single" w:sz="4" w:space="0" w:color="auto"/>
              <w:right w:val="single" w:sz="4" w:space="0" w:color="auto"/>
            </w:tcBorders>
          </w:tcPr>
          <w:p w:rsidR="009509B5" w:rsidRDefault="009509B5" w:rsidP="009F365C">
            <w:pPr>
              <w:rPr>
                <w:color w:val="000000" w:themeColor="text1"/>
              </w:rPr>
            </w:pPr>
          </w:p>
          <w:p w:rsidR="009F365C" w:rsidRPr="0097439B" w:rsidRDefault="009F365C" w:rsidP="009F365C">
            <w:pPr>
              <w:rPr>
                <w:color w:val="000000" w:themeColor="text1"/>
              </w:rPr>
            </w:pPr>
            <w:r w:rsidRPr="0097439B">
              <w:rPr>
                <w:color w:val="000000" w:themeColor="text1"/>
              </w:rPr>
              <w:t>6.2. detalizēts izdevumu aprēķins</w:t>
            </w:r>
          </w:p>
        </w:tc>
        <w:tc>
          <w:tcPr>
            <w:tcW w:w="3646" w:type="pct"/>
            <w:gridSpan w:val="5"/>
            <w:tcBorders>
              <w:top w:val="single" w:sz="4" w:space="0" w:color="auto"/>
              <w:left w:val="single" w:sz="4" w:space="0" w:color="auto"/>
              <w:bottom w:val="single" w:sz="4" w:space="0" w:color="auto"/>
              <w:right w:val="single" w:sz="4" w:space="0" w:color="auto"/>
            </w:tcBorders>
          </w:tcPr>
          <w:p w:rsidR="009509B5" w:rsidRDefault="009509B5" w:rsidP="004214CC">
            <w:pPr>
              <w:jc w:val="both"/>
              <w:rPr>
                <w:color w:val="000000" w:themeColor="text1"/>
              </w:rPr>
            </w:pPr>
          </w:p>
          <w:p w:rsidR="002374CA" w:rsidRPr="0097439B" w:rsidRDefault="002374CA" w:rsidP="004214CC">
            <w:pPr>
              <w:jc w:val="both"/>
              <w:rPr>
                <w:color w:val="000000" w:themeColor="text1"/>
              </w:rPr>
            </w:pPr>
            <w:r w:rsidRPr="0097439B">
              <w:rPr>
                <w:color w:val="000000" w:themeColor="text1"/>
              </w:rPr>
              <w:t>Valsts sociālās apdrošināšanas obligātās iemaksas pamatbudžetā veselības aprūpes nodrošināšanai (1% veselības aprūpes finansēšanai) par attiecīgo summu tiek paredzēti izdevumi: 2018.gadā 0,7 milj. euro, 2019.gadā 1,5 milj. euro, 2020.gadā 1,7 milj. euro.</w:t>
            </w:r>
          </w:p>
          <w:p w:rsidR="007036D0" w:rsidRDefault="007036D0" w:rsidP="004214CC">
            <w:pPr>
              <w:jc w:val="both"/>
              <w:rPr>
                <w:color w:val="000000" w:themeColor="text1"/>
              </w:rPr>
            </w:pPr>
            <w:r w:rsidRPr="0097439B">
              <w:rPr>
                <w:color w:val="000000" w:themeColor="text1"/>
              </w:rPr>
              <w:t xml:space="preserve">VSAA </w:t>
            </w:r>
            <w:r w:rsidR="004214CC" w:rsidRPr="0097439B">
              <w:rPr>
                <w:color w:val="000000" w:themeColor="text1"/>
              </w:rPr>
              <w:t>likumprojekta “Grozījumi Solidaritātes nodokļa likumā” ieviešanai nepieciešamie līdzekļi norādīti Labklājības ministrijas sagatavotā likumprojekta “Grozījumi likumā “Par valsts sociālo apdrošināšanu”.</w:t>
            </w:r>
            <w:r w:rsidR="004214CC" w:rsidRPr="0097439B" w:rsidDel="004214CC">
              <w:rPr>
                <w:color w:val="000000" w:themeColor="text1"/>
              </w:rPr>
              <w:t xml:space="preserve"> </w:t>
            </w:r>
          </w:p>
          <w:p w:rsidR="009509B5" w:rsidRPr="0097439B" w:rsidRDefault="009509B5" w:rsidP="004214CC">
            <w:pPr>
              <w:jc w:val="both"/>
              <w:rPr>
                <w:color w:val="000000" w:themeColor="text1"/>
              </w:rPr>
            </w:pPr>
          </w:p>
        </w:tc>
      </w:tr>
      <w:tr w:rsidR="00E478AF" w:rsidRPr="0097439B" w:rsidTr="0049256B">
        <w:tc>
          <w:tcPr>
            <w:tcW w:w="1354" w:type="pct"/>
            <w:tcBorders>
              <w:top w:val="single" w:sz="4" w:space="0" w:color="auto"/>
              <w:left w:val="single" w:sz="4" w:space="0" w:color="auto"/>
              <w:bottom w:val="single" w:sz="4" w:space="0" w:color="auto"/>
              <w:right w:val="single" w:sz="4" w:space="0" w:color="auto"/>
            </w:tcBorders>
          </w:tcPr>
          <w:p w:rsidR="009F365C" w:rsidRPr="0097439B" w:rsidRDefault="009F365C" w:rsidP="009F365C">
            <w:pPr>
              <w:rPr>
                <w:color w:val="000000" w:themeColor="text1"/>
              </w:rPr>
            </w:pPr>
            <w:r w:rsidRPr="0097439B">
              <w:rPr>
                <w:color w:val="000000" w:themeColor="text1"/>
              </w:rPr>
              <w:t>7. Cita informācija</w:t>
            </w:r>
          </w:p>
        </w:tc>
        <w:tc>
          <w:tcPr>
            <w:tcW w:w="3646" w:type="pct"/>
            <w:gridSpan w:val="5"/>
            <w:tcBorders>
              <w:top w:val="single" w:sz="4" w:space="0" w:color="auto"/>
              <w:left w:val="single" w:sz="4" w:space="0" w:color="auto"/>
              <w:bottom w:val="single" w:sz="4" w:space="0" w:color="auto"/>
              <w:right w:val="single" w:sz="4" w:space="0" w:color="auto"/>
            </w:tcBorders>
          </w:tcPr>
          <w:p w:rsidR="009F365C" w:rsidRDefault="00937766" w:rsidP="009F365C">
            <w:pPr>
              <w:jc w:val="both"/>
              <w:rPr>
                <w:color w:val="000000" w:themeColor="text1"/>
              </w:rPr>
            </w:pPr>
            <w:r w:rsidRPr="0097439B">
              <w:rPr>
                <w:color w:val="000000" w:themeColor="text1"/>
              </w:rPr>
              <w:t>Nav.</w:t>
            </w:r>
          </w:p>
          <w:p w:rsidR="009509B5" w:rsidRPr="0097439B" w:rsidRDefault="009509B5" w:rsidP="009F365C">
            <w:pPr>
              <w:jc w:val="both"/>
              <w:rPr>
                <w:color w:val="000000" w:themeColor="text1"/>
              </w:rPr>
            </w:pPr>
          </w:p>
        </w:tc>
      </w:tr>
    </w:tbl>
    <w:p w:rsidR="00FD2F15" w:rsidRDefault="00FD2F15" w:rsidP="0063338F">
      <w:pPr>
        <w:rPr>
          <w:color w:val="000000" w:themeColor="text1"/>
        </w:rPr>
      </w:pPr>
    </w:p>
    <w:p w:rsidR="009509B5" w:rsidRDefault="009509B5" w:rsidP="0063338F">
      <w:pPr>
        <w:rPr>
          <w:color w:val="000000" w:themeColor="text1"/>
        </w:rPr>
      </w:pPr>
    </w:p>
    <w:p w:rsidR="009509B5" w:rsidRDefault="009509B5" w:rsidP="0063338F">
      <w:pPr>
        <w:rPr>
          <w:color w:val="000000" w:themeColor="text1"/>
        </w:rPr>
      </w:pPr>
    </w:p>
    <w:p w:rsidR="009509B5" w:rsidRDefault="009509B5" w:rsidP="0063338F">
      <w:pPr>
        <w:rPr>
          <w:color w:val="000000" w:themeColor="text1"/>
        </w:rPr>
      </w:pPr>
    </w:p>
    <w:tbl>
      <w:tblPr>
        <w:tblStyle w:val="TableGrid"/>
        <w:tblW w:w="9351" w:type="dxa"/>
        <w:tblLook w:val="04A0" w:firstRow="1" w:lastRow="0" w:firstColumn="1" w:lastColumn="0" w:noHBand="0" w:noVBand="1"/>
      </w:tblPr>
      <w:tblGrid>
        <w:gridCol w:w="421"/>
        <w:gridCol w:w="2239"/>
        <w:gridCol w:w="6691"/>
      </w:tblGrid>
      <w:tr w:rsidR="00E478AF" w:rsidRPr="0097439B" w:rsidTr="004D60FD">
        <w:tc>
          <w:tcPr>
            <w:tcW w:w="9351" w:type="dxa"/>
            <w:gridSpan w:val="3"/>
            <w:vAlign w:val="center"/>
          </w:tcPr>
          <w:p w:rsidR="0063338F" w:rsidRDefault="0063338F" w:rsidP="004D60FD">
            <w:pPr>
              <w:jc w:val="center"/>
              <w:rPr>
                <w:rFonts w:ascii="Times New Roman" w:hAnsi="Times New Roman"/>
                <w:b/>
                <w:color w:val="000000" w:themeColor="text1"/>
              </w:rPr>
            </w:pPr>
            <w:r w:rsidRPr="0097439B">
              <w:rPr>
                <w:rFonts w:ascii="Times New Roman" w:hAnsi="Times New Roman"/>
                <w:b/>
                <w:color w:val="000000" w:themeColor="text1"/>
              </w:rPr>
              <w:t>IV. Tiesību akta projekta ietekme uz spēkā esošo tiesību normu sistēmu</w:t>
            </w:r>
          </w:p>
          <w:p w:rsidR="009509B5" w:rsidRPr="0097439B" w:rsidRDefault="009509B5" w:rsidP="004D60FD">
            <w:pPr>
              <w:jc w:val="center"/>
              <w:rPr>
                <w:rFonts w:ascii="Times New Roman" w:hAnsi="Times New Roman"/>
                <w:b/>
                <w:color w:val="000000" w:themeColor="text1"/>
              </w:rPr>
            </w:pPr>
          </w:p>
        </w:tc>
      </w:tr>
      <w:tr w:rsidR="00E478AF" w:rsidRPr="0097439B" w:rsidTr="00D91385">
        <w:tc>
          <w:tcPr>
            <w:tcW w:w="421" w:type="dxa"/>
          </w:tcPr>
          <w:p w:rsidR="0063338F" w:rsidRPr="0097439B" w:rsidRDefault="0063338F" w:rsidP="0063338F">
            <w:pPr>
              <w:rPr>
                <w:rFonts w:ascii="Times New Roman" w:hAnsi="Times New Roman"/>
                <w:color w:val="000000" w:themeColor="text1"/>
              </w:rPr>
            </w:pPr>
            <w:r w:rsidRPr="0097439B">
              <w:rPr>
                <w:rFonts w:ascii="Times New Roman" w:hAnsi="Times New Roman"/>
                <w:color w:val="000000" w:themeColor="text1"/>
              </w:rPr>
              <w:t>1.</w:t>
            </w:r>
          </w:p>
        </w:tc>
        <w:tc>
          <w:tcPr>
            <w:tcW w:w="2239" w:type="dxa"/>
          </w:tcPr>
          <w:p w:rsidR="0063338F" w:rsidRPr="0097439B" w:rsidRDefault="0063338F" w:rsidP="0063338F">
            <w:pPr>
              <w:rPr>
                <w:rFonts w:ascii="Times New Roman" w:hAnsi="Times New Roman"/>
                <w:color w:val="000000" w:themeColor="text1"/>
              </w:rPr>
            </w:pPr>
            <w:r w:rsidRPr="0097439B">
              <w:rPr>
                <w:rFonts w:ascii="Times New Roman" w:hAnsi="Times New Roman"/>
                <w:color w:val="000000" w:themeColor="text1"/>
              </w:rPr>
              <w:t>Nepieciešamie saistītie tiesību aktu projekti</w:t>
            </w:r>
          </w:p>
        </w:tc>
        <w:tc>
          <w:tcPr>
            <w:tcW w:w="6691" w:type="dxa"/>
          </w:tcPr>
          <w:p w:rsidR="004D60FD" w:rsidRPr="0097439B" w:rsidRDefault="004D60FD" w:rsidP="004D60FD">
            <w:pPr>
              <w:rPr>
                <w:rFonts w:ascii="Times New Roman" w:hAnsi="Times New Roman"/>
                <w:color w:val="000000" w:themeColor="text1"/>
              </w:rPr>
            </w:pPr>
            <w:r w:rsidRPr="0097439B">
              <w:rPr>
                <w:rFonts w:ascii="Times New Roman" w:hAnsi="Times New Roman"/>
                <w:color w:val="000000" w:themeColor="text1"/>
              </w:rPr>
              <w:t>Saistībā ar šo likumprojektu nepieciešams sagatavot likumprojektus grozījumiem:</w:t>
            </w:r>
          </w:p>
          <w:p w:rsidR="004D60FD" w:rsidRPr="0097439B" w:rsidRDefault="004D60FD" w:rsidP="00D3660C">
            <w:pPr>
              <w:pStyle w:val="ListParagraph"/>
              <w:numPr>
                <w:ilvl w:val="0"/>
                <w:numId w:val="37"/>
              </w:numPr>
              <w:spacing w:after="0" w:line="240" w:lineRule="auto"/>
              <w:rPr>
                <w:rFonts w:ascii="Times New Roman" w:hAnsi="Times New Roman"/>
                <w:color w:val="000000" w:themeColor="text1"/>
                <w:sz w:val="24"/>
                <w:szCs w:val="24"/>
                <w:lang w:val="lv-LV"/>
              </w:rPr>
            </w:pPr>
            <w:r w:rsidRPr="0097439B">
              <w:rPr>
                <w:rFonts w:ascii="Times New Roman" w:hAnsi="Times New Roman"/>
                <w:color w:val="000000" w:themeColor="text1"/>
                <w:sz w:val="24"/>
                <w:szCs w:val="24"/>
                <w:lang w:val="lv-LV"/>
              </w:rPr>
              <w:t>likumā “Par valsts sociālo apdrošināšanu</w:t>
            </w:r>
            <w:r w:rsidR="00416CEC" w:rsidRPr="0097439B">
              <w:rPr>
                <w:rFonts w:ascii="Times New Roman" w:hAnsi="Times New Roman"/>
                <w:color w:val="000000" w:themeColor="text1"/>
                <w:sz w:val="24"/>
                <w:szCs w:val="24"/>
                <w:lang w:val="lv-LV"/>
              </w:rPr>
              <w:t>”</w:t>
            </w:r>
            <w:r w:rsidRPr="0097439B">
              <w:rPr>
                <w:rFonts w:ascii="Times New Roman" w:hAnsi="Times New Roman"/>
                <w:color w:val="000000" w:themeColor="text1"/>
                <w:sz w:val="24"/>
                <w:szCs w:val="24"/>
                <w:lang w:val="lv-LV"/>
              </w:rPr>
              <w:t>;</w:t>
            </w:r>
          </w:p>
          <w:p w:rsidR="006859F1" w:rsidRPr="0097439B" w:rsidRDefault="004D60FD" w:rsidP="006859F1">
            <w:pPr>
              <w:pStyle w:val="ListParagraph"/>
              <w:numPr>
                <w:ilvl w:val="0"/>
                <w:numId w:val="37"/>
              </w:numPr>
              <w:spacing w:after="0" w:line="240" w:lineRule="auto"/>
              <w:rPr>
                <w:rFonts w:ascii="Times New Roman" w:hAnsi="Times New Roman"/>
                <w:color w:val="000000" w:themeColor="text1"/>
                <w:sz w:val="24"/>
                <w:szCs w:val="24"/>
                <w:lang w:val="lv-LV"/>
              </w:rPr>
            </w:pPr>
            <w:r w:rsidRPr="0097439B">
              <w:rPr>
                <w:rFonts w:ascii="Times New Roman" w:hAnsi="Times New Roman"/>
                <w:color w:val="000000" w:themeColor="text1"/>
                <w:sz w:val="24"/>
                <w:szCs w:val="24"/>
                <w:lang w:val="lv-LV"/>
              </w:rPr>
              <w:t>likumā “Par iedzīvotāju ienākuma nodokli</w:t>
            </w:r>
            <w:r w:rsidR="006859F1" w:rsidRPr="0097439B">
              <w:rPr>
                <w:rFonts w:ascii="Times New Roman" w:hAnsi="Times New Roman"/>
                <w:color w:val="000000" w:themeColor="text1"/>
                <w:sz w:val="24"/>
                <w:szCs w:val="24"/>
                <w:lang w:val="lv-LV"/>
              </w:rPr>
              <w:t>”.</w:t>
            </w:r>
          </w:p>
          <w:p w:rsidR="002A1691" w:rsidRPr="0097439B" w:rsidRDefault="006859F1" w:rsidP="009A28DB">
            <w:pPr>
              <w:jc w:val="both"/>
              <w:rPr>
                <w:rFonts w:ascii="Times New Roman" w:hAnsi="Times New Roman"/>
                <w:color w:val="000000" w:themeColor="text1"/>
              </w:rPr>
            </w:pPr>
            <w:r w:rsidRPr="0097439B">
              <w:rPr>
                <w:rFonts w:ascii="Times New Roman" w:hAnsi="Times New Roman"/>
                <w:color w:val="000000" w:themeColor="text1"/>
              </w:rPr>
              <w:lastRenderedPageBreak/>
              <w:t>Likumā “Par iedzīvotāju ienākuma nodokli” j</w:t>
            </w:r>
            <w:r w:rsidR="002A1691" w:rsidRPr="0097439B">
              <w:rPr>
                <w:rFonts w:ascii="Times New Roman" w:hAnsi="Times New Roman"/>
                <w:color w:val="000000" w:themeColor="text1"/>
              </w:rPr>
              <w:t>āparedz, ka</w:t>
            </w:r>
            <w:r w:rsidRPr="0097439B">
              <w:rPr>
                <w:rFonts w:ascii="Times New Roman" w:hAnsi="Times New Roman"/>
                <w:color w:val="000000" w:themeColor="text1"/>
              </w:rPr>
              <w:t xml:space="preserve">  </w:t>
            </w:r>
            <w:r w:rsidR="00C93C68" w:rsidRPr="0097439B">
              <w:rPr>
                <w:rFonts w:ascii="Times New Roman" w:hAnsi="Times New Roman"/>
                <w:color w:val="000000" w:themeColor="text1"/>
              </w:rPr>
              <w:t xml:space="preserve">solidaritātes nodokļa </w:t>
            </w:r>
            <w:r w:rsidRPr="0097439B">
              <w:rPr>
                <w:rFonts w:ascii="Times New Roman" w:hAnsi="Times New Roman"/>
                <w:color w:val="000000" w:themeColor="text1"/>
              </w:rPr>
              <w:t xml:space="preserve">daļa </w:t>
            </w:r>
            <w:r w:rsidR="00C93C68" w:rsidRPr="0097439B">
              <w:rPr>
                <w:rFonts w:ascii="Times New Roman" w:hAnsi="Times New Roman"/>
                <w:color w:val="000000" w:themeColor="text1"/>
              </w:rPr>
              <w:t>(10,5% apmērā)</w:t>
            </w:r>
            <w:r w:rsidRPr="0097439B">
              <w:rPr>
                <w:rFonts w:ascii="Times New Roman" w:hAnsi="Times New Roman"/>
                <w:color w:val="000000" w:themeColor="text1"/>
              </w:rPr>
              <w:t xml:space="preserve"> tiks ieskaitīta iedzīvotāju ienākuma nodokļa kontā un  to sadalīs atbilstoši vispārējam nodokļa sadalījumam</w:t>
            </w:r>
            <w:r w:rsidR="002A1691" w:rsidRPr="0097439B">
              <w:rPr>
                <w:rFonts w:ascii="Times New Roman" w:hAnsi="Times New Roman"/>
                <w:color w:val="000000" w:themeColor="text1"/>
              </w:rPr>
              <w:t xml:space="preserve"> (likuma 26.</w:t>
            </w:r>
            <w:r w:rsidRPr="0097439B">
              <w:rPr>
                <w:rFonts w:ascii="Times New Roman" w:hAnsi="Times New Roman"/>
                <w:color w:val="000000" w:themeColor="text1"/>
              </w:rPr>
              <w:t>pants). Likumā jāparedz, ka</w:t>
            </w:r>
            <w:r w:rsidR="002A1691" w:rsidRPr="0097439B">
              <w:rPr>
                <w:rFonts w:ascii="Times New Roman" w:hAnsi="Times New Roman"/>
                <w:color w:val="000000" w:themeColor="text1"/>
              </w:rPr>
              <w:t>,</w:t>
            </w:r>
            <w:r w:rsidRPr="0097439B">
              <w:rPr>
                <w:rFonts w:ascii="Times New Roman" w:hAnsi="Times New Roman"/>
                <w:color w:val="000000" w:themeColor="text1"/>
              </w:rPr>
              <w:t xml:space="preserve"> darba devējam aprēķinot ar iedzīvotāju ienākuma nodokli apliekamo ienākumu</w:t>
            </w:r>
            <w:r w:rsidR="002A1691" w:rsidRPr="0097439B">
              <w:rPr>
                <w:rFonts w:ascii="Times New Roman" w:hAnsi="Times New Roman"/>
                <w:color w:val="000000" w:themeColor="text1"/>
              </w:rPr>
              <w:t>, tas tiek samazināts par</w:t>
            </w:r>
            <w:r w:rsidRPr="0097439B">
              <w:rPr>
                <w:rFonts w:ascii="Times New Roman" w:hAnsi="Times New Roman"/>
                <w:color w:val="000000" w:themeColor="text1"/>
              </w:rPr>
              <w:t xml:space="preserve"> solidaritātes nodokļa darba ņēmēja daļ</w:t>
            </w:r>
            <w:r w:rsidR="002A1691" w:rsidRPr="0097439B">
              <w:rPr>
                <w:rFonts w:ascii="Times New Roman" w:hAnsi="Times New Roman"/>
                <w:color w:val="000000" w:themeColor="text1"/>
              </w:rPr>
              <w:t>u (līdzīgi kā par VSAOI darba ņēmēja daļu). Savukārt rezumējošā kārtībā aprēķinot iedzīvotāju ienākuma nodokli</w:t>
            </w:r>
            <w:r w:rsidRPr="0097439B">
              <w:rPr>
                <w:rFonts w:ascii="Times New Roman" w:hAnsi="Times New Roman"/>
                <w:color w:val="000000" w:themeColor="text1"/>
              </w:rPr>
              <w:t xml:space="preserve">, </w:t>
            </w:r>
            <w:r w:rsidR="002A1691" w:rsidRPr="0097439B">
              <w:rPr>
                <w:rFonts w:ascii="Times New Roman" w:hAnsi="Times New Roman"/>
                <w:color w:val="000000" w:themeColor="text1"/>
              </w:rPr>
              <w:t>apliekamais ienākums tiek palielināts par solidaritātes nodokļa daļu, kas ir tikusi pārskaitīta par personu kā IIN avansa maksājums.</w:t>
            </w:r>
          </w:p>
          <w:p w:rsidR="004D60FD" w:rsidRPr="0097439B" w:rsidRDefault="002A1691" w:rsidP="009A28DB">
            <w:pPr>
              <w:jc w:val="both"/>
              <w:rPr>
                <w:rFonts w:ascii="Times New Roman" w:hAnsi="Times New Roman"/>
                <w:color w:val="000000" w:themeColor="text1"/>
              </w:rPr>
            </w:pPr>
            <w:r w:rsidRPr="0097439B">
              <w:rPr>
                <w:rFonts w:ascii="Times New Roman" w:hAnsi="Times New Roman"/>
                <w:color w:val="000000" w:themeColor="text1"/>
              </w:rPr>
              <w:t xml:space="preserve"> </w:t>
            </w:r>
          </w:p>
          <w:p w:rsidR="0063338F" w:rsidRPr="0097439B" w:rsidRDefault="004D60FD" w:rsidP="00AC07DD">
            <w:pPr>
              <w:pStyle w:val="ListParagraph"/>
              <w:spacing w:after="0" w:line="240" w:lineRule="auto"/>
              <w:ind w:left="0"/>
              <w:jc w:val="both"/>
              <w:rPr>
                <w:rFonts w:ascii="Times New Roman" w:hAnsi="Times New Roman"/>
                <w:color w:val="000000" w:themeColor="text1"/>
                <w:sz w:val="24"/>
                <w:szCs w:val="24"/>
                <w:lang w:val="lv-LV"/>
              </w:rPr>
            </w:pPr>
            <w:r w:rsidRPr="0097439B">
              <w:rPr>
                <w:rFonts w:ascii="Times New Roman" w:hAnsi="Times New Roman"/>
                <w:color w:val="000000" w:themeColor="text1"/>
                <w:sz w:val="24"/>
                <w:szCs w:val="24"/>
                <w:lang w:val="lv-LV"/>
              </w:rPr>
              <w:t>Minētie likumprojekti virzāmi pieņemšanai vienotā paketē.</w:t>
            </w:r>
          </w:p>
          <w:p w:rsidR="0003135D" w:rsidRPr="0097439B" w:rsidRDefault="0003135D" w:rsidP="004D60FD">
            <w:pPr>
              <w:pStyle w:val="ListParagraph"/>
              <w:spacing w:after="0" w:line="240" w:lineRule="auto"/>
              <w:ind w:left="0"/>
              <w:rPr>
                <w:rFonts w:ascii="Times New Roman" w:hAnsi="Times New Roman"/>
                <w:color w:val="000000" w:themeColor="text1"/>
                <w:sz w:val="16"/>
                <w:szCs w:val="16"/>
                <w:lang w:val="lv-LV"/>
              </w:rPr>
            </w:pPr>
          </w:p>
          <w:p w:rsidR="00B5112F" w:rsidRPr="0097439B" w:rsidRDefault="00B5112F" w:rsidP="0041743E">
            <w:pPr>
              <w:pStyle w:val="ListParagraph"/>
              <w:spacing w:after="0" w:line="240" w:lineRule="auto"/>
              <w:ind w:left="0"/>
              <w:jc w:val="both"/>
              <w:rPr>
                <w:rFonts w:ascii="Times New Roman" w:hAnsi="Times New Roman"/>
                <w:color w:val="000000" w:themeColor="text1"/>
                <w:sz w:val="24"/>
                <w:szCs w:val="24"/>
                <w:lang w:val="lv-LV"/>
              </w:rPr>
            </w:pPr>
            <w:r w:rsidRPr="0097439B">
              <w:rPr>
                <w:rFonts w:ascii="Times New Roman" w:hAnsi="Times New Roman"/>
                <w:color w:val="000000" w:themeColor="text1"/>
                <w:sz w:val="24"/>
                <w:szCs w:val="24"/>
                <w:lang w:val="lv-LV"/>
              </w:rPr>
              <w:t>Lai nodrošinātu likuma izpildi būs nepieciešams veikt grozījumus šādos Ministru kabineta noteikumos:</w:t>
            </w:r>
          </w:p>
          <w:p w:rsidR="00B5112F" w:rsidRPr="0097439B" w:rsidRDefault="00B5112F" w:rsidP="00F27C8A">
            <w:pPr>
              <w:pStyle w:val="ListParagraph"/>
              <w:numPr>
                <w:ilvl w:val="0"/>
                <w:numId w:val="41"/>
              </w:numPr>
              <w:spacing w:after="0" w:line="240" w:lineRule="auto"/>
              <w:jc w:val="both"/>
              <w:rPr>
                <w:rFonts w:ascii="Times New Roman" w:hAnsi="Times New Roman"/>
                <w:color w:val="000000" w:themeColor="text1"/>
                <w:sz w:val="24"/>
                <w:szCs w:val="24"/>
                <w:lang w:val="lv-LV"/>
              </w:rPr>
            </w:pPr>
            <w:r w:rsidRPr="0097439B">
              <w:rPr>
                <w:rFonts w:ascii="Times New Roman" w:hAnsi="Times New Roman"/>
                <w:color w:val="000000" w:themeColor="text1"/>
                <w:sz w:val="24"/>
                <w:szCs w:val="24"/>
                <w:lang w:val="lv-LV"/>
              </w:rPr>
              <w:t>Ministru kabineta 2000.gada 2.maija noteikumos Nr.164 “Kārtība, kādā tiek aprēķinātas un atmaksātas pārmaksātās valsts sociālās apdrošināšanas iemaksas</w:t>
            </w:r>
            <w:r w:rsidR="00F27C8A" w:rsidRPr="0097439B">
              <w:rPr>
                <w:rFonts w:ascii="Times New Roman" w:hAnsi="Times New Roman"/>
                <w:color w:val="000000" w:themeColor="text1"/>
                <w:lang w:val="lv-LV"/>
              </w:rPr>
              <w:t xml:space="preserve"> </w:t>
            </w:r>
            <w:r w:rsidR="00F27C8A" w:rsidRPr="0097439B">
              <w:rPr>
                <w:rFonts w:ascii="Times New Roman" w:hAnsi="Times New Roman"/>
                <w:color w:val="000000" w:themeColor="text1"/>
                <w:sz w:val="24"/>
                <w:szCs w:val="24"/>
                <w:lang w:val="lv-LV"/>
              </w:rPr>
              <w:t>un aprēķināts un pārskaitīts solidaritātes nodoklis</w:t>
            </w:r>
            <w:r w:rsidRPr="0097439B">
              <w:rPr>
                <w:rFonts w:ascii="Times New Roman" w:hAnsi="Times New Roman"/>
                <w:color w:val="000000" w:themeColor="text1"/>
                <w:sz w:val="24"/>
                <w:szCs w:val="24"/>
                <w:lang w:val="lv-LV"/>
              </w:rPr>
              <w:t>”;</w:t>
            </w:r>
          </w:p>
          <w:p w:rsidR="00B5112F" w:rsidRPr="0097439B" w:rsidRDefault="00B5112F" w:rsidP="0041743E">
            <w:pPr>
              <w:pStyle w:val="ListParagraph"/>
              <w:numPr>
                <w:ilvl w:val="0"/>
                <w:numId w:val="41"/>
              </w:numPr>
              <w:spacing w:after="0" w:line="240" w:lineRule="auto"/>
              <w:jc w:val="both"/>
              <w:rPr>
                <w:rFonts w:ascii="Times New Roman" w:hAnsi="Times New Roman"/>
                <w:color w:val="000000" w:themeColor="text1"/>
                <w:sz w:val="24"/>
                <w:szCs w:val="24"/>
                <w:lang w:val="lv-LV"/>
              </w:rPr>
            </w:pPr>
            <w:r w:rsidRPr="0097439B">
              <w:rPr>
                <w:rFonts w:ascii="Times New Roman" w:hAnsi="Times New Roman"/>
                <w:color w:val="000000" w:themeColor="text1"/>
                <w:sz w:val="24"/>
                <w:szCs w:val="24"/>
                <w:lang w:val="lv-LV"/>
              </w:rPr>
              <w:t>Ministru kabineta 2010.gada 7.septembra noteikumos Nr.827 “Noteikumi par valsts sociālās apdrošināšanas obligāto iemaksu veicēju reģistrāciju un ziņojumiem par valsts sociālās apdrošināšanas obligātajām iemaksām un iedzīvotāju ienākuma nodokli”;</w:t>
            </w:r>
          </w:p>
          <w:p w:rsidR="006859F1" w:rsidRPr="0097439B" w:rsidRDefault="00B5112F" w:rsidP="00084065">
            <w:pPr>
              <w:pStyle w:val="ListParagraph"/>
              <w:numPr>
                <w:ilvl w:val="0"/>
                <w:numId w:val="41"/>
              </w:numPr>
              <w:spacing w:after="0" w:line="240" w:lineRule="auto"/>
              <w:jc w:val="both"/>
              <w:rPr>
                <w:rFonts w:ascii="Times New Roman" w:hAnsi="Times New Roman"/>
                <w:color w:val="000000" w:themeColor="text1"/>
                <w:sz w:val="24"/>
                <w:szCs w:val="24"/>
                <w:lang w:val="lv-LV"/>
              </w:rPr>
            </w:pPr>
            <w:r w:rsidRPr="0097439B">
              <w:rPr>
                <w:rFonts w:ascii="Times New Roman" w:hAnsi="Times New Roman"/>
                <w:color w:val="000000" w:themeColor="text1"/>
                <w:sz w:val="24"/>
                <w:szCs w:val="24"/>
                <w:lang w:val="lv-LV"/>
              </w:rPr>
              <w:t>Ministru kabineta 2010.gada 5.oktobra noteikumos Nr.951 “Kārtība, kādā Valsts ieņēmumu dienests sniedz Valsts sociālās apdrošināšanas aģentūrai ziņas par valsts sociālās apdrošināšanas obligātajām iemaksām”</w:t>
            </w:r>
            <w:r w:rsidR="00105754" w:rsidRPr="0097439B">
              <w:rPr>
                <w:rFonts w:ascii="Times New Roman" w:hAnsi="Times New Roman"/>
                <w:color w:val="000000" w:themeColor="text1"/>
                <w:sz w:val="24"/>
                <w:szCs w:val="24"/>
                <w:lang w:val="lv-LV"/>
              </w:rPr>
              <w:t>;</w:t>
            </w:r>
          </w:p>
          <w:p w:rsidR="004D60FD" w:rsidRPr="0097439B" w:rsidRDefault="006859F1" w:rsidP="009A28DB">
            <w:pPr>
              <w:pStyle w:val="ListParagraph"/>
              <w:numPr>
                <w:ilvl w:val="0"/>
                <w:numId w:val="41"/>
              </w:numPr>
              <w:spacing w:after="0" w:line="240" w:lineRule="auto"/>
              <w:jc w:val="both"/>
              <w:rPr>
                <w:rFonts w:ascii="Times New Roman" w:hAnsi="Times New Roman"/>
                <w:color w:val="000000" w:themeColor="text1"/>
                <w:sz w:val="24"/>
                <w:szCs w:val="24"/>
                <w:lang w:val="lv-LV"/>
              </w:rPr>
            </w:pPr>
            <w:r w:rsidRPr="0097439B">
              <w:rPr>
                <w:rFonts w:ascii="Times New Roman" w:hAnsi="Times New Roman"/>
                <w:color w:val="000000" w:themeColor="text1"/>
                <w:sz w:val="24"/>
                <w:szCs w:val="24"/>
                <w:lang w:val="lv-LV"/>
              </w:rPr>
              <w:t xml:space="preserve">Ministru kabineta </w:t>
            </w:r>
            <w:r w:rsidR="002A1691" w:rsidRPr="0097439B">
              <w:rPr>
                <w:rFonts w:ascii="Times New Roman" w:hAnsi="Times New Roman"/>
                <w:sz w:val="24"/>
                <w:szCs w:val="24"/>
                <w:lang w:val="lv-LV"/>
              </w:rPr>
              <w:t>2014.gada 16.decembra</w:t>
            </w:r>
            <w:r w:rsidRPr="0097439B">
              <w:rPr>
                <w:rFonts w:ascii="Times New Roman" w:hAnsi="Times New Roman"/>
                <w:color w:val="000000" w:themeColor="text1"/>
                <w:sz w:val="24"/>
                <w:szCs w:val="24"/>
                <w:lang w:val="lv-LV"/>
              </w:rPr>
              <w:t xml:space="preserve"> noteikumos Nr.</w:t>
            </w:r>
            <w:r w:rsidR="002A1691" w:rsidRPr="0097439B">
              <w:rPr>
                <w:rFonts w:ascii="Times New Roman" w:hAnsi="Times New Roman"/>
                <w:color w:val="000000" w:themeColor="text1"/>
                <w:sz w:val="24"/>
                <w:szCs w:val="24"/>
                <w:lang w:val="lv-LV"/>
              </w:rPr>
              <w:t>785</w:t>
            </w:r>
            <w:r w:rsidRPr="0097439B">
              <w:rPr>
                <w:rFonts w:ascii="Times New Roman" w:hAnsi="Times New Roman"/>
                <w:color w:val="000000" w:themeColor="text1"/>
                <w:sz w:val="24"/>
                <w:szCs w:val="24"/>
                <w:lang w:val="lv-LV"/>
              </w:rPr>
              <w:t xml:space="preserve"> “</w:t>
            </w:r>
            <w:r w:rsidR="002A1691" w:rsidRPr="0097439B">
              <w:rPr>
                <w:rFonts w:ascii="Times New Roman" w:hAnsi="Times New Roman"/>
                <w:sz w:val="24"/>
                <w:szCs w:val="24"/>
                <w:lang w:val="lv-LV"/>
              </w:rPr>
              <w:t>Kārtība, kādā iedzīvotāju ienākuma nodokli, ar nodokli saistīto nokavējuma naudu un soda naudu ieskaita budžetā</w:t>
            </w:r>
            <w:r w:rsidRPr="0097439B">
              <w:rPr>
                <w:rFonts w:ascii="Times New Roman" w:hAnsi="Times New Roman"/>
                <w:color w:val="000000" w:themeColor="text1"/>
                <w:sz w:val="24"/>
                <w:szCs w:val="24"/>
                <w:lang w:val="lv-LV"/>
              </w:rPr>
              <w:t>”</w:t>
            </w:r>
          </w:p>
        </w:tc>
      </w:tr>
      <w:tr w:rsidR="00E478AF" w:rsidRPr="0097439B" w:rsidTr="00D91385">
        <w:tc>
          <w:tcPr>
            <w:tcW w:w="421" w:type="dxa"/>
          </w:tcPr>
          <w:p w:rsidR="009509B5" w:rsidRDefault="009509B5" w:rsidP="0063338F">
            <w:pPr>
              <w:rPr>
                <w:rFonts w:ascii="Times New Roman" w:hAnsi="Times New Roman"/>
                <w:color w:val="000000" w:themeColor="text1"/>
              </w:rPr>
            </w:pPr>
          </w:p>
          <w:p w:rsidR="0063338F" w:rsidRPr="0097439B" w:rsidRDefault="0063338F" w:rsidP="0063338F">
            <w:pPr>
              <w:rPr>
                <w:rFonts w:ascii="Times New Roman" w:hAnsi="Times New Roman"/>
                <w:color w:val="000000" w:themeColor="text1"/>
              </w:rPr>
            </w:pPr>
            <w:r w:rsidRPr="0097439B">
              <w:rPr>
                <w:rFonts w:ascii="Times New Roman" w:hAnsi="Times New Roman"/>
                <w:color w:val="000000" w:themeColor="text1"/>
              </w:rPr>
              <w:t>2.</w:t>
            </w:r>
          </w:p>
        </w:tc>
        <w:tc>
          <w:tcPr>
            <w:tcW w:w="2239" w:type="dxa"/>
          </w:tcPr>
          <w:p w:rsidR="009509B5" w:rsidRDefault="009509B5" w:rsidP="0063338F">
            <w:pPr>
              <w:rPr>
                <w:rFonts w:ascii="Times New Roman" w:hAnsi="Times New Roman"/>
                <w:color w:val="000000" w:themeColor="text1"/>
              </w:rPr>
            </w:pPr>
          </w:p>
          <w:p w:rsidR="0063338F" w:rsidRPr="0097439B" w:rsidRDefault="0063338F" w:rsidP="0063338F">
            <w:pPr>
              <w:rPr>
                <w:rFonts w:ascii="Times New Roman" w:hAnsi="Times New Roman"/>
                <w:color w:val="000000" w:themeColor="text1"/>
              </w:rPr>
            </w:pPr>
            <w:r w:rsidRPr="0097439B">
              <w:rPr>
                <w:rFonts w:ascii="Times New Roman" w:hAnsi="Times New Roman"/>
                <w:color w:val="000000" w:themeColor="text1"/>
              </w:rPr>
              <w:t>Atbildīgā institūcija</w:t>
            </w:r>
          </w:p>
        </w:tc>
        <w:tc>
          <w:tcPr>
            <w:tcW w:w="6691" w:type="dxa"/>
          </w:tcPr>
          <w:p w:rsidR="009509B5" w:rsidRDefault="009509B5" w:rsidP="00D949F4">
            <w:pPr>
              <w:jc w:val="both"/>
              <w:rPr>
                <w:rFonts w:ascii="Times New Roman" w:hAnsi="Times New Roman"/>
                <w:color w:val="000000" w:themeColor="text1"/>
                <w:spacing w:val="-2"/>
              </w:rPr>
            </w:pPr>
          </w:p>
          <w:p w:rsidR="0063338F" w:rsidRPr="0097439B" w:rsidRDefault="00416CEC" w:rsidP="00D949F4">
            <w:pPr>
              <w:jc w:val="both"/>
              <w:rPr>
                <w:rFonts w:ascii="Times New Roman" w:hAnsi="Times New Roman"/>
                <w:color w:val="000000" w:themeColor="text1"/>
              </w:rPr>
            </w:pPr>
            <w:r w:rsidRPr="0097439B">
              <w:rPr>
                <w:rFonts w:ascii="Times New Roman" w:hAnsi="Times New Roman"/>
                <w:color w:val="000000" w:themeColor="text1"/>
                <w:spacing w:val="-2"/>
              </w:rPr>
              <w:t>Finanšu ministrija ir atbildīga par likumprojekt</w:t>
            </w:r>
            <w:r w:rsidR="00885504" w:rsidRPr="0097439B">
              <w:rPr>
                <w:rFonts w:ascii="Times New Roman" w:hAnsi="Times New Roman"/>
                <w:color w:val="000000" w:themeColor="text1"/>
                <w:spacing w:val="-2"/>
              </w:rPr>
              <w:t>a</w:t>
            </w:r>
            <w:r w:rsidRPr="0097439B">
              <w:rPr>
                <w:rFonts w:ascii="Times New Roman" w:hAnsi="Times New Roman"/>
                <w:color w:val="000000" w:themeColor="text1"/>
                <w:spacing w:val="-2"/>
              </w:rPr>
              <w:t xml:space="preserve"> “Grozījumi likumā “Par iedzīvotāju ienākuma nodokli”</w:t>
            </w:r>
            <w:r w:rsidR="002A1691" w:rsidRPr="0097439B">
              <w:rPr>
                <w:rFonts w:ascii="Times New Roman" w:hAnsi="Times New Roman"/>
                <w:color w:val="000000" w:themeColor="text1"/>
                <w:spacing w:val="-2"/>
              </w:rPr>
              <w:t>”</w:t>
            </w:r>
            <w:r w:rsidR="004D1CE0" w:rsidRPr="0097439B">
              <w:rPr>
                <w:rFonts w:ascii="Times New Roman" w:hAnsi="Times New Roman"/>
                <w:color w:val="000000" w:themeColor="text1"/>
                <w:spacing w:val="-2"/>
              </w:rPr>
              <w:t xml:space="preserve"> izstrādi</w:t>
            </w:r>
            <w:r w:rsidR="00F25CEE" w:rsidRPr="0097439B">
              <w:rPr>
                <w:rFonts w:ascii="Times New Roman" w:hAnsi="Times New Roman"/>
                <w:color w:val="000000" w:themeColor="text1"/>
                <w:spacing w:val="-2"/>
              </w:rPr>
              <w:t xml:space="preserve"> un grozījumu izstrādi </w:t>
            </w:r>
            <w:r w:rsidR="00F25CEE" w:rsidRPr="0097439B">
              <w:rPr>
                <w:rFonts w:ascii="Times New Roman" w:hAnsi="Times New Roman"/>
                <w:color w:val="000000" w:themeColor="text1"/>
              </w:rPr>
              <w:t xml:space="preserve">Ministru kabineta </w:t>
            </w:r>
            <w:r w:rsidR="00F25CEE" w:rsidRPr="0097439B">
              <w:rPr>
                <w:rFonts w:ascii="Times New Roman" w:hAnsi="Times New Roman"/>
              </w:rPr>
              <w:t>2014.gada 16.decembra</w:t>
            </w:r>
            <w:r w:rsidR="00F25CEE" w:rsidRPr="0097439B">
              <w:rPr>
                <w:rFonts w:ascii="Times New Roman" w:hAnsi="Times New Roman"/>
                <w:color w:val="000000" w:themeColor="text1"/>
              </w:rPr>
              <w:t xml:space="preserve"> noteikumos Nr.785 “</w:t>
            </w:r>
            <w:r w:rsidR="00F25CEE" w:rsidRPr="0097439B">
              <w:rPr>
                <w:rFonts w:ascii="Times New Roman" w:hAnsi="Times New Roman"/>
              </w:rPr>
              <w:t>Kārtība, kādā iedzīvotāju ienākuma nodokli, ar nodokli saistīto nokavējuma naudu un soda naudu ieskaita budžetā</w:t>
            </w:r>
            <w:r w:rsidR="00F25CEE" w:rsidRPr="0097439B">
              <w:rPr>
                <w:rFonts w:ascii="Times New Roman" w:hAnsi="Times New Roman"/>
                <w:color w:val="000000" w:themeColor="text1"/>
              </w:rPr>
              <w:t>”.</w:t>
            </w:r>
          </w:p>
          <w:p w:rsidR="00332C59" w:rsidRPr="0097439B" w:rsidRDefault="00332C59" w:rsidP="0063338F">
            <w:pPr>
              <w:rPr>
                <w:rFonts w:ascii="Times New Roman" w:hAnsi="Times New Roman"/>
                <w:color w:val="000000" w:themeColor="text1"/>
                <w:sz w:val="16"/>
                <w:szCs w:val="16"/>
              </w:rPr>
            </w:pPr>
          </w:p>
          <w:p w:rsidR="00416CEC" w:rsidRPr="0097439B" w:rsidRDefault="00416CEC" w:rsidP="00105754">
            <w:pPr>
              <w:rPr>
                <w:rFonts w:ascii="Times New Roman" w:hAnsi="Times New Roman"/>
                <w:color w:val="000000" w:themeColor="text1"/>
              </w:rPr>
            </w:pPr>
            <w:r w:rsidRPr="0097439B">
              <w:rPr>
                <w:rFonts w:ascii="Times New Roman" w:hAnsi="Times New Roman"/>
                <w:color w:val="000000" w:themeColor="text1"/>
              </w:rPr>
              <w:t xml:space="preserve">Labklājības ministrija ir atbildīga par likumprojekta “Grozījumi likumā “Par valsts sociālo apdrošināšanu”” un </w:t>
            </w:r>
            <w:r w:rsidR="00F27C8A" w:rsidRPr="0097439B">
              <w:rPr>
                <w:rFonts w:ascii="Times New Roman" w:hAnsi="Times New Roman"/>
                <w:color w:val="000000" w:themeColor="text1"/>
              </w:rPr>
              <w:t xml:space="preserve">šīs sadaļas 1.punktā minēto </w:t>
            </w:r>
            <w:r w:rsidR="00F25CEE" w:rsidRPr="0097439B">
              <w:rPr>
                <w:rFonts w:ascii="Times New Roman" w:hAnsi="Times New Roman"/>
                <w:color w:val="000000" w:themeColor="text1"/>
              </w:rPr>
              <w:t xml:space="preserve">pirmo trīs </w:t>
            </w:r>
            <w:r w:rsidRPr="0097439B">
              <w:rPr>
                <w:rFonts w:ascii="Times New Roman" w:hAnsi="Times New Roman"/>
                <w:color w:val="000000" w:themeColor="text1"/>
              </w:rPr>
              <w:t>Ministru kabineta noteikumu projektu izstrādi.</w:t>
            </w:r>
          </w:p>
        </w:tc>
      </w:tr>
      <w:tr w:rsidR="0041743E" w:rsidRPr="0097439B" w:rsidTr="00D91385">
        <w:tc>
          <w:tcPr>
            <w:tcW w:w="421" w:type="dxa"/>
          </w:tcPr>
          <w:p w:rsidR="0063338F" w:rsidRPr="0097439B" w:rsidRDefault="0063338F" w:rsidP="0063338F">
            <w:pPr>
              <w:rPr>
                <w:rFonts w:ascii="Times New Roman" w:hAnsi="Times New Roman"/>
                <w:color w:val="000000" w:themeColor="text1"/>
              </w:rPr>
            </w:pPr>
            <w:r w:rsidRPr="0097439B">
              <w:rPr>
                <w:rFonts w:ascii="Times New Roman" w:hAnsi="Times New Roman"/>
                <w:color w:val="000000" w:themeColor="text1"/>
              </w:rPr>
              <w:t>3.</w:t>
            </w:r>
          </w:p>
        </w:tc>
        <w:tc>
          <w:tcPr>
            <w:tcW w:w="2239" w:type="dxa"/>
          </w:tcPr>
          <w:p w:rsidR="0063338F" w:rsidRPr="0097439B" w:rsidRDefault="0063338F" w:rsidP="0063338F">
            <w:pPr>
              <w:rPr>
                <w:rFonts w:ascii="Times New Roman" w:hAnsi="Times New Roman"/>
                <w:color w:val="000000" w:themeColor="text1"/>
              </w:rPr>
            </w:pPr>
            <w:r w:rsidRPr="0097439B">
              <w:rPr>
                <w:rFonts w:ascii="Times New Roman" w:hAnsi="Times New Roman"/>
                <w:color w:val="000000" w:themeColor="text1"/>
              </w:rPr>
              <w:t>Cita informācija</w:t>
            </w:r>
          </w:p>
        </w:tc>
        <w:tc>
          <w:tcPr>
            <w:tcW w:w="6691" w:type="dxa"/>
          </w:tcPr>
          <w:p w:rsidR="0063338F" w:rsidRDefault="0063338F" w:rsidP="0063338F">
            <w:pPr>
              <w:rPr>
                <w:rFonts w:ascii="Times New Roman" w:hAnsi="Times New Roman"/>
                <w:color w:val="000000" w:themeColor="text1"/>
              </w:rPr>
            </w:pPr>
            <w:r w:rsidRPr="0097439B">
              <w:rPr>
                <w:rFonts w:ascii="Times New Roman" w:hAnsi="Times New Roman"/>
                <w:color w:val="000000" w:themeColor="text1"/>
              </w:rPr>
              <w:t>Nav.</w:t>
            </w:r>
          </w:p>
          <w:p w:rsidR="009509B5" w:rsidRPr="0097439B" w:rsidRDefault="009509B5" w:rsidP="0063338F">
            <w:pPr>
              <w:rPr>
                <w:rFonts w:ascii="Times New Roman" w:hAnsi="Times New Roman"/>
                <w:color w:val="000000" w:themeColor="text1"/>
              </w:rPr>
            </w:pPr>
          </w:p>
        </w:tc>
      </w:tr>
    </w:tbl>
    <w:p w:rsidR="0063338F" w:rsidRDefault="0063338F" w:rsidP="0063338F">
      <w:pPr>
        <w:rPr>
          <w:color w:val="000000" w:themeColor="text1"/>
        </w:rPr>
      </w:pPr>
    </w:p>
    <w:p w:rsidR="009509B5" w:rsidRPr="0097439B" w:rsidRDefault="009509B5" w:rsidP="0063338F">
      <w:pPr>
        <w:rPr>
          <w:color w:val="000000" w:themeColor="text1"/>
        </w:rPr>
      </w:pPr>
    </w:p>
    <w:tbl>
      <w:tblPr>
        <w:tblStyle w:val="TableGrid"/>
        <w:tblW w:w="9351" w:type="dxa"/>
        <w:tblLook w:val="04A0" w:firstRow="1" w:lastRow="0" w:firstColumn="1" w:lastColumn="0" w:noHBand="0" w:noVBand="1"/>
      </w:tblPr>
      <w:tblGrid>
        <w:gridCol w:w="9351"/>
      </w:tblGrid>
      <w:tr w:rsidR="00E478AF" w:rsidRPr="0097439B" w:rsidTr="00D3660C">
        <w:tc>
          <w:tcPr>
            <w:tcW w:w="9351" w:type="dxa"/>
            <w:vAlign w:val="center"/>
          </w:tcPr>
          <w:p w:rsidR="0063338F" w:rsidRPr="0097439B" w:rsidRDefault="0063338F" w:rsidP="00D3660C">
            <w:pPr>
              <w:jc w:val="center"/>
              <w:rPr>
                <w:rFonts w:ascii="Times New Roman" w:hAnsi="Times New Roman"/>
                <w:b/>
                <w:color w:val="000000" w:themeColor="text1"/>
              </w:rPr>
            </w:pPr>
            <w:r w:rsidRPr="0097439B">
              <w:rPr>
                <w:rFonts w:ascii="Times New Roman" w:hAnsi="Times New Roman"/>
                <w:b/>
                <w:color w:val="000000" w:themeColor="text1"/>
              </w:rPr>
              <w:t>V. Tiesību akta projekta atbilstība ES tiesību aktiem</w:t>
            </w:r>
          </w:p>
        </w:tc>
      </w:tr>
      <w:tr w:rsidR="0063338F" w:rsidRPr="0097439B" w:rsidTr="00D3660C">
        <w:tc>
          <w:tcPr>
            <w:tcW w:w="9351" w:type="dxa"/>
            <w:vAlign w:val="center"/>
          </w:tcPr>
          <w:p w:rsidR="0063338F" w:rsidRPr="0097439B" w:rsidRDefault="0063338F" w:rsidP="00D3660C">
            <w:pPr>
              <w:jc w:val="center"/>
              <w:rPr>
                <w:rFonts w:ascii="Times New Roman" w:hAnsi="Times New Roman"/>
                <w:color w:val="000000" w:themeColor="text1"/>
              </w:rPr>
            </w:pPr>
            <w:r w:rsidRPr="0097439B">
              <w:rPr>
                <w:rFonts w:ascii="Times New Roman" w:hAnsi="Times New Roman"/>
                <w:color w:val="000000" w:themeColor="text1"/>
              </w:rPr>
              <w:t>Projekts šo jomu neskar.</w:t>
            </w:r>
          </w:p>
        </w:tc>
      </w:tr>
    </w:tbl>
    <w:p w:rsidR="0063338F" w:rsidRDefault="0063338F" w:rsidP="002431AC">
      <w:pPr>
        <w:rPr>
          <w:color w:val="000000" w:themeColor="text1"/>
        </w:rPr>
      </w:pPr>
    </w:p>
    <w:p w:rsidR="009509B5" w:rsidRPr="0097439B" w:rsidRDefault="009509B5" w:rsidP="002431AC">
      <w:pPr>
        <w:rPr>
          <w:color w:val="000000" w:themeColor="text1"/>
        </w:rPr>
      </w:pPr>
    </w:p>
    <w:tbl>
      <w:tblPr>
        <w:tblStyle w:val="TableGrid"/>
        <w:tblW w:w="9351" w:type="dxa"/>
        <w:tblLook w:val="04A0" w:firstRow="1" w:lastRow="0" w:firstColumn="1" w:lastColumn="0" w:noHBand="0" w:noVBand="1"/>
      </w:tblPr>
      <w:tblGrid>
        <w:gridCol w:w="421"/>
        <w:gridCol w:w="2806"/>
        <w:gridCol w:w="6124"/>
      </w:tblGrid>
      <w:tr w:rsidR="00E478AF" w:rsidRPr="0097439B" w:rsidTr="00D3660C">
        <w:tc>
          <w:tcPr>
            <w:tcW w:w="9351" w:type="dxa"/>
            <w:gridSpan w:val="3"/>
            <w:vAlign w:val="center"/>
          </w:tcPr>
          <w:p w:rsidR="00003DF3" w:rsidRPr="0097439B" w:rsidRDefault="00003DF3" w:rsidP="00D3660C">
            <w:pPr>
              <w:spacing w:before="100" w:beforeAutospacing="1" w:after="100" w:afterAutospacing="1"/>
              <w:jc w:val="center"/>
              <w:rPr>
                <w:rFonts w:ascii="Times New Roman" w:hAnsi="Times New Roman"/>
                <w:b/>
                <w:color w:val="000000" w:themeColor="text1"/>
              </w:rPr>
            </w:pPr>
            <w:r w:rsidRPr="0097439B">
              <w:rPr>
                <w:rFonts w:ascii="Times New Roman" w:hAnsi="Times New Roman"/>
                <w:b/>
                <w:color w:val="000000" w:themeColor="text1"/>
              </w:rPr>
              <w:t>VI. Sabiedrības līdzdalība un komunikācijas aktivitātes</w:t>
            </w:r>
          </w:p>
        </w:tc>
      </w:tr>
      <w:tr w:rsidR="00E478AF" w:rsidRPr="0097439B" w:rsidTr="006627CB">
        <w:tc>
          <w:tcPr>
            <w:tcW w:w="421" w:type="dxa"/>
          </w:tcPr>
          <w:p w:rsidR="00003DF3" w:rsidRPr="0097439B" w:rsidRDefault="00003DF3" w:rsidP="002431AC">
            <w:pPr>
              <w:rPr>
                <w:rFonts w:ascii="Times New Roman" w:hAnsi="Times New Roman"/>
                <w:color w:val="000000" w:themeColor="text1"/>
              </w:rPr>
            </w:pPr>
            <w:r w:rsidRPr="0097439B">
              <w:rPr>
                <w:rFonts w:ascii="Times New Roman" w:hAnsi="Times New Roman"/>
                <w:color w:val="000000" w:themeColor="text1"/>
              </w:rPr>
              <w:t>1.</w:t>
            </w:r>
          </w:p>
        </w:tc>
        <w:tc>
          <w:tcPr>
            <w:tcW w:w="2806" w:type="dxa"/>
          </w:tcPr>
          <w:p w:rsidR="00003DF3" w:rsidRPr="0097439B" w:rsidRDefault="00003DF3" w:rsidP="002431AC">
            <w:pPr>
              <w:rPr>
                <w:rFonts w:ascii="Times New Roman" w:hAnsi="Times New Roman"/>
                <w:color w:val="000000" w:themeColor="text1"/>
              </w:rPr>
            </w:pPr>
            <w:r w:rsidRPr="0097439B">
              <w:rPr>
                <w:rFonts w:ascii="Times New Roman" w:hAnsi="Times New Roman"/>
                <w:color w:val="000000" w:themeColor="text1"/>
              </w:rPr>
              <w:t xml:space="preserve">Plānotās sabiedrības līdzdalības un </w:t>
            </w:r>
            <w:r w:rsidRPr="0097439B">
              <w:rPr>
                <w:rFonts w:ascii="Times New Roman" w:hAnsi="Times New Roman"/>
                <w:color w:val="000000" w:themeColor="text1"/>
              </w:rPr>
              <w:lastRenderedPageBreak/>
              <w:t>komunikācijas aktivitātes saistībā ar projektu</w:t>
            </w:r>
          </w:p>
        </w:tc>
        <w:tc>
          <w:tcPr>
            <w:tcW w:w="6124" w:type="dxa"/>
          </w:tcPr>
          <w:p w:rsidR="00003DF3" w:rsidRPr="0097439B" w:rsidRDefault="00432DDE">
            <w:pPr>
              <w:jc w:val="both"/>
              <w:rPr>
                <w:rFonts w:ascii="Times New Roman" w:hAnsi="Times New Roman"/>
                <w:color w:val="000000" w:themeColor="text1"/>
              </w:rPr>
            </w:pPr>
            <w:r w:rsidRPr="0097439B">
              <w:rPr>
                <w:rFonts w:ascii="Times New Roman" w:hAnsi="Times New Roman"/>
                <w:color w:val="000000" w:themeColor="text1"/>
              </w:rPr>
              <w:lastRenderedPageBreak/>
              <w:t>S</w:t>
            </w:r>
            <w:r w:rsidR="003069A3" w:rsidRPr="0097439B">
              <w:rPr>
                <w:rFonts w:ascii="Times New Roman" w:hAnsi="Times New Roman"/>
                <w:color w:val="000000" w:themeColor="text1"/>
              </w:rPr>
              <w:t xml:space="preserve">olidaritātes </w:t>
            </w:r>
            <w:r w:rsidRPr="0097439B">
              <w:rPr>
                <w:rFonts w:ascii="Times New Roman" w:hAnsi="Times New Roman"/>
                <w:color w:val="000000" w:themeColor="text1"/>
              </w:rPr>
              <w:t xml:space="preserve">nodokļa </w:t>
            </w:r>
            <w:r w:rsidR="00423BBE" w:rsidRPr="0097439B">
              <w:rPr>
                <w:rFonts w:ascii="Times New Roman" w:hAnsi="Times New Roman"/>
                <w:color w:val="000000" w:themeColor="text1"/>
              </w:rPr>
              <w:t xml:space="preserve">transformēšana darbaspēka nodokļu </w:t>
            </w:r>
            <w:r w:rsidR="00423BBE" w:rsidRPr="0097439B">
              <w:rPr>
                <w:rFonts w:ascii="Times New Roman" w:hAnsi="Times New Roman"/>
                <w:color w:val="000000" w:themeColor="text1"/>
                <w:spacing w:val="-2"/>
              </w:rPr>
              <w:t xml:space="preserve">sistēmas </w:t>
            </w:r>
            <w:r w:rsidR="00423BBE" w:rsidRPr="0097439B">
              <w:rPr>
                <w:rFonts w:ascii="Times New Roman" w:hAnsi="Times New Roman"/>
                <w:color w:val="000000" w:themeColor="text1"/>
              </w:rPr>
              <w:t xml:space="preserve">reformēšanas kontekstā, pārvirzot tā ieņēmumus vairākiem mērķiem (veselības aprūpes finansēšanai, fondēto </w:t>
            </w:r>
            <w:r w:rsidR="00423BBE" w:rsidRPr="0097439B">
              <w:rPr>
                <w:rFonts w:ascii="Times New Roman" w:hAnsi="Times New Roman"/>
                <w:color w:val="000000" w:themeColor="text1"/>
              </w:rPr>
              <w:lastRenderedPageBreak/>
              <w:t>pensiju shēmā vai privātajā pensiju fondā, pašvaldību budžetos un valsts pamatbudžeta ieņēmumos), apspriesta Nacionālās trīspusējas sadarbības padomes 2017.gada 29.jūnija sēdē</w:t>
            </w:r>
            <w:r w:rsidR="00F25CEE" w:rsidRPr="0097439B">
              <w:rPr>
                <w:rFonts w:ascii="Times New Roman" w:hAnsi="Times New Roman"/>
                <w:color w:val="000000" w:themeColor="text1"/>
              </w:rPr>
              <w:t>, saistībā ar iedzīvotāju ienākuma nodokļa trešā līmeņa progresivitātes ieviešanu</w:t>
            </w:r>
            <w:r w:rsidR="00423BBE" w:rsidRPr="0097439B">
              <w:rPr>
                <w:rFonts w:ascii="Times New Roman" w:hAnsi="Times New Roman"/>
                <w:color w:val="000000" w:themeColor="text1"/>
              </w:rPr>
              <w:t>. Pirms tam valsts nodokļu politikas pamatnostādņu izstrādes procesā</w:t>
            </w:r>
            <w:r w:rsidR="00423BBE" w:rsidRPr="0097439B" w:rsidDel="00124784">
              <w:rPr>
                <w:rFonts w:ascii="Times New Roman" w:hAnsi="Times New Roman"/>
                <w:color w:val="000000" w:themeColor="text1"/>
              </w:rPr>
              <w:t xml:space="preserve"> </w:t>
            </w:r>
            <w:r w:rsidR="00423BBE" w:rsidRPr="0097439B">
              <w:rPr>
                <w:rFonts w:ascii="Times New Roman" w:hAnsi="Times New Roman"/>
                <w:color w:val="000000" w:themeColor="text1"/>
              </w:rPr>
              <w:t xml:space="preserve">ar valdības sociālajiem partneriem un citām nevalstiskajām organizācijām diskutēts scenārijs, kas paredzēja solidaritātes nodokļa atcelšanu. Informācija par darbaspēka nodokļu </w:t>
            </w:r>
            <w:r w:rsidR="00423BBE" w:rsidRPr="0097439B">
              <w:rPr>
                <w:rFonts w:ascii="Times New Roman" w:hAnsi="Times New Roman"/>
                <w:color w:val="000000" w:themeColor="text1"/>
                <w:spacing w:val="-2"/>
              </w:rPr>
              <w:t xml:space="preserve">sistēmas </w:t>
            </w:r>
            <w:r w:rsidR="00423BBE" w:rsidRPr="0097439B">
              <w:rPr>
                <w:rFonts w:ascii="Times New Roman" w:hAnsi="Times New Roman"/>
                <w:color w:val="000000" w:themeColor="text1"/>
              </w:rPr>
              <w:t xml:space="preserve">reformēšanas scenārijiem (arī attiecībā uz solidaritātes nodokli) </w:t>
            </w:r>
            <w:r w:rsidR="00AB3A6F" w:rsidRPr="0097439B">
              <w:rPr>
                <w:rFonts w:ascii="Times New Roman" w:hAnsi="Times New Roman"/>
                <w:color w:val="000000" w:themeColor="text1"/>
              </w:rPr>
              <w:t xml:space="preserve">ir plaši atspoguļota un diskutēta </w:t>
            </w:r>
            <w:r w:rsidR="008929F5" w:rsidRPr="0097439B">
              <w:rPr>
                <w:rFonts w:ascii="Times New Roman" w:hAnsi="Times New Roman"/>
                <w:color w:val="000000" w:themeColor="text1"/>
              </w:rPr>
              <w:t>masu mēdi</w:t>
            </w:r>
            <w:r w:rsidR="00AB3A6F" w:rsidRPr="0097439B">
              <w:rPr>
                <w:rFonts w:ascii="Times New Roman" w:hAnsi="Times New Roman"/>
                <w:color w:val="000000" w:themeColor="text1"/>
              </w:rPr>
              <w:t>jos un dažādos citos foru</w:t>
            </w:r>
            <w:r w:rsidR="008929F5" w:rsidRPr="0097439B">
              <w:rPr>
                <w:rFonts w:ascii="Times New Roman" w:hAnsi="Times New Roman"/>
                <w:color w:val="000000" w:themeColor="text1"/>
              </w:rPr>
              <w:t>m</w:t>
            </w:r>
            <w:r w:rsidR="00AB3A6F" w:rsidRPr="0097439B">
              <w:rPr>
                <w:rFonts w:ascii="Times New Roman" w:hAnsi="Times New Roman"/>
                <w:color w:val="000000" w:themeColor="text1"/>
              </w:rPr>
              <w:t>os un formātos</w:t>
            </w:r>
            <w:r w:rsidR="004152D2" w:rsidRPr="0097439B">
              <w:rPr>
                <w:rFonts w:ascii="Times New Roman" w:hAnsi="Times New Roman"/>
                <w:color w:val="000000" w:themeColor="text1"/>
              </w:rPr>
              <w:t>.</w:t>
            </w:r>
          </w:p>
        </w:tc>
      </w:tr>
      <w:tr w:rsidR="00E478AF" w:rsidRPr="0097439B" w:rsidTr="006627CB">
        <w:tc>
          <w:tcPr>
            <w:tcW w:w="421" w:type="dxa"/>
          </w:tcPr>
          <w:p w:rsidR="00003DF3" w:rsidRPr="0097439B" w:rsidRDefault="00003DF3" w:rsidP="002431AC">
            <w:pPr>
              <w:rPr>
                <w:rFonts w:ascii="Times New Roman" w:hAnsi="Times New Roman"/>
                <w:color w:val="000000" w:themeColor="text1"/>
              </w:rPr>
            </w:pPr>
            <w:r w:rsidRPr="0097439B">
              <w:rPr>
                <w:rFonts w:ascii="Times New Roman" w:hAnsi="Times New Roman"/>
                <w:color w:val="000000" w:themeColor="text1"/>
              </w:rPr>
              <w:lastRenderedPageBreak/>
              <w:t>2.</w:t>
            </w:r>
          </w:p>
        </w:tc>
        <w:tc>
          <w:tcPr>
            <w:tcW w:w="2806" w:type="dxa"/>
          </w:tcPr>
          <w:p w:rsidR="00003DF3" w:rsidRPr="0097439B" w:rsidRDefault="00003DF3" w:rsidP="002431AC">
            <w:pPr>
              <w:rPr>
                <w:rFonts w:ascii="Times New Roman" w:hAnsi="Times New Roman"/>
                <w:color w:val="000000" w:themeColor="text1"/>
              </w:rPr>
            </w:pPr>
            <w:r w:rsidRPr="0097439B">
              <w:rPr>
                <w:rFonts w:ascii="Times New Roman" w:hAnsi="Times New Roman"/>
                <w:color w:val="000000" w:themeColor="text1"/>
              </w:rPr>
              <w:t>Sabiedrības līdzdalība projekta izstrādē</w:t>
            </w:r>
          </w:p>
        </w:tc>
        <w:tc>
          <w:tcPr>
            <w:tcW w:w="6124" w:type="dxa"/>
          </w:tcPr>
          <w:p w:rsidR="00423BBE" w:rsidRPr="0097439B" w:rsidRDefault="00AB3A6F" w:rsidP="00D3660C">
            <w:pPr>
              <w:jc w:val="both"/>
              <w:rPr>
                <w:rFonts w:ascii="Times New Roman" w:hAnsi="Times New Roman"/>
                <w:color w:val="000000" w:themeColor="text1"/>
                <w:spacing w:val="-2"/>
              </w:rPr>
            </w:pPr>
            <w:r w:rsidRPr="0097439B">
              <w:rPr>
                <w:rFonts w:ascii="Times New Roman" w:hAnsi="Times New Roman"/>
                <w:color w:val="000000" w:themeColor="text1"/>
                <w:spacing w:val="-2"/>
              </w:rPr>
              <w:t>Li</w:t>
            </w:r>
            <w:r w:rsidR="008921BD" w:rsidRPr="0097439B">
              <w:rPr>
                <w:rFonts w:ascii="Times New Roman" w:hAnsi="Times New Roman"/>
                <w:color w:val="000000" w:themeColor="text1"/>
                <w:spacing w:val="-2"/>
              </w:rPr>
              <w:t>kumprojekt</w:t>
            </w:r>
            <w:r w:rsidR="00423BBE" w:rsidRPr="0097439B">
              <w:rPr>
                <w:rFonts w:ascii="Times New Roman" w:hAnsi="Times New Roman"/>
                <w:color w:val="000000" w:themeColor="text1"/>
                <w:spacing w:val="-2"/>
              </w:rPr>
              <w:t>s</w:t>
            </w:r>
            <w:r w:rsidR="008921BD" w:rsidRPr="0097439B">
              <w:rPr>
                <w:rFonts w:ascii="Times New Roman" w:hAnsi="Times New Roman"/>
                <w:color w:val="000000" w:themeColor="text1"/>
                <w:spacing w:val="-2"/>
              </w:rPr>
              <w:t xml:space="preserve"> </w:t>
            </w:r>
            <w:r w:rsidR="00423BBE" w:rsidRPr="0097439B">
              <w:rPr>
                <w:rFonts w:ascii="Times New Roman" w:hAnsi="Times New Roman"/>
                <w:color w:val="000000" w:themeColor="text1"/>
                <w:spacing w:val="-2"/>
              </w:rPr>
              <w:t xml:space="preserve">izstrādāts, balstoties uz </w:t>
            </w:r>
            <w:r w:rsidR="00423BBE" w:rsidRPr="0097439B">
              <w:rPr>
                <w:rFonts w:ascii="Times New Roman" w:hAnsi="Times New Roman"/>
                <w:color w:val="000000" w:themeColor="text1"/>
              </w:rPr>
              <w:t xml:space="preserve">valsts nodokļu politikas pamatnostādņu pēdējo scenāriju, kurš apspriests ar </w:t>
            </w:r>
            <w:r w:rsidRPr="0097439B">
              <w:rPr>
                <w:rFonts w:ascii="Times New Roman" w:hAnsi="Times New Roman"/>
                <w:color w:val="000000" w:themeColor="text1"/>
                <w:spacing w:val="-2"/>
              </w:rPr>
              <w:t>valdības sociālo partneru nevalstisk</w:t>
            </w:r>
            <w:r w:rsidR="00423BBE" w:rsidRPr="0097439B">
              <w:rPr>
                <w:rFonts w:ascii="Times New Roman" w:hAnsi="Times New Roman"/>
                <w:color w:val="000000" w:themeColor="text1"/>
                <w:spacing w:val="-2"/>
              </w:rPr>
              <w:t>aj</w:t>
            </w:r>
            <w:r w:rsidRPr="0097439B">
              <w:rPr>
                <w:rFonts w:ascii="Times New Roman" w:hAnsi="Times New Roman"/>
                <w:color w:val="000000" w:themeColor="text1"/>
                <w:spacing w:val="-2"/>
              </w:rPr>
              <w:t>ā</w:t>
            </w:r>
            <w:r w:rsidR="00423BBE" w:rsidRPr="0097439B">
              <w:rPr>
                <w:rFonts w:ascii="Times New Roman" w:hAnsi="Times New Roman"/>
                <w:color w:val="000000" w:themeColor="text1"/>
                <w:spacing w:val="-2"/>
              </w:rPr>
              <w:t>m</w:t>
            </w:r>
            <w:r w:rsidRPr="0097439B">
              <w:rPr>
                <w:rFonts w:ascii="Times New Roman" w:hAnsi="Times New Roman"/>
                <w:color w:val="000000" w:themeColor="text1"/>
                <w:spacing w:val="-2"/>
              </w:rPr>
              <w:t xml:space="preserve"> </w:t>
            </w:r>
            <w:r w:rsidR="00423BBE" w:rsidRPr="0097439B">
              <w:rPr>
                <w:rFonts w:ascii="Times New Roman" w:hAnsi="Times New Roman"/>
                <w:color w:val="000000" w:themeColor="text1"/>
                <w:spacing w:val="-2"/>
              </w:rPr>
              <w:t>organizācijām</w:t>
            </w:r>
            <w:r w:rsidR="00432DDE" w:rsidRPr="0097439B">
              <w:rPr>
                <w:rFonts w:ascii="Times New Roman" w:hAnsi="Times New Roman"/>
                <w:color w:val="000000" w:themeColor="text1"/>
                <w:spacing w:val="-2"/>
              </w:rPr>
              <w:t>: Latvijas D</w:t>
            </w:r>
            <w:r w:rsidRPr="0097439B">
              <w:rPr>
                <w:rFonts w:ascii="Times New Roman" w:hAnsi="Times New Roman"/>
                <w:color w:val="000000" w:themeColor="text1"/>
                <w:spacing w:val="-2"/>
              </w:rPr>
              <w:t>arba devēju konfederācij</w:t>
            </w:r>
            <w:r w:rsidR="00423BBE" w:rsidRPr="0097439B">
              <w:rPr>
                <w:rFonts w:ascii="Times New Roman" w:hAnsi="Times New Roman"/>
                <w:color w:val="000000" w:themeColor="text1"/>
                <w:spacing w:val="-2"/>
              </w:rPr>
              <w:t>u</w:t>
            </w:r>
            <w:r w:rsidR="00432DDE" w:rsidRPr="0097439B">
              <w:rPr>
                <w:rFonts w:ascii="Times New Roman" w:hAnsi="Times New Roman"/>
                <w:color w:val="000000" w:themeColor="text1"/>
                <w:spacing w:val="-2"/>
              </w:rPr>
              <w:t xml:space="preserve"> un Latvijas Brīvo arodbiedrību savienīb</w:t>
            </w:r>
            <w:r w:rsidR="00423BBE" w:rsidRPr="0097439B">
              <w:rPr>
                <w:rFonts w:ascii="Times New Roman" w:hAnsi="Times New Roman"/>
                <w:color w:val="000000" w:themeColor="text1"/>
                <w:spacing w:val="-2"/>
              </w:rPr>
              <w:t>u</w:t>
            </w:r>
            <w:r w:rsidR="00432DDE" w:rsidRPr="0097439B">
              <w:rPr>
                <w:rFonts w:ascii="Times New Roman" w:hAnsi="Times New Roman"/>
                <w:color w:val="000000" w:themeColor="text1"/>
                <w:spacing w:val="-2"/>
              </w:rPr>
              <w:t>, kā arī Latvijas Tirdzniecības un rūpniecības kamer</w:t>
            </w:r>
            <w:r w:rsidR="00423BBE" w:rsidRPr="0097439B">
              <w:rPr>
                <w:rFonts w:ascii="Times New Roman" w:hAnsi="Times New Roman"/>
                <w:color w:val="000000" w:themeColor="text1"/>
                <w:spacing w:val="-2"/>
              </w:rPr>
              <w:t>u</w:t>
            </w:r>
            <w:r w:rsidR="00432DDE" w:rsidRPr="0097439B">
              <w:rPr>
                <w:rFonts w:ascii="Times New Roman" w:hAnsi="Times New Roman"/>
                <w:color w:val="000000" w:themeColor="text1"/>
                <w:spacing w:val="-2"/>
              </w:rPr>
              <w:t>.</w:t>
            </w:r>
          </w:p>
          <w:p w:rsidR="00C679B8" w:rsidRPr="0097439B" w:rsidRDefault="008929F5" w:rsidP="00455252">
            <w:pPr>
              <w:jc w:val="both"/>
              <w:rPr>
                <w:rFonts w:ascii="Times New Roman" w:hAnsi="Times New Roman"/>
                <w:color w:val="000000" w:themeColor="text1"/>
              </w:rPr>
            </w:pPr>
            <w:r w:rsidRPr="0097439B">
              <w:rPr>
                <w:rFonts w:ascii="Times New Roman" w:hAnsi="Times New Roman"/>
                <w:color w:val="000000" w:themeColor="text1"/>
              </w:rPr>
              <w:t xml:space="preserve">Finanšu ministrijas mājaslapā ir publicēta </w:t>
            </w:r>
            <w:r w:rsidR="00455252" w:rsidRPr="0097439B">
              <w:rPr>
                <w:rFonts w:ascii="Times New Roman" w:hAnsi="Times New Roman"/>
                <w:color w:val="000000" w:themeColor="text1"/>
              </w:rPr>
              <w:t xml:space="preserve">informācija </w:t>
            </w:r>
            <w:r w:rsidRPr="0097439B">
              <w:rPr>
                <w:rFonts w:ascii="Times New Roman" w:hAnsi="Times New Roman"/>
                <w:color w:val="000000" w:themeColor="text1"/>
              </w:rPr>
              <w:t xml:space="preserve">par </w:t>
            </w:r>
            <w:r w:rsidR="008921BD" w:rsidRPr="0097439B">
              <w:rPr>
                <w:rFonts w:ascii="Times New Roman" w:hAnsi="Times New Roman"/>
                <w:color w:val="000000" w:themeColor="text1"/>
              </w:rPr>
              <w:t>plānoto nodokļu reform</w:t>
            </w:r>
            <w:r w:rsidRPr="0097439B">
              <w:rPr>
                <w:rFonts w:ascii="Times New Roman" w:hAnsi="Times New Roman"/>
                <w:color w:val="000000" w:themeColor="text1"/>
              </w:rPr>
              <w:t xml:space="preserve">u un </w:t>
            </w:r>
            <w:r w:rsidR="008921BD" w:rsidRPr="0097439B">
              <w:rPr>
                <w:rFonts w:ascii="Times New Roman" w:hAnsi="Times New Roman"/>
                <w:color w:val="000000" w:themeColor="text1"/>
              </w:rPr>
              <w:t>satur informāciju par to, kādas izmaiņas un ieguvumi sagaidāmi no nodokļu reformas kopumā un īpaši no darbaspēka nodokļu reformas.</w:t>
            </w:r>
          </w:p>
        </w:tc>
      </w:tr>
      <w:tr w:rsidR="00E478AF" w:rsidRPr="0097439B" w:rsidTr="006627CB">
        <w:tc>
          <w:tcPr>
            <w:tcW w:w="421" w:type="dxa"/>
          </w:tcPr>
          <w:p w:rsidR="00003DF3" w:rsidRPr="0097439B" w:rsidRDefault="00003DF3" w:rsidP="002431AC">
            <w:pPr>
              <w:rPr>
                <w:rFonts w:ascii="Times New Roman" w:hAnsi="Times New Roman"/>
                <w:color w:val="000000" w:themeColor="text1"/>
              </w:rPr>
            </w:pPr>
            <w:r w:rsidRPr="0097439B">
              <w:rPr>
                <w:rFonts w:ascii="Times New Roman" w:hAnsi="Times New Roman"/>
                <w:color w:val="000000" w:themeColor="text1"/>
              </w:rPr>
              <w:t>3.</w:t>
            </w:r>
          </w:p>
        </w:tc>
        <w:tc>
          <w:tcPr>
            <w:tcW w:w="2806" w:type="dxa"/>
          </w:tcPr>
          <w:p w:rsidR="00003DF3" w:rsidRPr="0097439B" w:rsidRDefault="00003DF3" w:rsidP="002431AC">
            <w:pPr>
              <w:rPr>
                <w:rFonts w:ascii="Times New Roman" w:hAnsi="Times New Roman"/>
                <w:color w:val="000000" w:themeColor="text1"/>
              </w:rPr>
            </w:pPr>
            <w:r w:rsidRPr="0097439B">
              <w:rPr>
                <w:rFonts w:ascii="Times New Roman" w:hAnsi="Times New Roman"/>
                <w:color w:val="000000" w:themeColor="text1"/>
              </w:rPr>
              <w:t>Sabiedrības līdzdalības rezultāti</w:t>
            </w:r>
          </w:p>
        </w:tc>
        <w:tc>
          <w:tcPr>
            <w:tcW w:w="6124" w:type="dxa"/>
          </w:tcPr>
          <w:p w:rsidR="004152D2" w:rsidRPr="0097439B" w:rsidRDefault="008929F5" w:rsidP="00423BBE">
            <w:pPr>
              <w:jc w:val="both"/>
              <w:rPr>
                <w:rFonts w:ascii="Times New Roman" w:hAnsi="Times New Roman"/>
                <w:color w:val="000000" w:themeColor="text1"/>
              </w:rPr>
            </w:pPr>
            <w:r w:rsidRPr="0097439B">
              <w:rPr>
                <w:rFonts w:ascii="Times New Roman" w:hAnsi="Times New Roman"/>
                <w:color w:val="000000" w:themeColor="text1"/>
              </w:rPr>
              <w:t>Sociālie partneri</w:t>
            </w:r>
            <w:r w:rsidR="008921BD" w:rsidRPr="0097439B">
              <w:rPr>
                <w:rFonts w:ascii="Times New Roman" w:hAnsi="Times New Roman"/>
                <w:color w:val="000000" w:themeColor="text1"/>
              </w:rPr>
              <w:t xml:space="preserve"> </w:t>
            </w:r>
            <w:r w:rsidR="00C93C68" w:rsidRPr="0097439B">
              <w:rPr>
                <w:rFonts w:ascii="Times New Roman" w:hAnsi="Times New Roman"/>
                <w:color w:val="000000" w:themeColor="text1"/>
              </w:rPr>
              <w:t>diskusijās ir norādījuši, ka solidaritātes nodoklim, ja to neatceļ, kaut daļēji ir jārada sociālās garantijas pensiju formā personai, kura un/vai par kuru maksā solidaritātes nodokli.</w:t>
            </w:r>
          </w:p>
        </w:tc>
      </w:tr>
      <w:tr w:rsidR="00003DF3" w:rsidRPr="0097439B" w:rsidTr="006627CB">
        <w:tc>
          <w:tcPr>
            <w:tcW w:w="421" w:type="dxa"/>
          </w:tcPr>
          <w:p w:rsidR="00003DF3" w:rsidRPr="0097439B" w:rsidRDefault="00003DF3" w:rsidP="002431AC">
            <w:pPr>
              <w:rPr>
                <w:rFonts w:ascii="Times New Roman" w:hAnsi="Times New Roman"/>
                <w:color w:val="000000" w:themeColor="text1"/>
              </w:rPr>
            </w:pPr>
            <w:r w:rsidRPr="0097439B">
              <w:rPr>
                <w:rFonts w:ascii="Times New Roman" w:hAnsi="Times New Roman"/>
                <w:color w:val="000000" w:themeColor="text1"/>
              </w:rPr>
              <w:t>4.</w:t>
            </w:r>
          </w:p>
        </w:tc>
        <w:tc>
          <w:tcPr>
            <w:tcW w:w="2806" w:type="dxa"/>
          </w:tcPr>
          <w:p w:rsidR="00003DF3" w:rsidRPr="0097439B" w:rsidRDefault="00003DF3" w:rsidP="002431AC">
            <w:pPr>
              <w:rPr>
                <w:rFonts w:ascii="Times New Roman" w:hAnsi="Times New Roman"/>
                <w:color w:val="000000" w:themeColor="text1"/>
              </w:rPr>
            </w:pPr>
            <w:r w:rsidRPr="0097439B">
              <w:rPr>
                <w:rFonts w:ascii="Times New Roman" w:hAnsi="Times New Roman"/>
                <w:color w:val="000000" w:themeColor="text1"/>
              </w:rPr>
              <w:t>Cita informācija</w:t>
            </w:r>
          </w:p>
        </w:tc>
        <w:tc>
          <w:tcPr>
            <w:tcW w:w="6124" w:type="dxa"/>
          </w:tcPr>
          <w:p w:rsidR="00003DF3" w:rsidRPr="0097439B" w:rsidRDefault="0063338F" w:rsidP="002431AC">
            <w:pPr>
              <w:rPr>
                <w:rFonts w:ascii="Times New Roman" w:hAnsi="Times New Roman"/>
                <w:color w:val="000000" w:themeColor="text1"/>
              </w:rPr>
            </w:pPr>
            <w:r w:rsidRPr="0097439B">
              <w:rPr>
                <w:rFonts w:ascii="Times New Roman" w:hAnsi="Times New Roman"/>
                <w:color w:val="000000" w:themeColor="text1"/>
              </w:rPr>
              <w:t>Nav.</w:t>
            </w:r>
          </w:p>
        </w:tc>
      </w:tr>
    </w:tbl>
    <w:p w:rsidR="00003DF3" w:rsidRPr="0097439B" w:rsidRDefault="00003DF3" w:rsidP="002431AC">
      <w:pPr>
        <w:rPr>
          <w:color w:val="000000" w:themeColor="text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67"/>
        <w:gridCol w:w="2930"/>
        <w:gridCol w:w="5954"/>
      </w:tblGrid>
      <w:tr w:rsidR="00E478AF" w:rsidRPr="0097439B" w:rsidTr="00003DF3">
        <w:trPr>
          <w:trHeight w:val="381"/>
        </w:trPr>
        <w:tc>
          <w:tcPr>
            <w:tcW w:w="9351" w:type="dxa"/>
            <w:gridSpan w:val="3"/>
            <w:vAlign w:val="center"/>
          </w:tcPr>
          <w:p w:rsidR="008078B8" w:rsidRPr="0097439B" w:rsidRDefault="008078B8" w:rsidP="002431AC">
            <w:pPr>
              <w:pStyle w:val="naisnod"/>
              <w:spacing w:before="0" w:after="0"/>
              <w:ind w:left="57" w:right="57"/>
              <w:rPr>
                <w:color w:val="000000" w:themeColor="text1"/>
                <w:lang w:val="lv-LV"/>
              </w:rPr>
            </w:pPr>
            <w:r w:rsidRPr="0097439B">
              <w:rPr>
                <w:color w:val="000000" w:themeColor="text1"/>
                <w:lang w:val="lv-LV"/>
              </w:rPr>
              <w:t>VII. Tiesību akta projekta izpildes nodrošināšana un tās ietekme uz institūcijām</w:t>
            </w:r>
          </w:p>
        </w:tc>
      </w:tr>
      <w:tr w:rsidR="00E478AF" w:rsidRPr="0097439B" w:rsidTr="00003DF3">
        <w:trPr>
          <w:trHeight w:val="427"/>
        </w:trPr>
        <w:tc>
          <w:tcPr>
            <w:tcW w:w="467" w:type="dxa"/>
          </w:tcPr>
          <w:p w:rsidR="008078B8" w:rsidRPr="0097439B" w:rsidRDefault="008078B8" w:rsidP="002431AC">
            <w:pPr>
              <w:pStyle w:val="naisnod"/>
              <w:spacing w:before="0" w:after="0"/>
              <w:ind w:left="57" w:right="57"/>
              <w:jc w:val="both"/>
              <w:rPr>
                <w:b w:val="0"/>
                <w:color w:val="000000" w:themeColor="text1"/>
                <w:lang w:val="lv-LV"/>
              </w:rPr>
            </w:pPr>
            <w:r w:rsidRPr="0097439B">
              <w:rPr>
                <w:b w:val="0"/>
                <w:color w:val="000000" w:themeColor="text1"/>
                <w:lang w:val="lv-LV"/>
              </w:rPr>
              <w:t>1.</w:t>
            </w:r>
          </w:p>
        </w:tc>
        <w:tc>
          <w:tcPr>
            <w:tcW w:w="2930" w:type="dxa"/>
          </w:tcPr>
          <w:p w:rsidR="008078B8" w:rsidRPr="0097439B" w:rsidRDefault="008078B8" w:rsidP="00D3660C">
            <w:pPr>
              <w:pStyle w:val="naisf"/>
              <w:spacing w:before="0" w:after="0"/>
              <w:ind w:firstLine="0"/>
              <w:rPr>
                <w:color w:val="000000" w:themeColor="text1"/>
              </w:rPr>
            </w:pPr>
            <w:r w:rsidRPr="0097439B">
              <w:rPr>
                <w:color w:val="000000" w:themeColor="text1"/>
              </w:rPr>
              <w:t>Projekta izpildē iesaistītās institūcijas</w:t>
            </w:r>
          </w:p>
        </w:tc>
        <w:tc>
          <w:tcPr>
            <w:tcW w:w="5954" w:type="dxa"/>
          </w:tcPr>
          <w:p w:rsidR="00D7256E" w:rsidRPr="0097439B" w:rsidRDefault="00C145FF" w:rsidP="00D7256E">
            <w:pPr>
              <w:shd w:val="clear" w:color="auto" w:fill="FFFFFF"/>
              <w:jc w:val="both"/>
              <w:rPr>
                <w:color w:val="000000" w:themeColor="text1"/>
              </w:rPr>
            </w:pPr>
            <w:r w:rsidRPr="0097439B">
              <w:rPr>
                <w:color w:val="000000" w:themeColor="text1"/>
              </w:rPr>
              <w:t>Valsts sociālās apdrošināšanas aģentūra</w:t>
            </w:r>
          </w:p>
          <w:p w:rsidR="00885504" w:rsidRPr="0097439B" w:rsidRDefault="00885504" w:rsidP="00D7256E">
            <w:pPr>
              <w:shd w:val="clear" w:color="auto" w:fill="FFFFFF"/>
              <w:jc w:val="both"/>
              <w:rPr>
                <w:color w:val="000000" w:themeColor="text1"/>
              </w:rPr>
            </w:pPr>
            <w:r w:rsidRPr="0097439B">
              <w:rPr>
                <w:color w:val="000000" w:themeColor="text1"/>
              </w:rPr>
              <w:t>Valsts kase</w:t>
            </w:r>
          </w:p>
          <w:p w:rsidR="008078B8" w:rsidRPr="0097439B" w:rsidRDefault="00360FDE" w:rsidP="00D7256E">
            <w:pPr>
              <w:shd w:val="clear" w:color="auto" w:fill="FFFFFF"/>
              <w:jc w:val="both"/>
              <w:rPr>
                <w:color w:val="000000" w:themeColor="text1"/>
              </w:rPr>
            </w:pPr>
            <w:r w:rsidRPr="0097439B">
              <w:rPr>
                <w:color w:val="000000" w:themeColor="text1"/>
              </w:rPr>
              <w:t>Valsts ieņēmumu dienests</w:t>
            </w:r>
          </w:p>
        </w:tc>
      </w:tr>
      <w:tr w:rsidR="00E478AF" w:rsidRPr="0097439B" w:rsidTr="00003DF3">
        <w:trPr>
          <w:trHeight w:val="463"/>
        </w:trPr>
        <w:tc>
          <w:tcPr>
            <w:tcW w:w="467" w:type="dxa"/>
          </w:tcPr>
          <w:p w:rsidR="008078B8" w:rsidRPr="0097439B" w:rsidRDefault="008078B8" w:rsidP="002431AC">
            <w:pPr>
              <w:pStyle w:val="naisnod"/>
              <w:spacing w:before="0" w:after="0"/>
              <w:ind w:left="57" w:right="57"/>
              <w:jc w:val="both"/>
              <w:rPr>
                <w:b w:val="0"/>
                <w:color w:val="000000" w:themeColor="text1"/>
                <w:lang w:val="lv-LV"/>
              </w:rPr>
            </w:pPr>
            <w:r w:rsidRPr="0097439B">
              <w:rPr>
                <w:b w:val="0"/>
                <w:color w:val="000000" w:themeColor="text1"/>
                <w:lang w:val="lv-LV"/>
              </w:rPr>
              <w:t>2.</w:t>
            </w:r>
          </w:p>
        </w:tc>
        <w:tc>
          <w:tcPr>
            <w:tcW w:w="2930" w:type="dxa"/>
          </w:tcPr>
          <w:p w:rsidR="008078B8" w:rsidRPr="0097439B" w:rsidRDefault="008078B8" w:rsidP="00D3660C">
            <w:pPr>
              <w:pStyle w:val="naisf"/>
              <w:spacing w:before="0" w:after="0"/>
              <w:ind w:firstLine="0"/>
              <w:rPr>
                <w:color w:val="000000" w:themeColor="text1"/>
              </w:rPr>
            </w:pPr>
            <w:r w:rsidRPr="0097439B">
              <w:rPr>
                <w:color w:val="000000" w:themeColor="text1"/>
              </w:rPr>
              <w:t>Projekta izpildes ietekme uz pār</w:t>
            </w:r>
            <w:r w:rsidRPr="0097439B">
              <w:rPr>
                <w:color w:val="000000" w:themeColor="text1"/>
              </w:rPr>
              <w:softHyphen/>
              <w:t>valdes funkcijām un institucionālo struktūru.</w:t>
            </w:r>
          </w:p>
          <w:p w:rsidR="008078B8" w:rsidRPr="0097439B" w:rsidRDefault="008078B8" w:rsidP="00D3660C">
            <w:pPr>
              <w:pStyle w:val="naisf"/>
              <w:spacing w:before="0" w:after="0"/>
              <w:ind w:firstLine="0"/>
              <w:rPr>
                <w:color w:val="000000" w:themeColor="text1"/>
              </w:rPr>
            </w:pPr>
            <w:r w:rsidRPr="0097439B">
              <w:rPr>
                <w:color w:val="000000" w:themeColor="text1"/>
              </w:rPr>
              <w:t>Jaunu institūciju izveide, esošu institūciju likvidācija vai reorga</w:t>
            </w:r>
            <w:r w:rsidRPr="0097439B">
              <w:rPr>
                <w:color w:val="000000" w:themeColor="text1"/>
              </w:rPr>
              <w:softHyphen/>
              <w:t>nizācija, to ietekme uz institūcijas cilvēkresursiem</w:t>
            </w:r>
          </w:p>
        </w:tc>
        <w:tc>
          <w:tcPr>
            <w:tcW w:w="5954" w:type="dxa"/>
          </w:tcPr>
          <w:p w:rsidR="001F4FF9" w:rsidRPr="0097439B" w:rsidRDefault="001F4FF9" w:rsidP="002431AC">
            <w:pPr>
              <w:shd w:val="clear" w:color="auto" w:fill="FFFFFF"/>
              <w:jc w:val="both"/>
              <w:rPr>
                <w:color w:val="000000" w:themeColor="text1"/>
              </w:rPr>
            </w:pPr>
            <w:r w:rsidRPr="0097439B">
              <w:rPr>
                <w:rFonts w:eastAsia="Calibri"/>
                <w:color w:val="000000" w:themeColor="text1"/>
                <w:lang w:eastAsia="en-US"/>
              </w:rPr>
              <w:t>Jaunas institūcijas nav nepieciešams izveidot.</w:t>
            </w:r>
          </w:p>
          <w:p w:rsidR="00DA5F6B" w:rsidRPr="0097439B" w:rsidRDefault="000F2FF0" w:rsidP="00DA5F6B">
            <w:pPr>
              <w:shd w:val="clear" w:color="auto" w:fill="FFFFFF"/>
              <w:jc w:val="both"/>
              <w:rPr>
                <w:rFonts w:eastAsia="Calibri"/>
                <w:color w:val="000000" w:themeColor="text1"/>
                <w:lang w:eastAsia="en-US"/>
              </w:rPr>
            </w:pPr>
            <w:r w:rsidRPr="0097439B">
              <w:rPr>
                <w:rFonts w:eastAsia="Calibri"/>
                <w:color w:val="000000" w:themeColor="text1"/>
                <w:lang w:eastAsia="en-US"/>
              </w:rPr>
              <w:t xml:space="preserve">Valsts sociālās apdrošināšanas aģentūrai būs papildus funkcija </w:t>
            </w:r>
            <w:r w:rsidR="00DA5F6B" w:rsidRPr="0097439B">
              <w:rPr>
                <w:rFonts w:eastAsia="Calibri"/>
                <w:color w:val="000000" w:themeColor="text1"/>
                <w:lang w:eastAsia="en-US"/>
              </w:rPr>
              <w:t xml:space="preserve">no samaksātā solidaritātes nodokļa aprēķināt līdzekļus </w:t>
            </w:r>
            <w:proofErr w:type="spellStart"/>
            <w:r w:rsidR="00F3644D" w:rsidRPr="0097439B">
              <w:rPr>
                <w:rFonts w:eastAsia="Calibri"/>
                <w:color w:val="000000" w:themeColor="text1"/>
                <w:lang w:eastAsia="en-US"/>
              </w:rPr>
              <w:t>fondētajām</w:t>
            </w:r>
            <w:proofErr w:type="spellEnd"/>
            <w:r w:rsidR="00F3644D" w:rsidRPr="0097439B">
              <w:rPr>
                <w:rFonts w:eastAsia="Calibri"/>
                <w:color w:val="000000" w:themeColor="text1"/>
                <w:lang w:eastAsia="en-US"/>
              </w:rPr>
              <w:t xml:space="preserve"> un privātajām </w:t>
            </w:r>
            <w:r w:rsidR="00DA5F6B" w:rsidRPr="0097439B">
              <w:rPr>
                <w:rFonts w:eastAsia="Calibri"/>
                <w:color w:val="000000" w:themeColor="text1"/>
                <w:lang w:eastAsia="en-US"/>
              </w:rPr>
              <w:t>pensiju shēmām un minētos maksājumus veikt</w:t>
            </w:r>
            <w:r w:rsidR="00F3644D" w:rsidRPr="0097439B">
              <w:rPr>
                <w:rFonts w:eastAsia="Calibri"/>
                <w:color w:val="000000" w:themeColor="text1"/>
                <w:lang w:eastAsia="en-US"/>
              </w:rPr>
              <w:t>, kā arī nodalīt iedzīvotāju ienākuma nodokļa sadales kontā to solidaritātes nodokļa daļu, kas pārvirzāma uz iedzīvotāju ienākuma nodokli</w:t>
            </w:r>
            <w:r w:rsidR="00CD0E32" w:rsidRPr="0097439B">
              <w:rPr>
                <w:rFonts w:eastAsia="Calibri"/>
                <w:color w:val="000000" w:themeColor="text1"/>
                <w:lang w:eastAsia="en-US"/>
              </w:rPr>
              <w:t xml:space="preserve"> un valsts pensiju speciālo budžetu</w:t>
            </w:r>
            <w:r w:rsidR="00F3644D" w:rsidRPr="0097439B">
              <w:rPr>
                <w:rFonts w:eastAsia="Calibri"/>
                <w:color w:val="000000" w:themeColor="text1"/>
                <w:lang w:eastAsia="en-US"/>
              </w:rPr>
              <w:t>.</w:t>
            </w:r>
          </w:p>
          <w:p w:rsidR="00DA5F6B" w:rsidRPr="0097439B" w:rsidRDefault="00DA5F6B" w:rsidP="00DA5F6B">
            <w:pPr>
              <w:shd w:val="clear" w:color="auto" w:fill="FFFFFF"/>
              <w:jc w:val="both"/>
              <w:rPr>
                <w:rFonts w:eastAsia="Calibri"/>
                <w:color w:val="000000" w:themeColor="text1"/>
                <w:lang w:eastAsia="en-US"/>
              </w:rPr>
            </w:pPr>
            <w:r w:rsidRPr="0097439B">
              <w:rPr>
                <w:rFonts w:eastAsia="Calibri"/>
                <w:color w:val="000000" w:themeColor="text1"/>
                <w:lang w:eastAsia="en-US"/>
              </w:rPr>
              <w:t>Valsts kasei papildus būs jānodrošina solidaritātes nodokļa daļas, kas attiecas uz veselības aprūpes finansēšanu</w:t>
            </w:r>
            <w:r w:rsidR="00F3644D" w:rsidRPr="0097439B">
              <w:rPr>
                <w:rFonts w:eastAsia="Calibri"/>
                <w:color w:val="000000" w:themeColor="text1"/>
                <w:lang w:eastAsia="en-US"/>
              </w:rPr>
              <w:t xml:space="preserve">, nodalīšana un </w:t>
            </w:r>
            <w:r w:rsidRPr="0097439B">
              <w:rPr>
                <w:rFonts w:eastAsia="Calibri"/>
                <w:color w:val="000000" w:themeColor="text1"/>
                <w:lang w:eastAsia="en-US"/>
              </w:rPr>
              <w:t xml:space="preserve">ieskaitīšana </w:t>
            </w:r>
            <w:r w:rsidR="00F3644D" w:rsidRPr="0097439B">
              <w:rPr>
                <w:rFonts w:eastAsia="Calibri"/>
                <w:color w:val="000000" w:themeColor="text1"/>
                <w:lang w:eastAsia="en-US"/>
              </w:rPr>
              <w:t>valsts pamatbudžetā</w:t>
            </w:r>
            <w:r w:rsidRPr="0097439B">
              <w:rPr>
                <w:rFonts w:eastAsia="Calibri"/>
                <w:color w:val="000000" w:themeColor="text1"/>
                <w:lang w:eastAsia="en-US"/>
              </w:rPr>
              <w:t>.</w:t>
            </w:r>
          </w:p>
          <w:p w:rsidR="00332C59" w:rsidRPr="0097439B" w:rsidRDefault="00332C59" w:rsidP="002431AC">
            <w:pPr>
              <w:shd w:val="clear" w:color="auto" w:fill="FFFFFF"/>
              <w:jc w:val="both"/>
              <w:rPr>
                <w:rFonts w:eastAsia="Calibri"/>
                <w:color w:val="000000" w:themeColor="text1"/>
                <w:lang w:eastAsia="en-US"/>
              </w:rPr>
            </w:pPr>
          </w:p>
          <w:p w:rsidR="008078B8" w:rsidRPr="0097439B" w:rsidRDefault="001F4FF9" w:rsidP="008921BD">
            <w:pPr>
              <w:shd w:val="clear" w:color="auto" w:fill="FFFFFF"/>
              <w:jc w:val="both"/>
              <w:rPr>
                <w:rFonts w:eastAsia="Calibri"/>
                <w:color w:val="000000" w:themeColor="text1"/>
                <w:lang w:eastAsia="en-US"/>
              </w:rPr>
            </w:pPr>
            <w:r w:rsidRPr="0097439B">
              <w:rPr>
                <w:rFonts w:eastAsia="Calibri"/>
                <w:color w:val="000000" w:themeColor="text1"/>
                <w:lang w:eastAsia="en-US"/>
              </w:rPr>
              <w:t>Nav plānota esošu institūciju likvidācija vai reorganizācija.</w:t>
            </w:r>
          </w:p>
          <w:p w:rsidR="00F27C8A" w:rsidRPr="0097439B" w:rsidRDefault="00F27C8A" w:rsidP="008921BD">
            <w:pPr>
              <w:shd w:val="clear" w:color="auto" w:fill="FFFFFF"/>
              <w:jc w:val="both"/>
              <w:rPr>
                <w:rFonts w:eastAsia="Calibri"/>
                <w:color w:val="000000" w:themeColor="text1"/>
                <w:lang w:eastAsia="en-US"/>
              </w:rPr>
            </w:pPr>
          </w:p>
          <w:p w:rsidR="00F27C8A" w:rsidRPr="0097439B" w:rsidRDefault="00F27C8A" w:rsidP="008921BD">
            <w:pPr>
              <w:shd w:val="clear" w:color="auto" w:fill="FFFFFF"/>
              <w:jc w:val="both"/>
              <w:rPr>
                <w:color w:val="000000" w:themeColor="text1"/>
              </w:rPr>
            </w:pPr>
            <w:r w:rsidRPr="0097439B">
              <w:rPr>
                <w:rFonts w:eastAsia="Calibri"/>
                <w:color w:val="000000" w:themeColor="text1"/>
                <w:lang w:eastAsia="en-US"/>
              </w:rPr>
              <w:t>Projekts tiks realizēts esošo cilvēkresursu ietvaros.</w:t>
            </w:r>
          </w:p>
        </w:tc>
      </w:tr>
      <w:tr w:rsidR="00CB4DDF" w:rsidRPr="0097439B" w:rsidTr="00003DF3">
        <w:trPr>
          <w:trHeight w:val="283"/>
        </w:trPr>
        <w:tc>
          <w:tcPr>
            <w:tcW w:w="467" w:type="dxa"/>
            <w:tcBorders>
              <w:top w:val="single" w:sz="4" w:space="0" w:color="auto"/>
              <w:left w:val="single" w:sz="4" w:space="0" w:color="auto"/>
              <w:bottom w:val="single" w:sz="4" w:space="0" w:color="auto"/>
              <w:right w:val="single" w:sz="4" w:space="0" w:color="auto"/>
            </w:tcBorders>
          </w:tcPr>
          <w:p w:rsidR="008078B8" w:rsidRPr="0097439B" w:rsidRDefault="008078B8" w:rsidP="002431AC">
            <w:pPr>
              <w:pStyle w:val="naisnod"/>
              <w:spacing w:before="0" w:after="0"/>
              <w:ind w:left="57" w:right="57"/>
              <w:jc w:val="both"/>
              <w:rPr>
                <w:b w:val="0"/>
                <w:color w:val="000000" w:themeColor="text1"/>
                <w:lang w:val="lv-LV"/>
              </w:rPr>
            </w:pPr>
            <w:r w:rsidRPr="0097439B">
              <w:rPr>
                <w:b w:val="0"/>
                <w:color w:val="000000" w:themeColor="text1"/>
                <w:lang w:val="lv-LV"/>
              </w:rPr>
              <w:t>3.</w:t>
            </w:r>
          </w:p>
        </w:tc>
        <w:tc>
          <w:tcPr>
            <w:tcW w:w="2930" w:type="dxa"/>
            <w:tcBorders>
              <w:top w:val="single" w:sz="4" w:space="0" w:color="auto"/>
              <w:left w:val="single" w:sz="4" w:space="0" w:color="auto"/>
              <w:bottom w:val="single" w:sz="4" w:space="0" w:color="auto"/>
              <w:right w:val="single" w:sz="4" w:space="0" w:color="auto"/>
            </w:tcBorders>
          </w:tcPr>
          <w:p w:rsidR="008078B8" w:rsidRPr="0097439B" w:rsidRDefault="008078B8" w:rsidP="00D3660C">
            <w:pPr>
              <w:pStyle w:val="naisf"/>
              <w:spacing w:before="0" w:after="0"/>
              <w:ind w:firstLine="0"/>
              <w:rPr>
                <w:color w:val="000000" w:themeColor="text1"/>
              </w:rPr>
            </w:pPr>
            <w:r w:rsidRPr="0097439B">
              <w:rPr>
                <w:color w:val="000000" w:themeColor="text1"/>
              </w:rPr>
              <w:t>Cita informācija</w:t>
            </w:r>
          </w:p>
        </w:tc>
        <w:tc>
          <w:tcPr>
            <w:tcW w:w="5954" w:type="dxa"/>
            <w:tcBorders>
              <w:top w:val="single" w:sz="4" w:space="0" w:color="auto"/>
              <w:left w:val="single" w:sz="4" w:space="0" w:color="auto"/>
              <w:bottom w:val="single" w:sz="4" w:space="0" w:color="auto"/>
              <w:right w:val="single" w:sz="4" w:space="0" w:color="auto"/>
            </w:tcBorders>
          </w:tcPr>
          <w:p w:rsidR="008078B8" w:rsidRPr="0097439B" w:rsidRDefault="009A6B8D" w:rsidP="002431AC">
            <w:pPr>
              <w:ind w:right="57"/>
              <w:jc w:val="both"/>
              <w:rPr>
                <w:color w:val="000000" w:themeColor="text1"/>
              </w:rPr>
            </w:pPr>
            <w:r w:rsidRPr="0097439B">
              <w:rPr>
                <w:rFonts w:eastAsia="Calibri"/>
                <w:color w:val="000000" w:themeColor="text1"/>
                <w:lang w:eastAsia="en-US"/>
              </w:rPr>
              <w:t>Nav.</w:t>
            </w:r>
          </w:p>
        </w:tc>
      </w:tr>
    </w:tbl>
    <w:p w:rsidR="003E7787" w:rsidRPr="0097439B" w:rsidRDefault="003E7787" w:rsidP="002431AC">
      <w:pPr>
        <w:jc w:val="both"/>
        <w:rPr>
          <w:color w:val="000000" w:themeColor="text1"/>
        </w:rPr>
      </w:pPr>
    </w:p>
    <w:p w:rsidR="00021B0B" w:rsidRPr="0097439B" w:rsidRDefault="006C4157" w:rsidP="00ED7EF9">
      <w:pPr>
        <w:jc w:val="center"/>
        <w:rPr>
          <w:color w:val="000000" w:themeColor="text1"/>
          <w:sz w:val="28"/>
          <w:szCs w:val="28"/>
        </w:rPr>
      </w:pPr>
      <w:r w:rsidRPr="0097439B">
        <w:rPr>
          <w:color w:val="000000" w:themeColor="text1"/>
          <w:sz w:val="28"/>
          <w:szCs w:val="28"/>
        </w:rPr>
        <w:t xml:space="preserve">Finanšu </w:t>
      </w:r>
      <w:r w:rsidR="00021B0B" w:rsidRPr="0097439B">
        <w:rPr>
          <w:color w:val="000000" w:themeColor="text1"/>
          <w:sz w:val="28"/>
          <w:szCs w:val="28"/>
        </w:rPr>
        <w:t>ministr</w:t>
      </w:r>
      <w:r w:rsidR="008921BD" w:rsidRPr="0097439B">
        <w:rPr>
          <w:color w:val="000000" w:themeColor="text1"/>
          <w:sz w:val="28"/>
          <w:szCs w:val="28"/>
        </w:rPr>
        <w:t>e</w:t>
      </w:r>
      <w:r w:rsidR="00021B0B" w:rsidRPr="0097439B">
        <w:rPr>
          <w:color w:val="000000" w:themeColor="text1"/>
          <w:sz w:val="28"/>
          <w:szCs w:val="28"/>
        </w:rPr>
        <w:tab/>
      </w:r>
      <w:r w:rsidRPr="0097439B">
        <w:rPr>
          <w:color w:val="000000" w:themeColor="text1"/>
          <w:sz w:val="28"/>
          <w:szCs w:val="28"/>
        </w:rPr>
        <w:tab/>
      </w:r>
      <w:r w:rsidRPr="0097439B">
        <w:rPr>
          <w:color w:val="000000" w:themeColor="text1"/>
          <w:sz w:val="28"/>
          <w:szCs w:val="28"/>
        </w:rPr>
        <w:tab/>
      </w:r>
      <w:r w:rsidRPr="0097439B">
        <w:rPr>
          <w:color w:val="000000" w:themeColor="text1"/>
          <w:sz w:val="28"/>
          <w:szCs w:val="28"/>
        </w:rPr>
        <w:tab/>
      </w:r>
      <w:r w:rsidRPr="0097439B">
        <w:rPr>
          <w:color w:val="000000" w:themeColor="text1"/>
          <w:sz w:val="28"/>
          <w:szCs w:val="28"/>
        </w:rPr>
        <w:tab/>
      </w:r>
      <w:r w:rsidR="00ED7EF9" w:rsidRPr="0097439B">
        <w:rPr>
          <w:color w:val="000000" w:themeColor="text1"/>
          <w:sz w:val="28"/>
          <w:szCs w:val="28"/>
        </w:rPr>
        <w:tab/>
      </w:r>
      <w:r w:rsidR="008921BD" w:rsidRPr="0097439B">
        <w:rPr>
          <w:color w:val="000000" w:themeColor="text1"/>
          <w:sz w:val="28"/>
          <w:szCs w:val="28"/>
        </w:rPr>
        <w:tab/>
        <w:t>Dana Reizniece-Ozola</w:t>
      </w:r>
    </w:p>
    <w:p w:rsidR="00423C3D" w:rsidRPr="0097439B" w:rsidRDefault="00423C3D" w:rsidP="00423C3D">
      <w:pPr>
        <w:tabs>
          <w:tab w:val="left" w:pos="7088"/>
        </w:tabs>
        <w:jc w:val="both"/>
        <w:rPr>
          <w:iCs/>
          <w:color w:val="000000" w:themeColor="text1"/>
          <w:sz w:val="20"/>
        </w:rPr>
      </w:pPr>
    </w:p>
    <w:p w:rsidR="00CE7185" w:rsidRPr="0097439B" w:rsidRDefault="00CE7185" w:rsidP="00CE7185">
      <w:pPr>
        <w:rPr>
          <w:rFonts w:eastAsia="Calibri"/>
          <w:color w:val="000000" w:themeColor="text1"/>
          <w:sz w:val="20"/>
        </w:rPr>
      </w:pPr>
      <w:r w:rsidRPr="0097439B">
        <w:rPr>
          <w:rFonts w:eastAsia="Calibri"/>
          <w:color w:val="000000" w:themeColor="text1"/>
          <w:sz w:val="20"/>
        </w:rPr>
        <w:t>D.Robežniece,</w:t>
      </w:r>
      <w:r w:rsidR="00E21DDF" w:rsidRPr="0097439B">
        <w:rPr>
          <w:rFonts w:eastAsia="Calibri"/>
          <w:color w:val="000000" w:themeColor="text1"/>
          <w:sz w:val="20"/>
        </w:rPr>
        <w:t xml:space="preserve"> </w:t>
      </w:r>
      <w:r w:rsidRPr="0097439B">
        <w:rPr>
          <w:rFonts w:eastAsia="Calibri"/>
          <w:color w:val="000000" w:themeColor="text1"/>
          <w:sz w:val="20"/>
        </w:rPr>
        <w:t>tālr. 67095495</w:t>
      </w:r>
    </w:p>
    <w:p w:rsidR="00003DF3" w:rsidRPr="0097439B" w:rsidRDefault="00CE7185" w:rsidP="00CE7185">
      <w:pPr>
        <w:rPr>
          <w:color w:val="000000" w:themeColor="text1"/>
          <w:sz w:val="20"/>
        </w:rPr>
      </w:pPr>
      <w:r w:rsidRPr="0097439B">
        <w:rPr>
          <w:color w:val="000000" w:themeColor="text1"/>
          <w:sz w:val="20"/>
        </w:rPr>
        <w:t>daina.robezniece@fm.gov.lv</w:t>
      </w:r>
      <w:r w:rsidRPr="0097439B" w:rsidDel="0021087A">
        <w:rPr>
          <w:color w:val="000000" w:themeColor="text1"/>
          <w:sz w:val="20"/>
        </w:rPr>
        <w:t xml:space="preserve"> </w:t>
      </w:r>
    </w:p>
    <w:sectPr w:rsidR="00003DF3" w:rsidRPr="0097439B" w:rsidSect="00BB56B7">
      <w:headerReference w:type="even" r:id="rId8"/>
      <w:headerReference w:type="default" r:id="rId9"/>
      <w:footerReference w:type="even" r:id="rId10"/>
      <w:footerReference w:type="default" r:id="rId11"/>
      <w:footerReference w:type="first" r:id="rId12"/>
      <w:pgSz w:w="11906" w:h="16838"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965" w:rsidRDefault="00A14965">
      <w:r>
        <w:separator/>
      </w:r>
    </w:p>
  </w:endnote>
  <w:endnote w:type="continuationSeparator" w:id="0">
    <w:p w:rsidR="00A14965" w:rsidRDefault="00A1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99E" w:rsidRDefault="00C6599E"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C6599E" w:rsidRDefault="00C6599E"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99E" w:rsidRPr="003424AC" w:rsidRDefault="00C6599E" w:rsidP="00FA1A73">
    <w:pPr>
      <w:tabs>
        <w:tab w:val="left" w:pos="709"/>
      </w:tab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D500AD">
      <w:rPr>
        <w:noProof/>
        <w:sz w:val="20"/>
        <w:szCs w:val="20"/>
      </w:rPr>
      <w:t>FMAnot_060717_SNgroz_.docx</w:t>
    </w:r>
    <w:r>
      <w:rPr>
        <w:sz w:val="20"/>
        <w:szCs w:val="20"/>
      </w:rPr>
      <w:fldChar w:fldCharType="end"/>
    </w:r>
    <w:r>
      <w:rPr>
        <w:sz w:val="20"/>
        <w:szCs w:val="20"/>
      </w:rPr>
      <w:t>.</w:t>
    </w:r>
    <w:proofErr w:type="spellStart"/>
    <w:r>
      <w:rPr>
        <w:sz w:val="20"/>
        <w:szCs w:val="20"/>
      </w:rPr>
      <w:t>docx</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99E" w:rsidRPr="003424AC" w:rsidRDefault="00C6599E" w:rsidP="003424AC">
    <w:pPr>
      <w:tabs>
        <w:tab w:val="left" w:pos="709"/>
      </w:tab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D500AD">
      <w:rPr>
        <w:noProof/>
        <w:sz w:val="20"/>
        <w:szCs w:val="20"/>
      </w:rPr>
      <w:t>FMAnot_060717_SNgroz_.docx</w:t>
    </w:r>
    <w:r>
      <w:rPr>
        <w:sz w:val="20"/>
        <w:szCs w:val="20"/>
      </w:rPr>
      <w:fldChar w:fldCharType="end"/>
    </w:r>
    <w:r>
      <w:rPr>
        <w:sz w:val="20"/>
        <w:szCs w:val="20"/>
      </w:rPr>
      <w:t>.</w:t>
    </w:r>
    <w:proofErr w:type="spellStart"/>
    <w:r>
      <w:rPr>
        <w:sz w:val="20"/>
        <w:szCs w:val="20"/>
      </w:rPr>
      <w:t>docx</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965" w:rsidRDefault="00A14965">
      <w:r>
        <w:separator/>
      </w:r>
    </w:p>
  </w:footnote>
  <w:footnote w:type="continuationSeparator" w:id="0">
    <w:p w:rsidR="00A14965" w:rsidRDefault="00A14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99E" w:rsidRDefault="00C6599E"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6599E" w:rsidRDefault="00C659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99E" w:rsidRDefault="00C6599E"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44A78">
      <w:rPr>
        <w:rStyle w:val="PageNumber"/>
        <w:noProof/>
      </w:rPr>
      <w:t>7</w:t>
    </w:r>
    <w:r>
      <w:rPr>
        <w:rStyle w:val="PageNumber"/>
      </w:rPr>
      <w:fldChar w:fldCharType="end"/>
    </w:r>
  </w:p>
  <w:p w:rsidR="00C6599E" w:rsidRPr="00D3660C" w:rsidRDefault="00C6599E" w:rsidP="00D366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65F1"/>
    <w:multiLevelType w:val="hybridMultilevel"/>
    <w:tmpl w:val="5212F8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00306E9"/>
    <w:multiLevelType w:val="hybridMultilevel"/>
    <w:tmpl w:val="9800ABF2"/>
    <w:lvl w:ilvl="0" w:tplc="A0021E9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62C40A1"/>
    <w:multiLevelType w:val="hybridMultilevel"/>
    <w:tmpl w:val="2020DC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7FB248E"/>
    <w:multiLevelType w:val="multilevel"/>
    <w:tmpl w:val="265E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6B45CB"/>
    <w:multiLevelType w:val="hybridMultilevel"/>
    <w:tmpl w:val="957C3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D4A6003"/>
    <w:multiLevelType w:val="hybridMultilevel"/>
    <w:tmpl w:val="3AC0612C"/>
    <w:lvl w:ilvl="0" w:tplc="1D2C974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EF85457"/>
    <w:multiLevelType w:val="hybridMultilevel"/>
    <w:tmpl w:val="2536D8C2"/>
    <w:lvl w:ilvl="0" w:tplc="AFDC3D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15D1FB2"/>
    <w:multiLevelType w:val="hybridMultilevel"/>
    <w:tmpl w:val="6D3C1572"/>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9">
    <w:nsid w:val="2653035D"/>
    <w:multiLevelType w:val="hybridMultilevel"/>
    <w:tmpl w:val="0CC0A5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7F63271"/>
    <w:multiLevelType w:val="hybridMultilevel"/>
    <w:tmpl w:val="C8BAFAF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2CC835AD"/>
    <w:multiLevelType w:val="hybridMultilevel"/>
    <w:tmpl w:val="712AD942"/>
    <w:lvl w:ilvl="0" w:tplc="4CD85990">
      <w:start w:val="1"/>
      <w:numFmt w:val="lowerLetter"/>
      <w:lvlText w:val="%1)"/>
      <w:lvlJc w:val="left"/>
      <w:pPr>
        <w:ind w:left="435" w:hanging="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07C4759"/>
    <w:multiLevelType w:val="hybridMultilevel"/>
    <w:tmpl w:val="EA5438A8"/>
    <w:lvl w:ilvl="0" w:tplc="C156751E">
      <w:start w:val="2009"/>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330877C4"/>
    <w:multiLevelType w:val="hybridMultilevel"/>
    <w:tmpl w:val="4672D0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348219DF"/>
    <w:multiLevelType w:val="hybridMultilevel"/>
    <w:tmpl w:val="EAAAFF6C"/>
    <w:lvl w:ilvl="0" w:tplc="82F2E514">
      <w:start w:val="1"/>
      <w:numFmt w:val="decimal"/>
      <w:lvlText w:val="%1."/>
      <w:lvlJc w:val="left"/>
      <w:pPr>
        <w:ind w:left="360" w:hanging="360"/>
      </w:pPr>
      <w:rPr>
        <w:rFonts w:ascii="Times New Roman" w:hAnsi="Times New Roman" w:hint="default"/>
        <w:b w:val="0"/>
        <w:i w:val="0"/>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nsid w:val="34F4419A"/>
    <w:multiLevelType w:val="hybridMultilevel"/>
    <w:tmpl w:val="DCCE5D36"/>
    <w:lvl w:ilvl="0" w:tplc="4B266234">
      <w:start w:val="1"/>
      <w:numFmt w:val="decimal"/>
      <w:lvlText w:val="%1."/>
      <w:lvlJc w:val="left"/>
      <w:pPr>
        <w:ind w:left="720" w:hanging="360"/>
      </w:pPr>
      <w:rPr>
        <w:color w:val="1F497D"/>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BB0976"/>
    <w:multiLevelType w:val="hybridMultilevel"/>
    <w:tmpl w:val="34087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nsid w:val="35C2064D"/>
    <w:multiLevelType w:val="hybridMultilevel"/>
    <w:tmpl w:val="E52665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63F45CE"/>
    <w:multiLevelType w:val="hybridMultilevel"/>
    <w:tmpl w:val="8BE8CC36"/>
    <w:lvl w:ilvl="0" w:tplc="0962508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63F6028"/>
    <w:multiLevelType w:val="hybridMultilevel"/>
    <w:tmpl w:val="604E1574"/>
    <w:lvl w:ilvl="0" w:tplc="C156751E">
      <w:start w:val="200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21F6162"/>
    <w:multiLevelType w:val="hybridMultilevel"/>
    <w:tmpl w:val="AF70F312"/>
    <w:lvl w:ilvl="0" w:tplc="AD4CAB6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2794F92"/>
    <w:multiLevelType w:val="hybridMultilevel"/>
    <w:tmpl w:val="D79C173E"/>
    <w:lvl w:ilvl="0" w:tplc="75BA0666">
      <w:start w:val="1"/>
      <w:numFmt w:val="decimal"/>
      <w:lvlText w:val="%1."/>
      <w:lvlJc w:val="left"/>
      <w:pPr>
        <w:ind w:left="720" w:hanging="360"/>
      </w:pPr>
      <w:rPr>
        <w:rFonts w:ascii="Times New Roman" w:hAnsi="Times New Roman" w:hint="default"/>
        <w:b w:val="0"/>
        <w:i w:val="0"/>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2A04771"/>
    <w:multiLevelType w:val="hybridMultilevel"/>
    <w:tmpl w:val="027E1128"/>
    <w:lvl w:ilvl="0" w:tplc="DF4ACD1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43781735"/>
    <w:multiLevelType w:val="hybridMultilevel"/>
    <w:tmpl w:val="0CBE3B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5">
    <w:nsid w:val="43EA311A"/>
    <w:multiLevelType w:val="hybridMultilevel"/>
    <w:tmpl w:val="03542D2E"/>
    <w:lvl w:ilvl="0" w:tplc="C156751E">
      <w:start w:val="2009"/>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nsid w:val="449F596A"/>
    <w:multiLevelType w:val="hybridMultilevel"/>
    <w:tmpl w:val="30FEE4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D946003"/>
    <w:multiLevelType w:val="hybridMultilevel"/>
    <w:tmpl w:val="4E2441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E140C15"/>
    <w:multiLevelType w:val="hybridMultilevel"/>
    <w:tmpl w:val="5E8CB8E2"/>
    <w:lvl w:ilvl="0" w:tplc="0962508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EAB3240"/>
    <w:multiLevelType w:val="hybridMultilevel"/>
    <w:tmpl w:val="154C6E70"/>
    <w:lvl w:ilvl="0" w:tplc="B0F8862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4F41366F"/>
    <w:multiLevelType w:val="hybridMultilevel"/>
    <w:tmpl w:val="BA46AE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FD02777"/>
    <w:multiLevelType w:val="hybridMultilevel"/>
    <w:tmpl w:val="96E428C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nsid w:val="506A4635"/>
    <w:multiLevelType w:val="hybridMultilevel"/>
    <w:tmpl w:val="A6AEDF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0305169"/>
    <w:multiLevelType w:val="multilevel"/>
    <w:tmpl w:val="4F96B2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62AF11DA"/>
    <w:multiLevelType w:val="hybridMultilevel"/>
    <w:tmpl w:val="02421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8EA32F1"/>
    <w:multiLevelType w:val="hybridMultilevel"/>
    <w:tmpl w:val="F3B405E2"/>
    <w:lvl w:ilvl="0" w:tplc="B0F88620">
      <w:start w:val="1"/>
      <w:numFmt w:val="bullet"/>
      <w:lvlText w:val="•"/>
      <w:lvlJc w:val="left"/>
      <w:pPr>
        <w:ind w:left="360" w:hanging="360"/>
      </w:pPr>
      <w:rPr>
        <w:rFonts w:ascii="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37">
    <w:nsid w:val="6B531529"/>
    <w:multiLevelType w:val="hybridMultilevel"/>
    <w:tmpl w:val="0698721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18B2A5C"/>
    <w:multiLevelType w:val="hybridMultilevel"/>
    <w:tmpl w:val="2F60E6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1BF0906"/>
    <w:multiLevelType w:val="hybridMultilevel"/>
    <w:tmpl w:val="CA9672CE"/>
    <w:lvl w:ilvl="0" w:tplc="30B261EC">
      <w:start w:val="1"/>
      <w:numFmt w:val="decimal"/>
      <w:lvlText w:val="%1)"/>
      <w:lvlJc w:val="left"/>
      <w:pPr>
        <w:ind w:left="720" w:hanging="360"/>
      </w:pPr>
      <w:rPr>
        <w:rFonts w:ascii="Times New Roman" w:hAnsi="Times New Roman" w:hint="default"/>
        <w:sz w:val="26"/>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72A03131"/>
    <w:multiLevelType w:val="hybridMultilevel"/>
    <w:tmpl w:val="81365670"/>
    <w:lvl w:ilvl="0" w:tplc="D9ECBF96">
      <w:start w:val="1"/>
      <w:numFmt w:val="decimal"/>
      <w:lvlText w:val="%1."/>
      <w:lvlJc w:val="left"/>
      <w:pPr>
        <w:ind w:left="783" w:hanging="360"/>
      </w:pPr>
      <w:rPr>
        <w:rFonts w:hint="default"/>
        <w:sz w:val="24"/>
      </w:rPr>
    </w:lvl>
    <w:lvl w:ilvl="1" w:tplc="04260019" w:tentative="1">
      <w:start w:val="1"/>
      <w:numFmt w:val="lowerLetter"/>
      <w:lvlText w:val="%2."/>
      <w:lvlJc w:val="left"/>
      <w:pPr>
        <w:ind w:left="1503" w:hanging="360"/>
      </w:pPr>
    </w:lvl>
    <w:lvl w:ilvl="2" w:tplc="0426001B" w:tentative="1">
      <w:start w:val="1"/>
      <w:numFmt w:val="lowerRoman"/>
      <w:lvlText w:val="%3."/>
      <w:lvlJc w:val="right"/>
      <w:pPr>
        <w:ind w:left="2223" w:hanging="180"/>
      </w:pPr>
    </w:lvl>
    <w:lvl w:ilvl="3" w:tplc="0426000F" w:tentative="1">
      <w:start w:val="1"/>
      <w:numFmt w:val="decimal"/>
      <w:lvlText w:val="%4."/>
      <w:lvlJc w:val="left"/>
      <w:pPr>
        <w:ind w:left="2943" w:hanging="360"/>
      </w:pPr>
    </w:lvl>
    <w:lvl w:ilvl="4" w:tplc="04260019" w:tentative="1">
      <w:start w:val="1"/>
      <w:numFmt w:val="lowerLetter"/>
      <w:lvlText w:val="%5."/>
      <w:lvlJc w:val="left"/>
      <w:pPr>
        <w:ind w:left="3663" w:hanging="360"/>
      </w:pPr>
    </w:lvl>
    <w:lvl w:ilvl="5" w:tplc="0426001B" w:tentative="1">
      <w:start w:val="1"/>
      <w:numFmt w:val="lowerRoman"/>
      <w:lvlText w:val="%6."/>
      <w:lvlJc w:val="right"/>
      <w:pPr>
        <w:ind w:left="4383" w:hanging="180"/>
      </w:pPr>
    </w:lvl>
    <w:lvl w:ilvl="6" w:tplc="0426000F" w:tentative="1">
      <w:start w:val="1"/>
      <w:numFmt w:val="decimal"/>
      <w:lvlText w:val="%7."/>
      <w:lvlJc w:val="left"/>
      <w:pPr>
        <w:ind w:left="5103" w:hanging="360"/>
      </w:pPr>
    </w:lvl>
    <w:lvl w:ilvl="7" w:tplc="04260019" w:tentative="1">
      <w:start w:val="1"/>
      <w:numFmt w:val="lowerLetter"/>
      <w:lvlText w:val="%8."/>
      <w:lvlJc w:val="left"/>
      <w:pPr>
        <w:ind w:left="5823" w:hanging="360"/>
      </w:pPr>
    </w:lvl>
    <w:lvl w:ilvl="8" w:tplc="0426001B" w:tentative="1">
      <w:start w:val="1"/>
      <w:numFmt w:val="lowerRoman"/>
      <w:lvlText w:val="%9."/>
      <w:lvlJc w:val="right"/>
      <w:pPr>
        <w:ind w:left="6543" w:hanging="180"/>
      </w:pPr>
    </w:lvl>
  </w:abstractNum>
  <w:abstractNum w:abstractNumId="41">
    <w:nsid w:val="736B10D9"/>
    <w:multiLevelType w:val="hybridMultilevel"/>
    <w:tmpl w:val="01660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78F69B5"/>
    <w:multiLevelType w:val="hybridMultilevel"/>
    <w:tmpl w:val="39F4B15A"/>
    <w:lvl w:ilvl="0" w:tplc="42FE69FC">
      <w:start w:val="1"/>
      <w:numFmt w:val="bullet"/>
      <w:lvlText w:val=""/>
      <w:lvlJc w:val="left"/>
      <w:pPr>
        <w:tabs>
          <w:tab w:val="num" w:pos="1440"/>
        </w:tabs>
        <w:ind w:left="144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43">
    <w:nsid w:val="7858166A"/>
    <w:multiLevelType w:val="hybridMultilevel"/>
    <w:tmpl w:val="CD78E922"/>
    <w:lvl w:ilvl="0" w:tplc="8278A9A0">
      <w:start w:val="1"/>
      <w:numFmt w:val="decimal"/>
      <w:lvlText w:val="%1)"/>
      <w:lvlJc w:val="left"/>
      <w:pPr>
        <w:ind w:left="1100" w:hanging="360"/>
      </w:pPr>
      <w:rPr>
        <w:rFonts w:hint="default"/>
      </w:rPr>
    </w:lvl>
    <w:lvl w:ilvl="1" w:tplc="04260019" w:tentative="1">
      <w:start w:val="1"/>
      <w:numFmt w:val="lowerLetter"/>
      <w:lvlText w:val="%2."/>
      <w:lvlJc w:val="left"/>
      <w:pPr>
        <w:ind w:left="1820" w:hanging="360"/>
      </w:pPr>
    </w:lvl>
    <w:lvl w:ilvl="2" w:tplc="0426001B" w:tentative="1">
      <w:start w:val="1"/>
      <w:numFmt w:val="lowerRoman"/>
      <w:lvlText w:val="%3."/>
      <w:lvlJc w:val="right"/>
      <w:pPr>
        <w:ind w:left="2540" w:hanging="180"/>
      </w:pPr>
    </w:lvl>
    <w:lvl w:ilvl="3" w:tplc="0426000F" w:tentative="1">
      <w:start w:val="1"/>
      <w:numFmt w:val="decimal"/>
      <w:lvlText w:val="%4."/>
      <w:lvlJc w:val="left"/>
      <w:pPr>
        <w:ind w:left="3260" w:hanging="360"/>
      </w:pPr>
    </w:lvl>
    <w:lvl w:ilvl="4" w:tplc="04260019" w:tentative="1">
      <w:start w:val="1"/>
      <w:numFmt w:val="lowerLetter"/>
      <w:lvlText w:val="%5."/>
      <w:lvlJc w:val="left"/>
      <w:pPr>
        <w:ind w:left="3980" w:hanging="360"/>
      </w:pPr>
    </w:lvl>
    <w:lvl w:ilvl="5" w:tplc="0426001B" w:tentative="1">
      <w:start w:val="1"/>
      <w:numFmt w:val="lowerRoman"/>
      <w:lvlText w:val="%6."/>
      <w:lvlJc w:val="right"/>
      <w:pPr>
        <w:ind w:left="4700" w:hanging="180"/>
      </w:pPr>
    </w:lvl>
    <w:lvl w:ilvl="6" w:tplc="0426000F" w:tentative="1">
      <w:start w:val="1"/>
      <w:numFmt w:val="decimal"/>
      <w:lvlText w:val="%7."/>
      <w:lvlJc w:val="left"/>
      <w:pPr>
        <w:ind w:left="5420" w:hanging="360"/>
      </w:pPr>
    </w:lvl>
    <w:lvl w:ilvl="7" w:tplc="04260019" w:tentative="1">
      <w:start w:val="1"/>
      <w:numFmt w:val="lowerLetter"/>
      <w:lvlText w:val="%8."/>
      <w:lvlJc w:val="left"/>
      <w:pPr>
        <w:ind w:left="6140" w:hanging="360"/>
      </w:pPr>
    </w:lvl>
    <w:lvl w:ilvl="8" w:tplc="0426001B" w:tentative="1">
      <w:start w:val="1"/>
      <w:numFmt w:val="lowerRoman"/>
      <w:lvlText w:val="%9."/>
      <w:lvlJc w:val="right"/>
      <w:pPr>
        <w:ind w:left="6860" w:hanging="180"/>
      </w:pPr>
    </w:lvl>
  </w:abstractNum>
  <w:abstractNum w:abstractNumId="44">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5">
    <w:nsid w:val="787B5CF7"/>
    <w:multiLevelType w:val="hybridMultilevel"/>
    <w:tmpl w:val="0298CE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6">
    <w:nsid w:val="7DE51D37"/>
    <w:multiLevelType w:val="hybridMultilevel"/>
    <w:tmpl w:val="06F68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47"/>
  </w:num>
  <w:num w:numId="2">
    <w:abstractNumId w:val="36"/>
  </w:num>
  <w:num w:numId="3">
    <w:abstractNumId w:val="44"/>
  </w:num>
  <w:num w:numId="4">
    <w:abstractNumId w:val="1"/>
  </w:num>
  <w:num w:numId="5">
    <w:abstractNumId w:val="16"/>
  </w:num>
  <w:num w:numId="6">
    <w:abstractNumId w:val="41"/>
  </w:num>
  <w:num w:numId="7">
    <w:abstractNumId w:val="8"/>
  </w:num>
  <w:num w:numId="8">
    <w:abstractNumId w:val="17"/>
  </w:num>
  <w:num w:numId="9">
    <w:abstractNumId w:val="24"/>
  </w:num>
  <w:num w:numId="10">
    <w:abstractNumId w:val="13"/>
  </w:num>
  <w:num w:numId="11">
    <w:abstractNumId w:val="34"/>
  </w:num>
  <w:num w:numId="12">
    <w:abstractNumId w:val="46"/>
  </w:num>
  <w:num w:numId="13">
    <w:abstractNumId w:val="5"/>
  </w:num>
  <w:num w:numId="14">
    <w:abstractNumId w:val="0"/>
  </w:num>
  <w:num w:numId="15">
    <w:abstractNumId w:val="30"/>
  </w:num>
  <w:num w:numId="16">
    <w:abstractNumId w:val="2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27"/>
  </w:num>
  <w:num w:numId="20">
    <w:abstractNumId w:val="6"/>
  </w:num>
  <w:num w:numId="21">
    <w:abstractNumId w:val="28"/>
  </w:num>
  <w:num w:numId="22">
    <w:abstractNumId w:val="19"/>
  </w:num>
  <w:num w:numId="23">
    <w:abstractNumId w:val="43"/>
  </w:num>
  <w:num w:numId="24">
    <w:abstractNumId w:val="45"/>
  </w:num>
  <w:num w:numId="25">
    <w:abstractNumId w:val="33"/>
  </w:num>
  <w:num w:numId="26">
    <w:abstractNumId w:val="3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9"/>
  </w:num>
  <w:num w:numId="30">
    <w:abstractNumId w:val="4"/>
  </w:num>
  <w:num w:numId="31">
    <w:abstractNumId w:val="20"/>
  </w:num>
  <w:num w:numId="32">
    <w:abstractNumId w:val="39"/>
  </w:num>
  <w:num w:numId="33">
    <w:abstractNumId w:val="40"/>
  </w:num>
  <w:num w:numId="34">
    <w:abstractNumId w:val="22"/>
  </w:num>
  <w:num w:numId="35">
    <w:abstractNumId w:val="14"/>
  </w:num>
  <w:num w:numId="36">
    <w:abstractNumId w:val="7"/>
  </w:num>
  <w:num w:numId="37">
    <w:abstractNumId w:val="12"/>
  </w:num>
  <w:num w:numId="38">
    <w:abstractNumId w:val="23"/>
  </w:num>
  <w:num w:numId="39">
    <w:abstractNumId w:val="37"/>
  </w:num>
  <w:num w:numId="40">
    <w:abstractNumId w:val="11"/>
  </w:num>
  <w:num w:numId="41">
    <w:abstractNumId w:val="25"/>
  </w:num>
  <w:num w:numId="42">
    <w:abstractNumId w:val="29"/>
  </w:num>
  <w:num w:numId="43">
    <w:abstractNumId w:val="3"/>
  </w:num>
  <w:num w:numId="44">
    <w:abstractNumId w:val="2"/>
  </w:num>
  <w:num w:numId="45">
    <w:abstractNumId w:val="18"/>
  </w:num>
  <w:num w:numId="46">
    <w:abstractNumId w:val="42"/>
  </w:num>
  <w:num w:numId="47">
    <w:abstractNumId w:val="35"/>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1FA9"/>
    <w:rsid w:val="00002952"/>
    <w:rsid w:val="00003633"/>
    <w:rsid w:val="00003DF3"/>
    <w:rsid w:val="0000464D"/>
    <w:rsid w:val="00010698"/>
    <w:rsid w:val="00011432"/>
    <w:rsid w:val="00011ED2"/>
    <w:rsid w:val="000142E6"/>
    <w:rsid w:val="00014CDC"/>
    <w:rsid w:val="00014E18"/>
    <w:rsid w:val="00016A43"/>
    <w:rsid w:val="0001718B"/>
    <w:rsid w:val="0002043D"/>
    <w:rsid w:val="000215CC"/>
    <w:rsid w:val="00021B0B"/>
    <w:rsid w:val="000230A2"/>
    <w:rsid w:val="0002571E"/>
    <w:rsid w:val="00025A28"/>
    <w:rsid w:val="00026B38"/>
    <w:rsid w:val="00027D92"/>
    <w:rsid w:val="00030430"/>
    <w:rsid w:val="0003135D"/>
    <w:rsid w:val="00031574"/>
    <w:rsid w:val="0003205A"/>
    <w:rsid w:val="00032913"/>
    <w:rsid w:val="0003342F"/>
    <w:rsid w:val="00035354"/>
    <w:rsid w:val="00036312"/>
    <w:rsid w:val="00037DA3"/>
    <w:rsid w:val="00040E0A"/>
    <w:rsid w:val="0004140E"/>
    <w:rsid w:val="00042338"/>
    <w:rsid w:val="00042684"/>
    <w:rsid w:val="00047364"/>
    <w:rsid w:val="00047D53"/>
    <w:rsid w:val="00051A01"/>
    <w:rsid w:val="00051C7A"/>
    <w:rsid w:val="00052654"/>
    <w:rsid w:val="00052B2C"/>
    <w:rsid w:val="00053620"/>
    <w:rsid w:val="00054CDF"/>
    <w:rsid w:val="00055235"/>
    <w:rsid w:val="0005558D"/>
    <w:rsid w:val="00055D0B"/>
    <w:rsid w:val="0005736C"/>
    <w:rsid w:val="00060EB8"/>
    <w:rsid w:val="0006132B"/>
    <w:rsid w:val="00062165"/>
    <w:rsid w:val="000622AA"/>
    <w:rsid w:val="00062337"/>
    <w:rsid w:val="00062AC3"/>
    <w:rsid w:val="00063764"/>
    <w:rsid w:val="00065A07"/>
    <w:rsid w:val="00066F29"/>
    <w:rsid w:val="00067B4D"/>
    <w:rsid w:val="0007105F"/>
    <w:rsid w:val="000714CA"/>
    <w:rsid w:val="000730F6"/>
    <w:rsid w:val="000733D6"/>
    <w:rsid w:val="0007487C"/>
    <w:rsid w:val="00074981"/>
    <w:rsid w:val="000751F5"/>
    <w:rsid w:val="00075321"/>
    <w:rsid w:val="000818A1"/>
    <w:rsid w:val="00082155"/>
    <w:rsid w:val="000829E3"/>
    <w:rsid w:val="000830FB"/>
    <w:rsid w:val="00084065"/>
    <w:rsid w:val="00085B64"/>
    <w:rsid w:val="000864F0"/>
    <w:rsid w:val="000865BC"/>
    <w:rsid w:val="000961DA"/>
    <w:rsid w:val="00097A82"/>
    <w:rsid w:val="000A3518"/>
    <w:rsid w:val="000A3996"/>
    <w:rsid w:val="000A3E14"/>
    <w:rsid w:val="000A441E"/>
    <w:rsid w:val="000A4727"/>
    <w:rsid w:val="000A4813"/>
    <w:rsid w:val="000A4BC1"/>
    <w:rsid w:val="000A5131"/>
    <w:rsid w:val="000A538C"/>
    <w:rsid w:val="000A716C"/>
    <w:rsid w:val="000A7E6D"/>
    <w:rsid w:val="000B0ABF"/>
    <w:rsid w:val="000B4230"/>
    <w:rsid w:val="000B4280"/>
    <w:rsid w:val="000B7E86"/>
    <w:rsid w:val="000C104E"/>
    <w:rsid w:val="000C52B4"/>
    <w:rsid w:val="000C6125"/>
    <w:rsid w:val="000C6AA7"/>
    <w:rsid w:val="000C7791"/>
    <w:rsid w:val="000C7F8E"/>
    <w:rsid w:val="000D001D"/>
    <w:rsid w:val="000D1D93"/>
    <w:rsid w:val="000D5481"/>
    <w:rsid w:val="000D56AA"/>
    <w:rsid w:val="000D6B22"/>
    <w:rsid w:val="000E0881"/>
    <w:rsid w:val="000E0A41"/>
    <w:rsid w:val="000E0D5D"/>
    <w:rsid w:val="000E1BBC"/>
    <w:rsid w:val="000E2426"/>
    <w:rsid w:val="000E638B"/>
    <w:rsid w:val="000E65AB"/>
    <w:rsid w:val="000E6C5A"/>
    <w:rsid w:val="000F01C4"/>
    <w:rsid w:val="000F092F"/>
    <w:rsid w:val="000F29E0"/>
    <w:rsid w:val="000F2FF0"/>
    <w:rsid w:val="000F52CA"/>
    <w:rsid w:val="000F67D3"/>
    <w:rsid w:val="000F758B"/>
    <w:rsid w:val="001014E7"/>
    <w:rsid w:val="00102F39"/>
    <w:rsid w:val="001036E5"/>
    <w:rsid w:val="001044CC"/>
    <w:rsid w:val="00104785"/>
    <w:rsid w:val="0010525A"/>
    <w:rsid w:val="00105754"/>
    <w:rsid w:val="00106600"/>
    <w:rsid w:val="00106919"/>
    <w:rsid w:val="0010798E"/>
    <w:rsid w:val="00110D0B"/>
    <w:rsid w:val="00110D8A"/>
    <w:rsid w:val="00111789"/>
    <w:rsid w:val="0011486D"/>
    <w:rsid w:val="00114E98"/>
    <w:rsid w:val="00115101"/>
    <w:rsid w:val="001171F3"/>
    <w:rsid w:val="001173E0"/>
    <w:rsid w:val="0012134D"/>
    <w:rsid w:val="001215EE"/>
    <w:rsid w:val="001237BA"/>
    <w:rsid w:val="00123E1D"/>
    <w:rsid w:val="00126754"/>
    <w:rsid w:val="00126D5D"/>
    <w:rsid w:val="00127C9A"/>
    <w:rsid w:val="00130CC4"/>
    <w:rsid w:val="00131B06"/>
    <w:rsid w:val="00135026"/>
    <w:rsid w:val="001368B1"/>
    <w:rsid w:val="00137B07"/>
    <w:rsid w:val="001419B1"/>
    <w:rsid w:val="0014307B"/>
    <w:rsid w:val="001507DC"/>
    <w:rsid w:val="00150D1D"/>
    <w:rsid w:val="00150E04"/>
    <w:rsid w:val="00153BB8"/>
    <w:rsid w:val="00155A26"/>
    <w:rsid w:val="0015638A"/>
    <w:rsid w:val="001601D0"/>
    <w:rsid w:val="001604B9"/>
    <w:rsid w:val="00164F5B"/>
    <w:rsid w:val="00165D83"/>
    <w:rsid w:val="00166434"/>
    <w:rsid w:val="00167362"/>
    <w:rsid w:val="00170EC6"/>
    <w:rsid w:val="00171776"/>
    <w:rsid w:val="00174445"/>
    <w:rsid w:val="00177551"/>
    <w:rsid w:val="00177FE8"/>
    <w:rsid w:val="00182C02"/>
    <w:rsid w:val="0018309B"/>
    <w:rsid w:val="0018701E"/>
    <w:rsid w:val="00187CFB"/>
    <w:rsid w:val="00191A48"/>
    <w:rsid w:val="001929B1"/>
    <w:rsid w:val="00194389"/>
    <w:rsid w:val="00194B48"/>
    <w:rsid w:val="00196301"/>
    <w:rsid w:val="001A19D3"/>
    <w:rsid w:val="001A1F15"/>
    <w:rsid w:val="001A285F"/>
    <w:rsid w:val="001A3A0B"/>
    <w:rsid w:val="001A7657"/>
    <w:rsid w:val="001A7D5F"/>
    <w:rsid w:val="001B0236"/>
    <w:rsid w:val="001B19BF"/>
    <w:rsid w:val="001B3669"/>
    <w:rsid w:val="001B409B"/>
    <w:rsid w:val="001B48CE"/>
    <w:rsid w:val="001C1EF5"/>
    <w:rsid w:val="001C25B8"/>
    <w:rsid w:val="001C290F"/>
    <w:rsid w:val="001C30E7"/>
    <w:rsid w:val="001C386F"/>
    <w:rsid w:val="001C4611"/>
    <w:rsid w:val="001C61F2"/>
    <w:rsid w:val="001C6DB5"/>
    <w:rsid w:val="001D12DE"/>
    <w:rsid w:val="001D3E28"/>
    <w:rsid w:val="001D441A"/>
    <w:rsid w:val="001D548C"/>
    <w:rsid w:val="001D6249"/>
    <w:rsid w:val="001D669E"/>
    <w:rsid w:val="001D77E9"/>
    <w:rsid w:val="001D7CF8"/>
    <w:rsid w:val="001E0E1C"/>
    <w:rsid w:val="001E0FB1"/>
    <w:rsid w:val="001E393D"/>
    <w:rsid w:val="001E4890"/>
    <w:rsid w:val="001F0349"/>
    <w:rsid w:val="001F089C"/>
    <w:rsid w:val="001F0A71"/>
    <w:rsid w:val="001F103E"/>
    <w:rsid w:val="001F142D"/>
    <w:rsid w:val="001F18C3"/>
    <w:rsid w:val="001F21CB"/>
    <w:rsid w:val="001F3583"/>
    <w:rsid w:val="001F3E77"/>
    <w:rsid w:val="001F4FF9"/>
    <w:rsid w:val="001F55C0"/>
    <w:rsid w:val="001F57AE"/>
    <w:rsid w:val="001F6166"/>
    <w:rsid w:val="001F7156"/>
    <w:rsid w:val="001F722B"/>
    <w:rsid w:val="001F727F"/>
    <w:rsid w:val="002016B2"/>
    <w:rsid w:val="00203870"/>
    <w:rsid w:val="002067F2"/>
    <w:rsid w:val="0020694F"/>
    <w:rsid w:val="00207B9B"/>
    <w:rsid w:val="00210ABF"/>
    <w:rsid w:val="00211693"/>
    <w:rsid w:val="0021185E"/>
    <w:rsid w:val="00211DF6"/>
    <w:rsid w:val="00212CDB"/>
    <w:rsid w:val="00213125"/>
    <w:rsid w:val="0021342B"/>
    <w:rsid w:val="002144A3"/>
    <w:rsid w:val="00214DEB"/>
    <w:rsid w:val="00215892"/>
    <w:rsid w:val="0021660A"/>
    <w:rsid w:val="00221898"/>
    <w:rsid w:val="00223211"/>
    <w:rsid w:val="0022400E"/>
    <w:rsid w:val="00227472"/>
    <w:rsid w:val="002274EA"/>
    <w:rsid w:val="002319F9"/>
    <w:rsid w:val="00232290"/>
    <w:rsid w:val="00232FC7"/>
    <w:rsid w:val="00233802"/>
    <w:rsid w:val="00236243"/>
    <w:rsid w:val="002374CA"/>
    <w:rsid w:val="002431AC"/>
    <w:rsid w:val="002450A3"/>
    <w:rsid w:val="002461F5"/>
    <w:rsid w:val="00246735"/>
    <w:rsid w:val="0025017B"/>
    <w:rsid w:val="002551B8"/>
    <w:rsid w:val="002555E9"/>
    <w:rsid w:val="00255A73"/>
    <w:rsid w:val="00255D47"/>
    <w:rsid w:val="00255F95"/>
    <w:rsid w:val="002560E4"/>
    <w:rsid w:val="0026006B"/>
    <w:rsid w:val="00260957"/>
    <w:rsid w:val="00260F92"/>
    <w:rsid w:val="00262E83"/>
    <w:rsid w:val="00262F54"/>
    <w:rsid w:val="0026359B"/>
    <w:rsid w:val="00264CAA"/>
    <w:rsid w:val="0027017D"/>
    <w:rsid w:val="00270489"/>
    <w:rsid w:val="00273FA2"/>
    <w:rsid w:val="00277C88"/>
    <w:rsid w:val="00277DE4"/>
    <w:rsid w:val="00281FFE"/>
    <w:rsid w:val="0028218C"/>
    <w:rsid w:val="00282620"/>
    <w:rsid w:val="00284908"/>
    <w:rsid w:val="00285008"/>
    <w:rsid w:val="00290393"/>
    <w:rsid w:val="00290EA6"/>
    <w:rsid w:val="00291CD8"/>
    <w:rsid w:val="00293A01"/>
    <w:rsid w:val="0029515B"/>
    <w:rsid w:val="00296E93"/>
    <w:rsid w:val="002A1691"/>
    <w:rsid w:val="002A171D"/>
    <w:rsid w:val="002A1A91"/>
    <w:rsid w:val="002A2389"/>
    <w:rsid w:val="002A4871"/>
    <w:rsid w:val="002A5373"/>
    <w:rsid w:val="002A5615"/>
    <w:rsid w:val="002A5B80"/>
    <w:rsid w:val="002A6F46"/>
    <w:rsid w:val="002A7800"/>
    <w:rsid w:val="002B0678"/>
    <w:rsid w:val="002B190C"/>
    <w:rsid w:val="002B1E4F"/>
    <w:rsid w:val="002B1E7B"/>
    <w:rsid w:val="002B3016"/>
    <w:rsid w:val="002B5ECE"/>
    <w:rsid w:val="002C04C1"/>
    <w:rsid w:val="002C0AF0"/>
    <w:rsid w:val="002C2881"/>
    <w:rsid w:val="002C2EA8"/>
    <w:rsid w:val="002C2F59"/>
    <w:rsid w:val="002C3E7D"/>
    <w:rsid w:val="002C467A"/>
    <w:rsid w:val="002C5064"/>
    <w:rsid w:val="002C66F4"/>
    <w:rsid w:val="002C72CC"/>
    <w:rsid w:val="002D083D"/>
    <w:rsid w:val="002D211C"/>
    <w:rsid w:val="002D47FC"/>
    <w:rsid w:val="002D49DC"/>
    <w:rsid w:val="002D4D84"/>
    <w:rsid w:val="002D69F9"/>
    <w:rsid w:val="002E23CC"/>
    <w:rsid w:val="002E244C"/>
    <w:rsid w:val="002E3501"/>
    <w:rsid w:val="002E41D7"/>
    <w:rsid w:val="002E5276"/>
    <w:rsid w:val="002E6F2E"/>
    <w:rsid w:val="002E79ED"/>
    <w:rsid w:val="002F081D"/>
    <w:rsid w:val="003004DA"/>
    <w:rsid w:val="003013B7"/>
    <w:rsid w:val="00301AE4"/>
    <w:rsid w:val="00301C4D"/>
    <w:rsid w:val="003023A3"/>
    <w:rsid w:val="00302614"/>
    <w:rsid w:val="00303B38"/>
    <w:rsid w:val="003069A3"/>
    <w:rsid w:val="00310FF2"/>
    <w:rsid w:val="0031330B"/>
    <w:rsid w:val="00313950"/>
    <w:rsid w:val="00314F97"/>
    <w:rsid w:val="00315B98"/>
    <w:rsid w:val="00317116"/>
    <w:rsid w:val="003205A7"/>
    <w:rsid w:val="00323639"/>
    <w:rsid w:val="0032418A"/>
    <w:rsid w:val="003245BA"/>
    <w:rsid w:val="00324B52"/>
    <w:rsid w:val="00327F83"/>
    <w:rsid w:val="00331977"/>
    <w:rsid w:val="00332137"/>
    <w:rsid w:val="00332C59"/>
    <w:rsid w:val="00332FE8"/>
    <w:rsid w:val="003359F1"/>
    <w:rsid w:val="003424A8"/>
    <w:rsid w:val="003424AC"/>
    <w:rsid w:val="003435BC"/>
    <w:rsid w:val="00343685"/>
    <w:rsid w:val="00343C43"/>
    <w:rsid w:val="0034414E"/>
    <w:rsid w:val="003442F7"/>
    <w:rsid w:val="00344387"/>
    <w:rsid w:val="003451C7"/>
    <w:rsid w:val="00345E59"/>
    <w:rsid w:val="00346D36"/>
    <w:rsid w:val="003470D3"/>
    <w:rsid w:val="00350E4B"/>
    <w:rsid w:val="0035132A"/>
    <w:rsid w:val="00352224"/>
    <w:rsid w:val="003533D7"/>
    <w:rsid w:val="00356BA3"/>
    <w:rsid w:val="0035791D"/>
    <w:rsid w:val="0036077F"/>
    <w:rsid w:val="00360A6D"/>
    <w:rsid w:val="00360FDE"/>
    <w:rsid w:val="00361663"/>
    <w:rsid w:val="00361FA0"/>
    <w:rsid w:val="00363543"/>
    <w:rsid w:val="003659F6"/>
    <w:rsid w:val="003705BB"/>
    <w:rsid w:val="00373E65"/>
    <w:rsid w:val="00373E97"/>
    <w:rsid w:val="00374935"/>
    <w:rsid w:val="00374EBD"/>
    <w:rsid w:val="0037521D"/>
    <w:rsid w:val="0037584D"/>
    <w:rsid w:val="00375EC0"/>
    <w:rsid w:val="00376F87"/>
    <w:rsid w:val="00382C20"/>
    <w:rsid w:val="00385D6C"/>
    <w:rsid w:val="00390136"/>
    <w:rsid w:val="0039325D"/>
    <w:rsid w:val="00393ACC"/>
    <w:rsid w:val="00395538"/>
    <w:rsid w:val="00395E7A"/>
    <w:rsid w:val="00397B99"/>
    <w:rsid w:val="00397E45"/>
    <w:rsid w:val="003A1388"/>
    <w:rsid w:val="003A3526"/>
    <w:rsid w:val="003A4BE0"/>
    <w:rsid w:val="003A6B4E"/>
    <w:rsid w:val="003A6DDE"/>
    <w:rsid w:val="003A7F83"/>
    <w:rsid w:val="003B139C"/>
    <w:rsid w:val="003B5012"/>
    <w:rsid w:val="003B54F2"/>
    <w:rsid w:val="003B7212"/>
    <w:rsid w:val="003C1378"/>
    <w:rsid w:val="003C3CF8"/>
    <w:rsid w:val="003C3F1B"/>
    <w:rsid w:val="003C538D"/>
    <w:rsid w:val="003C5BEE"/>
    <w:rsid w:val="003C62DB"/>
    <w:rsid w:val="003C72C5"/>
    <w:rsid w:val="003C78E6"/>
    <w:rsid w:val="003C7C57"/>
    <w:rsid w:val="003D07E3"/>
    <w:rsid w:val="003D105B"/>
    <w:rsid w:val="003D170A"/>
    <w:rsid w:val="003D26AA"/>
    <w:rsid w:val="003D2A25"/>
    <w:rsid w:val="003D4748"/>
    <w:rsid w:val="003D5BCD"/>
    <w:rsid w:val="003D6272"/>
    <w:rsid w:val="003E0577"/>
    <w:rsid w:val="003E0D8D"/>
    <w:rsid w:val="003E2622"/>
    <w:rsid w:val="003E558B"/>
    <w:rsid w:val="003E74C1"/>
    <w:rsid w:val="003E7787"/>
    <w:rsid w:val="003E7C26"/>
    <w:rsid w:val="003F0227"/>
    <w:rsid w:val="003F08FA"/>
    <w:rsid w:val="003F10DD"/>
    <w:rsid w:val="003F12FD"/>
    <w:rsid w:val="003F14B5"/>
    <w:rsid w:val="003F15C8"/>
    <w:rsid w:val="003F1647"/>
    <w:rsid w:val="003F18E0"/>
    <w:rsid w:val="003F2D19"/>
    <w:rsid w:val="003F48CE"/>
    <w:rsid w:val="00400BE9"/>
    <w:rsid w:val="004011A4"/>
    <w:rsid w:val="00401CF6"/>
    <w:rsid w:val="00401D34"/>
    <w:rsid w:val="0040277D"/>
    <w:rsid w:val="004035C4"/>
    <w:rsid w:val="00404783"/>
    <w:rsid w:val="00405CC8"/>
    <w:rsid w:val="004073D8"/>
    <w:rsid w:val="004074DD"/>
    <w:rsid w:val="0041110C"/>
    <w:rsid w:val="004135AF"/>
    <w:rsid w:val="00413780"/>
    <w:rsid w:val="004152D2"/>
    <w:rsid w:val="0041672F"/>
    <w:rsid w:val="00416CEC"/>
    <w:rsid w:val="0041743E"/>
    <w:rsid w:val="004179A3"/>
    <w:rsid w:val="004214CC"/>
    <w:rsid w:val="0042174C"/>
    <w:rsid w:val="004229A7"/>
    <w:rsid w:val="00423BBE"/>
    <w:rsid w:val="00423C3D"/>
    <w:rsid w:val="00425A8E"/>
    <w:rsid w:val="00425E94"/>
    <w:rsid w:val="004276AB"/>
    <w:rsid w:val="0043042E"/>
    <w:rsid w:val="00432B8E"/>
    <w:rsid w:val="00432DDE"/>
    <w:rsid w:val="00432ECC"/>
    <w:rsid w:val="004330C2"/>
    <w:rsid w:val="004331F8"/>
    <w:rsid w:val="0043362E"/>
    <w:rsid w:val="004350DF"/>
    <w:rsid w:val="00436520"/>
    <w:rsid w:val="00436CCF"/>
    <w:rsid w:val="00440511"/>
    <w:rsid w:val="00442A67"/>
    <w:rsid w:val="0044321F"/>
    <w:rsid w:val="0044369C"/>
    <w:rsid w:val="004452D0"/>
    <w:rsid w:val="004472E4"/>
    <w:rsid w:val="00450663"/>
    <w:rsid w:val="0045075A"/>
    <w:rsid w:val="00450811"/>
    <w:rsid w:val="0045165B"/>
    <w:rsid w:val="00452463"/>
    <w:rsid w:val="00452D79"/>
    <w:rsid w:val="00453834"/>
    <w:rsid w:val="00453C10"/>
    <w:rsid w:val="00455252"/>
    <w:rsid w:val="004611DC"/>
    <w:rsid w:val="00461283"/>
    <w:rsid w:val="004629F6"/>
    <w:rsid w:val="00464443"/>
    <w:rsid w:val="004658C3"/>
    <w:rsid w:val="00465C89"/>
    <w:rsid w:val="0046641F"/>
    <w:rsid w:val="004674E3"/>
    <w:rsid w:val="00467C04"/>
    <w:rsid w:val="00470322"/>
    <w:rsid w:val="004713F8"/>
    <w:rsid w:val="00472123"/>
    <w:rsid w:val="00472716"/>
    <w:rsid w:val="0047337A"/>
    <w:rsid w:val="00474007"/>
    <w:rsid w:val="004769CA"/>
    <w:rsid w:val="00477528"/>
    <w:rsid w:val="00480261"/>
    <w:rsid w:val="0048079D"/>
    <w:rsid w:val="00480ACA"/>
    <w:rsid w:val="00481CEC"/>
    <w:rsid w:val="00482B32"/>
    <w:rsid w:val="0048335E"/>
    <w:rsid w:val="00485C53"/>
    <w:rsid w:val="00486BA7"/>
    <w:rsid w:val="00486DBE"/>
    <w:rsid w:val="00487128"/>
    <w:rsid w:val="00487218"/>
    <w:rsid w:val="00487EB8"/>
    <w:rsid w:val="004912EA"/>
    <w:rsid w:val="0049256B"/>
    <w:rsid w:val="004942F9"/>
    <w:rsid w:val="004954A7"/>
    <w:rsid w:val="0049632A"/>
    <w:rsid w:val="00496F2A"/>
    <w:rsid w:val="00497F01"/>
    <w:rsid w:val="004A0809"/>
    <w:rsid w:val="004A1218"/>
    <w:rsid w:val="004A16F4"/>
    <w:rsid w:val="004A333B"/>
    <w:rsid w:val="004A3721"/>
    <w:rsid w:val="004A38DF"/>
    <w:rsid w:val="004A5E4A"/>
    <w:rsid w:val="004A6555"/>
    <w:rsid w:val="004A6DCA"/>
    <w:rsid w:val="004B2A68"/>
    <w:rsid w:val="004B3A7C"/>
    <w:rsid w:val="004B6D0A"/>
    <w:rsid w:val="004C0D5F"/>
    <w:rsid w:val="004C35A2"/>
    <w:rsid w:val="004C4564"/>
    <w:rsid w:val="004C644F"/>
    <w:rsid w:val="004C7556"/>
    <w:rsid w:val="004C78E8"/>
    <w:rsid w:val="004D0D34"/>
    <w:rsid w:val="004D1B81"/>
    <w:rsid w:val="004D1CE0"/>
    <w:rsid w:val="004D2863"/>
    <w:rsid w:val="004D2C5F"/>
    <w:rsid w:val="004D370E"/>
    <w:rsid w:val="004D60FD"/>
    <w:rsid w:val="004D6A54"/>
    <w:rsid w:val="004E03A9"/>
    <w:rsid w:val="004E0EB8"/>
    <w:rsid w:val="004E2FFD"/>
    <w:rsid w:val="004E3D10"/>
    <w:rsid w:val="004E3DAD"/>
    <w:rsid w:val="004E4520"/>
    <w:rsid w:val="004E4C27"/>
    <w:rsid w:val="004E4F4C"/>
    <w:rsid w:val="004E51A9"/>
    <w:rsid w:val="004E5E7C"/>
    <w:rsid w:val="004F3408"/>
    <w:rsid w:val="004F3AFC"/>
    <w:rsid w:val="004F3B9B"/>
    <w:rsid w:val="004F3CC6"/>
    <w:rsid w:val="004F4114"/>
    <w:rsid w:val="004F4651"/>
    <w:rsid w:val="004F4A5C"/>
    <w:rsid w:val="004F7101"/>
    <w:rsid w:val="005002B2"/>
    <w:rsid w:val="0050190F"/>
    <w:rsid w:val="00501F00"/>
    <w:rsid w:val="00502290"/>
    <w:rsid w:val="005025DE"/>
    <w:rsid w:val="00502677"/>
    <w:rsid w:val="00503B57"/>
    <w:rsid w:val="00504B2B"/>
    <w:rsid w:val="00505DBA"/>
    <w:rsid w:val="00506B62"/>
    <w:rsid w:val="00507031"/>
    <w:rsid w:val="0050797E"/>
    <w:rsid w:val="00507D02"/>
    <w:rsid w:val="005103B8"/>
    <w:rsid w:val="005124BF"/>
    <w:rsid w:val="0051320B"/>
    <w:rsid w:val="00514D3F"/>
    <w:rsid w:val="0051504B"/>
    <w:rsid w:val="005163C8"/>
    <w:rsid w:val="005167CC"/>
    <w:rsid w:val="00516F03"/>
    <w:rsid w:val="00517982"/>
    <w:rsid w:val="00520A66"/>
    <w:rsid w:val="005212D3"/>
    <w:rsid w:val="00521416"/>
    <w:rsid w:val="00523CC5"/>
    <w:rsid w:val="0052453E"/>
    <w:rsid w:val="005252A2"/>
    <w:rsid w:val="00525572"/>
    <w:rsid w:val="005275FC"/>
    <w:rsid w:val="0053055C"/>
    <w:rsid w:val="005307FA"/>
    <w:rsid w:val="005318CE"/>
    <w:rsid w:val="00531BD2"/>
    <w:rsid w:val="00531FC6"/>
    <w:rsid w:val="00532870"/>
    <w:rsid w:val="00532B88"/>
    <w:rsid w:val="00533466"/>
    <w:rsid w:val="005346CE"/>
    <w:rsid w:val="0053506D"/>
    <w:rsid w:val="00535F50"/>
    <w:rsid w:val="00536BCD"/>
    <w:rsid w:val="005405DA"/>
    <w:rsid w:val="005411D0"/>
    <w:rsid w:val="005423DF"/>
    <w:rsid w:val="00542502"/>
    <w:rsid w:val="00543A1A"/>
    <w:rsid w:val="0054527A"/>
    <w:rsid w:val="00545E25"/>
    <w:rsid w:val="005460B5"/>
    <w:rsid w:val="005469C9"/>
    <w:rsid w:val="00552263"/>
    <w:rsid w:val="00552D19"/>
    <w:rsid w:val="005544A8"/>
    <w:rsid w:val="005563EC"/>
    <w:rsid w:val="00556A32"/>
    <w:rsid w:val="00556E99"/>
    <w:rsid w:val="00556FF2"/>
    <w:rsid w:val="005577C0"/>
    <w:rsid w:val="00560892"/>
    <w:rsid w:val="00560A28"/>
    <w:rsid w:val="00561863"/>
    <w:rsid w:val="00562349"/>
    <w:rsid w:val="0056528F"/>
    <w:rsid w:val="00570FD4"/>
    <w:rsid w:val="0057184C"/>
    <w:rsid w:val="005732DB"/>
    <w:rsid w:val="0057409A"/>
    <w:rsid w:val="0057433C"/>
    <w:rsid w:val="00574A86"/>
    <w:rsid w:val="005764CD"/>
    <w:rsid w:val="00580F14"/>
    <w:rsid w:val="00582CCA"/>
    <w:rsid w:val="00582D05"/>
    <w:rsid w:val="00584C77"/>
    <w:rsid w:val="00585C73"/>
    <w:rsid w:val="00585C9D"/>
    <w:rsid w:val="00585D0E"/>
    <w:rsid w:val="0058741B"/>
    <w:rsid w:val="005877FD"/>
    <w:rsid w:val="00590599"/>
    <w:rsid w:val="00590603"/>
    <w:rsid w:val="005912D4"/>
    <w:rsid w:val="0059174F"/>
    <w:rsid w:val="00592270"/>
    <w:rsid w:val="00592648"/>
    <w:rsid w:val="00593217"/>
    <w:rsid w:val="005943F8"/>
    <w:rsid w:val="00595EAD"/>
    <w:rsid w:val="00596AF9"/>
    <w:rsid w:val="00596E04"/>
    <w:rsid w:val="005A055C"/>
    <w:rsid w:val="005A2FAA"/>
    <w:rsid w:val="005A342A"/>
    <w:rsid w:val="005A5033"/>
    <w:rsid w:val="005A7F8B"/>
    <w:rsid w:val="005B02EC"/>
    <w:rsid w:val="005B05E5"/>
    <w:rsid w:val="005B4BAB"/>
    <w:rsid w:val="005B6E41"/>
    <w:rsid w:val="005B7913"/>
    <w:rsid w:val="005C0816"/>
    <w:rsid w:val="005C2007"/>
    <w:rsid w:val="005C3885"/>
    <w:rsid w:val="005C560B"/>
    <w:rsid w:val="005C6264"/>
    <w:rsid w:val="005C6C4A"/>
    <w:rsid w:val="005C708F"/>
    <w:rsid w:val="005C7CCD"/>
    <w:rsid w:val="005D25B1"/>
    <w:rsid w:val="005D340F"/>
    <w:rsid w:val="005D37AE"/>
    <w:rsid w:val="005D4043"/>
    <w:rsid w:val="005D4084"/>
    <w:rsid w:val="005D52F3"/>
    <w:rsid w:val="005D57D5"/>
    <w:rsid w:val="005D7AAD"/>
    <w:rsid w:val="005D7B1D"/>
    <w:rsid w:val="005E09A0"/>
    <w:rsid w:val="005E3AE4"/>
    <w:rsid w:val="005E4627"/>
    <w:rsid w:val="005E4850"/>
    <w:rsid w:val="005E7852"/>
    <w:rsid w:val="005F04D3"/>
    <w:rsid w:val="005F0502"/>
    <w:rsid w:val="005F13AC"/>
    <w:rsid w:val="005F2844"/>
    <w:rsid w:val="005F3167"/>
    <w:rsid w:val="005F35C7"/>
    <w:rsid w:val="005F514E"/>
    <w:rsid w:val="005F51A5"/>
    <w:rsid w:val="005F588E"/>
    <w:rsid w:val="005F6059"/>
    <w:rsid w:val="005F70AF"/>
    <w:rsid w:val="005F78C5"/>
    <w:rsid w:val="00600AC4"/>
    <w:rsid w:val="00601DD7"/>
    <w:rsid w:val="0060478D"/>
    <w:rsid w:val="006058AD"/>
    <w:rsid w:val="00605FC9"/>
    <w:rsid w:val="00606BF1"/>
    <w:rsid w:val="00606F67"/>
    <w:rsid w:val="00607946"/>
    <w:rsid w:val="00607C7C"/>
    <w:rsid w:val="00611FA7"/>
    <w:rsid w:val="0061480C"/>
    <w:rsid w:val="00615A60"/>
    <w:rsid w:val="00615BB8"/>
    <w:rsid w:val="006165BA"/>
    <w:rsid w:val="00616624"/>
    <w:rsid w:val="00621C7A"/>
    <w:rsid w:val="00621E50"/>
    <w:rsid w:val="0062204F"/>
    <w:rsid w:val="00622624"/>
    <w:rsid w:val="006241FB"/>
    <w:rsid w:val="00625FE7"/>
    <w:rsid w:val="00626CE6"/>
    <w:rsid w:val="006303BD"/>
    <w:rsid w:val="00632354"/>
    <w:rsid w:val="0063338F"/>
    <w:rsid w:val="00635219"/>
    <w:rsid w:val="00636BCC"/>
    <w:rsid w:val="00637384"/>
    <w:rsid w:val="00637414"/>
    <w:rsid w:val="00637A14"/>
    <w:rsid w:val="00640521"/>
    <w:rsid w:val="0064478A"/>
    <w:rsid w:val="006448C9"/>
    <w:rsid w:val="00644C38"/>
    <w:rsid w:val="0064729F"/>
    <w:rsid w:val="006476B6"/>
    <w:rsid w:val="00647EAF"/>
    <w:rsid w:val="00650506"/>
    <w:rsid w:val="00650F9F"/>
    <w:rsid w:val="0065162C"/>
    <w:rsid w:val="00651670"/>
    <w:rsid w:val="0065254F"/>
    <w:rsid w:val="006539EA"/>
    <w:rsid w:val="00654EE9"/>
    <w:rsid w:val="006566DB"/>
    <w:rsid w:val="00656ECE"/>
    <w:rsid w:val="00660AA4"/>
    <w:rsid w:val="00660FDC"/>
    <w:rsid w:val="006627CB"/>
    <w:rsid w:val="006639A0"/>
    <w:rsid w:val="00663B21"/>
    <w:rsid w:val="00664081"/>
    <w:rsid w:val="006671DA"/>
    <w:rsid w:val="006710DC"/>
    <w:rsid w:val="00671FB2"/>
    <w:rsid w:val="006728A1"/>
    <w:rsid w:val="006732C7"/>
    <w:rsid w:val="0067354B"/>
    <w:rsid w:val="00673ECF"/>
    <w:rsid w:val="0067450E"/>
    <w:rsid w:val="0067588F"/>
    <w:rsid w:val="0067765A"/>
    <w:rsid w:val="00677DF1"/>
    <w:rsid w:val="00681496"/>
    <w:rsid w:val="00681C5D"/>
    <w:rsid w:val="00682FD4"/>
    <w:rsid w:val="0068317E"/>
    <w:rsid w:val="00683815"/>
    <w:rsid w:val="006838D3"/>
    <w:rsid w:val="00684B19"/>
    <w:rsid w:val="00685996"/>
    <w:rsid w:val="006859F1"/>
    <w:rsid w:val="00687587"/>
    <w:rsid w:val="006907C1"/>
    <w:rsid w:val="00690C51"/>
    <w:rsid w:val="006912BE"/>
    <w:rsid w:val="0069135D"/>
    <w:rsid w:val="0069437E"/>
    <w:rsid w:val="00694F0C"/>
    <w:rsid w:val="00695B1A"/>
    <w:rsid w:val="006A0176"/>
    <w:rsid w:val="006A0404"/>
    <w:rsid w:val="006A05F6"/>
    <w:rsid w:val="006A1588"/>
    <w:rsid w:val="006A3989"/>
    <w:rsid w:val="006A4A47"/>
    <w:rsid w:val="006A4A57"/>
    <w:rsid w:val="006A4B2E"/>
    <w:rsid w:val="006A4E19"/>
    <w:rsid w:val="006A52E0"/>
    <w:rsid w:val="006A5EEA"/>
    <w:rsid w:val="006A6259"/>
    <w:rsid w:val="006A7BCB"/>
    <w:rsid w:val="006A7C37"/>
    <w:rsid w:val="006B352A"/>
    <w:rsid w:val="006B50D9"/>
    <w:rsid w:val="006B540B"/>
    <w:rsid w:val="006B621D"/>
    <w:rsid w:val="006B74BB"/>
    <w:rsid w:val="006B75C3"/>
    <w:rsid w:val="006B781E"/>
    <w:rsid w:val="006C014B"/>
    <w:rsid w:val="006C07E6"/>
    <w:rsid w:val="006C0989"/>
    <w:rsid w:val="006C20CE"/>
    <w:rsid w:val="006C21BB"/>
    <w:rsid w:val="006C2DD7"/>
    <w:rsid w:val="006C4157"/>
    <w:rsid w:val="006C449F"/>
    <w:rsid w:val="006C58E4"/>
    <w:rsid w:val="006C6060"/>
    <w:rsid w:val="006C7160"/>
    <w:rsid w:val="006C7D5D"/>
    <w:rsid w:val="006D0849"/>
    <w:rsid w:val="006D10B2"/>
    <w:rsid w:val="006D11E3"/>
    <w:rsid w:val="006D6199"/>
    <w:rsid w:val="006D666B"/>
    <w:rsid w:val="006D687E"/>
    <w:rsid w:val="006D68A6"/>
    <w:rsid w:val="006E0200"/>
    <w:rsid w:val="006E3999"/>
    <w:rsid w:val="006E453C"/>
    <w:rsid w:val="006E5B8A"/>
    <w:rsid w:val="006E6E6C"/>
    <w:rsid w:val="006F1984"/>
    <w:rsid w:val="006F1EAE"/>
    <w:rsid w:val="006F2E92"/>
    <w:rsid w:val="006F428C"/>
    <w:rsid w:val="006F4383"/>
    <w:rsid w:val="006F6D63"/>
    <w:rsid w:val="00700CB9"/>
    <w:rsid w:val="007011AD"/>
    <w:rsid w:val="007023D0"/>
    <w:rsid w:val="007032E3"/>
    <w:rsid w:val="007036D0"/>
    <w:rsid w:val="007047A9"/>
    <w:rsid w:val="007051F0"/>
    <w:rsid w:val="007060F8"/>
    <w:rsid w:val="00706455"/>
    <w:rsid w:val="0070661F"/>
    <w:rsid w:val="007068EA"/>
    <w:rsid w:val="00706C4E"/>
    <w:rsid w:val="007075A2"/>
    <w:rsid w:val="00711B38"/>
    <w:rsid w:val="00713029"/>
    <w:rsid w:val="00714230"/>
    <w:rsid w:val="00716FA9"/>
    <w:rsid w:val="00721BB1"/>
    <w:rsid w:val="00721ECB"/>
    <w:rsid w:val="007224C3"/>
    <w:rsid w:val="0072363D"/>
    <w:rsid w:val="00724ADC"/>
    <w:rsid w:val="007263E4"/>
    <w:rsid w:val="007272D8"/>
    <w:rsid w:val="007309A9"/>
    <w:rsid w:val="0073345C"/>
    <w:rsid w:val="00736BF2"/>
    <w:rsid w:val="0074034C"/>
    <w:rsid w:val="00740780"/>
    <w:rsid w:val="00740CCA"/>
    <w:rsid w:val="00742BEE"/>
    <w:rsid w:val="00743311"/>
    <w:rsid w:val="007442A7"/>
    <w:rsid w:val="0074526A"/>
    <w:rsid w:val="007452FB"/>
    <w:rsid w:val="00745587"/>
    <w:rsid w:val="00745882"/>
    <w:rsid w:val="0074597A"/>
    <w:rsid w:val="00750AAC"/>
    <w:rsid w:val="00751CD3"/>
    <w:rsid w:val="00752305"/>
    <w:rsid w:val="00752840"/>
    <w:rsid w:val="00754952"/>
    <w:rsid w:val="00755C2E"/>
    <w:rsid w:val="007579C6"/>
    <w:rsid w:val="00761D65"/>
    <w:rsid w:val="00762756"/>
    <w:rsid w:val="00765A04"/>
    <w:rsid w:val="00767BB2"/>
    <w:rsid w:val="00770E1A"/>
    <w:rsid w:val="00772036"/>
    <w:rsid w:val="0077222B"/>
    <w:rsid w:val="00772B38"/>
    <w:rsid w:val="00772BB4"/>
    <w:rsid w:val="00774C1E"/>
    <w:rsid w:val="007750A6"/>
    <w:rsid w:val="00775D5E"/>
    <w:rsid w:val="00777848"/>
    <w:rsid w:val="00780BC3"/>
    <w:rsid w:val="0078382B"/>
    <w:rsid w:val="007860A9"/>
    <w:rsid w:val="00786342"/>
    <w:rsid w:val="0079018F"/>
    <w:rsid w:val="0079094C"/>
    <w:rsid w:val="007923BC"/>
    <w:rsid w:val="00793E3E"/>
    <w:rsid w:val="007957F8"/>
    <w:rsid w:val="00795CFC"/>
    <w:rsid w:val="00796C48"/>
    <w:rsid w:val="007A05CB"/>
    <w:rsid w:val="007A08BD"/>
    <w:rsid w:val="007A0C1C"/>
    <w:rsid w:val="007A0F0C"/>
    <w:rsid w:val="007A17D3"/>
    <w:rsid w:val="007A1852"/>
    <w:rsid w:val="007A3028"/>
    <w:rsid w:val="007A3400"/>
    <w:rsid w:val="007A388A"/>
    <w:rsid w:val="007A3A88"/>
    <w:rsid w:val="007A3E0D"/>
    <w:rsid w:val="007A436B"/>
    <w:rsid w:val="007A54F8"/>
    <w:rsid w:val="007A5ACD"/>
    <w:rsid w:val="007A6633"/>
    <w:rsid w:val="007A726D"/>
    <w:rsid w:val="007B1958"/>
    <w:rsid w:val="007B1DDA"/>
    <w:rsid w:val="007B3A4D"/>
    <w:rsid w:val="007C0D5C"/>
    <w:rsid w:val="007C12BD"/>
    <w:rsid w:val="007C1E6D"/>
    <w:rsid w:val="007C3711"/>
    <w:rsid w:val="007C489B"/>
    <w:rsid w:val="007C5128"/>
    <w:rsid w:val="007C5AEB"/>
    <w:rsid w:val="007C5D29"/>
    <w:rsid w:val="007D16F0"/>
    <w:rsid w:val="007D51C7"/>
    <w:rsid w:val="007D6145"/>
    <w:rsid w:val="007D61DC"/>
    <w:rsid w:val="007D6576"/>
    <w:rsid w:val="007E0492"/>
    <w:rsid w:val="007E2CE0"/>
    <w:rsid w:val="007E43A2"/>
    <w:rsid w:val="007E53A9"/>
    <w:rsid w:val="007E59FC"/>
    <w:rsid w:val="007E6E9D"/>
    <w:rsid w:val="007F049A"/>
    <w:rsid w:val="007F06F6"/>
    <w:rsid w:val="007F0C01"/>
    <w:rsid w:val="007F1B17"/>
    <w:rsid w:val="007F3BBD"/>
    <w:rsid w:val="007F40B6"/>
    <w:rsid w:val="007F40F0"/>
    <w:rsid w:val="007F74B1"/>
    <w:rsid w:val="007F7F3D"/>
    <w:rsid w:val="00802A1D"/>
    <w:rsid w:val="00804FD4"/>
    <w:rsid w:val="0080706A"/>
    <w:rsid w:val="008078B8"/>
    <w:rsid w:val="00810011"/>
    <w:rsid w:val="00811C23"/>
    <w:rsid w:val="00811FA5"/>
    <w:rsid w:val="008148D2"/>
    <w:rsid w:val="00816B9D"/>
    <w:rsid w:val="0082159A"/>
    <w:rsid w:val="008229E4"/>
    <w:rsid w:val="00824DEB"/>
    <w:rsid w:val="00825DAC"/>
    <w:rsid w:val="00825E30"/>
    <w:rsid w:val="00827386"/>
    <w:rsid w:val="008277E1"/>
    <w:rsid w:val="00830225"/>
    <w:rsid w:val="00830B1F"/>
    <w:rsid w:val="008311D9"/>
    <w:rsid w:val="0083152E"/>
    <w:rsid w:val="00832560"/>
    <w:rsid w:val="00832B10"/>
    <w:rsid w:val="0083449E"/>
    <w:rsid w:val="008346A6"/>
    <w:rsid w:val="00835A13"/>
    <w:rsid w:val="008374A6"/>
    <w:rsid w:val="0084049D"/>
    <w:rsid w:val="00842077"/>
    <w:rsid w:val="008434E2"/>
    <w:rsid w:val="00844132"/>
    <w:rsid w:val="0084747F"/>
    <w:rsid w:val="00847EE9"/>
    <w:rsid w:val="00850BB7"/>
    <w:rsid w:val="00850D6E"/>
    <w:rsid w:val="00850DC2"/>
    <w:rsid w:val="00850E76"/>
    <w:rsid w:val="008517DE"/>
    <w:rsid w:val="0085181D"/>
    <w:rsid w:val="00851CA9"/>
    <w:rsid w:val="008522BC"/>
    <w:rsid w:val="008524B5"/>
    <w:rsid w:val="00852905"/>
    <w:rsid w:val="00853F80"/>
    <w:rsid w:val="00854AC6"/>
    <w:rsid w:val="00854F86"/>
    <w:rsid w:val="008555AC"/>
    <w:rsid w:val="00855690"/>
    <w:rsid w:val="008572AA"/>
    <w:rsid w:val="008579F5"/>
    <w:rsid w:val="00857D7B"/>
    <w:rsid w:val="00860361"/>
    <w:rsid w:val="008641F4"/>
    <w:rsid w:val="00866955"/>
    <w:rsid w:val="00867428"/>
    <w:rsid w:val="0087205C"/>
    <w:rsid w:val="0087226D"/>
    <w:rsid w:val="00872866"/>
    <w:rsid w:val="0087292C"/>
    <w:rsid w:val="0087402B"/>
    <w:rsid w:val="0087443C"/>
    <w:rsid w:val="00874A94"/>
    <w:rsid w:val="00874E43"/>
    <w:rsid w:val="00875858"/>
    <w:rsid w:val="00875CFD"/>
    <w:rsid w:val="00880A15"/>
    <w:rsid w:val="008811F0"/>
    <w:rsid w:val="00883455"/>
    <w:rsid w:val="0088448D"/>
    <w:rsid w:val="00884E29"/>
    <w:rsid w:val="00885504"/>
    <w:rsid w:val="00885D90"/>
    <w:rsid w:val="00887529"/>
    <w:rsid w:val="00890BCF"/>
    <w:rsid w:val="0089127A"/>
    <w:rsid w:val="0089133D"/>
    <w:rsid w:val="00891871"/>
    <w:rsid w:val="00891E0B"/>
    <w:rsid w:val="008921BD"/>
    <w:rsid w:val="008929EE"/>
    <w:rsid w:val="008929F5"/>
    <w:rsid w:val="00895BA6"/>
    <w:rsid w:val="00897E91"/>
    <w:rsid w:val="008A017A"/>
    <w:rsid w:val="008A072A"/>
    <w:rsid w:val="008A405A"/>
    <w:rsid w:val="008A40EB"/>
    <w:rsid w:val="008A4959"/>
    <w:rsid w:val="008A535F"/>
    <w:rsid w:val="008A6CB0"/>
    <w:rsid w:val="008A7887"/>
    <w:rsid w:val="008B24E2"/>
    <w:rsid w:val="008B3AFE"/>
    <w:rsid w:val="008B42A8"/>
    <w:rsid w:val="008B7FB9"/>
    <w:rsid w:val="008C15B3"/>
    <w:rsid w:val="008C1A07"/>
    <w:rsid w:val="008C2018"/>
    <w:rsid w:val="008C2174"/>
    <w:rsid w:val="008C30A6"/>
    <w:rsid w:val="008C4106"/>
    <w:rsid w:val="008C4341"/>
    <w:rsid w:val="008C4E30"/>
    <w:rsid w:val="008C5273"/>
    <w:rsid w:val="008C53D7"/>
    <w:rsid w:val="008C555E"/>
    <w:rsid w:val="008C5870"/>
    <w:rsid w:val="008C6095"/>
    <w:rsid w:val="008D0B9C"/>
    <w:rsid w:val="008D1902"/>
    <w:rsid w:val="008D1A6C"/>
    <w:rsid w:val="008D2D31"/>
    <w:rsid w:val="008D3694"/>
    <w:rsid w:val="008E0FEB"/>
    <w:rsid w:val="008E21D5"/>
    <w:rsid w:val="008E3E67"/>
    <w:rsid w:val="008E422D"/>
    <w:rsid w:val="008E4EC4"/>
    <w:rsid w:val="008E680F"/>
    <w:rsid w:val="008E7793"/>
    <w:rsid w:val="008F0170"/>
    <w:rsid w:val="008F087E"/>
    <w:rsid w:val="008F0C79"/>
    <w:rsid w:val="008F1589"/>
    <w:rsid w:val="008F166D"/>
    <w:rsid w:val="008F18CF"/>
    <w:rsid w:val="008F4BDA"/>
    <w:rsid w:val="008F765C"/>
    <w:rsid w:val="009017B5"/>
    <w:rsid w:val="0090388B"/>
    <w:rsid w:val="009052D9"/>
    <w:rsid w:val="00906008"/>
    <w:rsid w:val="0090777A"/>
    <w:rsid w:val="00907F2A"/>
    <w:rsid w:val="009118A9"/>
    <w:rsid w:val="009123ED"/>
    <w:rsid w:val="00913455"/>
    <w:rsid w:val="00914D90"/>
    <w:rsid w:val="00915BDA"/>
    <w:rsid w:val="009163B9"/>
    <w:rsid w:val="009217CF"/>
    <w:rsid w:val="00921B51"/>
    <w:rsid w:val="009246D6"/>
    <w:rsid w:val="00924D09"/>
    <w:rsid w:val="009259D3"/>
    <w:rsid w:val="009265AC"/>
    <w:rsid w:val="00926643"/>
    <w:rsid w:val="0092720E"/>
    <w:rsid w:val="0092757F"/>
    <w:rsid w:val="009308AD"/>
    <w:rsid w:val="009320D0"/>
    <w:rsid w:val="00932365"/>
    <w:rsid w:val="00933119"/>
    <w:rsid w:val="0093357E"/>
    <w:rsid w:val="00933E3B"/>
    <w:rsid w:val="0093415B"/>
    <w:rsid w:val="009372D9"/>
    <w:rsid w:val="00937766"/>
    <w:rsid w:val="0094088C"/>
    <w:rsid w:val="00940F12"/>
    <w:rsid w:val="009414D4"/>
    <w:rsid w:val="009426B9"/>
    <w:rsid w:val="00942929"/>
    <w:rsid w:val="009431E6"/>
    <w:rsid w:val="009439B5"/>
    <w:rsid w:val="00944F61"/>
    <w:rsid w:val="009472E5"/>
    <w:rsid w:val="009474EF"/>
    <w:rsid w:val="0095044C"/>
    <w:rsid w:val="009509B5"/>
    <w:rsid w:val="00951B93"/>
    <w:rsid w:val="00952CB4"/>
    <w:rsid w:val="00954BE4"/>
    <w:rsid w:val="00956992"/>
    <w:rsid w:val="00957AAA"/>
    <w:rsid w:val="00961B55"/>
    <w:rsid w:val="009637F5"/>
    <w:rsid w:val="00964BC1"/>
    <w:rsid w:val="00964F65"/>
    <w:rsid w:val="009658EC"/>
    <w:rsid w:val="00966A8F"/>
    <w:rsid w:val="00970558"/>
    <w:rsid w:val="009708F5"/>
    <w:rsid w:val="00971FD0"/>
    <w:rsid w:val="00972779"/>
    <w:rsid w:val="0097289B"/>
    <w:rsid w:val="00972A0B"/>
    <w:rsid w:val="00973A46"/>
    <w:rsid w:val="0097439B"/>
    <w:rsid w:val="009744B5"/>
    <w:rsid w:val="00974C0A"/>
    <w:rsid w:val="00975012"/>
    <w:rsid w:val="00975A9E"/>
    <w:rsid w:val="009773BC"/>
    <w:rsid w:val="009802BA"/>
    <w:rsid w:val="00981FF9"/>
    <w:rsid w:val="009824C0"/>
    <w:rsid w:val="009825BB"/>
    <w:rsid w:val="0098269D"/>
    <w:rsid w:val="00982F36"/>
    <w:rsid w:val="00984EE9"/>
    <w:rsid w:val="00985129"/>
    <w:rsid w:val="00985A5F"/>
    <w:rsid w:val="00985B79"/>
    <w:rsid w:val="0098659D"/>
    <w:rsid w:val="0098681C"/>
    <w:rsid w:val="00987A57"/>
    <w:rsid w:val="009907C1"/>
    <w:rsid w:val="00991768"/>
    <w:rsid w:val="0099189B"/>
    <w:rsid w:val="0099194A"/>
    <w:rsid w:val="00992E1E"/>
    <w:rsid w:val="00995105"/>
    <w:rsid w:val="0099539A"/>
    <w:rsid w:val="009965DB"/>
    <w:rsid w:val="0099699E"/>
    <w:rsid w:val="00996A03"/>
    <w:rsid w:val="00997515"/>
    <w:rsid w:val="009A0C45"/>
    <w:rsid w:val="009A185C"/>
    <w:rsid w:val="009A28DB"/>
    <w:rsid w:val="009A30DD"/>
    <w:rsid w:val="009A35BF"/>
    <w:rsid w:val="009A4CC1"/>
    <w:rsid w:val="009A5537"/>
    <w:rsid w:val="009A6B8D"/>
    <w:rsid w:val="009A6E72"/>
    <w:rsid w:val="009B0C6C"/>
    <w:rsid w:val="009B7265"/>
    <w:rsid w:val="009B7D66"/>
    <w:rsid w:val="009C010D"/>
    <w:rsid w:val="009C0388"/>
    <w:rsid w:val="009C0B38"/>
    <w:rsid w:val="009C1A56"/>
    <w:rsid w:val="009C1CB5"/>
    <w:rsid w:val="009C247D"/>
    <w:rsid w:val="009C2C40"/>
    <w:rsid w:val="009C4471"/>
    <w:rsid w:val="009C5363"/>
    <w:rsid w:val="009C542B"/>
    <w:rsid w:val="009C5436"/>
    <w:rsid w:val="009D057E"/>
    <w:rsid w:val="009D0E96"/>
    <w:rsid w:val="009D17E1"/>
    <w:rsid w:val="009D2A22"/>
    <w:rsid w:val="009D47CF"/>
    <w:rsid w:val="009E05AB"/>
    <w:rsid w:val="009E5FF5"/>
    <w:rsid w:val="009E6295"/>
    <w:rsid w:val="009E6DBE"/>
    <w:rsid w:val="009E794E"/>
    <w:rsid w:val="009F020E"/>
    <w:rsid w:val="009F1BA3"/>
    <w:rsid w:val="009F3456"/>
    <w:rsid w:val="009F365C"/>
    <w:rsid w:val="009F3DE4"/>
    <w:rsid w:val="00A0109B"/>
    <w:rsid w:val="00A0343D"/>
    <w:rsid w:val="00A03F5C"/>
    <w:rsid w:val="00A04BD7"/>
    <w:rsid w:val="00A06CE0"/>
    <w:rsid w:val="00A0737E"/>
    <w:rsid w:val="00A075C4"/>
    <w:rsid w:val="00A12469"/>
    <w:rsid w:val="00A12EC1"/>
    <w:rsid w:val="00A12F2D"/>
    <w:rsid w:val="00A13021"/>
    <w:rsid w:val="00A14965"/>
    <w:rsid w:val="00A15465"/>
    <w:rsid w:val="00A17930"/>
    <w:rsid w:val="00A20A4B"/>
    <w:rsid w:val="00A22773"/>
    <w:rsid w:val="00A23974"/>
    <w:rsid w:val="00A263A2"/>
    <w:rsid w:val="00A264E8"/>
    <w:rsid w:val="00A27993"/>
    <w:rsid w:val="00A32D07"/>
    <w:rsid w:val="00A33FF3"/>
    <w:rsid w:val="00A3476A"/>
    <w:rsid w:val="00A34E50"/>
    <w:rsid w:val="00A34E6F"/>
    <w:rsid w:val="00A351FF"/>
    <w:rsid w:val="00A3572E"/>
    <w:rsid w:val="00A3750D"/>
    <w:rsid w:val="00A37F0B"/>
    <w:rsid w:val="00A41CF5"/>
    <w:rsid w:val="00A429D2"/>
    <w:rsid w:val="00A4430F"/>
    <w:rsid w:val="00A46369"/>
    <w:rsid w:val="00A4641F"/>
    <w:rsid w:val="00A466A9"/>
    <w:rsid w:val="00A46B6B"/>
    <w:rsid w:val="00A46CA1"/>
    <w:rsid w:val="00A50D58"/>
    <w:rsid w:val="00A51439"/>
    <w:rsid w:val="00A522B9"/>
    <w:rsid w:val="00A52636"/>
    <w:rsid w:val="00A52B67"/>
    <w:rsid w:val="00A54E60"/>
    <w:rsid w:val="00A55CB6"/>
    <w:rsid w:val="00A56727"/>
    <w:rsid w:val="00A5684A"/>
    <w:rsid w:val="00A56A55"/>
    <w:rsid w:val="00A6183D"/>
    <w:rsid w:val="00A61F1B"/>
    <w:rsid w:val="00A63C25"/>
    <w:rsid w:val="00A64AC7"/>
    <w:rsid w:val="00A65865"/>
    <w:rsid w:val="00A65DDA"/>
    <w:rsid w:val="00A6672B"/>
    <w:rsid w:val="00A67735"/>
    <w:rsid w:val="00A67BE4"/>
    <w:rsid w:val="00A721EA"/>
    <w:rsid w:val="00A72958"/>
    <w:rsid w:val="00A73235"/>
    <w:rsid w:val="00A73C5A"/>
    <w:rsid w:val="00A74387"/>
    <w:rsid w:val="00A74423"/>
    <w:rsid w:val="00A7447F"/>
    <w:rsid w:val="00A7457A"/>
    <w:rsid w:val="00A76164"/>
    <w:rsid w:val="00A762CC"/>
    <w:rsid w:val="00A80AE0"/>
    <w:rsid w:val="00A80C31"/>
    <w:rsid w:val="00A80DC1"/>
    <w:rsid w:val="00A8136E"/>
    <w:rsid w:val="00A84595"/>
    <w:rsid w:val="00A84E82"/>
    <w:rsid w:val="00A8517D"/>
    <w:rsid w:val="00A85CF2"/>
    <w:rsid w:val="00A86F6A"/>
    <w:rsid w:val="00A91789"/>
    <w:rsid w:val="00A917B8"/>
    <w:rsid w:val="00A919F6"/>
    <w:rsid w:val="00A91B4A"/>
    <w:rsid w:val="00A925F4"/>
    <w:rsid w:val="00A94D71"/>
    <w:rsid w:val="00A96344"/>
    <w:rsid w:val="00A96E60"/>
    <w:rsid w:val="00AA15DC"/>
    <w:rsid w:val="00AA4B94"/>
    <w:rsid w:val="00AA4D9B"/>
    <w:rsid w:val="00AA591F"/>
    <w:rsid w:val="00AB134B"/>
    <w:rsid w:val="00AB2342"/>
    <w:rsid w:val="00AB3A6F"/>
    <w:rsid w:val="00AB405C"/>
    <w:rsid w:val="00AB47CE"/>
    <w:rsid w:val="00AB575B"/>
    <w:rsid w:val="00AB5F49"/>
    <w:rsid w:val="00AB600C"/>
    <w:rsid w:val="00AB6C2E"/>
    <w:rsid w:val="00AC051C"/>
    <w:rsid w:val="00AC07DD"/>
    <w:rsid w:val="00AC4F51"/>
    <w:rsid w:val="00AC7BC2"/>
    <w:rsid w:val="00AD0371"/>
    <w:rsid w:val="00AD13DC"/>
    <w:rsid w:val="00AD151F"/>
    <w:rsid w:val="00AD4813"/>
    <w:rsid w:val="00AD5291"/>
    <w:rsid w:val="00AD54C5"/>
    <w:rsid w:val="00AD5A97"/>
    <w:rsid w:val="00AD5FAA"/>
    <w:rsid w:val="00AD72B7"/>
    <w:rsid w:val="00AD7B2C"/>
    <w:rsid w:val="00AD7C5A"/>
    <w:rsid w:val="00AD7FFB"/>
    <w:rsid w:val="00AE407F"/>
    <w:rsid w:val="00AE53F8"/>
    <w:rsid w:val="00AE5FA6"/>
    <w:rsid w:val="00AE6312"/>
    <w:rsid w:val="00AE659A"/>
    <w:rsid w:val="00AE6D63"/>
    <w:rsid w:val="00AE72F9"/>
    <w:rsid w:val="00AF1207"/>
    <w:rsid w:val="00AF211B"/>
    <w:rsid w:val="00AF4C35"/>
    <w:rsid w:val="00AF6518"/>
    <w:rsid w:val="00B009D4"/>
    <w:rsid w:val="00B00FCD"/>
    <w:rsid w:val="00B02B90"/>
    <w:rsid w:val="00B0314B"/>
    <w:rsid w:val="00B03809"/>
    <w:rsid w:val="00B06836"/>
    <w:rsid w:val="00B074FA"/>
    <w:rsid w:val="00B11677"/>
    <w:rsid w:val="00B13774"/>
    <w:rsid w:val="00B13A8A"/>
    <w:rsid w:val="00B14120"/>
    <w:rsid w:val="00B15C76"/>
    <w:rsid w:val="00B16C29"/>
    <w:rsid w:val="00B17FFC"/>
    <w:rsid w:val="00B206C2"/>
    <w:rsid w:val="00B2169D"/>
    <w:rsid w:val="00B25A1C"/>
    <w:rsid w:val="00B25B35"/>
    <w:rsid w:val="00B2755E"/>
    <w:rsid w:val="00B33DD7"/>
    <w:rsid w:val="00B35CF4"/>
    <w:rsid w:val="00B36C68"/>
    <w:rsid w:val="00B372A8"/>
    <w:rsid w:val="00B40531"/>
    <w:rsid w:val="00B43332"/>
    <w:rsid w:val="00B438CF"/>
    <w:rsid w:val="00B44A78"/>
    <w:rsid w:val="00B45596"/>
    <w:rsid w:val="00B45B73"/>
    <w:rsid w:val="00B46028"/>
    <w:rsid w:val="00B46EE7"/>
    <w:rsid w:val="00B50D25"/>
    <w:rsid w:val="00B5112F"/>
    <w:rsid w:val="00B51340"/>
    <w:rsid w:val="00B51D85"/>
    <w:rsid w:val="00B5206E"/>
    <w:rsid w:val="00B53FDE"/>
    <w:rsid w:val="00B54DED"/>
    <w:rsid w:val="00B54EF7"/>
    <w:rsid w:val="00B559A4"/>
    <w:rsid w:val="00B56748"/>
    <w:rsid w:val="00B56DDC"/>
    <w:rsid w:val="00B577BB"/>
    <w:rsid w:val="00B6057E"/>
    <w:rsid w:val="00B60D59"/>
    <w:rsid w:val="00B6117A"/>
    <w:rsid w:val="00B61569"/>
    <w:rsid w:val="00B63281"/>
    <w:rsid w:val="00B71741"/>
    <w:rsid w:val="00B722B6"/>
    <w:rsid w:val="00B73B01"/>
    <w:rsid w:val="00B764B0"/>
    <w:rsid w:val="00B8030D"/>
    <w:rsid w:val="00B80A99"/>
    <w:rsid w:val="00B81EB4"/>
    <w:rsid w:val="00B8286D"/>
    <w:rsid w:val="00B836B7"/>
    <w:rsid w:val="00B83A0D"/>
    <w:rsid w:val="00B84083"/>
    <w:rsid w:val="00B86810"/>
    <w:rsid w:val="00B86AE2"/>
    <w:rsid w:val="00B903B6"/>
    <w:rsid w:val="00B9058C"/>
    <w:rsid w:val="00B90950"/>
    <w:rsid w:val="00B9143A"/>
    <w:rsid w:val="00B9219A"/>
    <w:rsid w:val="00B94C5A"/>
    <w:rsid w:val="00B96E3B"/>
    <w:rsid w:val="00B96FEE"/>
    <w:rsid w:val="00B97120"/>
    <w:rsid w:val="00B97FFC"/>
    <w:rsid w:val="00BA0702"/>
    <w:rsid w:val="00BA0926"/>
    <w:rsid w:val="00BA0A4E"/>
    <w:rsid w:val="00BA0DE7"/>
    <w:rsid w:val="00BA260B"/>
    <w:rsid w:val="00BA3D78"/>
    <w:rsid w:val="00BA406A"/>
    <w:rsid w:val="00BA4567"/>
    <w:rsid w:val="00BA4C6D"/>
    <w:rsid w:val="00BA6533"/>
    <w:rsid w:val="00BA767C"/>
    <w:rsid w:val="00BB10B0"/>
    <w:rsid w:val="00BB1220"/>
    <w:rsid w:val="00BB1A61"/>
    <w:rsid w:val="00BB27B1"/>
    <w:rsid w:val="00BB2A1C"/>
    <w:rsid w:val="00BB41D4"/>
    <w:rsid w:val="00BB47A5"/>
    <w:rsid w:val="00BB56B7"/>
    <w:rsid w:val="00BC11F4"/>
    <w:rsid w:val="00BC15DA"/>
    <w:rsid w:val="00BC15F7"/>
    <w:rsid w:val="00BC1DFD"/>
    <w:rsid w:val="00BC217E"/>
    <w:rsid w:val="00BC21CD"/>
    <w:rsid w:val="00BC3593"/>
    <w:rsid w:val="00BC3A24"/>
    <w:rsid w:val="00BC3F1F"/>
    <w:rsid w:val="00BC4272"/>
    <w:rsid w:val="00BC45E2"/>
    <w:rsid w:val="00BC4812"/>
    <w:rsid w:val="00BC6341"/>
    <w:rsid w:val="00BC6D3B"/>
    <w:rsid w:val="00BD0F8B"/>
    <w:rsid w:val="00BD3F2E"/>
    <w:rsid w:val="00BD45F9"/>
    <w:rsid w:val="00BD4EE5"/>
    <w:rsid w:val="00BD77BE"/>
    <w:rsid w:val="00BE044B"/>
    <w:rsid w:val="00BE0593"/>
    <w:rsid w:val="00BE0EB7"/>
    <w:rsid w:val="00BE325C"/>
    <w:rsid w:val="00BE3A13"/>
    <w:rsid w:val="00BE4545"/>
    <w:rsid w:val="00BE629D"/>
    <w:rsid w:val="00BE6428"/>
    <w:rsid w:val="00BE786C"/>
    <w:rsid w:val="00BF17F3"/>
    <w:rsid w:val="00BF216F"/>
    <w:rsid w:val="00BF2B04"/>
    <w:rsid w:val="00BF323C"/>
    <w:rsid w:val="00BF5B41"/>
    <w:rsid w:val="00BF5DAA"/>
    <w:rsid w:val="00BF5EBC"/>
    <w:rsid w:val="00BF7F74"/>
    <w:rsid w:val="00C016B5"/>
    <w:rsid w:val="00C03399"/>
    <w:rsid w:val="00C048E4"/>
    <w:rsid w:val="00C057A9"/>
    <w:rsid w:val="00C073FC"/>
    <w:rsid w:val="00C07D4F"/>
    <w:rsid w:val="00C117D6"/>
    <w:rsid w:val="00C13854"/>
    <w:rsid w:val="00C145FF"/>
    <w:rsid w:val="00C14E87"/>
    <w:rsid w:val="00C1515E"/>
    <w:rsid w:val="00C15B05"/>
    <w:rsid w:val="00C16021"/>
    <w:rsid w:val="00C16D21"/>
    <w:rsid w:val="00C20745"/>
    <w:rsid w:val="00C20E73"/>
    <w:rsid w:val="00C2166C"/>
    <w:rsid w:val="00C2331C"/>
    <w:rsid w:val="00C235B3"/>
    <w:rsid w:val="00C24245"/>
    <w:rsid w:val="00C25FD9"/>
    <w:rsid w:val="00C262C5"/>
    <w:rsid w:val="00C26F6D"/>
    <w:rsid w:val="00C276D1"/>
    <w:rsid w:val="00C27802"/>
    <w:rsid w:val="00C3060D"/>
    <w:rsid w:val="00C30CE6"/>
    <w:rsid w:val="00C33334"/>
    <w:rsid w:val="00C404BD"/>
    <w:rsid w:val="00C41A6F"/>
    <w:rsid w:val="00C41EE7"/>
    <w:rsid w:val="00C41F53"/>
    <w:rsid w:val="00C43D55"/>
    <w:rsid w:val="00C43F96"/>
    <w:rsid w:val="00C4409E"/>
    <w:rsid w:val="00C4515D"/>
    <w:rsid w:val="00C478A1"/>
    <w:rsid w:val="00C47E18"/>
    <w:rsid w:val="00C47F47"/>
    <w:rsid w:val="00C50BCE"/>
    <w:rsid w:val="00C50D4E"/>
    <w:rsid w:val="00C52A9C"/>
    <w:rsid w:val="00C52AC7"/>
    <w:rsid w:val="00C555CB"/>
    <w:rsid w:val="00C56B07"/>
    <w:rsid w:val="00C606CF"/>
    <w:rsid w:val="00C609C2"/>
    <w:rsid w:val="00C60D39"/>
    <w:rsid w:val="00C64553"/>
    <w:rsid w:val="00C65443"/>
    <w:rsid w:val="00C65692"/>
    <w:rsid w:val="00C6599E"/>
    <w:rsid w:val="00C65F0F"/>
    <w:rsid w:val="00C663CB"/>
    <w:rsid w:val="00C666BD"/>
    <w:rsid w:val="00C66F2A"/>
    <w:rsid w:val="00C672C8"/>
    <w:rsid w:val="00C679B8"/>
    <w:rsid w:val="00C67BF6"/>
    <w:rsid w:val="00C70F68"/>
    <w:rsid w:val="00C71638"/>
    <w:rsid w:val="00C725F3"/>
    <w:rsid w:val="00C746C0"/>
    <w:rsid w:val="00C750C3"/>
    <w:rsid w:val="00C75785"/>
    <w:rsid w:val="00C76935"/>
    <w:rsid w:val="00C76BA0"/>
    <w:rsid w:val="00C802DB"/>
    <w:rsid w:val="00C80405"/>
    <w:rsid w:val="00C80B20"/>
    <w:rsid w:val="00C82363"/>
    <w:rsid w:val="00C83997"/>
    <w:rsid w:val="00C87114"/>
    <w:rsid w:val="00C901F4"/>
    <w:rsid w:val="00C9083E"/>
    <w:rsid w:val="00C9240F"/>
    <w:rsid w:val="00C925AB"/>
    <w:rsid w:val="00C927FC"/>
    <w:rsid w:val="00C93239"/>
    <w:rsid w:val="00C93781"/>
    <w:rsid w:val="00C93C68"/>
    <w:rsid w:val="00C94042"/>
    <w:rsid w:val="00C97315"/>
    <w:rsid w:val="00CA1F58"/>
    <w:rsid w:val="00CA5C36"/>
    <w:rsid w:val="00CA5F9C"/>
    <w:rsid w:val="00CA6B26"/>
    <w:rsid w:val="00CA71CF"/>
    <w:rsid w:val="00CA72DB"/>
    <w:rsid w:val="00CB135D"/>
    <w:rsid w:val="00CB30B7"/>
    <w:rsid w:val="00CB4DDF"/>
    <w:rsid w:val="00CB721C"/>
    <w:rsid w:val="00CB73D8"/>
    <w:rsid w:val="00CB7642"/>
    <w:rsid w:val="00CC1D67"/>
    <w:rsid w:val="00CC23FF"/>
    <w:rsid w:val="00CC358C"/>
    <w:rsid w:val="00CC7359"/>
    <w:rsid w:val="00CC7F9D"/>
    <w:rsid w:val="00CD0592"/>
    <w:rsid w:val="00CD0E32"/>
    <w:rsid w:val="00CD179E"/>
    <w:rsid w:val="00CD431A"/>
    <w:rsid w:val="00CD5918"/>
    <w:rsid w:val="00CE4113"/>
    <w:rsid w:val="00CE543A"/>
    <w:rsid w:val="00CE7185"/>
    <w:rsid w:val="00CE7A87"/>
    <w:rsid w:val="00CF01F4"/>
    <w:rsid w:val="00CF0822"/>
    <w:rsid w:val="00CF27BE"/>
    <w:rsid w:val="00CF3CB5"/>
    <w:rsid w:val="00CF458D"/>
    <w:rsid w:val="00CF5CD2"/>
    <w:rsid w:val="00CF6AC1"/>
    <w:rsid w:val="00D0099C"/>
    <w:rsid w:val="00D0159F"/>
    <w:rsid w:val="00D02D56"/>
    <w:rsid w:val="00D02E14"/>
    <w:rsid w:val="00D03B89"/>
    <w:rsid w:val="00D047FA"/>
    <w:rsid w:val="00D051F3"/>
    <w:rsid w:val="00D10893"/>
    <w:rsid w:val="00D16640"/>
    <w:rsid w:val="00D20EFD"/>
    <w:rsid w:val="00D214E6"/>
    <w:rsid w:val="00D2340E"/>
    <w:rsid w:val="00D239BC"/>
    <w:rsid w:val="00D24544"/>
    <w:rsid w:val="00D24CB1"/>
    <w:rsid w:val="00D26382"/>
    <w:rsid w:val="00D31432"/>
    <w:rsid w:val="00D344F1"/>
    <w:rsid w:val="00D35467"/>
    <w:rsid w:val="00D3660C"/>
    <w:rsid w:val="00D3668A"/>
    <w:rsid w:val="00D3708D"/>
    <w:rsid w:val="00D4113E"/>
    <w:rsid w:val="00D4186C"/>
    <w:rsid w:val="00D41FD8"/>
    <w:rsid w:val="00D44628"/>
    <w:rsid w:val="00D44B3D"/>
    <w:rsid w:val="00D455A7"/>
    <w:rsid w:val="00D45671"/>
    <w:rsid w:val="00D45A54"/>
    <w:rsid w:val="00D45AC4"/>
    <w:rsid w:val="00D45DF4"/>
    <w:rsid w:val="00D47A1F"/>
    <w:rsid w:val="00D47BAE"/>
    <w:rsid w:val="00D47D05"/>
    <w:rsid w:val="00D500AD"/>
    <w:rsid w:val="00D503DB"/>
    <w:rsid w:val="00D505D1"/>
    <w:rsid w:val="00D50CC9"/>
    <w:rsid w:val="00D50D1C"/>
    <w:rsid w:val="00D52335"/>
    <w:rsid w:val="00D53E7C"/>
    <w:rsid w:val="00D54DCB"/>
    <w:rsid w:val="00D55903"/>
    <w:rsid w:val="00D56C60"/>
    <w:rsid w:val="00D57437"/>
    <w:rsid w:val="00D6004C"/>
    <w:rsid w:val="00D60318"/>
    <w:rsid w:val="00D61963"/>
    <w:rsid w:val="00D62426"/>
    <w:rsid w:val="00D626AE"/>
    <w:rsid w:val="00D633EC"/>
    <w:rsid w:val="00D64587"/>
    <w:rsid w:val="00D64C04"/>
    <w:rsid w:val="00D67822"/>
    <w:rsid w:val="00D67CDE"/>
    <w:rsid w:val="00D67D34"/>
    <w:rsid w:val="00D71033"/>
    <w:rsid w:val="00D7256E"/>
    <w:rsid w:val="00D725F4"/>
    <w:rsid w:val="00D73681"/>
    <w:rsid w:val="00D73E42"/>
    <w:rsid w:val="00D75DE4"/>
    <w:rsid w:val="00D77056"/>
    <w:rsid w:val="00D80BBB"/>
    <w:rsid w:val="00D80ED8"/>
    <w:rsid w:val="00D81D34"/>
    <w:rsid w:val="00D82CBE"/>
    <w:rsid w:val="00D83170"/>
    <w:rsid w:val="00D84D97"/>
    <w:rsid w:val="00D85178"/>
    <w:rsid w:val="00D85317"/>
    <w:rsid w:val="00D855C8"/>
    <w:rsid w:val="00D86C0A"/>
    <w:rsid w:val="00D87960"/>
    <w:rsid w:val="00D87ADD"/>
    <w:rsid w:val="00D90E27"/>
    <w:rsid w:val="00D91385"/>
    <w:rsid w:val="00D915DF"/>
    <w:rsid w:val="00D916B3"/>
    <w:rsid w:val="00D949F4"/>
    <w:rsid w:val="00D95641"/>
    <w:rsid w:val="00D959F8"/>
    <w:rsid w:val="00D95D4B"/>
    <w:rsid w:val="00D95E78"/>
    <w:rsid w:val="00D96372"/>
    <w:rsid w:val="00D966A1"/>
    <w:rsid w:val="00D96918"/>
    <w:rsid w:val="00D97656"/>
    <w:rsid w:val="00D9768D"/>
    <w:rsid w:val="00DA029F"/>
    <w:rsid w:val="00DA0E48"/>
    <w:rsid w:val="00DA1385"/>
    <w:rsid w:val="00DA1F9C"/>
    <w:rsid w:val="00DA2E91"/>
    <w:rsid w:val="00DA3752"/>
    <w:rsid w:val="00DA3B88"/>
    <w:rsid w:val="00DA3E15"/>
    <w:rsid w:val="00DA451A"/>
    <w:rsid w:val="00DA5AEE"/>
    <w:rsid w:val="00DA5F6B"/>
    <w:rsid w:val="00DA607C"/>
    <w:rsid w:val="00DA608A"/>
    <w:rsid w:val="00DA6E9E"/>
    <w:rsid w:val="00DB08AE"/>
    <w:rsid w:val="00DB31F7"/>
    <w:rsid w:val="00DB5B6B"/>
    <w:rsid w:val="00DC1A95"/>
    <w:rsid w:val="00DC231B"/>
    <w:rsid w:val="00DC3E3B"/>
    <w:rsid w:val="00DC4815"/>
    <w:rsid w:val="00DC4E71"/>
    <w:rsid w:val="00DC51B2"/>
    <w:rsid w:val="00DD143E"/>
    <w:rsid w:val="00DD2317"/>
    <w:rsid w:val="00DD337A"/>
    <w:rsid w:val="00DD38E9"/>
    <w:rsid w:val="00DD590B"/>
    <w:rsid w:val="00DD7EE3"/>
    <w:rsid w:val="00DE1288"/>
    <w:rsid w:val="00DE5346"/>
    <w:rsid w:val="00DE6C30"/>
    <w:rsid w:val="00DE721C"/>
    <w:rsid w:val="00DE75B4"/>
    <w:rsid w:val="00DF01D5"/>
    <w:rsid w:val="00DF1753"/>
    <w:rsid w:val="00DF2A86"/>
    <w:rsid w:val="00DF3AED"/>
    <w:rsid w:val="00DF413B"/>
    <w:rsid w:val="00DF43A2"/>
    <w:rsid w:val="00DF5403"/>
    <w:rsid w:val="00DF5BF3"/>
    <w:rsid w:val="00DF6017"/>
    <w:rsid w:val="00DF7A8B"/>
    <w:rsid w:val="00DF7BAD"/>
    <w:rsid w:val="00E007F1"/>
    <w:rsid w:val="00E00CE5"/>
    <w:rsid w:val="00E033AE"/>
    <w:rsid w:val="00E03515"/>
    <w:rsid w:val="00E038B9"/>
    <w:rsid w:val="00E0413A"/>
    <w:rsid w:val="00E04470"/>
    <w:rsid w:val="00E0679E"/>
    <w:rsid w:val="00E06B50"/>
    <w:rsid w:val="00E102DA"/>
    <w:rsid w:val="00E111A7"/>
    <w:rsid w:val="00E123D3"/>
    <w:rsid w:val="00E12880"/>
    <w:rsid w:val="00E1593C"/>
    <w:rsid w:val="00E162E5"/>
    <w:rsid w:val="00E169F4"/>
    <w:rsid w:val="00E20556"/>
    <w:rsid w:val="00E21DDF"/>
    <w:rsid w:val="00E22A03"/>
    <w:rsid w:val="00E23133"/>
    <w:rsid w:val="00E24C33"/>
    <w:rsid w:val="00E26371"/>
    <w:rsid w:val="00E26933"/>
    <w:rsid w:val="00E27B0F"/>
    <w:rsid w:val="00E30F33"/>
    <w:rsid w:val="00E31018"/>
    <w:rsid w:val="00E32CBC"/>
    <w:rsid w:val="00E338D2"/>
    <w:rsid w:val="00E36491"/>
    <w:rsid w:val="00E367D4"/>
    <w:rsid w:val="00E375E5"/>
    <w:rsid w:val="00E4003E"/>
    <w:rsid w:val="00E4116B"/>
    <w:rsid w:val="00E43890"/>
    <w:rsid w:val="00E43F9C"/>
    <w:rsid w:val="00E4431F"/>
    <w:rsid w:val="00E4493F"/>
    <w:rsid w:val="00E44E5F"/>
    <w:rsid w:val="00E4557F"/>
    <w:rsid w:val="00E459BB"/>
    <w:rsid w:val="00E47377"/>
    <w:rsid w:val="00E478AF"/>
    <w:rsid w:val="00E47BCA"/>
    <w:rsid w:val="00E50B83"/>
    <w:rsid w:val="00E51216"/>
    <w:rsid w:val="00E541C1"/>
    <w:rsid w:val="00E55B8E"/>
    <w:rsid w:val="00E55E54"/>
    <w:rsid w:val="00E60CC5"/>
    <w:rsid w:val="00E60D5C"/>
    <w:rsid w:val="00E60EB4"/>
    <w:rsid w:val="00E62D69"/>
    <w:rsid w:val="00E62E63"/>
    <w:rsid w:val="00E639A0"/>
    <w:rsid w:val="00E63CD5"/>
    <w:rsid w:val="00E64284"/>
    <w:rsid w:val="00E657E6"/>
    <w:rsid w:val="00E66253"/>
    <w:rsid w:val="00E672CF"/>
    <w:rsid w:val="00E67B51"/>
    <w:rsid w:val="00E70484"/>
    <w:rsid w:val="00E70874"/>
    <w:rsid w:val="00E72C14"/>
    <w:rsid w:val="00E72E9D"/>
    <w:rsid w:val="00E7338C"/>
    <w:rsid w:val="00E739E0"/>
    <w:rsid w:val="00E7421A"/>
    <w:rsid w:val="00E75264"/>
    <w:rsid w:val="00E7602D"/>
    <w:rsid w:val="00E7623E"/>
    <w:rsid w:val="00E76D6F"/>
    <w:rsid w:val="00E80771"/>
    <w:rsid w:val="00E81F84"/>
    <w:rsid w:val="00E8243C"/>
    <w:rsid w:val="00E83F26"/>
    <w:rsid w:val="00E84A9A"/>
    <w:rsid w:val="00E862C6"/>
    <w:rsid w:val="00E91F50"/>
    <w:rsid w:val="00E957D9"/>
    <w:rsid w:val="00E96511"/>
    <w:rsid w:val="00EA0EEC"/>
    <w:rsid w:val="00EA0FAF"/>
    <w:rsid w:val="00EA3429"/>
    <w:rsid w:val="00EA3C8E"/>
    <w:rsid w:val="00EA5F6D"/>
    <w:rsid w:val="00EA6018"/>
    <w:rsid w:val="00EB37ED"/>
    <w:rsid w:val="00EB79F4"/>
    <w:rsid w:val="00EB7CD4"/>
    <w:rsid w:val="00EC0D2F"/>
    <w:rsid w:val="00EC238D"/>
    <w:rsid w:val="00EC377A"/>
    <w:rsid w:val="00EC3C6A"/>
    <w:rsid w:val="00EC51D5"/>
    <w:rsid w:val="00EC53E7"/>
    <w:rsid w:val="00EC5904"/>
    <w:rsid w:val="00EC5E63"/>
    <w:rsid w:val="00EC64E7"/>
    <w:rsid w:val="00EC723D"/>
    <w:rsid w:val="00EC789C"/>
    <w:rsid w:val="00ED2149"/>
    <w:rsid w:val="00ED4A9C"/>
    <w:rsid w:val="00ED641B"/>
    <w:rsid w:val="00ED7EF9"/>
    <w:rsid w:val="00EE3A88"/>
    <w:rsid w:val="00EE3D21"/>
    <w:rsid w:val="00EE467E"/>
    <w:rsid w:val="00EE4C8F"/>
    <w:rsid w:val="00EE59B8"/>
    <w:rsid w:val="00EE6120"/>
    <w:rsid w:val="00EE648E"/>
    <w:rsid w:val="00EE7466"/>
    <w:rsid w:val="00EE7C9C"/>
    <w:rsid w:val="00EF1EC2"/>
    <w:rsid w:val="00EF2766"/>
    <w:rsid w:val="00EF509F"/>
    <w:rsid w:val="00EF6C29"/>
    <w:rsid w:val="00EF74EB"/>
    <w:rsid w:val="00F00E55"/>
    <w:rsid w:val="00F027AF"/>
    <w:rsid w:val="00F033A7"/>
    <w:rsid w:val="00F04245"/>
    <w:rsid w:val="00F05B81"/>
    <w:rsid w:val="00F07361"/>
    <w:rsid w:val="00F078F8"/>
    <w:rsid w:val="00F07E72"/>
    <w:rsid w:val="00F10710"/>
    <w:rsid w:val="00F1126E"/>
    <w:rsid w:val="00F115DB"/>
    <w:rsid w:val="00F118FD"/>
    <w:rsid w:val="00F11D8F"/>
    <w:rsid w:val="00F145F1"/>
    <w:rsid w:val="00F148BD"/>
    <w:rsid w:val="00F15107"/>
    <w:rsid w:val="00F16B72"/>
    <w:rsid w:val="00F20DA3"/>
    <w:rsid w:val="00F210B8"/>
    <w:rsid w:val="00F210F7"/>
    <w:rsid w:val="00F214A0"/>
    <w:rsid w:val="00F22B6A"/>
    <w:rsid w:val="00F237D1"/>
    <w:rsid w:val="00F24893"/>
    <w:rsid w:val="00F255D4"/>
    <w:rsid w:val="00F25CEE"/>
    <w:rsid w:val="00F2718D"/>
    <w:rsid w:val="00F27955"/>
    <w:rsid w:val="00F27C8A"/>
    <w:rsid w:val="00F30F1F"/>
    <w:rsid w:val="00F31CE8"/>
    <w:rsid w:val="00F31D99"/>
    <w:rsid w:val="00F34BE4"/>
    <w:rsid w:val="00F35159"/>
    <w:rsid w:val="00F35490"/>
    <w:rsid w:val="00F3644D"/>
    <w:rsid w:val="00F36E89"/>
    <w:rsid w:val="00F37B4F"/>
    <w:rsid w:val="00F40AC4"/>
    <w:rsid w:val="00F43D37"/>
    <w:rsid w:val="00F44BE8"/>
    <w:rsid w:val="00F458C0"/>
    <w:rsid w:val="00F47027"/>
    <w:rsid w:val="00F4730D"/>
    <w:rsid w:val="00F515F5"/>
    <w:rsid w:val="00F57BDB"/>
    <w:rsid w:val="00F604BD"/>
    <w:rsid w:val="00F622F9"/>
    <w:rsid w:val="00F65E3D"/>
    <w:rsid w:val="00F6676B"/>
    <w:rsid w:val="00F66E3D"/>
    <w:rsid w:val="00F70195"/>
    <w:rsid w:val="00F703FE"/>
    <w:rsid w:val="00F7183B"/>
    <w:rsid w:val="00F71BDA"/>
    <w:rsid w:val="00F7262A"/>
    <w:rsid w:val="00F76D8A"/>
    <w:rsid w:val="00F77FD0"/>
    <w:rsid w:val="00F800CD"/>
    <w:rsid w:val="00F83083"/>
    <w:rsid w:val="00F838E7"/>
    <w:rsid w:val="00F83FB8"/>
    <w:rsid w:val="00F85F34"/>
    <w:rsid w:val="00F86845"/>
    <w:rsid w:val="00F86A44"/>
    <w:rsid w:val="00F87279"/>
    <w:rsid w:val="00F87600"/>
    <w:rsid w:val="00F909F9"/>
    <w:rsid w:val="00F938F6"/>
    <w:rsid w:val="00F94FE1"/>
    <w:rsid w:val="00F96E0C"/>
    <w:rsid w:val="00F97B4F"/>
    <w:rsid w:val="00F97F26"/>
    <w:rsid w:val="00FA1A73"/>
    <w:rsid w:val="00FA29F2"/>
    <w:rsid w:val="00FA43C2"/>
    <w:rsid w:val="00FA4B59"/>
    <w:rsid w:val="00FB18AE"/>
    <w:rsid w:val="00FB1CF1"/>
    <w:rsid w:val="00FB1E7E"/>
    <w:rsid w:val="00FB4121"/>
    <w:rsid w:val="00FB48F1"/>
    <w:rsid w:val="00FB5B02"/>
    <w:rsid w:val="00FB65A8"/>
    <w:rsid w:val="00FB67E7"/>
    <w:rsid w:val="00FB6973"/>
    <w:rsid w:val="00FC1B9D"/>
    <w:rsid w:val="00FC1F32"/>
    <w:rsid w:val="00FC3895"/>
    <w:rsid w:val="00FC5CD4"/>
    <w:rsid w:val="00FC75E9"/>
    <w:rsid w:val="00FD2702"/>
    <w:rsid w:val="00FD29BA"/>
    <w:rsid w:val="00FD2F15"/>
    <w:rsid w:val="00FD36B5"/>
    <w:rsid w:val="00FD3AED"/>
    <w:rsid w:val="00FD43F3"/>
    <w:rsid w:val="00FD4EBB"/>
    <w:rsid w:val="00FD5B7C"/>
    <w:rsid w:val="00FD6D35"/>
    <w:rsid w:val="00FE3FA1"/>
    <w:rsid w:val="00FE42ED"/>
    <w:rsid w:val="00FE4390"/>
    <w:rsid w:val="00FE469E"/>
    <w:rsid w:val="00FE5F4B"/>
    <w:rsid w:val="00FE6167"/>
    <w:rsid w:val="00FE64BC"/>
    <w:rsid w:val="00FE67A7"/>
    <w:rsid w:val="00FE6BC4"/>
    <w:rsid w:val="00FE6FCC"/>
    <w:rsid w:val="00FE76D5"/>
    <w:rsid w:val="00FE7A14"/>
    <w:rsid w:val="00FF0CDE"/>
    <w:rsid w:val="00FF3203"/>
    <w:rsid w:val="00FF560A"/>
    <w:rsid w:val="00FF6716"/>
    <w:rsid w:val="00FF70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AEE76D8-1313-40D0-A82A-A9EE6E00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D79"/>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link w:val="HeaderChar"/>
    <w:uiPriority w:val="99"/>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unhideWhenUsed/>
    <w:rsid w:val="00C83997"/>
    <w:rPr>
      <w:sz w:val="20"/>
      <w:szCs w:val="20"/>
    </w:rPr>
  </w:style>
  <w:style w:type="character" w:customStyle="1" w:styleId="CommentTextChar">
    <w:name w:val="Comment Text Char"/>
    <w:basedOn w:val="DefaultParagraphFont"/>
    <w:link w:val="CommentText"/>
    <w:uiPriority w:val="99"/>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paragraph" w:customStyle="1" w:styleId="Parasts1">
    <w:name w:val="Parasts1"/>
    <w:uiPriority w:val="99"/>
    <w:rsid w:val="006B50D9"/>
    <w:rPr>
      <w:sz w:val="24"/>
      <w:szCs w:val="24"/>
    </w:rPr>
  </w:style>
  <w:style w:type="paragraph" w:customStyle="1" w:styleId="naiskr">
    <w:name w:val="naiskr"/>
    <w:basedOn w:val="Parasts1"/>
    <w:rsid w:val="00127C9A"/>
    <w:pPr>
      <w:spacing w:before="75" w:after="75"/>
    </w:pPr>
  </w:style>
  <w:style w:type="table" w:styleId="TableGrid">
    <w:name w:val="Table Grid"/>
    <w:basedOn w:val="TableNormal"/>
    <w:uiPriority w:val="39"/>
    <w:rsid w:val="008078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B0ABF"/>
    <w:rPr>
      <w:sz w:val="24"/>
      <w:szCs w:val="24"/>
    </w:rPr>
  </w:style>
  <w:style w:type="character" w:customStyle="1" w:styleId="apple-converted-space">
    <w:name w:val="apple-converted-space"/>
    <w:rsid w:val="00895BA6"/>
  </w:style>
  <w:style w:type="character" w:customStyle="1" w:styleId="Bodytext0">
    <w:name w:val="Body text_"/>
    <w:basedOn w:val="DefaultParagraphFont"/>
    <w:link w:val="BodyText20"/>
    <w:rsid w:val="008229E4"/>
    <w:rPr>
      <w:sz w:val="26"/>
      <w:szCs w:val="26"/>
      <w:shd w:val="clear" w:color="auto" w:fill="FFFFFF"/>
    </w:rPr>
  </w:style>
  <w:style w:type="paragraph" w:customStyle="1" w:styleId="BodyText20">
    <w:name w:val="Body Text2"/>
    <w:basedOn w:val="Normal"/>
    <w:link w:val="Bodytext0"/>
    <w:rsid w:val="008229E4"/>
    <w:pPr>
      <w:widowControl w:val="0"/>
      <w:shd w:val="clear" w:color="auto" w:fill="FFFFFF"/>
      <w:spacing w:before="1020" w:after="60" w:line="0" w:lineRule="atLeast"/>
      <w:ind w:hanging="1400"/>
    </w:pPr>
    <w:rPr>
      <w:sz w:val="26"/>
      <w:szCs w:val="26"/>
    </w:rPr>
  </w:style>
  <w:style w:type="paragraph" w:customStyle="1" w:styleId="Default">
    <w:name w:val="Default"/>
    <w:rsid w:val="008E0FEB"/>
    <w:pPr>
      <w:autoSpaceDE w:val="0"/>
      <w:autoSpaceDN w:val="0"/>
      <w:adjustRightInd w:val="0"/>
    </w:pPr>
    <w:rPr>
      <w:color w:val="000000"/>
      <w:sz w:val="24"/>
      <w:szCs w:val="24"/>
    </w:rPr>
  </w:style>
  <w:style w:type="character" w:customStyle="1" w:styleId="BodyText1">
    <w:name w:val="Body Text1"/>
    <w:basedOn w:val="Bodytext0"/>
    <w:rsid w:val="00F87279"/>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lv-LV" w:eastAsia="lv-LV" w:bidi="lv-LV"/>
    </w:rPr>
  </w:style>
  <w:style w:type="character" w:customStyle="1" w:styleId="Bodytext21">
    <w:name w:val="Body text (2)_"/>
    <w:basedOn w:val="DefaultParagraphFont"/>
    <w:rsid w:val="00F87279"/>
    <w:rPr>
      <w:rFonts w:ascii="Calibri" w:eastAsia="Calibri" w:hAnsi="Calibri" w:cs="Calibri"/>
      <w:b/>
      <w:bCs/>
      <w:i w:val="0"/>
      <w:iCs w:val="0"/>
      <w:smallCaps w:val="0"/>
      <w:strike w:val="0"/>
      <w:sz w:val="20"/>
      <w:szCs w:val="20"/>
      <w:u w:val="none"/>
    </w:rPr>
  </w:style>
  <w:style w:type="character" w:customStyle="1" w:styleId="Bodytext2NotBold">
    <w:name w:val="Body text (2) + Not Bold"/>
    <w:basedOn w:val="Bodytext21"/>
    <w:rsid w:val="00F87279"/>
    <w:rPr>
      <w:rFonts w:ascii="Calibri" w:eastAsia="Calibri" w:hAnsi="Calibri" w:cs="Calibri"/>
      <w:b/>
      <w:bCs/>
      <w:i w:val="0"/>
      <w:iCs w:val="0"/>
      <w:smallCaps w:val="0"/>
      <w:strike w:val="0"/>
      <w:color w:val="000000"/>
      <w:spacing w:val="0"/>
      <w:w w:val="100"/>
      <w:position w:val="0"/>
      <w:sz w:val="20"/>
      <w:szCs w:val="20"/>
      <w:u w:val="none"/>
      <w:lang w:val="lv-LV" w:eastAsia="lv-LV" w:bidi="lv-LV"/>
    </w:rPr>
  </w:style>
  <w:style w:type="character" w:customStyle="1" w:styleId="Bodytext22">
    <w:name w:val="Body text (2)"/>
    <w:basedOn w:val="Bodytext21"/>
    <w:rsid w:val="00F87279"/>
    <w:rPr>
      <w:rFonts w:ascii="Calibri" w:eastAsia="Calibri" w:hAnsi="Calibri" w:cs="Calibri"/>
      <w:b/>
      <w:bCs/>
      <w:i w:val="0"/>
      <w:iCs w:val="0"/>
      <w:smallCaps w:val="0"/>
      <w:strike w:val="0"/>
      <w:color w:val="000000"/>
      <w:spacing w:val="0"/>
      <w:w w:val="100"/>
      <w:position w:val="0"/>
      <w:sz w:val="20"/>
      <w:szCs w:val="20"/>
      <w:u w:val="single"/>
      <w:lang w:val="lv-LV" w:eastAsia="lv-LV" w:bidi="lv-LV"/>
    </w:rPr>
  </w:style>
  <w:style w:type="paragraph" w:customStyle="1" w:styleId="tvhtml">
    <w:name w:val="tv_html"/>
    <w:basedOn w:val="Normal"/>
    <w:rsid w:val="006566DB"/>
    <w:pPr>
      <w:spacing w:before="100" w:beforeAutospacing="1" w:after="100" w:afterAutospacing="1"/>
    </w:pPr>
  </w:style>
  <w:style w:type="paragraph" w:customStyle="1" w:styleId="tv213">
    <w:name w:val="tv213"/>
    <w:basedOn w:val="Normal"/>
    <w:rsid w:val="004F3B9B"/>
    <w:pPr>
      <w:spacing w:before="100" w:beforeAutospacing="1" w:after="100" w:afterAutospacing="1"/>
    </w:pPr>
  </w:style>
  <w:style w:type="character" w:styleId="Strong">
    <w:name w:val="Strong"/>
    <w:basedOn w:val="DefaultParagraphFont"/>
    <w:uiPriority w:val="22"/>
    <w:qFormat/>
    <w:rsid w:val="00003DF3"/>
    <w:rPr>
      <w:b/>
      <w:bCs/>
    </w:rPr>
  </w:style>
  <w:style w:type="paragraph" w:styleId="Revision">
    <w:name w:val="Revision"/>
    <w:hidden/>
    <w:uiPriority w:val="99"/>
    <w:semiHidden/>
    <w:rsid w:val="001A1F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4344">
      <w:bodyDiv w:val="1"/>
      <w:marLeft w:val="0"/>
      <w:marRight w:val="0"/>
      <w:marTop w:val="0"/>
      <w:marBottom w:val="0"/>
      <w:divBdr>
        <w:top w:val="none" w:sz="0" w:space="0" w:color="auto"/>
        <w:left w:val="none" w:sz="0" w:space="0" w:color="auto"/>
        <w:bottom w:val="none" w:sz="0" w:space="0" w:color="auto"/>
        <w:right w:val="none" w:sz="0" w:space="0" w:color="auto"/>
      </w:divBdr>
    </w:div>
    <w:div w:id="67730175">
      <w:bodyDiv w:val="1"/>
      <w:marLeft w:val="0"/>
      <w:marRight w:val="0"/>
      <w:marTop w:val="0"/>
      <w:marBottom w:val="0"/>
      <w:divBdr>
        <w:top w:val="none" w:sz="0" w:space="0" w:color="auto"/>
        <w:left w:val="none" w:sz="0" w:space="0" w:color="auto"/>
        <w:bottom w:val="none" w:sz="0" w:space="0" w:color="auto"/>
        <w:right w:val="none" w:sz="0" w:space="0" w:color="auto"/>
      </w:divBdr>
      <w:divsChild>
        <w:div w:id="447049810">
          <w:marLeft w:val="0"/>
          <w:marRight w:val="0"/>
          <w:marTop w:val="480"/>
          <w:marBottom w:val="240"/>
          <w:divBdr>
            <w:top w:val="none" w:sz="0" w:space="0" w:color="auto"/>
            <w:left w:val="none" w:sz="0" w:space="0" w:color="auto"/>
            <w:bottom w:val="none" w:sz="0" w:space="0" w:color="auto"/>
            <w:right w:val="none" w:sz="0" w:space="0" w:color="auto"/>
          </w:divBdr>
        </w:div>
        <w:div w:id="790785459">
          <w:marLeft w:val="0"/>
          <w:marRight w:val="0"/>
          <w:marTop w:val="0"/>
          <w:marBottom w:val="567"/>
          <w:divBdr>
            <w:top w:val="none" w:sz="0" w:space="0" w:color="auto"/>
            <w:left w:val="none" w:sz="0" w:space="0" w:color="auto"/>
            <w:bottom w:val="none" w:sz="0" w:space="0" w:color="auto"/>
            <w:right w:val="none" w:sz="0" w:space="0" w:color="auto"/>
          </w:divBdr>
        </w:div>
      </w:divsChild>
    </w:div>
    <w:div w:id="354697009">
      <w:bodyDiv w:val="1"/>
      <w:marLeft w:val="0"/>
      <w:marRight w:val="0"/>
      <w:marTop w:val="0"/>
      <w:marBottom w:val="0"/>
      <w:divBdr>
        <w:top w:val="none" w:sz="0" w:space="0" w:color="auto"/>
        <w:left w:val="none" w:sz="0" w:space="0" w:color="auto"/>
        <w:bottom w:val="none" w:sz="0" w:space="0" w:color="auto"/>
        <w:right w:val="none" w:sz="0" w:space="0" w:color="auto"/>
      </w:divBdr>
      <w:divsChild>
        <w:div w:id="384066657">
          <w:marLeft w:val="0"/>
          <w:marRight w:val="0"/>
          <w:marTop w:val="0"/>
          <w:marBottom w:val="0"/>
          <w:divBdr>
            <w:top w:val="none" w:sz="0" w:space="0" w:color="auto"/>
            <w:left w:val="none" w:sz="0" w:space="0" w:color="auto"/>
            <w:bottom w:val="none" w:sz="0" w:space="0" w:color="auto"/>
            <w:right w:val="none" w:sz="0" w:space="0" w:color="auto"/>
          </w:divBdr>
          <w:divsChild>
            <w:div w:id="801655197">
              <w:marLeft w:val="0"/>
              <w:marRight w:val="0"/>
              <w:marTop w:val="100"/>
              <w:marBottom w:val="100"/>
              <w:divBdr>
                <w:top w:val="none" w:sz="0" w:space="0" w:color="auto"/>
                <w:left w:val="none" w:sz="0" w:space="0" w:color="auto"/>
                <w:bottom w:val="none" w:sz="0" w:space="0" w:color="auto"/>
                <w:right w:val="none" w:sz="0" w:space="0" w:color="auto"/>
              </w:divBdr>
              <w:divsChild>
                <w:div w:id="61440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85607">
      <w:bodyDiv w:val="1"/>
      <w:marLeft w:val="0"/>
      <w:marRight w:val="0"/>
      <w:marTop w:val="0"/>
      <w:marBottom w:val="0"/>
      <w:divBdr>
        <w:top w:val="none" w:sz="0" w:space="0" w:color="auto"/>
        <w:left w:val="none" w:sz="0" w:space="0" w:color="auto"/>
        <w:bottom w:val="none" w:sz="0" w:space="0" w:color="auto"/>
        <w:right w:val="none" w:sz="0" w:space="0" w:color="auto"/>
      </w:divBdr>
    </w:div>
    <w:div w:id="555048147">
      <w:bodyDiv w:val="1"/>
      <w:marLeft w:val="0"/>
      <w:marRight w:val="0"/>
      <w:marTop w:val="0"/>
      <w:marBottom w:val="0"/>
      <w:divBdr>
        <w:top w:val="none" w:sz="0" w:space="0" w:color="auto"/>
        <w:left w:val="none" w:sz="0" w:space="0" w:color="auto"/>
        <w:bottom w:val="none" w:sz="0" w:space="0" w:color="auto"/>
        <w:right w:val="none" w:sz="0" w:space="0" w:color="auto"/>
      </w:divBdr>
    </w:div>
    <w:div w:id="762841921">
      <w:bodyDiv w:val="1"/>
      <w:marLeft w:val="0"/>
      <w:marRight w:val="0"/>
      <w:marTop w:val="0"/>
      <w:marBottom w:val="0"/>
      <w:divBdr>
        <w:top w:val="none" w:sz="0" w:space="0" w:color="auto"/>
        <w:left w:val="none" w:sz="0" w:space="0" w:color="auto"/>
        <w:bottom w:val="none" w:sz="0" w:space="0" w:color="auto"/>
        <w:right w:val="none" w:sz="0" w:space="0" w:color="auto"/>
      </w:divBdr>
      <w:divsChild>
        <w:div w:id="1124232017">
          <w:marLeft w:val="0"/>
          <w:marRight w:val="0"/>
          <w:marTop w:val="0"/>
          <w:marBottom w:val="0"/>
          <w:divBdr>
            <w:top w:val="none" w:sz="0" w:space="0" w:color="auto"/>
            <w:left w:val="none" w:sz="0" w:space="0" w:color="auto"/>
            <w:bottom w:val="none" w:sz="0" w:space="0" w:color="auto"/>
            <w:right w:val="none" w:sz="0" w:space="0" w:color="auto"/>
          </w:divBdr>
          <w:divsChild>
            <w:div w:id="465583827">
              <w:marLeft w:val="0"/>
              <w:marRight w:val="0"/>
              <w:marTop w:val="100"/>
              <w:marBottom w:val="100"/>
              <w:divBdr>
                <w:top w:val="none" w:sz="0" w:space="0" w:color="auto"/>
                <w:left w:val="none" w:sz="0" w:space="0" w:color="auto"/>
                <w:bottom w:val="none" w:sz="0" w:space="0" w:color="auto"/>
                <w:right w:val="none" w:sz="0" w:space="0" w:color="auto"/>
              </w:divBdr>
              <w:divsChild>
                <w:div w:id="929779855">
                  <w:marLeft w:val="0"/>
                  <w:marRight w:val="0"/>
                  <w:marTop w:val="0"/>
                  <w:marBottom w:val="0"/>
                  <w:divBdr>
                    <w:top w:val="none" w:sz="0" w:space="0" w:color="auto"/>
                    <w:left w:val="none" w:sz="0" w:space="0" w:color="auto"/>
                    <w:bottom w:val="none" w:sz="0" w:space="0" w:color="auto"/>
                    <w:right w:val="none" w:sz="0" w:space="0" w:color="auto"/>
                  </w:divBdr>
                  <w:divsChild>
                    <w:div w:id="866720134">
                      <w:marLeft w:val="0"/>
                      <w:marRight w:val="0"/>
                      <w:marTop w:val="0"/>
                      <w:marBottom w:val="0"/>
                      <w:divBdr>
                        <w:top w:val="none" w:sz="0" w:space="0" w:color="auto"/>
                        <w:left w:val="none" w:sz="0" w:space="0" w:color="auto"/>
                        <w:bottom w:val="none" w:sz="0" w:space="0" w:color="auto"/>
                        <w:right w:val="none" w:sz="0" w:space="0" w:color="auto"/>
                      </w:divBdr>
                      <w:divsChild>
                        <w:div w:id="3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298666">
      <w:bodyDiv w:val="1"/>
      <w:marLeft w:val="0"/>
      <w:marRight w:val="0"/>
      <w:marTop w:val="0"/>
      <w:marBottom w:val="0"/>
      <w:divBdr>
        <w:top w:val="none" w:sz="0" w:space="0" w:color="auto"/>
        <w:left w:val="none" w:sz="0" w:space="0" w:color="auto"/>
        <w:bottom w:val="none" w:sz="0" w:space="0" w:color="auto"/>
        <w:right w:val="none" w:sz="0" w:space="0" w:color="auto"/>
      </w:divBdr>
    </w:div>
    <w:div w:id="1014915022">
      <w:bodyDiv w:val="1"/>
      <w:marLeft w:val="0"/>
      <w:marRight w:val="0"/>
      <w:marTop w:val="0"/>
      <w:marBottom w:val="0"/>
      <w:divBdr>
        <w:top w:val="none" w:sz="0" w:space="0" w:color="auto"/>
        <w:left w:val="none" w:sz="0" w:space="0" w:color="auto"/>
        <w:bottom w:val="none" w:sz="0" w:space="0" w:color="auto"/>
        <w:right w:val="none" w:sz="0" w:space="0" w:color="auto"/>
      </w:divBdr>
      <w:divsChild>
        <w:div w:id="757674923">
          <w:marLeft w:val="0"/>
          <w:marRight w:val="0"/>
          <w:marTop w:val="480"/>
          <w:marBottom w:val="240"/>
          <w:divBdr>
            <w:top w:val="none" w:sz="0" w:space="0" w:color="auto"/>
            <w:left w:val="none" w:sz="0" w:space="0" w:color="auto"/>
            <w:bottom w:val="none" w:sz="0" w:space="0" w:color="auto"/>
            <w:right w:val="none" w:sz="0" w:space="0" w:color="auto"/>
          </w:divBdr>
        </w:div>
        <w:div w:id="821435475">
          <w:marLeft w:val="0"/>
          <w:marRight w:val="0"/>
          <w:marTop w:val="0"/>
          <w:marBottom w:val="567"/>
          <w:divBdr>
            <w:top w:val="none" w:sz="0" w:space="0" w:color="auto"/>
            <w:left w:val="none" w:sz="0" w:space="0" w:color="auto"/>
            <w:bottom w:val="none" w:sz="0" w:space="0" w:color="auto"/>
            <w:right w:val="none" w:sz="0" w:space="0" w:color="auto"/>
          </w:divBdr>
        </w:div>
      </w:divsChild>
    </w:div>
    <w:div w:id="1033847172">
      <w:bodyDiv w:val="1"/>
      <w:marLeft w:val="0"/>
      <w:marRight w:val="0"/>
      <w:marTop w:val="0"/>
      <w:marBottom w:val="0"/>
      <w:divBdr>
        <w:top w:val="none" w:sz="0" w:space="0" w:color="auto"/>
        <w:left w:val="none" w:sz="0" w:space="0" w:color="auto"/>
        <w:bottom w:val="none" w:sz="0" w:space="0" w:color="auto"/>
        <w:right w:val="none" w:sz="0" w:space="0" w:color="auto"/>
      </w:divBdr>
      <w:divsChild>
        <w:div w:id="199972588">
          <w:marLeft w:val="0"/>
          <w:marRight w:val="0"/>
          <w:marTop w:val="480"/>
          <w:marBottom w:val="240"/>
          <w:divBdr>
            <w:top w:val="none" w:sz="0" w:space="0" w:color="auto"/>
            <w:left w:val="none" w:sz="0" w:space="0" w:color="auto"/>
            <w:bottom w:val="none" w:sz="0" w:space="0" w:color="auto"/>
            <w:right w:val="none" w:sz="0" w:space="0" w:color="auto"/>
          </w:divBdr>
        </w:div>
        <w:div w:id="989216293">
          <w:marLeft w:val="0"/>
          <w:marRight w:val="0"/>
          <w:marTop w:val="0"/>
          <w:marBottom w:val="567"/>
          <w:divBdr>
            <w:top w:val="none" w:sz="0" w:space="0" w:color="auto"/>
            <w:left w:val="none" w:sz="0" w:space="0" w:color="auto"/>
            <w:bottom w:val="none" w:sz="0" w:space="0" w:color="auto"/>
            <w:right w:val="none" w:sz="0" w:space="0" w:color="auto"/>
          </w:divBdr>
        </w:div>
      </w:divsChild>
    </w:div>
    <w:div w:id="1047489206">
      <w:bodyDiv w:val="1"/>
      <w:marLeft w:val="0"/>
      <w:marRight w:val="0"/>
      <w:marTop w:val="0"/>
      <w:marBottom w:val="0"/>
      <w:divBdr>
        <w:top w:val="none" w:sz="0" w:space="0" w:color="auto"/>
        <w:left w:val="none" w:sz="0" w:space="0" w:color="auto"/>
        <w:bottom w:val="none" w:sz="0" w:space="0" w:color="auto"/>
        <w:right w:val="none" w:sz="0" w:space="0" w:color="auto"/>
      </w:divBdr>
      <w:divsChild>
        <w:div w:id="2047287524">
          <w:marLeft w:val="0"/>
          <w:marRight w:val="0"/>
          <w:marTop w:val="480"/>
          <w:marBottom w:val="240"/>
          <w:divBdr>
            <w:top w:val="none" w:sz="0" w:space="0" w:color="auto"/>
            <w:left w:val="none" w:sz="0" w:space="0" w:color="auto"/>
            <w:bottom w:val="none" w:sz="0" w:space="0" w:color="auto"/>
            <w:right w:val="none" w:sz="0" w:space="0" w:color="auto"/>
          </w:divBdr>
        </w:div>
        <w:div w:id="1824278548">
          <w:marLeft w:val="0"/>
          <w:marRight w:val="0"/>
          <w:marTop w:val="0"/>
          <w:marBottom w:val="567"/>
          <w:divBdr>
            <w:top w:val="none" w:sz="0" w:space="0" w:color="auto"/>
            <w:left w:val="none" w:sz="0" w:space="0" w:color="auto"/>
            <w:bottom w:val="none" w:sz="0" w:space="0" w:color="auto"/>
            <w:right w:val="none" w:sz="0" w:space="0" w:color="auto"/>
          </w:divBdr>
        </w:div>
      </w:divsChild>
    </w:div>
    <w:div w:id="1077438777">
      <w:bodyDiv w:val="1"/>
      <w:marLeft w:val="0"/>
      <w:marRight w:val="0"/>
      <w:marTop w:val="0"/>
      <w:marBottom w:val="0"/>
      <w:divBdr>
        <w:top w:val="none" w:sz="0" w:space="0" w:color="auto"/>
        <w:left w:val="none" w:sz="0" w:space="0" w:color="auto"/>
        <w:bottom w:val="none" w:sz="0" w:space="0" w:color="auto"/>
        <w:right w:val="none" w:sz="0" w:space="0" w:color="auto"/>
      </w:divBdr>
    </w:div>
    <w:div w:id="1104574304">
      <w:bodyDiv w:val="1"/>
      <w:marLeft w:val="0"/>
      <w:marRight w:val="0"/>
      <w:marTop w:val="0"/>
      <w:marBottom w:val="0"/>
      <w:divBdr>
        <w:top w:val="none" w:sz="0" w:space="0" w:color="auto"/>
        <w:left w:val="none" w:sz="0" w:space="0" w:color="auto"/>
        <w:bottom w:val="none" w:sz="0" w:space="0" w:color="auto"/>
        <w:right w:val="none" w:sz="0" w:space="0" w:color="auto"/>
      </w:divBdr>
    </w:div>
    <w:div w:id="1175874411">
      <w:bodyDiv w:val="1"/>
      <w:marLeft w:val="0"/>
      <w:marRight w:val="0"/>
      <w:marTop w:val="0"/>
      <w:marBottom w:val="0"/>
      <w:divBdr>
        <w:top w:val="none" w:sz="0" w:space="0" w:color="auto"/>
        <w:left w:val="none" w:sz="0" w:space="0" w:color="auto"/>
        <w:bottom w:val="none" w:sz="0" w:space="0" w:color="auto"/>
        <w:right w:val="none" w:sz="0" w:space="0" w:color="auto"/>
      </w:divBdr>
    </w:div>
    <w:div w:id="1420172742">
      <w:bodyDiv w:val="1"/>
      <w:marLeft w:val="0"/>
      <w:marRight w:val="0"/>
      <w:marTop w:val="0"/>
      <w:marBottom w:val="0"/>
      <w:divBdr>
        <w:top w:val="none" w:sz="0" w:space="0" w:color="auto"/>
        <w:left w:val="none" w:sz="0" w:space="0" w:color="auto"/>
        <w:bottom w:val="none" w:sz="0" w:space="0" w:color="auto"/>
        <w:right w:val="none" w:sz="0" w:space="0" w:color="auto"/>
      </w:divBdr>
    </w:div>
    <w:div w:id="1427964411">
      <w:bodyDiv w:val="1"/>
      <w:marLeft w:val="0"/>
      <w:marRight w:val="0"/>
      <w:marTop w:val="0"/>
      <w:marBottom w:val="0"/>
      <w:divBdr>
        <w:top w:val="none" w:sz="0" w:space="0" w:color="auto"/>
        <w:left w:val="none" w:sz="0" w:space="0" w:color="auto"/>
        <w:bottom w:val="none" w:sz="0" w:space="0" w:color="auto"/>
        <w:right w:val="none" w:sz="0" w:space="0" w:color="auto"/>
      </w:divBdr>
      <w:divsChild>
        <w:div w:id="723868667">
          <w:marLeft w:val="0"/>
          <w:marRight w:val="0"/>
          <w:marTop w:val="0"/>
          <w:marBottom w:val="0"/>
          <w:divBdr>
            <w:top w:val="none" w:sz="0" w:space="0" w:color="auto"/>
            <w:left w:val="none" w:sz="0" w:space="0" w:color="auto"/>
            <w:bottom w:val="none" w:sz="0" w:space="0" w:color="auto"/>
            <w:right w:val="none" w:sz="0" w:space="0" w:color="auto"/>
          </w:divBdr>
          <w:divsChild>
            <w:div w:id="465271451">
              <w:marLeft w:val="0"/>
              <w:marRight w:val="0"/>
              <w:marTop w:val="0"/>
              <w:marBottom w:val="0"/>
              <w:divBdr>
                <w:top w:val="none" w:sz="0" w:space="0" w:color="auto"/>
                <w:left w:val="none" w:sz="0" w:space="0" w:color="auto"/>
                <w:bottom w:val="none" w:sz="0" w:space="0" w:color="auto"/>
                <w:right w:val="none" w:sz="0" w:space="0" w:color="auto"/>
              </w:divBdr>
              <w:divsChild>
                <w:div w:id="1514759399">
                  <w:marLeft w:val="0"/>
                  <w:marRight w:val="0"/>
                  <w:marTop w:val="0"/>
                  <w:marBottom w:val="0"/>
                  <w:divBdr>
                    <w:top w:val="none" w:sz="0" w:space="0" w:color="auto"/>
                    <w:left w:val="none" w:sz="0" w:space="0" w:color="auto"/>
                    <w:bottom w:val="none" w:sz="0" w:space="0" w:color="auto"/>
                    <w:right w:val="none" w:sz="0" w:space="0" w:color="auto"/>
                  </w:divBdr>
                  <w:divsChild>
                    <w:div w:id="1873152343">
                      <w:marLeft w:val="0"/>
                      <w:marRight w:val="0"/>
                      <w:marTop w:val="0"/>
                      <w:marBottom w:val="0"/>
                      <w:divBdr>
                        <w:top w:val="none" w:sz="0" w:space="0" w:color="auto"/>
                        <w:left w:val="none" w:sz="0" w:space="0" w:color="auto"/>
                        <w:bottom w:val="none" w:sz="0" w:space="0" w:color="auto"/>
                        <w:right w:val="none" w:sz="0" w:space="0" w:color="auto"/>
                      </w:divBdr>
                      <w:divsChild>
                        <w:div w:id="1811285871">
                          <w:marLeft w:val="0"/>
                          <w:marRight w:val="0"/>
                          <w:marTop w:val="0"/>
                          <w:marBottom w:val="0"/>
                          <w:divBdr>
                            <w:top w:val="none" w:sz="0" w:space="0" w:color="auto"/>
                            <w:left w:val="none" w:sz="0" w:space="0" w:color="auto"/>
                            <w:bottom w:val="none" w:sz="0" w:space="0" w:color="auto"/>
                            <w:right w:val="none" w:sz="0" w:space="0" w:color="auto"/>
                          </w:divBdr>
                          <w:divsChild>
                            <w:div w:id="50837766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17635">
      <w:bodyDiv w:val="1"/>
      <w:marLeft w:val="0"/>
      <w:marRight w:val="0"/>
      <w:marTop w:val="0"/>
      <w:marBottom w:val="0"/>
      <w:divBdr>
        <w:top w:val="none" w:sz="0" w:space="0" w:color="auto"/>
        <w:left w:val="none" w:sz="0" w:space="0" w:color="auto"/>
        <w:bottom w:val="none" w:sz="0" w:space="0" w:color="auto"/>
        <w:right w:val="none" w:sz="0" w:space="0" w:color="auto"/>
      </w:divBdr>
      <w:divsChild>
        <w:div w:id="922186522">
          <w:marLeft w:val="0"/>
          <w:marRight w:val="0"/>
          <w:marTop w:val="0"/>
          <w:marBottom w:val="0"/>
          <w:divBdr>
            <w:top w:val="none" w:sz="0" w:space="0" w:color="auto"/>
            <w:left w:val="none" w:sz="0" w:space="0" w:color="auto"/>
            <w:bottom w:val="none" w:sz="0" w:space="0" w:color="auto"/>
            <w:right w:val="none" w:sz="0" w:space="0" w:color="auto"/>
          </w:divBdr>
          <w:divsChild>
            <w:div w:id="9966120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04010126">
      <w:bodyDiv w:val="1"/>
      <w:marLeft w:val="0"/>
      <w:marRight w:val="0"/>
      <w:marTop w:val="0"/>
      <w:marBottom w:val="0"/>
      <w:divBdr>
        <w:top w:val="none" w:sz="0" w:space="0" w:color="auto"/>
        <w:left w:val="none" w:sz="0" w:space="0" w:color="auto"/>
        <w:bottom w:val="none" w:sz="0" w:space="0" w:color="auto"/>
        <w:right w:val="none" w:sz="0" w:space="0" w:color="auto"/>
      </w:divBdr>
      <w:divsChild>
        <w:div w:id="696664888">
          <w:marLeft w:val="0"/>
          <w:marRight w:val="0"/>
          <w:marTop w:val="0"/>
          <w:marBottom w:val="0"/>
          <w:divBdr>
            <w:top w:val="none" w:sz="0" w:space="0" w:color="auto"/>
            <w:left w:val="none" w:sz="0" w:space="0" w:color="auto"/>
            <w:bottom w:val="none" w:sz="0" w:space="0" w:color="auto"/>
            <w:right w:val="none" w:sz="0" w:space="0" w:color="auto"/>
          </w:divBdr>
          <w:divsChild>
            <w:div w:id="12989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1937">
      <w:bodyDiv w:val="1"/>
      <w:marLeft w:val="0"/>
      <w:marRight w:val="0"/>
      <w:marTop w:val="0"/>
      <w:marBottom w:val="0"/>
      <w:divBdr>
        <w:top w:val="none" w:sz="0" w:space="0" w:color="auto"/>
        <w:left w:val="none" w:sz="0" w:space="0" w:color="auto"/>
        <w:bottom w:val="none" w:sz="0" w:space="0" w:color="auto"/>
        <w:right w:val="none" w:sz="0" w:space="0" w:color="auto"/>
      </w:divBdr>
      <w:divsChild>
        <w:div w:id="1706518773">
          <w:marLeft w:val="0"/>
          <w:marRight w:val="0"/>
          <w:marTop w:val="480"/>
          <w:marBottom w:val="240"/>
          <w:divBdr>
            <w:top w:val="none" w:sz="0" w:space="0" w:color="auto"/>
            <w:left w:val="none" w:sz="0" w:space="0" w:color="auto"/>
            <w:bottom w:val="none" w:sz="0" w:space="0" w:color="auto"/>
            <w:right w:val="none" w:sz="0" w:space="0" w:color="auto"/>
          </w:divBdr>
        </w:div>
        <w:div w:id="635457277">
          <w:marLeft w:val="0"/>
          <w:marRight w:val="0"/>
          <w:marTop w:val="0"/>
          <w:marBottom w:val="567"/>
          <w:divBdr>
            <w:top w:val="none" w:sz="0" w:space="0" w:color="auto"/>
            <w:left w:val="none" w:sz="0" w:space="0" w:color="auto"/>
            <w:bottom w:val="none" w:sz="0" w:space="0" w:color="auto"/>
            <w:right w:val="none" w:sz="0" w:space="0" w:color="auto"/>
          </w:divBdr>
        </w:div>
      </w:divsChild>
    </w:div>
    <w:div w:id="1557204825">
      <w:bodyDiv w:val="1"/>
      <w:marLeft w:val="0"/>
      <w:marRight w:val="0"/>
      <w:marTop w:val="0"/>
      <w:marBottom w:val="0"/>
      <w:divBdr>
        <w:top w:val="none" w:sz="0" w:space="0" w:color="auto"/>
        <w:left w:val="none" w:sz="0" w:space="0" w:color="auto"/>
        <w:bottom w:val="none" w:sz="0" w:space="0" w:color="auto"/>
        <w:right w:val="none" w:sz="0" w:space="0" w:color="auto"/>
      </w:divBdr>
    </w:div>
    <w:div w:id="1613199497">
      <w:bodyDiv w:val="1"/>
      <w:marLeft w:val="0"/>
      <w:marRight w:val="0"/>
      <w:marTop w:val="0"/>
      <w:marBottom w:val="0"/>
      <w:divBdr>
        <w:top w:val="none" w:sz="0" w:space="0" w:color="auto"/>
        <w:left w:val="none" w:sz="0" w:space="0" w:color="auto"/>
        <w:bottom w:val="none" w:sz="0" w:space="0" w:color="auto"/>
        <w:right w:val="none" w:sz="0" w:space="0" w:color="auto"/>
      </w:divBdr>
    </w:div>
    <w:div w:id="1668485464">
      <w:bodyDiv w:val="1"/>
      <w:marLeft w:val="0"/>
      <w:marRight w:val="0"/>
      <w:marTop w:val="0"/>
      <w:marBottom w:val="0"/>
      <w:divBdr>
        <w:top w:val="none" w:sz="0" w:space="0" w:color="auto"/>
        <w:left w:val="none" w:sz="0" w:space="0" w:color="auto"/>
        <w:bottom w:val="none" w:sz="0" w:space="0" w:color="auto"/>
        <w:right w:val="none" w:sz="0" w:space="0" w:color="auto"/>
      </w:divBdr>
      <w:divsChild>
        <w:div w:id="726757219">
          <w:marLeft w:val="0"/>
          <w:marRight w:val="0"/>
          <w:marTop w:val="0"/>
          <w:marBottom w:val="0"/>
          <w:divBdr>
            <w:top w:val="none" w:sz="0" w:space="0" w:color="auto"/>
            <w:left w:val="none" w:sz="0" w:space="0" w:color="auto"/>
            <w:bottom w:val="none" w:sz="0" w:space="0" w:color="auto"/>
            <w:right w:val="none" w:sz="0" w:space="0" w:color="auto"/>
          </w:divBdr>
          <w:divsChild>
            <w:div w:id="753474670">
              <w:marLeft w:val="0"/>
              <w:marRight w:val="0"/>
              <w:marTop w:val="0"/>
              <w:marBottom w:val="0"/>
              <w:divBdr>
                <w:top w:val="none" w:sz="0" w:space="0" w:color="auto"/>
                <w:left w:val="none" w:sz="0" w:space="0" w:color="auto"/>
                <w:bottom w:val="none" w:sz="0" w:space="0" w:color="auto"/>
                <w:right w:val="none" w:sz="0" w:space="0" w:color="auto"/>
              </w:divBdr>
              <w:divsChild>
                <w:div w:id="39941743">
                  <w:marLeft w:val="0"/>
                  <w:marRight w:val="0"/>
                  <w:marTop w:val="0"/>
                  <w:marBottom w:val="0"/>
                  <w:divBdr>
                    <w:top w:val="none" w:sz="0" w:space="0" w:color="auto"/>
                    <w:left w:val="none" w:sz="0" w:space="0" w:color="auto"/>
                    <w:bottom w:val="none" w:sz="0" w:space="0" w:color="auto"/>
                    <w:right w:val="none" w:sz="0" w:space="0" w:color="auto"/>
                  </w:divBdr>
                  <w:divsChild>
                    <w:div w:id="749354428">
                      <w:marLeft w:val="0"/>
                      <w:marRight w:val="0"/>
                      <w:marTop w:val="0"/>
                      <w:marBottom w:val="0"/>
                      <w:divBdr>
                        <w:top w:val="none" w:sz="0" w:space="0" w:color="auto"/>
                        <w:left w:val="none" w:sz="0" w:space="0" w:color="auto"/>
                        <w:bottom w:val="none" w:sz="0" w:space="0" w:color="auto"/>
                        <w:right w:val="none" w:sz="0" w:space="0" w:color="auto"/>
                      </w:divBdr>
                      <w:divsChild>
                        <w:div w:id="1348753908">
                          <w:marLeft w:val="0"/>
                          <w:marRight w:val="0"/>
                          <w:marTop w:val="0"/>
                          <w:marBottom w:val="0"/>
                          <w:divBdr>
                            <w:top w:val="none" w:sz="0" w:space="0" w:color="auto"/>
                            <w:left w:val="none" w:sz="0" w:space="0" w:color="auto"/>
                            <w:bottom w:val="none" w:sz="0" w:space="0" w:color="auto"/>
                            <w:right w:val="none" w:sz="0" w:space="0" w:color="auto"/>
                          </w:divBdr>
                          <w:divsChild>
                            <w:div w:id="91450998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387166">
      <w:bodyDiv w:val="1"/>
      <w:marLeft w:val="0"/>
      <w:marRight w:val="0"/>
      <w:marTop w:val="0"/>
      <w:marBottom w:val="0"/>
      <w:divBdr>
        <w:top w:val="none" w:sz="0" w:space="0" w:color="auto"/>
        <w:left w:val="none" w:sz="0" w:space="0" w:color="auto"/>
        <w:bottom w:val="none" w:sz="0" w:space="0" w:color="auto"/>
        <w:right w:val="none" w:sz="0" w:space="0" w:color="auto"/>
      </w:divBdr>
    </w:div>
    <w:div w:id="1841310760">
      <w:bodyDiv w:val="1"/>
      <w:marLeft w:val="0"/>
      <w:marRight w:val="0"/>
      <w:marTop w:val="0"/>
      <w:marBottom w:val="0"/>
      <w:divBdr>
        <w:top w:val="none" w:sz="0" w:space="0" w:color="auto"/>
        <w:left w:val="none" w:sz="0" w:space="0" w:color="auto"/>
        <w:bottom w:val="none" w:sz="0" w:space="0" w:color="auto"/>
        <w:right w:val="none" w:sz="0" w:space="0" w:color="auto"/>
      </w:divBdr>
    </w:div>
    <w:div w:id="1892768064">
      <w:bodyDiv w:val="1"/>
      <w:marLeft w:val="0"/>
      <w:marRight w:val="0"/>
      <w:marTop w:val="0"/>
      <w:marBottom w:val="0"/>
      <w:divBdr>
        <w:top w:val="none" w:sz="0" w:space="0" w:color="auto"/>
        <w:left w:val="none" w:sz="0" w:space="0" w:color="auto"/>
        <w:bottom w:val="none" w:sz="0" w:space="0" w:color="auto"/>
        <w:right w:val="none" w:sz="0" w:space="0" w:color="auto"/>
      </w:divBdr>
    </w:div>
    <w:div w:id="1909538865">
      <w:bodyDiv w:val="1"/>
      <w:marLeft w:val="0"/>
      <w:marRight w:val="0"/>
      <w:marTop w:val="0"/>
      <w:marBottom w:val="0"/>
      <w:divBdr>
        <w:top w:val="none" w:sz="0" w:space="0" w:color="auto"/>
        <w:left w:val="none" w:sz="0" w:space="0" w:color="auto"/>
        <w:bottom w:val="none" w:sz="0" w:space="0" w:color="auto"/>
        <w:right w:val="none" w:sz="0" w:space="0" w:color="auto"/>
      </w:divBdr>
    </w:div>
    <w:div w:id="1997951541">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7FAD9-DD6B-4AC9-8601-A47B93EE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10601</Words>
  <Characters>6044</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Likumprojekta "Grozījumi Solidaritātes nodokļa likumā" sākotnējās ietekmes novērtējuma ziņojums (anotācija)</vt:lpstr>
    </vt:vector>
  </TitlesOfParts>
  <Company>Finanšu ministrija</Company>
  <LinksUpToDate>false</LinksUpToDate>
  <CharactersWithSpaces>16612</CharactersWithSpaces>
  <SharedDoc>false</SharedDoc>
  <HLinks>
    <vt:vector size="18" baseType="variant">
      <vt:variant>
        <vt:i4>1703968</vt:i4>
      </vt:variant>
      <vt:variant>
        <vt:i4>9</vt:i4>
      </vt:variant>
      <vt:variant>
        <vt:i4>0</vt:i4>
      </vt:variant>
      <vt:variant>
        <vt:i4>5</vt:i4>
      </vt:variant>
      <vt:variant>
        <vt:lpwstr>mailto:Inese.Veinberga@fm.gov.lv</vt:lpwstr>
      </vt:variant>
      <vt:variant>
        <vt:lpwstr/>
      </vt:variant>
      <vt:variant>
        <vt:i4>4915278</vt:i4>
      </vt:variant>
      <vt:variant>
        <vt:i4>3</vt:i4>
      </vt:variant>
      <vt:variant>
        <vt:i4>0</vt:i4>
      </vt:variant>
      <vt:variant>
        <vt:i4>5</vt:i4>
      </vt:variant>
      <vt:variant>
        <vt:lpwstr>http://likumi.lv/doc.php?id=62539</vt:lpwstr>
      </vt:variant>
      <vt:variant>
        <vt:lpwstr/>
      </vt:variant>
      <vt:variant>
        <vt:i4>4587598</vt:i4>
      </vt:variant>
      <vt:variant>
        <vt:i4>0</vt:i4>
      </vt:variant>
      <vt:variant>
        <vt:i4>0</vt:i4>
      </vt:variant>
      <vt:variant>
        <vt:i4>5</vt:i4>
      </vt:variant>
      <vt:variant>
        <vt:lpwstr>http://likumi.lv/doc.php?id=38048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Solidaritātes nodokļa likumā" sākotnējās ietekmes novērtējuma ziņojums (anotācija)</dc:title>
  <dc:subject>Anotācija</dc:subject>
  <dc:creator>Daina Robežniece</dc:creator>
  <dc:description>Daina Robežniece
tālr.nr.67095495
daina.robezniece@fm.gov.lv</dc:description>
  <cp:lastModifiedBy>Daina Robežniece</cp:lastModifiedBy>
  <cp:revision>3</cp:revision>
  <cp:lastPrinted>2017-07-06T12:53:00Z</cp:lastPrinted>
  <dcterms:created xsi:type="dcterms:W3CDTF">2017-07-06T13:43:00Z</dcterms:created>
  <dcterms:modified xsi:type="dcterms:W3CDTF">2017-07-06T13:44:00Z</dcterms:modified>
</cp:coreProperties>
</file>