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7EF1" w14:textId="77777777" w:rsidR="00026C45" w:rsidRPr="00B03110" w:rsidRDefault="00026C45" w:rsidP="00026C45">
      <w:pPr>
        <w:shd w:val="clear" w:color="auto" w:fill="FFFFFF"/>
        <w:jc w:val="center"/>
        <w:rPr>
          <w:rFonts w:eastAsia="Times New Roman"/>
          <w:b/>
          <w:bCs/>
          <w:szCs w:val="28"/>
        </w:rPr>
      </w:pPr>
      <w:r w:rsidRPr="00311AA0">
        <w:rPr>
          <w:b/>
          <w:bCs/>
          <w:szCs w:val="28"/>
        </w:rPr>
        <w:t>Noteikumu projekta “Grozījumi Ministru kabineta 2013.gada 15.janvāra noteikumos Nr.40 “</w:t>
      </w:r>
      <w:r w:rsidRPr="00311AA0">
        <w:rPr>
          <w:b/>
          <w:bCs/>
          <w:szCs w:val="28"/>
          <w:lang w:eastAsia="lv-LV"/>
        </w:rPr>
        <w:t>Noteikumi par pievienotās vērtības nodokļa deklarācijām</w:t>
      </w:r>
      <w:r w:rsidRPr="00311AA0">
        <w:rPr>
          <w:b/>
          <w:szCs w:val="28"/>
        </w:rPr>
        <w:t>””</w:t>
      </w:r>
      <w:r w:rsidRPr="00311AA0">
        <w:rPr>
          <w:b/>
          <w:bCs/>
          <w:szCs w:val="28"/>
        </w:rPr>
        <w:t xml:space="preserve"> </w:t>
      </w:r>
      <w:r w:rsidRPr="00311AA0">
        <w:rPr>
          <w:b/>
          <w:szCs w:val="28"/>
        </w:rPr>
        <w:t>sākotnējās ietekmes novērtējuma ziņojums (anotācija)</w:t>
      </w:r>
    </w:p>
    <w:p w14:paraId="26D3A4E4" w14:textId="77777777" w:rsidR="00026C45" w:rsidRPr="00894C55" w:rsidRDefault="00026C45" w:rsidP="00026C45">
      <w:pPr>
        <w:shd w:val="clear" w:color="auto" w:fill="FFFFFF"/>
        <w:spacing w:before="45" w:line="248" w:lineRule="atLeast"/>
        <w:ind w:firstLine="300"/>
        <w:jc w:val="center"/>
        <w:rPr>
          <w:rFonts w:eastAsia="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26C45" w:rsidRPr="00B03110" w14:paraId="0A91D225" w14:textId="77777777" w:rsidTr="009604FB">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69814B" w14:textId="77777777" w:rsidR="00026C45" w:rsidRPr="00B03110" w:rsidRDefault="00026C45" w:rsidP="009604FB">
            <w:pPr>
              <w:spacing w:before="100" w:beforeAutospacing="1" w:after="100" w:afterAutospacing="1" w:line="293" w:lineRule="atLeast"/>
              <w:jc w:val="center"/>
              <w:rPr>
                <w:rFonts w:eastAsia="Times New Roman"/>
                <w:b/>
                <w:bCs/>
                <w:sz w:val="24"/>
                <w:szCs w:val="24"/>
                <w:lang w:eastAsia="lv-LV"/>
              </w:rPr>
            </w:pPr>
            <w:r w:rsidRPr="00B03110">
              <w:rPr>
                <w:rFonts w:eastAsia="Times New Roman"/>
                <w:b/>
                <w:bCs/>
                <w:sz w:val="24"/>
                <w:szCs w:val="24"/>
                <w:lang w:eastAsia="lv-LV"/>
              </w:rPr>
              <w:t>I. Tiesību akta projekta izstrādes nepieciešamība</w:t>
            </w:r>
          </w:p>
        </w:tc>
      </w:tr>
      <w:tr w:rsidR="00026C45" w:rsidRPr="00B03110" w14:paraId="5D0BD2D3" w14:textId="77777777" w:rsidTr="009604FB">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7379C40" w14:textId="77777777" w:rsidR="00026C45" w:rsidRPr="00B03110" w:rsidRDefault="00026C45" w:rsidP="009604FB">
            <w:pPr>
              <w:spacing w:before="100" w:beforeAutospacing="1" w:after="100" w:afterAutospacing="1" w:line="293" w:lineRule="atLeast"/>
              <w:jc w:val="center"/>
              <w:rPr>
                <w:rFonts w:eastAsia="Times New Roman"/>
                <w:sz w:val="24"/>
                <w:szCs w:val="24"/>
                <w:lang w:eastAsia="lv-LV"/>
              </w:rPr>
            </w:pPr>
            <w:r w:rsidRPr="00B03110">
              <w:rPr>
                <w:rFonts w:eastAsia="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B720FAD" w14:textId="77777777" w:rsidR="00026C45" w:rsidRPr="00B03110" w:rsidRDefault="00026C45" w:rsidP="009604FB">
            <w:pPr>
              <w:rPr>
                <w:rFonts w:eastAsia="Times New Roman"/>
                <w:sz w:val="24"/>
                <w:szCs w:val="24"/>
                <w:lang w:eastAsia="lv-LV"/>
              </w:rPr>
            </w:pPr>
            <w:r w:rsidRPr="00B03110">
              <w:rPr>
                <w:rFonts w:eastAsia="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1D0442D" w14:textId="77777777" w:rsidR="00026C45" w:rsidRPr="00FA3C80" w:rsidRDefault="007334B9" w:rsidP="00FA3C80">
            <w:pPr>
              <w:jc w:val="both"/>
              <w:rPr>
                <w:sz w:val="24"/>
                <w:szCs w:val="24"/>
              </w:rPr>
            </w:pPr>
            <w:r>
              <w:rPr>
                <w:sz w:val="24"/>
                <w:szCs w:val="24"/>
              </w:rPr>
              <w:t xml:space="preserve">1. </w:t>
            </w:r>
            <w:r w:rsidR="00026C45" w:rsidRPr="00182804">
              <w:rPr>
                <w:sz w:val="24"/>
                <w:szCs w:val="24"/>
              </w:rPr>
              <w:t>Ministru kabineta noteikumu projekts “Grozījumi Ministru kabineta 2013.gada 15.janvāra noteikumos Nr.40 “Noteikumi par pievienotās vērtības nodokļa deklarācijām”” (turpmāk – noteikumu projekts) ir izstrādāts</w:t>
            </w:r>
            <w:r w:rsidR="00026C45" w:rsidRPr="00FA3C80">
              <w:rPr>
                <w:sz w:val="24"/>
                <w:szCs w:val="24"/>
              </w:rPr>
              <w:t xml:space="preserve">, pamatojoties uz Saeimā 2017.gada </w:t>
            </w:r>
            <w:r w:rsidR="00C3486D" w:rsidRPr="00FA3C80">
              <w:rPr>
                <w:sz w:val="24"/>
                <w:szCs w:val="24"/>
              </w:rPr>
              <w:t>2</w:t>
            </w:r>
            <w:r w:rsidR="001435FB" w:rsidRPr="00FA3C80">
              <w:rPr>
                <w:sz w:val="24"/>
                <w:szCs w:val="24"/>
              </w:rPr>
              <w:t>0</w:t>
            </w:r>
            <w:r w:rsidR="00C3486D" w:rsidRPr="00FA3C80">
              <w:rPr>
                <w:sz w:val="24"/>
                <w:szCs w:val="24"/>
              </w:rPr>
              <w:t>.</w:t>
            </w:r>
            <w:r w:rsidR="00026C45" w:rsidRPr="00FA3C80">
              <w:rPr>
                <w:sz w:val="24"/>
                <w:szCs w:val="24"/>
              </w:rPr>
              <w:t>aprīlī pieņemt</w:t>
            </w:r>
            <w:r w:rsidR="006901A5" w:rsidRPr="00FA3C80">
              <w:rPr>
                <w:sz w:val="24"/>
                <w:szCs w:val="24"/>
              </w:rPr>
              <w:t>o likum</w:t>
            </w:r>
            <w:r w:rsidR="00922734" w:rsidRPr="00FA3C80">
              <w:rPr>
                <w:sz w:val="24"/>
                <w:szCs w:val="24"/>
              </w:rPr>
              <w:t>u</w:t>
            </w:r>
            <w:r w:rsidR="006901A5" w:rsidRPr="00FA3C80">
              <w:rPr>
                <w:sz w:val="24"/>
                <w:szCs w:val="24"/>
              </w:rPr>
              <w:t xml:space="preserve"> “G</w:t>
            </w:r>
            <w:r w:rsidR="00026C45" w:rsidRPr="00FA3C80">
              <w:rPr>
                <w:sz w:val="24"/>
                <w:szCs w:val="24"/>
              </w:rPr>
              <w:t>rozījumi Pievienotās vērtības nodokļa likumā</w:t>
            </w:r>
            <w:r w:rsidR="006901A5" w:rsidRPr="00FA3C80">
              <w:rPr>
                <w:sz w:val="24"/>
                <w:szCs w:val="24"/>
              </w:rPr>
              <w:t>”</w:t>
            </w:r>
            <w:r w:rsidR="001C0B12" w:rsidRPr="00FA3C80">
              <w:rPr>
                <w:sz w:val="24"/>
                <w:szCs w:val="24"/>
              </w:rPr>
              <w:t xml:space="preserve"> (Nr.708/Lp12)</w:t>
            </w:r>
            <w:r w:rsidR="00026C45" w:rsidRPr="00FA3C80">
              <w:rPr>
                <w:sz w:val="24"/>
                <w:szCs w:val="24"/>
              </w:rPr>
              <w:t xml:space="preserve">, saskaņā ar kuriem </w:t>
            </w:r>
            <w:r w:rsidR="00026C45" w:rsidRPr="00182804">
              <w:rPr>
                <w:sz w:val="24"/>
                <w:szCs w:val="24"/>
              </w:rPr>
              <w:t xml:space="preserve">Pievienotās vērtības nodokļa likumā </w:t>
            </w:r>
            <w:r w:rsidR="006901A5">
              <w:rPr>
                <w:sz w:val="24"/>
                <w:szCs w:val="24"/>
              </w:rPr>
              <w:t xml:space="preserve">(turpmāk – Likums) </w:t>
            </w:r>
            <w:r w:rsidR="00026C45" w:rsidRPr="00182804">
              <w:rPr>
                <w:sz w:val="24"/>
                <w:szCs w:val="24"/>
              </w:rPr>
              <w:t>lietotie termini ir precizēti atbilstoši būvniecības jomu reglamentējošajos tiesību aktos lietotajai terminoloģijai</w:t>
            </w:r>
            <w:r w:rsidR="0040207E" w:rsidRPr="00182804">
              <w:rPr>
                <w:sz w:val="24"/>
                <w:szCs w:val="24"/>
              </w:rPr>
              <w:t xml:space="preserve">, kā arī </w:t>
            </w:r>
            <w:r w:rsidR="006901A5">
              <w:rPr>
                <w:sz w:val="24"/>
                <w:szCs w:val="24"/>
              </w:rPr>
              <w:t>L</w:t>
            </w:r>
            <w:r w:rsidR="0040207E" w:rsidRPr="00182804">
              <w:rPr>
                <w:sz w:val="24"/>
                <w:szCs w:val="24"/>
              </w:rPr>
              <w:t xml:space="preserve">ikuma </w:t>
            </w:r>
            <w:r w:rsidR="0040207E" w:rsidRPr="00FA3C80">
              <w:rPr>
                <w:sz w:val="24"/>
                <w:szCs w:val="24"/>
              </w:rPr>
              <w:t>50.pants papildināts ar jaunu, 7.</w:t>
            </w:r>
            <w:r w:rsidR="0040207E" w:rsidRPr="00FA3C80">
              <w:rPr>
                <w:sz w:val="24"/>
                <w:szCs w:val="24"/>
                <w:vertAlign w:val="superscript"/>
              </w:rPr>
              <w:t>1</w:t>
            </w:r>
            <w:r w:rsidR="0040207E" w:rsidRPr="00FA3C80">
              <w:rPr>
                <w:sz w:val="24"/>
                <w:szCs w:val="24"/>
              </w:rPr>
              <w:t xml:space="preserve"> daļu, kas nosaka </w:t>
            </w:r>
            <w:r w:rsidR="006901A5" w:rsidRPr="00FA3C80">
              <w:rPr>
                <w:sz w:val="24"/>
                <w:szCs w:val="24"/>
              </w:rPr>
              <w:t xml:space="preserve">pievienotās vērtības nodokļa </w:t>
            </w:r>
            <w:r w:rsidR="00A37550" w:rsidRPr="00FA3C80">
              <w:rPr>
                <w:sz w:val="24"/>
                <w:szCs w:val="24"/>
              </w:rPr>
              <w:t>(</w:t>
            </w:r>
            <w:r w:rsidR="00A37550" w:rsidRPr="00892062">
              <w:rPr>
                <w:sz w:val="24"/>
                <w:szCs w:val="24"/>
              </w:rPr>
              <w:t>turpmāk – PVN</w:t>
            </w:r>
            <w:r w:rsidR="00A37550" w:rsidRPr="00FA3C80">
              <w:rPr>
                <w:sz w:val="24"/>
                <w:szCs w:val="24"/>
              </w:rPr>
              <w:t xml:space="preserve">) </w:t>
            </w:r>
            <w:r w:rsidR="0040207E" w:rsidRPr="00FA3C80">
              <w:rPr>
                <w:sz w:val="24"/>
                <w:szCs w:val="24"/>
              </w:rPr>
              <w:t>0 procentu likmes piemērošanu preču piegādēm un pakalpojumiem, kas iekšzemē sniegti Latvijas Republikā atzīta Sabiedroto spēku štāba locekļiem un viņu apgādājamiem, izņemot Latvijas Republikas pilsoņus vai pastāvīgos iedzīvotājus, Sabiedroto spēku štāba veikalā saskaņā ar Latvijas Republikas, Ziemeļatlantijas līguma organizācijas Sabiedroto spēku Augstākās virspavēlniecības Eiropā un Sabiedroto spēku Augstākās virspavēlniecības Transformācijas komandiera štāba nolīguma, ar kuru papildina Parīzes protokolu, nosacījumiem un ierobežojumiem, kā arī degvielas piegādēm iekšzemē Amerikas Savienoto Valstu vēstniecībai Latvijas Republikā un tās diplomātiskajiem un konsulārajiem aģentiem un administratīvi tehniskajam personālam.</w:t>
            </w:r>
          </w:p>
          <w:p w14:paraId="5DD45481" w14:textId="77777777" w:rsidR="002413F3" w:rsidRPr="00FA3C80" w:rsidRDefault="007334B9" w:rsidP="002413F3">
            <w:pPr>
              <w:jc w:val="both"/>
              <w:rPr>
                <w:sz w:val="24"/>
                <w:szCs w:val="24"/>
              </w:rPr>
            </w:pPr>
            <w:r w:rsidRPr="00FA3C80">
              <w:rPr>
                <w:sz w:val="24"/>
                <w:szCs w:val="24"/>
              </w:rPr>
              <w:t xml:space="preserve">2. </w:t>
            </w:r>
            <w:r w:rsidR="002413F3" w:rsidRPr="00FA3C80">
              <w:rPr>
                <w:sz w:val="24"/>
                <w:szCs w:val="24"/>
              </w:rPr>
              <w:t>Lai turpinātu sekmīgu PVN plaisas samazinājumu, kuras būtiskākais iemesls ir krāpšanās PVN jomā, ir jāīsteno negodprātīgu PVN maksātāju darbību ierobežojoši pasākumi.</w:t>
            </w:r>
          </w:p>
          <w:p w14:paraId="35BAB0E8" w14:textId="05FA3085" w:rsidR="002413F3" w:rsidRPr="00180B2B" w:rsidRDefault="002413F3" w:rsidP="002413F3">
            <w:pPr>
              <w:ind w:firstLine="11"/>
              <w:jc w:val="both"/>
              <w:rPr>
                <w:sz w:val="24"/>
                <w:szCs w:val="24"/>
              </w:rPr>
            </w:pPr>
            <w:r w:rsidRPr="00FA3C80">
              <w:rPr>
                <w:sz w:val="24"/>
                <w:szCs w:val="24"/>
              </w:rPr>
              <w:t xml:space="preserve">Ievērojot minēto, lai samazinātu risku, ka negodprātīgi PVN maksātāji var iekļaut PVN deklarācijās un to pielikumos kopējās ar PVN apliekamo darījumu summās fiktīvus darījumus, tas ir, veikt krāpnieciskas un negodprātīgas darbības, kuru rezultātā tiek nodarīti zaudējumi valsts budžetam,  ir nepieciešams noteikt zemāku PVN deklarācijas pielikumos atsevišķi norādāmo </w:t>
            </w:r>
            <w:r w:rsidRPr="00180B2B">
              <w:rPr>
                <w:sz w:val="24"/>
                <w:szCs w:val="24"/>
              </w:rPr>
              <w:t>darījumu summas slieksni.</w:t>
            </w:r>
          </w:p>
          <w:p w14:paraId="6A241CBB" w14:textId="5F792C32" w:rsidR="00180B2B" w:rsidRPr="00180B2B" w:rsidRDefault="00180B2B" w:rsidP="002413F3">
            <w:pPr>
              <w:ind w:firstLine="11"/>
              <w:jc w:val="both"/>
              <w:rPr>
                <w:sz w:val="24"/>
                <w:szCs w:val="24"/>
              </w:rPr>
            </w:pPr>
            <w:r w:rsidRPr="00C4061B">
              <w:rPr>
                <w:sz w:val="24"/>
                <w:szCs w:val="24"/>
              </w:rPr>
              <w:t xml:space="preserve">PVN deklarācijas pielikumos atšifrējamo darījumu ar reģistrētiem PVN maksātājiem slieksnim 150 </w:t>
            </w:r>
            <w:r w:rsidRPr="00C4061B">
              <w:rPr>
                <w:i/>
                <w:sz w:val="24"/>
                <w:szCs w:val="24"/>
              </w:rPr>
              <w:t>euro</w:t>
            </w:r>
            <w:r w:rsidRPr="00C4061B">
              <w:rPr>
                <w:sz w:val="24"/>
                <w:szCs w:val="24"/>
              </w:rPr>
              <w:t xml:space="preserve"> apmērā saskaņā ar Ministru kabineta 2017.gada 9.maija sēdē (prot. Nr.23 21.§) apstiprināto Valsts nodokļu politikas pamatnostādņu 2018. – 2021.gadam (Ministru kabineta 2017.gada 24.maija rīkojums Nr.245) </w:t>
            </w:r>
            <w:r w:rsidRPr="00C4061B">
              <w:rPr>
                <w:bCs/>
                <w:sz w:val="24"/>
                <w:szCs w:val="24"/>
              </w:rPr>
              <w:t>1</w:t>
            </w:r>
            <w:r w:rsidRPr="00C4061B">
              <w:rPr>
                <w:sz w:val="24"/>
                <w:szCs w:val="24"/>
              </w:rPr>
              <w:t>.</w:t>
            </w:r>
            <w:r w:rsidRPr="00C4061B">
              <w:rPr>
                <w:bCs/>
                <w:sz w:val="24"/>
                <w:szCs w:val="24"/>
              </w:rPr>
              <w:t>5.</w:t>
            </w:r>
            <w:r w:rsidRPr="00C4061B">
              <w:rPr>
                <w:sz w:val="24"/>
                <w:szCs w:val="24"/>
              </w:rPr>
              <w:t> </w:t>
            </w:r>
            <w:r w:rsidRPr="00C4061B">
              <w:rPr>
                <w:bCs/>
                <w:sz w:val="24"/>
                <w:szCs w:val="24"/>
              </w:rPr>
              <w:t xml:space="preserve">uzdevuma “Pievienotās vērtības nodokļa iekasēšanas uzlabošana, kā arī mērķtiecīga un efektīva pievienotās vērtības nodokļa </w:t>
            </w:r>
            <w:r w:rsidRPr="00C4061B">
              <w:rPr>
                <w:bCs/>
                <w:sz w:val="24"/>
                <w:szCs w:val="24"/>
              </w:rPr>
              <w:lastRenderedPageBreak/>
              <w:t>atvieglojumu un samazinātās likmes piemērošana” 1.5.3.apakšpunktu</w:t>
            </w:r>
            <w:r w:rsidRPr="00C4061B">
              <w:rPr>
                <w:b/>
                <w:bCs/>
                <w:sz w:val="24"/>
                <w:szCs w:val="24"/>
              </w:rPr>
              <w:t xml:space="preserve"> </w:t>
            </w:r>
            <w:r w:rsidRPr="00C4061B">
              <w:rPr>
                <w:sz w:val="24"/>
                <w:szCs w:val="24"/>
              </w:rPr>
              <w:t>jābūt noteiktam ar 2018.gada 1.janvāri.</w:t>
            </w:r>
          </w:p>
          <w:p w14:paraId="18534F41" w14:textId="77777777" w:rsidR="00180B2B" w:rsidRDefault="002413F3" w:rsidP="00A54F46">
            <w:pPr>
              <w:jc w:val="both"/>
              <w:rPr>
                <w:sz w:val="24"/>
                <w:szCs w:val="24"/>
              </w:rPr>
            </w:pPr>
            <w:r w:rsidRPr="00FA3C80">
              <w:rPr>
                <w:sz w:val="24"/>
                <w:szCs w:val="24"/>
              </w:rPr>
              <w:t xml:space="preserve">Pamatojoties uz minēto un, lai nodrošinātu Ministru kabineta 2013.gada 15.janvāra noteikumu Nr.40 </w:t>
            </w:r>
            <w:r w:rsidR="00A54F46" w:rsidRPr="00182804">
              <w:rPr>
                <w:sz w:val="24"/>
                <w:szCs w:val="24"/>
              </w:rPr>
              <w:t>“Noteikumi par pievienotās vērtības nodokļa deklarācijām”</w:t>
            </w:r>
            <w:r w:rsidR="00A54F46">
              <w:rPr>
                <w:sz w:val="24"/>
                <w:szCs w:val="24"/>
              </w:rPr>
              <w:t xml:space="preserve"> (turpmāk </w:t>
            </w:r>
            <w:r w:rsidR="006124A9">
              <w:rPr>
                <w:sz w:val="24"/>
                <w:szCs w:val="24"/>
              </w:rPr>
              <w:t>–</w:t>
            </w:r>
            <w:r w:rsidR="00A54F46">
              <w:rPr>
                <w:sz w:val="24"/>
                <w:szCs w:val="24"/>
              </w:rPr>
              <w:t xml:space="preserve"> </w:t>
            </w:r>
            <w:r w:rsidR="00A54F46" w:rsidRPr="00FA3C80">
              <w:rPr>
                <w:sz w:val="24"/>
                <w:szCs w:val="24"/>
              </w:rPr>
              <w:t>Ministru kabineta 2013.g</w:t>
            </w:r>
            <w:r w:rsidR="00A54F46">
              <w:rPr>
                <w:sz w:val="24"/>
                <w:szCs w:val="24"/>
              </w:rPr>
              <w:t xml:space="preserve">ada 15.janvāra noteikumi Nr.40)  </w:t>
            </w:r>
            <w:r w:rsidRPr="00FA3C80">
              <w:rPr>
                <w:sz w:val="24"/>
                <w:szCs w:val="24"/>
              </w:rPr>
              <w:t>saskaņotību ar grozījumiem Pievienotās vērtības nodokļa likumā, ir nepieciešams veikt grozījumus Ministru kabineta 2013.g</w:t>
            </w:r>
            <w:r w:rsidR="0055717A">
              <w:rPr>
                <w:sz w:val="24"/>
                <w:szCs w:val="24"/>
              </w:rPr>
              <w:t>ada 15.janvāra noteikumos Nr.40</w:t>
            </w:r>
            <w:r w:rsidR="00180B2B">
              <w:rPr>
                <w:sz w:val="24"/>
                <w:szCs w:val="24"/>
              </w:rPr>
              <w:t>.</w:t>
            </w:r>
          </w:p>
          <w:p w14:paraId="5621782A" w14:textId="1B07E119" w:rsidR="007334B9" w:rsidRPr="00FA3C80" w:rsidRDefault="0055717A" w:rsidP="00A54F46">
            <w:pPr>
              <w:jc w:val="both"/>
              <w:rPr>
                <w:sz w:val="24"/>
                <w:szCs w:val="24"/>
              </w:rPr>
            </w:pPr>
            <w:r>
              <w:rPr>
                <w:sz w:val="24"/>
                <w:szCs w:val="24"/>
              </w:rPr>
              <w:t xml:space="preserve"> </w:t>
            </w:r>
          </w:p>
        </w:tc>
      </w:tr>
      <w:tr w:rsidR="00026C45" w:rsidRPr="00B03110" w14:paraId="39C510F9" w14:textId="77777777" w:rsidTr="009604F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9A3D440" w14:textId="77777777" w:rsidR="00026C45" w:rsidRPr="00B03110" w:rsidRDefault="00026C45" w:rsidP="009604FB">
            <w:pPr>
              <w:spacing w:before="100" w:beforeAutospacing="1" w:after="100" w:afterAutospacing="1" w:line="293" w:lineRule="atLeast"/>
              <w:jc w:val="center"/>
              <w:rPr>
                <w:rFonts w:eastAsia="Times New Roman"/>
                <w:sz w:val="24"/>
                <w:szCs w:val="24"/>
                <w:lang w:eastAsia="lv-LV"/>
              </w:rPr>
            </w:pPr>
            <w:r w:rsidRPr="00B03110">
              <w:rPr>
                <w:rFonts w:eastAsia="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D126ECC" w14:textId="77777777" w:rsidR="00026C45" w:rsidRPr="00B03110" w:rsidRDefault="00026C45" w:rsidP="009604FB">
            <w:pPr>
              <w:rPr>
                <w:rFonts w:eastAsia="Times New Roman"/>
                <w:sz w:val="24"/>
                <w:szCs w:val="24"/>
                <w:lang w:eastAsia="lv-LV"/>
              </w:rPr>
            </w:pPr>
            <w:r w:rsidRPr="00B03110">
              <w:rPr>
                <w:rFonts w:eastAsia="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7314FE5" w14:textId="77777777" w:rsidR="00510695" w:rsidRDefault="002D596E" w:rsidP="00892062">
            <w:pPr>
              <w:pStyle w:val="ListParagraph"/>
              <w:numPr>
                <w:ilvl w:val="0"/>
                <w:numId w:val="5"/>
              </w:numPr>
              <w:tabs>
                <w:tab w:val="left" w:pos="709"/>
                <w:tab w:val="left" w:pos="8931"/>
              </w:tabs>
              <w:spacing w:after="0" w:line="240" w:lineRule="auto"/>
              <w:ind w:left="0" w:firstLine="0"/>
              <w:jc w:val="both"/>
              <w:rPr>
                <w:sz w:val="24"/>
                <w:szCs w:val="24"/>
              </w:rPr>
            </w:pPr>
            <w:r w:rsidRPr="00892062">
              <w:rPr>
                <w:sz w:val="24"/>
                <w:szCs w:val="24"/>
              </w:rPr>
              <w:t xml:space="preserve">Ar Saeimā 2017.gada 20.aprīlī pieņemto likumu “Grozījumi Pievienotās vērtības nodokļa likumā” (Nr.708/Lp12) ir precizēti Likumā lietotie termini atbilstoši </w:t>
            </w:r>
            <w:r w:rsidR="00A54F46" w:rsidRPr="00892062">
              <w:rPr>
                <w:sz w:val="24"/>
                <w:szCs w:val="24"/>
              </w:rPr>
              <w:t xml:space="preserve">būvniecības jomu reglamentējošajos tiesību aktos lietotajai terminoloģijai. </w:t>
            </w:r>
            <w:r w:rsidR="00A54F46">
              <w:rPr>
                <w:sz w:val="24"/>
                <w:szCs w:val="24"/>
              </w:rPr>
              <w:t xml:space="preserve">Līdz ar to ir nepieciešams arī veikt atbilstošus precizējumus </w:t>
            </w:r>
            <w:r w:rsidR="00A54F46" w:rsidRPr="00FA3C80">
              <w:rPr>
                <w:sz w:val="24"/>
                <w:szCs w:val="24"/>
              </w:rPr>
              <w:t>Ministru kabineta 2013.g</w:t>
            </w:r>
            <w:r w:rsidR="00A54F46">
              <w:rPr>
                <w:sz w:val="24"/>
                <w:szCs w:val="24"/>
              </w:rPr>
              <w:t>ada 15.janvāra noteikumos Nr.40.</w:t>
            </w:r>
          </w:p>
          <w:p w14:paraId="59D2B81E" w14:textId="4F4C6F14" w:rsidR="00A54F46" w:rsidRPr="00A54F46" w:rsidRDefault="006F3A6B" w:rsidP="00892062">
            <w:pPr>
              <w:pStyle w:val="ListParagraph"/>
              <w:numPr>
                <w:ilvl w:val="0"/>
                <w:numId w:val="5"/>
              </w:numPr>
              <w:tabs>
                <w:tab w:val="left" w:pos="709"/>
                <w:tab w:val="left" w:pos="8931"/>
              </w:tabs>
              <w:spacing w:after="0" w:line="240" w:lineRule="auto"/>
              <w:ind w:left="0" w:firstLine="0"/>
              <w:jc w:val="both"/>
              <w:rPr>
                <w:sz w:val="24"/>
                <w:szCs w:val="24"/>
              </w:rPr>
            </w:pPr>
            <w:r>
              <w:rPr>
                <w:sz w:val="24"/>
                <w:szCs w:val="24"/>
              </w:rPr>
              <w:t>Likuma 50.pants ir papildināts ar jaunu, 7.</w:t>
            </w:r>
            <w:r w:rsidRPr="00892062">
              <w:rPr>
                <w:sz w:val="24"/>
                <w:szCs w:val="24"/>
                <w:vertAlign w:val="superscript"/>
              </w:rPr>
              <w:t>1</w:t>
            </w:r>
            <w:r>
              <w:rPr>
                <w:sz w:val="24"/>
                <w:szCs w:val="24"/>
              </w:rPr>
              <w:t xml:space="preserve">daļu, kas </w:t>
            </w:r>
            <w:r w:rsidRPr="00FA3C80">
              <w:rPr>
                <w:sz w:val="24"/>
                <w:szCs w:val="24"/>
              </w:rPr>
              <w:t xml:space="preserve">nosaka </w:t>
            </w:r>
            <w:r w:rsidRPr="00892062">
              <w:rPr>
                <w:sz w:val="24"/>
                <w:szCs w:val="24"/>
              </w:rPr>
              <w:t>PVN</w:t>
            </w:r>
            <w:r w:rsidRPr="00FA3C80">
              <w:rPr>
                <w:sz w:val="24"/>
                <w:szCs w:val="24"/>
              </w:rPr>
              <w:t xml:space="preserve"> 0 procentu likmes </w:t>
            </w:r>
            <w:r>
              <w:rPr>
                <w:sz w:val="24"/>
                <w:szCs w:val="24"/>
              </w:rPr>
              <w:t xml:space="preserve">tiešu </w:t>
            </w:r>
            <w:r w:rsidRPr="00FA3C80">
              <w:rPr>
                <w:sz w:val="24"/>
                <w:szCs w:val="24"/>
              </w:rPr>
              <w:t>piemērošanu preču piegādēm un pakalpojumiem</w:t>
            </w:r>
            <w:r>
              <w:rPr>
                <w:sz w:val="24"/>
                <w:szCs w:val="24"/>
              </w:rPr>
              <w:t>, kas iekšzemē sniegti Latvijas Republikā reģistrēta Sabiedr</w:t>
            </w:r>
            <w:r w:rsidR="00AD2B3E">
              <w:rPr>
                <w:sz w:val="24"/>
                <w:szCs w:val="24"/>
              </w:rPr>
              <w:t>oto</w:t>
            </w:r>
            <w:r>
              <w:rPr>
                <w:sz w:val="24"/>
                <w:szCs w:val="24"/>
              </w:rPr>
              <w:t xml:space="preserve"> spēku štāba </w:t>
            </w:r>
            <w:r w:rsidR="00AD2B3E">
              <w:rPr>
                <w:sz w:val="24"/>
                <w:szCs w:val="24"/>
              </w:rPr>
              <w:t xml:space="preserve">personāla locekļiem un viņu apgādājamiem Sabiedroto </w:t>
            </w:r>
            <w:r>
              <w:rPr>
                <w:sz w:val="24"/>
                <w:szCs w:val="24"/>
              </w:rPr>
              <w:t xml:space="preserve"> </w:t>
            </w:r>
            <w:r w:rsidR="00AD2B3E">
              <w:rPr>
                <w:sz w:val="24"/>
                <w:szCs w:val="24"/>
              </w:rPr>
              <w:t>spēku štāba veikalā saskaņā ar Parīzes protokola papildu nolīguma nosacījumiem un ierobežojumiem, kā arī degvielas piegādēm, kas Latvijā piegādāta Amerikas Savienoto Valstu vēstniecībai un tās diplomātiskajiem un konsulārajiem aģentiem un administratīvi tehniskajam personālam.</w:t>
            </w:r>
            <w:r w:rsidR="0067745F">
              <w:rPr>
                <w:sz w:val="24"/>
                <w:szCs w:val="24"/>
              </w:rPr>
              <w:t xml:space="preserve"> Tādējādi, lai reģistrēti PVN maksātāji varētu korekti PVN deklarācijā uzrādīt minētas preču piegādes un pakalpojumus, kuriem piemērota PVN 0 procentu likme</w:t>
            </w:r>
            <w:r w:rsidR="00686652">
              <w:rPr>
                <w:sz w:val="24"/>
                <w:szCs w:val="24"/>
              </w:rPr>
              <w:t>,</w:t>
            </w:r>
            <w:r w:rsidR="0067745F">
              <w:rPr>
                <w:sz w:val="24"/>
                <w:szCs w:val="24"/>
              </w:rPr>
              <w:t xml:space="preserve"> ir papildinā</w:t>
            </w:r>
            <w:r w:rsidR="00686652">
              <w:rPr>
                <w:sz w:val="24"/>
                <w:szCs w:val="24"/>
              </w:rPr>
              <w:t>mi</w:t>
            </w:r>
            <w:r w:rsidR="0067745F">
              <w:rPr>
                <w:sz w:val="24"/>
                <w:szCs w:val="24"/>
              </w:rPr>
              <w:t xml:space="preserve"> </w:t>
            </w:r>
            <w:r w:rsidR="0067745F" w:rsidRPr="00FA3C80">
              <w:rPr>
                <w:sz w:val="24"/>
                <w:szCs w:val="24"/>
              </w:rPr>
              <w:t>Ministru kabineta 2013.g</w:t>
            </w:r>
            <w:r w:rsidR="0067745F">
              <w:rPr>
                <w:sz w:val="24"/>
                <w:szCs w:val="24"/>
              </w:rPr>
              <w:t>ada 15.janvāra noteikumu Nr.40</w:t>
            </w:r>
            <w:r w:rsidR="00686652">
              <w:rPr>
                <w:sz w:val="24"/>
                <w:szCs w:val="24"/>
              </w:rPr>
              <w:t xml:space="preserve"> attiecīgie punkti.</w:t>
            </w:r>
          </w:p>
          <w:p w14:paraId="03EE2C05" w14:textId="2520DF26" w:rsidR="001768F1" w:rsidRPr="00FA3C80" w:rsidRDefault="001768F1" w:rsidP="00892062">
            <w:pPr>
              <w:pStyle w:val="ListParagraph"/>
              <w:numPr>
                <w:ilvl w:val="0"/>
                <w:numId w:val="5"/>
              </w:numPr>
              <w:tabs>
                <w:tab w:val="left" w:pos="709"/>
                <w:tab w:val="left" w:pos="8931"/>
              </w:tabs>
              <w:spacing w:after="0" w:line="240" w:lineRule="auto"/>
              <w:ind w:left="0" w:firstLine="0"/>
              <w:jc w:val="both"/>
              <w:rPr>
                <w:sz w:val="24"/>
                <w:szCs w:val="24"/>
              </w:rPr>
            </w:pPr>
            <w:r w:rsidRPr="00FA3C80">
              <w:rPr>
                <w:sz w:val="24"/>
                <w:szCs w:val="24"/>
              </w:rPr>
              <w:t xml:space="preserve">Šobrīd Ministru kabineta 2013.gada 15.janvāra noteikumi Nr.40 paredz, ka darījumi, kuru vērtība ir zemāka par 1430 </w:t>
            </w:r>
            <w:r w:rsidRPr="00F55A37">
              <w:rPr>
                <w:i/>
                <w:sz w:val="24"/>
                <w:szCs w:val="24"/>
              </w:rPr>
              <w:t>euro</w:t>
            </w:r>
            <w:r w:rsidRPr="00FA3C80">
              <w:rPr>
                <w:sz w:val="24"/>
                <w:szCs w:val="24"/>
              </w:rPr>
              <w:t xml:space="preserve">, PVN deklarācijās ir norādāmi kopējā summā ar kodu “T” vai “V”. </w:t>
            </w:r>
          </w:p>
          <w:p w14:paraId="631B7C7A" w14:textId="77777777" w:rsidR="001768F1" w:rsidRPr="00FA3C80" w:rsidRDefault="00240203" w:rsidP="00892062">
            <w:pPr>
              <w:pStyle w:val="ListParagraph"/>
              <w:tabs>
                <w:tab w:val="left" w:pos="709"/>
                <w:tab w:val="left" w:pos="8931"/>
              </w:tabs>
              <w:spacing w:after="0" w:line="240" w:lineRule="auto"/>
              <w:ind w:left="0"/>
              <w:jc w:val="both"/>
              <w:rPr>
                <w:sz w:val="24"/>
                <w:szCs w:val="24"/>
              </w:rPr>
            </w:pPr>
            <w:r w:rsidRPr="00892062">
              <w:rPr>
                <w:sz w:val="24"/>
                <w:szCs w:val="24"/>
              </w:rPr>
              <w:t xml:space="preserve">Neatšifrēto darījumu īpatsvars ar PVN standartlikmi un samazināto likmi apliekamajos darījumos 2016.gadā ir 39,8% jeb 12 350,8 milj. </w:t>
            </w:r>
            <w:r w:rsidRPr="00892062">
              <w:rPr>
                <w:i/>
                <w:sz w:val="24"/>
                <w:szCs w:val="24"/>
              </w:rPr>
              <w:t>euro</w:t>
            </w:r>
            <w:r w:rsidRPr="00892062">
              <w:rPr>
                <w:sz w:val="24"/>
                <w:szCs w:val="24"/>
              </w:rPr>
              <w:t xml:space="preserve"> (PVN par neatšifrētiem </w:t>
            </w:r>
            <w:r w:rsidR="009604FB" w:rsidRPr="00892062">
              <w:rPr>
                <w:sz w:val="24"/>
                <w:szCs w:val="24"/>
              </w:rPr>
              <w:t>d</w:t>
            </w:r>
            <w:r w:rsidRPr="00892062">
              <w:rPr>
                <w:sz w:val="24"/>
                <w:szCs w:val="24"/>
              </w:rPr>
              <w:t xml:space="preserve">arījumiem īpatsvars aprēķinātajā PVN ir 32,4% jeb 2 491,6 milj. </w:t>
            </w:r>
            <w:r w:rsidRPr="00892062">
              <w:rPr>
                <w:i/>
                <w:sz w:val="24"/>
                <w:szCs w:val="24"/>
              </w:rPr>
              <w:t>euro</w:t>
            </w:r>
            <w:r w:rsidRPr="00892062">
              <w:rPr>
                <w:sz w:val="24"/>
                <w:szCs w:val="24"/>
              </w:rPr>
              <w:t xml:space="preserve">), savukārt PVN par neatšifrētiem darījumiem īpatsvars priekšnodoklī ir 13,3% jeb 1 130,1 milj. </w:t>
            </w:r>
            <w:r w:rsidRPr="00892062">
              <w:rPr>
                <w:i/>
                <w:sz w:val="24"/>
                <w:szCs w:val="24"/>
              </w:rPr>
              <w:t>euro</w:t>
            </w:r>
            <w:r w:rsidR="003F487D" w:rsidRPr="00892062">
              <w:rPr>
                <w:sz w:val="24"/>
                <w:szCs w:val="24"/>
              </w:rPr>
              <w:t>.</w:t>
            </w:r>
          </w:p>
          <w:p w14:paraId="30834B28" w14:textId="221AF33B" w:rsidR="001768F1" w:rsidRPr="00FA3C80" w:rsidRDefault="001768F1" w:rsidP="00892062">
            <w:pPr>
              <w:pStyle w:val="ListParagraph"/>
              <w:tabs>
                <w:tab w:val="left" w:pos="709"/>
                <w:tab w:val="left" w:pos="8931"/>
              </w:tabs>
              <w:spacing w:after="0" w:line="240" w:lineRule="auto"/>
              <w:ind w:left="0"/>
              <w:jc w:val="both"/>
              <w:rPr>
                <w:sz w:val="24"/>
                <w:szCs w:val="24"/>
              </w:rPr>
            </w:pPr>
            <w:r w:rsidRPr="00FA3C80">
              <w:rPr>
                <w:sz w:val="24"/>
                <w:szCs w:val="24"/>
              </w:rPr>
              <w:t>Valsts ieņēmumu dienests</w:t>
            </w:r>
            <w:r w:rsidR="007C6118">
              <w:rPr>
                <w:sz w:val="24"/>
                <w:szCs w:val="24"/>
              </w:rPr>
              <w:t xml:space="preserve"> (turpmāk – VID)</w:t>
            </w:r>
            <w:r w:rsidRPr="00FA3C80">
              <w:rPr>
                <w:sz w:val="24"/>
                <w:szCs w:val="24"/>
              </w:rPr>
              <w:t xml:space="preserve">, pārbaudot PVN deklarācijās un tās pielikumos deklarētos darījumus, kuru vērtība bez PVN nepārsniedz 1430 </w:t>
            </w:r>
            <w:r w:rsidRPr="00F55A37">
              <w:rPr>
                <w:i/>
                <w:sz w:val="24"/>
                <w:szCs w:val="24"/>
              </w:rPr>
              <w:t>euro</w:t>
            </w:r>
            <w:r w:rsidRPr="00FA3C80">
              <w:rPr>
                <w:sz w:val="24"/>
                <w:szCs w:val="24"/>
              </w:rPr>
              <w:t>, regulāri konstatē pārkāpumus, kas saistīti ar PVN izkrāpšanu no valsts budžeta, -</w:t>
            </w:r>
            <w:r w:rsidR="003F487D">
              <w:rPr>
                <w:sz w:val="24"/>
                <w:szCs w:val="24"/>
              </w:rPr>
              <w:t xml:space="preserve"> </w:t>
            </w:r>
            <w:r w:rsidRPr="00FA3C80">
              <w:rPr>
                <w:sz w:val="24"/>
                <w:szCs w:val="24"/>
              </w:rPr>
              <w:t>priekšnodoklī kopējā darījumu vērtībā</w:t>
            </w:r>
            <w:r w:rsidRPr="00892062">
              <w:rPr>
                <w:sz w:val="24"/>
                <w:szCs w:val="24"/>
              </w:rPr>
              <w:t xml:space="preserve"> </w:t>
            </w:r>
            <w:r w:rsidRPr="00FA3C80">
              <w:rPr>
                <w:sz w:val="24"/>
                <w:szCs w:val="24"/>
              </w:rPr>
              <w:t xml:space="preserve">tiek iekļautas PVN summas par precēm un pakalpojumiem, kas nav saistītas ar konkrētā PVN maksātāja saimniecisko darbību, netiek ievēroti priekšnodokļa atskaitīšanas </w:t>
            </w:r>
            <w:r w:rsidRPr="00FA3C80">
              <w:rPr>
                <w:sz w:val="24"/>
                <w:szCs w:val="24"/>
              </w:rPr>
              <w:lastRenderedPageBreak/>
              <w:t xml:space="preserve">ierobežojumi (piemēram, vieglo automašīnu uzturēšanas izdevumi tiek nepamatoti atskaitīti pilnā apmērā), tiek deklarēti darījumi ar viltotiem rēķiniem, veiktas manipulācijas ar čekiem par degvielas iegādi, darījumos ar kodu “V” tiek iekļauti arī PVN maksātājam nepiederošie iegādes dokumenti (piemēram, atlaižu karšu numuri), darījumos tiek izmantoti citu PVN maksātāju numuri, PVN maksātāji (“buferuzņēmumi”) PVN deklarācijās deklarē neatšifrētus darījumus lielos apmēros (līdz miljoniem </w:t>
            </w:r>
            <w:r w:rsidRPr="00892062">
              <w:rPr>
                <w:sz w:val="24"/>
                <w:szCs w:val="24"/>
              </w:rPr>
              <w:t>euro</w:t>
            </w:r>
            <w:r w:rsidRPr="00FA3C80">
              <w:rPr>
                <w:sz w:val="24"/>
                <w:szCs w:val="24"/>
              </w:rPr>
              <w:t xml:space="preserve">), kurus pārbaudot vairumā gadījumu tie ir nepamatoti vai fiktīvi.  </w:t>
            </w:r>
          </w:p>
          <w:p w14:paraId="37E71A85" w14:textId="77777777" w:rsidR="00DA115F" w:rsidRPr="00A92D29" w:rsidRDefault="001768F1" w:rsidP="00892062">
            <w:pPr>
              <w:pStyle w:val="ListParagraph"/>
              <w:tabs>
                <w:tab w:val="left" w:pos="709"/>
                <w:tab w:val="left" w:pos="8931"/>
              </w:tabs>
              <w:spacing w:after="0" w:line="240" w:lineRule="auto"/>
              <w:ind w:left="0"/>
              <w:jc w:val="both"/>
              <w:rPr>
                <w:sz w:val="24"/>
                <w:szCs w:val="24"/>
              </w:rPr>
            </w:pPr>
            <w:r w:rsidRPr="00FA3C80">
              <w:rPr>
                <w:sz w:val="24"/>
                <w:szCs w:val="24"/>
              </w:rPr>
              <w:t xml:space="preserve">Saskaņā ar </w:t>
            </w:r>
            <w:r w:rsidR="009604FB">
              <w:rPr>
                <w:sz w:val="24"/>
                <w:szCs w:val="24"/>
              </w:rPr>
              <w:t>Valsts Nodokļu politikas pamatnost</w:t>
            </w:r>
            <w:r w:rsidR="003F487D">
              <w:rPr>
                <w:sz w:val="24"/>
                <w:szCs w:val="24"/>
              </w:rPr>
              <w:t>ādņu 2018.-2021.gadam pielikumā</w:t>
            </w:r>
            <w:r w:rsidR="00D236A6">
              <w:rPr>
                <w:sz w:val="24"/>
                <w:szCs w:val="24"/>
              </w:rPr>
              <w:t xml:space="preserve"> Nr.1.</w:t>
            </w:r>
            <w:r w:rsidR="009604FB">
              <w:rPr>
                <w:sz w:val="24"/>
                <w:szCs w:val="24"/>
              </w:rPr>
              <w:t xml:space="preserve"> “Esošās situācijas raksturojums” </w:t>
            </w:r>
            <w:r w:rsidR="00D236A6" w:rsidRPr="00D236A6">
              <w:rPr>
                <w:sz w:val="24"/>
                <w:szCs w:val="24"/>
              </w:rPr>
              <w:t>sniegtajai</w:t>
            </w:r>
            <w:r w:rsidRPr="00FA3C80">
              <w:rPr>
                <w:sz w:val="24"/>
                <w:szCs w:val="24"/>
              </w:rPr>
              <w:t xml:space="preserve"> informācij</w:t>
            </w:r>
            <w:r w:rsidR="00D236A6">
              <w:rPr>
                <w:sz w:val="24"/>
                <w:szCs w:val="24"/>
              </w:rPr>
              <w:t>ai</w:t>
            </w:r>
            <w:r w:rsidRPr="00FA3C80">
              <w:rPr>
                <w:sz w:val="24"/>
                <w:szCs w:val="24"/>
              </w:rPr>
              <w:t xml:space="preserve"> 201</w:t>
            </w:r>
            <w:r w:rsidR="009604FB">
              <w:rPr>
                <w:sz w:val="24"/>
                <w:szCs w:val="24"/>
              </w:rPr>
              <w:t>5</w:t>
            </w:r>
            <w:r w:rsidRPr="00FA3C80">
              <w:rPr>
                <w:sz w:val="24"/>
                <w:szCs w:val="24"/>
              </w:rPr>
              <w:t xml:space="preserve">.gadā PVN plaisa ir </w:t>
            </w:r>
            <w:r w:rsidR="009604FB">
              <w:rPr>
                <w:sz w:val="24"/>
                <w:szCs w:val="24"/>
              </w:rPr>
              <w:t>15,4</w:t>
            </w:r>
            <w:r w:rsidRPr="00FA3C80">
              <w:rPr>
                <w:sz w:val="24"/>
                <w:szCs w:val="24"/>
              </w:rPr>
              <w:t xml:space="preserve"> % (starpība starp PVN, kurš būtu jāiekasē, un faktiski iekasēto), kas nozīmē samazinājuma tendenci salīdzinājumā ar 201</w:t>
            </w:r>
            <w:r w:rsidR="009604FB">
              <w:rPr>
                <w:sz w:val="24"/>
                <w:szCs w:val="24"/>
              </w:rPr>
              <w:t>4</w:t>
            </w:r>
            <w:r w:rsidRPr="00FA3C80">
              <w:rPr>
                <w:sz w:val="24"/>
                <w:szCs w:val="24"/>
              </w:rPr>
              <w:t xml:space="preserve">.gadu. </w:t>
            </w:r>
            <w:r w:rsidR="00DA115F" w:rsidRPr="00FA3C80">
              <w:rPr>
                <w:sz w:val="24"/>
                <w:szCs w:val="24"/>
              </w:rPr>
              <w:t>Ņemot vērā minēto, PVN plaisas samazināšanai, tas ir, PVN krāpniecības apkarošanai, kā arī izvairīšanās no PVN samaksas valsts budžetā novēršanai, ir nepieciešams noteikt darījumu atšifrējuma sliekšņa samazinājumu</w:t>
            </w:r>
            <w:r w:rsidR="00315E59">
              <w:rPr>
                <w:sz w:val="24"/>
                <w:szCs w:val="24"/>
              </w:rPr>
              <w:t xml:space="preserve"> darījumos ar </w:t>
            </w:r>
            <w:r w:rsidR="00315E59" w:rsidRPr="00A92D29">
              <w:rPr>
                <w:sz w:val="24"/>
                <w:szCs w:val="24"/>
              </w:rPr>
              <w:t>reģistrētiem PVN maksātājiem</w:t>
            </w:r>
            <w:r w:rsidR="00DA115F" w:rsidRPr="00A92D29">
              <w:rPr>
                <w:sz w:val="24"/>
                <w:szCs w:val="24"/>
              </w:rPr>
              <w:t>.</w:t>
            </w:r>
          </w:p>
          <w:p w14:paraId="37F123C1" w14:textId="2DFEDD4C" w:rsidR="009B1016" w:rsidRPr="00A92D29" w:rsidRDefault="009B1016" w:rsidP="00892062">
            <w:pPr>
              <w:pStyle w:val="ListParagraph"/>
              <w:spacing w:after="0" w:line="240" w:lineRule="auto"/>
              <w:ind w:left="0" w:firstLine="11"/>
              <w:jc w:val="both"/>
              <w:rPr>
                <w:sz w:val="24"/>
                <w:szCs w:val="24"/>
              </w:rPr>
            </w:pPr>
            <w:r w:rsidRPr="00A92D29">
              <w:rPr>
                <w:sz w:val="24"/>
                <w:szCs w:val="24"/>
              </w:rPr>
              <w:t xml:space="preserve">VID </w:t>
            </w:r>
            <w:r w:rsidR="00B415BE" w:rsidRPr="00A92D29">
              <w:rPr>
                <w:sz w:val="24"/>
                <w:szCs w:val="24"/>
              </w:rPr>
              <w:t xml:space="preserve">2016.gadā veica rezultatīvu pilotprojektu, ievietojot VID elektroniskās deklarēšanas sistēmā 48 695 nodokļu maksātājiem informatīvu ziņojumu ar lūgumu pievērst uzmanību PVN deklarācijas pielikuma PVN 1 </w:t>
            </w:r>
            <w:r w:rsidR="00315E59" w:rsidRPr="00A92D29">
              <w:rPr>
                <w:sz w:val="24"/>
                <w:szCs w:val="24"/>
              </w:rPr>
              <w:t xml:space="preserve">pārskata </w:t>
            </w:r>
            <w:r w:rsidR="00E23257" w:rsidRPr="00A92D29">
              <w:rPr>
                <w:sz w:val="24"/>
                <w:szCs w:val="24"/>
              </w:rPr>
              <w:t>I</w:t>
            </w:r>
            <w:r w:rsidR="001A2038">
              <w:rPr>
                <w:sz w:val="24"/>
                <w:szCs w:val="24"/>
              </w:rPr>
              <w:t xml:space="preserve"> </w:t>
            </w:r>
            <w:r w:rsidR="00E23257" w:rsidRPr="00A92D29">
              <w:rPr>
                <w:sz w:val="24"/>
                <w:szCs w:val="24"/>
              </w:rPr>
              <w:t xml:space="preserve">daļā </w:t>
            </w:r>
            <w:r w:rsidR="00315E59" w:rsidRPr="00A92D29">
              <w:rPr>
                <w:sz w:val="24"/>
                <w:szCs w:val="24"/>
              </w:rPr>
              <w:t>“</w:t>
            </w:r>
            <w:r w:rsidR="00315E59" w:rsidRPr="00892062">
              <w:rPr>
                <w:rFonts w:eastAsiaTheme="minorHAnsi"/>
                <w:sz w:val="24"/>
                <w:szCs w:val="24"/>
              </w:rPr>
              <w:t>Nodokļa summas par iekšzemē iegādātajām precēm un saņemtajiem pakalpojumiem</w:t>
            </w:r>
            <w:r w:rsidR="00315E59" w:rsidRPr="00A92D29">
              <w:rPr>
                <w:sz w:val="24"/>
                <w:szCs w:val="24"/>
              </w:rPr>
              <w:t xml:space="preserve">” </w:t>
            </w:r>
            <w:r w:rsidR="00E23257" w:rsidRPr="00A92D29">
              <w:rPr>
                <w:sz w:val="24"/>
                <w:szCs w:val="24"/>
              </w:rPr>
              <w:t xml:space="preserve">kopējā summā norādītajiem darījumiem gadījumos, kad saņemto preču un pakalpojumu kopējā vērtība bez PVN ir zem 1430 </w:t>
            </w:r>
            <w:r w:rsidR="00E23257" w:rsidRPr="00892062">
              <w:rPr>
                <w:i/>
                <w:sz w:val="24"/>
                <w:szCs w:val="24"/>
              </w:rPr>
              <w:t>euro</w:t>
            </w:r>
            <w:r w:rsidR="00E23257" w:rsidRPr="00A92D29">
              <w:rPr>
                <w:sz w:val="24"/>
                <w:szCs w:val="24"/>
              </w:rPr>
              <w:t>, ne tikai iesniedzot deklarācijas un pārskatus par aktuālajiem</w:t>
            </w:r>
            <w:r w:rsidR="00315E59" w:rsidRPr="00A92D29">
              <w:rPr>
                <w:sz w:val="24"/>
                <w:szCs w:val="24"/>
              </w:rPr>
              <w:t xml:space="preserve"> </w:t>
            </w:r>
            <w:r w:rsidR="00E23257" w:rsidRPr="00A92D29">
              <w:rPr>
                <w:sz w:val="24"/>
                <w:szCs w:val="24"/>
              </w:rPr>
              <w:t xml:space="preserve">taksācijas periodiem, bet arī izmantot savas likumā “Par nodokļiem un nodevām” noteiktās tiesības, precizējot datus jau iepriekš iesniegtajās PVN deklarācijās. </w:t>
            </w:r>
            <w:r w:rsidR="006124A9">
              <w:rPr>
                <w:sz w:val="24"/>
                <w:szCs w:val="24"/>
              </w:rPr>
              <w:t xml:space="preserve">Līdz 2016.gada 14.oktobrim </w:t>
            </w:r>
            <w:r w:rsidR="00E23257" w:rsidRPr="00A92D29">
              <w:rPr>
                <w:sz w:val="24"/>
                <w:szCs w:val="24"/>
              </w:rPr>
              <w:t xml:space="preserve">334 PVN maksātāji </w:t>
            </w:r>
            <w:r w:rsidR="006124A9">
              <w:rPr>
                <w:sz w:val="24"/>
                <w:szCs w:val="24"/>
              </w:rPr>
              <w:t xml:space="preserve">brīvprātīgi </w:t>
            </w:r>
            <w:r w:rsidR="00E23257" w:rsidRPr="00A92D29">
              <w:rPr>
                <w:sz w:val="24"/>
                <w:szCs w:val="24"/>
              </w:rPr>
              <w:t>iesnie</w:t>
            </w:r>
            <w:r w:rsidR="006124A9">
              <w:rPr>
                <w:sz w:val="24"/>
                <w:szCs w:val="24"/>
              </w:rPr>
              <w:t>dza</w:t>
            </w:r>
            <w:r w:rsidR="00E23257" w:rsidRPr="00A92D29">
              <w:rPr>
                <w:sz w:val="24"/>
                <w:szCs w:val="24"/>
              </w:rPr>
              <w:t xml:space="preserve"> precizētas PVN deklarācijas</w:t>
            </w:r>
            <w:r w:rsidR="00C43870" w:rsidRPr="00A92D29">
              <w:rPr>
                <w:sz w:val="24"/>
                <w:szCs w:val="24"/>
              </w:rPr>
              <w:t xml:space="preserve"> par periodu no 2016.gada janvāra līdz jūnijam, samazinot kopējā summā norādītos darījumus</w:t>
            </w:r>
            <w:r w:rsidR="006124A9">
              <w:rPr>
                <w:sz w:val="24"/>
                <w:szCs w:val="24"/>
              </w:rPr>
              <w:t>, kuros PVN sastādīja</w:t>
            </w:r>
            <w:r w:rsidR="00E23257" w:rsidRPr="00A92D29">
              <w:rPr>
                <w:sz w:val="24"/>
                <w:szCs w:val="24"/>
              </w:rPr>
              <w:t xml:space="preserve"> </w:t>
            </w:r>
            <w:r w:rsidR="00C43870" w:rsidRPr="00A92D29">
              <w:rPr>
                <w:sz w:val="24"/>
                <w:szCs w:val="24"/>
              </w:rPr>
              <w:t xml:space="preserve">2,2 milj. </w:t>
            </w:r>
            <w:r w:rsidR="00C43870" w:rsidRPr="00892062">
              <w:rPr>
                <w:i/>
                <w:sz w:val="24"/>
                <w:szCs w:val="24"/>
              </w:rPr>
              <w:t>euro</w:t>
            </w:r>
            <w:r w:rsidR="00C43870" w:rsidRPr="00A92D29">
              <w:rPr>
                <w:sz w:val="24"/>
                <w:szCs w:val="24"/>
              </w:rPr>
              <w:t>.</w:t>
            </w:r>
          </w:p>
          <w:p w14:paraId="38F568DF" w14:textId="1B9430C2" w:rsidR="007334B9" w:rsidRPr="001768F1" w:rsidRDefault="00DA115F" w:rsidP="00892062">
            <w:pPr>
              <w:pStyle w:val="ListParagraph"/>
              <w:spacing w:after="0" w:line="240" w:lineRule="auto"/>
              <w:ind w:left="0" w:firstLine="11"/>
              <w:jc w:val="both"/>
              <w:rPr>
                <w:rFonts w:eastAsia="Times New Roman"/>
                <w:sz w:val="24"/>
                <w:szCs w:val="24"/>
                <w:lang w:eastAsia="lv-LV"/>
              </w:rPr>
            </w:pPr>
            <w:r>
              <w:rPr>
                <w:sz w:val="24"/>
                <w:szCs w:val="24"/>
              </w:rPr>
              <w:t>A</w:t>
            </w:r>
            <w:r w:rsidR="001768F1" w:rsidRPr="00FA3C80">
              <w:rPr>
                <w:sz w:val="24"/>
                <w:szCs w:val="24"/>
              </w:rPr>
              <w:t xml:space="preserve">tbilstoši </w:t>
            </w:r>
            <w:r w:rsidR="003F487D">
              <w:rPr>
                <w:sz w:val="24"/>
                <w:szCs w:val="24"/>
              </w:rPr>
              <w:t>L</w:t>
            </w:r>
            <w:r w:rsidRPr="00DA115F">
              <w:rPr>
                <w:sz w:val="24"/>
                <w:szCs w:val="24"/>
              </w:rPr>
              <w:t xml:space="preserve">ikuma </w:t>
            </w:r>
            <w:r>
              <w:rPr>
                <w:sz w:val="24"/>
                <w:szCs w:val="24"/>
              </w:rPr>
              <w:t>126.panta</w:t>
            </w:r>
            <w:r w:rsidR="001768F1" w:rsidRPr="00FA3C80">
              <w:rPr>
                <w:sz w:val="24"/>
                <w:szCs w:val="24"/>
              </w:rPr>
              <w:t xml:space="preserve"> </w:t>
            </w:r>
            <w:r>
              <w:rPr>
                <w:sz w:val="24"/>
                <w:szCs w:val="24"/>
              </w:rPr>
              <w:t>otrās daļas 1.punktam</w:t>
            </w:r>
            <w:r w:rsidR="003F487D">
              <w:rPr>
                <w:sz w:val="24"/>
                <w:szCs w:val="24"/>
              </w:rPr>
              <w:t xml:space="preserve"> </w:t>
            </w:r>
            <w:r w:rsidR="001768F1" w:rsidRPr="00FA3C80">
              <w:rPr>
                <w:sz w:val="24"/>
                <w:szCs w:val="24"/>
              </w:rPr>
              <w:t xml:space="preserve">vienkāršoto PVN rēķinu </w:t>
            </w:r>
            <w:r>
              <w:rPr>
                <w:sz w:val="24"/>
                <w:szCs w:val="24"/>
              </w:rPr>
              <w:t>drīkst</w:t>
            </w:r>
            <w:r w:rsidR="001768F1" w:rsidRPr="00FA3C80">
              <w:rPr>
                <w:sz w:val="24"/>
                <w:szCs w:val="24"/>
              </w:rPr>
              <w:t xml:space="preserve"> izrakstīt par darījumu iekšzemē, kura vērtība bez PVN ir mazāka par 150 </w:t>
            </w:r>
            <w:r w:rsidR="001768F1" w:rsidRPr="00F55A37">
              <w:rPr>
                <w:i/>
                <w:sz w:val="24"/>
                <w:szCs w:val="24"/>
              </w:rPr>
              <w:t>euro</w:t>
            </w:r>
            <w:r w:rsidR="001768F1" w:rsidRPr="00FA3C80">
              <w:rPr>
                <w:sz w:val="24"/>
                <w:szCs w:val="24"/>
              </w:rPr>
              <w:t xml:space="preserve">. Nosakot atsevišķi neatšifrējamo darījumu, kuru vērtība ir mazāka par 150 </w:t>
            </w:r>
            <w:r w:rsidR="001768F1" w:rsidRPr="00F55A37">
              <w:rPr>
                <w:i/>
                <w:sz w:val="24"/>
                <w:szCs w:val="24"/>
              </w:rPr>
              <w:t>euro</w:t>
            </w:r>
            <w:r w:rsidR="001768F1" w:rsidRPr="00FA3C80">
              <w:rPr>
                <w:sz w:val="24"/>
                <w:szCs w:val="24"/>
              </w:rPr>
              <w:t xml:space="preserve">, slieksni tiek radīta vienota pieeja, ka atšifrēti netiek PVN rēķini ar mazāku rekvizītu skaitu, kā rezultātā samazinātos nepamatotu vai fiktīvu darījumu iekļaušana PVN deklarācijas pielikumos. Tādējādi saskaņā ar šo noteikumu projektu </w:t>
            </w:r>
            <w:r w:rsidR="003F487D">
              <w:rPr>
                <w:sz w:val="24"/>
                <w:szCs w:val="24"/>
              </w:rPr>
              <w:t xml:space="preserve">reģistrētam </w:t>
            </w:r>
            <w:r w:rsidR="001768F1" w:rsidRPr="00FA3C80">
              <w:rPr>
                <w:sz w:val="24"/>
                <w:szCs w:val="24"/>
              </w:rPr>
              <w:t>PVN maksātājam būs jāatšifrē darījumi</w:t>
            </w:r>
            <w:r w:rsidR="00315E59">
              <w:rPr>
                <w:sz w:val="24"/>
                <w:szCs w:val="24"/>
              </w:rPr>
              <w:t xml:space="preserve"> ar reģistrētiem PVN maksātājiem</w:t>
            </w:r>
            <w:r w:rsidR="001768F1" w:rsidRPr="00FA3C80">
              <w:rPr>
                <w:sz w:val="24"/>
                <w:szCs w:val="24"/>
              </w:rPr>
              <w:t xml:space="preserve">, kuru vērtība bez PVN pārsniedz 150 </w:t>
            </w:r>
            <w:r w:rsidR="001768F1" w:rsidRPr="00F55A37">
              <w:rPr>
                <w:i/>
                <w:sz w:val="24"/>
                <w:szCs w:val="24"/>
              </w:rPr>
              <w:t>euro</w:t>
            </w:r>
            <w:r w:rsidR="001768F1" w:rsidRPr="00FA3C80">
              <w:rPr>
                <w:sz w:val="24"/>
                <w:szCs w:val="24"/>
              </w:rPr>
              <w:t>,</w:t>
            </w:r>
            <w:r w:rsidR="001768F1" w:rsidRPr="00FA3C80">
              <w:rPr>
                <w:i/>
                <w:sz w:val="24"/>
                <w:szCs w:val="24"/>
              </w:rPr>
              <w:t xml:space="preserve"> </w:t>
            </w:r>
            <w:r w:rsidR="001768F1" w:rsidRPr="00FA3C80">
              <w:rPr>
                <w:sz w:val="24"/>
                <w:szCs w:val="24"/>
              </w:rPr>
              <w:t xml:space="preserve">līdzšinējo darījumu, kuru vērtība bez PVN pārsniedz 1430 </w:t>
            </w:r>
            <w:r w:rsidR="001768F1" w:rsidRPr="00F55A37">
              <w:rPr>
                <w:i/>
                <w:sz w:val="24"/>
                <w:szCs w:val="24"/>
              </w:rPr>
              <w:t>euro</w:t>
            </w:r>
            <w:r w:rsidR="001768F1" w:rsidRPr="00FA3C80">
              <w:rPr>
                <w:sz w:val="24"/>
                <w:szCs w:val="24"/>
              </w:rPr>
              <w:t>, vietā.</w:t>
            </w:r>
          </w:p>
        </w:tc>
      </w:tr>
      <w:tr w:rsidR="00026C45" w:rsidRPr="00B03110" w14:paraId="772DC7F7" w14:textId="77777777" w:rsidTr="009604F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828F1C1" w14:textId="77777777" w:rsidR="00026C45" w:rsidRPr="00B03110" w:rsidRDefault="00026C45" w:rsidP="009604FB">
            <w:pPr>
              <w:spacing w:before="100" w:beforeAutospacing="1" w:after="100" w:afterAutospacing="1" w:line="293" w:lineRule="atLeast"/>
              <w:jc w:val="center"/>
              <w:rPr>
                <w:rFonts w:eastAsia="Times New Roman"/>
                <w:sz w:val="24"/>
                <w:szCs w:val="24"/>
                <w:lang w:eastAsia="lv-LV"/>
              </w:rPr>
            </w:pPr>
            <w:r w:rsidRPr="00B03110">
              <w:rPr>
                <w:rFonts w:eastAsia="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5CF5606" w14:textId="77777777" w:rsidR="00026C45" w:rsidRPr="00B03110" w:rsidRDefault="00026C45" w:rsidP="009604FB">
            <w:pPr>
              <w:rPr>
                <w:rFonts w:eastAsia="Times New Roman"/>
                <w:sz w:val="24"/>
                <w:szCs w:val="24"/>
                <w:lang w:eastAsia="lv-LV"/>
              </w:rPr>
            </w:pPr>
            <w:r w:rsidRPr="00B03110">
              <w:rPr>
                <w:rFonts w:eastAsia="Times New Roman"/>
                <w:sz w:val="24"/>
                <w:szCs w:val="24"/>
                <w:lang w:eastAsia="lv-LV"/>
              </w:rPr>
              <w:t xml:space="preserve">Projekta izstrādē iesaistītās </w:t>
            </w:r>
            <w:r w:rsidRPr="00B03110">
              <w:rPr>
                <w:rFonts w:eastAsia="Times New Roman"/>
                <w:sz w:val="24"/>
                <w:szCs w:val="24"/>
                <w:lang w:eastAsia="lv-LV"/>
              </w:rPr>
              <w:lastRenderedPageBreak/>
              <w:t>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E240702" w14:textId="77777777" w:rsidR="00026C45" w:rsidRPr="00182804" w:rsidRDefault="002F54E6" w:rsidP="009604FB">
            <w:pPr>
              <w:rPr>
                <w:rFonts w:eastAsia="Times New Roman"/>
                <w:sz w:val="24"/>
                <w:szCs w:val="24"/>
                <w:lang w:eastAsia="lv-LV"/>
              </w:rPr>
            </w:pPr>
            <w:r w:rsidRPr="00182804">
              <w:rPr>
                <w:rFonts w:eastAsia="Times New Roman"/>
                <w:sz w:val="24"/>
                <w:szCs w:val="24"/>
                <w:lang w:eastAsia="lv-LV"/>
              </w:rPr>
              <w:lastRenderedPageBreak/>
              <w:t>Valsts ieņēmumu dienests</w:t>
            </w:r>
          </w:p>
        </w:tc>
      </w:tr>
      <w:tr w:rsidR="00026C45" w:rsidRPr="00B03110" w14:paraId="146E32B5" w14:textId="77777777" w:rsidTr="009604FB">
        <w:tc>
          <w:tcPr>
            <w:tcW w:w="250" w:type="pct"/>
            <w:tcBorders>
              <w:top w:val="outset" w:sz="6" w:space="0" w:color="414142"/>
              <w:left w:val="outset" w:sz="6" w:space="0" w:color="414142"/>
              <w:bottom w:val="outset" w:sz="6" w:space="0" w:color="414142"/>
              <w:right w:val="outset" w:sz="6" w:space="0" w:color="414142"/>
            </w:tcBorders>
            <w:hideMark/>
          </w:tcPr>
          <w:p w14:paraId="325D52D5" w14:textId="77777777" w:rsidR="00026C45" w:rsidRPr="00B03110" w:rsidRDefault="00026C45" w:rsidP="009604FB">
            <w:pPr>
              <w:spacing w:before="100" w:beforeAutospacing="1" w:after="100" w:afterAutospacing="1" w:line="293" w:lineRule="atLeast"/>
              <w:jc w:val="center"/>
              <w:rPr>
                <w:rFonts w:eastAsia="Times New Roman"/>
                <w:sz w:val="24"/>
                <w:szCs w:val="24"/>
                <w:lang w:eastAsia="lv-LV"/>
              </w:rPr>
            </w:pPr>
            <w:r w:rsidRPr="00B03110">
              <w:rPr>
                <w:rFonts w:eastAsia="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413F71D9" w14:textId="77777777" w:rsidR="00026C45" w:rsidRPr="00B03110" w:rsidRDefault="00026C45" w:rsidP="009604FB">
            <w:pPr>
              <w:rPr>
                <w:rFonts w:eastAsia="Times New Roman"/>
                <w:sz w:val="24"/>
                <w:szCs w:val="24"/>
                <w:lang w:eastAsia="lv-LV"/>
              </w:rPr>
            </w:pPr>
            <w:r w:rsidRPr="00B03110">
              <w:rPr>
                <w:rFonts w:eastAsia="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9FF5BB6" w14:textId="77777777" w:rsidR="00026C45" w:rsidRPr="00B03110" w:rsidRDefault="00026C45" w:rsidP="009604FB">
            <w:pPr>
              <w:spacing w:before="100" w:beforeAutospacing="1" w:after="100" w:afterAutospacing="1" w:line="293" w:lineRule="atLeast"/>
              <w:rPr>
                <w:rFonts w:eastAsia="Times New Roman"/>
                <w:sz w:val="24"/>
                <w:szCs w:val="24"/>
                <w:lang w:eastAsia="lv-LV"/>
              </w:rPr>
            </w:pPr>
            <w:r>
              <w:rPr>
                <w:rFonts w:eastAsia="Times New Roman"/>
                <w:sz w:val="24"/>
                <w:szCs w:val="24"/>
                <w:lang w:eastAsia="lv-LV"/>
              </w:rPr>
              <w:t>Nav</w:t>
            </w:r>
          </w:p>
        </w:tc>
      </w:tr>
    </w:tbl>
    <w:p w14:paraId="629BF835" w14:textId="77777777" w:rsidR="00026C45" w:rsidRPr="00894C55" w:rsidRDefault="00026C45" w:rsidP="00026C45">
      <w:pPr>
        <w:shd w:val="clear" w:color="auto" w:fill="FFFFFF"/>
        <w:ind w:firstLine="301"/>
        <w:rPr>
          <w:rFonts w:eastAsia="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26C45" w:rsidRPr="00FC5AAA" w14:paraId="25DA3887" w14:textId="77777777" w:rsidTr="009604FB">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8DFAC6" w14:textId="77777777" w:rsidR="00026C45" w:rsidRPr="00FC5AAA" w:rsidRDefault="00026C45" w:rsidP="009604FB">
            <w:pPr>
              <w:spacing w:before="100" w:beforeAutospacing="1" w:after="100" w:afterAutospacing="1" w:line="293" w:lineRule="atLeast"/>
              <w:jc w:val="center"/>
              <w:rPr>
                <w:rFonts w:eastAsia="Times New Roman"/>
                <w:b/>
                <w:bCs/>
                <w:sz w:val="24"/>
                <w:szCs w:val="24"/>
                <w:lang w:eastAsia="lv-LV"/>
              </w:rPr>
            </w:pPr>
            <w:r w:rsidRPr="00FC5AAA">
              <w:rPr>
                <w:rFonts w:eastAsia="Times New Roman"/>
                <w:b/>
                <w:bCs/>
                <w:sz w:val="24"/>
                <w:szCs w:val="24"/>
                <w:lang w:eastAsia="lv-LV"/>
              </w:rPr>
              <w:t>II. Tiesību akta projekta ietekme uz sabiedrību, tautsaimniecības attīstību un administratīvo slogu</w:t>
            </w:r>
          </w:p>
        </w:tc>
      </w:tr>
      <w:tr w:rsidR="00026C45" w:rsidRPr="00FC5AAA" w14:paraId="2C3894DE" w14:textId="77777777" w:rsidTr="009604F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FB7482B" w14:textId="77777777" w:rsidR="00026C45" w:rsidRPr="00FC5AAA" w:rsidRDefault="00026C45" w:rsidP="009604FB">
            <w:pPr>
              <w:rPr>
                <w:rFonts w:eastAsia="Times New Roman"/>
                <w:sz w:val="24"/>
                <w:szCs w:val="24"/>
                <w:lang w:eastAsia="lv-LV"/>
              </w:rPr>
            </w:pPr>
            <w:r w:rsidRPr="00FC5AAA">
              <w:rPr>
                <w:rFonts w:eastAsia="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5586B24" w14:textId="77777777" w:rsidR="00026C45" w:rsidRPr="00FC5AAA" w:rsidRDefault="00026C45" w:rsidP="00182804">
            <w:pPr>
              <w:rPr>
                <w:rFonts w:eastAsia="Times New Roman"/>
                <w:sz w:val="24"/>
                <w:szCs w:val="24"/>
                <w:lang w:eastAsia="lv-LV"/>
              </w:rPr>
            </w:pPr>
            <w:r w:rsidRPr="00FC5AAA">
              <w:rPr>
                <w:rFonts w:eastAsia="Times New Roman"/>
                <w:sz w:val="24"/>
                <w:szCs w:val="24"/>
                <w:lang w:eastAsia="lv-LV"/>
              </w:rPr>
              <w:t>Sabiedrības mēr</w:t>
            </w:r>
            <w:r w:rsidR="00182804">
              <w:rPr>
                <w:rFonts w:eastAsia="Times New Roman"/>
                <w:sz w:val="24"/>
                <w:szCs w:val="24"/>
                <w:lang w:eastAsia="lv-LV"/>
              </w:rPr>
              <w:t>ķ</w:t>
            </w:r>
            <w:r w:rsidRPr="00FC5AAA">
              <w:rPr>
                <w:rFonts w:eastAsia="Times New Roman"/>
                <w:sz w:val="24"/>
                <w:szCs w:val="24"/>
                <w:lang w:eastAsia="lv-LV"/>
              </w:rPr>
              <w:t>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C1335E5" w14:textId="77777777" w:rsidR="007334B9" w:rsidRDefault="00026C45" w:rsidP="00182804">
            <w:pPr>
              <w:jc w:val="both"/>
              <w:rPr>
                <w:sz w:val="24"/>
                <w:szCs w:val="24"/>
              </w:rPr>
            </w:pPr>
            <w:r>
              <w:rPr>
                <w:sz w:val="24"/>
                <w:szCs w:val="24"/>
              </w:rPr>
              <w:t>Noteikumu projekta tiesiskais regulējums skars</w:t>
            </w:r>
            <w:r w:rsidR="007334B9">
              <w:rPr>
                <w:sz w:val="24"/>
                <w:szCs w:val="24"/>
              </w:rPr>
              <w:t>:</w:t>
            </w:r>
          </w:p>
          <w:p w14:paraId="680768BB" w14:textId="77777777" w:rsidR="007334B9" w:rsidRDefault="007334B9" w:rsidP="00182804">
            <w:pPr>
              <w:jc w:val="both"/>
              <w:rPr>
                <w:sz w:val="24"/>
                <w:szCs w:val="24"/>
              </w:rPr>
            </w:pPr>
            <w:r>
              <w:rPr>
                <w:sz w:val="24"/>
                <w:szCs w:val="24"/>
              </w:rPr>
              <w:t xml:space="preserve">1) </w:t>
            </w:r>
            <w:r w:rsidR="00026C45" w:rsidRPr="00CA7B03">
              <w:rPr>
                <w:sz w:val="24"/>
                <w:szCs w:val="24"/>
              </w:rPr>
              <w:t>reģistrētu</w:t>
            </w:r>
            <w:r w:rsidR="00026C45">
              <w:rPr>
                <w:sz w:val="24"/>
                <w:szCs w:val="24"/>
              </w:rPr>
              <w:t>s</w:t>
            </w:r>
            <w:r w:rsidR="00026C45" w:rsidRPr="00CA7B03">
              <w:rPr>
                <w:sz w:val="24"/>
                <w:szCs w:val="24"/>
              </w:rPr>
              <w:t xml:space="preserve"> </w:t>
            </w:r>
            <w:r w:rsidR="00026C45">
              <w:rPr>
                <w:sz w:val="24"/>
                <w:szCs w:val="24"/>
              </w:rPr>
              <w:t xml:space="preserve">PVN </w:t>
            </w:r>
            <w:r w:rsidR="00026C45" w:rsidRPr="00CA7B03">
              <w:rPr>
                <w:sz w:val="24"/>
                <w:szCs w:val="24"/>
              </w:rPr>
              <w:t>maksātāju</w:t>
            </w:r>
            <w:r w:rsidR="00026C45">
              <w:rPr>
                <w:sz w:val="24"/>
                <w:szCs w:val="24"/>
              </w:rPr>
              <w:t>s, kuri veikuši darījumus ar nekustamo īpašumu</w:t>
            </w:r>
            <w:r>
              <w:rPr>
                <w:sz w:val="24"/>
                <w:szCs w:val="24"/>
              </w:rPr>
              <w:t>;</w:t>
            </w:r>
          </w:p>
          <w:p w14:paraId="7F49C644" w14:textId="77777777" w:rsidR="00182804" w:rsidRDefault="007334B9" w:rsidP="00182804">
            <w:pPr>
              <w:jc w:val="both"/>
              <w:rPr>
                <w:sz w:val="24"/>
                <w:szCs w:val="24"/>
              </w:rPr>
            </w:pPr>
            <w:r>
              <w:rPr>
                <w:sz w:val="24"/>
                <w:szCs w:val="24"/>
              </w:rPr>
              <w:t xml:space="preserve">2) </w:t>
            </w:r>
            <w:r w:rsidR="00AC381B">
              <w:rPr>
                <w:sz w:val="24"/>
                <w:szCs w:val="24"/>
              </w:rPr>
              <w:t xml:space="preserve"> </w:t>
            </w:r>
            <w:r w:rsidR="00AC381B" w:rsidRPr="00CA7B03">
              <w:rPr>
                <w:sz w:val="24"/>
                <w:szCs w:val="24"/>
              </w:rPr>
              <w:t>reģistrētu</w:t>
            </w:r>
            <w:r w:rsidR="00AC381B">
              <w:rPr>
                <w:sz w:val="24"/>
                <w:szCs w:val="24"/>
              </w:rPr>
              <w:t>s</w:t>
            </w:r>
            <w:r w:rsidR="00AC381B" w:rsidRPr="00CA7B03">
              <w:rPr>
                <w:sz w:val="24"/>
                <w:szCs w:val="24"/>
              </w:rPr>
              <w:t xml:space="preserve"> </w:t>
            </w:r>
            <w:r w:rsidR="00AC381B">
              <w:rPr>
                <w:sz w:val="24"/>
                <w:szCs w:val="24"/>
              </w:rPr>
              <w:t xml:space="preserve">PVN </w:t>
            </w:r>
            <w:r w:rsidR="00AC381B" w:rsidRPr="00CA7B03">
              <w:rPr>
                <w:sz w:val="24"/>
                <w:szCs w:val="24"/>
              </w:rPr>
              <w:t>maksātāju</w:t>
            </w:r>
            <w:r w:rsidR="00AC381B">
              <w:rPr>
                <w:sz w:val="24"/>
                <w:szCs w:val="24"/>
              </w:rPr>
              <w:t>s</w:t>
            </w:r>
            <w:r w:rsidR="00182804">
              <w:rPr>
                <w:sz w:val="24"/>
                <w:szCs w:val="24"/>
              </w:rPr>
              <w:t xml:space="preserve">, kuri veic preču piegādes vai sniedz pakalpojumus </w:t>
            </w:r>
            <w:r w:rsidR="00182804" w:rsidRPr="0040207E">
              <w:rPr>
                <w:rFonts w:eastAsia="Times New Roman"/>
                <w:color w:val="000000"/>
                <w:sz w:val="24"/>
                <w:szCs w:val="24"/>
                <w:lang w:eastAsia="lv-LV"/>
              </w:rPr>
              <w:t>iekšzemē Latvijas Republikā atzīta Sabiedroto spēku štāba locekļiem un viņu apgādājamiem, izņemot Latvijas Republikas pilsoņus vai pastāvīgos iedzīvotājus, Sabiedroto spēku štāba veikalā saskaņā ar Latvijas Republikas</w:t>
            </w:r>
            <w:r w:rsidR="00182804">
              <w:rPr>
                <w:rFonts w:eastAsia="Times New Roman"/>
                <w:color w:val="000000"/>
                <w:sz w:val="24"/>
                <w:szCs w:val="24"/>
                <w:lang w:eastAsia="lv-LV"/>
              </w:rPr>
              <w:t xml:space="preserve"> </w:t>
            </w:r>
            <w:r w:rsidR="00182804" w:rsidRPr="0040207E">
              <w:rPr>
                <w:rFonts w:eastAsia="Times New Roman"/>
                <w:color w:val="000000"/>
                <w:sz w:val="24"/>
                <w:szCs w:val="24"/>
                <w:lang w:eastAsia="lv-LV"/>
              </w:rPr>
              <w:t>Ziemeļatlantijas līguma organizācijas Sabiedroto spēku Augstākās virspavēlniecības Eiropā un Sabiedroto spēku Augstākās virspavēlniecības Transformācijas komandiera štāba nolīguma, ar kuru papildina Parīzes protokolu,</w:t>
            </w:r>
            <w:r w:rsidR="00182804" w:rsidRPr="00182804">
              <w:rPr>
                <w:rFonts w:eastAsia="Times New Roman"/>
                <w:color w:val="000000"/>
                <w:sz w:val="24"/>
                <w:szCs w:val="24"/>
                <w:lang w:eastAsia="lv-LV"/>
              </w:rPr>
              <w:t xml:space="preserve"> nosacījumiem un ierobežojumiem, kā arī </w:t>
            </w:r>
            <w:r w:rsidR="00DD463E">
              <w:rPr>
                <w:rFonts w:eastAsia="Times New Roman"/>
                <w:color w:val="000000"/>
                <w:sz w:val="24"/>
                <w:szCs w:val="24"/>
                <w:lang w:eastAsia="lv-LV"/>
              </w:rPr>
              <w:t xml:space="preserve">reģistrētus nodokļa maksātājus, kuri piegādās </w:t>
            </w:r>
            <w:r w:rsidR="00DD463E" w:rsidRPr="00182804">
              <w:rPr>
                <w:rFonts w:eastAsia="Times New Roman"/>
                <w:color w:val="000000"/>
                <w:sz w:val="24"/>
                <w:szCs w:val="24"/>
                <w:lang w:eastAsia="lv-LV"/>
              </w:rPr>
              <w:t>degviel</w:t>
            </w:r>
            <w:r w:rsidR="00DD463E">
              <w:rPr>
                <w:rFonts w:eastAsia="Times New Roman"/>
                <w:color w:val="000000"/>
                <w:sz w:val="24"/>
                <w:szCs w:val="24"/>
                <w:lang w:eastAsia="lv-LV"/>
              </w:rPr>
              <w:t>u</w:t>
            </w:r>
            <w:r w:rsidR="00DD463E" w:rsidRPr="00182804">
              <w:rPr>
                <w:rFonts w:eastAsia="Times New Roman"/>
                <w:color w:val="000000"/>
                <w:sz w:val="24"/>
                <w:szCs w:val="24"/>
                <w:lang w:eastAsia="lv-LV"/>
              </w:rPr>
              <w:t xml:space="preserve"> </w:t>
            </w:r>
            <w:r w:rsidR="00182804" w:rsidRPr="00182804">
              <w:rPr>
                <w:rFonts w:eastAsia="Times New Roman"/>
                <w:color w:val="000000"/>
                <w:sz w:val="24"/>
                <w:szCs w:val="24"/>
                <w:lang w:eastAsia="lv-LV"/>
              </w:rPr>
              <w:t xml:space="preserve">iekšzemē Amerikas Savienoto Valstu vēstniecībai Latvijas Republikā un tās diplomātiskajiem un konsulārajiem </w:t>
            </w:r>
            <w:r w:rsidR="00DD463E">
              <w:rPr>
                <w:rFonts w:eastAsia="Times New Roman"/>
                <w:color w:val="000000"/>
                <w:sz w:val="24"/>
                <w:szCs w:val="24"/>
                <w:lang w:eastAsia="lv-LV"/>
              </w:rPr>
              <w:t>aģentiem saskaņā ar noteikto kārtību</w:t>
            </w:r>
            <w:r>
              <w:rPr>
                <w:sz w:val="24"/>
                <w:szCs w:val="24"/>
              </w:rPr>
              <w:t>;</w:t>
            </w:r>
          </w:p>
          <w:p w14:paraId="4C4813F7" w14:textId="77777777" w:rsidR="007334B9" w:rsidRPr="00FA3C80" w:rsidRDefault="003F487D" w:rsidP="007334B9">
            <w:pPr>
              <w:pStyle w:val="ListParagraph"/>
              <w:spacing w:after="0" w:line="240" w:lineRule="auto"/>
              <w:ind w:left="23" w:right="57"/>
              <w:jc w:val="both"/>
              <w:rPr>
                <w:sz w:val="24"/>
                <w:szCs w:val="24"/>
              </w:rPr>
            </w:pPr>
            <w:r>
              <w:rPr>
                <w:sz w:val="24"/>
                <w:szCs w:val="24"/>
              </w:rPr>
              <w:t>3</w:t>
            </w:r>
            <w:r w:rsidR="007334B9" w:rsidRPr="00FA3C80">
              <w:rPr>
                <w:sz w:val="24"/>
                <w:szCs w:val="24"/>
              </w:rPr>
              <w:t xml:space="preserve">) </w:t>
            </w:r>
            <w:r>
              <w:rPr>
                <w:sz w:val="24"/>
                <w:szCs w:val="24"/>
              </w:rPr>
              <w:t xml:space="preserve">reģistrētus </w:t>
            </w:r>
            <w:r w:rsidR="007334B9" w:rsidRPr="00FA3C80">
              <w:rPr>
                <w:sz w:val="24"/>
                <w:szCs w:val="24"/>
              </w:rPr>
              <w:t xml:space="preserve">PVN maksātājus, kuri iekšzemē veic darījumus </w:t>
            </w:r>
            <w:r w:rsidR="00315E59">
              <w:rPr>
                <w:sz w:val="24"/>
                <w:szCs w:val="24"/>
              </w:rPr>
              <w:t>ar reģistrētiem PVN maksātājiem</w:t>
            </w:r>
            <w:r w:rsidR="00315E59" w:rsidRPr="00FA3C80">
              <w:rPr>
                <w:sz w:val="24"/>
                <w:szCs w:val="24"/>
              </w:rPr>
              <w:t xml:space="preserve"> </w:t>
            </w:r>
            <w:r w:rsidR="007334B9" w:rsidRPr="00FA3C80">
              <w:rPr>
                <w:sz w:val="24"/>
                <w:szCs w:val="24"/>
              </w:rPr>
              <w:t xml:space="preserve">– piegādā preces un sniedz pakalpojumus, kuru attaisnojuma dokumentā norādītā darījumu vērtība bez PVN  ir virs 150 </w:t>
            </w:r>
            <w:r w:rsidR="007334B9" w:rsidRPr="00FA3C80">
              <w:rPr>
                <w:i/>
                <w:sz w:val="24"/>
                <w:szCs w:val="24"/>
              </w:rPr>
              <w:t>euro</w:t>
            </w:r>
            <w:r w:rsidR="007334B9" w:rsidRPr="00FA3C80">
              <w:rPr>
                <w:sz w:val="24"/>
                <w:szCs w:val="24"/>
              </w:rPr>
              <w:t>;</w:t>
            </w:r>
          </w:p>
          <w:p w14:paraId="0432CEEA" w14:textId="77777777" w:rsidR="00026C45" w:rsidRPr="00FC5AAA" w:rsidRDefault="003F487D" w:rsidP="007334B9">
            <w:pPr>
              <w:jc w:val="both"/>
              <w:rPr>
                <w:rFonts w:eastAsia="Times New Roman"/>
                <w:sz w:val="24"/>
                <w:szCs w:val="24"/>
                <w:lang w:eastAsia="lv-LV"/>
              </w:rPr>
            </w:pPr>
            <w:r>
              <w:rPr>
                <w:sz w:val="24"/>
                <w:szCs w:val="24"/>
              </w:rPr>
              <w:t>4</w:t>
            </w:r>
            <w:r w:rsidR="007334B9" w:rsidRPr="00FA3C80">
              <w:rPr>
                <w:sz w:val="24"/>
                <w:szCs w:val="24"/>
              </w:rPr>
              <w:t xml:space="preserve">) </w:t>
            </w:r>
            <w:r>
              <w:rPr>
                <w:sz w:val="24"/>
                <w:szCs w:val="24"/>
              </w:rPr>
              <w:t xml:space="preserve">reģistrētus </w:t>
            </w:r>
            <w:r w:rsidR="007334B9" w:rsidRPr="00FA3C80">
              <w:rPr>
                <w:sz w:val="24"/>
                <w:szCs w:val="24"/>
              </w:rPr>
              <w:t xml:space="preserve">PVN maksātājus, kuri iekšzemē saņem preces un pakalpojumus, kuru attaisnojuma dokumentā norādītā darījuma vērtība bez PVN  ir virs 150 </w:t>
            </w:r>
            <w:r w:rsidR="007334B9" w:rsidRPr="00FA3C80">
              <w:rPr>
                <w:i/>
                <w:sz w:val="24"/>
                <w:szCs w:val="24"/>
              </w:rPr>
              <w:t>euro</w:t>
            </w:r>
            <w:r w:rsidR="007334B9">
              <w:rPr>
                <w:i/>
                <w:sz w:val="24"/>
                <w:szCs w:val="24"/>
              </w:rPr>
              <w:t>.</w:t>
            </w:r>
          </w:p>
        </w:tc>
      </w:tr>
      <w:tr w:rsidR="00026C45" w:rsidRPr="00FC5AAA" w14:paraId="25886FD2" w14:textId="77777777" w:rsidTr="009604F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B3C26C" w14:textId="77777777" w:rsidR="00026C45" w:rsidRPr="00FC5AAA" w:rsidRDefault="00026C45" w:rsidP="009604FB">
            <w:pPr>
              <w:rPr>
                <w:rFonts w:eastAsia="Times New Roman"/>
                <w:sz w:val="24"/>
                <w:szCs w:val="24"/>
                <w:lang w:eastAsia="lv-LV"/>
              </w:rPr>
            </w:pPr>
            <w:r w:rsidRPr="00FC5AAA">
              <w:rPr>
                <w:rFonts w:eastAsia="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365E6F" w14:textId="77777777" w:rsidR="00026C45" w:rsidRPr="00FC5AAA" w:rsidRDefault="00026C45" w:rsidP="009604FB">
            <w:pPr>
              <w:rPr>
                <w:rFonts w:eastAsia="Times New Roman"/>
                <w:sz w:val="24"/>
                <w:szCs w:val="24"/>
                <w:lang w:eastAsia="lv-LV"/>
              </w:rPr>
            </w:pPr>
            <w:r w:rsidRPr="00FC5AAA">
              <w:rPr>
                <w:rFonts w:eastAsia="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8D1A0D1" w14:textId="77777777" w:rsidR="004A160F" w:rsidRDefault="004A160F" w:rsidP="009604FB">
            <w:pPr>
              <w:jc w:val="both"/>
              <w:rPr>
                <w:sz w:val="24"/>
                <w:szCs w:val="24"/>
              </w:rPr>
            </w:pPr>
            <w:r w:rsidRPr="00FA3C80">
              <w:rPr>
                <w:sz w:val="24"/>
                <w:szCs w:val="24"/>
              </w:rPr>
              <w:t xml:space="preserve">Noteikumu projekta ieviešana kopumā administratīvo slogu nepalielinās, ņemot vērā, ka PVN maksātāji pārsvarā grāmatvedību kārto izmantojot grāmatvedības programmas, kurās automātiski tiek iekļauti visi veiktie darījumi. Savukārt </w:t>
            </w:r>
            <w:r w:rsidR="003F487D">
              <w:rPr>
                <w:sz w:val="24"/>
                <w:szCs w:val="24"/>
              </w:rPr>
              <w:t xml:space="preserve">reģistrēto </w:t>
            </w:r>
            <w:r w:rsidRPr="00FA3C80">
              <w:rPr>
                <w:sz w:val="24"/>
                <w:szCs w:val="24"/>
              </w:rPr>
              <w:t>PVN maksātāju skaits, kuri neizmanto grāmatvedības programmas, ir mazs.</w:t>
            </w:r>
          </w:p>
          <w:p w14:paraId="308845FA" w14:textId="77777777" w:rsidR="00026C45" w:rsidRDefault="004A160F" w:rsidP="003F487D">
            <w:pPr>
              <w:jc w:val="both"/>
              <w:rPr>
                <w:sz w:val="24"/>
                <w:szCs w:val="24"/>
              </w:rPr>
            </w:pPr>
            <w:r w:rsidRPr="00FA3C80">
              <w:rPr>
                <w:sz w:val="24"/>
                <w:szCs w:val="24"/>
              </w:rPr>
              <w:t xml:space="preserve">Ņemot vērā, ka PVN deklarācijas pielikumos atsevišķi atšifrējamo darījumu skaits katram </w:t>
            </w:r>
            <w:r w:rsidR="003F487D">
              <w:rPr>
                <w:sz w:val="24"/>
                <w:szCs w:val="24"/>
              </w:rPr>
              <w:t xml:space="preserve">reģistrētam </w:t>
            </w:r>
            <w:r w:rsidRPr="00FA3C80">
              <w:rPr>
                <w:sz w:val="24"/>
                <w:szCs w:val="24"/>
              </w:rPr>
              <w:t xml:space="preserve">PVN maksātājam būs atšķirīgs, nav iespējams noteikt administratīvās izmaksas saistībā ar PVN deklarācijas un tās pielikumu aizpildīšanu, kas radīsies </w:t>
            </w:r>
            <w:r w:rsidR="003F487D">
              <w:rPr>
                <w:sz w:val="24"/>
                <w:szCs w:val="24"/>
              </w:rPr>
              <w:t xml:space="preserve">reģistrētam </w:t>
            </w:r>
            <w:r w:rsidRPr="00FA3C80">
              <w:rPr>
                <w:sz w:val="24"/>
                <w:szCs w:val="24"/>
              </w:rPr>
              <w:t>PVN maksātājam.</w:t>
            </w:r>
          </w:p>
          <w:p w14:paraId="3D133942" w14:textId="77777777" w:rsidR="00C4061B" w:rsidRPr="004A160F" w:rsidRDefault="00C4061B" w:rsidP="003F487D">
            <w:pPr>
              <w:jc w:val="both"/>
              <w:rPr>
                <w:rFonts w:eastAsia="Times New Roman"/>
                <w:sz w:val="24"/>
                <w:szCs w:val="24"/>
                <w:lang w:eastAsia="lv-LV"/>
              </w:rPr>
            </w:pPr>
          </w:p>
        </w:tc>
      </w:tr>
      <w:tr w:rsidR="00026C45" w:rsidRPr="00FC5AAA" w14:paraId="7C6D5B6F" w14:textId="77777777" w:rsidTr="009604F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E3692C4" w14:textId="77777777" w:rsidR="00026C45" w:rsidRPr="00FC5AAA" w:rsidRDefault="00026C45" w:rsidP="009604FB">
            <w:pPr>
              <w:rPr>
                <w:rFonts w:eastAsia="Times New Roman"/>
                <w:sz w:val="24"/>
                <w:szCs w:val="24"/>
                <w:lang w:eastAsia="lv-LV"/>
              </w:rPr>
            </w:pPr>
            <w:r w:rsidRPr="00FC5AAA">
              <w:rPr>
                <w:rFonts w:eastAsia="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A97459" w14:textId="77777777" w:rsidR="00026C45" w:rsidRPr="00FC5AAA" w:rsidRDefault="00026C45" w:rsidP="009604FB">
            <w:pPr>
              <w:rPr>
                <w:rFonts w:eastAsia="Times New Roman"/>
                <w:sz w:val="24"/>
                <w:szCs w:val="24"/>
                <w:lang w:eastAsia="lv-LV"/>
              </w:rPr>
            </w:pPr>
            <w:r w:rsidRPr="00FC5AAA">
              <w:rPr>
                <w:rFonts w:eastAsia="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5E139A6" w14:textId="77777777" w:rsidR="00026C45" w:rsidRPr="00FC5AAA" w:rsidRDefault="00026C45" w:rsidP="009604FB">
            <w:pPr>
              <w:jc w:val="both"/>
              <w:rPr>
                <w:rFonts w:eastAsia="Times New Roman"/>
                <w:sz w:val="24"/>
                <w:szCs w:val="24"/>
                <w:lang w:eastAsia="lv-LV"/>
              </w:rPr>
            </w:pPr>
            <w:r w:rsidRPr="00FC5AAA">
              <w:rPr>
                <w:sz w:val="24"/>
                <w:szCs w:val="24"/>
              </w:rPr>
              <w:t>Projekts šo jomu neskar</w:t>
            </w:r>
          </w:p>
        </w:tc>
      </w:tr>
      <w:tr w:rsidR="00026C45" w:rsidRPr="00FC5AAA" w14:paraId="4B8D16C0" w14:textId="77777777" w:rsidTr="009604FB">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A59B221" w14:textId="77777777" w:rsidR="00026C45" w:rsidRPr="00FC5AAA" w:rsidRDefault="00026C45" w:rsidP="009604FB">
            <w:pPr>
              <w:rPr>
                <w:rFonts w:eastAsia="Times New Roman"/>
                <w:sz w:val="24"/>
                <w:szCs w:val="24"/>
                <w:lang w:eastAsia="lv-LV"/>
              </w:rPr>
            </w:pPr>
            <w:r w:rsidRPr="00FC5AAA">
              <w:rPr>
                <w:rFonts w:eastAsia="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E1358C2" w14:textId="77777777" w:rsidR="00026C45" w:rsidRPr="00FC5AAA" w:rsidRDefault="00026C45" w:rsidP="009604FB">
            <w:pPr>
              <w:rPr>
                <w:rFonts w:eastAsia="Times New Roman"/>
                <w:sz w:val="24"/>
                <w:szCs w:val="24"/>
                <w:lang w:eastAsia="lv-LV"/>
              </w:rPr>
            </w:pPr>
            <w:r w:rsidRPr="00FC5AAA">
              <w:rPr>
                <w:rFonts w:eastAsia="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740C9DE" w14:textId="77777777" w:rsidR="00026C45" w:rsidRPr="00FC5AAA" w:rsidRDefault="00026C45" w:rsidP="009604FB">
            <w:pPr>
              <w:rPr>
                <w:rFonts w:eastAsia="Times New Roman"/>
                <w:sz w:val="24"/>
                <w:szCs w:val="24"/>
                <w:lang w:eastAsia="lv-LV"/>
              </w:rPr>
            </w:pPr>
            <w:r>
              <w:rPr>
                <w:rFonts w:eastAsia="Times New Roman"/>
                <w:sz w:val="24"/>
                <w:szCs w:val="24"/>
                <w:lang w:eastAsia="lv-LV"/>
              </w:rPr>
              <w:t>Nav</w:t>
            </w:r>
          </w:p>
        </w:tc>
      </w:tr>
    </w:tbl>
    <w:p w14:paraId="7EAE9A10" w14:textId="77777777" w:rsidR="00026C45" w:rsidRDefault="00026C45" w:rsidP="00026C45">
      <w:pPr>
        <w:rPr>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31690" w:rsidRPr="00631690" w14:paraId="7F0252A5" w14:textId="77777777" w:rsidTr="009604FB">
        <w:tc>
          <w:tcPr>
            <w:tcW w:w="9640" w:type="dxa"/>
            <w:shd w:val="clear" w:color="auto" w:fill="auto"/>
          </w:tcPr>
          <w:p w14:paraId="0B59619C" w14:textId="77777777" w:rsidR="00631690" w:rsidRPr="00FA3C80" w:rsidRDefault="00631690" w:rsidP="009604FB">
            <w:pPr>
              <w:rPr>
                <w:b/>
                <w:sz w:val="24"/>
                <w:szCs w:val="24"/>
              </w:rPr>
            </w:pPr>
            <w:r w:rsidRPr="00FA3C80">
              <w:rPr>
                <w:b/>
                <w:sz w:val="24"/>
                <w:szCs w:val="24"/>
              </w:rPr>
              <w:t>III. Tiesību akta projekta ietekme uz valsts budžetu un pašvaldību budžetiem</w:t>
            </w:r>
          </w:p>
        </w:tc>
      </w:tr>
    </w:tbl>
    <w:p w14:paraId="17296DE5" w14:textId="77777777" w:rsidR="00631690" w:rsidRPr="00FA3C80" w:rsidRDefault="00631690" w:rsidP="00631690">
      <w:pPr>
        <w:rPr>
          <w:rFonts w:eastAsia="Times New Roman"/>
          <w:vanish/>
          <w:sz w:val="24"/>
          <w:szCs w:val="24"/>
          <w:lang w:eastAsia="lv-LV"/>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161"/>
        <w:gridCol w:w="1266"/>
        <w:gridCol w:w="1978"/>
        <w:gridCol w:w="1634"/>
        <w:gridCol w:w="1634"/>
      </w:tblGrid>
      <w:tr w:rsidR="00631690" w:rsidRPr="00631690" w14:paraId="0CEC8524" w14:textId="77777777" w:rsidTr="009604FB">
        <w:trPr>
          <w:trHeight w:val="362"/>
          <w:jc w:val="center"/>
        </w:trPr>
        <w:tc>
          <w:tcPr>
            <w:tcW w:w="9569" w:type="dxa"/>
            <w:gridSpan w:val="6"/>
            <w:vAlign w:val="center"/>
          </w:tcPr>
          <w:p w14:paraId="2B6997AD" w14:textId="77777777" w:rsidR="00631690" w:rsidRPr="00FA3C80" w:rsidRDefault="00631690" w:rsidP="009604FB">
            <w:pPr>
              <w:rPr>
                <w:sz w:val="24"/>
                <w:szCs w:val="24"/>
              </w:rPr>
            </w:pPr>
          </w:p>
        </w:tc>
      </w:tr>
      <w:tr w:rsidR="00631690" w:rsidRPr="00631690" w14:paraId="133197CD" w14:textId="77777777" w:rsidTr="009604FB">
        <w:trPr>
          <w:trHeight w:val="144"/>
          <w:jc w:val="center"/>
        </w:trPr>
        <w:tc>
          <w:tcPr>
            <w:tcW w:w="1896" w:type="dxa"/>
            <w:vMerge w:val="restart"/>
            <w:vAlign w:val="center"/>
          </w:tcPr>
          <w:p w14:paraId="68BC7FE1" w14:textId="77777777" w:rsidR="00631690" w:rsidRPr="00FA3C80" w:rsidRDefault="00631690" w:rsidP="009604FB">
            <w:pPr>
              <w:pStyle w:val="naisf"/>
              <w:spacing w:before="0" w:beforeAutospacing="0" w:after="0" w:afterAutospacing="0"/>
              <w:jc w:val="center"/>
              <w:rPr>
                <w:b/>
              </w:rPr>
            </w:pPr>
            <w:r w:rsidRPr="00FA3C80">
              <w:rPr>
                <w:b/>
              </w:rPr>
              <w:lastRenderedPageBreak/>
              <w:t>Rādītāji</w:t>
            </w:r>
            <w:r w:rsidR="00EF49F1">
              <w:rPr>
                <w:b/>
              </w:rPr>
              <w:t>0</w:t>
            </w:r>
          </w:p>
        </w:tc>
        <w:tc>
          <w:tcPr>
            <w:tcW w:w="2427" w:type="dxa"/>
            <w:gridSpan w:val="2"/>
            <w:vMerge w:val="restart"/>
            <w:vAlign w:val="center"/>
          </w:tcPr>
          <w:p w14:paraId="2282D7B9" w14:textId="77777777" w:rsidR="00631690" w:rsidRPr="00FA3C80" w:rsidRDefault="00700AE4" w:rsidP="009604FB">
            <w:pPr>
              <w:pStyle w:val="naisf"/>
              <w:spacing w:before="0" w:beforeAutospacing="0" w:after="0" w:afterAutospacing="0"/>
              <w:jc w:val="center"/>
              <w:rPr>
                <w:b/>
              </w:rPr>
            </w:pPr>
            <w:r w:rsidRPr="00700AE4">
              <w:rPr>
                <w:b/>
              </w:rPr>
              <w:t>2017</w:t>
            </w:r>
            <w:r w:rsidR="00631690" w:rsidRPr="00FA3C80">
              <w:rPr>
                <w:b/>
              </w:rPr>
              <w:t>.gads</w:t>
            </w:r>
          </w:p>
        </w:tc>
        <w:tc>
          <w:tcPr>
            <w:tcW w:w="5246" w:type="dxa"/>
            <w:gridSpan w:val="3"/>
            <w:vAlign w:val="center"/>
          </w:tcPr>
          <w:p w14:paraId="109A86C9" w14:textId="6850BF1A" w:rsidR="00631690" w:rsidRPr="00FA3C80" w:rsidRDefault="00631690" w:rsidP="00DA5C82">
            <w:pPr>
              <w:pStyle w:val="naisf"/>
              <w:spacing w:before="0" w:beforeAutospacing="0" w:after="0" w:afterAutospacing="0"/>
              <w:jc w:val="center"/>
              <w:rPr>
                <w:b/>
                <w:i/>
              </w:rPr>
            </w:pPr>
            <w:r w:rsidRPr="00FA3C80">
              <w:t>Turpmākie trīs gadi (</w:t>
            </w:r>
            <w:bookmarkStart w:id="0" w:name="_GoBack"/>
            <w:bookmarkEnd w:id="0"/>
            <w:r w:rsidRPr="00FA3C80">
              <w:rPr>
                <w:i/>
              </w:rPr>
              <w:t>euro</w:t>
            </w:r>
            <w:r w:rsidRPr="00FA3C80">
              <w:t>)</w:t>
            </w:r>
          </w:p>
        </w:tc>
      </w:tr>
      <w:tr w:rsidR="00631690" w:rsidRPr="00631690" w14:paraId="404034C2" w14:textId="77777777" w:rsidTr="009604FB">
        <w:trPr>
          <w:trHeight w:val="144"/>
          <w:jc w:val="center"/>
        </w:trPr>
        <w:tc>
          <w:tcPr>
            <w:tcW w:w="1896" w:type="dxa"/>
            <w:vMerge/>
            <w:vAlign w:val="center"/>
          </w:tcPr>
          <w:p w14:paraId="70995196" w14:textId="77777777" w:rsidR="00631690" w:rsidRPr="00FA3C80" w:rsidRDefault="00631690" w:rsidP="009604FB">
            <w:pPr>
              <w:pStyle w:val="naisf"/>
              <w:spacing w:before="0" w:beforeAutospacing="0" w:after="0" w:afterAutospacing="0"/>
              <w:jc w:val="center"/>
              <w:rPr>
                <w:b/>
                <w:i/>
              </w:rPr>
            </w:pPr>
          </w:p>
        </w:tc>
        <w:tc>
          <w:tcPr>
            <w:tcW w:w="2427" w:type="dxa"/>
            <w:gridSpan w:val="2"/>
            <w:vMerge/>
            <w:vAlign w:val="center"/>
          </w:tcPr>
          <w:p w14:paraId="44DBD796" w14:textId="77777777" w:rsidR="00631690" w:rsidRPr="00FA3C80" w:rsidRDefault="00631690" w:rsidP="009604FB">
            <w:pPr>
              <w:pStyle w:val="naisf"/>
              <w:spacing w:before="0" w:beforeAutospacing="0" w:after="0" w:afterAutospacing="0"/>
              <w:jc w:val="center"/>
              <w:rPr>
                <w:b/>
                <w:i/>
              </w:rPr>
            </w:pPr>
          </w:p>
        </w:tc>
        <w:tc>
          <w:tcPr>
            <w:tcW w:w="1978" w:type="dxa"/>
            <w:vAlign w:val="center"/>
          </w:tcPr>
          <w:p w14:paraId="40EA6524" w14:textId="77777777" w:rsidR="00631690" w:rsidRPr="00FA3C80" w:rsidRDefault="00631690" w:rsidP="00700AE4">
            <w:pPr>
              <w:pStyle w:val="naisf"/>
              <w:spacing w:before="0" w:beforeAutospacing="0" w:after="0" w:afterAutospacing="0"/>
              <w:jc w:val="center"/>
              <w:rPr>
                <w:b/>
                <w:i/>
              </w:rPr>
            </w:pPr>
            <w:r w:rsidRPr="00FA3C80">
              <w:rPr>
                <w:b/>
                <w:bCs/>
              </w:rPr>
              <w:t>201</w:t>
            </w:r>
            <w:r w:rsidR="00700AE4">
              <w:rPr>
                <w:b/>
                <w:bCs/>
              </w:rPr>
              <w:t>8</w:t>
            </w:r>
            <w:r w:rsidRPr="00FA3C80">
              <w:rPr>
                <w:b/>
                <w:bCs/>
              </w:rPr>
              <w:t>.gads</w:t>
            </w:r>
          </w:p>
        </w:tc>
        <w:tc>
          <w:tcPr>
            <w:tcW w:w="1634" w:type="dxa"/>
            <w:vAlign w:val="center"/>
          </w:tcPr>
          <w:p w14:paraId="7B36F323" w14:textId="77777777" w:rsidR="00631690" w:rsidRPr="00FA3C80" w:rsidRDefault="00631690" w:rsidP="009604FB">
            <w:pPr>
              <w:pStyle w:val="naisf"/>
              <w:spacing w:before="0" w:beforeAutospacing="0" w:after="0" w:afterAutospacing="0"/>
              <w:jc w:val="center"/>
              <w:rPr>
                <w:b/>
                <w:i/>
              </w:rPr>
            </w:pPr>
            <w:r w:rsidRPr="00FA3C80">
              <w:rPr>
                <w:b/>
                <w:bCs/>
              </w:rPr>
              <w:t>2</w:t>
            </w:r>
            <w:r w:rsidR="00700AE4" w:rsidRPr="00700AE4">
              <w:rPr>
                <w:b/>
                <w:bCs/>
              </w:rPr>
              <w:t>019</w:t>
            </w:r>
            <w:r w:rsidRPr="00FA3C80">
              <w:rPr>
                <w:b/>
                <w:bCs/>
              </w:rPr>
              <w:t>.gads</w:t>
            </w:r>
          </w:p>
        </w:tc>
        <w:tc>
          <w:tcPr>
            <w:tcW w:w="1634" w:type="dxa"/>
            <w:vAlign w:val="center"/>
          </w:tcPr>
          <w:p w14:paraId="061A767C" w14:textId="77777777" w:rsidR="00631690" w:rsidRPr="00FA3C80" w:rsidRDefault="00631690" w:rsidP="00700AE4">
            <w:pPr>
              <w:pStyle w:val="naisf"/>
              <w:spacing w:before="0" w:beforeAutospacing="0" w:after="0" w:afterAutospacing="0"/>
              <w:jc w:val="center"/>
              <w:rPr>
                <w:b/>
                <w:i/>
              </w:rPr>
            </w:pPr>
            <w:r w:rsidRPr="00FA3C80">
              <w:rPr>
                <w:b/>
                <w:bCs/>
              </w:rPr>
              <w:t>20</w:t>
            </w:r>
            <w:r w:rsidR="00700AE4">
              <w:rPr>
                <w:b/>
                <w:bCs/>
              </w:rPr>
              <w:t>20</w:t>
            </w:r>
            <w:r w:rsidRPr="00FA3C80">
              <w:rPr>
                <w:b/>
                <w:bCs/>
              </w:rPr>
              <w:t>.gads</w:t>
            </w:r>
          </w:p>
        </w:tc>
      </w:tr>
      <w:tr w:rsidR="00631690" w:rsidRPr="00631690" w14:paraId="605CBF07" w14:textId="77777777" w:rsidTr="009604FB">
        <w:trPr>
          <w:trHeight w:val="144"/>
          <w:jc w:val="center"/>
        </w:trPr>
        <w:tc>
          <w:tcPr>
            <w:tcW w:w="1896" w:type="dxa"/>
            <w:vMerge/>
            <w:vAlign w:val="center"/>
          </w:tcPr>
          <w:p w14:paraId="7A34DBC7" w14:textId="77777777" w:rsidR="00631690" w:rsidRPr="00FA3C80" w:rsidRDefault="00631690" w:rsidP="009604FB">
            <w:pPr>
              <w:pStyle w:val="naisf"/>
              <w:spacing w:before="0" w:beforeAutospacing="0" w:after="0" w:afterAutospacing="0"/>
              <w:jc w:val="center"/>
              <w:rPr>
                <w:b/>
                <w:i/>
              </w:rPr>
            </w:pPr>
          </w:p>
        </w:tc>
        <w:tc>
          <w:tcPr>
            <w:tcW w:w="1161" w:type="dxa"/>
            <w:vAlign w:val="center"/>
          </w:tcPr>
          <w:p w14:paraId="58E0514F" w14:textId="77777777" w:rsidR="00631690" w:rsidRPr="00FA3C80" w:rsidRDefault="00631690" w:rsidP="009604FB">
            <w:pPr>
              <w:pStyle w:val="naisf"/>
              <w:spacing w:before="0" w:beforeAutospacing="0" w:after="0" w:afterAutospacing="0"/>
              <w:jc w:val="center"/>
              <w:rPr>
                <w:b/>
                <w:i/>
              </w:rPr>
            </w:pPr>
            <w:r w:rsidRPr="00FA3C80">
              <w:t>saskaņā ar valsts budžetu kārtējam gadam</w:t>
            </w:r>
          </w:p>
        </w:tc>
        <w:tc>
          <w:tcPr>
            <w:tcW w:w="1266" w:type="dxa"/>
            <w:vAlign w:val="center"/>
          </w:tcPr>
          <w:p w14:paraId="309C32D2" w14:textId="77777777" w:rsidR="00631690" w:rsidRPr="00FA3C80" w:rsidRDefault="00631690" w:rsidP="009604FB">
            <w:pPr>
              <w:pStyle w:val="naisf"/>
              <w:spacing w:before="0" w:beforeAutospacing="0" w:after="0" w:afterAutospacing="0"/>
              <w:jc w:val="center"/>
              <w:rPr>
                <w:b/>
                <w:i/>
              </w:rPr>
            </w:pPr>
            <w:r w:rsidRPr="00FA3C80">
              <w:t>izmaiņas kārtējā gadā, salīdzinot ar budžetu kārtējam gadam</w:t>
            </w:r>
          </w:p>
        </w:tc>
        <w:tc>
          <w:tcPr>
            <w:tcW w:w="1978" w:type="dxa"/>
            <w:vAlign w:val="center"/>
          </w:tcPr>
          <w:p w14:paraId="73566413" w14:textId="26112868" w:rsidR="00631690" w:rsidRPr="00FA3C80" w:rsidRDefault="00631690" w:rsidP="009604FB">
            <w:pPr>
              <w:pStyle w:val="naisf"/>
              <w:spacing w:before="0" w:beforeAutospacing="0" w:after="0" w:afterAutospacing="0"/>
              <w:jc w:val="center"/>
              <w:rPr>
                <w:b/>
                <w:i/>
              </w:rPr>
            </w:pPr>
            <w:r w:rsidRPr="00FA3C80">
              <w:t xml:space="preserve">izmaiņas, salīdzinot ar kārtējo </w:t>
            </w:r>
            <w:r w:rsidR="00F648E9">
              <w:t>2017.</w:t>
            </w:r>
            <w:r w:rsidRPr="00FA3C80">
              <w:t>gadu</w:t>
            </w:r>
          </w:p>
        </w:tc>
        <w:tc>
          <w:tcPr>
            <w:tcW w:w="1634" w:type="dxa"/>
            <w:vAlign w:val="center"/>
          </w:tcPr>
          <w:p w14:paraId="544A192C" w14:textId="7B47E988" w:rsidR="00631690" w:rsidRPr="00FA3C80" w:rsidRDefault="00631690" w:rsidP="009604FB">
            <w:pPr>
              <w:pStyle w:val="naisf"/>
              <w:spacing w:before="0" w:beforeAutospacing="0" w:after="0" w:afterAutospacing="0"/>
              <w:jc w:val="center"/>
              <w:rPr>
                <w:b/>
                <w:i/>
              </w:rPr>
            </w:pPr>
            <w:r w:rsidRPr="00FA3C80">
              <w:t xml:space="preserve">izmaiņas, salīdzinot ar kārtējo </w:t>
            </w:r>
            <w:r w:rsidR="00F648E9">
              <w:t>2017.</w:t>
            </w:r>
            <w:r w:rsidRPr="00FA3C80">
              <w:t>gadu</w:t>
            </w:r>
          </w:p>
        </w:tc>
        <w:tc>
          <w:tcPr>
            <w:tcW w:w="1634" w:type="dxa"/>
            <w:vAlign w:val="center"/>
          </w:tcPr>
          <w:p w14:paraId="39B498F5" w14:textId="10D6F8C0" w:rsidR="00631690" w:rsidRPr="00FA3C80" w:rsidRDefault="00631690">
            <w:pPr>
              <w:pStyle w:val="naisf"/>
              <w:spacing w:before="0" w:beforeAutospacing="0" w:after="0" w:afterAutospacing="0"/>
              <w:jc w:val="center"/>
              <w:rPr>
                <w:b/>
                <w:i/>
              </w:rPr>
            </w:pPr>
            <w:r w:rsidRPr="00FA3C80">
              <w:t xml:space="preserve">izmaiņas, salīdzinot ar kārtējo </w:t>
            </w:r>
            <w:r w:rsidR="00F648E9">
              <w:t>2017.</w:t>
            </w:r>
            <w:r w:rsidRPr="00FA3C80">
              <w:t>gadu</w:t>
            </w:r>
          </w:p>
        </w:tc>
      </w:tr>
      <w:tr w:rsidR="00631690" w:rsidRPr="00631690" w14:paraId="7E81D232" w14:textId="77777777" w:rsidTr="009604FB">
        <w:trPr>
          <w:trHeight w:val="144"/>
          <w:jc w:val="center"/>
        </w:trPr>
        <w:tc>
          <w:tcPr>
            <w:tcW w:w="1896" w:type="dxa"/>
            <w:vAlign w:val="center"/>
          </w:tcPr>
          <w:p w14:paraId="61194915" w14:textId="77777777" w:rsidR="00631690" w:rsidRPr="00FA3C80" w:rsidRDefault="00631690" w:rsidP="009604FB">
            <w:pPr>
              <w:pStyle w:val="naisf"/>
              <w:spacing w:before="0" w:beforeAutospacing="0" w:after="0" w:afterAutospacing="0"/>
              <w:jc w:val="center"/>
              <w:rPr>
                <w:bCs/>
              </w:rPr>
            </w:pPr>
            <w:r w:rsidRPr="00FA3C80">
              <w:rPr>
                <w:bCs/>
              </w:rPr>
              <w:t>1</w:t>
            </w:r>
          </w:p>
        </w:tc>
        <w:tc>
          <w:tcPr>
            <w:tcW w:w="1161" w:type="dxa"/>
            <w:vAlign w:val="center"/>
          </w:tcPr>
          <w:p w14:paraId="221586CB" w14:textId="77777777" w:rsidR="00631690" w:rsidRPr="00FA3C80" w:rsidRDefault="00631690" w:rsidP="009604FB">
            <w:pPr>
              <w:pStyle w:val="naisf"/>
              <w:spacing w:before="0" w:beforeAutospacing="0" w:after="0" w:afterAutospacing="0"/>
              <w:jc w:val="center"/>
              <w:rPr>
                <w:bCs/>
              </w:rPr>
            </w:pPr>
            <w:r w:rsidRPr="00FA3C80">
              <w:rPr>
                <w:bCs/>
              </w:rPr>
              <w:t>2</w:t>
            </w:r>
          </w:p>
        </w:tc>
        <w:tc>
          <w:tcPr>
            <w:tcW w:w="1266" w:type="dxa"/>
            <w:vAlign w:val="center"/>
          </w:tcPr>
          <w:p w14:paraId="2EE0DD42" w14:textId="77777777" w:rsidR="00631690" w:rsidRPr="00FA3C80" w:rsidRDefault="00631690" w:rsidP="009604FB">
            <w:pPr>
              <w:pStyle w:val="naisf"/>
              <w:spacing w:before="0" w:beforeAutospacing="0" w:after="0" w:afterAutospacing="0"/>
              <w:jc w:val="center"/>
              <w:rPr>
                <w:bCs/>
              </w:rPr>
            </w:pPr>
            <w:r w:rsidRPr="00FA3C80">
              <w:rPr>
                <w:bCs/>
              </w:rPr>
              <w:t>3</w:t>
            </w:r>
          </w:p>
        </w:tc>
        <w:tc>
          <w:tcPr>
            <w:tcW w:w="1978" w:type="dxa"/>
            <w:vAlign w:val="center"/>
          </w:tcPr>
          <w:p w14:paraId="0394F9B5" w14:textId="77777777" w:rsidR="00631690" w:rsidRPr="00FA3C80" w:rsidRDefault="00631690" w:rsidP="009604FB">
            <w:pPr>
              <w:pStyle w:val="naisf"/>
              <w:spacing w:before="0" w:beforeAutospacing="0" w:after="0" w:afterAutospacing="0"/>
              <w:jc w:val="center"/>
              <w:rPr>
                <w:bCs/>
              </w:rPr>
            </w:pPr>
            <w:r w:rsidRPr="00FA3C80">
              <w:rPr>
                <w:bCs/>
              </w:rPr>
              <w:t>4</w:t>
            </w:r>
          </w:p>
        </w:tc>
        <w:tc>
          <w:tcPr>
            <w:tcW w:w="1634" w:type="dxa"/>
            <w:vAlign w:val="center"/>
          </w:tcPr>
          <w:p w14:paraId="053C483C" w14:textId="77777777" w:rsidR="00631690" w:rsidRPr="00FA3C80" w:rsidRDefault="00631690" w:rsidP="009604FB">
            <w:pPr>
              <w:pStyle w:val="naisf"/>
              <w:spacing w:before="0" w:beforeAutospacing="0" w:after="0" w:afterAutospacing="0"/>
              <w:jc w:val="center"/>
              <w:rPr>
                <w:bCs/>
              </w:rPr>
            </w:pPr>
            <w:r w:rsidRPr="00FA3C80">
              <w:rPr>
                <w:bCs/>
              </w:rPr>
              <w:t>5</w:t>
            </w:r>
          </w:p>
        </w:tc>
        <w:tc>
          <w:tcPr>
            <w:tcW w:w="1634" w:type="dxa"/>
            <w:vAlign w:val="center"/>
          </w:tcPr>
          <w:p w14:paraId="74ABD11A" w14:textId="77777777" w:rsidR="00631690" w:rsidRPr="00FA3C80" w:rsidRDefault="00631690" w:rsidP="009604FB">
            <w:pPr>
              <w:pStyle w:val="naisf"/>
              <w:spacing w:before="0" w:beforeAutospacing="0" w:after="0" w:afterAutospacing="0"/>
              <w:jc w:val="center"/>
              <w:rPr>
                <w:bCs/>
              </w:rPr>
            </w:pPr>
            <w:r w:rsidRPr="00FA3C80">
              <w:rPr>
                <w:bCs/>
              </w:rPr>
              <w:t>6</w:t>
            </w:r>
          </w:p>
        </w:tc>
      </w:tr>
      <w:tr w:rsidR="00631690" w:rsidRPr="00631690" w14:paraId="22FB0E97" w14:textId="77777777" w:rsidTr="009604FB">
        <w:trPr>
          <w:trHeight w:val="144"/>
          <w:jc w:val="center"/>
        </w:trPr>
        <w:tc>
          <w:tcPr>
            <w:tcW w:w="1896" w:type="dxa"/>
          </w:tcPr>
          <w:p w14:paraId="5569BCD4" w14:textId="77777777" w:rsidR="00631690" w:rsidRPr="00FA3C80" w:rsidRDefault="00631690" w:rsidP="009604FB">
            <w:pPr>
              <w:pStyle w:val="naisf"/>
              <w:spacing w:before="0" w:beforeAutospacing="0" w:after="0" w:afterAutospacing="0"/>
              <w:rPr>
                <w:i/>
              </w:rPr>
            </w:pPr>
            <w:r w:rsidRPr="00FA3C80">
              <w:t>1. Budžeta ieņēmumi:</w:t>
            </w:r>
          </w:p>
        </w:tc>
        <w:tc>
          <w:tcPr>
            <w:tcW w:w="1161" w:type="dxa"/>
          </w:tcPr>
          <w:p w14:paraId="547DE3CF"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7C997162"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259FC01A" w14:textId="7A752E14" w:rsidR="00631690" w:rsidRPr="00FA3C80" w:rsidRDefault="00EF49F1" w:rsidP="00AD0BD6">
            <w:pPr>
              <w:pStyle w:val="naisf"/>
              <w:spacing w:before="0" w:beforeAutospacing="0" w:after="0" w:afterAutospacing="0"/>
              <w:jc w:val="center"/>
            </w:pPr>
            <w:r>
              <w:t>348</w:t>
            </w:r>
            <w:r w:rsidR="00AD0BD6">
              <w:t>00000</w:t>
            </w:r>
          </w:p>
        </w:tc>
        <w:tc>
          <w:tcPr>
            <w:tcW w:w="1634" w:type="dxa"/>
          </w:tcPr>
          <w:p w14:paraId="7C9976E4" w14:textId="74D8E7C7" w:rsidR="00631690" w:rsidRPr="00FA3C80" w:rsidRDefault="00EF49F1" w:rsidP="00AD0BD6">
            <w:pPr>
              <w:pStyle w:val="naisf"/>
              <w:spacing w:before="0" w:beforeAutospacing="0" w:after="0" w:afterAutospacing="0"/>
              <w:jc w:val="center"/>
            </w:pPr>
            <w:r>
              <w:t>38</w:t>
            </w:r>
            <w:r w:rsidR="00AD0BD6">
              <w:t>000000</w:t>
            </w:r>
          </w:p>
        </w:tc>
        <w:tc>
          <w:tcPr>
            <w:tcW w:w="1634" w:type="dxa"/>
          </w:tcPr>
          <w:p w14:paraId="2672F3AE" w14:textId="44336A0A" w:rsidR="00631690" w:rsidRPr="00FA3C80" w:rsidRDefault="00EF49F1" w:rsidP="00AD0BD6">
            <w:pPr>
              <w:pStyle w:val="naisf"/>
              <w:spacing w:before="0" w:beforeAutospacing="0" w:after="0" w:afterAutospacing="0"/>
              <w:jc w:val="center"/>
            </w:pPr>
            <w:r>
              <w:t>380</w:t>
            </w:r>
            <w:r w:rsidR="00AD0BD6">
              <w:t xml:space="preserve">00000 </w:t>
            </w:r>
          </w:p>
        </w:tc>
      </w:tr>
      <w:tr w:rsidR="00631690" w:rsidRPr="00631690" w14:paraId="3E7DB7EC" w14:textId="77777777" w:rsidTr="009604FB">
        <w:trPr>
          <w:trHeight w:val="144"/>
          <w:jc w:val="center"/>
        </w:trPr>
        <w:tc>
          <w:tcPr>
            <w:tcW w:w="1896" w:type="dxa"/>
          </w:tcPr>
          <w:p w14:paraId="146B690F" w14:textId="77777777" w:rsidR="00631690" w:rsidRPr="00FA3C80" w:rsidRDefault="00631690" w:rsidP="009604FB">
            <w:pPr>
              <w:pStyle w:val="naisf"/>
              <w:spacing w:before="0" w:beforeAutospacing="0" w:after="0" w:afterAutospacing="0"/>
              <w:rPr>
                <w:i/>
              </w:rPr>
            </w:pPr>
            <w:r w:rsidRPr="00FA3C80">
              <w:t>1.1. valsts pamatbudžets, tai skaitā ieņēmumi no maksas pakalpojumiem un citi pašu ieņēmumi</w:t>
            </w:r>
          </w:p>
        </w:tc>
        <w:tc>
          <w:tcPr>
            <w:tcW w:w="1161" w:type="dxa"/>
          </w:tcPr>
          <w:p w14:paraId="77AA32BF"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5769C278"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0F5663D1" w14:textId="2D20247B" w:rsidR="00631690" w:rsidRPr="00FA3C80" w:rsidRDefault="00EF49F1" w:rsidP="00AD0BD6">
            <w:pPr>
              <w:pStyle w:val="naisf"/>
              <w:spacing w:before="0" w:beforeAutospacing="0" w:after="0" w:afterAutospacing="0"/>
              <w:jc w:val="center"/>
            </w:pPr>
            <w:r>
              <w:t>348</w:t>
            </w:r>
            <w:r w:rsidR="00AD0BD6">
              <w:t>00000</w:t>
            </w:r>
          </w:p>
        </w:tc>
        <w:tc>
          <w:tcPr>
            <w:tcW w:w="1634" w:type="dxa"/>
          </w:tcPr>
          <w:p w14:paraId="004003D3" w14:textId="2BEDDEE6" w:rsidR="00631690" w:rsidRPr="00FA3C80" w:rsidRDefault="00EF49F1" w:rsidP="00AD0BD6">
            <w:pPr>
              <w:pStyle w:val="naisf"/>
              <w:spacing w:before="0" w:beforeAutospacing="0" w:after="0" w:afterAutospacing="0"/>
              <w:jc w:val="center"/>
            </w:pPr>
            <w:r>
              <w:t>380</w:t>
            </w:r>
            <w:r w:rsidR="00AD0BD6">
              <w:t>00000</w:t>
            </w:r>
          </w:p>
        </w:tc>
        <w:tc>
          <w:tcPr>
            <w:tcW w:w="1634" w:type="dxa"/>
          </w:tcPr>
          <w:p w14:paraId="32DF604A" w14:textId="3C76CE35" w:rsidR="00631690" w:rsidRPr="00FA3C80" w:rsidRDefault="00EF49F1" w:rsidP="00AD0BD6">
            <w:pPr>
              <w:pStyle w:val="naisf"/>
              <w:spacing w:before="0" w:beforeAutospacing="0" w:after="0" w:afterAutospacing="0"/>
              <w:jc w:val="center"/>
            </w:pPr>
            <w:r w:rsidRPr="00EF49F1">
              <w:t>380</w:t>
            </w:r>
            <w:r w:rsidR="00AD0BD6">
              <w:t>00000</w:t>
            </w:r>
          </w:p>
        </w:tc>
      </w:tr>
      <w:tr w:rsidR="00631690" w:rsidRPr="00631690" w14:paraId="77484E14" w14:textId="77777777" w:rsidTr="009604FB">
        <w:trPr>
          <w:trHeight w:val="144"/>
          <w:jc w:val="center"/>
        </w:trPr>
        <w:tc>
          <w:tcPr>
            <w:tcW w:w="1896" w:type="dxa"/>
          </w:tcPr>
          <w:p w14:paraId="7805B412" w14:textId="77777777" w:rsidR="00631690" w:rsidRPr="00FA3C80" w:rsidRDefault="00631690" w:rsidP="009604FB">
            <w:pPr>
              <w:pStyle w:val="naisf"/>
              <w:spacing w:before="0" w:beforeAutospacing="0" w:after="0" w:afterAutospacing="0"/>
            </w:pPr>
            <w:r w:rsidRPr="00FA3C80">
              <w:t>t.sk. pievienotās vērtības nodoklis</w:t>
            </w:r>
          </w:p>
        </w:tc>
        <w:tc>
          <w:tcPr>
            <w:tcW w:w="1161" w:type="dxa"/>
          </w:tcPr>
          <w:p w14:paraId="0DDA007E"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7F518F40"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76F19444" w14:textId="7897844D" w:rsidR="00631690" w:rsidRPr="00FA3C80" w:rsidRDefault="00EF49F1" w:rsidP="00AD0BD6">
            <w:pPr>
              <w:pStyle w:val="naisf"/>
              <w:spacing w:before="0" w:beforeAutospacing="0" w:after="0" w:afterAutospacing="0"/>
              <w:jc w:val="center"/>
            </w:pPr>
            <w:r>
              <w:t>348</w:t>
            </w:r>
            <w:r w:rsidR="00AD0BD6">
              <w:t>00000</w:t>
            </w:r>
          </w:p>
        </w:tc>
        <w:tc>
          <w:tcPr>
            <w:tcW w:w="1634" w:type="dxa"/>
          </w:tcPr>
          <w:p w14:paraId="2CD1E506" w14:textId="3B61DDD3" w:rsidR="00631690" w:rsidRPr="00FA3C80" w:rsidRDefault="00EF49F1" w:rsidP="00AD0BD6">
            <w:pPr>
              <w:pStyle w:val="naisf"/>
              <w:spacing w:before="0" w:beforeAutospacing="0" w:after="0" w:afterAutospacing="0"/>
              <w:jc w:val="center"/>
            </w:pPr>
            <w:r w:rsidRPr="00EF49F1">
              <w:t>38</w:t>
            </w:r>
            <w:r>
              <w:t>0</w:t>
            </w:r>
            <w:r w:rsidR="00AD0BD6">
              <w:t>00000</w:t>
            </w:r>
          </w:p>
        </w:tc>
        <w:tc>
          <w:tcPr>
            <w:tcW w:w="1634" w:type="dxa"/>
          </w:tcPr>
          <w:p w14:paraId="0B4BD573" w14:textId="6A14BB4D" w:rsidR="00631690" w:rsidRPr="00FA3C80" w:rsidRDefault="00EF49F1" w:rsidP="00AD0BD6">
            <w:pPr>
              <w:pStyle w:val="naisf"/>
              <w:spacing w:before="0" w:beforeAutospacing="0" w:after="0" w:afterAutospacing="0"/>
              <w:jc w:val="center"/>
            </w:pPr>
            <w:r>
              <w:t>380</w:t>
            </w:r>
            <w:r w:rsidR="00AD0BD6">
              <w:t>00000</w:t>
            </w:r>
          </w:p>
        </w:tc>
      </w:tr>
      <w:tr w:rsidR="00631690" w:rsidRPr="00631690" w14:paraId="3308E7C4" w14:textId="77777777" w:rsidTr="009604FB">
        <w:trPr>
          <w:trHeight w:val="556"/>
          <w:jc w:val="center"/>
        </w:trPr>
        <w:tc>
          <w:tcPr>
            <w:tcW w:w="1896" w:type="dxa"/>
          </w:tcPr>
          <w:p w14:paraId="2BE8430A" w14:textId="77777777" w:rsidR="00631690" w:rsidRPr="00FA3C80" w:rsidRDefault="00631690" w:rsidP="009604FB">
            <w:pPr>
              <w:pStyle w:val="naisf"/>
              <w:spacing w:before="0" w:beforeAutospacing="0" w:after="0" w:afterAutospacing="0"/>
              <w:rPr>
                <w:i/>
              </w:rPr>
            </w:pPr>
            <w:r w:rsidRPr="00FA3C80">
              <w:t>1.2. valsts speciālais budžets</w:t>
            </w:r>
          </w:p>
        </w:tc>
        <w:tc>
          <w:tcPr>
            <w:tcW w:w="1161" w:type="dxa"/>
          </w:tcPr>
          <w:p w14:paraId="08608E29"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7B3A5EDB"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0955FEF5"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4322B92C"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2626A15B"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0626DB30" w14:textId="77777777" w:rsidTr="009604FB">
        <w:trPr>
          <w:trHeight w:val="541"/>
          <w:jc w:val="center"/>
        </w:trPr>
        <w:tc>
          <w:tcPr>
            <w:tcW w:w="1896" w:type="dxa"/>
          </w:tcPr>
          <w:p w14:paraId="77B01D85" w14:textId="77777777" w:rsidR="00631690" w:rsidRPr="00FA3C80" w:rsidRDefault="00631690" w:rsidP="009604FB">
            <w:pPr>
              <w:pStyle w:val="naisf"/>
              <w:spacing w:before="0" w:beforeAutospacing="0" w:after="0" w:afterAutospacing="0"/>
              <w:rPr>
                <w:i/>
              </w:rPr>
            </w:pPr>
            <w:r w:rsidRPr="00FA3C80">
              <w:t>1.3. pašvaldību budžets</w:t>
            </w:r>
          </w:p>
        </w:tc>
        <w:tc>
          <w:tcPr>
            <w:tcW w:w="1161" w:type="dxa"/>
          </w:tcPr>
          <w:p w14:paraId="3A6976EC"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7B03FC18"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62EB260B"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721F619D"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38F0BA46"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5B610769" w14:textId="77777777" w:rsidTr="009604FB">
        <w:trPr>
          <w:trHeight w:val="556"/>
          <w:jc w:val="center"/>
        </w:trPr>
        <w:tc>
          <w:tcPr>
            <w:tcW w:w="1896" w:type="dxa"/>
          </w:tcPr>
          <w:p w14:paraId="1BB3660E" w14:textId="77777777" w:rsidR="00631690" w:rsidRPr="00FA3C80" w:rsidRDefault="00631690" w:rsidP="009604FB">
            <w:pPr>
              <w:rPr>
                <w:sz w:val="24"/>
                <w:szCs w:val="24"/>
              </w:rPr>
            </w:pPr>
            <w:r w:rsidRPr="00FA3C80">
              <w:rPr>
                <w:sz w:val="24"/>
                <w:szCs w:val="24"/>
              </w:rPr>
              <w:t>2. Budžeta izdevumi:</w:t>
            </w:r>
          </w:p>
        </w:tc>
        <w:tc>
          <w:tcPr>
            <w:tcW w:w="1161" w:type="dxa"/>
          </w:tcPr>
          <w:p w14:paraId="4C5EE19B"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6F01CBD3"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32F559A9"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097D738D"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2CC6A2D1"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0305FECC" w14:textId="77777777" w:rsidTr="009604FB">
        <w:trPr>
          <w:trHeight w:val="541"/>
          <w:jc w:val="center"/>
        </w:trPr>
        <w:tc>
          <w:tcPr>
            <w:tcW w:w="1896" w:type="dxa"/>
          </w:tcPr>
          <w:p w14:paraId="34663F08" w14:textId="77777777" w:rsidR="00631690" w:rsidRPr="00FA3C80" w:rsidRDefault="00631690" w:rsidP="009604FB">
            <w:pPr>
              <w:rPr>
                <w:sz w:val="24"/>
                <w:szCs w:val="24"/>
              </w:rPr>
            </w:pPr>
            <w:r w:rsidRPr="00FA3C80">
              <w:rPr>
                <w:sz w:val="24"/>
                <w:szCs w:val="24"/>
              </w:rPr>
              <w:t>2.1. valsts pamatbudžets</w:t>
            </w:r>
          </w:p>
        </w:tc>
        <w:tc>
          <w:tcPr>
            <w:tcW w:w="1161" w:type="dxa"/>
          </w:tcPr>
          <w:p w14:paraId="518CE15C"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24AE5CE4"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502E61D5"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1E6BFB67"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2F985BC9"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1855410B" w14:textId="77777777" w:rsidTr="009604FB">
        <w:trPr>
          <w:trHeight w:val="556"/>
          <w:jc w:val="center"/>
        </w:trPr>
        <w:tc>
          <w:tcPr>
            <w:tcW w:w="1896" w:type="dxa"/>
          </w:tcPr>
          <w:p w14:paraId="180C843F" w14:textId="77777777" w:rsidR="00631690" w:rsidRPr="00FA3C80" w:rsidRDefault="00631690" w:rsidP="009604FB">
            <w:pPr>
              <w:rPr>
                <w:sz w:val="24"/>
                <w:szCs w:val="24"/>
              </w:rPr>
            </w:pPr>
            <w:r w:rsidRPr="00FA3C80">
              <w:rPr>
                <w:sz w:val="24"/>
                <w:szCs w:val="24"/>
              </w:rPr>
              <w:t>2.2. valsts speciālais budžets</w:t>
            </w:r>
          </w:p>
        </w:tc>
        <w:tc>
          <w:tcPr>
            <w:tcW w:w="1161" w:type="dxa"/>
          </w:tcPr>
          <w:p w14:paraId="333A17D7"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56B1715D"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7056E9F4"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515A286E"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0ACDE84B"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2EBDC5EB" w14:textId="77777777" w:rsidTr="009604FB">
        <w:trPr>
          <w:trHeight w:val="541"/>
          <w:jc w:val="center"/>
        </w:trPr>
        <w:tc>
          <w:tcPr>
            <w:tcW w:w="1896" w:type="dxa"/>
          </w:tcPr>
          <w:p w14:paraId="19ACF487" w14:textId="77777777" w:rsidR="00631690" w:rsidRPr="00FA3C80" w:rsidRDefault="00631690" w:rsidP="009604FB">
            <w:pPr>
              <w:rPr>
                <w:sz w:val="24"/>
                <w:szCs w:val="24"/>
              </w:rPr>
            </w:pPr>
            <w:r w:rsidRPr="00FA3C80">
              <w:rPr>
                <w:sz w:val="24"/>
                <w:szCs w:val="24"/>
              </w:rPr>
              <w:t xml:space="preserve">2.3. pašvaldību budžets </w:t>
            </w:r>
          </w:p>
        </w:tc>
        <w:tc>
          <w:tcPr>
            <w:tcW w:w="1161" w:type="dxa"/>
          </w:tcPr>
          <w:p w14:paraId="1B2D94FE"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3EB9A5B9"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73176EB0"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64FE56E3"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0C583389"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52F2A6CE" w14:textId="77777777" w:rsidTr="009604FB">
        <w:trPr>
          <w:trHeight w:val="556"/>
          <w:jc w:val="center"/>
        </w:trPr>
        <w:tc>
          <w:tcPr>
            <w:tcW w:w="1896" w:type="dxa"/>
          </w:tcPr>
          <w:p w14:paraId="415E9639" w14:textId="77777777" w:rsidR="00631690" w:rsidRPr="00FA3C80" w:rsidRDefault="00631690" w:rsidP="009604FB">
            <w:pPr>
              <w:rPr>
                <w:sz w:val="24"/>
                <w:szCs w:val="24"/>
              </w:rPr>
            </w:pPr>
            <w:r w:rsidRPr="00FA3C80">
              <w:rPr>
                <w:sz w:val="24"/>
                <w:szCs w:val="24"/>
              </w:rPr>
              <w:t>3. Finansiālā ietekme:</w:t>
            </w:r>
          </w:p>
        </w:tc>
        <w:tc>
          <w:tcPr>
            <w:tcW w:w="1161" w:type="dxa"/>
            <w:shd w:val="clear" w:color="auto" w:fill="auto"/>
            <w:vAlign w:val="center"/>
          </w:tcPr>
          <w:p w14:paraId="64B5D7FB"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2F2B98C4"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36907637" w14:textId="415B2259" w:rsidR="00631690" w:rsidRPr="00FA3C80" w:rsidRDefault="00EF49F1" w:rsidP="00AD0BD6">
            <w:pPr>
              <w:pStyle w:val="naisf"/>
              <w:spacing w:before="0" w:beforeAutospacing="0" w:after="0" w:afterAutospacing="0"/>
              <w:jc w:val="center"/>
            </w:pPr>
            <w:r>
              <w:t>348</w:t>
            </w:r>
            <w:r w:rsidR="00AD0BD6">
              <w:t>00000</w:t>
            </w:r>
          </w:p>
        </w:tc>
        <w:tc>
          <w:tcPr>
            <w:tcW w:w="1634" w:type="dxa"/>
          </w:tcPr>
          <w:p w14:paraId="5F13DBBE" w14:textId="5CBE8C48" w:rsidR="00631690" w:rsidRPr="00FA3C80" w:rsidRDefault="00AD0BD6" w:rsidP="00AD0BD6">
            <w:pPr>
              <w:pStyle w:val="naisf"/>
              <w:spacing w:before="0" w:beforeAutospacing="0" w:after="0" w:afterAutospacing="0"/>
              <w:jc w:val="center"/>
            </w:pPr>
            <w:r>
              <w:t>3</w:t>
            </w:r>
            <w:r w:rsidR="00EF49F1">
              <w:t>80</w:t>
            </w:r>
            <w:r>
              <w:t>00000</w:t>
            </w:r>
          </w:p>
        </w:tc>
        <w:tc>
          <w:tcPr>
            <w:tcW w:w="1634" w:type="dxa"/>
          </w:tcPr>
          <w:p w14:paraId="17E1F7F8" w14:textId="203761B7" w:rsidR="00631690" w:rsidRPr="00FA3C80" w:rsidRDefault="00EF49F1" w:rsidP="00AD0BD6">
            <w:pPr>
              <w:pStyle w:val="naisf"/>
              <w:spacing w:before="0" w:beforeAutospacing="0" w:after="0" w:afterAutospacing="0"/>
              <w:jc w:val="center"/>
            </w:pPr>
            <w:r>
              <w:t>380</w:t>
            </w:r>
            <w:r w:rsidR="00AD0BD6">
              <w:t>00000</w:t>
            </w:r>
          </w:p>
        </w:tc>
      </w:tr>
      <w:tr w:rsidR="00631690" w:rsidRPr="00631690" w14:paraId="658E16C5" w14:textId="77777777" w:rsidTr="009604FB">
        <w:trPr>
          <w:trHeight w:val="541"/>
          <w:jc w:val="center"/>
        </w:trPr>
        <w:tc>
          <w:tcPr>
            <w:tcW w:w="1896" w:type="dxa"/>
          </w:tcPr>
          <w:p w14:paraId="41F61224" w14:textId="77777777" w:rsidR="00631690" w:rsidRPr="00FA3C80" w:rsidRDefault="00631690" w:rsidP="009604FB">
            <w:pPr>
              <w:rPr>
                <w:sz w:val="24"/>
                <w:szCs w:val="24"/>
              </w:rPr>
            </w:pPr>
            <w:r w:rsidRPr="00FA3C80">
              <w:rPr>
                <w:sz w:val="24"/>
                <w:szCs w:val="24"/>
              </w:rPr>
              <w:t>3.1. valsts pamatbudžets</w:t>
            </w:r>
          </w:p>
        </w:tc>
        <w:tc>
          <w:tcPr>
            <w:tcW w:w="1161" w:type="dxa"/>
            <w:shd w:val="clear" w:color="auto" w:fill="auto"/>
          </w:tcPr>
          <w:p w14:paraId="1822B8BC"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0715CCFB"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6A657400" w14:textId="3920A04C" w:rsidR="00631690" w:rsidRPr="00FA3C80" w:rsidRDefault="00EF49F1" w:rsidP="00AD0BD6">
            <w:pPr>
              <w:pStyle w:val="naisf"/>
              <w:spacing w:before="0" w:beforeAutospacing="0" w:after="0" w:afterAutospacing="0"/>
              <w:jc w:val="center"/>
            </w:pPr>
            <w:r>
              <w:t>348</w:t>
            </w:r>
            <w:r w:rsidR="00AD0BD6">
              <w:t>00000</w:t>
            </w:r>
          </w:p>
        </w:tc>
        <w:tc>
          <w:tcPr>
            <w:tcW w:w="1634" w:type="dxa"/>
          </w:tcPr>
          <w:p w14:paraId="51201464" w14:textId="57C57253" w:rsidR="00631690" w:rsidRPr="00FA3C80" w:rsidRDefault="00EF49F1" w:rsidP="00AD0BD6">
            <w:pPr>
              <w:pStyle w:val="naisf"/>
              <w:spacing w:before="0" w:beforeAutospacing="0" w:after="0" w:afterAutospacing="0"/>
              <w:jc w:val="center"/>
            </w:pPr>
            <w:r>
              <w:t>380</w:t>
            </w:r>
            <w:r w:rsidR="00AD0BD6">
              <w:t>00000</w:t>
            </w:r>
          </w:p>
        </w:tc>
        <w:tc>
          <w:tcPr>
            <w:tcW w:w="1634" w:type="dxa"/>
          </w:tcPr>
          <w:p w14:paraId="56BB2BD9" w14:textId="52F0B46E" w:rsidR="00631690" w:rsidRPr="00FA3C80" w:rsidRDefault="00EF49F1" w:rsidP="00AD0BD6">
            <w:pPr>
              <w:pStyle w:val="naisf"/>
              <w:spacing w:before="0" w:beforeAutospacing="0" w:after="0" w:afterAutospacing="0"/>
              <w:jc w:val="center"/>
            </w:pPr>
            <w:r>
              <w:t>380</w:t>
            </w:r>
            <w:r w:rsidR="00AD0BD6">
              <w:t>00000</w:t>
            </w:r>
          </w:p>
        </w:tc>
      </w:tr>
      <w:tr w:rsidR="00631690" w:rsidRPr="00631690" w14:paraId="1B6170D6" w14:textId="77777777" w:rsidTr="009604FB">
        <w:trPr>
          <w:trHeight w:val="541"/>
          <w:jc w:val="center"/>
        </w:trPr>
        <w:tc>
          <w:tcPr>
            <w:tcW w:w="1896" w:type="dxa"/>
          </w:tcPr>
          <w:p w14:paraId="170C75D6" w14:textId="77777777" w:rsidR="00631690" w:rsidRPr="00FA3C80" w:rsidRDefault="00631690" w:rsidP="009604FB">
            <w:pPr>
              <w:rPr>
                <w:sz w:val="24"/>
                <w:szCs w:val="24"/>
              </w:rPr>
            </w:pPr>
            <w:r w:rsidRPr="00FA3C80">
              <w:rPr>
                <w:sz w:val="24"/>
                <w:szCs w:val="24"/>
              </w:rPr>
              <w:t>3.2. speciālais budžets</w:t>
            </w:r>
          </w:p>
        </w:tc>
        <w:tc>
          <w:tcPr>
            <w:tcW w:w="1161" w:type="dxa"/>
            <w:shd w:val="clear" w:color="auto" w:fill="auto"/>
          </w:tcPr>
          <w:p w14:paraId="5411464B"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35C283E3"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024A70BD"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7CD3AAE5"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5F5001C9"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5A7648C5" w14:textId="77777777" w:rsidTr="009604FB">
        <w:trPr>
          <w:trHeight w:val="556"/>
          <w:jc w:val="center"/>
        </w:trPr>
        <w:tc>
          <w:tcPr>
            <w:tcW w:w="1896" w:type="dxa"/>
          </w:tcPr>
          <w:p w14:paraId="04327C0A" w14:textId="77777777" w:rsidR="00631690" w:rsidRPr="00FA3C80" w:rsidRDefault="00631690" w:rsidP="009604FB">
            <w:pPr>
              <w:rPr>
                <w:sz w:val="24"/>
                <w:szCs w:val="24"/>
              </w:rPr>
            </w:pPr>
            <w:r w:rsidRPr="00FA3C80">
              <w:rPr>
                <w:sz w:val="24"/>
                <w:szCs w:val="24"/>
              </w:rPr>
              <w:t xml:space="preserve">3.3. pašvaldību budžets </w:t>
            </w:r>
          </w:p>
        </w:tc>
        <w:tc>
          <w:tcPr>
            <w:tcW w:w="1161" w:type="dxa"/>
            <w:shd w:val="clear" w:color="auto" w:fill="auto"/>
          </w:tcPr>
          <w:p w14:paraId="1FCD4B40" w14:textId="77777777" w:rsidR="00631690" w:rsidRPr="00FA3C80" w:rsidRDefault="00631690" w:rsidP="009604FB">
            <w:pPr>
              <w:pStyle w:val="naisf"/>
              <w:spacing w:before="0" w:beforeAutospacing="0" w:after="0" w:afterAutospacing="0"/>
              <w:jc w:val="center"/>
            </w:pPr>
            <w:r w:rsidRPr="00FA3C80">
              <w:t>0</w:t>
            </w:r>
          </w:p>
        </w:tc>
        <w:tc>
          <w:tcPr>
            <w:tcW w:w="1266" w:type="dxa"/>
          </w:tcPr>
          <w:p w14:paraId="21CC91E5"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4005C825"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38DC17FF"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6E916255"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3152C8D1" w14:textId="77777777" w:rsidTr="009604FB">
        <w:trPr>
          <w:trHeight w:val="270"/>
          <w:jc w:val="center"/>
        </w:trPr>
        <w:tc>
          <w:tcPr>
            <w:tcW w:w="1896" w:type="dxa"/>
            <w:vMerge w:val="restart"/>
          </w:tcPr>
          <w:p w14:paraId="06D28B01" w14:textId="77777777" w:rsidR="00631690" w:rsidRPr="00FA3C80" w:rsidRDefault="00631690" w:rsidP="009604FB">
            <w:pPr>
              <w:rPr>
                <w:sz w:val="24"/>
                <w:szCs w:val="24"/>
              </w:rPr>
            </w:pPr>
            <w:r w:rsidRPr="00FA3C80">
              <w:rPr>
                <w:sz w:val="24"/>
                <w:szCs w:val="24"/>
              </w:rPr>
              <w:t xml:space="preserve">4. Finanšu līdzekļi papildu izdevumu finansēšanai (kompensējošu izdevumu samazinājumu norāda ar “+” </w:t>
            </w:r>
            <w:r w:rsidRPr="00FA3C80">
              <w:rPr>
                <w:sz w:val="24"/>
                <w:szCs w:val="24"/>
              </w:rPr>
              <w:lastRenderedPageBreak/>
              <w:t>zīmi)</w:t>
            </w:r>
          </w:p>
        </w:tc>
        <w:tc>
          <w:tcPr>
            <w:tcW w:w="1161" w:type="dxa"/>
            <w:vMerge w:val="restart"/>
          </w:tcPr>
          <w:p w14:paraId="562B6C3F" w14:textId="77777777" w:rsidR="00631690" w:rsidRPr="00FA3C80" w:rsidRDefault="00631690" w:rsidP="009604FB">
            <w:pPr>
              <w:pStyle w:val="naisf"/>
              <w:spacing w:before="0" w:beforeAutospacing="0" w:after="0" w:afterAutospacing="0"/>
              <w:jc w:val="center"/>
            </w:pPr>
            <w:r w:rsidRPr="00FA3C80">
              <w:lastRenderedPageBreak/>
              <w:t>X</w:t>
            </w:r>
          </w:p>
        </w:tc>
        <w:tc>
          <w:tcPr>
            <w:tcW w:w="1266" w:type="dxa"/>
          </w:tcPr>
          <w:p w14:paraId="5AE48048"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0B1A2A5E"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05D81452"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4D903BCB"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66FBA905" w14:textId="77777777" w:rsidTr="009604FB">
        <w:trPr>
          <w:trHeight w:val="285"/>
          <w:jc w:val="center"/>
        </w:trPr>
        <w:tc>
          <w:tcPr>
            <w:tcW w:w="1896" w:type="dxa"/>
            <w:vMerge/>
          </w:tcPr>
          <w:p w14:paraId="4FEECD3F" w14:textId="77777777" w:rsidR="00631690" w:rsidRPr="00FA3C80" w:rsidRDefault="00631690" w:rsidP="009604FB">
            <w:pPr>
              <w:rPr>
                <w:sz w:val="24"/>
                <w:szCs w:val="24"/>
              </w:rPr>
            </w:pPr>
          </w:p>
        </w:tc>
        <w:tc>
          <w:tcPr>
            <w:tcW w:w="1161" w:type="dxa"/>
            <w:vMerge/>
          </w:tcPr>
          <w:p w14:paraId="1744C321" w14:textId="77777777" w:rsidR="00631690" w:rsidRPr="00FA3C80" w:rsidRDefault="00631690" w:rsidP="009604FB">
            <w:pPr>
              <w:pStyle w:val="naisf"/>
              <w:spacing w:before="0" w:beforeAutospacing="0" w:after="0" w:afterAutospacing="0"/>
              <w:jc w:val="center"/>
            </w:pPr>
          </w:p>
        </w:tc>
        <w:tc>
          <w:tcPr>
            <w:tcW w:w="1266" w:type="dxa"/>
          </w:tcPr>
          <w:p w14:paraId="43FE8947"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16E53CCA"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7359DC9C"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59713499"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1685F3BB" w14:textId="77777777" w:rsidTr="009604FB">
        <w:trPr>
          <w:trHeight w:val="1369"/>
          <w:jc w:val="center"/>
        </w:trPr>
        <w:tc>
          <w:tcPr>
            <w:tcW w:w="1896" w:type="dxa"/>
            <w:vMerge/>
          </w:tcPr>
          <w:p w14:paraId="5F90240B" w14:textId="77777777" w:rsidR="00631690" w:rsidRPr="00FA3C80" w:rsidRDefault="00631690" w:rsidP="009604FB">
            <w:pPr>
              <w:rPr>
                <w:sz w:val="24"/>
                <w:szCs w:val="24"/>
              </w:rPr>
            </w:pPr>
          </w:p>
        </w:tc>
        <w:tc>
          <w:tcPr>
            <w:tcW w:w="1161" w:type="dxa"/>
            <w:vMerge/>
          </w:tcPr>
          <w:p w14:paraId="37C3A42C" w14:textId="77777777" w:rsidR="00631690" w:rsidRPr="00FA3C80" w:rsidRDefault="00631690" w:rsidP="009604FB">
            <w:pPr>
              <w:pStyle w:val="naisf"/>
              <w:spacing w:before="0" w:beforeAutospacing="0" w:after="0" w:afterAutospacing="0"/>
              <w:jc w:val="center"/>
            </w:pPr>
          </w:p>
        </w:tc>
        <w:tc>
          <w:tcPr>
            <w:tcW w:w="1266" w:type="dxa"/>
          </w:tcPr>
          <w:p w14:paraId="677DEE38"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6528CA0F"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68DC9AFB"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723280D9"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48DA34C7" w14:textId="77777777" w:rsidTr="009604FB">
        <w:trPr>
          <w:trHeight w:val="556"/>
          <w:jc w:val="center"/>
        </w:trPr>
        <w:tc>
          <w:tcPr>
            <w:tcW w:w="1896" w:type="dxa"/>
          </w:tcPr>
          <w:p w14:paraId="2BE3F9D1" w14:textId="77777777" w:rsidR="00631690" w:rsidRPr="00FA3C80" w:rsidRDefault="00631690" w:rsidP="009604FB">
            <w:pPr>
              <w:rPr>
                <w:sz w:val="24"/>
                <w:szCs w:val="24"/>
              </w:rPr>
            </w:pPr>
            <w:r w:rsidRPr="00FA3C80">
              <w:rPr>
                <w:sz w:val="24"/>
                <w:szCs w:val="24"/>
              </w:rPr>
              <w:lastRenderedPageBreak/>
              <w:t>5. Precizēta finansiālā ietekme:</w:t>
            </w:r>
          </w:p>
        </w:tc>
        <w:tc>
          <w:tcPr>
            <w:tcW w:w="1161" w:type="dxa"/>
            <w:vMerge w:val="restart"/>
          </w:tcPr>
          <w:p w14:paraId="63F39932" w14:textId="77777777" w:rsidR="00631690" w:rsidRPr="00FA3C80" w:rsidRDefault="00631690" w:rsidP="009604FB">
            <w:pPr>
              <w:pStyle w:val="naisf"/>
              <w:spacing w:before="0" w:beforeAutospacing="0" w:after="0" w:afterAutospacing="0"/>
              <w:jc w:val="center"/>
            </w:pPr>
            <w:r w:rsidRPr="00FA3C80">
              <w:t>X</w:t>
            </w:r>
          </w:p>
        </w:tc>
        <w:tc>
          <w:tcPr>
            <w:tcW w:w="1266" w:type="dxa"/>
          </w:tcPr>
          <w:p w14:paraId="1348FDF1"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7242B3CE"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03F8DAF4"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7CF47284"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6BE355E9" w14:textId="77777777" w:rsidTr="009604FB">
        <w:trPr>
          <w:trHeight w:val="541"/>
          <w:jc w:val="center"/>
        </w:trPr>
        <w:tc>
          <w:tcPr>
            <w:tcW w:w="1896" w:type="dxa"/>
          </w:tcPr>
          <w:p w14:paraId="762795D3" w14:textId="77777777" w:rsidR="00631690" w:rsidRPr="00FA3C80" w:rsidRDefault="00631690" w:rsidP="009604FB">
            <w:pPr>
              <w:rPr>
                <w:sz w:val="24"/>
                <w:szCs w:val="24"/>
              </w:rPr>
            </w:pPr>
            <w:r w:rsidRPr="00FA3C80">
              <w:rPr>
                <w:sz w:val="24"/>
                <w:szCs w:val="24"/>
              </w:rPr>
              <w:t>5.1. valsts pamatbudžets</w:t>
            </w:r>
          </w:p>
        </w:tc>
        <w:tc>
          <w:tcPr>
            <w:tcW w:w="1161" w:type="dxa"/>
            <w:vMerge/>
            <w:vAlign w:val="center"/>
          </w:tcPr>
          <w:p w14:paraId="67ABB031" w14:textId="77777777" w:rsidR="00631690" w:rsidRPr="00FA3C80" w:rsidRDefault="00631690" w:rsidP="009604FB">
            <w:pPr>
              <w:pStyle w:val="naisf"/>
              <w:spacing w:before="0" w:beforeAutospacing="0" w:after="0" w:afterAutospacing="0"/>
              <w:jc w:val="center"/>
            </w:pPr>
          </w:p>
        </w:tc>
        <w:tc>
          <w:tcPr>
            <w:tcW w:w="1266" w:type="dxa"/>
          </w:tcPr>
          <w:p w14:paraId="40934169"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6C412B6A"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1B2B6C49"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6BE5D9D9"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682DDD2B" w14:textId="77777777" w:rsidTr="009604FB">
        <w:trPr>
          <w:trHeight w:val="556"/>
          <w:jc w:val="center"/>
        </w:trPr>
        <w:tc>
          <w:tcPr>
            <w:tcW w:w="1896" w:type="dxa"/>
          </w:tcPr>
          <w:p w14:paraId="0B63C40F" w14:textId="77777777" w:rsidR="00631690" w:rsidRPr="00FA3C80" w:rsidRDefault="00631690" w:rsidP="009604FB">
            <w:pPr>
              <w:rPr>
                <w:sz w:val="24"/>
                <w:szCs w:val="24"/>
              </w:rPr>
            </w:pPr>
            <w:r w:rsidRPr="00FA3C80">
              <w:rPr>
                <w:sz w:val="24"/>
                <w:szCs w:val="24"/>
              </w:rPr>
              <w:t>5.2. speciālais budžets</w:t>
            </w:r>
          </w:p>
        </w:tc>
        <w:tc>
          <w:tcPr>
            <w:tcW w:w="1161" w:type="dxa"/>
            <w:vMerge/>
            <w:vAlign w:val="center"/>
          </w:tcPr>
          <w:p w14:paraId="0D652308" w14:textId="77777777" w:rsidR="00631690" w:rsidRPr="00FA3C80" w:rsidRDefault="00631690" w:rsidP="009604FB">
            <w:pPr>
              <w:pStyle w:val="naisf"/>
              <w:spacing w:before="0" w:beforeAutospacing="0" w:after="0" w:afterAutospacing="0"/>
              <w:jc w:val="center"/>
            </w:pPr>
          </w:p>
        </w:tc>
        <w:tc>
          <w:tcPr>
            <w:tcW w:w="1266" w:type="dxa"/>
          </w:tcPr>
          <w:p w14:paraId="7BFDAA7E"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4D8293A4"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2566DBC3"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760991DE"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78859BAA" w14:textId="77777777" w:rsidTr="009604FB">
        <w:trPr>
          <w:trHeight w:val="541"/>
          <w:jc w:val="center"/>
        </w:trPr>
        <w:tc>
          <w:tcPr>
            <w:tcW w:w="1896" w:type="dxa"/>
          </w:tcPr>
          <w:p w14:paraId="428AADA3" w14:textId="77777777" w:rsidR="00631690" w:rsidRPr="00FA3C80" w:rsidRDefault="00631690" w:rsidP="009604FB">
            <w:pPr>
              <w:rPr>
                <w:sz w:val="24"/>
                <w:szCs w:val="24"/>
              </w:rPr>
            </w:pPr>
            <w:r w:rsidRPr="00FA3C80">
              <w:rPr>
                <w:sz w:val="24"/>
                <w:szCs w:val="24"/>
              </w:rPr>
              <w:t xml:space="preserve">5.3. pašvaldību budžets </w:t>
            </w:r>
          </w:p>
        </w:tc>
        <w:tc>
          <w:tcPr>
            <w:tcW w:w="1161" w:type="dxa"/>
            <w:vMerge/>
            <w:vAlign w:val="center"/>
          </w:tcPr>
          <w:p w14:paraId="5D341916" w14:textId="77777777" w:rsidR="00631690" w:rsidRPr="00FA3C80" w:rsidRDefault="00631690" w:rsidP="009604FB">
            <w:pPr>
              <w:pStyle w:val="naisf"/>
              <w:spacing w:before="0" w:beforeAutospacing="0" w:after="0" w:afterAutospacing="0"/>
              <w:jc w:val="center"/>
            </w:pPr>
          </w:p>
        </w:tc>
        <w:tc>
          <w:tcPr>
            <w:tcW w:w="1266" w:type="dxa"/>
          </w:tcPr>
          <w:p w14:paraId="32B336C9" w14:textId="77777777" w:rsidR="00631690" w:rsidRPr="00FA3C80" w:rsidRDefault="00631690" w:rsidP="009604FB">
            <w:pPr>
              <w:pStyle w:val="naisf"/>
              <w:spacing w:before="0" w:beforeAutospacing="0" w:after="0" w:afterAutospacing="0"/>
              <w:jc w:val="center"/>
            </w:pPr>
            <w:r w:rsidRPr="00FA3C80">
              <w:t>0</w:t>
            </w:r>
          </w:p>
        </w:tc>
        <w:tc>
          <w:tcPr>
            <w:tcW w:w="1978" w:type="dxa"/>
          </w:tcPr>
          <w:p w14:paraId="20499609"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420DA904" w14:textId="77777777" w:rsidR="00631690" w:rsidRPr="00FA3C80" w:rsidRDefault="00631690" w:rsidP="009604FB">
            <w:pPr>
              <w:pStyle w:val="naisf"/>
              <w:spacing w:before="0" w:beforeAutospacing="0" w:after="0" w:afterAutospacing="0"/>
              <w:jc w:val="center"/>
            </w:pPr>
            <w:r w:rsidRPr="00FA3C80">
              <w:t>0</w:t>
            </w:r>
          </w:p>
        </w:tc>
        <w:tc>
          <w:tcPr>
            <w:tcW w:w="1634" w:type="dxa"/>
          </w:tcPr>
          <w:p w14:paraId="2119DED0" w14:textId="77777777" w:rsidR="00631690" w:rsidRPr="00FA3C80" w:rsidRDefault="00631690" w:rsidP="009604FB">
            <w:pPr>
              <w:pStyle w:val="naisf"/>
              <w:spacing w:before="0" w:beforeAutospacing="0" w:after="0" w:afterAutospacing="0"/>
              <w:jc w:val="center"/>
            </w:pPr>
            <w:r w:rsidRPr="00FA3C80">
              <w:t>0</w:t>
            </w:r>
          </w:p>
        </w:tc>
      </w:tr>
      <w:tr w:rsidR="00631690" w:rsidRPr="00631690" w14:paraId="1C702C01" w14:textId="77777777" w:rsidTr="009604FB">
        <w:trPr>
          <w:trHeight w:val="2226"/>
          <w:jc w:val="center"/>
        </w:trPr>
        <w:tc>
          <w:tcPr>
            <w:tcW w:w="1896" w:type="dxa"/>
          </w:tcPr>
          <w:p w14:paraId="38B1BB40" w14:textId="77777777" w:rsidR="00631690" w:rsidRPr="00FA3C80" w:rsidRDefault="00631690" w:rsidP="009604FB">
            <w:pPr>
              <w:rPr>
                <w:sz w:val="24"/>
                <w:szCs w:val="24"/>
              </w:rPr>
            </w:pPr>
            <w:r w:rsidRPr="00FA3C80">
              <w:rPr>
                <w:sz w:val="24"/>
                <w:szCs w:val="24"/>
              </w:rPr>
              <w:t>6. Detalizēts ieņēmumu un izdevumu aprēķins (ja nepie</w:t>
            </w:r>
            <w:r w:rsidRPr="00FA3C80">
              <w:rPr>
                <w:sz w:val="24"/>
                <w:szCs w:val="24"/>
              </w:rPr>
              <w:softHyphen/>
              <w:t>ciešams, detalizētu ieņēmumu un izdevumu aprēķinu var pie</w:t>
            </w:r>
            <w:r w:rsidRPr="00FA3C80">
              <w:rPr>
                <w:sz w:val="24"/>
                <w:szCs w:val="24"/>
              </w:rPr>
              <w:softHyphen/>
              <w:t>vienot anotācijas pielikumā):</w:t>
            </w:r>
          </w:p>
        </w:tc>
        <w:tc>
          <w:tcPr>
            <w:tcW w:w="7673" w:type="dxa"/>
            <w:gridSpan w:val="5"/>
            <w:vAlign w:val="center"/>
          </w:tcPr>
          <w:p w14:paraId="15694EB5" w14:textId="5E7350B9" w:rsidR="0010594B" w:rsidRPr="00FA3C80" w:rsidRDefault="0010594B" w:rsidP="00FA3C80">
            <w:pPr>
              <w:autoSpaceDE w:val="0"/>
              <w:autoSpaceDN w:val="0"/>
              <w:adjustRightInd w:val="0"/>
              <w:jc w:val="both"/>
              <w:rPr>
                <w:rFonts w:eastAsiaTheme="minorHAnsi"/>
                <w:sz w:val="24"/>
                <w:szCs w:val="24"/>
              </w:rPr>
            </w:pPr>
            <w:r w:rsidRPr="00FA3C80">
              <w:rPr>
                <w:rFonts w:eastAsiaTheme="minorHAnsi"/>
                <w:i/>
                <w:iCs/>
                <w:sz w:val="24"/>
                <w:szCs w:val="24"/>
              </w:rPr>
              <w:t xml:space="preserve">PVN neatšifrēto darījumu </w:t>
            </w:r>
            <w:r w:rsidRPr="00FA3C80">
              <w:rPr>
                <w:rFonts w:eastAsiaTheme="minorHAnsi"/>
                <w:sz w:val="24"/>
                <w:szCs w:val="24"/>
              </w:rPr>
              <w:t>fiskālās ietekmes aprēķinam ņemts vērā, ka</w:t>
            </w:r>
            <w:r w:rsidR="00B80C88">
              <w:rPr>
                <w:rFonts w:eastAsiaTheme="minorHAnsi"/>
                <w:sz w:val="24"/>
                <w:szCs w:val="24"/>
              </w:rPr>
              <w:t xml:space="preserve"> </w:t>
            </w:r>
            <w:r w:rsidRPr="00FA3C80">
              <w:rPr>
                <w:rFonts w:eastAsiaTheme="minorHAnsi"/>
                <w:sz w:val="24"/>
                <w:szCs w:val="24"/>
              </w:rPr>
              <w:t>neatšifrēto darījumu īpatsvars ar PVN standartlikmi un samazināto likmi apliekamajos</w:t>
            </w:r>
            <w:r>
              <w:rPr>
                <w:rFonts w:eastAsiaTheme="minorHAnsi"/>
                <w:sz w:val="24"/>
                <w:szCs w:val="24"/>
              </w:rPr>
              <w:t xml:space="preserve"> </w:t>
            </w:r>
            <w:r w:rsidRPr="00FA3C80">
              <w:rPr>
                <w:rFonts w:eastAsiaTheme="minorHAnsi"/>
                <w:sz w:val="24"/>
                <w:szCs w:val="24"/>
              </w:rPr>
              <w:t xml:space="preserve">darījumos 2016.gadā ir 39,8% jeb 12 350,8 milj. </w:t>
            </w:r>
            <w:r w:rsidRPr="0010594B">
              <w:rPr>
                <w:rFonts w:eastAsiaTheme="minorHAnsi"/>
                <w:i/>
                <w:iCs/>
                <w:sz w:val="24"/>
                <w:szCs w:val="24"/>
              </w:rPr>
              <w:t xml:space="preserve">euro </w:t>
            </w:r>
            <w:r w:rsidRPr="00FA3C80">
              <w:rPr>
                <w:rFonts w:eastAsiaTheme="minorHAnsi"/>
                <w:sz w:val="24"/>
                <w:szCs w:val="24"/>
              </w:rPr>
              <w:t>(PVN par neatšifrētiem</w:t>
            </w:r>
            <w:r>
              <w:rPr>
                <w:rFonts w:eastAsiaTheme="minorHAnsi"/>
                <w:sz w:val="24"/>
                <w:szCs w:val="24"/>
              </w:rPr>
              <w:t xml:space="preserve"> </w:t>
            </w:r>
            <w:r w:rsidR="00F55A37">
              <w:rPr>
                <w:rFonts w:eastAsiaTheme="minorHAnsi"/>
                <w:sz w:val="24"/>
                <w:szCs w:val="24"/>
              </w:rPr>
              <w:t>d</w:t>
            </w:r>
            <w:r w:rsidRPr="00FA3C80">
              <w:rPr>
                <w:rFonts w:eastAsiaTheme="minorHAnsi"/>
                <w:sz w:val="24"/>
                <w:szCs w:val="24"/>
              </w:rPr>
              <w:t xml:space="preserve">arījumiem īpatsvars aprēķinātajā PVN ir 32,4% jeb 2 491,6 milj. </w:t>
            </w:r>
            <w:r w:rsidRPr="0010594B">
              <w:rPr>
                <w:rFonts w:eastAsiaTheme="minorHAnsi"/>
                <w:i/>
                <w:iCs/>
                <w:sz w:val="24"/>
                <w:szCs w:val="24"/>
              </w:rPr>
              <w:t>euro</w:t>
            </w:r>
            <w:r w:rsidRPr="00FA3C80">
              <w:rPr>
                <w:rFonts w:eastAsiaTheme="minorHAnsi"/>
                <w:sz w:val="24"/>
                <w:szCs w:val="24"/>
              </w:rPr>
              <w:t>), savukārt PVN</w:t>
            </w:r>
            <w:r>
              <w:rPr>
                <w:rFonts w:eastAsiaTheme="minorHAnsi"/>
                <w:sz w:val="24"/>
                <w:szCs w:val="24"/>
              </w:rPr>
              <w:t xml:space="preserve"> p</w:t>
            </w:r>
            <w:r w:rsidRPr="00FA3C80">
              <w:rPr>
                <w:rFonts w:eastAsiaTheme="minorHAnsi"/>
                <w:sz w:val="24"/>
                <w:szCs w:val="24"/>
              </w:rPr>
              <w:t xml:space="preserve">ar neatšifrētiem darījumiem īpatsvars priekšnodoklī ir 13,3% jeb 1 130,1 milj. </w:t>
            </w:r>
            <w:r w:rsidRPr="0010594B">
              <w:rPr>
                <w:rFonts w:eastAsiaTheme="minorHAnsi"/>
                <w:i/>
                <w:iCs/>
                <w:sz w:val="24"/>
                <w:szCs w:val="24"/>
              </w:rPr>
              <w:t>euro</w:t>
            </w:r>
            <w:r w:rsidRPr="00FA3C80">
              <w:rPr>
                <w:rFonts w:eastAsiaTheme="minorHAnsi"/>
                <w:sz w:val="24"/>
                <w:szCs w:val="24"/>
              </w:rPr>
              <w:t>.</w:t>
            </w:r>
          </w:p>
          <w:p w14:paraId="03FD4209" w14:textId="77777777" w:rsidR="0010594B" w:rsidRPr="00FA3C80" w:rsidRDefault="0010594B" w:rsidP="00FA3C80">
            <w:pPr>
              <w:autoSpaceDE w:val="0"/>
              <w:autoSpaceDN w:val="0"/>
              <w:adjustRightInd w:val="0"/>
              <w:jc w:val="both"/>
              <w:rPr>
                <w:rFonts w:eastAsiaTheme="minorHAnsi"/>
                <w:sz w:val="24"/>
                <w:szCs w:val="24"/>
              </w:rPr>
            </w:pPr>
            <w:r w:rsidRPr="00FA3C80">
              <w:rPr>
                <w:rFonts w:eastAsiaTheme="minorHAnsi"/>
                <w:sz w:val="24"/>
                <w:szCs w:val="24"/>
              </w:rPr>
              <w:t>Analizējot nodokļu maksātājus, kam jau ir ieviesta reversā maksāšanas kārtība,</w:t>
            </w:r>
            <w:r>
              <w:rPr>
                <w:rFonts w:eastAsiaTheme="minorHAnsi"/>
                <w:sz w:val="24"/>
                <w:szCs w:val="24"/>
              </w:rPr>
              <w:t xml:space="preserve"> k</w:t>
            </w:r>
            <w:r w:rsidRPr="00FA3C80">
              <w:rPr>
                <w:rFonts w:eastAsiaTheme="minorHAnsi"/>
                <w:sz w:val="24"/>
                <w:szCs w:val="24"/>
              </w:rPr>
              <w:t>uriem par pienākumu ir noteikts atšifrēt PVN deklarācijas pielikumā katru darījumu,</w:t>
            </w:r>
            <w:r>
              <w:rPr>
                <w:rFonts w:eastAsiaTheme="minorHAnsi"/>
                <w:sz w:val="24"/>
                <w:szCs w:val="24"/>
              </w:rPr>
              <w:t xml:space="preserve"> </w:t>
            </w:r>
            <w:r w:rsidRPr="00FA3C80">
              <w:rPr>
                <w:rFonts w:eastAsiaTheme="minorHAnsi"/>
                <w:sz w:val="24"/>
                <w:szCs w:val="24"/>
              </w:rPr>
              <w:t xml:space="preserve">tiek secināts, ka 98% no darījumiem līdz 1430 </w:t>
            </w:r>
            <w:r w:rsidRPr="0010594B">
              <w:rPr>
                <w:rFonts w:eastAsiaTheme="minorHAnsi"/>
                <w:i/>
                <w:iCs/>
                <w:sz w:val="24"/>
                <w:szCs w:val="24"/>
              </w:rPr>
              <w:t xml:space="preserve">euro </w:t>
            </w:r>
            <w:r w:rsidRPr="00FA3C80">
              <w:rPr>
                <w:rFonts w:eastAsiaTheme="minorHAnsi"/>
                <w:sz w:val="24"/>
                <w:szCs w:val="24"/>
              </w:rPr>
              <w:t xml:space="preserve">ir darījumi no 150 </w:t>
            </w:r>
            <w:r w:rsidRPr="0010594B">
              <w:rPr>
                <w:rFonts w:eastAsiaTheme="minorHAnsi"/>
                <w:i/>
                <w:iCs/>
                <w:sz w:val="24"/>
                <w:szCs w:val="24"/>
              </w:rPr>
              <w:t xml:space="preserve">euro </w:t>
            </w:r>
            <w:r w:rsidRPr="00FA3C80">
              <w:rPr>
                <w:rFonts w:eastAsiaTheme="minorHAnsi"/>
                <w:sz w:val="24"/>
                <w:szCs w:val="24"/>
              </w:rPr>
              <w:t>līdz 1430</w:t>
            </w:r>
            <w:r>
              <w:rPr>
                <w:rFonts w:eastAsiaTheme="minorHAnsi"/>
                <w:sz w:val="24"/>
                <w:szCs w:val="24"/>
              </w:rPr>
              <w:t xml:space="preserve"> </w:t>
            </w:r>
            <w:r w:rsidRPr="0010594B">
              <w:rPr>
                <w:rFonts w:eastAsiaTheme="minorHAnsi"/>
                <w:i/>
                <w:iCs/>
                <w:sz w:val="24"/>
                <w:szCs w:val="24"/>
              </w:rPr>
              <w:t>euro</w:t>
            </w:r>
            <w:r w:rsidRPr="00FA3C80">
              <w:rPr>
                <w:rFonts w:eastAsiaTheme="minorHAnsi"/>
                <w:sz w:val="24"/>
                <w:szCs w:val="24"/>
              </w:rPr>
              <w:t xml:space="preserve">. Fiskālās ietekmes aprēķinā tiek ņemts vērā pieņēmums, ka darījumu līdz 150 </w:t>
            </w:r>
            <w:r w:rsidRPr="0010594B">
              <w:rPr>
                <w:rFonts w:eastAsiaTheme="minorHAnsi"/>
                <w:i/>
                <w:iCs/>
                <w:sz w:val="24"/>
                <w:szCs w:val="24"/>
              </w:rPr>
              <w:t>euro</w:t>
            </w:r>
            <w:r>
              <w:rPr>
                <w:rFonts w:eastAsiaTheme="minorHAnsi"/>
                <w:i/>
                <w:iCs/>
                <w:sz w:val="24"/>
                <w:szCs w:val="24"/>
              </w:rPr>
              <w:t xml:space="preserve"> </w:t>
            </w:r>
            <w:r w:rsidRPr="00FA3C80">
              <w:rPr>
                <w:rFonts w:eastAsiaTheme="minorHAnsi"/>
                <w:sz w:val="24"/>
                <w:szCs w:val="24"/>
              </w:rPr>
              <w:t>īpatsvars var pieaugt no 2% līdz 4%.</w:t>
            </w:r>
          </w:p>
          <w:p w14:paraId="25DB034D" w14:textId="77777777" w:rsidR="0010594B" w:rsidRPr="00FA3C80" w:rsidRDefault="0010594B" w:rsidP="00FA3C80">
            <w:pPr>
              <w:autoSpaceDE w:val="0"/>
              <w:autoSpaceDN w:val="0"/>
              <w:adjustRightInd w:val="0"/>
              <w:jc w:val="both"/>
              <w:rPr>
                <w:rFonts w:eastAsiaTheme="minorHAnsi"/>
                <w:sz w:val="24"/>
                <w:szCs w:val="24"/>
              </w:rPr>
            </w:pPr>
            <w:r w:rsidRPr="00FA3C80">
              <w:rPr>
                <w:rFonts w:eastAsiaTheme="minorHAnsi"/>
                <w:sz w:val="24"/>
                <w:szCs w:val="24"/>
              </w:rPr>
              <w:t xml:space="preserve">Par darījumiem līdz 1430 </w:t>
            </w:r>
            <w:r w:rsidRPr="0010594B">
              <w:rPr>
                <w:rFonts w:eastAsiaTheme="minorHAnsi"/>
                <w:i/>
                <w:iCs/>
                <w:sz w:val="24"/>
                <w:szCs w:val="24"/>
              </w:rPr>
              <w:t xml:space="preserve">euro </w:t>
            </w:r>
            <w:r w:rsidRPr="00FA3C80">
              <w:rPr>
                <w:rFonts w:eastAsiaTheme="minorHAnsi"/>
                <w:sz w:val="24"/>
                <w:szCs w:val="24"/>
              </w:rPr>
              <w:t>atmaksājamā summa, kas iekļauta priekšnodoklī,</w:t>
            </w:r>
            <w:r>
              <w:rPr>
                <w:rFonts w:eastAsiaTheme="minorHAnsi"/>
                <w:sz w:val="24"/>
                <w:szCs w:val="24"/>
              </w:rPr>
              <w:t xml:space="preserve"> </w:t>
            </w:r>
            <w:r w:rsidRPr="00FA3C80">
              <w:rPr>
                <w:rFonts w:eastAsiaTheme="minorHAnsi"/>
                <w:sz w:val="24"/>
                <w:szCs w:val="24"/>
              </w:rPr>
              <w:t xml:space="preserve">2016.gadā ir 1 130,1 milj. </w:t>
            </w:r>
            <w:r w:rsidRPr="0010594B">
              <w:rPr>
                <w:rFonts w:eastAsiaTheme="minorHAnsi"/>
                <w:i/>
                <w:iCs/>
                <w:sz w:val="24"/>
                <w:szCs w:val="24"/>
              </w:rPr>
              <w:t xml:space="preserve">euro </w:t>
            </w:r>
            <w:r w:rsidRPr="00FA3C80">
              <w:rPr>
                <w:rFonts w:eastAsiaTheme="minorHAnsi"/>
                <w:sz w:val="24"/>
                <w:szCs w:val="24"/>
              </w:rPr>
              <w:t xml:space="preserve">un, ņemot vērā pieņēmumu, ka darījumi līdz 150 </w:t>
            </w:r>
            <w:r w:rsidRPr="0010594B">
              <w:rPr>
                <w:rFonts w:eastAsiaTheme="minorHAnsi"/>
                <w:i/>
                <w:iCs/>
                <w:sz w:val="24"/>
                <w:szCs w:val="24"/>
              </w:rPr>
              <w:t>euro</w:t>
            </w:r>
            <w:r>
              <w:rPr>
                <w:rFonts w:eastAsiaTheme="minorHAnsi"/>
                <w:i/>
                <w:iCs/>
                <w:sz w:val="24"/>
                <w:szCs w:val="24"/>
              </w:rPr>
              <w:t xml:space="preserve"> </w:t>
            </w:r>
            <w:r w:rsidRPr="00FA3C80">
              <w:rPr>
                <w:rFonts w:eastAsiaTheme="minorHAnsi"/>
                <w:sz w:val="24"/>
                <w:szCs w:val="24"/>
              </w:rPr>
              <w:t>dubultosies, aprēķinātā bāze fiskālajai ietekmei ir 1 084,9 milj. euro.</w:t>
            </w:r>
          </w:p>
          <w:p w14:paraId="5E1A6502" w14:textId="77777777" w:rsidR="0010594B" w:rsidRPr="00FA3C80" w:rsidRDefault="0010594B" w:rsidP="00FA3C80">
            <w:pPr>
              <w:autoSpaceDE w:val="0"/>
              <w:autoSpaceDN w:val="0"/>
              <w:adjustRightInd w:val="0"/>
              <w:jc w:val="both"/>
              <w:rPr>
                <w:rFonts w:eastAsiaTheme="minorHAnsi"/>
                <w:sz w:val="24"/>
                <w:szCs w:val="24"/>
              </w:rPr>
            </w:pPr>
            <w:r w:rsidRPr="00FA3C80">
              <w:rPr>
                <w:rFonts w:eastAsiaTheme="minorHAnsi"/>
                <w:sz w:val="24"/>
                <w:szCs w:val="24"/>
              </w:rPr>
              <w:t>Lai noteiktu iespējamos krāpniecības apmērus, tiek analizēti nodokļu maksātāji,</w:t>
            </w:r>
            <w:r>
              <w:rPr>
                <w:rFonts w:eastAsiaTheme="minorHAnsi"/>
                <w:sz w:val="24"/>
                <w:szCs w:val="24"/>
              </w:rPr>
              <w:t xml:space="preserve"> </w:t>
            </w:r>
            <w:r w:rsidRPr="00FA3C80">
              <w:rPr>
                <w:rFonts w:eastAsiaTheme="minorHAnsi"/>
                <w:sz w:val="24"/>
                <w:szCs w:val="24"/>
              </w:rPr>
              <w:t>kas ir izslēgti no PVN reģistra pēc VID iniciatīvas vai kam ir apturēta saimnieciskā</w:t>
            </w:r>
            <w:r>
              <w:rPr>
                <w:rFonts w:eastAsiaTheme="minorHAnsi"/>
                <w:sz w:val="24"/>
                <w:szCs w:val="24"/>
              </w:rPr>
              <w:t xml:space="preserve"> </w:t>
            </w:r>
            <w:r w:rsidRPr="00FA3C80">
              <w:rPr>
                <w:rFonts w:eastAsiaTheme="minorHAnsi"/>
                <w:sz w:val="24"/>
                <w:szCs w:val="24"/>
              </w:rPr>
              <w:t>darbība. Priekšnodokļa par darījumiem līdz 1430 īpatsvars 2016.gadā ir 4,4%</w:t>
            </w:r>
            <w:r>
              <w:rPr>
                <w:rFonts w:eastAsiaTheme="minorHAnsi"/>
                <w:sz w:val="24"/>
                <w:szCs w:val="24"/>
              </w:rPr>
              <w:t xml:space="preserve"> </w:t>
            </w:r>
            <w:r w:rsidRPr="00FA3C80">
              <w:rPr>
                <w:rFonts w:eastAsiaTheme="minorHAnsi"/>
                <w:sz w:val="24"/>
                <w:szCs w:val="24"/>
              </w:rPr>
              <w:t>(2015.gadā – 8,6%), bet aprēķinātais PVN par realizāciju par darījumiem līdz 1430</w:t>
            </w:r>
            <w:r>
              <w:rPr>
                <w:rFonts w:eastAsiaTheme="minorHAnsi"/>
                <w:sz w:val="24"/>
                <w:szCs w:val="24"/>
              </w:rPr>
              <w:t xml:space="preserve"> </w:t>
            </w:r>
            <w:r w:rsidRPr="0010594B">
              <w:rPr>
                <w:rFonts w:eastAsiaTheme="minorHAnsi"/>
                <w:i/>
                <w:iCs/>
                <w:sz w:val="24"/>
                <w:szCs w:val="24"/>
              </w:rPr>
              <w:t xml:space="preserve">euro </w:t>
            </w:r>
            <w:r w:rsidRPr="00FA3C80">
              <w:rPr>
                <w:rFonts w:eastAsiaTheme="minorHAnsi"/>
                <w:sz w:val="24"/>
                <w:szCs w:val="24"/>
              </w:rPr>
              <w:t>iepriekš minētajiem nodokļu maksātājiem ir 0,04% no visa aprēķinātā PVN par</w:t>
            </w:r>
            <w:r>
              <w:rPr>
                <w:rFonts w:eastAsiaTheme="minorHAnsi"/>
                <w:sz w:val="24"/>
                <w:szCs w:val="24"/>
              </w:rPr>
              <w:t xml:space="preserve"> </w:t>
            </w:r>
            <w:r w:rsidRPr="00FA3C80">
              <w:rPr>
                <w:rFonts w:eastAsiaTheme="minorHAnsi"/>
                <w:sz w:val="24"/>
                <w:szCs w:val="24"/>
              </w:rPr>
              <w:t xml:space="preserve">darījumiem līdz 1430 </w:t>
            </w:r>
            <w:r w:rsidRPr="0010594B">
              <w:rPr>
                <w:rFonts w:eastAsiaTheme="minorHAnsi"/>
                <w:i/>
                <w:iCs/>
                <w:sz w:val="24"/>
                <w:szCs w:val="24"/>
              </w:rPr>
              <w:t>euro</w:t>
            </w:r>
            <w:r w:rsidRPr="00FA3C80">
              <w:rPr>
                <w:rFonts w:eastAsiaTheme="minorHAnsi"/>
                <w:sz w:val="24"/>
                <w:szCs w:val="24"/>
              </w:rPr>
              <w:t>. Līdz ar to fiskālā ietekme tiek aprēķināta ņemot vērā tikai</w:t>
            </w:r>
            <w:r>
              <w:rPr>
                <w:rFonts w:eastAsiaTheme="minorHAnsi"/>
                <w:sz w:val="24"/>
                <w:szCs w:val="24"/>
              </w:rPr>
              <w:t xml:space="preserve"> </w:t>
            </w:r>
            <w:r w:rsidRPr="00FA3C80">
              <w:rPr>
                <w:rFonts w:eastAsiaTheme="minorHAnsi"/>
                <w:sz w:val="24"/>
                <w:szCs w:val="24"/>
              </w:rPr>
              <w:t>krāpniecību ar PVN atmaksām, pieņemot, ka tā vidēji varētu būt 5%. Jāatzīmē, ka PVN</w:t>
            </w:r>
            <w:r w:rsidR="003F487D">
              <w:rPr>
                <w:rFonts w:eastAsiaTheme="minorHAnsi"/>
                <w:sz w:val="24"/>
                <w:szCs w:val="24"/>
              </w:rPr>
              <w:t xml:space="preserve"> </w:t>
            </w:r>
            <w:r w:rsidRPr="00FA3C80">
              <w:rPr>
                <w:rFonts w:eastAsiaTheme="minorHAnsi"/>
                <w:sz w:val="24"/>
                <w:szCs w:val="24"/>
              </w:rPr>
              <w:t>no valsts budžeta izkrāpj nodokļu maksātāji, kuri neatšifrētos darījumus deklarē lielos</w:t>
            </w:r>
            <w:r>
              <w:rPr>
                <w:rFonts w:eastAsiaTheme="minorHAnsi"/>
                <w:sz w:val="24"/>
                <w:szCs w:val="24"/>
              </w:rPr>
              <w:t xml:space="preserve"> </w:t>
            </w:r>
            <w:r w:rsidRPr="00FA3C80">
              <w:rPr>
                <w:rFonts w:eastAsiaTheme="minorHAnsi"/>
                <w:sz w:val="24"/>
                <w:szCs w:val="24"/>
              </w:rPr>
              <w:t xml:space="preserve">apmēros, piemēram nodokļu maksātāji, kam darījumi zem 1430 </w:t>
            </w:r>
            <w:r w:rsidRPr="0010594B">
              <w:rPr>
                <w:rFonts w:eastAsiaTheme="minorHAnsi"/>
                <w:i/>
                <w:iCs/>
                <w:sz w:val="24"/>
                <w:szCs w:val="24"/>
              </w:rPr>
              <w:t xml:space="preserve">euro </w:t>
            </w:r>
            <w:r w:rsidRPr="00FA3C80">
              <w:rPr>
                <w:rFonts w:eastAsiaTheme="minorHAnsi"/>
                <w:sz w:val="24"/>
                <w:szCs w:val="24"/>
              </w:rPr>
              <w:t xml:space="preserve">ir virs 1 milj. </w:t>
            </w:r>
            <w:r w:rsidRPr="0010594B">
              <w:rPr>
                <w:rFonts w:eastAsiaTheme="minorHAnsi"/>
                <w:i/>
                <w:iCs/>
                <w:sz w:val="24"/>
                <w:szCs w:val="24"/>
              </w:rPr>
              <w:t>euro</w:t>
            </w:r>
            <w:r w:rsidRPr="00FA3C80">
              <w:rPr>
                <w:rFonts w:eastAsiaTheme="minorHAnsi"/>
                <w:sz w:val="24"/>
                <w:szCs w:val="24"/>
              </w:rPr>
              <w:t>,</w:t>
            </w:r>
            <w:r>
              <w:rPr>
                <w:rFonts w:eastAsiaTheme="minorHAnsi"/>
                <w:sz w:val="24"/>
                <w:szCs w:val="24"/>
              </w:rPr>
              <w:t xml:space="preserve"> </w:t>
            </w:r>
            <w:r w:rsidRPr="00FA3C80">
              <w:rPr>
                <w:rFonts w:eastAsiaTheme="minorHAnsi"/>
                <w:sz w:val="24"/>
                <w:szCs w:val="24"/>
              </w:rPr>
              <w:t>kā arī ir novēroti nodokļu maksātāji, kuriem aprēķinātais PVN par darījumiem zem</w:t>
            </w:r>
            <w:r>
              <w:rPr>
                <w:rFonts w:eastAsiaTheme="minorHAnsi"/>
                <w:sz w:val="24"/>
                <w:szCs w:val="24"/>
              </w:rPr>
              <w:t xml:space="preserve"> </w:t>
            </w:r>
            <w:r w:rsidRPr="00FA3C80">
              <w:rPr>
                <w:rFonts w:eastAsiaTheme="minorHAnsi"/>
                <w:sz w:val="24"/>
                <w:szCs w:val="24"/>
              </w:rPr>
              <w:t xml:space="preserve">1430 </w:t>
            </w:r>
            <w:r w:rsidRPr="0010594B">
              <w:rPr>
                <w:rFonts w:eastAsiaTheme="minorHAnsi"/>
                <w:i/>
                <w:iCs/>
                <w:sz w:val="24"/>
                <w:szCs w:val="24"/>
              </w:rPr>
              <w:t xml:space="preserve">euro </w:t>
            </w:r>
            <w:r w:rsidRPr="00FA3C80">
              <w:rPr>
                <w:rFonts w:eastAsiaTheme="minorHAnsi"/>
                <w:sz w:val="24"/>
                <w:szCs w:val="24"/>
              </w:rPr>
              <w:t>ir vienāds ar priekšnodokli.</w:t>
            </w:r>
          </w:p>
          <w:p w14:paraId="35A1D4DE" w14:textId="77777777" w:rsidR="00631690" w:rsidRPr="00FA3C80" w:rsidRDefault="0010594B" w:rsidP="003F487D">
            <w:pPr>
              <w:autoSpaceDE w:val="0"/>
              <w:autoSpaceDN w:val="0"/>
              <w:adjustRightInd w:val="0"/>
              <w:jc w:val="both"/>
            </w:pPr>
            <w:r w:rsidRPr="00FA3C80">
              <w:rPr>
                <w:rFonts w:eastAsiaTheme="minorHAnsi"/>
                <w:sz w:val="24"/>
                <w:szCs w:val="24"/>
              </w:rPr>
              <w:t>Fiskālā ietekme gadam, pieņemot, ka krāpnieciskie darījumi ar PVN atmaksām</w:t>
            </w:r>
            <w:r>
              <w:rPr>
                <w:rFonts w:eastAsiaTheme="minorHAnsi"/>
                <w:sz w:val="24"/>
                <w:szCs w:val="24"/>
              </w:rPr>
              <w:t xml:space="preserve"> </w:t>
            </w:r>
            <w:r w:rsidRPr="00FA3C80">
              <w:rPr>
                <w:rFonts w:eastAsiaTheme="minorHAnsi"/>
                <w:sz w:val="24"/>
                <w:szCs w:val="24"/>
              </w:rPr>
              <w:t xml:space="preserve">pēc neatšifrēto darījumu </w:t>
            </w:r>
            <w:r w:rsidR="00315E59">
              <w:rPr>
                <w:sz w:val="24"/>
                <w:szCs w:val="24"/>
              </w:rPr>
              <w:t>ar reģistrētiem PVN maksātājiem</w:t>
            </w:r>
            <w:r w:rsidR="00315E59" w:rsidRPr="00FA3C80">
              <w:rPr>
                <w:rFonts w:eastAsiaTheme="minorHAnsi"/>
                <w:sz w:val="24"/>
                <w:szCs w:val="24"/>
              </w:rPr>
              <w:t xml:space="preserve"> </w:t>
            </w:r>
            <w:r w:rsidRPr="00FA3C80">
              <w:rPr>
                <w:rFonts w:eastAsiaTheme="minorHAnsi"/>
                <w:sz w:val="24"/>
                <w:szCs w:val="24"/>
              </w:rPr>
              <w:t xml:space="preserve">sliekšņa samazināšanas līdz 150 </w:t>
            </w:r>
            <w:r w:rsidRPr="0010594B">
              <w:rPr>
                <w:rFonts w:eastAsiaTheme="minorHAnsi"/>
                <w:i/>
                <w:iCs/>
                <w:sz w:val="24"/>
                <w:szCs w:val="24"/>
              </w:rPr>
              <w:t xml:space="preserve">euro </w:t>
            </w:r>
            <w:r w:rsidRPr="00FA3C80">
              <w:rPr>
                <w:rFonts w:eastAsiaTheme="minorHAnsi"/>
                <w:sz w:val="24"/>
                <w:szCs w:val="24"/>
              </w:rPr>
              <w:t>samazināsies līdz 70%</w:t>
            </w:r>
            <w:r w:rsidR="003F487D">
              <w:rPr>
                <w:rFonts w:eastAsiaTheme="minorHAnsi"/>
                <w:sz w:val="24"/>
                <w:szCs w:val="24"/>
              </w:rPr>
              <w:t>,</w:t>
            </w:r>
            <w:r>
              <w:rPr>
                <w:rFonts w:eastAsiaTheme="minorHAnsi"/>
                <w:sz w:val="24"/>
                <w:szCs w:val="24"/>
              </w:rPr>
              <w:t xml:space="preserve"> </w:t>
            </w:r>
            <w:r w:rsidRPr="00FA3C80">
              <w:rPr>
                <w:rFonts w:eastAsiaTheme="minorHAnsi"/>
                <w:sz w:val="24"/>
                <w:szCs w:val="24"/>
              </w:rPr>
              <w:t xml:space="preserve">ir 38 milj. </w:t>
            </w:r>
            <w:r w:rsidRPr="0010594B">
              <w:rPr>
                <w:rFonts w:eastAsiaTheme="minorHAnsi"/>
                <w:i/>
                <w:iCs/>
                <w:sz w:val="24"/>
                <w:szCs w:val="24"/>
              </w:rPr>
              <w:t xml:space="preserve">euro </w:t>
            </w:r>
            <w:r w:rsidRPr="00FA3C80">
              <w:rPr>
                <w:rFonts w:eastAsiaTheme="minorHAnsi"/>
                <w:sz w:val="24"/>
                <w:szCs w:val="24"/>
              </w:rPr>
              <w:t xml:space="preserve">(1084,9 x 5% x 70% = 38,0 milj. </w:t>
            </w:r>
            <w:r w:rsidRPr="0010594B">
              <w:rPr>
                <w:rFonts w:eastAsiaTheme="minorHAnsi"/>
                <w:i/>
                <w:iCs/>
                <w:sz w:val="24"/>
                <w:szCs w:val="24"/>
              </w:rPr>
              <w:t>euro</w:t>
            </w:r>
            <w:r w:rsidRPr="00FA3C80">
              <w:rPr>
                <w:rFonts w:eastAsiaTheme="minorHAnsi"/>
                <w:sz w:val="24"/>
                <w:szCs w:val="24"/>
              </w:rPr>
              <w:t>)</w:t>
            </w:r>
            <w:r w:rsidRPr="0010594B">
              <w:rPr>
                <w:rFonts w:eastAsiaTheme="minorHAnsi"/>
                <w:i/>
                <w:iCs/>
                <w:sz w:val="24"/>
                <w:szCs w:val="24"/>
              </w:rPr>
              <w:t xml:space="preserve">. </w:t>
            </w:r>
            <w:r w:rsidRPr="00FA3C80">
              <w:rPr>
                <w:rFonts w:eastAsiaTheme="minorHAnsi"/>
                <w:sz w:val="24"/>
                <w:szCs w:val="24"/>
              </w:rPr>
              <w:t>Ņemot vērā PVN maksāšanas</w:t>
            </w:r>
            <w:r>
              <w:rPr>
                <w:rFonts w:eastAsiaTheme="minorHAnsi"/>
                <w:sz w:val="24"/>
                <w:szCs w:val="24"/>
              </w:rPr>
              <w:t xml:space="preserve"> </w:t>
            </w:r>
            <w:r w:rsidRPr="00FA3C80">
              <w:rPr>
                <w:rFonts w:eastAsiaTheme="minorHAnsi"/>
                <w:sz w:val="24"/>
                <w:szCs w:val="24"/>
              </w:rPr>
              <w:t xml:space="preserve">kārtību fiskālā ietekme ir aprēķināta </w:t>
            </w:r>
            <w:r w:rsidRPr="00FA3C80">
              <w:rPr>
                <w:rFonts w:eastAsiaTheme="minorHAnsi"/>
                <w:b/>
                <w:bCs/>
                <w:sz w:val="24"/>
                <w:szCs w:val="24"/>
              </w:rPr>
              <w:t xml:space="preserve">34,8 milj. </w:t>
            </w:r>
            <w:r w:rsidRPr="0010594B">
              <w:rPr>
                <w:rFonts w:eastAsiaTheme="minorHAnsi"/>
                <w:b/>
                <w:bCs/>
                <w:i/>
                <w:iCs/>
                <w:sz w:val="24"/>
                <w:szCs w:val="24"/>
              </w:rPr>
              <w:t xml:space="preserve">euro </w:t>
            </w:r>
            <w:r w:rsidRPr="00FA3C80">
              <w:rPr>
                <w:rFonts w:eastAsiaTheme="minorHAnsi"/>
                <w:sz w:val="24"/>
                <w:szCs w:val="24"/>
              </w:rPr>
              <w:t>apmērā.</w:t>
            </w:r>
          </w:p>
        </w:tc>
      </w:tr>
      <w:tr w:rsidR="00631690" w:rsidRPr="00631690" w14:paraId="6B3259CA" w14:textId="77777777" w:rsidTr="009604FB">
        <w:trPr>
          <w:trHeight w:val="556"/>
          <w:jc w:val="center"/>
        </w:trPr>
        <w:tc>
          <w:tcPr>
            <w:tcW w:w="1896" w:type="dxa"/>
          </w:tcPr>
          <w:p w14:paraId="1654F6A9" w14:textId="77777777" w:rsidR="00631690" w:rsidRPr="00FA3C80" w:rsidRDefault="00631690" w:rsidP="009604FB">
            <w:pPr>
              <w:rPr>
                <w:sz w:val="24"/>
                <w:szCs w:val="24"/>
              </w:rPr>
            </w:pPr>
            <w:r w:rsidRPr="00FA3C80">
              <w:rPr>
                <w:sz w:val="24"/>
                <w:szCs w:val="24"/>
              </w:rPr>
              <w:t>6.1. detalizēts ieņēmumu aprēķins</w:t>
            </w:r>
          </w:p>
        </w:tc>
        <w:tc>
          <w:tcPr>
            <w:tcW w:w="7673" w:type="dxa"/>
            <w:gridSpan w:val="5"/>
          </w:tcPr>
          <w:p w14:paraId="54877222" w14:textId="77777777" w:rsidR="00631690" w:rsidRPr="00FA3C80" w:rsidRDefault="00631690" w:rsidP="009604FB">
            <w:pPr>
              <w:pStyle w:val="naisf"/>
              <w:spacing w:before="0" w:beforeAutospacing="0" w:after="0" w:afterAutospacing="0"/>
              <w:jc w:val="both"/>
            </w:pPr>
          </w:p>
        </w:tc>
      </w:tr>
      <w:tr w:rsidR="00631690" w:rsidRPr="00631690" w14:paraId="250E09D0" w14:textId="77777777" w:rsidTr="009604FB">
        <w:trPr>
          <w:trHeight w:val="541"/>
          <w:jc w:val="center"/>
        </w:trPr>
        <w:tc>
          <w:tcPr>
            <w:tcW w:w="1896" w:type="dxa"/>
          </w:tcPr>
          <w:p w14:paraId="05AB999D" w14:textId="77777777" w:rsidR="00631690" w:rsidRPr="00FA3C80" w:rsidRDefault="00631690" w:rsidP="009604FB">
            <w:pPr>
              <w:rPr>
                <w:sz w:val="24"/>
                <w:szCs w:val="24"/>
              </w:rPr>
            </w:pPr>
            <w:r w:rsidRPr="00FA3C80">
              <w:rPr>
                <w:sz w:val="24"/>
                <w:szCs w:val="24"/>
              </w:rPr>
              <w:t xml:space="preserve">6.2. detalizēts </w:t>
            </w:r>
            <w:r w:rsidRPr="00FA3C80">
              <w:rPr>
                <w:sz w:val="24"/>
                <w:szCs w:val="24"/>
              </w:rPr>
              <w:lastRenderedPageBreak/>
              <w:t>izdevumu aprēķins</w:t>
            </w:r>
          </w:p>
        </w:tc>
        <w:tc>
          <w:tcPr>
            <w:tcW w:w="7673" w:type="dxa"/>
            <w:gridSpan w:val="5"/>
          </w:tcPr>
          <w:p w14:paraId="2330DFFF" w14:textId="77777777" w:rsidR="00631690" w:rsidRPr="00FA3C80" w:rsidRDefault="00631690" w:rsidP="009604FB">
            <w:pPr>
              <w:pStyle w:val="naisf"/>
              <w:spacing w:before="0" w:beforeAutospacing="0" w:after="0" w:afterAutospacing="0"/>
              <w:jc w:val="both"/>
            </w:pPr>
          </w:p>
        </w:tc>
      </w:tr>
      <w:tr w:rsidR="00631690" w:rsidRPr="00631690" w14:paraId="2AC482D4" w14:textId="77777777" w:rsidTr="009604FB">
        <w:trPr>
          <w:trHeight w:val="557"/>
          <w:jc w:val="center"/>
        </w:trPr>
        <w:tc>
          <w:tcPr>
            <w:tcW w:w="1896" w:type="dxa"/>
          </w:tcPr>
          <w:p w14:paraId="269B31AD" w14:textId="77777777" w:rsidR="00631690" w:rsidRPr="00FA3C80" w:rsidRDefault="00631690" w:rsidP="009604FB">
            <w:pPr>
              <w:rPr>
                <w:sz w:val="24"/>
                <w:szCs w:val="24"/>
              </w:rPr>
            </w:pPr>
            <w:r w:rsidRPr="00FA3C80">
              <w:rPr>
                <w:sz w:val="24"/>
                <w:szCs w:val="24"/>
              </w:rPr>
              <w:lastRenderedPageBreak/>
              <w:t>7. Cita informācija</w:t>
            </w:r>
          </w:p>
        </w:tc>
        <w:tc>
          <w:tcPr>
            <w:tcW w:w="7673" w:type="dxa"/>
            <w:gridSpan w:val="5"/>
          </w:tcPr>
          <w:p w14:paraId="2ACD8DC5" w14:textId="085295AF" w:rsidR="00631690" w:rsidRPr="00603A51" w:rsidRDefault="00A946B7" w:rsidP="00710323">
            <w:pPr>
              <w:pStyle w:val="ListParagraph"/>
              <w:tabs>
                <w:tab w:val="left" w:pos="486"/>
              </w:tabs>
              <w:spacing w:after="0" w:line="240" w:lineRule="auto"/>
              <w:ind w:left="0"/>
              <w:jc w:val="both"/>
              <w:rPr>
                <w:sz w:val="24"/>
                <w:szCs w:val="24"/>
              </w:rPr>
            </w:pPr>
            <w:r>
              <w:rPr>
                <w:sz w:val="24"/>
                <w:szCs w:val="24"/>
              </w:rPr>
              <w:t>F</w:t>
            </w:r>
            <w:r w:rsidR="00631690" w:rsidRPr="001A2038">
              <w:rPr>
                <w:sz w:val="24"/>
                <w:szCs w:val="24"/>
              </w:rPr>
              <w:t xml:space="preserve">inansējums </w:t>
            </w:r>
            <w:r>
              <w:rPr>
                <w:sz w:val="24"/>
                <w:szCs w:val="24"/>
              </w:rPr>
              <w:t xml:space="preserve">normatīvā akta īstenošanai tiks nodrošināts </w:t>
            </w:r>
            <w:r w:rsidR="00603A51" w:rsidRPr="001A2038">
              <w:rPr>
                <w:rFonts w:eastAsia="Times New Roman"/>
                <w:sz w:val="24"/>
                <w:szCs w:val="24"/>
                <w:lang w:eastAsia="lv-LV"/>
              </w:rPr>
              <w:t xml:space="preserve">VID </w:t>
            </w:r>
            <w:r>
              <w:rPr>
                <w:rFonts w:eastAsia="Times New Roman"/>
                <w:sz w:val="24"/>
                <w:szCs w:val="24"/>
                <w:lang w:eastAsia="lv-LV"/>
              </w:rPr>
              <w:t xml:space="preserve">budžeta ietvaros, kas iekļauts VID </w:t>
            </w:r>
            <w:r w:rsidR="00603A51" w:rsidRPr="001A2038">
              <w:rPr>
                <w:rFonts w:eastAsia="Times New Roman"/>
                <w:sz w:val="24"/>
                <w:szCs w:val="24"/>
                <w:lang w:eastAsia="lv-LV"/>
              </w:rPr>
              <w:t>priekšlikum</w:t>
            </w:r>
            <w:r>
              <w:rPr>
                <w:rFonts w:eastAsia="Times New Roman"/>
                <w:sz w:val="24"/>
                <w:szCs w:val="24"/>
                <w:lang w:eastAsia="lv-LV"/>
              </w:rPr>
              <w:t>ā par</w:t>
            </w:r>
            <w:r w:rsidR="00603A51" w:rsidRPr="001A2038">
              <w:rPr>
                <w:rFonts w:eastAsia="Times New Roman"/>
                <w:sz w:val="24"/>
                <w:szCs w:val="24"/>
                <w:lang w:eastAsia="lv-LV"/>
              </w:rPr>
              <w:t xml:space="preserve"> prioritār</w:t>
            </w:r>
            <w:r>
              <w:rPr>
                <w:rFonts w:eastAsia="Times New Roman"/>
                <w:sz w:val="24"/>
                <w:szCs w:val="24"/>
                <w:lang w:eastAsia="lv-LV"/>
              </w:rPr>
              <w:t>o</w:t>
            </w:r>
            <w:r w:rsidR="00603A51" w:rsidRPr="001A2038">
              <w:rPr>
                <w:rFonts w:eastAsia="Times New Roman"/>
                <w:sz w:val="24"/>
                <w:szCs w:val="24"/>
                <w:lang w:eastAsia="lv-LV"/>
              </w:rPr>
              <w:t xml:space="preserve"> pasākum</w:t>
            </w:r>
            <w:r>
              <w:rPr>
                <w:rFonts w:eastAsia="Times New Roman"/>
                <w:sz w:val="24"/>
                <w:szCs w:val="24"/>
                <w:lang w:eastAsia="lv-LV"/>
              </w:rPr>
              <w:t>u</w:t>
            </w:r>
            <w:r w:rsidR="00603A51" w:rsidRPr="001A2038">
              <w:rPr>
                <w:rFonts w:eastAsia="Times New Roman"/>
                <w:sz w:val="24"/>
                <w:szCs w:val="24"/>
                <w:lang w:eastAsia="lv-LV"/>
              </w:rPr>
              <w:t xml:space="preserve"> “Valsts nodokļu politikas pamatnostādņu 2018.-2021.gadam ieviešana Valsts ieņēmumu dienestā” īstenošanai 2018., 2019. un 2020.gadā.</w:t>
            </w:r>
          </w:p>
        </w:tc>
      </w:tr>
    </w:tbl>
    <w:p w14:paraId="4FDBC4B3" w14:textId="77777777" w:rsidR="00631690" w:rsidRDefault="00631690" w:rsidP="00026C45">
      <w:pPr>
        <w:rPr>
          <w:sz w:val="24"/>
          <w:szCs w:val="24"/>
        </w:rPr>
      </w:pPr>
    </w:p>
    <w:p w14:paraId="3D15DE05" w14:textId="77777777" w:rsidR="00631690" w:rsidRPr="00FA3C80" w:rsidRDefault="00631690" w:rsidP="00026C45">
      <w:pPr>
        <w:rPr>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026C45" w:rsidRPr="00CE57BA" w14:paraId="30344956" w14:textId="77777777" w:rsidTr="009604FB">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F33B3D" w14:textId="77777777" w:rsidR="00026C45" w:rsidRPr="00CE57BA" w:rsidRDefault="00026C45" w:rsidP="009604FB">
            <w:pPr>
              <w:spacing w:before="100" w:beforeAutospacing="1" w:after="100" w:afterAutospacing="1" w:line="293" w:lineRule="atLeast"/>
              <w:jc w:val="center"/>
              <w:rPr>
                <w:rFonts w:eastAsia="Times New Roman"/>
                <w:b/>
                <w:bCs/>
                <w:sz w:val="24"/>
                <w:szCs w:val="24"/>
                <w:lang w:eastAsia="lv-LV"/>
              </w:rPr>
            </w:pPr>
            <w:r w:rsidRPr="00CE57BA">
              <w:rPr>
                <w:rFonts w:eastAsia="Times New Roman"/>
                <w:b/>
                <w:bCs/>
                <w:sz w:val="24"/>
                <w:szCs w:val="24"/>
                <w:lang w:eastAsia="lv-LV"/>
              </w:rPr>
              <w:t>VI. Sabiedrības līdzdalība un komunikācijas aktivitātes</w:t>
            </w:r>
          </w:p>
        </w:tc>
      </w:tr>
      <w:tr w:rsidR="00026C45" w:rsidRPr="00CE57BA" w14:paraId="5FEBD80E" w14:textId="77777777" w:rsidTr="009604F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0EE283B"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B8A3DEB"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1763C15" w14:textId="77777777" w:rsidR="00026C45" w:rsidRPr="00CE57BA" w:rsidRDefault="00026C45" w:rsidP="0041638A">
            <w:pPr>
              <w:jc w:val="both"/>
              <w:rPr>
                <w:rFonts w:eastAsia="Times New Roman"/>
                <w:sz w:val="24"/>
                <w:szCs w:val="24"/>
                <w:lang w:eastAsia="lv-LV"/>
              </w:rPr>
            </w:pPr>
            <w:r w:rsidRPr="00CE57BA">
              <w:rPr>
                <w:rFonts w:eastAsia="Times New Roman"/>
                <w:sz w:val="24"/>
                <w:szCs w:val="24"/>
                <w:lang w:eastAsia="lv-LV"/>
              </w:rPr>
              <w:t xml:space="preserve">Sabiedrības līdzdalība </w:t>
            </w:r>
            <w:r>
              <w:rPr>
                <w:rFonts w:eastAsia="Times New Roman"/>
                <w:sz w:val="24"/>
                <w:szCs w:val="24"/>
                <w:lang w:eastAsia="lv-LV"/>
              </w:rPr>
              <w:t xml:space="preserve">noteikumu </w:t>
            </w:r>
            <w:r w:rsidRPr="00CE57BA">
              <w:rPr>
                <w:rFonts w:eastAsia="Times New Roman"/>
                <w:sz w:val="24"/>
                <w:szCs w:val="24"/>
                <w:lang w:eastAsia="lv-LV"/>
              </w:rPr>
              <w:t xml:space="preserve">projekta izstrādē ir nodrošināta, iesaistot </w:t>
            </w:r>
            <w:r w:rsidR="0041638A">
              <w:rPr>
                <w:rFonts w:eastAsia="Times New Roman"/>
                <w:sz w:val="24"/>
                <w:szCs w:val="24"/>
                <w:lang w:eastAsia="lv-LV"/>
              </w:rPr>
              <w:t xml:space="preserve">likuma “Grozījumi </w:t>
            </w:r>
            <w:r w:rsidRPr="00CE57BA">
              <w:rPr>
                <w:rFonts w:eastAsia="Times New Roman"/>
                <w:sz w:val="24"/>
                <w:szCs w:val="24"/>
                <w:lang w:eastAsia="lv-LV"/>
              </w:rPr>
              <w:t>Pievienotās vērtības nodokļa likum</w:t>
            </w:r>
            <w:r w:rsidR="0041638A">
              <w:rPr>
                <w:rFonts w:eastAsia="Times New Roman"/>
                <w:sz w:val="24"/>
                <w:szCs w:val="24"/>
                <w:lang w:eastAsia="lv-LV"/>
              </w:rPr>
              <w:t>ā”</w:t>
            </w:r>
            <w:r w:rsidRPr="00CE57BA">
              <w:rPr>
                <w:rFonts w:eastAsia="Times New Roman"/>
                <w:sz w:val="24"/>
                <w:szCs w:val="24"/>
                <w:lang w:eastAsia="lv-LV"/>
              </w:rPr>
              <w:t xml:space="preserve"> </w:t>
            </w:r>
            <w:r w:rsidR="0041638A">
              <w:rPr>
                <w:rFonts w:eastAsia="Times New Roman"/>
                <w:sz w:val="24"/>
                <w:szCs w:val="24"/>
                <w:lang w:eastAsia="lv-LV"/>
              </w:rPr>
              <w:t>izvērtēšanā</w:t>
            </w:r>
            <w:r w:rsidRPr="00CE57BA">
              <w:rPr>
                <w:rFonts w:eastAsia="Times New Roman"/>
                <w:sz w:val="24"/>
                <w:szCs w:val="24"/>
                <w:lang w:eastAsia="lv-LV"/>
              </w:rPr>
              <w:t xml:space="preserve">: Latvijas Nodokļu konsultantu asociāciju, </w:t>
            </w:r>
            <w:r w:rsidRPr="00CE57BA">
              <w:rPr>
                <w:sz w:val="24"/>
                <w:szCs w:val="24"/>
              </w:rPr>
              <w:t>Latvijas</w:t>
            </w:r>
            <w:r w:rsidRPr="00CE57BA">
              <w:rPr>
                <w:rFonts w:eastAsia="Times New Roman"/>
                <w:sz w:val="24"/>
                <w:szCs w:val="24"/>
                <w:lang w:eastAsia="lv-LV"/>
              </w:rPr>
              <w:t xml:space="preserve"> nodokļu maksātāju tiesību asociāciju, Latvijas Komercbanku asociāciju, Latvijas Darba dēvēju konfederāciju, Latvijas Tirdzniecības un rūpniecības kameru.</w:t>
            </w:r>
          </w:p>
        </w:tc>
      </w:tr>
      <w:tr w:rsidR="00026C45" w:rsidRPr="00CE57BA" w14:paraId="0920643B" w14:textId="77777777" w:rsidTr="009604F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5CC769C"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FEF4398"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901010C" w14:textId="5B42D86D" w:rsidR="00026C45" w:rsidRDefault="00026C45" w:rsidP="00451ADC">
            <w:pPr>
              <w:jc w:val="both"/>
              <w:rPr>
                <w:rFonts w:eastAsia="Times New Roman"/>
                <w:sz w:val="24"/>
                <w:szCs w:val="24"/>
                <w:lang w:eastAsia="lv-LV"/>
              </w:rPr>
            </w:pPr>
            <w:r w:rsidRPr="00182804">
              <w:rPr>
                <w:rFonts w:eastAsia="Times New Roman"/>
                <w:sz w:val="24"/>
                <w:szCs w:val="24"/>
                <w:lang w:eastAsia="lv-LV"/>
              </w:rPr>
              <w:t xml:space="preserve">Ņemot vērā to, ka grozījumi </w:t>
            </w:r>
            <w:r w:rsidR="00451ADC" w:rsidRPr="00182804">
              <w:rPr>
                <w:sz w:val="24"/>
                <w:szCs w:val="24"/>
              </w:rPr>
              <w:t xml:space="preserve">Ministru kabineta 2013.gada 15.janvāra noteikumos Nr.40 </w:t>
            </w:r>
            <w:r w:rsidR="007F3536">
              <w:rPr>
                <w:sz w:val="24"/>
                <w:szCs w:val="24"/>
              </w:rPr>
              <w:t>attiecīb</w:t>
            </w:r>
            <w:r w:rsidR="003B5B86">
              <w:rPr>
                <w:sz w:val="24"/>
                <w:szCs w:val="24"/>
              </w:rPr>
              <w:t>ā uz termi</w:t>
            </w:r>
            <w:r w:rsidR="007F3536">
              <w:rPr>
                <w:sz w:val="24"/>
                <w:szCs w:val="24"/>
              </w:rPr>
              <w:t>noloģijas maiņu</w:t>
            </w:r>
            <w:r w:rsidR="003B5B86">
              <w:rPr>
                <w:sz w:val="24"/>
                <w:szCs w:val="24"/>
              </w:rPr>
              <w:t xml:space="preserve"> </w:t>
            </w:r>
            <w:r w:rsidR="003B5B86" w:rsidRPr="00182804">
              <w:rPr>
                <w:sz w:val="24"/>
                <w:szCs w:val="24"/>
              </w:rPr>
              <w:t>atbilstoši būvniecības jomu reglamentējošajos tiesību aktos lietotajai terminoloģijai</w:t>
            </w:r>
            <w:r w:rsidR="003B5B86">
              <w:rPr>
                <w:sz w:val="24"/>
                <w:szCs w:val="24"/>
              </w:rPr>
              <w:t xml:space="preserve">, </w:t>
            </w:r>
            <w:r w:rsidR="008F7DBC">
              <w:rPr>
                <w:sz w:val="24"/>
                <w:szCs w:val="24"/>
              </w:rPr>
              <w:t>u</w:t>
            </w:r>
            <w:r w:rsidR="006124A9">
              <w:rPr>
                <w:sz w:val="24"/>
                <w:szCs w:val="24"/>
              </w:rPr>
              <w:t>n</w:t>
            </w:r>
            <w:r w:rsidR="003B5B86">
              <w:rPr>
                <w:sz w:val="24"/>
                <w:szCs w:val="24"/>
              </w:rPr>
              <w:t xml:space="preserve"> Likuma 97.panta pirmā</w:t>
            </w:r>
            <w:r w:rsidR="008F7DBC">
              <w:rPr>
                <w:sz w:val="24"/>
                <w:szCs w:val="24"/>
              </w:rPr>
              <w:t>s</w:t>
            </w:r>
            <w:r w:rsidR="003B5B86">
              <w:rPr>
                <w:sz w:val="24"/>
                <w:szCs w:val="24"/>
              </w:rPr>
              <w:t xml:space="preserve"> daļa</w:t>
            </w:r>
            <w:r w:rsidR="008F7DBC">
              <w:rPr>
                <w:sz w:val="24"/>
                <w:szCs w:val="24"/>
              </w:rPr>
              <w:t>s</w:t>
            </w:r>
            <w:r w:rsidR="003B5B86">
              <w:rPr>
                <w:sz w:val="24"/>
                <w:szCs w:val="24"/>
              </w:rPr>
              <w:t xml:space="preserve"> papildinā</w:t>
            </w:r>
            <w:r w:rsidR="008F7DBC">
              <w:rPr>
                <w:sz w:val="24"/>
                <w:szCs w:val="24"/>
              </w:rPr>
              <w:t>šanu</w:t>
            </w:r>
            <w:r w:rsidR="003B5B86">
              <w:rPr>
                <w:sz w:val="24"/>
                <w:szCs w:val="24"/>
              </w:rPr>
              <w:t xml:space="preserve"> ar jaunu nosacījumu par priekšnodokļa atskaitīšanas brīža noteikšan</w:t>
            </w:r>
            <w:r w:rsidR="008F7DBC">
              <w:rPr>
                <w:sz w:val="24"/>
                <w:szCs w:val="24"/>
              </w:rPr>
              <w:t>u,</w:t>
            </w:r>
            <w:r w:rsidRPr="00182804">
              <w:rPr>
                <w:rFonts w:eastAsia="Times New Roman"/>
                <w:sz w:val="24"/>
                <w:szCs w:val="24"/>
                <w:lang w:eastAsia="lv-LV"/>
              </w:rPr>
              <w:t xml:space="preserve"> ir tehniska rakstura</w:t>
            </w:r>
            <w:r w:rsidR="001C0B12">
              <w:rPr>
                <w:rFonts w:eastAsia="Times New Roman"/>
                <w:sz w:val="24"/>
                <w:szCs w:val="24"/>
                <w:lang w:eastAsia="lv-LV"/>
              </w:rPr>
              <w:t xml:space="preserve">, </w:t>
            </w:r>
            <w:r w:rsidR="008F7DBC">
              <w:rPr>
                <w:rFonts w:eastAsia="Times New Roman"/>
                <w:sz w:val="24"/>
                <w:szCs w:val="24"/>
                <w:lang w:eastAsia="lv-LV"/>
              </w:rPr>
              <w:t>saistībā ar 2017.gada 20.aprīļa grozījumiem Likumā</w:t>
            </w:r>
            <w:r w:rsidR="001C0B12">
              <w:rPr>
                <w:rFonts w:eastAsia="Times New Roman"/>
                <w:sz w:val="24"/>
                <w:szCs w:val="24"/>
                <w:lang w:eastAsia="lv-LV"/>
              </w:rPr>
              <w:t xml:space="preserve">, kurus izstrādājot </w:t>
            </w:r>
            <w:r w:rsidR="006124A9">
              <w:rPr>
                <w:rFonts w:eastAsia="Times New Roman"/>
                <w:sz w:val="24"/>
                <w:szCs w:val="24"/>
                <w:lang w:eastAsia="lv-LV"/>
              </w:rPr>
              <w:t xml:space="preserve">jau </w:t>
            </w:r>
            <w:r w:rsidR="001C0B12">
              <w:rPr>
                <w:rFonts w:eastAsia="Times New Roman"/>
                <w:sz w:val="24"/>
                <w:szCs w:val="24"/>
                <w:lang w:eastAsia="lv-LV"/>
              </w:rPr>
              <w:t xml:space="preserve">bija </w:t>
            </w:r>
            <w:r w:rsidR="006124A9">
              <w:rPr>
                <w:rFonts w:eastAsia="Times New Roman"/>
                <w:sz w:val="24"/>
                <w:szCs w:val="24"/>
                <w:lang w:eastAsia="lv-LV"/>
              </w:rPr>
              <w:t>nodrošināta</w:t>
            </w:r>
            <w:r w:rsidR="001C0B12">
              <w:rPr>
                <w:rFonts w:eastAsia="Times New Roman"/>
                <w:sz w:val="24"/>
                <w:szCs w:val="24"/>
                <w:lang w:eastAsia="lv-LV"/>
              </w:rPr>
              <w:t xml:space="preserve"> sabiedrības līdzdalība</w:t>
            </w:r>
            <w:r w:rsidRPr="00182804">
              <w:rPr>
                <w:rFonts w:eastAsia="Times New Roman"/>
                <w:sz w:val="24"/>
                <w:szCs w:val="24"/>
                <w:lang w:eastAsia="lv-LV"/>
              </w:rPr>
              <w:t>, sabiedrības atkārtota līdzdalība nav nepieciešama</w:t>
            </w:r>
            <w:r w:rsidRPr="00CE57BA">
              <w:rPr>
                <w:rFonts w:eastAsia="Times New Roman"/>
                <w:sz w:val="24"/>
                <w:szCs w:val="24"/>
                <w:lang w:eastAsia="lv-LV"/>
              </w:rPr>
              <w:t>.</w:t>
            </w:r>
          </w:p>
          <w:p w14:paraId="1692199B" w14:textId="77777777" w:rsidR="008F7DBC" w:rsidRDefault="00567A7F" w:rsidP="00451ADC">
            <w:pPr>
              <w:jc w:val="both"/>
              <w:rPr>
                <w:rFonts w:eastAsia="Times New Roman"/>
                <w:sz w:val="24"/>
                <w:szCs w:val="24"/>
                <w:lang w:eastAsia="lv-LV"/>
              </w:rPr>
            </w:pPr>
            <w:r>
              <w:rPr>
                <w:rFonts w:eastAsia="Times New Roman"/>
                <w:sz w:val="24"/>
                <w:szCs w:val="24"/>
                <w:lang w:eastAsia="lv-LV"/>
              </w:rPr>
              <w:t xml:space="preserve">Sabiedrības līdzdalība </w:t>
            </w:r>
            <w:r w:rsidR="001B1D07">
              <w:rPr>
                <w:rFonts w:eastAsia="Times New Roman"/>
                <w:sz w:val="24"/>
                <w:szCs w:val="24"/>
                <w:lang w:eastAsia="lv-LV"/>
              </w:rPr>
              <w:t xml:space="preserve">attiecībā uz grozījumiem </w:t>
            </w:r>
            <w:r w:rsidR="001B1D07" w:rsidRPr="00182804">
              <w:rPr>
                <w:sz w:val="24"/>
                <w:szCs w:val="24"/>
              </w:rPr>
              <w:t xml:space="preserve">Ministru kabineta 2013.gada 15.janvāra noteikumos Nr.40 </w:t>
            </w:r>
            <w:r w:rsidR="00C531A6">
              <w:rPr>
                <w:rFonts w:eastAsia="Times New Roman"/>
                <w:sz w:val="24"/>
                <w:szCs w:val="24"/>
                <w:lang w:eastAsia="lv-LV"/>
              </w:rPr>
              <w:t xml:space="preserve">saistībā ar </w:t>
            </w:r>
            <w:r w:rsidR="00C531A6">
              <w:rPr>
                <w:sz w:val="24"/>
                <w:szCs w:val="24"/>
              </w:rPr>
              <w:t>Likuma 50.pant</w:t>
            </w:r>
            <w:r w:rsidR="001B1D07">
              <w:rPr>
                <w:sz w:val="24"/>
                <w:szCs w:val="24"/>
              </w:rPr>
              <w:t>a papildināšanu</w:t>
            </w:r>
            <w:r w:rsidR="00C531A6">
              <w:rPr>
                <w:sz w:val="24"/>
                <w:szCs w:val="24"/>
              </w:rPr>
              <w:t xml:space="preserve"> ar jaunu, 7.</w:t>
            </w:r>
            <w:r w:rsidR="00C531A6" w:rsidRPr="007F5E97">
              <w:rPr>
                <w:sz w:val="24"/>
                <w:szCs w:val="24"/>
                <w:vertAlign w:val="superscript"/>
              </w:rPr>
              <w:t>1</w:t>
            </w:r>
            <w:r w:rsidR="00C531A6">
              <w:rPr>
                <w:sz w:val="24"/>
                <w:szCs w:val="24"/>
              </w:rPr>
              <w:t xml:space="preserve">daļu, </w:t>
            </w:r>
            <w:r w:rsidR="001B1D07">
              <w:rPr>
                <w:sz w:val="24"/>
                <w:szCs w:val="24"/>
              </w:rPr>
              <w:t xml:space="preserve">nav nepieciešama, jo ietekmē ierobežotu personu loku. </w:t>
            </w:r>
          </w:p>
          <w:p w14:paraId="7DED0687" w14:textId="4D0B5AB2" w:rsidR="001167E5" w:rsidRPr="007F3536" w:rsidRDefault="007F3536" w:rsidP="00315E59">
            <w:pPr>
              <w:jc w:val="both"/>
              <w:rPr>
                <w:rFonts w:eastAsia="Times New Roman"/>
                <w:sz w:val="24"/>
                <w:szCs w:val="24"/>
                <w:lang w:eastAsia="lv-LV"/>
              </w:rPr>
            </w:pPr>
            <w:r w:rsidRPr="00FA3C80">
              <w:rPr>
                <w:sz w:val="24"/>
                <w:szCs w:val="24"/>
              </w:rPr>
              <w:t>Sabiedrības līdzdalība attiecībā uz zemāka PVN deklarācijas pielikumos atsevišķi norādāmo darījumu summas sliekšņa noteikšanu</w:t>
            </w:r>
            <w:r w:rsidR="004770F9">
              <w:rPr>
                <w:sz w:val="24"/>
                <w:szCs w:val="24"/>
              </w:rPr>
              <w:t xml:space="preserve"> darījumiem ar reģistrētiem </w:t>
            </w:r>
            <w:r w:rsidR="00315E59">
              <w:rPr>
                <w:sz w:val="24"/>
                <w:szCs w:val="24"/>
              </w:rPr>
              <w:t>PVN</w:t>
            </w:r>
            <w:r w:rsidR="00CD7B99">
              <w:rPr>
                <w:sz w:val="24"/>
                <w:szCs w:val="24"/>
              </w:rPr>
              <w:t xml:space="preserve"> </w:t>
            </w:r>
            <w:r w:rsidR="004770F9">
              <w:rPr>
                <w:sz w:val="24"/>
                <w:szCs w:val="24"/>
              </w:rPr>
              <w:t>m</w:t>
            </w:r>
            <w:r w:rsidR="00CD7B99">
              <w:rPr>
                <w:sz w:val="24"/>
                <w:szCs w:val="24"/>
              </w:rPr>
              <w:t>a</w:t>
            </w:r>
            <w:r w:rsidR="004770F9">
              <w:rPr>
                <w:sz w:val="24"/>
                <w:szCs w:val="24"/>
              </w:rPr>
              <w:t>ksātājiem</w:t>
            </w:r>
            <w:r w:rsidRPr="00FA3C80">
              <w:rPr>
                <w:sz w:val="24"/>
                <w:szCs w:val="24"/>
              </w:rPr>
              <w:t xml:space="preserve"> ir nodrošināta, nosūtot noteikumu projektu Latvijas Nodokļu konsultantu asociācijai, Latvijas nodokļu maksātāju tiesību asociācijai, Latvijas Tirdzniecības un rūpniecības kamerai, Latvijas Darba devēju konfederācijai</w:t>
            </w:r>
            <w:r w:rsidR="00315E59">
              <w:rPr>
                <w:sz w:val="24"/>
                <w:szCs w:val="24"/>
              </w:rPr>
              <w:t>.</w:t>
            </w:r>
            <w:r w:rsidR="001167E5">
              <w:rPr>
                <w:sz w:val="24"/>
                <w:szCs w:val="24"/>
              </w:rPr>
              <w:t xml:space="preserve"> </w:t>
            </w:r>
            <w:r w:rsidR="00315E59">
              <w:rPr>
                <w:sz w:val="24"/>
                <w:szCs w:val="24"/>
              </w:rPr>
              <w:t xml:space="preserve">Tāpat </w:t>
            </w:r>
            <w:r w:rsidR="001167E5">
              <w:rPr>
                <w:sz w:val="24"/>
                <w:szCs w:val="24"/>
              </w:rPr>
              <w:t>2016.gadā tika organizētas vairākas</w:t>
            </w:r>
            <w:r w:rsidR="001A7EF2">
              <w:rPr>
                <w:sz w:val="24"/>
                <w:szCs w:val="24"/>
              </w:rPr>
              <w:t xml:space="preserve"> darba</w:t>
            </w:r>
            <w:r w:rsidR="001167E5">
              <w:rPr>
                <w:sz w:val="24"/>
                <w:szCs w:val="24"/>
              </w:rPr>
              <w:t xml:space="preserve"> tikšanās ar minētajiem nevalstiskā sektora pārstāvjiem kopā ar Finanšu ministrijas un VID pārstāvjiem, kuru laikā tika pārrunāti dažādi ar </w:t>
            </w:r>
            <w:r w:rsidR="001167E5" w:rsidRPr="00FA3C80">
              <w:rPr>
                <w:sz w:val="24"/>
                <w:szCs w:val="24"/>
              </w:rPr>
              <w:t>zemāka PVN deklarācijas pielikumos atsevišķi norādāmo darījumu summas sliekšņa noteikšanu</w:t>
            </w:r>
            <w:r w:rsidR="001167E5">
              <w:rPr>
                <w:sz w:val="24"/>
                <w:szCs w:val="24"/>
              </w:rPr>
              <w:t xml:space="preserve"> saistīti jautājumi, tostarp, iespējamie grāmatvedības un informācijas tehnoloģiju risinājumi, iespējamā administratīvā sloga apspriešana u.c. jautājumi.</w:t>
            </w:r>
          </w:p>
        </w:tc>
      </w:tr>
      <w:tr w:rsidR="00026C45" w:rsidRPr="00CE57BA" w14:paraId="10CD350D" w14:textId="77777777" w:rsidTr="009604F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AB1D039"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28DFBAA"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BFC843F" w14:textId="77777777" w:rsidR="00026C45" w:rsidRDefault="00026C45" w:rsidP="009604FB">
            <w:pPr>
              <w:jc w:val="both"/>
              <w:rPr>
                <w:rFonts w:eastAsia="Times New Roman"/>
                <w:sz w:val="24"/>
                <w:szCs w:val="24"/>
                <w:lang w:eastAsia="lv-LV"/>
              </w:rPr>
            </w:pPr>
            <w:r>
              <w:rPr>
                <w:rFonts w:eastAsia="Times New Roman"/>
                <w:sz w:val="24"/>
                <w:szCs w:val="24"/>
                <w:lang w:eastAsia="lv-LV"/>
              </w:rPr>
              <w:t>No nevalstiskā sektora sadarbības partneriem iebildumi par būvniecības terminoloģijas saskaņoto lietojumu PVN jomas tiesību aktos netika izteikti.</w:t>
            </w:r>
          </w:p>
          <w:p w14:paraId="116A3669" w14:textId="61B64E4F" w:rsidR="00315E59" w:rsidRDefault="00051AAA" w:rsidP="00315E59">
            <w:pPr>
              <w:jc w:val="both"/>
              <w:rPr>
                <w:sz w:val="24"/>
                <w:szCs w:val="24"/>
              </w:rPr>
            </w:pPr>
            <w:r>
              <w:rPr>
                <w:sz w:val="24"/>
                <w:szCs w:val="24"/>
              </w:rPr>
              <w:t>A</w:t>
            </w:r>
            <w:r w:rsidRPr="00FA3C80">
              <w:rPr>
                <w:sz w:val="24"/>
                <w:szCs w:val="24"/>
              </w:rPr>
              <w:t>ttiecībā uz zemāka PVN deklarācijas pielikumos atsevišķi norādāmo darījumu summas sliekšņa noteikšanu</w:t>
            </w:r>
            <w:r w:rsidR="00CD7B99">
              <w:rPr>
                <w:sz w:val="24"/>
                <w:szCs w:val="24"/>
              </w:rPr>
              <w:t xml:space="preserve"> darījumiem ar reģistrētiem </w:t>
            </w:r>
            <w:r w:rsidR="00315E59">
              <w:rPr>
                <w:sz w:val="24"/>
                <w:szCs w:val="24"/>
              </w:rPr>
              <w:t>PVN</w:t>
            </w:r>
            <w:r w:rsidR="00CD7B99">
              <w:rPr>
                <w:sz w:val="24"/>
                <w:szCs w:val="24"/>
              </w:rPr>
              <w:t xml:space="preserve"> maksātājiem</w:t>
            </w:r>
            <w:r w:rsidRPr="00FA3C80">
              <w:rPr>
                <w:sz w:val="24"/>
                <w:szCs w:val="24"/>
              </w:rPr>
              <w:t xml:space="preserve"> Latvijas Nodokļu konsultantu asociācija</w:t>
            </w:r>
            <w:r>
              <w:rPr>
                <w:sz w:val="24"/>
                <w:szCs w:val="24"/>
              </w:rPr>
              <w:t xml:space="preserve"> un</w:t>
            </w:r>
            <w:r w:rsidRPr="00FA3C80">
              <w:rPr>
                <w:sz w:val="24"/>
                <w:szCs w:val="24"/>
              </w:rPr>
              <w:t xml:space="preserve"> Latvijas nodokļu maksātāju tiesību </w:t>
            </w:r>
            <w:r w:rsidRPr="00FA3C80">
              <w:rPr>
                <w:sz w:val="24"/>
                <w:szCs w:val="24"/>
              </w:rPr>
              <w:lastRenderedPageBreak/>
              <w:t>asociācija</w:t>
            </w:r>
            <w:r>
              <w:rPr>
                <w:sz w:val="24"/>
                <w:szCs w:val="24"/>
              </w:rPr>
              <w:t xml:space="preserve"> </w:t>
            </w:r>
            <w:r w:rsidR="00CD7B99">
              <w:rPr>
                <w:sz w:val="24"/>
                <w:szCs w:val="24"/>
              </w:rPr>
              <w:t>ne</w:t>
            </w:r>
            <w:r>
              <w:rPr>
                <w:sz w:val="24"/>
                <w:szCs w:val="24"/>
              </w:rPr>
              <w:t>iebil</w:t>
            </w:r>
            <w:r w:rsidR="00CD7B99">
              <w:rPr>
                <w:sz w:val="24"/>
                <w:szCs w:val="24"/>
              </w:rPr>
              <w:t>st</w:t>
            </w:r>
            <w:r>
              <w:rPr>
                <w:sz w:val="24"/>
                <w:szCs w:val="24"/>
              </w:rPr>
              <w:t xml:space="preserve"> </w:t>
            </w:r>
            <w:r w:rsidRPr="00FA3C80">
              <w:rPr>
                <w:sz w:val="24"/>
                <w:szCs w:val="24"/>
              </w:rPr>
              <w:t>zemāka PVN deklarācijas pielikumos atsevišķi norādāmo darījumu summas sliekšņa noteikšan</w:t>
            </w:r>
            <w:r>
              <w:rPr>
                <w:sz w:val="24"/>
                <w:szCs w:val="24"/>
              </w:rPr>
              <w:t xml:space="preserve">ai darījumiem ar reģistrētiem </w:t>
            </w:r>
            <w:r w:rsidR="00315E59">
              <w:rPr>
                <w:sz w:val="24"/>
                <w:szCs w:val="24"/>
              </w:rPr>
              <w:t>PVN</w:t>
            </w:r>
            <w:r>
              <w:rPr>
                <w:sz w:val="24"/>
                <w:szCs w:val="24"/>
              </w:rPr>
              <w:t xml:space="preserve"> maksātājiem</w:t>
            </w:r>
            <w:r w:rsidR="006775B9">
              <w:rPr>
                <w:sz w:val="24"/>
                <w:szCs w:val="24"/>
              </w:rPr>
              <w:t xml:space="preserve">, pie nosacījuma, ka nodokļa maksātājiem tiek atstāta izvēles iespēja brīvprātīgi atšifrēt arī darījumus, kas sasniedz vai pārsniedz 150 </w:t>
            </w:r>
            <w:r w:rsidR="006775B9" w:rsidRPr="00892062">
              <w:rPr>
                <w:i/>
                <w:sz w:val="24"/>
                <w:szCs w:val="24"/>
              </w:rPr>
              <w:t>euro</w:t>
            </w:r>
            <w:r w:rsidR="006775B9">
              <w:rPr>
                <w:sz w:val="24"/>
                <w:szCs w:val="24"/>
              </w:rPr>
              <w:t xml:space="preserve"> slieksni ar </w:t>
            </w:r>
            <w:r w:rsidR="00315E59">
              <w:rPr>
                <w:sz w:val="24"/>
                <w:szCs w:val="24"/>
              </w:rPr>
              <w:t xml:space="preserve">visām </w:t>
            </w:r>
            <w:r w:rsidR="00500A10">
              <w:rPr>
                <w:sz w:val="24"/>
                <w:szCs w:val="24"/>
              </w:rPr>
              <w:t xml:space="preserve">citām </w:t>
            </w:r>
            <w:r w:rsidR="006775B9">
              <w:rPr>
                <w:sz w:val="24"/>
                <w:szCs w:val="24"/>
              </w:rPr>
              <w:t>personām</w:t>
            </w:r>
            <w:r w:rsidR="00FD6E38">
              <w:rPr>
                <w:sz w:val="24"/>
                <w:szCs w:val="24"/>
              </w:rPr>
              <w:t>, pret ko VID iebildum</w:t>
            </w:r>
            <w:r w:rsidR="006124A9">
              <w:rPr>
                <w:sz w:val="24"/>
                <w:szCs w:val="24"/>
              </w:rPr>
              <w:t>u</w:t>
            </w:r>
            <w:r w:rsidR="00FD6E38">
              <w:rPr>
                <w:sz w:val="24"/>
                <w:szCs w:val="24"/>
              </w:rPr>
              <w:t xml:space="preserve"> nav.</w:t>
            </w:r>
          </w:p>
          <w:p w14:paraId="32B62599" w14:textId="035A3E2B" w:rsidR="00051AAA" w:rsidRPr="00CE57BA" w:rsidRDefault="00603A51" w:rsidP="00603A51">
            <w:pPr>
              <w:jc w:val="both"/>
              <w:rPr>
                <w:rFonts w:eastAsia="Times New Roman"/>
                <w:sz w:val="24"/>
                <w:szCs w:val="24"/>
                <w:lang w:eastAsia="lv-LV"/>
              </w:rPr>
            </w:pPr>
            <w:r w:rsidRPr="00FA3C80">
              <w:rPr>
                <w:sz w:val="24"/>
                <w:szCs w:val="24"/>
              </w:rPr>
              <w:t>Latvijas Tirdzniecības un rūpniecības kamera</w:t>
            </w:r>
            <w:r>
              <w:rPr>
                <w:sz w:val="24"/>
                <w:szCs w:val="24"/>
              </w:rPr>
              <w:t xml:space="preserve"> un</w:t>
            </w:r>
            <w:r w:rsidRPr="00FA3C80">
              <w:rPr>
                <w:sz w:val="24"/>
                <w:szCs w:val="24"/>
              </w:rPr>
              <w:t xml:space="preserve"> Latvijas Darba devēju konfederācija</w:t>
            </w:r>
            <w:r>
              <w:rPr>
                <w:sz w:val="24"/>
                <w:szCs w:val="24"/>
              </w:rPr>
              <w:t xml:space="preserve"> savu viedokli par nosūtīto noteikumu projektu nav izteikušas</w:t>
            </w:r>
            <w:r w:rsidR="006124A9">
              <w:rPr>
                <w:sz w:val="24"/>
                <w:szCs w:val="24"/>
              </w:rPr>
              <w:t>.</w:t>
            </w:r>
          </w:p>
        </w:tc>
      </w:tr>
      <w:tr w:rsidR="00026C45" w:rsidRPr="00CE57BA" w14:paraId="22CCF744" w14:textId="77777777" w:rsidTr="009604F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B78FEBA"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5BD0F897" w14:textId="77777777" w:rsidR="00026C45" w:rsidRPr="00CE57BA" w:rsidRDefault="00026C45" w:rsidP="009604FB">
            <w:pPr>
              <w:rPr>
                <w:rFonts w:eastAsia="Times New Roman"/>
                <w:sz w:val="24"/>
                <w:szCs w:val="24"/>
                <w:lang w:eastAsia="lv-LV"/>
              </w:rPr>
            </w:pPr>
            <w:r w:rsidRPr="00CE57BA">
              <w:rPr>
                <w:rFonts w:eastAsia="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ADD9C95" w14:textId="77777777" w:rsidR="00026C45" w:rsidRPr="00CE57BA" w:rsidRDefault="00026C45" w:rsidP="009604FB">
            <w:pPr>
              <w:spacing w:before="100" w:beforeAutospacing="1" w:after="100" w:afterAutospacing="1" w:line="293" w:lineRule="atLeast"/>
              <w:rPr>
                <w:rFonts w:eastAsia="Times New Roman"/>
                <w:sz w:val="24"/>
                <w:szCs w:val="24"/>
                <w:lang w:eastAsia="lv-LV"/>
              </w:rPr>
            </w:pPr>
            <w:r>
              <w:rPr>
                <w:rFonts w:eastAsia="Times New Roman"/>
                <w:sz w:val="24"/>
                <w:szCs w:val="24"/>
                <w:lang w:eastAsia="lv-LV"/>
              </w:rPr>
              <w:t>Nav</w:t>
            </w:r>
          </w:p>
        </w:tc>
      </w:tr>
    </w:tbl>
    <w:p w14:paraId="2C36BE5A" w14:textId="77777777" w:rsidR="00026C45" w:rsidRDefault="00026C45" w:rsidP="00026C45">
      <w:pPr>
        <w:rPr>
          <w:szCs w:val="28"/>
        </w:rPr>
      </w:pP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
        <w:gridCol w:w="452"/>
        <w:gridCol w:w="2717"/>
        <w:gridCol w:w="5895"/>
      </w:tblGrid>
      <w:tr w:rsidR="00E611A6" w:rsidRPr="00CE57BA" w14:paraId="3BFA9082" w14:textId="77777777" w:rsidTr="00F12B81">
        <w:trPr>
          <w:trHeight w:val="437"/>
          <w:tblCellSpacing w:w="0"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4B314395" w14:textId="77777777" w:rsidR="00E611A6" w:rsidRPr="00CE57BA" w:rsidRDefault="00E611A6" w:rsidP="00E611A6">
            <w:pPr>
              <w:jc w:val="center"/>
              <w:rPr>
                <w:rFonts w:eastAsia="Times New Roman"/>
                <w:b/>
                <w:bCs/>
                <w:sz w:val="24"/>
                <w:szCs w:val="24"/>
                <w:lang w:eastAsia="lv-LV"/>
              </w:rPr>
            </w:pPr>
            <w:r w:rsidRPr="00463C85">
              <w:rPr>
                <w:rFonts w:eastAsia="Times New Roman"/>
                <w:b/>
                <w:bCs/>
                <w:sz w:val="24"/>
                <w:szCs w:val="24"/>
                <w:lang w:eastAsia="lv-LV"/>
              </w:rPr>
              <w:t>VII. Tiesību akta projekta izpildes nodrošināšana un tās ietekme uz institūcijām</w:t>
            </w:r>
          </w:p>
        </w:tc>
      </w:tr>
      <w:tr w:rsidR="00E611A6" w:rsidRPr="00CE57BA" w14:paraId="44036E44" w14:textId="77777777" w:rsidTr="00F12B81">
        <w:tblPrEx>
          <w:jc w:val="center"/>
          <w:tblCellSpacing w:w="0" w:type="nil"/>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8" w:type="dxa"/>
          <w:trHeight w:val="432"/>
          <w:jc w:val="center"/>
        </w:trPr>
        <w:tc>
          <w:tcPr>
            <w:tcW w:w="452" w:type="dxa"/>
            <w:tcBorders>
              <w:top w:val="outset" w:sz="6" w:space="0" w:color="414142"/>
              <w:left w:val="outset" w:sz="6" w:space="0" w:color="414142"/>
              <w:bottom w:val="outset" w:sz="6" w:space="0" w:color="414142"/>
              <w:right w:val="outset" w:sz="6" w:space="0" w:color="414142"/>
            </w:tcBorders>
            <w:hideMark/>
          </w:tcPr>
          <w:p w14:paraId="16869BDA" w14:textId="77777777" w:rsidR="00E611A6" w:rsidRPr="00CE57BA" w:rsidRDefault="00E611A6" w:rsidP="009604FB">
            <w:pPr>
              <w:rPr>
                <w:rFonts w:eastAsia="Times New Roman"/>
                <w:sz w:val="24"/>
                <w:szCs w:val="24"/>
                <w:lang w:eastAsia="lv-LV"/>
              </w:rPr>
            </w:pPr>
            <w:r w:rsidRPr="00CE57BA">
              <w:rPr>
                <w:rFonts w:eastAsia="Times New Roman"/>
                <w:sz w:val="24"/>
                <w:szCs w:val="24"/>
                <w:lang w:eastAsia="lv-LV"/>
              </w:rPr>
              <w:t>1.</w:t>
            </w:r>
          </w:p>
        </w:tc>
        <w:tc>
          <w:tcPr>
            <w:tcW w:w="2717" w:type="dxa"/>
            <w:tcBorders>
              <w:top w:val="outset" w:sz="6" w:space="0" w:color="414142"/>
              <w:left w:val="outset" w:sz="6" w:space="0" w:color="414142"/>
              <w:bottom w:val="outset" w:sz="6" w:space="0" w:color="414142"/>
              <w:right w:val="outset" w:sz="6" w:space="0" w:color="414142"/>
            </w:tcBorders>
            <w:hideMark/>
          </w:tcPr>
          <w:p w14:paraId="4515BEC1" w14:textId="77777777" w:rsidR="00E611A6" w:rsidRPr="00CE57BA" w:rsidRDefault="00E611A6" w:rsidP="009604FB">
            <w:pPr>
              <w:rPr>
                <w:rFonts w:eastAsia="Times New Roman"/>
                <w:sz w:val="24"/>
                <w:szCs w:val="24"/>
                <w:lang w:eastAsia="lv-LV"/>
              </w:rPr>
            </w:pPr>
            <w:r w:rsidRPr="00463C85">
              <w:rPr>
                <w:sz w:val="24"/>
                <w:szCs w:val="24"/>
              </w:rPr>
              <w:t>Projekta izpildē iesaistītās institūcijas</w:t>
            </w:r>
          </w:p>
        </w:tc>
        <w:tc>
          <w:tcPr>
            <w:tcW w:w="5895" w:type="dxa"/>
            <w:tcBorders>
              <w:top w:val="outset" w:sz="6" w:space="0" w:color="414142"/>
              <w:left w:val="outset" w:sz="6" w:space="0" w:color="414142"/>
              <w:bottom w:val="outset" w:sz="6" w:space="0" w:color="414142"/>
              <w:right w:val="outset" w:sz="6" w:space="0" w:color="414142"/>
            </w:tcBorders>
            <w:hideMark/>
          </w:tcPr>
          <w:p w14:paraId="6E43D3AB" w14:textId="7C5559E3" w:rsidR="00B80B8A" w:rsidRDefault="00E611A6" w:rsidP="009604FB">
            <w:pPr>
              <w:jc w:val="both"/>
              <w:rPr>
                <w:rFonts w:eastAsia="Times New Roman"/>
                <w:sz w:val="24"/>
                <w:szCs w:val="24"/>
                <w:lang w:eastAsia="lv-LV"/>
              </w:rPr>
            </w:pPr>
            <w:r w:rsidRPr="00463C85">
              <w:rPr>
                <w:sz w:val="24"/>
                <w:szCs w:val="24"/>
              </w:rPr>
              <w:t>V</w:t>
            </w:r>
            <w:r w:rsidR="007C6118">
              <w:rPr>
                <w:sz w:val="24"/>
                <w:szCs w:val="24"/>
              </w:rPr>
              <w:t>ID</w:t>
            </w:r>
          </w:p>
          <w:p w14:paraId="3B1C33FE" w14:textId="77777777" w:rsidR="00E611A6" w:rsidRPr="00CE57BA" w:rsidRDefault="00B80B8A" w:rsidP="009604FB">
            <w:pPr>
              <w:jc w:val="both"/>
              <w:rPr>
                <w:rFonts w:eastAsia="Times New Roman"/>
                <w:sz w:val="24"/>
                <w:szCs w:val="24"/>
                <w:lang w:eastAsia="lv-LV"/>
              </w:rPr>
            </w:pPr>
            <w:r w:rsidRPr="00F12B81">
              <w:rPr>
                <w:sz w:val="24"/>
                <w:szCs w:val="24"/>
              </w:rPr>
              <w:t>Aizsardzības ministrija, Ārlietu ministrija attiecībā uz regulējumu, kas skar Parīzes protokola papildu nolīgumu.</w:t>
            </w:r>
          </w:p>
        </w:tc>
      </w:tr>
      <w:tr w:rsidR="00E611A6" w:rsidRPr="00CE57BA" w14:paraId="7B960677" w14:textId="77777777" w:rsidTr="00F12B81">
        <w:tblPrEx>
          <w:jc w:val="center"/>
          <w:tblCellSpacing w:w="0" w:type="nil"/>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8" w:type="dxa"/>
          <w:trHeight w:val="264"/>
          <w:jc w:val="center"/>
        </w:trPr>
        <w:tc>
          <w:tcPr>
            <w:tcW w:w="452" w:type="dxa"/>
            <w:tcBorders>
              <w:top w:val="outset" w:sz="6" w:space="0" w:color="414142"/>
              <w:left w:val="outset" w:sz="6" w:space="0" w:color="414142"/>
              <w:bottom w:val="outset" w:sz="6" w:space="0" w:color="414142"/>
              <w:right w:val="outset" w:sz="6" w:space="0" w:color="414142"/>
            </w:tcBorders>
            <w:hideMark/>
          </w:tcPr>
          <w:p w14:paraId="52A9FC1F" w14:textId="77777777" w:rsidR="00E611A6" w:rsidRPr="00CE57BA" w:rsidRDefault="00E611A6" w:rsidP="009604FB">
            <w:pPr>
              <w:rPr>
                <w:rFonts w:eastAsia="Times New Roman"/>
                <w:sz w:val="24"/>
                <w:szCs w:val="24"/>
                <w:lang w:eastAsia="lv-LV"/>
              </w:rPr>
            </w:pPr>
            <w:r w:rsidRPr="00CE57BA">
              <w:rPr>
                <w:rFonts w:eastAsia="Times New Roman"/>
                <w:sz w:val="24"/>
                <w:szCs w:val="24"/>
                <w:lang w:eastAsia="lv-LV"/>
              </w:rPr>
              <w:t>2.</w:t>
            </w:r>
          </w:p>
        </w:tc>
        <w:tc>
          <w:tcPr>
            <w:tcW w:w="2717" w:type="dxa"/>
            <w:tcBorders>
              <w:top w:val="outset" w:sz="6" w:space="0" w:color="414142"/>
              <w:left w:val="outset" w:sz="6" w:space="0" w:color="414142"/>
              <w:bottom w:val="outset" w:sz="6" w:space="0" w:color="414142"/>
              <w:right w:val="outset" w:sz="6" w:space="0" w:color="414142"/>
            </w:tcBorders>
            <w:hideMark/>
          </w:tcPr>
          <w:p w14:paraId="5E3A0DCC" w14:textId="77777777" w:rsidR="00E611A6" w:rsidRPr="00463C85" w:rsidRDefault="00E611A6" w:rsidP="00E611A6">
            <w:pPr>
              <w:pStyle w:val="naisf"/>
              <w:spacing w:before="0" w:beforeAutospacing="0" w:after="0" w:afterAutospacing="0"/>
            </w:pPr>
            <w:r w:rsidRPr="00463C85">
              <w:t>Projekta izpildes ietekme uz pār</w:t>
            </w:r>
            <w:r w:rsidRPr="00463C85">
              <w:softHyphen/>
              <w:t>valdes funkcijām un institucionālo struktūru.</w:t>
            </w:r>
          </w:p>
          <w:p w14:paraId="74303175" w14:textId="77777777" w:rsidR="00E611A6" w:rsidRPr="00CE57BA" w:rsidRDefault="00E611A6" w:rsidP="00E611A6">
            <w:pPr>
              <w:rPr>
                <w:rFonts w:eastAsia="Times New Roman"/>
                <w:sz w:val="24"/>
                <w:szCs w:val="24"/>
                <w:lang w:eastAsia="lv-LV"/>
              </w:rPr>
            </w:pPr>
            <w:r w:rsidRPr="00463C85">
              <w:rPr>
                <w:sz w:val="24"/>
                <w:szCs w:val="24"/>
              </w:rPr>
              <w:t>Jaunu institūciju izveide, esošu institūciju likvidācija vai reorga</w:t>
            </w:r>
            <w:r w:rsidRPr="00463C85">
              <w:rPr>
                <w:sz w:val="24"/>
                <w:szCs w:val="24"/>
              </w:rPr>
              <w:softHyphen/>
              <w:t>nizācija, to ietekme uz institūcijas cilvēkresursiem</w:t>
            </w:r>
          </w:p>
        </w:tc>
        <w:tc>
          <w:tcPr>
            <w:tcW w:w="5895" w:type="dxa"/>
            <w:tcBorders>
              <w:top w:val="outset" w:sz="6" w:space="0" w:color="414142"/>
              <w:left w:val="outset" w:sz="6" w:space="0" w:color="414142"/>
              <w:bottom w:val="outset" w:sz="6" w:space="0" w:color="414142"/>
              <w:right w:val="outset" w:sz="6" w:space="0" w:color="414142"/>
            </w:tcBorders>
            <w:hideMark/>
          </w:tcPr>
          <w:p w14:paraId="77E65A59" w14:textId="77777777" w:rsidR="00E611A6" w:rsidRPr="00B80B8A" w:rsidRDefault="00E611A6" w:rsidP="00E611A6">
            <w:pPr>
              <w:shd w:val="clear" w:color="auto" w:fill="FFFFFF"/>
              <w:ind w:hanging="12"/>
              <w:jc w:val="both"/>
              <w:rPr>
                <w:sz w:val="24"/>
                <w:szCs w:val="24"/>
              </w:rPr>
            </w:pPr>
            <w:r w:rsidRPr="00B80B8A">
              <w:rPr>
                <w:sz w:val="24"/>
                <w:szCs w:val="24"/>
              </w:rPr>
              <w:t>Netiek radīta jauna pārvaldes funkcija un jauna  institūcija, kā arī nenotiek esošu institūciju likvidācija vai reorganizācija.</w:t>
            </w:r>
          </w:p>
          <w:p w14:paraId="745BE2A0" w14:textId="77777777" w:rsidR="00C4061B" w:rsidRDefault="00E611A6" w:rsidP="00C4061B">
            <w:pPr>
              <w:jc w:val="both"/>
              <w:rPr>
                <w:sz w:val="24"/>
                <w:szCs w:val="24"/>
              </w:rPr>
            </w:pPr>
            <w:r w:rsidRPr="00B80B8A">
              <w:rPr>
                <w:sz w:val="24"/>
                <w:szCs w:val="24"/>
              </w:rPr>
              <w:t>VID esošo funkciju ietvaros nodrošinās PVN admi</w:t>
            </w:r>
            <w:r w:rsidR="0055717A">
              <w:rPr>
                <w:sz w:val="24"/>
                <w:szCs w:val="24"/>
              </w:rPr>
              <w:t>nistrēšanu saistībā ar grozījumiem</w:t>
            </w:r>
            <w:r w:rsidRPr="00B80B8A">
              <w:rPr>
                <w:sz w:val="24"/>
                <w:szCs w:val="24"/>
              </w:rPr>
              <w:t xml:space="preserve"> </w:t>
            </w:r>
            <w:r w:rsidR="0055717A">
              <w:rPr>
                <w:sz w:val="24"/>
                <w:szCs w:val="24"/>
              </w:rPr>
              <w:t>L</w:t>
            </w:r>
            <w:r w:rsidRPr="00B80B8A">
              <w:rPr>
                <w:sz w:val="24"/>
                <w:szCs w:val="24"/>
              </w:rPr>
              <w:t>ikumā, kas stā</w:t>
            </w:r>
            <w:r w:rsidR="009A6891">
              <w:rPr>
                <w:sz w:val="24"/>
                <w:szCs w:val="24"/>
              </w:rPr>
              <w:t>jās</w:t>
            </w:r>
            <w:r w:rsidRPr="00B80B8A">
              <w:rPr>
                <w:sz w:val="24"/>
                <w:szCs w:val="24"/>
              </w:rPr>
              <w:t xml:space="preserve"> spēkā 2017.gada 1.j</w:t>
            </w:r>
            <w:r w:rsidR="002D37A3" w:rsidRPr="00B80B8A">
              <w:rPr>
                <w:sz w:val="24"/>
                <w:szCs w:val="24"/>
              </w:rPr>
              <w:t xml:space="preserve">ūnijā un </w:t>
            </w:r>
            <w:r w:rsidR="009A6891">
              <w:rPr>
                <w:sz w:val="24"/>
                <w:szCs w:val="24"/>
              </w:rPr>
              <w:t xml:space="preserve">stāsies spēkā </w:t>
            </w:r>
            <w:r w:rsidR="002D37A3" w:rsidRPr="00B80B8A">
              <w:rPr>
                <w:sz w:val="24"/>
                <w:szCs w:val="24"/>
              </w:rPr>
              <w:t>2018.gada 1.janvārī</w:t>
            </w:r>
            <w:r w:rsidRPr="00B80B8A">
              <w:rPr>
                <w:sz w:val="24"/>
                <w:szCs w:val="24"/>
              </w:rPr>
              <w:t xml:space="preserve">, </w:t>
            </w:r>
            <w:r w:rsidR="00C4061B">
              <w:rPr>
                <w:sz w:val="24"/>
                <w:szCs w:val="24"/>
              </w:rPr>
              <w:t>ieviešanu un šo noteikumu projektu.</w:t>
            </w:r>
          </w:p>
          <w:p w14:paraId="370FFE28" w14:textId="0412190D" w:rsidR="007F0A2E" w:rsidRPr="007F0A2E" w:rsidRDefault="007F0A2E" w:rsidP="00C4061B">
            <w:pPr>
              <w:jc w:val="both"/>
              <w:rPr>
                <w:rFonts w:eastAsia="Times New Roman"/>
                <w:sz w:val="24"/>
                <w:szCs w:val="24"/>
                <w:lang w:eastAsia="lv-LV"/>
              </w:rPr>
            </w:pPr>
            <w:r w:rsidRPr="00C4061B">
              <w:rPr>
                <w:sz w:val="24"/>
                <w:szCs w:val="24"/>
              </w:rPr>
              <w:t>Ārlietu ministrija funkciju nodrošinās piešķirtā finansējuma ietvaros.</w:t>
            </w:r>
          </w:p>
        </w:tc>
      </w:tr>
      <w:tr w:rsidR="00E611A6" w:rsidRPr="00CE57BA" w14:paraId="7B555E6F" w14:textId="77777777" w:rsidTr="00F12B81">
        <w:tblPrEx>
          <w:jc w:val="center"/>
          <w:tblCellSpacing w:w="0" w:type="nil"/>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8" w:type="dxa"/>
          <w:trHeight w:val="372"/>
          <w:jc w:val="center"/>
        </w:trPr>
        <w:tc>
          <w:tcPr>
            <w:tcW w:w="452" w:type="dxa"/>
            <w:tcBorders>
              <w:top w:val="outset" w:sz="6" w:space="0" w:color="414142"/>
              <w:left w:val="outset" w:sz="6" w:space="0" w:color="414142"/>
              <w:bottom w:val="outset" w:sz="6" w:space="0" w:color="414142"/>
              <w:right w:val="outset" w:sz="6" w:space="0" w:color="414142"/>
            </w:tcBorders>
            <w:hideMark/>
          </w:tcPr>
          <w:p w14:paraId="4582FD70" w14:textId="77777777" w:rsidR="00E611A6" w:rsidRPr="00CE57BA" w:rsidRDefault="00E611A6" w:rsidP="009604FB">
            <w:pPr>
              <w:rPr>
                <w:rFonts w:eastAsia="Times New Roman"/>
                <w:sz w:val="24"/>
                <w:szCs w:val="24"/>
                <w:lang w:eastAsia="lv-LV"/>
              </w:rPr>
            </w:pPr>
            <w:r>
              <w:rPr>
                <w:rFonts w:eastAsia="Times New Roman"/>
                <w:sz w:val="24"/>
                <w:szCs w:val="24"/>
                <w:lang w:eastAsia="lv-LV"/>
              </w:rPr>
              <w:t>3</w:t>
            </w:r>
            <w:r w:rsidRPr="00CE57BA">
              <w:rPr>
                <w:rFonts w:eastAsia="Times New Roman"/>
                <w:sz w:val="24"/>
                <w:szCs w:val="24"/>
                <w:lang w:eastAsia="lv-LV"/>
              </w:rPr>
              <w:t>.</w:t>
            </w:r>
          </w:p>
        </w:tc>
        <w:tc>
          <w:tcPr>
            <w:tcW w:w="2717" w:type="dxa"/>
            <w:tcBorders>
              <w:top w:val="outset" w:sz="6" w:space="0" w:color="414142"/>
              <w:left w:val="outset" w:sz="6" w:space="0" w:color="414142"/>
              <w:bottom w:val="outset" w:sz="6" w:space="0" w:color="414142"/>
              <w:right w:val="outset" w:sz="6" w:space="0" w:color="414142"/>
            </w:tcBorders>
            <w:hideMark/>
          </w:tcPr>
          <w:p w14:paraId="4D41956B" w14:textId="77777777" w:rsidR="00E611A6" w:rsidRPr="00CE57BA" w:rsidRDefault="00E611A6" w:rsidP="009604FB">
            <w:pPr>
              <w:rPr>
                <w:rFonts w:eastAsia="Times New Roman"/>
                <w:sz w:val="24"/>
                <w:szCs w:val="24"/>
                <w:lang w:eastAsia="lv-LV"/>
              </w:rPr>
            </w:pPr>
            <w:r w:rsidRPr="00CE57BA">
              <w:rPr>
                <w:rFonts w:eastAsia="Times New Roman"/>
                <w:sz w:val="24"/>
                <w:szCs w:val="24"/>
                <w:lang w:eastAsia="lv-LV"/>
              </w:rPr>
              <w:t>Cita informācija</w:t>
            </w:r>
          </w:p>
        </w:tc>
        <w:tc>
          <w:tcPr>
            <w:tcW w:w="5895" w:type="dxa"/>
            <w:tcBorders>
              <w:top w:val="outset" w:sz="6" w:space="0" w:color="414142"/>
              <w:left w:val="outset" w:sz="6" w:space="0" w:color="414142"/>
              <w:bottom w:val="outset" w:sz="6" w:space="0" w:color="414142"/>
              <w:right w:val="outset" w:sz="6" w:space="0" w:color="414142"/>
            </w:tcBorders>
            <w:hideMark/>
          </w:tcPr>
          <w:p w14:paraId="680DFAA4" w14:textId="77777777" w:rsidR="00E611A6" w:rsidRPr="00CE57BA" w:rsidRDefault="00E611A6" w:rsidP="009604FB">
            <w:pPr>
              <w:spacing w:before="100" w:beforeAutospacing="1" w:after="100" w:afterAutospacing="1" w:line="293" w:lineRule="atLeast"/>
              <w:rPr>
                <w:rFonts w:eastAsia="Times New Roman"/>
                <w:sz w:val="24"/>
                <w:szCs w:val="24"/>
                <w:lang w:eastAsia="lv-LV"/>
              </w:rPr>
            </w:pPr>
            <w:r>
              <w:rPr>
                <w:rFonts w:eastAsia="Times New Roman"/>
                <w:sz w:val="24"/>
                <w:szCs w:val="24"/>
                <w:lang w:eastAsia="lv-LV"/>
              </w:rPr>
              <w:t>Nav</w:t>
            </w:r>
          </w:p>
        </w:tc>
      </w:tr>
    </w:tbl>
    <w:p w14:paraId="1514C801" w14:textId="77777777" w:rsidR="008337BD" w:rsidRDefault="008337BD" w:rsidP="00026C45">
      <w:pPr>
        <w:rPr>
          <w:szCs w:val="28"/>
        </w:rPr>
      </w:pPr>
      <w:bookmarkStart w:id="1" w:name="p69"/>
      <w:bookmarkStart w:id="2" w:name="p68"/>
      <w:bookmarkStart w:id="3" w:name="p67"/>
      <w:bookmarkStart w:id="4" w:name="p66"/>
      <w:bookmarkEnd w:id="1"/>
      <w:bookmarkEnd w:id="2"/>
      <w:bookmarkEnd w:id="3"/>
      <w:bookmarkEnd w:id="4"/>
    </w:p>
    <w:p w14:paraId="5949959E" w14:textId="380FA03C" w:rsidR="00026C45" w:rsidRDefault="00026C45" w:rsidP="00026C45">
      <w:pPr>
        <w:ind w:firstLine="709"/>
        <w:rPr>
          <w:szCs w:val="28"/>
        </w:rPr>
      </w:pPr>
      <w:r>
        <w:rPr>
          <w:szCs w:val="28"/>
        </w:rPr>
        <w:t xml:space="preserve">Anotācijas IV un V </w:t>
      </w:r>
      <w:r w:rsidRPr="00F32503">
        <w:rPr>
          <w:szCs w:val="28"/>
        </w:rPr>
        <w:t>sadaļa – projekts šīs jomas neskar.</w:t>
      </w:r>
    </w:p>
    <w:p w14:paraId="76FDC4A2" w14:textId="77777777" w:rsidR="00026C45" w:rsidRDefault="00026C45" w:rsidP="00026C45">
      <w:pPr>
        <w:rPr>
          <w:szCs w:val="28"/>
        </w:rPr>
      </w:pPr>
    </w:p>
    <w:p w14:paraId="006D6CD2" w14:textId="77777777" w:rsidR="00026C45" w:rsidRDefault="00026C45" w:rsidP="00026C45">
      <w:pPr>
        <w:rPr>
          <w:szCs w:val="28"/>
        </w:rPr>
      </w:pPr>
    </w:p>
    <w:p w14:paraId="00F47269" w14:textId="77777777" w:rsidR="00026C45" w:rsidRPr="00894C55" w:rsidRDefault="00026C45" w:rsidP="00026C45">
      <w:pPr>
        <w:rPr>
          <w:szCs w:val="28"/>
        </w:rPr>
      </w:pPr>
    </w:p>
    <w:p w14:paraId="3CD5C983" w14:textId="77777777" w:rsidR="00026C45" w:rsidRPr="00894C55" w:rsidRDefault="00026C45" w:rsidP="00026C45">
      <w:pPr>
        <w:tabs>
          <w:tab w:val="left" w:pos="6237"/>
        </w:tabs>
        <w:ind w:firstLine="720"/>
        <w:rPr>
          <w:szCs w:val="28"/>
        </w:rPr>
      </w:pPr>
      <w:r>
        <w:rPr>
          <w:szCs w:val="28"/>
        </w:rPr>
        <w:t>Finanšu ministre</w:t>
      </w:r>
      <w:r>
        <w:rPr>
          <w:szCs w:val="28"/>
        </w:rPr>
        <w:tab/>
        <w:t>D. Reizniece-Ozola</w:t>
      </w:r>
    </w:p>
    <w:p w14:paraId="70A081BC" w14:textId="77777777" w:rsidR="00026C45" w:rsidRPr="00894C55" w:rsidRDefault="00026C45" w:rsidP="00026C45">
      <w:pPr>
        <w:ind w:firstLine="720"/>
        <w:rPr>
          <w:szCs w:val="28"/>
        </w:rPr>
      </w:pPr>
    </w:p>
    <w:p w14:paraId="589E0467" w14:textId="77777777" w:rsidR="00026C45" w:rsidRDefault="00026C45" w:rsidP="00026C45">
      <w:pPr>
        <w:tabs>
          <w:tab w:val="left" w:pos="6237"/>
        </w:tabs>
        <w:ind w:firstLine="720"/>
        <w:rPr>
          <w:szCs w:val="28"/>
        </w:rPr>
      </w:pPr>
    </w:p>
    <w:p w14:paraId="411BCE0B" w14:textId="77777777" w:rsidR="00026C45" w:rsidRDefault="00026C45" w:rsidP="00026C45">
      <w:pPr>
        <w:tabs>
          <w:tab w:val="left" w:pos="6237"/>
        </w:tabs>
        <w:ind w:firstLine="720"/>
        <w:rPr>
          <w:szCs w:val="28"/>
        </w:rPr>
      </w:pPr>
    </w:p>
    <w:p w14:paraId="62BC41AD" w14:textId="77777777" w:rsidR="00026C45" w:rsidRPr="00707C7C" w:rsidRDefault="00026C45" w:rsidP="00026C45">
      <w:pPr>
        <w:tabs>
          <w:tab w:val="left" w:pos="6237"/>
        </w:tabs>
        <w:rPr>
          <w:sz w:val="24"/>
          <w:szCs w:val="28"/>
        </w:rPr>
      </w:pPr>
    </w:p>
    <w:p w14:paraId="24D42E73" w14:textId="341087DC" w:rsidR="008E445F" w:rsidRDefault="008E445F" w:rsidP="008E445F">
      <w:pPr>
        <w:tabs>
          <w:tab w:val="left" w:pos="6804"/>
        </w:tabs>
        <w:jc w:val="both"/>
        <w:rPr>
          <w:sz w:val="24"/>
          <w:szCs w:val="24"/>
        </w:rPr>
      </w:pPr>
      <w:r>
        <w:rPr>
          <w:sz w:val="24"/>
          <w:szCs w:val="24"/>
        </w:rPr>
        <w:t xml:space="preserve">Šķetre, </w:t>
      </w:r>
      <w:r w:rsidRPr="00311AA0">
        <w:rPr>
          <w:sz w:val="24"/>
          <w:szCs w:val="24"/>
        </w:rPr>
        <w:t>67122</w:t>
      </w:r>
      <w:r>
        <w:rPr>
          <w:sz w:val="24"/>
          <w:szCs w:val="24"/>
        </w:rPr>
        <w:t>013</w:t>
      </w:r>
    </w:p>
    <w:p w14:paraId="7B06BDD4" w14:textId="77777777" w:rsidR="008E445F" w:rsidRPr="00311AA0" w:rsidRDefault="00141744" w:rsidP="008E445F">
      <w:pPr>
        <w:tabs>
          <w:tab w:val="left" w:pos="6804"/>
        </w:tabs>
        <w:jc w:val="both"/>
        <w:rPr>
          <w:sz w:val="24"/>
        </w:rPr>
      </w:pPr>
      <w:hyperlink r:id="rId9" w:history="1"/>
      <w:r w:rsidR="008E445F">
        <w:rPr>
          <w:sz w:val="24"/>
          <w:szCs w:val="24"/>
        </w:rPr>
        <w:t>gunta.sketre@vid.gov.lv</w:t>
      </w:r>
    </w:p>
    <w:p w14:paraId="371BD23D" w14:textId="77777777" w:rsidR="00F43636" w:rsidRPr="00026C45" w:rsidRDefault="00F43636" w:rsidP="00026C45"/>
    <w:sectPr w:rsidR="00F43636" w:rsidRPr="00026C45" w:rsidSect="009604FB">
      <w:headerReference w:type="default" r:id="rId10"/>
      <w:footerReference w:type="default" r:id="rId11"/>
      <w:footerReference w:type="first" r:id="rId12"/>
      <w:pgSz w:w="11906" w:h="16838"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C1905" w14:textId="77777777" w:rsidR="00141744" w:rsidRDefault="00141744" w:rsidP="00D04EC6">
      <w:r>
        <w:separator/>
      </w:r>
    </w:p>
  </w:endnote>
  <w:endnote w:type="continuationSeparator" w:id="0">
    <w:p w14:paraId="679D72C7" w14:textId="77777777" w:rsidR="00141744" w:rsidRDefault="00141744" w:rsidP="00D0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1278" w14:textId="0A22FD32" w:rsidR="009604FB" w:rsidRPr="00872484" w:rsidRDefault="009604FB" w:rsidP="009604FB">
    <w:pPr>
      <w:ind w:right="-143"/>
      <w:jc w:val="both"/>
      <w:rPr>
        <w:sz w:val="20"/>
        <w:szCs w:val="20"/>
      </w:rPr>
    </w:pPr>
    <w:r>
      <w:rPr>
        <w:noProof/>
        <w:sz w:val="20"/>
        <w:szCs w:val="20"/>
      </w:rPr>
      <w:t>FMAnot_</w:t>
    </w:r>
    <w:r w:rsidR="00F648E9">
      <w:rPr>
        <w:noProof/>
        <w:sz w:val="20"/>
        <w:szCs w:val="20"/>
      </w:rPr>
      <w:t>1</w:t>
    </w:r>
    <w:r w:rsidR="000F046C">
      <w:rPr>
        <w:noProof/>
        <w:sz w:val="20"/>
        <w:szCs w:val="20"/>
      </w:rPr>
      <w:t>3</w:t>
    </w:r>
    <w:r w:rsidR="00DE0989">
      <w:rPr>
        <w:noProof/>
        <w:sz w:val="20"/>
        <w:szCs w:val="20"/>
      </w:rPr>
      <w:t>0</w:t>
    </w:r>
    <w:r w:rsidR="000F046C">
      <w:rPr>
        <w:noProof/>
        <w:sz w:val="20"/>
        <w:szCs w:val="20"/>
      </w:rPr>
      <w:t>7</w:t>
    </w:r>
    <w:r w:rsidRPr="00B3087C">
      <w:rPr>
        <w:noProof/>
        <w:sz w:val="20"/>
        <w:szCs w:val="20"/>
      </w:rPr>
      <w:t>1</w:t>
    </w:r>
    <w:r>
      <w:rPr>
        <w:noProof/>
        <w:sz w:val="20"/>
        <w:szCs w:val="20"/>
      </w:rPr>
      <w:t>7_MK</w:t>
    </w:r>
    <w:r w:rsidR="00F55A37">
      <w:rPr>
        <w:noProof/>
        <w:sz w:val="20"/>
        <w:szCs w:val="20"/>
      </w:rPr>
      <w:t>40</w:t>
    </w:r>
    <w:r>
      <w:rPr>
        <w:noProof/>
        <w:sz w:val="20"/>
        <w:szCs w:val="20"/>
      </w:rPr>
      <w:t>groz</w:t>
    </w:r>
  </w:p>
  <w:p w14:paraId="4DCA6461" w14:textId="77777777" w:rsidR="009604FB" w:rsidRPr="00C53B25" w:rsidRDefault="009604FB" w:rsidP="009604FB">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BAD0" w14:textId="7DC959D5" w:rsidR="009604FB" w:rsidRPr="00872484" w:rsidRDefault="009604FB" w:rsidP="009604FB">
    <w:pPr>
      <w:ind w:right="-143"/>
      <w:jc w:val="both"/>
      <w:rPr>
        <w:sz w:val="20"/>
        <w:szCs w:val="20"/>
      </w:rPr>
    </w:pPr>
    <w:r>
      <w:rPr>
        <w:noProof/>
        <w:sz w:val="20"/>
        <w:szCs w:val="20"/>
      </w:rPr>
      <w:t>FMAnot_</w:t>
    </w:r>
    <w:r w:rsidR="00F648E9">
      <w:rPr>
        <w:noProof/>
        <w:sz w:val="20"/>
        <w:szCs w:val="20"/>
      </w:rPr>
      <w:t>1</w:t>
    </w:r>
    <w:r w:rsidR="000F046C">
      <w:rPr>
        <w:noProof/>
        <w:sz w:val="20"/>
        <w:szCs w:val="20"/>
      </w:rPr>
      <w:t>3</w:t>
    </w:r>
    <w:r>
      <w:rPr>
        <w:noProof/>
        <w:sz w:val="20"/>
        <w:szCs w:val="20"/>
      </w:rPr>
      <w:t>0</w:t>
    </w:r>
    <w:r w:rsidR="000F046C">
      <w:rPr>
        <w:noProof/>
        <w:sz w:val="20"/>
        <w:szCs w:val="20"/>
      </w:rPr>
      <w:t>7</w:t>
    </w:r>
    <w:r>
      <w:rPr>
        <w:noProof/>
        <w:sz w:val="20"/>
        <w:szCs w:val="20"/>
      </w:rPr>
      <w:t>17_MK</w:t>
    </w:r>
    <w:r w:rsidR="00E71B99">
      <w:rPr>
        <w:noProof/>
        <w:sz w:val="20"/>
        <w:szCs w:val="20"/>
      </w:rPr>
      <w:t>40</w:t>
    </w:r>
    <w:r>
      <w:rPr>
        <w:noProof/>
        <w:sz w:val="20"/>
        <w:szCs w:val="20"/>
      </w:rPr>
      <w: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3F19" w14:textId="77777777" w:rsidR="00141744" w:rsidRDefault="00141744" w:rsidP="00D04EC6">
      <w:r>
        <w:separator/>
      </w:r>
    </w:p>
  </w:footnote>
  <w:footnote w:type="continuationSeparator" w:id="0">
    <w:p w14:paraId="074BA776" w14:textId="77777777" w:rsidR="00141744" w:rsidRDefault="00141744" w:rsidP="00D0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63EA" w14:textId="68D7B5C9" w:rsidR="009604FB" w:rsidRPr="00AA2836" w:rsidRDefault="009604FB">
    <w:pPr>
      <w:pStyle w:val="Header"/>
      <w:jc w:val="center"/>
      <w:rPr>
        <w:sz w:val="24"/>
        <w:szCs w:val="20"/>
      </w:rPr>
    </w:pPr>
    <w:r w:rsidRPr="00AA2836">
      <w:rPr>
        <w:sz w:val="24"/>
        <w:szCs w:val="20"/>
      </w:rPr>
      <w:fldChar w:fldCharType="begin"/>
    </w:r>
    <w:r w:rsidRPr="00AA2836">
      <w:rPr>
        <w:sz w:val="24"/>
        <w:szCs w:val="20"/>
      </w:rPr>
      <w:instrText xml:space="preserve"> PAGE   \* MERGEFORMAT </w:instrText>
    </w:r>
    <w:r w:rsidRPr="00AA2836">
      <w:rPr>
        <w:sz w:val="24"/>
        <w:szCs w:val="20"/>
      </w:rPr>
      <w:fldChar w:fldCharType="separate"/>
    </w:r>
    <w:r w:rsidR="00DA5C82">
      <w:rPr>
        <w:noProof/>
        <w:sz w:val="24"/>
        <w:szCs w:val="20"/>
      </w:rPr>
      <w:t>5</w:t>
    </w:r>
    <w:r w:rsidRPr="00AA2836">
      <w:rPr>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FFB"/>
    <w:multiLevelType w:val="hybridMultilevel"/>
    <w:tmpl w:val="1EFC073E"/>
    <w:lvl w:ilvl="0" w:tplc="63A2CB56">
      <w:start w:val="1"/>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1">
    <w:nsid w:val="1C5D582D"/>
    <w:multiLevelType w:val="hybridMultilevel"/>
    <w:tmpl w:val="707478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375FD9"/>
    <w:multiLevelType w:val="hybridMultilevel"/>
    <w:tmpl w:val="27205974"/>
    <w:lvl w:ilvl="0" w:tplc="46BE58AE">
      <w:start w:val="1"/>
      <w:numFmt w:val="decimal"/>
      <w:lvlText w:val="%1."/>
      <w:lvlJc w:val="left"/>
      <w:pPr>
        <w:ind w:left="371" w:hanging="360"/>
      </w:pPr>
      <w:rPr>
        <w:rFonts w:ascii="Times New Roman" w:hAnsi="Times New Roman" w:cs="Times New Roman" w:hint="default"/>
        <w:sz w:val="27"/>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3">
    <w:nsid w:val="327864C9"/>
    <w:multiLevelType w:val="hybridMultilevel"/>
    <w:tmpl w:val="FD845430"/>
    <w:lvl w:ilvl="0" w:tplc="D4B0242C">
      <w:start w:val="1"/>
      <w:numFmt w:val="decimal"/>
      <w:lvlText w:val="%1."/>
      <w:lvlJc w:val="left"/>
      <w:pPr>
        <w:ind w:left="1494"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A6A0D25"/>
    <w:multiLevelType w:val="hybridMultilevel"/>
    <w:tmpl w:val="0B60AE24"/>
    <w:lvl w:ilvl="0" w:tplc="4A2A9992">
      <w:start w:val="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Dreiškena-Lāce">
    <w15:presenceInfo w15:providerId="None" w15:userId="Rita Dreiškena-Lā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45"/>
    <w:rsid w:val="00026C45"/>
    <w:rsid w:val="00044290"/>
    <w:rsid w:val="00051AAA"/>
    <w:rsid w:val="000606DF"/>
    <w:rsid w:val="00062CF3"/>
    <w:rsid w:val="00092F89"/>
    <w:rsid w:val="000D4D98"/>
    <w:rsid w:val="000F046C"/>
    <w:rsid w:val="0010594B"/>
    <w:rsid w:val="001167E5"/>
    <w:rsid w:val="00122A8E"/>
    <w:rsid w:val="00141744"/>
    <w:rsid w:val="00141F9F"/>
    <w:rsid w:val="001435FB"/>
    <w:rsid w:val="00145CFA"/>
    <w:rsid w:val="00145E83"/>
    <w:rsid w:val="001768F1"/>
    <w:rsid w:val="00180B2B"/>
    <w:rsid w:val="00182804"/>
    <w:rsid w:val="00185BA9"/>
    <w:rsid w:val="001A0165"/>
    <w:rsid w:val="001A2038"/>
    <w:rsid w:val="001A7EF2"/>
    <w:rsid w:val="001B1D07"/>
    <w:rsid w:val="001B3395"/>
    <w:rsid w:val="001C0B12"/>
    <w:rsid w:val="001D0CB5"/>
    <w:rsid w:val="001E026E"/>
    <w:rsid w:val="001E3C0C"/>
    <w:rsid w:val="00226E00"/>
    <w:rsid w:val="00232426"/>
    <w:rsid w:val="00240203"/>
    <w:rsid w:val="002413F3"/>
    <w:rsid w:val="002728D7"/>
    <w:rsid w:val="00285F25"/>
    <w:rsid w:val="002910E4"/>
    <w:rsid w:val="002B3FA3"/>
    <w:rsid w:val="002D37A3"/>
    <w:rsid w:val="002D596E"/>
    <w:rsid w:val="002E3FE4"/>
    <w:rsid w:val="002F2728"/>
    <w:rsid w:val="002F4067"/>
    <w:rsid w:val="002F54E6"/>
    <w:rsid w:val="00315E59"/>
    <w:rsid w:val="00374DCF"/>
    <w:rsid w:val="00382422"/>
    <w:rsid w:val="0039610E"/>
    <w:rsid w:val="003A59B9"/>
    <w:rsid w:val="003B0420"/>
    <w:rsid w:val="003B5B86"/>
    <w:rsid w:val="003C0C47"/>
    <w:rsid w:val="003F487D"/>
    <w:rsid w:val="0040207E"/>
    <w:rsid w:val="0041638A"/>
    <w:rsid w:val="00447959"/>
    <w:rsid w:val="00451ADC"/>
    <w:rsid w:val="00451FC4"/>
    <w:rsid w:val="004770F9"/>
    <w:rsid w:val="00487F6B"/>
    <w:rsid w:val="00492B45"/>
    <w:rsid w:val="004974E4"/>
    <w:rsid w:val="004A160F"/>
    <w:rsid w:val="004C1242"/>
    <w:rsid w:val="004D6808"/>
    <w:rsid w:val="004E3619"/>
    <w:rsid w:val="00500A10"/>
    <w:rsid w:val="00507F2B"/>
    <w:rsid w:val="00510695"/>
    <w:rsid w:val="0052799A"/>
    <w:rsid w:val="0055717A"/>
    <w:rsid w:val="00557E50"/>
    <w:rsid w:val="00567A7F"/>
    <w:rsid w:val="00574542"/>
    <w:rsid w:val="005C027E"/>
    <w:rsid w:val="005D4C85"/>
    <w:rsid w:val="005E4B5A"/>
    <w:rsid w:val="006012D9"/>
    <w:rsid w:val="00603A51"/>
    <w:rsid w:val="006124A9"/>
    <w:rsid w:val="00631690"/>
    <w:rsid w:val="00653ABE"/>
    <w:rsid w:val="006625D6"/>
    <w:rsid w:val="00670CFE"/>
    <w:rsid w:val="00673F4F"/>
    <w:rsid w:val="00675234"/>
    <w:rsid w:val="00676227"/>
    <w:rsid w:val="0067745F"/>
    <w:rsid w:val="006775B9"/>
    <w:rsid w:val="00686652"/>
    <w:rsid w:val="00687739"/>
    <w:rsid w:val="006901A5"/>
    <w:rsid w:val="006A1711"/>
    <w:rsid w:val="006A4B7B"/>
    <w:rsid w:val="006F3A6B"/>
    <w:rsid w:val="00700AE4"/>
    <w:rsid w:val="00706DFC"/>
    <w:rsid w:val="00710323"/>
    <w:rsid w:val="007334B9"/>
    <w:rsid w:val="007706A7"/>
    <w:rsid w:val="007762E4"/>
    <w:rsid w:val="007B333C"/>
    <w:rsid w:val="007C6118"/>
    <w:rsid w:val="007D3BD9"/>
    <w:rsid w:val="007F0A2E"/>
    <w:rsid w:val="007F3536"/>
    <w:rsid w:val="008166B3"/>
    <w:rsid w:val="00823C2D"/>
    <w:rsid w:val="008337BD"/>
    <w:rsid w:val="008366A7"/>
    <w:rsid w:val="00881140"/>
    <w:rsid w:val="00885998"/>
    <w:rsid w:val="00891CA6"/>
    <w:rsid w:val="00892062"/>
    <w:rsid w:val="008C21E7"/>
    <w:rsid w:val="008D6635"/>
    <w:rsid w:val="008E445F"/>
    <w:rsid w:val="008F537C"/>
    <w:rsid w:val="008F7DBC"/>
    <w:rsid w:val="00922734"/>
    <w:rsid w:val="009516DF"/>
    <w:rsid w:val="009604FB"/>
    <w:rsid w:val="0098210D"/>
    <w:rsid w:val="009970C7"/>
    <w:rsid w:val="009A6079"/>
    <w:rsid w:val="009A6891"/>
    <w:rsid w:val="009B1016"/>
    <w:rsid w:val="009B2BDD"/>
    <w:rsid w:val="009F3F89"/>
    <w:rsid w:val="00A13D5A"/>
    <w:rsid w:val="00A20C12"/>
    <w:rsid w:val="00A37550"/>
    <w:rsid w:val="00A472CB"/>
    <w:rsid w:val="00A54F46"/>
    <w:rsid w:val="00A554B3"/>
    <w:rsid w:val="00A713C7"/>
    <w:rsid w:val="00A74416"/>
    <w:rsid w:val="00A92D29"/>
    <w:rsid w:val="00A946B7"/>
    <w:rsid w:val="00AC381B"/>
    <w:rsid w:val="00AD0BD6"/>
    <w:rsid w:val="00AD2B3E"/>
    <w:rsid w:val="00AE7488"/>
    <w:rsid w:val="00AF13C3"/>
    <w:rsid w:val="00B34FA8"/>
    <w:rsid w:val="00B415BE"/>
    <w:rsid w:val="00B73EB5"/>
    <w:rsid w:val="00B80B8A"/>
    <w:rsid w:val="00B80C88"/>
    <w:rsid w:val="00B8207A"/>
    <w:rsid w:val="00B93947"/>
    <w:rsid w:val="00BB5046"/>
    <w:rsid w:val="00BD0D68"/>
    <w:rsid w:val="00BE2196"/>
    <w:rsid w:val="00C11216"/>
    <w:rsid w:val="00C3486D"/>
    <w:rsid w:val="00C4061B"/>
    <w:rsid w:val="00C43870"/>
    <w:rsid w:val="00C444C8"/>
    <w:rsid w:val="00C531A6"/>
    <w:rsid w:val="00CD0E23"/>
    <w:rsid w:val="00CD7B99"/>
    <w:rsid w:val="00D04EC6"/>
    <w:rsid w:val="00D236A6"/>
    <w:rsid w:val="00D40248"/>
    <w:rsid w:val="00D656AB"/>
    <w:rsid w:val="00D8787A"/>
    <w:rsid w:val="00DA115F"/>
    <w:rsid w:val="00DA5C82"/>
    <w:rsid w:val="00DC04CC"/>
    <w:rsid w:val="00DC77B6"/>
    <w:rsid w:val="00DD463E"/>
    <w:rsid w:val="00DD7A99"/>
    <w:rsid w:val="00DE0989"/>
    <w:rsid w:val="00DF0133"/>
    <w:rsid w:val="00E07172"/>
    <w:rsid w:val="00E23257"/>
    <w:rsid w:val="00E242A0"/>
    <w:rsid w:val="00E611A6"/>
    <w:rsid w:val="00E614D2"/>
    <w:rsid w:val="00E71B99"/>
    <w:rsid w:val="00E8006E"/>
    <w:rsid w:val="00E85168"/>
    <w:rsid w:val="00E92109"/>
    <w:rsid w:val="00EA42B3"/>
    <w:rsid w:val="00EE1AF6"/>
    <w:rsid w:val="00EE341A"/>
    <w:rsid w:val="00EF49F1"/>
    <w:rsid w:val="00EF7A7A"/>
    <w:rsid w:val="00F122F8"/>
    <w:rsid w:val="00F127D5"/>
    <w:rsid w:val="00F12B81"/>
    <w:rsid w:val="00F43636"/>
    <w:rsid w:val="00F55A37"/>
    <w:rsid w:val="00F648E9"/>
    <w:rsid w:val="00F9785D"/>
    <w:rsid w:val="00FA3C80"/>
    <w:rsid w:val="00FD6E38"/>
    <w:rsid w:val="00FD7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45"/>
    <w:pPr>
      <w:spacing w:after="0" w:line="240" w:lineRule="auto"/>
    </w:pPr>
    <w:rPr>
      <w:rFonts w:eastAsia="Calibri"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026C45"/>
    <w:pPr>
      <w:spacing w:before="100" w:beforeAutospacing="1" w:after="100" w:afterAutospacing="1"/>
    </w:pPr>
    <w:rPr>
      <w:rFonts w:eastAsia="Times New Roman"/>
      <w:sz w:val="24"/>
      <w:szCs w:val="24"/>
      <w:lang w:eastAsia="lv-LV"/>
    </w:rPr>
  </w:style>
  <w:style w:type="paragraph" w:customStyle="1" w:styleId="naisf">
    <w:name w:val="naisf"/>
    <w:basedOn w:val="Normal"/>
    <w:rsid w:val="00026C45"/>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026C45"/>
    <w:pPr>
      <w:spacing w:after="200" w:line="276" w:lineRule="auto"/>
      <w:ind w:left="720"/>
      <w:contextualSpacing/>
    </w:pPr>
  </w:style>
  <w:style w:type="paragraph" w:styleId="CommentText">
    <w:name w:val="annotation text"/>
    <w:basedOn w:val="Normal"/>
    <w:link w:val="CommentTextChar"/>
    <w:uiPriority w:val="99"/>
    <w:unhideWhenUsed/>
    <w:rsid w:val="00026C45"/>
    <w:rPr>
      <w:rFonts w:ascii="Calibri" w:hAnsi="Calibri"/>
      <w:sz w:val="20"/>
      <w:szCs w:val="20"/>
    </w:rPr>
  </w:style>
  <w:style w:type="character" w:customStyle="1" w:styleId="CommentTextChar">
    <w:name w:val="Comment Text Char"/>
    <w:basedOn w:val="DefaultParagraphFont"/>
    <w:link w:val="CommentText"/>
    <w:uiPriority w:val="99"/>
    <w:rsid w:val="00026C45"/>
    <w:rPr>
      <w:rFonts w:ascii="Calibri" w:eastAsia="Calibri" w:hAnsi="Calibri" w:cs="Times New Roman"/>
    </w:rPr>
  </w:style>
  <w:style w:type="paragraph" w:styleId="BodyTextIndent">
    <w:name w:val="Body Text Indent"/>
    <w:basedOn w:val="Normal"/>
    <w:link w:val="BodyTextIndentChar"/>
    <w:uiPriority w:val="99"/>
    <w:rsid w:val="00026C45"/>
    <w:pPr>
      <w:ind w:firstLine="700"/>
      <w:jc w:val="both"/>
    </w:pPr>
    <w:rPr>
      <w:rFonts w:eastAsia="Times New Roman"/>
      <w:sz w:val="20"/>
      <w:szCs w:val="24"/>
    </w:rPr>
  </w:style>
  <w:style w:type="character" w:customStyle="1" w:styleId="BodyTextIndentChar">
    <w:name w:val="Body Text Indent Char"/>
    <w:basedOn w:val="DefaultParagraphFont"/>
    <w:link w:val="BodyTextIndent"/>
    <w:uiPriority w:val="99"/>
    <w:rsid w:val="00026C45"/>
    <w:rPr>
      <w:rFonts w:eastAsia="Times New Roman" w:cs="Times New Roman"/>
      <w:szCs w:val="24"/>
    </w:rPr>
  </w:style>
  <w:style w:type="paragraph" w:styleId="Header">
    <w:name w:val="header"/>
    <w:basedOn w:val="Normal"/>
    <w:link w:val="HeaderChar"/>
    <w:uiPriority w:val="99"/>
    <w:unhideWhenUsed/>
    <w:rsid w:val="00026C45"/>
    <w:pPr>
      <w:tabs>
        <w:tab w:val="center" w:pos="4153"/>
        <w:tab w:val="right" w:pos="8306"/>
      </w:tabs>
    </w:pPr>
  </w:style>
  <w:style w:type="character" w:customStyle="1" w:styleId="HeaderChar">
    <w:name w:val="Header Char"/>
    <w:basedOn w:val="DefaultParagraphFont"/>
    <w:link w:val="Header"/>
    <w:uiPriority w:val="99"/>
    <w:rsid w:val="00026C45"/>
    <w:rPr>
      <w:rFonts w:eastAsia="Calibri" w:cs="Times New Roman"/>
      <w:sz w:val="28"/>
      <w:szCs w:val="22"/>
    </w:rPr>
  </w:style>
  <w:style w:type="paragraph" w:styleId="Footer">
    <w:name w:val="footer"/>
    <w:basedOn w:val="Normal"/>
    <w:link w:val="FooterChar"/>
    <w:uiPriority w:val="99"/>
    <w:unhideWhenUsed/>
    <w:rsid w:val="00026C45"/>
    <w:pPr>
      <w:tabs>
        <w:tab w:val="center" w:pos="4153"/>
        <w:tab w:val="right" w:pos="8306"/>
      </w:tabs>
    </w:pPr>
  </w:style>
  <w:style w:type="character" w:customStyle="1" w:styleId="FooterChar">
    <w:name w:val="Footer Char"/>
    <w:basedOn w:val="DefaultParagraphFont"/>
    <w:link w:val="Footer"/>
    <w:uiPriority w:val="99"/>
    <w:rsid w:val="00026C45"/>
    <w:rPr>
      <w:rFonts w:eastAsia="Calibri" w:cs="Times New Roman"/>
      <w:sz w:val="28"/>
      <w:szCs w:val="22"/>
    </w:rPr>
  </w:style>
  <w:style w:type="paragraph" w:styleId="NormalWeb">
    <w:name w:val="Normal (Web)"/>
    <w:basedOn w:val="Normal"/>
    <w:uiPriority w:val="99"/>
    <w:rsid w:val="00026C45"/>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unhideWhenUsed/>
    <w:rsid w:val="00690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A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F487D"/>
    <w:rPr>
      <w:sz w:val="16"/>
      <w:szCs w:val="16"/>
    </w:rPr>
  </w:style>
  <w:style w:type="paragraph" w:styleId="CommentSubject">
    <w:name w:val="annotation subject"/>
    <w:basedOn w:val="CommentText"/>
    <w:next w:val="CommentText"/>
    <w:link w:val="CommentSubjectChar"/>
    <w:uiPriority w:val="99"/>
    <w:semiHidden/>
    <w:unhideWhenUsed/>
    <w:rsid w:val="003F487D"/>
    <w:rPr>
      <w:rFonts w:ascii="Times New Roman" w:hAnsi="Times New Roman"/>
      <w:b/>
      <w:bCs/>
    </w:rPr>
  </w:style>
  <w:style w:type="character" w:customStyle="1" w:styleId="CommentSubjectChar">
    <w:name w:val="Comment Subject Char"/>
    <w:basedOn w:val="CommentTextChar"/>
    <w:link w:val="CommentSubject"/>
    <w:uiPriority w:val="99"/>
    <w:semiHidden/>
    <w:rsid w:val="003F487D"/>
    <w:rPr>
      <w:rFonts w:ascii="Calibri" w:eastAsia="Calibri" w:hAnsi="Calibri" w:cs="Times New Roman"/>
      <w:b/>
      <w:bCs/>
    </w:rPr>
  </w:style>
  <w:style w:type="paragraph" w:styleId="FootnoteText">
    <w:name w:val="footnote text"/>
    <w:basedOn w:val="Normal"/>
    <w:link w:val="FootnoteTextChar"/>
    <w:uiPriority w:val="99"/>
    <w:semiHidden/>
    <w:unhideWhenUsed/>
    <w:rsid w:val="006F3A6B"/>
    <w:rPr>
      <w:sz w:val="20"/>
      <w:szCs w:val="20"/>
    </w:rPr>
  </w:style>
  <w:style w:type="character" w:customStyle="1" w:styleId="FootnoteTextChar">
    <w:name w:val="Footnote Text Char"/>
    <w:basedOn w:val="DefaultParagraphFont"/>
    <w:link w:val="FootnoteText"/>
    <w:uiPriority w:val="99"/>
    <w:semiHidden/>
    <w:rsid w:val="006F3A6B"/>
    <w:rPr>
      <w:rFonts w:eastAsia="Calibri" w:cs="Times New Roman"/>
    </w:rPr>
  </w:style>
  <w:style w:type="character" w:styleId="FootnoteReference">
    <w:name w:val="footnote reference"/>
    <w:basedOn w:val="DefaultParagraphFont"/>
    <w:uiPriority w:val="99"/>
    <w:semiHidden/>
    <w:unhideWhenUsed/>
    <w:rsid w:val="006F3A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45"/>
    <w:pPr>
      <w:spacing w:after="0" w:line="240" w:lineRule="auto"/>
    </w:pPr>
    <w:rPr>
      <w:rFonts w:eastAsia="Calibri"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026C45"/>
    <w:pPr>
      <w:spacing w:before="100" w:beforeAutospacing="1" w:after="100" w:afterAutospacing="1"/>
    </w:pPr>
    <w:rPr>
      <w:rFonts w:eastAsia="Times New Roman"/>
      <w:sz w:val="24"/>
      <w:szCs w:val="24"/>
      <w:lang w:eastAsia="lv-LV"/>
    </w:rPr>
  </w:style>
  <w:style w:type="paragraph" w:customStyle="1" w:styleId="naisf">
    <w:name w:val="naisf"/>
    <w:basedOn w:val="Normal"/>
    <w:rsid w:val="00026C45"/>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026C45"/>
    <w:pPr>
      <w:spacing w:after="200" w:line="276" w:lineRule="auto"/>
      <w:ind w:left="720"/>
      <w:contextualSpacing/>
    </w:pPr>
  </w:style>
  <w:style w:type="paragraph" w:styleId="CommentText">
    <w:name w:val="annotation text"/>
    <w:basedOn w:val="Normal"/>
    <w:link w:val="CommentTextChar"/>
    <w:uiPriority w:val="99"/>
    <w:unhideWhenUsed/>
    <w:rsid w:val="00026C45"/>
    <w:rPr>
      <w:rFonts w:ascii="Calibri" w:hAnsi="Calibri"/>
      <w:sz w:val="20"/>
      <w:szCs w:val="20"/>
    </w:rPr>
  </w:style>
  <w:style w:type="character" w:customStyle="1" w:styleId="CommentTextChar">
    <w:name w:val="Comment Text Char"/>
    <w:basedOn w:val="DefaultParagraphFont"/>
    <w:link w:val="CommentText"/>
    <w:uiPriority w:val="99"/>
    <w:rsid w:val="00026C45"/>
    <w:rPr>
      <w:rFonts w:ascii="Calibri" w:eastAsia="Calibri" w:hAnsi="Calibri" w:cs="Times New Roman"/>
    </w:rPr>
  </w:style>
  <w:style w:type="paragraph" w:styleId="BodyTextIndent">
    <w:name w:val="Body Text Indent"/>
    <w:basedOn w:val="Normal"/>
    <w:link w:val="BodyTextIndentChar"/>
    <w:uiPriority w:val="99"/>
    <w:rsid w:val="00026C45"/>
    <w:pPr>
      <w:ind w:firstLine="700"/>
      <w:jc w:val="both"/>
    </w:pPr>
    <w:rPr>
      <w:rFonts w:eastAsia="Times New Roman"/>
      <w:sz w:val="20"/>
      <w:szCs w:val="24"/>
    </w:rPr>
  </w:style>
  <w:style w:type="character" w:customStyle="1" w:styleId="BodyTextIndentChar">
    <w:name w:val="Body Text Indent Char"/>
    <w:basedOn w:val="DefaultParagraphFont"/>
    <w:link w:val="BodyTextIndent"/>
    <w:uiPriority w:val="99"/>
    <w:rsid w:val="00026C45"/>
    <w:rPr>
      <w:rFonts w:eastAsia="Times New Roman" w:cs="Times New Roman"/>
      <w:szCs w:val="24"/>
    </w:rPr>
  </w:style>
  <w:style w:type="paragraph" w:styleId="Header">
    <w:name w:val="header"/>
    <w:basedOn w:val="Normal"/>
    <w:link w:val="HeaderChar"/>
    <w:uiPriority w:val="99"/>
    <w:unhideWhenUsed/>
    <w:rsid w:val="00026C45"/>
    <w:pPr>
      <w:tabs>
        <w:tab w:val="center" w:pos="4153"/>
        <w:tab w:val="right" w:pos="8306"/>
      </w:tabs>
    </w:pPr>
  </w:style>
  <w:style w:type="character" w:customStyle="1" w:styleId="HeaderChar">
    <w:name w:val="Header Char"/>
    <w:basedOn w:val="DefaultParagraphFont"/>
    <w:link w:val="Header"/>
    <w:uiPriority w:val="99"/>
    <w:rsid w:val="00026C45"/>
    <w:rPr>
      <w:rFonts w:eastAsia="Calibri" w:cs="Times New Roman"/>
      <w:sz w:val="28"/>
      <w:szCs w:val="22"/>
    </w:rPr>
  </w:style>
  <w:style w:type="paragraph" w:styleId="Footer">
    <w:name w:val="footer"/>
    <w:basedOn w:val="Normal"/>
    <w:link w:val="FooterChar"/>
    <w:uiPriority w:val="99"/>
    <w:unhideWhenUsed/>
    <w:rsid w:val="00026C45"/>
    <w:pPr>
      <w:tabs>
        <w:tab w:val="center" w:pos="4153"/>
        <w:tab w:val="right" w:pos="8306"/>
      </w:tabs>
    </w:pPr>
  </w:style>
  <w:style w:type="character" w:customStyle="1" w:styleId="FooterChar">
    <w:name w:val="Footer Char"/>
    <w:basedOn w:val="DefaultParagraphFont"/>
    <w:link w:val="Footer"/>
    <w:uiPriority w:val="99"/>
    <w:rsid w:val="00026C45"/>
    <w:rPr>
      <w:rFonts w:eastAsia="Calibri" w:cs="Times New Roman"/>
      <w:sz w:val="28"/>
      <w:szCs w:val="22"/>
    </w:rPr>
  </w:style>
  <w:style w:type="paragraph" w:styleId="NormalWeb">
    <w:name w:val="Normal (Web)"/>
    <w:basedOn w:val="Normal"/>
    <w:uiPriority w:val="99"/>
    <w:rsid w:val="00026C45"/>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unhideWhenUsed/>
    <w:rsid w:val="00690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A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F487D"/>
    <w:rPr>
      <w:sz w:val="16"/>
      <w:szCs w:val="16"/>
    </w:rPr>
  </w:style>
  <w:style w:type="paragraph" w:styleId="CommentSubject">
    <w:name w:val="annotation subject"/>
    <w:basedOn w:val="CommentText"/>
    <w:next w:val="CommentText"/>
    <w:link w:val="CommentSubjectChar"/>
    <w:uiPriority w:val="99"/>
    <w:semiHidden/>
    <w:unhideWhenUsed/>
    <w:rsid w:val="003F487D"/>
    <w:rPr>
      <w:rFonts w:ascii="Times New Roman" w:hAnsi="Times New Roman"/>
      <w:b/>
      <w:bCs/>
    </w:rPr>
  </w:style>
  <w:style w:type="character" w:customStyle="1" w:styleId="CommentSubjectChar">
    <w:name w:val="Comment Subject Char"/>
    <w:basedOn w:val="CommentTextChar"/>
    <w:link w:val="CommentSubject"/>
    <w:uiPriority w:val="99"/>
    <w:semiHidden/>
    <w:rsid w:val="003F487D"/>
    <w:rPr>
      <w:rFonts w:ascii="Calibri" w:eastAsia="Calibri" w:hAnsi="Calibri" w:cs="Times New Roman"/>
      <w:b/>
      <w:bCs/>
    </w:rPr>
  </w:style>
  <w:style w:type="paragraph" w:styleId="FootnoteText">
    <w:name w:val="footnote text"/>
    <w:basedOn w:val="Normal"/>
    <w:link w:val="FootnoteTextChar"/>
    <w:uiPriority w:val="99"/>
    <w:semiHidden/>
    <w:unhideWhenUsed/>
    <w:rsid w:val="006F3A6B"/>
    <w:rPr>
      <w:sz w:val="20"/>
      <w:szCs w:val="20"/>
    </w:rPr>
  </w:style>
  <w:style w:type="character" w:customStyle="1" w:styleId="FootnoteTextChar">
    <w:name w:val="Footnote Text Char"/>
    <w:basedOn w:val="DefaultParagraphFont"/>
    <w:link w:val="FootnoteText"/>
    <w:uiPriority w:val="99"/>
    <w:semiHidden/>
    <w:rsid w:val="006F3A6B"/>
    <w:rPr>
      <w:rFonts w:eastAsia="Calibri" w:cs="Times New Roman"/>
    </w:rPr>
  </w:style>
  <w:style w:type="character" w:styleId="FootnoteReference">
    <w:name w:val="footnote reference"/>
    <w:basedOn w:val="DefaultParagraphFont"/>
    <w:uiPriority w:val="99"/>
    <w:semiHidden/>
    <w:unhideWhenUsed/>
    <w:rsid w:val="006F3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3227">
      <w:bodyDiv w:val="1"/>
      <w:marLeft w:val="0"/>
      <w:marRight w:val="0"/>
      <w:marTop w:val="0"/>
      <w:marBottom w:val="0"/>
      <w:divBdr>
        <w:top w:val="none" w:sz="0" w:space="0" w:color="auto"/>
        <w:left w:val="none" w:sz="0" w:space="0" w:color="auto"/>
        <w:bottom w:val="none" w:sz="0" w:space="0" w:color="auto"/>
        <w:right w:val="none" w:sz="0" w:space="0" w:color="auto"/>
      </w:divBdr>
    </w:div>
    <w:div w:id="1634603383">
      <w:bodyDiv w:val="1"/>
      <w:marLeft w:val="0"/>
      <w:marRight w:val="0"/>
      <w:marTop w:val="0"/>
      <w:marBottom w:val="0"/>
      <w:divBdr>
        <w:top w:val="none" w:sz="0" w:space="0" w:color="auto"/>
        <w:left w:val="none" w:sz="0" w:space="0" w:color="auto"/>
        <w:bottom w:val="none" w:sz="0" w:space="0" w:color="auto"/>
        <w:right w:val="none" w:sz="0" w:space="0" w:color="auto"/>
      </w:divBdr>
    </w:div>
    <w:div w:id="20602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C23A-B5B4-41AC-858D-3CDAAE27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11712</Words>
  <Characters>6677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Noteikumu projekta "Grozījumi Ministru kabineta 2013.gada 15.janvāra noteikumos Nr.40 "Noteikumi par pievienotās vērtības nodokļa deklarācijām"" sākotnējās ietekmes novērtējuma ziņojums (anotācija)</vt:lpstr>
    </vt:vector>
  </TitlesOfParts>
  <Company>Valsts ieņēmumu dienests</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2013.gada 15.janvāra noteikumos Nr.40 "Noteikumi par pievienotās vērtības nodokļa deklarācijām"" sākotnējās ietekmes novērtējuma ziņojums (anotācija)</dc:title>
  <dc:subject>anotācija</dc:subject>
  <dc:creator>Gunta.Sketre@vid.gov.lv</dc:creator>
  <dc:description>67122013, gunta.sketre@vid.gov.lv</dc:description>
  <cp:lastModifiedBy>Gunta Šķetre</cp:lastModifiedBy>
  <cp:revision>5</cp:revision>
  <cp:lastPrinted>2017-07-03T13:30:00Z</cp:lastPrinted>
  <dcterms:created xsi:type="dcterms:W3CDTF">2017-07-13T11:55:00Z</dcterms:created>
  <dcterms:modified xsi:type="dcterms:W3CDTF">2017-07-13T13:40:00Z</dcterms:modified>
</cp:coreProperties>
</file>