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8A0380" w:rsidRPr="001801B3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1905">
        <w:rPr>
          <w:rFonts w:ascii="Times New Roman" w:eastAsia="Times New Roman" w:hAnsi="Times New Roman" w:cs="Times New Roman"/>
          <w:b/>
          <w:sz w:val="30"/>
          <w:szCs w:val="30"/>
        </w:rPr>
        <w:t>„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 xml:space="preserve">Grozījumi </w:t>
      </w:r>
      <w:r w:rsidRPr="00AF1905">
        <w:rPr>
          <w:rFonts w:ascii="Times New Roman" w:eastAsia="Times New Roman" w:hAnsi="Times New Roman" w:cs="Times New Roman"/>
          <w:b/>
          <w:sz w:val="30"/>
          <w:szCs w:val="30"/>
        </w:rPr>
        <w:t>likumā „Par akcīzes nodokli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””</w:t>
      </w:r>
      <w:r w:rsidR="008D1624"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FB5FBB" w:rsidRDefault="00FB5FBB" w:rsidP="00FB5FB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Zemkopības ministrijai sagatavot grozījumus Ministru kabineta 2015.gada 14.aprīļa noteikumos Nr.194 </w:t>
      </w:r>
      <w:r w:rsidRPr="00FB5FBB">
        <w:rPr>
          <w:rFonts w:ascii="Times New Roman" w:eastAsia="Calibri" w:hAnsi="Times New Roman" w:cs="Times New Roman"/>
          <w:sz w:val="28"/>
          <w:szCs w:val="28"/>
        </w:rPr>
        <w:t>„Kārtība, kādā piemēro samazināto akcīzes nodokļa likmi iezīmētai (marķēt</w:t>
      </w:r>
      <w:bookmarkStart w:id="0" w:name="_GoBack"/>
      <w:r w:rsidRPr="00FB5FBB">
        <w:rPr>
          <w:rFonts w:ascii="Times New Roman" w:eastAsia="Calibri" w:hAnsi="Times New Roman" w:cs="Times New Roman"/>
          <w:sz w:val="28"/>
          <w:szCs w:val="28"/>
        </w:rPr>
        <w:t>a</w:t>
      </w:r>
      <w:bookmarkEnd w:id="0"/>
      <w:r w:rsidRPr="00FB5FBB">
        <w:rPr>
          <w:rFonts w:ascii="Times New Roman" w:eastAsia="Calibri" w:hAnsi="Times New Roman" w:cs="Times New Roman"/>
          <w:sz w:val="28"/>
          <w:szCs w:val="28"/>
        </w:rPr>
        <w:t>i) dīzeļdegvielai (gāzeļļai), ko izmanto lauksaimniecības produkcijas ražošanai, lauksaimniecības zemes apstrādei un meža vai purva zemes apstrādei, kurā kultivē dzērvenes vai mellenes, kā arī zemes apstrādei zem zivju dīķiem</w:t>
      </w:r>
      <w:r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r w:rsidR="00A2680C">
        <w:rPr>
          <w:rFonts w:ascii="Times New Roman" w:eastAsia="Calibri" w:hAnsi="Times New Roman" w:cs="Times New Roman"/>
          <w:sz w:val="28"/>
          <w:szCs w:val="28"/>
        </w:rPr>
        <w:t>kas paredz palielināt</w:t>
      </w:r>
      <w:r>
        <w:rPr>
          <w:rFonts w:ascii="Times New Roman" w:eastAsia="Calibri" w:hAnsi="Times New Roman" w:cs="Times New Roman"/>
          <w:sz w:val="28"/>
          <w:szCs w:val="28"/>
        </w:rPr>
        <w:t xml:space="preserve"> lauksaimniecības produkcijas ražotāju, kas ir tiesīgi iegādāties dīzeļdegvielu ar samazinātu akcīzes nod</w:t>
      </w:r>
      <w:r w:rsidR="00257C3A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kļa likmi, efektivitātes nosacījumus</w:t>
      </w:r>
      <w:r w:rsidR="00F86D1D">
        <w:rPr>
          <w:rFonts w:ascii="Times New Roman" w:eastAsia="Calibri" w:hAnsi="Times New Roman" w:cs="Times New Roman"/>
          <w:sz w:val="28"/>
          <w:szCs w:val="28"/>
        </w:rPr>
        <w:t>,</w:t>
      </w:r>
      <w:r w:rsidR="00A2680C">
        <w:rPr>
          <w:rFonts w:ascii="Times New Roman" w:eastAsia="Calibri" w:hAnsi="Times New Roman" w:cs="Times New Roman"/>
          <w:sz w:val="28"/>
          <w:szCs w:val="28"/>
        </w:rPr>
        <w:t xml:space="preserve"> sākot ar 2018.gada 1.jūliju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6367" w:rsidRPr="009547B8" w:rsidRDefault="00D06367" w:rsidP="00D06367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7B8">
        <w:rPr>
          <w:rFonts w:ascii="Times New Roman" w:eastAsia="Calibri" w:hAnsi="Times New Roman" w:cs="Times New Roman"/>
          <w:sz w:val="28"/>
          <w:szCs w:val="28"/>
        </w:rPr>
        <w:t xml:space="preserve">Finanšu ministrijai pēc akcīzes nodokļa likmes paaugstināšanas dīzeļdegvielai 2018. un 2020.gadā analizēt dīzeļdegvielas patēriņa izmaiņas un </w:t>
      </w:r>
      <w:r>
        <w:rPr>
          <w:rFonts w:ascii="Times New Roman" w:eastAsia="Calibri" w:hAnsi="Times New Roman" w:cs="Times New Roman"/>
          <w:sz w:val="28"/>
          <w:szCs w:val="28"/>
        </w:rPr>
        <w:t xml:space="preserve">akcīzes nodokļa ieņēmumu par </w:t>
      </w:r>
      <w:r w:rsidRPr="009547B8">
        <w:rPr>
          <w:rFonts w:ascii="Times New Roman" w:eastAsia="Calibri" w:hAnsi="Times New Roman" w:cs="Times New Roman"/>
          <w:sz w:val="28"/>
          <w:szCs w:val="28"/>
        </w:rPr>
        <w:t>dīzeļdegviel</w:t>
      </w:r>
      <w:r>
        <w:rPr>
          <w:rFonts w:ascii="Times New Roman" w:eastAsia="Calibri" w:hAnsi="Times New Roman" w:cs="Times New Roman"/>
          <w:sz w:val="28"/>
          <w:szCs w:val="28"/>
        </w:rPr>
        <w:t xml:space="preserve">u </w:t>
      </w:r>
      <w:r w:rsidRPr="009547B8">
        <w:rPr>
          <w:rFonts w:ascii="Times New Roman" w:eastAsia="Calibri" w:hAnsi="Times New Roman" w:cs="Times New Roman"/>
          <w:sz w:val="28"/>
          <w:szCs w:val="28"/>
        </w:rPr>
        <w:t xml:space="preserve">strauja samazināšanās gadījumā sniegt priekšlikumus akcīzes nodokļa likmes </w:t>
      </w:r>
      <w:r>
        <w:rPr>
          <w:rFonts w:ascii="Times New Roman" w:eastAsia="Calibri" w:hAnsi="Times New Roman" w:cs="Times New Roman"/>
          <w:sz w:val="28"/>
          <w:szCs w:val="28"/>
        </w:rPr>
        <w:t>dīzeļdegvielai pārskatīšanai, ņemot vērā situāciju Baltijas valstīs</w:t>
      </w:r>
      <w:r w:rsidRPr="009547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624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Valsts kancelejai sagatavot likumprojektu iesniegšanai Saeimā.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C04A03" w:rsidP="00C04A0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A03">
        <w:rPr>
          <w:rFonts w:ascii="Times New Roman" w:eastAsia="Calibri" w:hAnsi="Times New Roman" w:cs="Times New Roman"/>
          <w:sz w:val="28"/>
          <w:szCs w:val="28"/>
        </w:rPr>
        <w:t>Lūgt Saeimu atzīt likumprojektu par steidzamu un izskatīt to nodokļu reformas likumprojektu paketē.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ministre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D13D16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D13D16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AF1905">
      <w:rPr>
        <w:rFonts w:ascii="Times New Roman" w:hAnsi="Times New Roman"/>
        <w:sz w:val="20"/>
        <w:szCs w:val="20"/>
      </w:rPr>
      <w:t>270617_NPP_AN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D06367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D1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0E5519"/>
    <w:rsid w:val="001801B3"/>
    <w:rsid w:val="001C3CF6"/>
    <w:rsid w:val="001D6539"/>
    <w:rsid w:val="00205049"/>
    <w:rsid w:val="0022641B"/>
    <w:rsid w:val="0023230E"/>
    <w:rsid w:val="00250078"/>
    <w:rsid w:val="002549B0"/>
    <w:rsid w:val="0025768F"/>
    <w:rsid w:val="00257C3A"/>
    <w:rsid w:val="00274404"/>
    <w:rsid w:val="00274497"/>
    <w:rsid w:val="002872F5"/>
    <w:rsid w:val="00292F5C"/>
    <w:rsid w:val="002D5C99"/>
    <w:rsid w:val="003118E6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3A39"/>
    <w:rsid w:val="00840AFA"/>
    <w:rsid w:val="008A0380"/>
    <w:rsid w:val="008D1624"/>
    <w:rsid w:val="008E1DA1"/>
    <w:rsid w:val="008E3742"/>
    <w:rsid w:val="0091220F"/>
    <w:rsid w:val="00927626"/>
    <w:rsid w:val="009A29D0"/>
    <w:rsid w:val="009A46F9"/>
    <w:rsid w:val="009B18D8"/>
    <w:rsid w:val="00A0097E"/>
    <w:rsid w:val="00A2680C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BF113E"/>
    <w:rsid w:val="00C04A03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06367"/>
    <w:rsid w:val="00D13D16"/>
    <w:rsid w:val="00D406F9"/>
    <w:rsid w:val="00D758A8"/>
    <w:rsid w:val="00DA4788"/>
    <w:rsid w:val="00DC73D1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86D1D"/>
    <w:rsid w:val="00F91163"/>
    <w:rsid w:val="00F95EA0"/>
    <w:rsid w:val="00FA178E"/>
    <w:rsid w:val="00FA6806"/>
    <w:rsid w:val="00FB5FBB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4A54-E23B-4D1D-9A09-3B2A9DED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 akcīzes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 akcīzes nodokli""</dc:title>
  <dc:subject>MK sēdes protokollēmums</dc:subject>
  <dc:creator>Ella Hartmane</dc:creator>
  <dc:description>Ella.Hartmane@fm.gov.lv
T.:67095525</dc:description>
  <cp:lastModifiedBy>Gunta Pužule</cp:lastModifiedBy>
  <cp:revision>12</cp:revision>
  <cp:lastPrinted>2017-07-06T10:56:00Z</cp:lastPrinted>
  <dcterms:created xsi:type="dcterms:W3CDTF">2017-06-27T13:05:00Z</dcterms:created>
  <dcterms:modified xsi:type="dcterms:W3CDTF">2017-07-06T11:14:00Z</dcterms:modified>
</cp:coreProperties>
</file>