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A5D2" w14:textId="77777777" w:rsidR="006A4494" w:rsidRDefault="006A4494" w:rsidP="000D3520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14:paraId="63BF7295" w14:textId="29EB9E83" w:rsidR="004A7EF0" w:rsidRPr="0057600B" w:rsidRDefault="00E77EAE" w:rsidP="000D3520">
      <w:pPr>
        <w:jc w:val="center"/>
        <w:rPr>
          <w:b/>
          <w:bCs/>
          <w:sz w:val="26"/>
          <w:szCs w:val="26"/>
          <w:lang w:eastAsia="ru-RU"/>
        </w:rPr>
      </w:pPr>
      <w:r w:rsidRPr="0057600B">
        <w:rPr>
          <w:b/>
          <w:sz w:val="26"/>
          <w:szCs w:val="26"/>
          <w:lang w:eastAsia="ru-RU"/>
        </w:rPr>
        <w:t>Likumprojekta</w:t>
      </w:r>
      <w:r w:rsidR="004A7EF0" w:rsidRPr="0057600B">
        <w:rPr>
          <w:b/>
          <w:sz w:val="26"/>
          <w:szCs w:val="26"/>
          <w:lang w:eastAsia="ru-RU"/>
        </w:rPr>
        <w:t xml:space="preserve"> </w:t>
      </w:r>
      <w:r w:rsidR="00372B9B" w:rsidRPr="0057600B">
        <w:rPr>
          <w:b/>
          <w:sz w:val="26"/>
          <w:szCs w:val="26"/>
          <w:lang w:eastAsia="ru-RU"/>
        </w:rPr>
        <w:t>“</w:t>
      </w:r>
      <w:r w:rsidR="009F22AB" w:rsidRPr="0057600B">
        <w:rPr>
          <w:b/>
          <w:sz w:val="26"/>
          <w:szCs w:val="26"/>
          <w:lang w:eastAsia="ru-RU"/>
        </w:rPr>
        <w:t>Grozījum</w:t>
      </w:r>
      <w:r w:rsidR="005D43EE" w:rsidRPr="0057600B">
        <w:rPr>
          <w:b/>
          <w:sz w:val="26"/>
          <w:szCs w:val="26"/>
          <w:lang w:eastAsia="ru-RU"/>
        </w:rPr>
        <w:t>i</w:t>
      </w:r>
      <w:r w:rsidR="009F22AB" w:rsidRPr="0057600B">
        <w:rPr>
          <w:b/>
          <w:sz w:val="26"/>
          <w:szCs w:val="26"/>
          <w:lang w:eastAsia="ru-RU"/>
        </w:rPr>
        <w:t xml:space="preserve"> likumā “Par izložu un azartspēļu nodevu un nodokli”</w:t>
      </w:r>
      <w:r w:rsidR="004A7EF0" w:rsidRPr="0057600B">
        <w:rPr>
          <w:b/>
          <w:sz w:val="26"/>
          <w:szCs w:val="26"/>
          <w:lang w:eastAsia="ru-RU"/>
        </w:rPr>
        <w:t xml:space="preserve">” </w:t>
      </w:r>
      <w:r w:rsidR="004A7EF0" w:rsidRPr="0057600B">
        <w:rPr>
          <w:b/>
          <w:bCs/>
          <w:sz w:val="26"/>
          <w:szCs w:val="26"/>
          <w:lang w:eastAsia="ru-RU"/>
        </w:rPr>
        <w:t>sākotnējās ietekmes novērtējuma ziņojums (anotācija)</w:t>
      </w:r>
    </w:p>
    <w:p w14:paraId="63BF7296" w14:textId="77777777" w:rsidR="001E4890" w:rsidRPr="0057600B" w:rsidRDefault="001E4890" w:rsidP="000D3520">
      <w:pPr>
        <w:jc w:val="center"/>
        <w:rPr>
          <w:bCs/>
        </w:rPr>
      </w:pP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2126"/>
        <w:gridCol w:w="6972"/>
      </w:tblGrid>
      <w:tr w:rsidR="0057600B" w:rsidRPr="0057600B" w14:paraId="63BF7298" w14:textId="77777777" w:rsidTr="00A436B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3BF7297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600B">
              <w:rPr>
                <w:b/>
                <w:bCs/>
              </w:rPr>
              <w:t>I. Tiesību akta projekta izstrādes nepieciešamība</w:t>
            </w:r>
          </w:p>
        </w:tc>
      </w:tr>
      <w:tr w:rsidR="0057600B" w:rsidRPr="0057600B" w14:paraId="63BF729E" w14:textId="77777777" w:rsidTr="000D3520">
        <w:trPr>
          <w:trHeight w:val="646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99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1.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9A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Pamatojums</w:t>
            </w:r>
          </w:p>
        </w:tc>
        <w:tc>
          <w:tcPr>
            <w:tcW w:w="3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F99D3" w14:textId="5E177D99" w:rsidR="002348C4" w:rsidRPr="00EE626F" w:rsidRDefault="005369C5" w:rsidP="00F30AEB">
            <w:pPr>
              <w:jc w:val="both"/>
            </w:pPr>
            <w:r w:rsidRPr="0057600B">
              <w:t>1</w:t>
            </w:r>
            <w:r w:rsidRPr="00EE626F">
              <w:t xml:space="preserve">) </w:t>
            </w:r>
            <w:r w:rsidR="008B6A0C" w:rsidRPr="00EE626F">
              <w:t>Ministru kabineta 201</w:t>
            </w:r>
            <w:r w:rsidR="002348C4" w:rsidRPr="00EE626F">
              <w:t>7</w:t>
            </w:r>
            <w:r w:rsidR="008B6A0C" w:rsidRPr="00EE626F">
              <w:t xml:space="preserve">.gada </w:t>
            </w:r>
            <w:r w:rsidR="002348C4" w:rsidRPr="00EE626F">
              <w:t>9</w:t>
            </w:r>
            <w:r w:rsidR="008B6A0C" w:rsidRPr="00EE626F">
              <w:t>.</w:t>
            </w:r>
            <w:r w:rsidR="002348C4" w:rsidRPr="00EE626F">
              <w:t>maij</w:t>
            </w:r>
            <w:r w:rsidR="008B6A0C" w:rsidRPr="00EE626F">
              <w:t>a sēdes</w:t>
            </w:r>
            <w:r w:rsidR="002348C4" w:rsidRPr="00EE626F">
              <w:t xml:space="preserve"> protokol</w:t>
            </w:r>
            <w:r w:rsidR="00171DC4" w:rsidRPr="00EE626F">
              <w:t>a</w:t>
            </w:r>
            <w:r w:rsidR="008B6A0C" w:rsidRPr="00EE626F">
              <w:t xml:space="preserve"> Nr.</w:t>
            </w:r>
            <w:r w:rsidR="002348C4" w:rsidRPr="00EE626F">
              <w:t>23</w:t>
            </w:r>
            <w:r w:rsidR="008B6A0C" w:rsidRPr="00EE626F">
              <w:t xml:space="preserve"> </w:t>
            </w:r>
            <w:r w:rsidR="002348C4" w:rsidRPr="00EE626F">
              <w:t xml:space="preserve">21.§ </w:t>
            </w:r>
            <w:r w:rsidR="008B6A0C" w:rsidRPr="00EE626F">
              <w:t>“</w:t>
            </w:r>
            <w:r w:rsidR="002348C4" w:rsidRPr="00EE626F">
              <w:rPr>
                <w:shd w:val="clear" w:color="auto" w:fill="FFFFFF"/>
              </w:rPr>
              <w:t>Pamatnostādņu projekts “Valsts nodokļu politikas pamatnostādnes 2018.-2021.gadam</w:t>
            </w:r>
            <w:r w:rsidR="008B6A0C" w:rsidRPr="00EE626F">
              <w:t>””.</w:t>
            </w:r>
          </w:p>
          <w:p w14:paraId="63BF729D" w14:textId="416B8BF3" w:rsidR="00F30AEB" w:rsidRPr="0057600B" w:rsidRDefault="005369C5" w:rsidP="00EE626F">
            <w:pPr>
              <w:pStyle w:val="Heading3"/>
              <w:shd w:val="clear" w:color="auto" w:fill="FFFFFF"/>
              <w:ind w:firstLine="0"/>
              <w:jc w:val="both"/>
            </w:pPr>
            <w:r w:rsidRPr="00EE626F">
              <w:rPr>
                <w:sz w:val="24"/>
                <w:szCs w:val="24"/>
                <w:shd w:val="clear" w:color="auto" w:fill="FFFFFF"/>
              </w:rPr>
              <w:t>2)</w:t>
            </w:r>
            <w:r w:rsidR="005D19EE" w:rsidRPr="00EE62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E5C9F" w:rsidRPr="00EE626F">
              <w:rPr>
                <w:sz w:val="24"/>
                <w:szCs w:val="24"/>
              </w:rPr>
              <w:t>Ar Ministru kabineta 2017.gada 24.maija</w:t>
            </w:r>
            <w:r w:rsidR="00A20340" w:rsidRPr="00EE626F">
              <w:rPr>
                <w:sz w:val="24"/>
                <w:szCs w:val="24"/>
              </w:rPr>
              <w:t xml:space="preserve"> rīkojuma</w:t>
            </w:r>
            <w:r w:rsidR="003E5C9F" w:rsidRPr="00EE626F">
              <w:rPr>
                <w:sz w:val="24"/>
                <w:szCs w:val="24"/>
              </w:rPr>
              <w:t xml:space="preserve"> Nr.245 “</w:t>
            </w:r>
            <w:r w:rsidR="003E5C9F" w:rsidRPr="00EE626F">
              <w:rPr>
                <w:bCs/>
                <w:sz w:val="24"/>
                <w:szCs w:val="24"/>
                <w:lang w:eastAsia="lv-LV"/>
              </w:rPr>
              <w:t>Par Valsts nodokļu politikas pamatnostādnēm 2018.-2021.gadam”</w:t>
            </w:r>
            <w:r w:rsidR="00A20340" w:rsidRPr="00EE626F">
              <w:rPr>
                <w:bCs/>
                <w:sz w:val="24"/>
                <w:szCs w:val="24"/>
                <w:lang w:eastAsia="lv-LV"/>
              </w:rPr>
              <w:t xml:space="preserve"> (prot. Nr.23 </w:t>
            </w:r>
            <w:r w:rsidR="00A20340" w:rsidRPr="00EE626F">
              <w:rPr>
                <w:sz w:val="24"/>
                <w:szCs w:val="24"/>
              </w:rPr>
              <w:t xml:space="preserve">21.§) </w:t>
            </w:r>
            <w:r w:rsidR="00A20340" w:rsidRPr="00EE626F">
              <w:rPr>
                <w:bCs/>
                <w:sz w:val="24"/>
                <w:szCs w:val="24"/>
                <w:lang w:eastAsia="lv-LV"/>
              </w:rPr>
              <w:t>1.punktu</w:t>
            </w:r>
            <w:r w:rsidR="003E5C9F" w:rsidRPr="00EE626F">
              <w:rPr>
                <w:bCs/>
                <w:sz w:val="24"/>
                <w:szCs w:val="24"/>
                <w:lang w:eastAsia="lv-LV"/>
              </w:rPr>
              <w:t xml:space="preserve"> </w:t>
            </w:r>
            <w:r w:rsidR="003E5C9F" w:rsidRPr="00EE626F">
              <w:rPr>
                <w:sz w:val="24"/>
                <w:szCs w:val="24"/>
              </w:rPr>
              <w:t>a</w:t>
            </w:r>
            <w:r w:rsidR="00A20340" w:rsidRPr="00EE626F">
              <w:rPr>
                <w:sz w:val="24"/>
                <w:szCs w:val="24"/>
              </w:rPr>
              <w:t xml:space="preserve">tbalstīto </w:t>
            </w:r>
            <w:r w:rsidR="00A20340" w:rsidRPr="00EE626F">
              <w:rPr>
                <w:sz w:val="24"/>
                <w:szCs w:val="24"/>
                <w:shd w:val="clear" w:color="auto" w:fill="FFFFFF"/>
              </w:rPr>
              <w:t>Valsts nodokļu politikas pamatnostādņu 2018.-2021.gadam</w:t>
            </w:r>
            <w:r w:rsidR="00A478C6" w:rsidRPr="00EE62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478C6" w:rsidRPr="00EE626F">
              <w:rPr>
                <w:sz w:val="24"/>
                <w:szCs w:val="24"/>
              </w:rPr>
              <w:t xml:space="preserve">(turpmāk </w:t>
            </w:r>
            <w:r w:rsidR="00AC59BE" w:rsidRPr="00EE626F">
              <w:rPr>
                <w:sz w:val="24"/>
                <w:szCs w:val="24"/>
              </w:rPr>
              <w:t>–</w:t>
            </w:r>
            <w:r w:rsidR="00A478C6" w:rsidRPr="00EE626F">
              <w:rPr>
                <w:sz w:val="24"/>
                <w:szCs w:val="24"/>
              </w:rPr>
              <w:t xml:space="preserve"> </w:t>
            </w:r>
            <w:r w:rsidR="00A478C6" w:rsidRPr="00EE626F">
              <w:rPr>
                <w:sz w:val="24"/>
                <w:szCs w:val="24"/>
                <w:shd w:val="clear" w:color="auto" w:fill="FFFFFF"/>
              </w:rPr>
              <w:t>Valsts nodokļu politikas pamatnostādnes 2018.-2021.gadam</w:t>
            </w:r>
            <w:r w:rsidR="00A478C6" w:rsidRPr="001570A6">
              <w:rPr>
                <w:sz w:val="24"/>
                <w:szCs w:val="24"/>
              </w:rPr>
              <w:t>)</w:t>
            </w:r>
            <w:r w:rsidR="00A478C6" w:rsidRPr="001570A6">
              <w:t xml:space="preserve"> </w:t>
            </w:r>
            <w:r w:rsidR="00A20340" w:rsidRPr="001570A6">
              <w:rPr>
                <w:sz w:val="24"/>
                <w:szCs w:val="24"/>
              </w:rPr>
              <w:t>V sadaļā “Rīcības virzieni un uzdevumi” dot</w:t>
            </w:r>
            <w:r w:rsidR="00EE626F">
              <w:rPr>
                <w:sz w:val="24"/>
                <w:szCs w:val="24"/>
              </w:rPr>
              <w:t>ais</w:t>
            </w:r>
            <w:r w:rsidR="00A20340" w:rsidRPr="001570A6">
              <w:rPr>
                <w:sz w:val="24"/>
                <w:szCs w:val="24"/>
              </w:rPr>
              <w:t xml:space="preserve"> 1</w:t>
            </w:r>
            <w:r w:rsidR="00A20340" w:rsidRPr="001570A6">
              <w:rPr>
                <w:bCs/>
                <w:sz w:val="24"/>
                <w:szCs w:val="24"/>
              </w:rPr>
              <w:t>.7.1.uzdevum</w:t>
            </w:r>
            <w:r w:rsidR="00EE626F">
              <w:rPr>
                <w:bCs/>
                <w:sz w:val="24"/>
                <w:szCs w:val="24"/>
              </w:rPr>
              <w:t>s</w:t>
            </w:r>
            <w:r w:rsidR="00A20340" w:rsidRPr="001570A6">
              <w:rPr>
                <w:bCs/>
                <w:sz w:val="24"/>
                <w:szCs w:val="24"/>
              </w:rPr>
              <w:t>.</w:t>
            </w:r>
          </w:p>
        </w:tc>
      </w:tr>
      <w:tr w:rsidR="0057600B" w:rsidRPr="0057600B" w14:paraId="63BF72AE" w14:textId="77777777" w:rsidTr="000D3520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9F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2.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A0" w14:textId="1700C9CB" w:rsidR="005D43EE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Pašreizējā situācija un problēmas</w:t>
            </w:r>
            <w:r w:rsidR="002A4871" w:rsidRPr="0057600B">
              <w:t>, kuru risināšanai tiesību akta projekts izstrādāts</w:t>
            </w:r>
            <w:r w:rsidR="002A7800" w:rsidRPr="0057600B">
              <w:t>, tiesiskā regulējuma mērķis un būtība</w:t>
            </w:r>
          </w:p>
          <w:p w14:paraId="7B283A37" w14:textId="77777777" w:rsidR="005D43EE" w:rsidRPr="0057600B" w:rsidRDefault="005D43EE" w:rsidP="005D43EE"/>
          <w:p w14:paraId="42788311" w14:textId="77777777" w:rsidR="005D43EE" w:rsidRPr="0057600B" w:rsidRDefault="005D43EE" w:rsidP="005D43EE"/>
          <w:p w14:paraId="1D170B89" w14:textId="77777777" w:rsidR="005D43EE" w:rsidRPr="0057600B" w:rsidRDefault="005D43EE" w:rsidP="005D43EE"/>
          <w:p w14:paraId="769C97F9" w14:textId="77777777" w:rsidR="005D43EE" w:rsidRPr="0057600B" w:rsidRDefault="005D43EE" w:rsidP="005D43EE"/>
          <w:p w14:paraId="5B27D3CA" w14:textId="77777777" w:rsidR="005D43EE" w:rsidRPr="0057600B" w:rsidRDefault="005D43EE" w:rsidP="005D43EE"/>
          <w:p w14:paraId="4A7B9B4E" w14:textId="77777777" w:rsidR="005D43EE" w:rsidRPr="0057600B" w:rsidRDefault="005D43EE" w:rsidP="005D43EE"/>
          <w:p w14:paraId="784EAC84" w14:textId="77777777" w:rsidR="005D43EE" w:rsidRPr="0057600B" w:rsidRDefault="005D43EE" w:rsidP="005D43EE"/>
          <w:p w14:paraId="33AE8CB9" w14:textId="77777777" w:rsidR="005D43EE" w:rsidRPr="0057600B" w:rsidRDefault="005D43EE" w:rsidP="005D43EE"/>
          <w:p w14:paraId="626DC365" w14:textId="77777777" w:rsidR="005D43EE" w:rsidRPr="0057600B" w:rsidRDefault="005D43EE" w:rsidP="005D43EE"/>
          <w:p w14:paraId="6B3D4A0A" w14:textId="77777777" w:rsidR="005D43EE" w:rsidRPr="0057600B" w:rsidRDefault="005D43EE" w:rsidP="005D43EE"/>
          <w:p w14:paraId="3D23767A" w14:textId="77777777" w:rsidR="005D43EE" w:rsidRPr="0057600B" w:rsidRDefault="005D43EE" w:rsidP="005D43EE"/>
          <w:p w14:paraId="4A1F7C33" w14:textId="77777777" w:rsidR="005D43EE" w:rsidRPr="0057600B" w:rsidRDefault="005D43EE" w:rsidP="005D43EE"/>
          <w:p w14:paraId="72F21965" w14:textId="77777777" w:rsidR="005D43EE" w:rsidRPr="0057600B" w:rsidRDefault="005D43EE" w:rsidP="005D43EE"/>
          <w:p w14:paraId="413B2930" w14:textId="77777777" w:rsidR="005D43EE" w:rsidRPr="0057600B" w:rsidRDefault="005D43EE" w:rsidP="005D43EE"/>
          <w:p w14:paraId="66944725" w14:textId="77777777" w:rsidR="005D43EE" w:rsidRPr="0057600B" w:rsidRDefault="005D43EE" w:rsidP="005D43EE"/>
          <w:p w14:paraId="29D1525A" w14:textId="77777777" w:rsidR="005D43EE" w:rsidRPr="0057600B" w:rsidRDefault="005D43EE" w:rsidP="005D43EE"/>
          <w:p w14:paraId="685A24F3" w14:textId="77777777" w:rsidR="005D43EE" w:rsidRPr="0057600B" w:rsidRDefault="005D43EE" w:rsidP="005D43EE"/>
          <w:p w14:paraId="2691043B" w14:textId="77777777" w:rsidR="005D43EE" w:rsidRPr="0057600B" w:rsidRDefault="005D43EE" w:rsidP="005D43EE"/>
          <w:p w14:paraId="7CEC6D29" w14:textId="77777777" w:rsidR="005D43EE" w:rsidRPr="0057600B" w:rsidRDefault="005D43EE" w:rsidP="005D43EE"/>
          <w:p w14:paraId="3CAF017D" w14:textId="77777777" w:rsidR="005D43EE" w:rsidRPr="0057600B" w:rsidRDefault="005D43EE" w:rsidP="005D43EE"/>
          <w:p w14:paraId="3D457942" w14:textId="77777777" w:rsidR="005D43EE" w:rsidRPr="0057600B" w:rsidRDefault="005D43EE" w:rsidP="005D43EE"/>
          <w:p w14:paraId="00D09CEB" w14:textId="77777777" w:rsidR="005D43EE" w:rsidRPr="0057600B" w:rsidRDefault="005D43EE" w:rsidP="005D43EE"/>
          <w:p w14:paraId="24086BD8" w14:textId="77777777" w:rsidR="005D43EE" w:rsidRPr="0057600B" w:rsidRDefault="005D43EE" w:rsidP="005D43EE"/>
          <w:p w14:paraId="02357FA4" w14:textId="77777777" w:rsidR="005D43EE" w:rsidRPr="0057600B" w:rsidRDefault="005D43EE" w:rsidP="005D43EE"/>
          <w:p w14:paraId="7C2C69A7" w14:textId="77777777" w:rsidR="005D43EE" w:rsidRPr="0057600B" w:rsidRDefault="005D43EE" w:rsidP="005D43EE"/>
          <w:p w14:paraId="3C543B0A" w14:textId="77777777" w:rsidR="005D43EE" w:rsidRPr="0057600B" w:rsidRDefault="005D43EE" w:rsidP="005D43EE"/>
          <w:p w14:paraId="2014DFF9" w14:textId="77777777" w:rsidR="005D43EE" w:rsidRPr="0057600B" w:rsidRDefault="005D43EE" w:rsidP="005D43EE"/>
          <w:p w14:paraId="63D3A4FC" w14:textId="77777777" w:rsidR="005D43EE" w:rsidRPr="0057600B" w:rsidRDefault="005D43EE" w:rsidP="005D43EE"/>
          <w:p w14:paraId="7F81F850" w14:textId="77777777" w:rsidR="005D43EE" w:rsidRPr="0057600B" w:rsidRDefault="005D43EE" w:rsidP="005D43EE"/>
          <w:p w14:paraId="3EC626F1" w14:textId="77777777" w:rsidR="005D43EE" w:rsidRPr="0057600B" w:rsidRDefault="005D43EE" w:rsidP="005D43EE"/>
          <w:p w14:paraId="2B7C9E2B" w14:textId="77777777" w:rsidR="005D43EE" w:rsidRPr="0057600B" w:rsidRDefault="005D43EE" w:rsidP="005D43EE"/>
          <w:p w14:paraId="550BB5B0" w14:textId="77777777" w:rsidR="005D43EE" w:rsidRPr="0057600B" w:rsidRDefault="005D43EE" w:rsidP="005D43EE"/>
          <w:p w14:paraId="144A1C48" w14:textId="66CCACBD" w:rsidR="001E4890" w:rsidRPr="0057600B" w:rsidRDefault="001E4890" w:rsidP="005D43EE"/>
        </w:tc>
        <w:tc>
          <w:tcPr>
            <w:tcW w:w="3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42581" w14:textId="08584436" w:rsidR="00AC59BE" w:rsidRPr="00AC59BE" w:rsidRDefault="00AC59BE" w:rsidP="00AC59BE">
            <w:pPr>
              <w:pStyle w:val="Heading3"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AC59BE">
              <w:rPr>
                <w:sz w:val="24"/>
                <w:szCs w:val="24"/>
                <w:shd w:val="clear" w:color="auto" w:fill="FFFFFF"/>
              </w:rPr>
              <w:lastRenderedPageBreak/>
              <w:t xml:space="preserve">Valsts nodokļu politikas pamatnostādņu 2018.-2021.gadam </w:t>
            </w:r>
            <w:r w:rsidRPr="00AC59BE">
              <w:rPr>
                <w:sz w:val="24"/>
                <w:szCs w:val="24"/>
              </w:rPr>
              <w:t>V sadaļā “Rīcības virzieni un uzdevumi” dotais 1</w:t>
            </w:r>
            <w:r w:rsidRPr="00AC59BE">
              <w:rPr>
                <w:bCs/>
                <w:sz w:val="24"/>
                <w:szCs w:val="24"/>
              </w:rPr>
              <w:t>.7.1.uzdevums nosaka</w:t>
            </w:r>
            <w:r w:rsidRPr="001570A6">
              <w:rPr>
                <w:sz w:val="24"/>
                <w:szCs w:val="24"/>
                <w:shd w:val="clear" w:color="auto" w:fill="FFFFFF"/>
              </w:rPr>
              <w:t xml:space="preserve"> paaugstināt azartspēļu (automātiem un spēļu galdiem) nodokļa likmes par 30%</w:t>
            </w:r>
            <w:r w:rsidRPr="00AC59BE">
              <w:rPr>
                <w:bCs/>
                <w:sz w:val="24"/>
                <w:szCs w:val="24"/>
              </w:rPr>
              <w:t>.</w:t>
            </w:r>
          </w:p>
          <w:p w14:paraId="091CAB0A" w14:textId="02AE62E2" w:rsidR="007D4A68" w:rsidRPr="00A04250" w:rsidRDefault="007D4A68" w:rsidP="007D4A68">
            <w:pPr>
              <w:shd w:val="clear" w:color="auto" w:fill="FFFFFF"/>
              <w:jc w:val="both"/>
            </w:pPr>
            <w:r w:rsidRPr="00A04250">
              <w:t xml:space="preserve">Likuma “Par izložu un azartspēļu nodevu un nodokli” 3.panta pirmā daļa </w:t>
            </w:r>
            <w:r w:rsidR="00C6235F" w:rsidRPr="00A04250">
              <w:t>nosaka</w:t>
            </w:r>
            <w:r w:rsidRPr="00A04250">
              <w:t>, ka </w:t>
            </w:r>
            <w:r w:rsidRPr="00A04250">
              <w:rPr>
                <w:shd w:val="clear" w:color="auto" w:fill="FFFFFF"/>
              </w:rPr>
              <w:t>ar azartspēļu nodokli apliekamais objekts ir azartspēļu organizētājs</w:t>
            </w:r>
            <w:r w:rsidR="00C6235F" w:rsidRPr="00A04250">
              <w:rPr>
                <w:shd w:val="clear" w:color="auto" w:fill="FFFFFF"/>
              </w:rPr>
              <w:t xml:space="preserve"> </w:t>
            </w:r>
            <w:r w:rsidRPr="00A04250">
              <w:t>–</w:t>
            </w:r>
            <w:r w:rsidR="00572A89" w:rsidRPr="00A04250">
              <w:t xml:space="preserve"> </w:t>
            </w:r>
            <w:r w:rsidRPr="00A04250">
              <w:rPr>
                <w:shd w:val="clear" w:color="auto" w:fill="FFFFFF"/>
              </w:rPr>
              <w:t>kapitālsabiedrība, azartspēļu norises vieta un spēļu iekārtas. No katras iekārtotās vai uzstādītās azartspēļu tiešās norises vietas iekasējams nodoklis par katru kārtējo kalendāro gadu saskaņā ar šā panta pirmajā daļā noteiktajām likmēm.</w:t>
            </w:r>
          </w:p>
          <w:p w14:paraId="2BDA53D5" w14:textId="0FE910C8" w:rsidR="007D4A68" w:rsidRPr="00A04250" w:rsidRDefault="007D4A68" w:rsidP="007D4A6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A04250">
              <w:rPr>
                <w:shd w:val="clear" w:color="auto" w:fill="FFFFFF"/>
              </w:rPr>
              <w:t>Šobrīd l</w:t>
            </w:r>
            <w:r w:rsidRPr="00A04250">
              <w:t>ikuma “Par izložu un azartspēļu nodevu un nodokli” 3.panta pirmajā</w:t>
            </w:r>
            <w:r w:rsidR="00C6235F" w:rsidRPr="00A04250">
              <w:t xml:space="preserve"> </w:t>
            </w:r>
            <w:r w:rsidRPr="00A04250">
              <w:t>daļā </w:t>
            </w:r>
            <w:r w:rsidR="00C6235F" w:rsidRPr="00A04250">
              <w:t xml:space="preserve"> </w:t>
            </w:r>
            <w:r w:rsidRPr="00A04250">
              <w:rPr>
                <w:shd w:val="clear" w:color="auto" w:fill="FFFFFF"/>
              </w:rPr>
              <w:t>azartspēļu nodokļa likme ruletei (cilindriskajai spēlei) </w:t>
            </w:r>
            <w:r w:rsidRPr="00A04250">
              <w:t> –</w:t>
            </w:r>
            <w:r w:rsidRPr="00A04250">
              <w:rPr>
                <w:shd w:val="clear" w:color="auto" w:fill="FFFFFF"/>
              </w:rPr>
              <w:t> par katru ruletes rotējošajai iekārtai pievienoto spēļu galdu ir noteikta 1</w:t>
            </w:r>
            <w:r w:rsidR="003A102E" w:rsidRPr="00A04250">
              <w:rPr>
                <w:shd w:val="clear" w:color="auto" w:fill="FFFFFF"/>
              </w:rPr>
              <w:t>8</w:t>
            </w:r>
            <w:r w:rsidRPr="00A04250">
              <w:rPr>
                <w:shd w:val="clear" w:color="auto" w:fill="FFFFFF"/>
              </w:rPr>
              <w:t xml:space="preserve"> </w:t>
            </w:r>
            <w:r w:rsidR="003A102E" w:rsidRPr="00A04250">
              <w:rPr>
                <w:shd w:val="clear" w:color="auto" w:fill="FFFFFF"/>
              </w:rPr>
              <w:t>000</w:t>
            </w:r>
            <w:r w:rsidRPr="00A04250">
              <w:rPr>
                <w:shd w:val="clear" w:color="auto" w:fill="FFFFFF"/>
              </w:rPr>
              <w:t> </w:t>
            </w:r>
            <w:proofErr w:type="spellStart"/>
            <w:r w:rsidRPr="00A04250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A04250">
              <w:rPr>
                <w:shd w:val="clear" w:color="auto" w:fill="FFFFFF"/>
              </w:rPr>
              <w:t>. Azartspēļu nodokļa likme kāršu un kauliņu spēlēm </w:t>
            </w:r>
            <w:r w:rsidRPr="00A04250">
              <w:t>–</w:t>
            </w:r>
            <w:r w:rsidRPr="00A04250">
              <w:rPr>
                <w:shd w:val="clear" w:color="auto" w:fill="FFFFFF"/>
              </w:rPr>
              <w:t> par katru galdu ir noteikta 1</w:t>
            </w:r>
            <w:r w:rsidR="003A102E" w:rsidRPr="00A04250">
              <w:rPr>
                <w:shd w:val="clear" w:color="auto" w:fill="FFFFFF"/>
              </w:rPr>
              <w:t>8</w:t>
            </w:r>
            <w:r w:rsidRPr="00A04250">
              <w:rPr>
                <w:shd w:val="clear" w:color="auto" w:fill="FFFFFF"/>
              </w:rPr>
              <w:t xml:space="preserve"> </w:t>
            </w:r>
            <w:r w:rsidR="003A102E" w:rsidRPr="00A04250">
              <w:rPr>
                <w:shd w:val="clear" w:color="auto" w:fill="FFFFFF"/>
              </w:rPr>
              <w:t>000</w:t>
            </w:r>
            <w:r w:rsidRPr="00A04250">
              <w:rPr>
                <w:shd w:val="clear" w:color="auto" w:fill="FFFFFF"/>
              </w:rPr>
              <w:t> </w:t>
            </w:r>
            <w:proofErr w:type="spellStart"/>
            <w:r w:rsidRPr="00A04250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A04250">
              <w:rPr>
                <w:shd w:val="clear" w:color="auto" w:fill="FFFFFF"/>
              </w:rPr>
              <w:t>. Azartspēļu nodokļa likme videospēlēm un mehāniskiem automātiem </w:t>
            </w:r>
            <w:r w:rsidRPr="00A04250">
              <w:t>–</w:t>
            </w:r>
            <w:r w:rsidRPr="00A04250">
              <w:rPr>
                <w:shd w:val="clear" w:color="auto" w:fill="FFFFFF"/>
              </w:rPr>
              <w:t> par katra automāta katru spēles vietu ir noteikta 3</w:t>
            </w:r>
            <w:r w:rsidR="003A102E" w:rsidRPr="00A04250">
              <w:rPr>
                <w:shd w:val="clear" w:color="auto" w:fill="FFFFFF"/>
              </w:rPr>
              <w:t>204</w:t>
            </w:r>
            <w:r w:rsidRPr="00A04250">
              <w:rPr>
                <w:shd w:val="clear" w:color="auto" w:fill="FFFFFF"/>
              </w:rPr>
              <w:t> </w:t>
            </w:r>
            <w:proofErr w:type="spellStart"/>
            <w:r w:rsidRPr="00A04250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A04250">
              <w:rPr>
                <w:shd w:val="clear" w:color="auto" w:fill="FFFFFF"/>
              </w:rPr>
              <w:t>.</w:t>
            </w:r>
          </w:p>
          <w:p w14:paraId="44BF1C85" w14:textId="6A8321A7" w:rsidR="00B07CB2" w:rsidRPr="00D80FED" w:rsidRDefault="00C97D1B" w:rsidP="007D4A6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7600B">
              <w:rPr>
                <w:shd w:val="clear" w:color="auto" w:fill="FFFFFF"/>
              </w:rPr>
              <w:t>Valsts nodokļu politikas pamatnostādn</w:t>
            </w:r>
            <w:r w:rsidR="004E6978">
              <w:rPr>
                <w:shd w:val="clear" w:color="auto" w:fill="FFFFFF"/>
              </w:rPr>
              <w:t>ē</w:t>
            </w:r>
            <w:r w:rsidRPr="0057600B">
              <w:rPr>
                <w:shd w:val="clear" w:color="auto" w:fill="FFFFFF"/>
              </w:rPr>
              <w:t>s 2018.-2021.gadam paredzētie nodokļu reformas</w:t>
            </w:r>
            <w:r w:rsidR="00B07CB2" w:rsidRPr="0057600B">
              <w:t xml:space="preserve"> galvenie plānotie virzieni ir atlikt uzņēmumu ienākuma nodokli līdz brīdim, kad peļņa tiek sadalīta, nevis gūta, piemērojot 20% likmi, samazināt iedzīvotāju ienākuma nodokli algota darba ienākumam, vienādot citu ienākuma veidu nodokļu likmes, kā arī integrēt solidaritātes nodokli valsts sociālās apdrošināšanas iemaksās. </w:t>
            </w:r>
          </w:p>
          <w:p w14:paraId="71CEEADE" w14:textId="55E4B8C6" w:rsidR="007D4A68" w:rsidRPr="00D80FED" w:rsidRDefault="003A102E" w:rsidP="007D4A6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7600B">
              <w:t xml:space="preserve">Lai nodrošinātu </w:t>
            </w:r>
            <w:r w:rsidRPr="0057600B">
              <w:rPr>
                <w:shd w:val="clear" w:color="auto" w:fill="FFFFFF"/>
              </w:rPr>
              <w:t>Valsts nodokļu politikas pamatnostādn</w:t>
            </w:r>
            <w:r w:rsidR="00351CC6">
              <w:rPr>
                <w:shd w:val="clear" w:color="auto" w:fill="FFFFFF"/>
              </w:rPr>
              <w:t>ē</w:t>
            </w:r>
            <w:r w:rsidRPr="0057600B">
              <w:rPr>
                <w:shd w:val="clear" w:color="auto" w:fill="FFFFFF"/>
              </w:rPr>
              <w:t>s 2018.-2021.gadam</w:t>
            </w:r>
            <w:r w:rsidR="00C97D1B" w:rsidRPr="0057600B">
              <w:rPr>
                <w:shd w:val="clear" w:color="auto" w:fill="FFFFFF"/>
              </w:rPr>
              <w:t xml:space="preserve"> paredzēto nodokļu reformas</w:t>
            </w:r>
            <w:r w:rsidRPr="0057600B">
              <w:rPr>
                <w:shd w:val="clear" w:color="auto" w:fill="FFFFFF"/>
              </w:rPr>
              <w:t xml:space="preserve"> pamatvirzienu </w:t>
            </w:r>
            <w:r w:rsidRPr="0057600B">
              <w:t>novirzīt nodokļu slogu no darbaspēka uz patēriņu</w:t>
            </w:r>
            <w:r w:rsidR="009D31DE">
              <w:t xml:space="preserve"> un kapitālu</w:t>
            </w:r>
            <w:r w:rsidRPr="0057600B">
              <w:t xml:space="preserve">, un ņemot vērā to, ka azartspēles ir izklaides veids, bet organizētājiem </w:t>
            </w:r>
            <w:r w:rsidR="00351CC6">
              <w:t xml:space="preserve">Valsts </w:t>
            </w:r>
            <w:r w:rsidRPr="0057600B">
              <w:rPr>
                <w:shd w:val="clear" w:color="auto" w:fill="FFFFFF"/>
              </w:rPr>
              <w:t>nodokļu politikas pamatnostādnes</w:t>
            </w:r>
            <w:r w:rsidRPr="0057600B">
              <w:t xml:space="preserve"> </w:t>
            </w:r>
            <w:r w:rsidR="00351CC6" w:rsidRPr="0057600B">
              <w:rPr>
                <w:shd w:val="clear" w:color="auto" w:fill="FFFFFF"/>
              </w:rPr>
              <w:t>2018.-2021.gadam</w:t>
            </w:r>
            <w:r w:rsidR="00351CC6" w:rsidRPr="0057600B">
              <w:t xml:space="preserve"> </w:t>
            </w:r>
            <w:r w:rsidRPr="0057600B">
              <w:t xml:space="preserve">paredz nodrošināt nodokļu samazinājumu ar uzņēmumu ienākuma nodokļa </w:t>
            </w:r>
            <w:r w:rsidR="008E5018" w:rsidRPr="0057600B">
              <w:t xml:space="preserve">atlikšanu </w:t>
            </w:r>
            <w:r w:rsidRPr="0057600B">
              <w:t>peļņai</w:t>
            </w:r>
            <w:r w:rsidR="008E5018" w:rsidRPr="0057600B">
              <w:t xml:space="preserve"> līdz brīdim, kad peļņa tiek sadalīta, nevis gūta</w:t>
            </w:r>
            <w:r w:rsidRPr="0057600B">
              <w:t>, bet fizisko personu līmenī, kas netieši skar arī uzņēmumus, ar iedzīvotāju ienākuma nodokļa apmēra samazinājumu darbaspēkam (</w:t>
            </w:r>
            <w:r w:rsidR="00F01CD3" w:rsidRPr="0057600B">
              <w:t xml:space="preserve">ar </w:t>
            </w:r>
            <w:r w:rsidRPr="0057600B">
              <w:t>progresīvās iedzīvotāju ienākuma nodokļa likmes ievieša</w:t>
            </w:r>
            <w:r w:rsidR="00C6235F" w:rsidRPr="0057600B">
              <w:t xml:space="preserve">nu, </w:t>
            </w:r>
            <w:r w:rsidRPr="0057600B">
              <w:t xml:space="preserve">neapliekamā minimuma </w:t>
            </w:r>
            <w:r w:rsidR="00C6235F" w:rsidRPr="0057600B">
              <w:t xml:space="preserve">un atvieglojuma par apgādībā esošu personu </w:t>
            </w:r>
            <w:r w:rsidRPr="0057600B">
              <w:t>palielinājumu)</w:t>
            </w:r>
            <w:r w:rsidR="007D4A68" w:rsidRPr="00D80FED">
              <w:rPr>
                <w:shd w:val="clear" w:color="auto" w:fill="FFFFFF"/>
              </w:rPr>
              <w:t>,</w:t>
            </w:r>
            <w:r w:rsidR="00F01CD3" w:rsidRPr="00D80FED">
              <w:rPr>
                <w:shd w:val="clear" w:color="auto" w:fill="FFFFFF"/>
              </w:rPr>
              <w:t xml:space="preserve"> un, lai</w:t>
            </w:r>
            <w:r w:rsidR="00F01CD3" w:rsidRPr="0057600B">
              <w:t xml:space="preserve"> mazinātu </w:t>
            </w:r>
            <w:r w:rsidR="00A1538E" w:rsidRPr="0057600B">
              <w:t xml:space="preserve">nodokļu </w:t>
            </w:r>
            <w:r w:rsidR="00F01CD3" w:rsidRPr="0057600B">
              <w:t>reformas negatīvo fiskālo ietekmi,</w:t>
            </w:r>
            <w:r w:rsidR="007D4A68" w:rsidRPr="00D80FED">
              <w:rPr>
                <w:shd w:val="clear" w:color="auto" w:fill="FFFFFF"/>
              </w:rPr>
              <w:t xml:space="preserve"> ir</w:t>
            </w:r>
            <w:r w:rsidR="00F01CD3" w:rsidRPr="00D80FED">
              <w:rPr>
                <w:shd w:val="clear" w:color="auto" w:fill="FFFFFF"/>
              </w:rPr>
              <w:t xml:space="preserve"> </w:t>
            </w:r>
            <w:r w:rsidR="007D4A68" w:rsidRPr="00D80FED">
              <w:rPr>
                <w:shd w:val="clear" w:color="auto" w:fill="FFFFFF"/>
              </w:rPr>
              <w:t>nepieciešams veikt grozījumus l</w:t>
            </w:r>
            <w:r w:rsidR="007D4A68" w:rsidRPr="00D80FED">
              <w:t xml:space="preserve">ikumā “Par izložu un azartspēļu nodevu un nodokli”, palielinot </w:t>
            </w:r>
            <w:r w:rsidRPr="00D80FED">
              <w:t xml:space="preserve">par 30% </w:t>
            </w:r>
            <w:r w:rsidR="007D4A68" w:rsidRPr="00D80FED">
              <w:t xml:space="preserve">azartspēļu nodokļa likmi ruletei (par katru </w:t>
            </w:r>
            <w:r w:rsidR="007D4A68" w:rsidRPr="00D80FED">
              <w:lastRenderedPageBreak/>
              <w:t>galdu), </w:t>
            </w:r>
            <w:r w:rsidR="007D4A68" w:rsidRPr="00D80FED">
              <w:rPr>
                <w:shd w:val="clear" w:color="auto" w:fill="FFFFFF"/>
              </w:rPr>
              <w:t> kāršu un kauliņu spēlēm </w:t>
            </w:r>
            <w:r w:rsidR="007D4A68" w:rsidRPr="00D80FED">
              <w:t>(par katru galdu) un videospēlēm un mehāniskajiem automātiem (par katra automāta katru spēles vietu).</w:t>
            </w:r>
            <w:r w:rsidR="00C97D1B" w:rsidRPr="0057600B">
              <w:t xml:space="preserve"> </w:t>
            </w:r>
          </w:p>
          <w:p w14:paraId="2A153458" w14:textId="4911FD65" w:rsidR="007D4A68" w:rsidRPr="00D80FED" w:rsidRDefault="007D4A68" w:rsidP="007D4A68">
            <w:pPr>
              <w:shd w:val="clear" w:color="auto" w:fill="FFFFFF"/>
              <w:jc w:val="both"/>
            </w:pPr>
            <w:r w:rsidRPr="00D80FED">
              <w:t>Likumprojekta</w:t>
            </w:r>
            <w:r w:rsidR="00A1538E" w:rsidRPr="00D80FED">
              <w:t xml:space="preserve"> </w:t>
            </w:r>
            <w:r w:rsidR="00A1538E" w:rsidRPr="0057600B">
              <w:rPr>
                <w:lang w:eastAsia="ru-RU"/>
              </w:rPr>
              <w:t>“Grozījum</w:t>
            </w:r>
            <w:r w:rsidR="0069696B" w:rsidRPr="0057600B">
              <w:rPr>
                <w:lang w:eastAsia="ru-RU"/>
              </w:rPr>
              <w:t>i</w:t>
            </w:r>
            <w:r w:rsidR="00A1538E" w:rsidRPr="0057600B">
              <w:rPr>
                <w:lang w:eastAsia="ru-RU"/>
              </w:rPr>
              <w:t xml:space="preserve"> likumā “Par izložu un azartspēļu nodevu un nodokli”” (turpmāk – likumprojekts)</w:t>
            </w:r>
            <w:r w:rsidRPr="00D80FED">
              <w:t xml:space="preserve"> mērķis ir paaugstināt azartspēļu nodokļa likmi ruletei un kāršu un kauliņu  spēlei (par katru galdu) par kalendāro gadu</w:t>
            </w:r>
            <w:r w:rsidR="00351CC6" w:rsidRPr="002D1DEC">
              <w:t xml:space="preserve"> no </w:t>
            </w:r>
            <w:r w:rsidR="00351CC6" w:rsidRPr="002D1DEC">
              <w:rPr>
                <w:b/>
                <w:bCs/>
                <w:shd w:val="clear" w:color="auto" w:fill="FFFFFF"/>
              </w:rPr>
              <w:t>18 000 </w:t>
            </w:r>
            <w:proofErr w:type="spellStart"/>
            <w:r w:rsidR="00351CC6" w:rsidRPr="00D80FED">
              <w:rPr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="00351CC6" w:rsidRPr="002D1DEC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="00351CC6" w:rsidRPr="002D1DEC">
              <w:rPr>
                <w:shd w:val="clear" w:color="auto" w:fill="FFFFFF"/>
              </w:rPr>
              <w:t>uz</w:t>
            </w:r>
            <w:r w:rsidR="00351CC6" w:rsidRPr="002D1DEC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="00351CC6" w:rsidRPr="002D1DEC">
              <w:rPr>
                <w:b/>
                <w:bCs/>
                <w:shd w:val="clear" w:color="auto" w:fill="FFFFFF"/>
              </w:rPr>
              <w:t>23 400 </w:t>
            </w:r>
            <w:proofErr w:type="spellStart"/>
            <w:r w:rsidR="00351CC6" w:rsidRPr="00D80FED">
              <w:rPr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Pr="00D80FED">
              <w:t xml:space="preserve"> un paaugstināt azartspēļu nodokļa likmi</w:t>
            </w:r>
            <w:r w:rsidR="00D42813" w:rsidRPr="002D1DEC">
              <w:rPr>
                <w:bCs/>
                <w:iCs/>
                <w:shd w:val="clear" w:color="auto" w:fill="FFFFFF"/>
              </w:rPr>
              <w:t xml:space="preserve"> videospēlēm un mehāniskajiem automātiem (par katra automāta katru spēles vietu)</w:t>
            </w:r>
            <w:r w:rsidR="00D42813">
              <w:rPr>
                <w:bCs/>
                <w:iCs/>
                <w:shd w:val="clear" w:color="auto" w:fill="FFFFFF"/>
              </w:rPr>
              <w:t xml:space="preserve"> par </w:t>
            </w:r>
            <w:r w:rsidR="00D42813" w:rsidRPr="002D1DEC">
              <w:t>kalendāro gadu</w:t>
            </w:r>
            <w:r w:rsidR="00A1538E" w:rsidRPr="00D80FED">
              <w:t xml:space="preserve"> no </w:t>
            </w:r>
            <w:r w:rsidR="00A1538E" w:rsidRPr="00D80FED">
              <w:rPr>
                <w:b/>
                <w:bCs/>
                <w:shd w:val="clear" w:color="auto" w:fill="FFFFFF"/>
              </w:rPr>
              <w:t>3204 </w:t>
            </w:r>
            <w:proofErr w:type="spellStart"/>
            <w:r w:rsidR="00A1538E" w:rsidRPr="00D80FED">
              <w:rPr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="00A1538E" w:rsidRPr="00D80FED">
              <w:rPr>
                <w:b/>
                <w:bCs/>
                <w:i/>
                <w:iCs/>
                <w:shd w:val="clear" w:color="auto" w:fill="FFFFFF"/>
              </w:rPr>
              <w:t> </w:t>
            </w:r>
            <w:r w:rsidR="00A1538E" w:rsidRPr="00D80FED">
              <w:rPr>
                <w:shd w:val="clear" w:color="auto" w:fill="FFFFFF"/>
              </w:rPr>
              <w:t>uz </w:t>
            </w:r>
            <w:r w:rsidR="00A1538E" w:rsidRPr="00D80FED">
              <w:rPr>
                <w:b/>
                <w:bCs/>
                <w:shd w:val="clear" w:color="auto" w:fill="FFFFFF"/>
              </w:rPr>
              <w:t>4164</w:t>
            </w:r>
            <w:r w:rsidR="00A1538E" w:rsidRPr="00D80FED">
              <w:rPr>
                <w:shd w:val="clear" w:color="auto" w:fill="FFFFFF"/>
              </w:rPr>
              <w:t> </w:t>
            </w:r>
            <w:proofErr w:type="spellStart"/>
            <w:r w:rsidR="00A1538E" w:rsidRPr="00D80FED">
              <w:rPr>
                <w:bCs/>
                <w:i/>
                <w:iCs/>
                <w:shd w:val="clear" w:color="auto" w:fill="FFFFFF"/>
              </w:rPr>
              <w:t>euro</w:t>
            </w:r>
            <w:proofErr w:type="spellEnd"/>
            <w:r w:rsidR="00A1538E" w:rsidRPr="00D80FED">
              <w:rPr>
                <w:bCs/>
                <w:iCs/>
                <w:shd w:val="clear" w:color="auto" w:fill="FFFFFF"/>
              </w:rPr>
              <w:t>.</w:t>
            </w:r>
            <w:r w:rsidR="00A1538E" w:rsidRPr="00D80FED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D80FED">
              <w:t xml:space="preserve"> </w:t>
            </w:r>
          </w:p>
          <w:p w14:paraId="63BF72AD" w14:textId="18C45F62" w:rsidR="00D46695" w:rsidRPr="0057600B" w:rsidRDefault="007D4A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0FED">
              <w:t>Likumprojektā paredzēts, ka likums stāsies spēkā 201</w:t>
            </w:r>
            <w:r w:rsidR="008E5018" w:rsidRPr="00D80FED">
              <w:t>8</w:t>
            </w:r>
            <w:r w:rsidRPr="00D80FED">
              <w:t>.gada 1.janvārī.</w:t>
            </w:r>
          </w:p>
        </w:tc>
      </w:tr>
      <w:tr w:rsidR="0057600B" w:rsidRPr="0057600B" w14:paraId="63BF72B2" w14:textId="77777777" w:rsidTr="000D3520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AF" w14:textId="2D101CD4" w:rsidR="001E4890" w:rsidRPr="0057600B" w:rsidRDefault="00DF7BAD" w:rsidP="000D3520">
            <w:pPr>
              <w:pStyle w:val="NormalWeb"/>
              <w:spacing w:before="0" w:beforeAutospacing="0" w:after="0" w:afterAutospacing="0"/>
            </w:pPr>
            <w:r w:rsidRPr="0057600B">
              <w:lastRenderedPageBreak/>
              <w:t>3</w:t>
            </w:r>
            <w:r w:rsidR="001E4890" w:rsidRPr="0057600B">
              <w:t>.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0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Projekta izstrādē iesaistītās institūcijas</w:t>
            </w:r>
          </w:p>
        </w:tc>
        <w:tc>
          <w:tcPr>
            <w:tcW w:w="3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1" w14:textId="36029F4B" w:rsidR="001E4890" w:rsidRPr="0057600B" w:rsidRDefault="00D20594" w:rsidP="001570A6">
            <w:pPr>
              <w:pStyle w:val="NormalWeb"/>
              <w:spacing w:before="0" w:beforeAutospacing="0" w:after="0" w:afterAutospacing="0"/>
              <w:jc w:val="both"/>
            </w:pPr>
            <w:r w:rsidRPr="0057600B">
              <w:t>Izložu un azartspēļu uzraudzības inspekcija</w:t>
            </w:r>
            <w:r w:rsidR="007D4A68" w:rsidRPr="0057600B">
              <w:t>, Valsts ieņēmumu dienests</w:t>
            </w:r>
            <w:r w:rsidR="006B3E7B" w:rsidRPr="0057600B">
              <w:t>.</w:t>
            </w:r>
          </w:p>
        </w:tc>
      </w:tr>
      <w:tr w:rsidR="0057600B" w:rsidRPr="0057600B" w14:paraId="63BF72B6" w14:textId="77777777" w:rsidTr="000D3520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3" w14:textId="77777777" w:rsidR="001E4890" w:rsidRPr="0057600B" w:rsidRDefault="00DF7BAD" w:rsidP="000D3520">
            <w:pPr>
              <w:pStyle w:val="NormalWeb"/>
              <w:spacing w:before="0" w:beforeAutospacing="0" w:after="0" w:afterAutospacing="0"/>
            </w:pPr>
            <w:r w:rsidRPr="0057600B">
              <w:t>4</w:t>
            </w:r>
            <w:r w:rsidR="001E4890" w:rsidRPr="0057600B">
              <w:t>.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4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Cita informācija</w:t>
            </w:r>
          </w:p>
        </w:tc>
        <w:tc>
          <w:tcPr>
            <w:tcW w:w="3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F72B5" w14:textId="77777777" w:rsidR="00701964" w:rsidRPr="0057600B" w:rsidRDefault="00E768AB" w:rsidP="000D3520">
            <w:pPr>
              <w:pStyle w:val="NormalWeb"/>
              <w:spacing w:before="0" w:beforeAutospacing="0" w:after="0" w:afterAutospacing="0"/>
              <w:jc w:val="both"/>
            </w:pPr>
            <w:r w:rsidRPr="0057600B">
              <w:t>Nav.</w:t>
            </w:r>
          </w:p>
        </w:tc>
      </w:tr>
    </w:tbl>
    <w:p w14:paraId="6B3738DC" w14:textId="408D3D51" w:rsidR="00D95716" w:rsidRPr="0057600B" w:rsidRDefault="001E4890" w:rsidP="000D3520">
      <w:pPr>
        <w:pStyle w:val="NormalWeb"/>
        <w:spacing w:before="0" w:beforeAutospacing="0" w:after="0" w:afterAutospacing="0"/>
      </w:pPr>
      <w:r w:rsidRPr="0057600B">
        <w:t> </w:t>
      </w: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3720"/>
        <w:gridCol w:w="5414"/>
      </w:tblGrid>
      <w:tr w:rsidR="0057600B" w:rsidRPr="0057600B" w14:paraId="63BF72B9" w14:textId="77777777" w:rsidTr="00A436B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3BF72B8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600B">
              <w:rPr>
                <w:b/>
                <w:bCs/>
              </w:rPr>
              <w:t>II. Tiesību akta projekta ietekme uz sabiedrību</w:t>
            </w:r>
            <w:r w:rsidR="00E459BB" w:rsidRPr="0057600B">
              <w:rPr>
                <w:b/>
                <w:bCs/>
              </w:rPr>
              <w:t>, tautsaimniecības attīstību un administratīvo slogu</w:t>
            </w:r>
          </w:p>
        </w:tc>
      </w:tr>
      <w:tr w:rsidR="0057600B" w:rsidRPr="0057600B" w14:paraId="63BF72BD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A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1.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B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Sabiedrības mērķgrupa</w:t>
            </w:r>
            <w:r w:rsidR="00E459BB" w:rsidRPr="0057600B">
              <w:t>s, kuras tiesiskais regulējums ietekmē vai varētu ietekmēt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C" w14:textId="03A83A96" w:rsidR="003A3E26" w:rsidRPr="0057600B" w:rsidRDefault="007D4A68" w:rsidP="003B75BA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57600B">
              <w:t xml:space="preserve">Kapitālsabiedrības, kas organizē azartspēles. Pašlaik Latvijā azartspēles organizē 13 azartspēļu organizētāji. </w:t>
            </w:r>
          </w:p>
        </w:tc>
      </w:tr>
      <w:tr w:rsidR="0057600B" w:rsidRPr="0057600B" w14:paraId="63BF72C3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E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2.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F" w14:textId="77777777" w:rsidR="001E4890" w:rsidRPr="0057600B" w:rsidRDefault="00E459BB" w:rsidP="000D3520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57600B">
              <w:rPr>
                <w:spacing w:val="-4"/>
              </w:rPr>
              <w:t>Tiesiskā regulējuma ietekme uz tautsaimniecību un administratīvo slogu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83FAA" w14:textId="4291796B" w:rsidR="00572A89" w:rsidRPr="0057600B" w:rsidRDefault="00572A89" w:rsidP="00572A89">
            <w:pPr>
              <w:shd w:val="clear" w:color="auto" w:fill="FFFFFF"/>
              <w:jc w:val="both"/>
            </w:pPr>
            <w:r w:rsidRPr="0057600B">
              <w:t xml:space="preserve">Likumprojekts paredz palielināt par </w:t>
            </w:r>
            <w:r w:rsidR="008E5018" w:rsidRPr="0057600B">
              <w:t>30</w:t>
            </w:r>
            <w:r w:rsidRPr="0057600B">
              <w:t>% azartspēļu nodokļa apmēru ruletei, kāršu un kauliņu  spēlēm, </w:t>
            </w:r>
            <w:r w:rsidRPr="0057600B">
              <w:rPr>
                <w:shd w:val="clear" w:color="auto" w:fill="FFFFFF"/>
              </w:rPr>
              <w:t>videospēlēm</w:t>
            </w:r>
            <w:r w:rsidR="00F01CD3" w:rsidRPr="0057600B">
              <w:rPr>
                <w:shd w:val="clear" w:color="auto" w:fill="FFFFFF"/>
              </w:rPr>
              <w:t xml:space="preserve"> un mehāniskajiem </w:t>
            </w:r>
            <w:r w:rsidRPr="0057600B">
              <w:t>automātiem.</w:t>
            </w:r>
          </w:p>
          <w:p w14:paraId="63BF72C2" w14:textId="70E3FF9A" w:rsidR="007C454A" w:rsidRPr="0057600B" w:rsidRDefault="00572A89">
            <w:pPr>
              <w:shd w:val="clear" w:color="auto" w:fill="FFFFFF"/>
              <w:jc w:val="both"/>
            </w:pPr>
            <w:r w:rsidRPr="0057600B">
              <w:t>Nozares uzņēmumiem, palielinot azartspēļu nodokļa  likmju apmēru, administratīvais slogs nepalielinās.</w:t>
            </w:r>
          </w:p>
        </w:tc>
      </w:tr>
      <w:tr w:rsidR="0057600B" w:rsidRPr="0057600B" w14:paraId="63BF72C7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4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3.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5" w14:textId="77777777" w:rsidR="001E4890" w:rsidRPr="0057600B" w:rsidRDefault="00E459BB" w:rsidP="000D3520">
            <w:pPr>
              <w:pStyle w:val="NormalWeb"/>
              <w:spacing w:before="0" w:beforeAutospacing="0" w:after="0" w:afterAutospacing="0"/>
            </w:pPr>
            <w:r w:rsidRPr="0057600B">
              <w:t>Administratīvo izmaksu monetārs novērtējums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6" w14:textId="5BA31E97" w:rsidR="004912EA" w:rsidRPr="0057600B" w:rsidRDefault="001469CE" w:rsidP="000D3520">
            <w:pPr>
              <w:pStyle w:val="NormalWeb"/>
              <w:spacing w:before="0" w:beforeAutospacing="0" w:after="0" w:afterAutospacing="0"/>
              <w:jc w:val="both"/>
            </w:pPr>
            <w:r w:rsidRPr="0057600B">
              <w:t>P</w:t>
            </w:r>
            <w:r w:rsidR="005061F2" w:rsidRPr="0057600B">
              <w:t>rojekts</w:t>
            </w:r>
            <w:r w:rsidR="00E7459F" w:rsidRPr="0057600B">
              <w:t xml:space="preserve"> šo jomu neskar</w:t>
            </w:r>
            <w:r w:rsidR="00E459BB" w:rsidRPr="0057600B">
              <w:t>.</w:t>
            </w:r>
          </w:p>
        </w:tc>
      </w:tr>
      <w:tr w:rsidR="0057600B" w:rsidRPr="0057600B" w14:paraId="63BF72CB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8" w14:textId="77777777" w:rsidR="001E4890" w:rsidRPr="0057600B" w:rsidRDefault="00E459BB" w:rsidP="000D3520">
            <w:pPr>
              <w:pStyle w:val="NormalWeb"/>
              <w:spacing w:before="0" w:beforeAutospacing="0" w:after="0" w:afterAutospacing="0"/>
            </w:pPr>
            <w:r w:rsidRPr="0057600B">
              <w:t>4</w:t>
            </w:r>
            <w:r w:rsidR="001E4890" w:rsidRPr="0057600B">
              <w:t>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9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Cita informācija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A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Nav</w:t>
            </w:r>
            <w:r w:rsidR="0026359B" w:rsidRPr="0057600B">
              <w:t>.</w:t>
            </w:r>
          </w:p>
        </w:tc>
      </w:tr>
    </w:tbl>
    <w:p w14:paraId="63BF72CC" w14:textId="77777777" w:rsidR="00880A15" w:rsidRPr="0057600B" w:rsidRDefault="00880A15" w:rsidP="000D3520"/>
    <w:tbl>
      <w:tblPr>
        <w:tblpPr w:leftFromText="180" w:rightFromText="180" w:vertAnchor="text" w:horzAnchor="margin" w:tblpX="-68" w:tblpY="151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2"/>
        <w:gridCol w:w="1149"/>
        <w:gridCol w:w="1071"/>
        <w:gridCol w:w="1233"/>
        <w:gridCol w:w="1165"/>
        <w:gridCol w:w="1284"/>
      </w:tblGrid>
      <w:tr w:rsidR="0057600B" w:rsidRPr="00D42813" w14:paraId="4C2AF45E" w14:textId="77777777" w:rsidTr="001570A6">
        <w:trPr>
          <w:trHeight w:val="26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F6679" w14:textId="77777777" w:rsidR="009F635B" w:rsidRPr="00D42813" w:rsidRDefault="009F635B" w:rsidP="009D388A">
            <w:pPr>
              <w:jc w:val="both"/>
              <w:rPr>
                <w:b/>
                <w:bCs/>
              </w:rPr>
            </w:pPr>
            <w:r w:rsidRPr="00D4281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D388A" w:rsidRPr="00D42813" w14:paraId="7837C6B6" w14:textId="77777777" w:rsidTr="001570A6">
        <w:trPr>
          <w:trHeight w:val="304"/>
        </w:trPr>
        <w:tc>
          <w:tcPr>
            <w:tcW w:w="18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ED8DC5" w14:textId="77777777" w:rsidR="009F635B" w:rsidRPr="00D42813" w:rsidRDefault="009F635B" w:rsidP="009D388A">
            <w:pPr>
              <w:jc w:val="both"/>
              <w:rPr>
                <w:b/>
                <w:bCs/>
              </w:rPr>
            </w:pPr>
            <w:r w:rsidRPr="00D42813">
              <w:rPr>
                <w:b/>
                <w:bCs/>
              </w:rPr>
              <w:t>Rādītāji</w:t>
            </w:r>
          </w:p>
        </w:tc>
        <w:tc>
          <w:tcPr>
            <w:tcW w:w="117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648D52" w14:textId="421E2396" w:rsidR="009F635B" w:rsidRPr="00D42813" w:rsidRDefault="009F635B" w:rsidP="009D388A">
            <w:pPr>
              <w:jc w:val="center"/>
              <w:rPr>
                <w:b/>
                <w:bCs/>
              </w:rPr>
            </w:pPr>
            <w:r w:rsidRPr="00D42813">
              <w:rPr>
                <w:b/>
                <w:bCs/>
              </w:rPr>
              <w:t>201</w:t>
            </w:r>
            <w:r w:rsidR="008D77FC" w:rsidRPr="00D42813">
              <w:rPr>
                <w:b/>
                <w:bCs/>
              </w:rPr>
              <w:t>7</w:t>
            </w:r>
          </w:p>
        </w:tc>
        <w:tc>
          <w:tcPr>
            <w:tcW w:w="19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E3297" w14:textId="77777777" w:rsidR="009F635B" w:rsidRPr="00D42813" w:rsidRDefault="009F635B" w:rsidP="009D388A">
            <w:pPr>
              <w:jc w:val="center"/>
            </w:pPr>
            <w:r w:rsidRPr="00D42813">
              <w:t>Turpmākie trīs gadi (</w:t>
            </w:r>
            <w:proofErr w:type="spellStart"/>
            <w:r w:rsidRPr="00D42813">
              <w:rPr>
                <w:i/>
              </w:rPr>
              <w:t>euro</w:t>
            </w:r>
            <w:proofErr w:type="spellEnd"/>
            <w:r w:rsidRPr="00D42813">
              <w:t>)</w:t>
            </w:r>
          </w:p>
        </w:tc>
      </w:tr>
      <w:tr w:rsidR="009D388A" w:rsidRPr="00D42813" w14:paraId="279C9766" w14:textId="77777777" w:rsidTr="001570A6">
        <w:trPr>
          <w:trHeight w:val="245"/>
        </w:trPr>
        <w:tc>
          <w:tcPr>
            <w:tcW w:w="18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F2EA1" w14:textId="77777777" w:rsidR="009F635B" w:rsidRPr="00D42813" w:rsidRDefault="009F635B" w:rsidP="009D388A">
            <w:pPr>
              <w:jc w:val="both"/>
              <w:rPr>
                <w:b/>
                <w:bCs/>
              </w:rPr>
            </w:pPr>
          </w:p>
        </w:tc>
        <w:tc>
          <w:tcPr>
            <w:tcW w:w="117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C895D" w14:textId="77777777" w:rsidR="009F635B" w:rsidRPr="00D42813" w:rsidRDefault="009F635B" w:rsidP="009D388A">
            <w:pPr>
              <w:jc w:val="both"/>
              <w:rPr>
                <w:b/>
                <w:bCs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E9B70" w14:textId="0C565E01" w:rsidR="009F635B" w:rsidRPr="00D42813" w:rsidRDefault="009F635B" w:rsidP="009D388A">
            <w:pPr>
              <w:jc w:val="center"/>
              <w:rPr>
                <w:b/>
                <w:bCs/>
              </w:rPr>
            </w:pPr>
            <w:r w:rsidRPr="00D42813">
              <w:rPr>
                <w:b/>
                <w:bCs/>
              </w:rPr>
              <w:t>201</w:t>
            </w:r>
            <w:r w:rsidR="008D77FC" w:rsidRPr="00D42813">
              <w:rPr>
                <w:b/>
                <w:bCs/>
              </w:rPr>
              <w:t>8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DEBAE" w14:textId="55DA67A9" w:rsidR="009F635B" w:rsidRPr="00D42813" w:rsidRDefault="009F635B" w:rsidP="009D388A">
            <w:pPr>
              <w:jc w:val="center"/>
              <w:rPr>
                <w:b/>
                <w:bCs/>
              </w:rPr>
            </w:pPr>
            <w:r w:rsidRPr="00D42813">
              <w:rPr>
                <w:b/>
                <w:bCs/>
              </w:rPr>
              <w:t>201</w:t>
            </w:r>
            <w:r w:rsidR="008D77FC" w:rsidRPr="00D42813">
              <w:rPr>
                <w:b/>
                <w:bCs/>
              </w:rPr>
              <w:t>9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763CE" w14:textId="158FB4C9" w:rsidR="009F635B" w:rsidRPr="00D42813" w:rsidRDefault="008D77FC" w:rsidP="009D388A">
            <w:pPr>
              <w:jc w:val="center"/>
              <w:rPr>
                <w:b/>
                <w:bCs/>
              </w:rPr>
            </w:pPr>
            <w:r w:rsidRPr="00D42813">
              <w:rPr>
                <w:b/>
                <w:bCs/>
              </w:rPr>
              <w:t>2020</w:t>
            </w:r>
          </w:p>
        </w:tc>
      </w:tr>
      <w:tr w:rsidR="009D388A" w:rsidRPr="00D42813" w14:paraId="7FAA1E82" w14:textId="77777777" w:rsidTr="001570A6">
        <w:trPr>
          <w:trHeight w:val="1914"/>
        </w:trPr>
        <w:tc>
          <w:tcPr>
            <w:tcW w:w="18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68FB6C" w14:textId="77777777" w:rsidR="009F635B" w:rsidRPr="00D42813" w:rsidRDefault="009F635B" w:rsidP="009D388A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823021" w14:textId="77777777" w:rsidR="009F635B" w:rsidRPr="00D42813" w:rsidRDefault="009F635B" w:rsidP="009D388A">
            <w:pPr>
              <w:jc w:val="both"/>
            </w:pPr>
            <w:r w:rsidRPr="00D42813">
              <w:t>Saskaņā ar valsts budžetu kārtējam gadam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7D5048" w14:textId="77777777" w:rsidR="009F635B" w:rsidRPr="00D42813" w:rsidRDefault="009F635B" w:rsidP="009D388A">
            <w:pPr>
              <w:jc w:val="both"/>
            </w:pPr>
            <w:r w:rsidRPr="00D42813">
              <w:t>Izmaiņas kārtējā gadā, salīdzinot ar budžetu kārtējam gadam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7DC262" w14:textId="46DBAE22" w:rsidR="009F635B" w:rsidRPr="00D42813" w:rsidRDefault="009F635B" w:rsidP="009D388A">
            <w:pPr>
              <w:jc w:val="center"/>
            </w:pPr>
            <w:r w:rsidRPr="00D42813">
              <w:t>Izmaiņas, salīdzinot ar kārtējo gadu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6F67A" w14:textId="3F3D088D" w:rsidR="009F635B" w:rsidRPr="00D42813" w:rsidRDefault="009F635B" w:rsidP="009D388A">
            <w:pPr>
              <w:jc w:val="center"/>
            </w:pPr>
            <w:r w:rsidRPr="00D42813">
              <w:t>Izmaiņas, salīdzinot ar kārtējo gadu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7A8E19" w14:textId="2D0FCA6C" w:rsidR="009F635B" w:rsidRPr="00D42813" w:rsidRDefault="009F635B" w:rsidP="009D388A">
            <w:pPr>
              <w:jc w:val="center"/>
            </w:pPr>
            <w:r w:rsidRPr="00D42813">
              <w:t>Izmaiņas, salīdzinot ar kārtējo gadu</w:t>
            </w:r>
          </w:p>
        </w:tc>
      </w:tr>
      <w:tr w:rsidR="009D388A" w:rsidRPr="00D42813" w14:paraId="31F6CFFE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6161BB" w14:textId="77777777" w:rsidR="009F635B" w:rsidRPr="00D42813" w:rsidRDefault="009F635B" w:rsidP="009D388A">
            <w:pPr>
              <w:jc w:val="center"/>
            </w:pPr>
            <w:r w:rsidRPr="00D42813">
              <w:t>1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F0A30" w14:textId="77777777" w:rsidR="009F635B" w:rsidRPr="00D42813" w:rsidRDefault="009F635B" w:rsidP="009D388A">
            <w:pPr>
              <w:jc w:val="center"/>
            </w:pPr>
            <w:r w:rsidRPr="00D42813">
              <w:t>2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6C9AD" w14:textId="77777777" w:rsidR="009F635B" w:rsidRPr="00D42813" w:rsidRDefault="009F635B" w:rsidP="009D388A">
            <w:pPr>
              <w:jc w:val="center"/>
            </w:pPr>
            <w:r w:rsidRPr="00D42813">
              <w:t>3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3BD9B" w14:textId="77777777" w:rsidR="009F635B" w:rsidRPr="00D42813" w:rsidRDefault="009F635B" w:rsidP="009D388A">
            <w:pPr>
              <w:jc w:val="center"/>
            </w:pPr>
            <w:r w:rsidRPr="00D42813">
              <w:t>4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D88EC" w14:textId="77777777" w:rsidR="009F635B" w:rsidRPr="00D42813" w:rsidRDefault="009F635B" w:rsidP="009D388A">
            <w:pPr>
              <w:jc w:val="center"/>
            </w:pPr>
            <w:r w:rsidRPr="00D42813">
              <w:t>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AA69D" w14:textId="77777777" w:rsidR="009F635B" w:rsidRPr="00D42813" w:rsidRDefault="009F635B" w:rsidP="009D388A">
            <w:pPr>
              <w:jc w:val="center"/>
            </w:pPr>
            <w:r w:rsidRPr="00D42813">
              <w:t>6</w:t>
            </w:r>
          </w:p>
        </w:tc>
      </w:tr>
      <w:tr w:rsidR="009D388A" w:rsidRPr="00D42813" w14:paraId="7A9B05E3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61FF5" w14:textId="77777777" w:rsidR="00E21306" w:rsidRPr="00D42813" w:rsidRDefault="00E21306" w:rsidP="009D388A">
            <w:pPr>
              <w:jc w:val="both"/>
            </w:pPr>
            <w:r w:rsidRPr="00D42813">
              <w:t>1. Budžeta ieņēmumi: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4EE4A" w14:textId="046A3A18" w:rsidR="00E21306" w:rsidRPr="00D42813" w:rsidRDefault="00E21306" w:rsidP="009D388A">
            <w:pPr>
              <w:jc w:val="center"/>
            </w:pPr>
            <w:r w:rsidRPr="00D42813">
              <w:t>32 070 000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6897D" w14:textId="5F4CCBFC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55CF2" w14:textId="525D8AC3" w:rsidR="00E21306" w:rsidRPr="00D42813" w:rsidRDefault="00E21306" w:rsidP="009D388A">
            <w:pPr>
              <w:jc w:val="center"/>
            </w:pPr>
            <w:r w:rsidRPr="00D42813">
              <w:t>+8 253 000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B9645" w14:textId="54186D1B" w:rsidR="00E21306" w:rsidRPr="00D42813" w:rsidRDefault="00E21306" w:rsidP="009D388A">
            <w:pPr>
              <w:jc w:val="center"/>
            </w:pPr>
            <w:r w:rsidRPr="00D42813">
              <w:t>+9 004 000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08D57" w14:textId="4F04BB75" w:rsidR="00E21306" w:rsidRPr="00D42813" w:rsidRDefault="00E21306" w:rsidP="009D388A">
            <w:pPr>
              <w:jc w:val="center"/>
            </w:pPr>
            <w:r w:rsidRPr="00D42813">
              <w:t>+9 004 000</w:t>
            </w:r>
          </w:p>
        </w:tc>
      </w:tr>
      <w:tr w:rsidR="009D388A" w:rsidRPr="00D42813" w14:paraId="4868A1E2" w14:textId="77777777" w:rsidTr="001570A6">
        <w:trPr>
          <w:trHeight w:val="797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DDA04" w14:textId="77777777" w:rsidR="00E21306" w:rsidRPr="00D42813" w:rsidRDefault="00E21306" w:rsidP="009D388A">
            <w:pPr>
              <w:jc w:val="both"/>
            </w:pPr>
            <w:r w:rsidRPr="00D42813">
              <w:t>1</w:t>
            </w:r>
            <w:r w:rsidRPr="00D42813">
              <w:rPr>
                <w:spacing w:val="-4"/>
              </w:rPr>
              <w:t>.1. valsts pamatbudžets, tai skaitā ieņēmumi no maksas pakalpojumiem un citi pašu ieņēmumi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18B5D" w14:textId="6D4F4637" w:rsidR="00E21306" w:rsidRPr="00D42813" w:rsidRDefault="00E21306" w:rsidP="009D388A">
            <w:pPr>
              <w:jc w:val="center"/>
            </w:pPr>
            <w:r w:rsidRPr="00D42813">
              <w:t>24 052 500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C6CAA" w14:textId="203A65E7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19597" w14:textId="1C5AEA35" w:rsidR="00E21306" w:rsidRPr="00D42813" w:rsidRDefault="00E21306" w:rsidP="009D388A">
            <w:pPr>
              <w:jc w:val="center"/>
            </w:pPr>
            <w:r w:rsidRPr="00D42813">
              <w:t>+6 190 000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4A7E8" w14:textId="42AD8F39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A5842" w14:textId="3B43FB65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</w:tr>
      <w:tr w:rsidR="009D388A" w:rsidRPr="00D42813" w14:paraId="5FB97F6F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66D9D" w14:textId="7ED37F1D" w:rsidR="00E21306" w:rsidRPr="00D42813" w:rsidRDefault="00E21306" w:rsidP="009D388A">
            <w:pPr>
              <w:jc w:val="both"/>
            </w:pPr>
            <w:r w:rsidRPr="00D42813">
              <w:t>t.sk. azartspēļu nodoklis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82170" w14:textId="26B42AC9" w:rsidR="00E21306" w:rsidRPr="00D42813" w:rsidRDefault="00E21306" w:rsidP="009D388A">
            <w:pPr>
              <w:jc w:val="center"/>
            </w:pPr>
            <w:r w:rsidRPr="00D42813">
              <w:t>24 052 500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79F3A" w14:textId="7B642336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4503C" w14:textId="445E745C" w:rsidR="00E21306" w:rsidRPr="00D42813" w:rsidRDefault="00E21306" w:rsidP="009D388A">
            <w:pPr>
              <w:jc w:val="center"/>
            </w:pPr>
            <w:r w:rsidRPr="00D42813">
              <w:t>+6 190 000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6D14F" w14:textId="7A84D78A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8906C" w14:textId="6F8D6F22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</w:tr>
      <w:tr w:rsidR="009D388A" w:rsidRPr="00D42813" w14:paraId="0479C061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746FF" w14:textId="77777777" w:rsidR="00E21306" w:rsidRPr="00D42813" w:rsidRDefault="00E21306" w:rsidP="009D388A">
            <w:pPr>
              <w:jc w:val="both"/>
            </w:pPr>
            <w:r w:rsidRPr="00D42813">
              <w:t>1.2. valsts speciālais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B940F" w14:textId="3F0677D0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BBAD2" w14:textId="4BA7B5B8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AED0C" w14:textId="57196CC0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4A846" w14:textId="056DE123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840C5" w14:textId="6362B7F5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</w:tr>
      <w:tr w:rsidR="009D388A" w:rsidRPr="00D42813" w14:paraId="1A242F21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5F1A0" w14:textId="77777777" w:rsidR="00E21306" w:rsidRPr="00D42813" w:rsidRDefault="00E21306" w:rsidP="009D388A">
            <w:pPr>
              <w:jc w:val="both"/>
            </w:pPr>
            <w:r w:rsidRPr="00D42813">
              <w:t>1.3. pašvaldību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35D4B" w14:textId="12D11528" w:rsidR="00E21306" w:rsidRPr="00D42813" w:rsidRDefault="00E21306" w:rsidP="009D388A">
            <w:pPr>
              <w:jc w:val="center"/>
            </w:pPr>
            <w:r w:rsidRPr="00D42813">
              <w:t>8 017 500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EDBBD" w14:textId="7BF32B48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0C529" w14:textId="5D9808F3" w:rsidR="00E21306" w:rsidRPr="00D42813" w:rsidRDefault="00E21306" w:rsidP="009D388A">
            <w:pPr>
              <w:jc w:val="center"/>
            </w:pPr>
            <w:r w:rsidRPr="00D42813">
              <w:t>+2 063 000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8BE7E" w14:textId="24F53132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0A057" w14:textId="51EFE306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</w:tr>
      <w:tr w:rsidR="009D388A" w:rsidRPr="00D42813" w14:paraId="4DC39779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4A9A1" w14:textId="2AAD1973" w:rsidR="00E21306" w:rsidRPr="00D42813" w:rsidRDefault="00E21306" w:rsidP="009D388A">
            <w:pPr>
              <w:jc w:val="both"/>
            </w:pPr>
            <w:r w:rsidRPr="00D42813">
              <w:lastRenderedPageBreak/>
              <w:t xml:space="preserve">t.sk. </w:t>
            </w:r>
            <w:proofErr w:type="spellStart"/>
            <w:r w:rsidRPr="00D42813">
              <w:t>azartspeļu</w:t>
            </w:r>
            <w:proofErr w:type="spellEnd"/>
            <w:r w:rsidRPr="00D42813">
              <w:t xml:space="preserve"> nodoklis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C585C" w14:textId="416BCAB8" w:rsidR="00E21306" w:rsidRPr="00D42813" w:rsidRDefault="00E21306" w:rsidP="009D388A">
            <w:pPr>
              <w:jc w:val="center"/>
            </w:pPr>
            <w:r w:rsidRPr="00D42813">
              <w:t>8 017 500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69737" w14:textId="3AD06863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3F1FF" w14:textId="222C647C" w:rsidR="00E21306" w:rsidRPr="00D42813" w:rsidRDefault="00E21306" w:rsidP="009D388A">
            <w:pPr>
              <w:ind w:left="95" w:hanging="27"/>
              <w:jc w:val="center"/>
            </w:pPr>
            <w:r w:rsidRPr="00D42813">
              <w:t>+2 063 000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79562" w14:textId="0E6B11F6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DAB0F5" w14:textId="77BC9877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</w:tr>
      <w:tr w:rsidR="009D388A" w:rsidRPr="00D42813" w14:paraId="0B1580D9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0D2D6" w14:textId="77777777" w:rsidR="001911FC" w:rsidRPr="00D42813" w:rsidRDefault="001911FC" w:rsidP="009D388A">
            <w:pPr>
              <w:jc w:val="both"/>
            </w:pPr>
            <w:r w:rsidRPr="00D42813">
              <w:t>2. Budžeta izdevumi: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55161" w14:textId="66753B3A" w:rsidR="001911FC" w:rsidRPr="00D42813" w:rsidRDefault="001911FC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FD6F9" w14:textId="4ED89913" w:rsidR="001911FC" w:rsidRPr="00D42813" w:rsidRDefault="001911FC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6D50A" w14:textId="06503A48" w:rsidR="001911FC" w:rsidRPr="00D42813" w:rsidRDefault="001911FC" w:rsidP="009D388A">
            <w:pPr>
              <w:ind w:left="95" w:hanging="27"/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BE85" w14:textId="2BAC2690" w:rsidR="001911FC" w:rsidRPr="00D42813" w:rsidRDefault="001911FC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4BEB9" w14:textId="610C3077" w:rsidR="001911FC" w:rsidRPr="00D42813" w:rsidRDefault="001911FC" w:rsidP="009D388A">
            <w:pPr>
              <w:jc w:val="center"/>
            </w:pPr>
          </w:p>
        </w:tc>
      </w:tr>
      <w:tr w:rsidR="009D388A" w:rsidRPr="00D42813" w14:paraId="1F8BAE24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CBCCE" w14:textId="77777777" w:rsidR="001911FC" w:rsidRPr="00D42813" w:rsidRDefault="001911FC" w:rsidP="009D388A">
            <w:pPr>
              <w:jc w:val="both"/>
            </w:pPr>
            <w:r w:rsidRPr="00D42813">
              <w:t>2.1. valsts pamatbudžets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40F9B" w14:textId="1F0D4288" w:rsidR="001911FC" w:rsidRPr="00D42813" w:rsidRDefault="001911FC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7839F" w14:textId="49C4D431" w:rsidR="001911FC" w:rsidRPr="00D42813" w:rsidRDefault="001911FC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1748D" w14:textId="5955C073" w:rsidR="001911FC" w:rsidRPr="00D42813" w:rsidRDefault="001911FC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146ED" w14:textId="2AB41350" w:rsidR="001911FC" w:rsidRPr="00D42813" w:rsidRDefault="001911FC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AB5C2" w14:textId="3A6E0B4B" w:rsidR="001911FC" w:rsidRPr="00D42813" w:rsidRDefault="001911FC" w:rsidP="009D388A">
            <w:pPr>
              <w:jc w:val="center"/>
            </w:pPr>
          </w:p>
        </w:tc>
      </w:tr>
      <w:tr w:rsidR="009D388A" w:rsidRPr="00D42813" w14:paraId="660DD234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46CAD" w14:textId="77777777" w:rsidR="001911FC" w:rsidRPr="00D42813" w:rsidRDefault="001911FC" w:rsidP="009D388A">
            <w:pPr>
              <w:jc w:val="both"/>
            </w:pPr>
            <w:r w:rsidRPr="00D42813">
              <w:t>2.2. valsts speciālais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9FB44" w14:textId="0E2801BE" w:rsidR="001911FC" w:rsidRPr="00D42813" w:rsidRDefault="001911FC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95869" w14:textId="2542C90F" w:rsidR="001911FC" w:rsidRPr="00D42813" w:rsidRDefault="001911FC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1A5E3" w14:textId="60C94AAD" w:rsidR="001911FC" w:rsidRPr="00D42813" w:rsidRDefault="001911FC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5C4F7" w14:textId="4878E3D5" w:rsidR="001911FC" w:rsidRPr="00D42813" w:rsidRDefault="001911FC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206DB" w14:textId="5ABE1001" w:rsidR="001911FC" w:rsidRPr="00D42813" w:rsidRDefault="001911FC" w:rsidP="009D388A">
            <w:pPr>
              <w:jc w:val="center"/>
            </w:pPr>
          </w:p>
        </w:tc>
      </w:tr>
      <w:tr w:rsidR="009D388A" w:rsidRPr="00D42813" w14:paraId="624E63E5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5FC24" w14:textId="77777777" w:rsidR="001911FC" w:rsidRPr="00D42813" w:rsidRDefault="001911FC" w:rsidP="009D388A">
            <w:pPr>
              <w:jc w:val="both"/>
            </w:pPr>
            <w:r w:rsidRPr="00D42813">
              <w:t>2.3. pašvaldību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6D676" w14:textId="0EDBA41C" w:rsidR="001911FC" w:rsidRPr="00D42813" w:rsidRDefault="001911FC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E1720" w14:textId="54244799" w:rsidR="001911FC" w:rsidRPr="00D42813" w:rsidRDefault="001911FC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A118B" w14:textId="7B0A45CA" w:rsidR="001911FC" w:rsidRPr="00D42813" w:rsidRDefault="001911FC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0096B" w14:textId="7E1B5EA1" w:rsidR="001911FC" w:rsidRPr="00D42813" w:rsidRDefault="001911FC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61487" w14:textId="2FD79FD4" w:rsidR="001911FC" w:rsidRPr="00D42813" w:rsidRDefault="001911FC" w:rsidP="009D388A">
            <w:pPr>
              <w:jc w:val="center"/>
            </w:pPr>
          </w:p>
        </w:tc>
      </w:tr>
      <w:tr w:rsidR="009D388A" w:rsidRPr="00D42813" w14:paraId="5839908F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B34E9" w14:textId="77777777" w:rsidR="00E21306" w:rsidRPr="00D42813" w:rsidRDefault="00E21306" w:rsidP="009D388A">
            <w:pPr>
              <w:jc w:val="both"/>
            </w:pPr>
            <w:r w:rsidRPr="00D42813">
              <w:t>3. Finansiālā ietekme: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09BDFC" w14:textId="684161EC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A69C1" w14:textId="2F569146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7D897" w14:textId="3F03F1BA" w:rsidR="00E21306" w:rsidRPr="00D42813" w:rsidRDefault="00E21306" w:rsidP="009D388A">
            <w:pPr>
              <w:jc w:val="center"/>
            </w:pPr>
            <w:r w:rsidRPr="00D42813">
              <w:t>+8 253 000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D2400" w14:textId="3806A8F0" w:rsidR="00E21306" w:rsidRPr="00D42813" w:rsidRDefault="00E21306" w:rsidP="009D388A">
            <w:pPr>
              <w:jc w:val="center"/>
            </w:pPr>
            <w:r w:rsidRPr="00D42813">
              <w:t>+9 004 000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AD350" w14:textId="76126140" w:rsidR="00E21306" w:rsidRPr="00D42813" w:rsidRDefault="00E21306" w:rsidP="009D388A">
            <w:pPr>
              <w:jc w:val="center"/>
            </w:pPr>
            <w:r w:rsidRPr="00D42813">
              <w:t>+9 004 000</w:t>
            </w:r>
          </w:p>
        </w:tc>
      </w:tr>
      <w:tr w:rsidR="009D388A" w:rsidRPr="00D42813" w14:paraId="4940FC35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B9864" w14:textId="77777777" w:rsidR="00E21306" w:rsidRPr="00D42813" w:rsidRDefault="00E21306" w:rsidP="009D388A">
            <w:pPr>
              <w:jc w:val="both"/>
            </w:pPr>
            <w:r w:rsidRPr="00D42813">
              <w:t>3.1. valsts pamatbudžets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1F105" w14:textId="270FEB8B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82B9A" w14:textId="28CC076B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D842C" w14:textId="1762698D" w:rsidR="00E21306" w:rsidRPr="00D42813" w:rsidRDefault="00E21306" w:rsidP="009D388A">
            <w:pPr>
              <w:jc w:val="center"/>
            </w:pPr>
            <w:r w:rsidRPr="00D42813">
              <w:t>+6 190 000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43B90" w14:textId="58A46353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DEA44" w14:textId="09B4272E" w:rsidR="00E21306" w:rsidRPr="00D42813" w:rsidRDefault="00E21306" w:rsidP="009D388A">
            <w:pPr>
              <w:jc w:val="center"/>
            </w:pPr>
            <w:r w:rsidRPr="00D42813">
              <w:t>+6 753 000</w:t>
            </w:r>
          </w:p>
        </w:tc>
      </w:tr>
      <w:tr w:rsidR="009D388A" w:rsidRPr="00D42813" w14:paraId="0C4BD893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85E5C" w14:textId="77777777" w:rsidR="00942E44" w:rsidRPr="00D42813" w:rsidRDefault="00942E44" w:rsidP="009D388A">
            <w:pPr>
              <w:jc w:val="both"/>
            </w:pPr>
            <w:r w:rsidRPr="00D42813">
              <w:t>3.2. speciālais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8D8D9" w14:textId="36455822" w:rsidR="00942E44" w:rsidRPr="00D42813" w:rsidRDefault="00942E44" w:rsidP="009D388A">
            <w:pPr>
              <w:jc w:val="center"/>
            </w:pPr>
            <w:r w:rsidRPr="00D42813"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3C61D" w14:textId="1D52D60A" w:rsidR="00942E44" w:rsidRPr="00D42813" w:rsidRDefault="00942E44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412BC" w14:textId="743C25F8" w:rsidR="00942E44" w:rsidRPr="00D42813" w:rsidRDefault="00942E44" w:rsidP="009D388A">
            <w:pPr>
              <w:jc w:val="center"/>
            </w:pPr>
            <w:r w:rsidRPr="00D42813"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FAC16" w14:textId="4289A32A" w:rsidR="00942E44" w:rsidRPr="00D42813" w:rsidRDefault="00942E44" w:rsidP="009D388A">
            <w:pPr>
              <w:jc w:val="center"/>
            </w:pPr>
            <w:r w:rsidRPr="00D42813">
              <w:t>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99026" w14:textId="354556B4" w:rsidR="00942E44" w:rsidRPr="00D42813" w:rsidRDefault="00942E44" w:rsidP="009D388A">
            <w:pPr>
              <w:jc w:val="center"/>
            </w:pPr>
            <w:r w:rsidRPr="00D42813">
              <w:t>0</w:t>
            </w:r>
          </w:p>
        </w:tc>
      </w:tr>
      <w:tr w:rsidR="009D388A" w:rsidRPr="00D42813" w14:paraId="023ABB4D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03FEA" w14:textId="77777777" w:rsidR="00E21306" w:rsidRPr="00D42813" w:rsidRDefault="00E21306" w:rsidP="009D388A">
            <w:pPr>
              <w:jc w:val="both"/>
            </w:pPr>
            <w:r w:rsidRPr="00D42813">
              <w:t>3.3. pašvaldību budžets</w:t>
            </w:r>
          </w:p>
        </w:tc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0DCE8" w14:textId="0DE9EE44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79583" w14:textId="626655C2" w:rsidR="00E21306" w:rsidRPr="00D42813" w:rsidRDefault="00E21306" w:rsidP="009D388A">
            <w:pPr>
              <w:jc w:val="center"/>
            </w:pPr>
            <w:r w:rsidRPr="00D42813">
              <w:t>0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F8559" w14:textId="62C87933" w:rsidR="00E21306" w:rsidRPr="00D42813" w:rsidRDefault="00E21306" w:rsidP="009D388A">
            <w:pPr>
              <w:jc w:val="center"/>
            </w:pPr>
            <w:r w:rsidRPr="00D42813">
              <w:t>+2 063 000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BA178" w14:textId="55AEBB4B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E2EEA" w14:textId="50243B0E" w:rsidR="00E21306" w:rsidRPr="00D42813" w:rsidRDefault="00E21306" w:rsidP="009D388A">
            <w:pPr>
              <w:jc w:val="center"/>
            </w:pPr>
            <w:r w:rsidRPr="00D42813">
              <w:t>+2 251 000</w:t>
            </w:r>
          </w:p>
        </w:tc>
      </w:tr>
      <w:tr w:rsidR="009D388A" w:rsidRPr="00D42813" w14:paraId="2FA87863" w14:textId="77777777" w:rsidTr="001570A6">
        <w:trPr>
          <w:trHeight w:val="304"/>
        </w:trPr>
        <w:tc>
          <w:tcPr>
            <w:tcW w:w="18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028DB" w14:textId="77777777" w:rsidR="00942E44" w:rsidRPr="00D42813" w:rsidRDefault="00942E44" w:rsidP="009D388A">
            <w:pPr>
              <w:jc w:val="both"/>
            </w:pPr>
            <w:r w:rsidRPr="00D42813">
              <w:t>4. Finanšu līdzekļi papildu izdevumu finansēšanai (kompensējošu izdevumu samazinājumu norāda ar "+" zīmi)</w:t>
            </w:r>
          </w:p>
        </w:tc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C0FA9" w14:textId="77777777" w:rsidR="00942E44" w:rsidRPr="00D42813" w:rsidRDefault="00942E44" w:rsidP="009D388A">
            <w:pPr>
              <w:jc w:val="center"/>
            </w:pPr>
            <w:r w:rsidRPr="00D42813">
              <w:t>X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1966A" w14:textId="62B01570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4606A" w14:textId="0C48DF6D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37861" w14:textId="0A8E330B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E1215" w14:textId="5C2ECD7E" w:rsidR="00942E44" w:rsidRPr="00D42813" w:rsidRDefault="00942E44" w:rsidP="009D388A">
            <w:pPr>
              <w:jc w:val="center"/>
            </w:pPr>
          </w:p>
        </w:tc>
      </w:tr>
      <w:tr w:rsidR="009D388A" w:rsidRPr="00D42813" w14:paraId="65DA5126" w14:textId="77777777" w:rsidTr="001570A6">
        <w:trPr>
          <w:trHeight w:val="333"/>
        </w:trPr>
        <w:tc>
          <w:tcPr>
            <w:tcW w:w="18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1F2FC0" w14:textId="77777777" w:rsidR="00942E44" w:rsidRPr="00D42813" w:rsidRDefault="00942E44" w:rsidP="009D388A">
            <w:pPr>
              <w:jc w:val="both"/>
            </w:pP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77C505" w14:textId="77777777" w:rsidR="00942E44" w:rsidRPr="00D42813" w:rsidRDefault="00942E44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E3CC9" w14:textId="1752F856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FEE169" w14:textId="40F87951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A2C53" w14:textId="0486C321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321F4" w14:textId="18335669" w:rsidR="00942E44" w:rsidRPr="00D42813" w:rsidRDefault="00942E44" w:rsidP="009D388A">
            <w:pPr>
              <w:jc w:val="center"/>
            </w:pPr>
          </w:p>
        </w:tc>
      </w:tr>
      <w:tr w:rsidR="009D388A" w:rsidRPr="00D42813" w14:paraId="2B0A546A" w14:textId="77777777" w:rsidTr="001570A6">
        <w:trPr>
          <w:trHeight w:val="434"/>
        </w:trPr>
        <w:tc>
          <w:tcPr>
            <w:tcW w:w="18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6811E6" w14:textId="77777777" w:rsidR="00942E44" w:rsidRPr="00D42813" w:rsidRDefault="00942E44" w:rsidP="009D388A">
            <w:pPr>
              <w:jc w:val="both"/>
            </w:pP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35808" w14:textId="77777777" w:rsidR="00942E44" w:rsidRPr="00D42813" w:rsidRDefault="00942E44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D4FC94" w14:textId="6DE9991A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A9328" w14:textId="0142775B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C33C1" w14:textId="5BD47968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A653B" w14:textId="650DC1E6" w:rsidR="00942E44" w:rsidRPr="00D42813" w:rsidRDefault="00942E44" w:rsidP="009D388A">
            <w:pPr>
              <w:jc w:val="center"/>
            </w:pPr>
          </w:p>
        </w:tc>
      </w:tr>
      <w:tr w:rsidR="009D388A" w:rsidRPr="00D42813" w14:paraId="30C9E060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52107" w14:textId="77777777" w:rsidR="00942E44" w:rsidRPr="00D42813" w:rsidRDefault="00942E44" w:rsidP="009D388A">
            <w:pPr>
              <w:jc w:val="both"/>
            </w:pPr>
            <w:r w:rsidRPr="00D42813">
              <w:t>5. Precizēta finansiālā ietekme:</w:t>
            </w:r>
          </w:p>
        </w:tc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0DE10" w14:textId="77777777" w:rsidR="00942E44" w:rsidRPr="00D42813" w:rsidRDefault="00942E44" w:rsidP="009D388A">
            <w:pPr>
              <w:jc w:val="center"/>
            </w:pPr>
            <w:r w:rsidRPr="00D42813">
              <w:t>X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3E175" w14:textId="054953DF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D1096" w14:textId="24344BB6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1FE1F" w14:textId="56A8C903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EA482" w14:textId="35A35962" w:rsidR="00942E44" w:rsidRPr="00D42813" w:rsidRDefault="00942E44" w:rsidP="009D388A">
            <w:pPr>
              <w:jc w:val="center"/>
            </w:pPr>
          </w:p>
        </w:tc>
      </w:tr>
      <w:tr w:rsidR="009D388A" w:rsidRPr="00D42813" w14:paraId="561B797B" w14:textId="77777777" w:rsidTr="001570A6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191D9" w14:textId="77777777" w:rsidR="00942E44" w:rsidRPr="00D42813" w:rsidRDefault="00942E44" w:rsidP="009D388A">
            <w:pPr>
              <w:jc w:val="both"/>
            </w:pPr>
            <w:r w:rsidRPr="00D42813">
              <w:t>5.1. valsts pamatbudžets</w:t>
            </w: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351CE7" w14:textId="77777777" w:rsidR="00942E44" w:rsidRPr="00D42813" w:rsidRDefault="00942E44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2B969" w14:textId="7292E51A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FD5C5" w14:textId="1A9C2061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8E4AC" w14:textId="08A0C46C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968EF" w14:textId="692341D0" w:rsidR="00942E44" w:rsidRPr="00D42813" w:rsidRDefault="00942E44" w:rsidP="009D388A">
            <w:pPr>
              <w:jc w:val="center"/>
            </w:pPr>
          </w:p>
        </w:tc>
      </w:tr>
      <w:tr w:rsidR="009D388A" w:rsidRPr="00D42813" w14:paraId="2028633A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049A8" w14:textId="77777777" w:rsidR="00942E44" w:rsidRPr="00D42813" w:rsidRDefault="00942E44" w:rsidP="009D388A">
            <w:pPr>
              <w:jc w:val="both"/>
            </w:pPr>
            <w:r w:rsidRPr="00D42813">
              <w:t>5.2. speciālais budžets</w:t>
            </w: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E6BA67" w14:textId="77777777" w:rsidR="00942E44" w:rsidRPr="00D42813" w:rsidRDefault="00942E44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9CB60" w14:textId="1E532E36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BE010" w14:textId="3FB859A0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FBCE0" w14:textId="366E4776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DA8FB" w14:textId="086C1BAC" w:rsidR="00942E44" w:rsidRPr="00D42813" w:rsidRDefault="00942E44" w:rsidP="009D388A">
            <w:pPr>
              <w:jc w:val="center"/>
            </w:pPr>
          </w:p>
        </w:tc>
      </w:tr>
      <w:tr w:rsidR="009D388A" w:rsidRPr="00D42813" w14:paraId="2DBDD86E" w14:textId="77777777" w:rsidTr="001570A6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36AD5" w14:textId="77777777" w:rsidR="00942E44" w:rsidRPr="00D42813" w:rsidRDefault="00942E44" w:rsidP="009D388A">
            <w:pPr>
              <w:jc w:val="both"/>
            </w:pPr>
            <w:r w:rsidRPr="00D42813">
              <w:t>5.3. pašvaldību budžets</w:t>
            </w:r>
          </w:p>
        </w:tc>
        <w:tc>
          <w:tcPr>
            <w:tcW w:w="6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D64127" w14:textId="77777777" w:rsidR="00942E44" w:rsidRPr="00D42813" w:rsidRDefault="00942E44" w:rsidP="009D388A">
            <w:pPr>
              <w:jc w:val="center"/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E2B7E" w14:textId="6F7F0499" w:rsidR="00942E44" w:rsidRPr="00D42813" w:rsidRDefault="00942E44" w:rsidP="009D388A">
            <w:pPr>
              <w:jc w:val="center"/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74EB4" w14:textId="0898F86C" w:rsidR="00942E44" w:rsidRPr="00D42813" w:rsidRDefault="00942E44" w:rsidP="009D388A">
            <w:pPr>
              <w:jc w:val="center"/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2FF45" w14:textId="440ED89E" w:rsidR="00942E44" w:rsidRPr="00D42813" w:rsidRDefault="00942E44" w:rsidP="009D388A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7D688" w14:textId="62B49040" w:rsidR="00942E44" w:rsidRPr="00D42813" w:rsidRDefault="00942E44" w:rsidP="009D388A">
            <w:pPr>
              <w:jc w:val="center"/>
            </w:pPr>
          </w:p>
        </w:tc>
      </w:tr>
      <w:tr w:rsidR="009D388A" w:rsidRPr="00D42813" w14:paraId="134BDDBA" w14:textId="77777777" w:rsidTr="009D388A">
        <w:trPr>
          <w:trHeight w:val="79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B034" w14:textId="77777777" w:rsidR="00942E44" w:rsidRPr="00D42813" w:rsidRDefault="00942E44" w:rsidP="009D388A">
            <w:pPr>
              <w:jc w:val="both"/>
            </w:pPr>
            <w:r w:rsidRPr="00D42813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13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EDD1CC" w14:textId="61ED051C" w:rsidR="00942E44" w:rsidRPr="00D80FED" w:rsidRDefault="00942E44" w:rsidP="001570A6">
            <w:pPr>
              <w:shd w:val="clear" w:color="auto" w:fill="FFFFFF"/>
              <w:jc w:val="both"/>
            </w:pPr>
            <w:r w:rsidRPr="00D80FED">
              <w:t>Likumprojekts</w:t>
            </w:r>
            <w:r w:rsidRPr="00D80FED">
              <w:rPr>
                <w:rStyle w:val="apple-converted-space"/>
              </w:rPr>
              <w:t> </w:t>
            </w:r>
            <w:r w:rsidRPr="00D80FED">
              <w:t>paredz palielināt azartspēļu nodokli katram azartspēļu automātam par katru spēles vietu no 3 204 </w:t>
            </w:r>
            <w:proofErr w:type="spellStart"/>
            <w:r w:rsidRPr="00D80FED">
              <w:rPr>
                <w:i/>
                <w:iCs/>
              </w:rPr>
              <w:t>euro</w:t>
            </w:r>
            <w:proofErr w:type="spellEnd"/>
            <w:r w:rsidRPr="00D80FED">
              <w:rPr>
                <w:rStyle w:val="apple-converted-space"/>
              </w:rPr>
              <w:t> </w:t>
            </w:r>
            <w:r w:rsidRPr="00D80FED">
              <w:t>līdz 4 164 </w:t>
            </w:r>
            <w:proofErr w:type="spellStart"/>
            <w:r w:rsidRPr="00D80FED">
              <w:rPr>
                <w:i/>
                <w:iCs/>
              </w:rPr>
              <w:t>euro</w:t>
            </w:r>
            <w:proofErr w:type="spellEnd"/>
            <w:r w:rsidRPr="00D80FED">
              <w:rPr>
                <w:rStyle w:val="apple-converted-space"/>
                <w:i/>
                <w:iCs/>
              </w:rPr>
              <w:t> </w:t>
            </w:r>
            <w:r w:rsidRPr="00D80FED">
              <w:t>un katram ruletes, kāršu vai kauliņu spēles galdam no 18 000 </w:t>
            </w:r>
            <w:proofErr w:type="spellStart"/>
            <w:r w:rsidRPr="00D80FED">
              <w:rPr>
                <w:i/>
                <w:iCs/>
              </w:rPr>
              <w:t>euro</w:t>
            </w:r>
            <w:proofErr w:type="spellEnd"/>
            <w:r w:rsidRPr="00D80FED">
              <w:rPr>
                <w:rStyle w:val="apple-converted-space"/>
              </w:rPr>
              <w:t> </w:t>
            </w:r>
            <w:r w:rsidRPr="00D80FED">
              <w:t>līdz 23 400 </w:t>
            </w:r>
            <w:proofErr w:type="spellStart"/>
            <w:r w:rsidRPr="00D80FED">
              <w:rPr>
                <w:i/>
                <w:iCs/>
              </w:rPr>
              <w:t>euro</w:t>
            </w:r>
            <w:proofErr w:type="spellEnd"/>
            <w:r w:rsidRPr="00D80FED">
              <w:rPr>
                <w:i/>
                <w:iCs/>
              </w:rPr>
              <w:t>.</w:t>
            </w:r>
            <w:r w:rsidRPr="00D80FED">
              <w:rPr>
                <w:rStyle w:val="apple-converted-space"/>
                <w:i/>
                <w:iCs/>
              </w:rPr>
              <w:t> </w:t>
            </w:r>
          </w:p>
          <w:p w14:paraId="29624CAF" w14:textId="77777777" w:rsidR="00D42813" w:rsidRDefault="00D42813" w:rsidP="00D71CA0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</w:p>
          <w:p w14:paraId="2758A857" w14:textId="5289C4F1" w:rsidR="00942E44" w:rsidRPr="00D80FED" w:rsidRDefault="00942E44" w:rsidP="001725B0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D80FED">
              <w:rPr>
                <w:sz w:val="24"/>
                <w:szCs w:val="24"/>
              </w:rPr>
              <w:t xml:space="preserve">Saskaņā ar Izložu un </w:t>
            </w:r>
            <w:proofErr w:type="spellStart"/>
            <w:r w:rsidRPr="00D80FED">
              <w:rPr>
                <w:sz w:val="24"/>
                <w:szCs w:val="24"/>
              </w:rPr>
              <w:t>azarstpēļu</w:t>
            </w:r>
            <w:proofErr w:type="spellEnd"/>
            <w:r w:rsidRPr="00D80FED">
              <w:rPr>
                <w:sz w:val="24"/>
                <w:szCs w:val="24"/>
              </w:rPr>
              <w:t xml:space="preserve"> uzraudzības inspekcijas sniegto informāciju pēdējos gados vērojams būtisks spēļu galdu un spēļu automātu skaita pieaugums: 2017.gada martā, salīdzinot ar 2016.gada martu, </w:t>
            </w:r>
            <w:r w:rsidR="00B95CF5" w:rsidRPr="00D80FED">
              <w:rPr>
                <w:sz w:val="24"/>
                <w:szCs w:val="24"/>
              </w:rPr>
              <w:t>azartspēļu</w:t>
            </w:r>
            <w:r w:rsidR="00105B00" w:rsidRPr="00D80FED">
              <w:rPr>
                <w:sz w:val="24"/>
                <w:szCs w:val="24"/>
              </w:rPr>
              <w:t xml:space="preserve"> </w:t>
            </w:r>
            <w:r w:rsidRPr="00D80FED">
              <w:rPr>
                <w:sz w:val="24"/>
                <w:szCs w:val="24"/>
              </w:rPr>
              <w:t xml:space="preserve">automātu skaits pieaudzis par 218 jeb 2,5% un spēļu galdu skaits </w:t>
            </w:r>
            <w:r w:rsidR="001570A6" w:rsidRPr="0057600B">
              <w:rPr>
                <w:lang w:eastAsia="ru-RU"/>
              </w:rPr>
              <w:t>–</w:t>
            </w:r>
            <w:r w:rsidRPr="00D80FED">
              <w:rPr>
                <w:sz w:val="24"/>
                <w:szCs w:val="24"/>
              </w:rPr>
              <w:t xml:space="preserve"> par 18 jeb 30</w:t>
            </w:r>
            <w:r w:rsidR="009D388A">
              <w:rPr>
                <w:sz w:val="24"/>
                <w:szCs w:val="24"/>
              </w:rPr>
              <w:t>,0 procentiem</w:t>
            </w:r>
            <w:r w:rsidRPr="00D80FED">
              <w:rPr>
                <w:sz w:val="24"/>
                <w:szCs w:val="24"/>
              </w:rPr>
              <w:t xml:space="preserve">. Ņemot vērā to, ka, paaugstinoties azartspēļu nodokļa likmēm </w:t>
            </w:r>
            <w:r w:rsidR="000E4926" w:rsidRPr="00D80FED">
              <w:rPr>
                <w:sz w:val="24"/>
                <w:szCs w:val="24"/>
              </w:rPr>
              <w:t xml:space="preserve"> azartspēļu </w:t>
            </w:r>
            <w:r w:rsidRPr="00D80FED">
              <w:rPr>
                <w:sz w:val="24"/>
                <w:szCs w:val="24"/>
              </w:rPr>
              <w:t>automātiem un spēļu galdiem par 30%, ekspluatējamo azartspēļu automātu un spēļu galdu skait</w:t>
            </w:r>
            <w:r w:rsidR="000E4926" w:rsidRPr="00D80FED">
              <w:rPr>
                <w:sz w:val="24"/>
                <w:szCs w:val="24"/>
              </w:rPr>
              <w:t>a pieauguma temps var samazināties</w:t>
            </w:r>
            <w:r w:rsidRPr="00D80FED">
              <w:rPr>
                <w:sz w:val="24"/>
                <w:szCs w:val="24"/>
              </w:rPr>
              <w:t>, fiskālās ietekmes aprēķinā modelēts, ka spēļu galdu un spēļu automātu skaits 2018.gadā nepieaugs, bet saglabāsies 2017.gada līmenī (saskaņā ar</w:t>
            </w:r>
            <w:r w:rsidR="006C603F" w:rsidRPr="00D80FED">
              <w:rPr>
                <w:sz w:val="24"/>
                <w:szCs w:val="24"/>
              </w:rPr>
              <w:t xml:space="preserve"> likuma “Par valsts budžetu 2017.gadam” ietvaros prognozēto). </w:t>
            </w:r>
          </w:p>
          <w:p w14:paraId="1EFC705D" w14:textId="77777777" w:rsidR="00D42813" w:rsidRDefault="00D42813" w:rsidP="00EE626F">
            <w:pPr>
              <w:shd w:val="clear" w:color="auto" w:fill="FFFFFF"/>
              <w:jc w:val="both"/>
            </w:pPr>
          </w:p>
          <w:p w14:paraId="7E972AB2" w14:textId="3AB7B711" w:rsidR="00105B00" w:rsidRPr="00D80FED" w:rsidRDefault="00105B00" w:rsidP="00A12F26">
            <w:pPr>
              <w:shd w:val="clear" w:color="auto" w:fill="FFFFFF"/>
              <w:jc w:val="both"/>
            </w:pPr>
            <w:r w:rsidRPr="00D80FED">
              <w:t>Ņemot vērā azartspēļu nodokļa maksāšanas kārtību, f</w:t>
            </w:r>
            <w:r w:rsidR="00942E44" w:rsidRPr="00D80FED">
              <w:t>iskālā ietekme</w:t>
            </w:r>
            <w:r w:rsidRPr="00D80FED">
              <w:t>:</w:t>
            </w:r>
          </w:p>
          <w:p w14:paraId="4A7FB589" w14:textId="34F6EC41" w:rsidR="00942E44" w:rsidRPr="00D80FED" w:rsidRDefault="00942E44" w:rsidP="00FE313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ED">
              <w:rPr>
                <w:rFonts w:ascii="Times New Roman" w:hAnsi="Times New Roman"/>
                <w:sz w:val="24"/>
                <w:szCs w:val="24"/>
              </w:rPr>
              <w:t xml:space="preserve">2018.gadā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būs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8 253 000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D80FED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 xml:space="preserve">(t.sk.,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budžetā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+6 1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90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000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,</w:t>
            </w:r>
            <w:r w:rsidRPr="00D80FED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pašvaldību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budžetā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+2</w:t>
            </w:r>
            <w:r w:rsidR="00105B00" w:rsidRPr="00D80FED">
              <w:rPr>
                <w:rFonts w:ascii="Times New Roman" w:hAnsi="Times New Roman"/>
                <w:sz w:val="24"/>
                <w:szCs w:val="24"/>
              </w:rPr>
              <w:t> 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0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63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000</w:t>
            </w:r>
            <w:r w:rsidRPr="00D80FE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="00105B00" w:rsidRPr="00D80FE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4CD0E555" w14:textId="7FD254B9" w:rsidR="006C603F" w:rsidRPr="00D80FED" w:rsidRDefault="00942E44" w:rsidP="00FE313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2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FED">
              <w:rPr>
                <w:rFonts w:ascii="Times New Roman" w:hAnsi="Times New Roman"/>
                <w:sz w:val="24"/>
                <w:szCs w:val="24"/>
              </w:rPr>
              <w:t xml:space="preserve">2019. </w:t>
            </w:r>
            <w:proofErr w:type="gramStart"/>
            <w:r w:rsidRPr="00D80FED">
              <w:rPr>
                <w:rFonts w:ascii="Times New Roman" w:hAnsi="Times New Roman"/>
                <w:sz w:val="24"/>
                <w:szCs w:val="24"/>
              </w:rPr>
              <w:t>un</w:t>
            </w:r>
            <w:proofErr w:type="gram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  <w:r w:rsidR="00105B00" w:rsidRPr="00D80FED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proofErr w:type="spellStart"/>
            <w:r w:rsidR="00105B00" w:rsidRPr="00D80FED">
              <w:rPr>
                <w:rFonts w:ascii="Times New Roman" w:hAnsi="Times New Roman"/>
                <w:sz w:val="24"/>
                <w:szCs w:val="24"/>
              </w:rPr>
              <w:t>būs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9 004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000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="00105B00" w:rsidRPr="00D80FED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 xml:space="preserve">(t.sk.,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budžetā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+6 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753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000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,</w:t>
            </w:r>
            <w:r w:rsidRPr="00D80FED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pašvaldību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hAnsi="Times New Roman"/>
                <w:sz w:val="24"/>
                <w:szCs w:val="24"/>
              </w:rPr>
              <w:t>budžetā</w:t>
            </w:r>
            <w:proofErr w:type="spellEnd"/>
            <w:r w:rsidRPr="00D80FED">
              <w:rPr>
                <w:rFonts w:ascii="Times New Roman" w:hAnsi="Times New Roman"/>
                <w:sz w:val="24"/>
                <w:szCs w:val="24"/>
              </w:rPr>
              <w:t xml:space="preserve"> +2 2</w:t>
            </w:r>
            <w:r w:rsidR="00E21306" w:rsidRPr="00D80FED">
              <w:rPr>
                <w:rFonts w:ascii="Times New Roman" w:hAnsi="Times New Roman"/>
                <w:sz w:val="24"/>
                <w:szCs w:val="24"/>
              </w:rPr>
              <w:t>51</w:t>
            </w:r>
            <w:r w:rsidRPr="00D80FED">
              <w:rPr>
                <w:rFonts w:ascii="Times New Roman" w:hAnsi="Times New Roman"/>
                <w:sz w:val="24"/>
                <w:szCs w:val="24"/>
              </w:rPr>
              <w:t> 000 </w:t>
            </w:r>
            <w:r w:rsidRPr="00D80FED">
              <w:rPr>
                <w:rFonts w:ascii="Times New Roman" w:hAnsi="Times New Roman"/>
                <w:i/>
                <w:iCs/>
                <w:sz w:val="24"/>
                <w:szCs w:val="24"/>
              </w:rPr>
              <w:t>euro.</w:t>
            </w:r>
          </w:p>
          <w:p w14:paraId="6662DBC1" w14:textId="77777777" w:rsidR="00BB374B" w:rsidRPr="00D80FED" w:rsidRDefault="00BB374B" w:rsidP="00FE3135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E0C0A8" w14:textId="4309389D" w:rsidR="006C603F" w:rsidRPr="00D80FED" w:rsidRDefault="006C603F" w:rsidP="00FE3135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Fiskālā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ietekme</w:t>
            </w:r>
            <w:proofErr w:type="spellEnd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tiks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iekļauta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nodokļu</w:t>
            </w:r>
            <w:proofErr w:type="spellEnd"/>
            <w:proofErr w:type="gramEnd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ieņēmumu</w:t>
            </w:r>
            <w:proofErr w:type="spellEnd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prognozēs</w:t>
            </w:r>
            <w:proofErr w:type="spellEnd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sagatavojot</w:t>
            </w:r>
            <w:proofErr w:type="spellEnd"/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likumprojekt</w:t>
            </w:r>
            <w:r w:rsidR="005C04D6" w:rsidRPr="00D80FED"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“Par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vidēja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termiņa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budžeta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ietvaru</w:t>
            </w:r>
            <w:proofErr w:type="spell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3C21AF" w:rsidRPr="00D80FE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., 20</w:t>
            </w:r>
            <w:r w:rsidR="003C21AF" w:rsidRPr="00D80FE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>un</w:t>
            </w:r>
            <w:proofErr w:type="gramEnd"/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="003C21AF" w:rsidRPr="00D80FE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80FED">
              <w:rPr>
                <w:rFonts w:ascii="Times New Roman" w:eastAsiaTheme="minorHAnsi" w:hAnsi="Times New Roman"/>
                <w:sz w:val="24"/>
                <w:szCs w:val="24"/>
              </w:rPr>
              <w:t xml:space="preserve">.gadam”. </w:t>
            </w:r>
          </w:p>
        </w:tc>
      </w:tr>
      <w:tr w:rsidR="009D388A" w:rsidRPr="00D42813" w14:paraId="35BEE3CD" w14:textId="77777777" w:rsidTr="009D388A">
        <w:trPr>
          <w:trHeight w:val="275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5E33D" w14:textId="30248CFF" w:rsidR="00942E44" w:rsidRPr="00D42813" w:rsidRDefault="00942E44" w:rsidP="009D388A">
            <w:pPr>
              <w:jc w:val="both"/>
            </w:pPr>
            <w:r w:rsidRPr="00D42813">
              <w:t>6.1. detalizēts ieņēmumu aprēķins</w:t>
            </w:r>
          </w:p>
        </w:tc>
        <w:tc>
          <w:tcPr>
            <w:tcW w:w="313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B7D9F" w14:textId="77777777" w:rsidR="00942E44" w:rsidRPr="00D42813" w:rsidRDefault="00942E44" w:rsidP="009D388A">
            <w:pPr>
              <w:jc w:val="both"/>
            </w:pPr>
          </w:p>
        </w:tc>
      </w:tr>
      <w:tr w:rsidR="009D388A" w:rsidRPr="00D42813" w14:paraId="49629335" w14:textId="77777777" w:rsidTr="009D388A">
        <w:trPr>
          <w:trHeight w:val="3076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5FB4C" w14:textId="77777777" w:rsidR="00942E44" w:rsidRPr="00D42813" w:rsidRDefault="00942E44" w:rsidP="009D388A">
            <w:pPr>
              <w:jc w:val="both"/>
            </w:pPr>
            <w:r w:rsidRPr="00D42813">
              <w:t>6.2. detalizēts izdevumu aprēķins</w:t>
            </w:r>
          </w:p>
        </w:tc>
        <w:tc>
          <w:tcPr>
            <w:tcW w:w="313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68BEA" w14:textId="77777777" w:rsidR="00942E44" w:rsidRPr="00D42813" w:rsidRDefault="00942E44" w:rsidP="009D388A">
            <w:pPr>
              <w:jc w:val="both"/>
            </w:pPr>
          </w:p>
        </w:tc>
      </w:tr>
      <w:tr w:rsidR="009D388A" w:rsidRPr="00D42813" w14:paraId="1C792EA9" w14:textId="77777777" w:rsidTr="009D388A">
        <w:trPr>
          <w:trHeight w:val="260"/>
        </w:trPr>
        <w:tc>
          <w:tcPr>
            <w:tcW w:w="1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63430" w14:textId="77777777" w:rsidR="00942E44" w:rsidRPr="00D42813" w:rsidRDefault="00942E44" w:rsidP="009D388A">
            <w:pPr>
              <w:jc w:val="both"/>
            </w:pPr>
            <w:r w:rsidRPr="00D42813">
              <w:lastRenderedPageBreak/>
              <w:t>7. Cita informācija</w:t>
            </w:r>
          </w:p>
        </w:tc>
        <w:tc>
          <w:tcPr>
            <w:tcW w:w="31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D10C6" w14:textId="171DE2F4" w:rsidR="00942E44" w:rsidRPr="00D42813" w:rsidRDefault="00942E44" w:rsidP="009D388A">
            <w:pPr>
              <w:jc w:val="both"/>
            </w:pPr>
            <w:r w:rsidRPr="00D42813">
              <w:t>Nav.</w:t>
            </w:r>
          </w:p>
        </w:tc>
      </w:tr>
    </w:tbl>
    <w:p w14:paraId="27EC7474" w14:textId="77777777" w:rsidR="009F635B" w:rsidRPr="00D42813" w:rsidRDefault="009F635B" w:rsidP="000D3520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1"/>
      </w:tblGrid>
      <w:tr w:rsidR="0057600B" w:rsidRPr="00D42813" w14:paraId="68D8261A" w14:textId="77777777" w:rsidTr="00D71CA0">
        <w:trPr>
          <w:trHeight w:val="29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194" w14:textId="77777777" w:rsidR="007C5838" w:rsidRPr="00D42813" w:rsidRDefault="007C5838" w:rsidP="000D3520">
            <w:pPr>
              <w:jc w:val="center"/>
              <w:rPr>
                <w:b/>
                <w:bCs/>
              </w:rPr>
            </w:pPr>
            <w:r w:rsidRPr="00D42813">
              <w:rPr>
                <w:b/>
                <w:bCs/>
              </w:rPr>
              <w:t xml:space="preserve">IV. </w:t>
            </w:r>
            <w:r w:rsidRPr="00D42813">
              <w:rPr>
                <w:b/>
              </w:rPr>
              <w:t>Tiesību aktu projekta ietekme uz spēkā esošo tiesību normu sistēmu</w:t>
            </w:r>
          </w:p>
        </w:tc>
      </w:tr>
      <w:tr w:rsidR="00572A89" w:rsidRPr="00D42813" w14:paraId="4D3879A7" w14:textId="77777777" w:rsidTr="00D71CA0">
        <w:trPr>
          <w:trHeight w:val="291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C38" w14:textId="0104E842" w:rsidR="00572A89" w:rsidRPr="00D42813" w:rsidRDefault="00572A89" w:rsidP="000D3520">
            <w:pPr>
              <w:jc w:val="center"/>
              <w:rPr>
                <w:b/>
                <w:bCs/>
              </w:rPr>
            </w:pPr>
            <w:r w:rsidRPr="00D42813">
              <w:rPr>
                <w:bCs/>
              </w:rPr>
              <w:t>Projekts šo jomu neskar</w:t>
            </w:r>
          </w:p>
        </w:tc>
      </w:tr>
    </w:tbl>
    <w:p w14:paraId="6FF551FF" w14:textId="23717007" w:rsidR="007C5838" w:rsidRPr="00D42813" w:rsidRDefault="007C5838" w:rsidP="000D3520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0"/>
      </w:tblGrid>
      <w:tr w:rsidR="0057600B" w:rsidRPr="0057600B" w14:paraId="76FD8C59" w14:textId="77777777" w:rsidTr="00560837">
        <w:trPr>
          <w:trHeight w:val="291"/>
          <w:jc w:val="center"/>
        </w:trPr>
        <w:tc>
          <w:tcPr>
            <w:tcW w:w="9400" w:type="dxa"/>
          </w:tcPr>
          <w:p w14:paraId="286648A4" w14:textId="77777777" w:rsidR="00D85A1C" w:rsidRPr="0057600B" w:rsidRDefault="00D85A1C" w:rsidP="000D3520">
            <w:pPr>
              <w:jc w:val="center"/>
              <w:rPr>
                <w:b/>
                <w:bCs/>
              </w:rPr>
            </w:pPr>
            <w:r w:rsidRPr="0057600B">
              <w:rPr>
                <w:b/>
                <w:bCs/>
              </w:rPr>
              <w:t xml:space="preserve">V. </w:t>
            </w:r>
            <w:r w:rsidRPr="0057600B">
              <w:rPr>
                <w:b/>
              </w:rPr>
              <w:t>Tiesību aktu projekta atbilstība Latvijas Republikas starptautiskajām saistībām</w:t>
            </w:r>
          </w:p>
        </w:tc>
      </w:tr>
      <w:tr w:rsidR="00D85A1C" w:rsidRPr="0057600B" w14:paraId="6CCBD030" w14:textId="77777777" w:rsidTr="00560837">
        <w:trPr>
          <w:trHeight w:val="291"/>
          <w:jc w:val="center"/>
        </w:trPr>
        <w:tc>
          <w:tcPr>
            <w:tcW w:w="9400" w:type="dxa"/>
          </w:tcPr>
          <w:p w14:paraId="77FE2B30" w14:textId="77777777" w:rsidR="00D85A1C" w:rsidRPr="0057600B" w:rsidRDefault="00D85A1C" w:rsidP="000D3520">
            <w:pPr>
              <w:jc w:val="center"/>
              <w:rPr>
                <w:bCs/>
              </w:rPr>
            </w:pPr>
            <w:r w:rsidRPr="0057600B">
              <w:rPr>
                <w:bCs/>
              </w:rPr>
              <w:t>Projekts šo jomu neskar</w:t>
            </w:r>
          </w:p>
        </w:tc>
      </w:tr>
    </w:tbl>
    <w:p w14:paraId="2E73B7FE" w14:textId="77777777" w:rsidR="00D85A1C" w:rsidRPr="0057600B" w:rsidRDefault="00D85A1C" w:rsidP="000D3520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"/>
        <w:gridCol w:w="3029"/>
        <w:gridCol w:w="5926"/>
      </w:tblGrid>
      <w:tr w:rsidR="0057600B" w:rsidRPr="0057600B" w14:paraId="63BF73CD" w14:textId="77777777" w:rsidTr="008515C5">
        <w:trPr>
          <w:trHeight w:val="291"/>
          <w:jc w:val="center"/>
        </w:trPr>
        <w:tc>
          <w:tcPr>
            <w:tcW w:w="9400" w:type="dxa"/>
            <w:gridSpan w:val="3"/>
          </w:tcPr>
          <w:p w14:paraId="63BF73CC" w14:textId="38B9E957" w:rsidR="008515C5" w:rsidRPr="0057600B" w:rsidRDefault="008515C5" w:rsidP="000D3520">
            <w:pPr>
              <w:jc w:val="center"/>
              <w:rPr>
                <w:b/>
                <w:bCs/>
              </w:rPr>
            </w:pPr>
            <w:r w:rsidRPr="0057600B">
              <w:rPr>
                <w:b/>
                <w:bCs/>
              </w:rPr>
              <w:t xml:space="preserve">VI. </w:t>
            </w:r>
            <w:r w:rsidRPr="0057600B">
              <w:rPr>
                <w:b/>
              </w:rPr>
              <w:t>Sabiedrības līdzdalība un komunikācijas aktivitātes</w:t>
            </w:r>
          </w:p>
        </w:tc>
      </w:tr>
      <w:tr w:rsidR="0057600B" w:rsidRPr="0057600B" w14:paraId="63BF73D1" w14:textId="77777777" w:rsidTr="00EF5EC2">
        <w:trPr>
          <w:trHeight w:val="699"/>
          <w:jc w:val="center"/>
        </w:trPr>
        <w:tc>
          <w:tcPr>
            <w:tcW w:w="445" w:type="dxa"/>
          </w:tcPr>
          <w:p w14:paraId="63BF73CE" w14:textId="77777777" w:rsidR="0041108F" w:rsidRPr="0057600B" w:rsidRDefault="0041108F" w:rsidP="000D3520">
            <w:pPr>
              <w:rPr>
                <w:iCs/>
              </w:rPr>
            </w:pPr>
            <w:r w:rsidRPr="0057600B">
              <w:rPr>
                <w:iCs/>
              </w:rPr>
              <w:t>1.</w:t>
            </w:r>
          </w:p>
        </w:tc>
        <w:tc>
          <w:tcPr>
            <w:tcW w:w="3029" w:type="dxa"/>
          </w:tcPr>
          <w:p w14:paraId="63BF73CF" w14:textId="77777777" w:rsidR="0041108F" w:rsidRPr="0057600B" w:rsidRDefault="0041108F" w:rsidP="000D3520">
            <w:pPr>
              <w:rPr>
                <w:iCs/>
              </w:rPr>
            </w:pPr>
            <w:r w:rsidRPr="0057600B">
              <w:t>Plānotās sabiedrības līdzdalības un komunikācijas aktivitātes saistībā ar projektu</w:t>
            </w:r>
          </w:p>
        </w:tc>
        <w:tc>
          <w:tcPr>
            <w:tcW w:w="5926" w:type="dxa"/>
          </w:tcPr>
          <w:p w14:paraId="63BF73D0" w14:textId="61EBD084" w:rsidR="0041108F" w:rsidRPr="0057600B" w:rsidRDefault="00572A89">
            <w:pPr>
              <w:jc w:val="both"/>
            </w:pPr>
            <w:r w:rsidRPr="00D80FED">
              <w:rPr>
                <w:shd w:val="clear" w:color="auto" w:fill="FFFFFF"/>
              </w:rPr>
              <w:t>Likumprojekts tik</w:t>
            </w:r>
            <w:r w:rsidR="009D388A">
              <w:rPr>
                <w:shd w:val="clear" w:color="auto" w:fill="FFFFFF"/>
              </w:rPr>
              <w:t>a</w:t>
            </w:r>
            <w:r w:rsidRPr="00D80FED">
              <w:rPr>
                <w:shd w:val="clear" w:color="auto" w:fill="FFFFFF"/>
              </w:rPr>
              <w:t xml:space="preserve"> nosūtīts </w:t>
            </w:r>
            <w:r w:rsidR="00291420" w:rsidRPr="00A83388">
              <w:rPr>
                <w:rFonts w:eastAsia="Calibri"/>
              </w:rPr>
              <w:t>Latvijas Tirdzniecības un rūpniecības kamera</w:t>
            </w:r>
            <w:r w:rsidR="00291420">
              <w:rPr>
                <w:rFonts w:eastAsia="Calibri"/>
              </w:rPr>
              <w:t>i,</w:t>
            </w:r>
            <w:r w:rsidR="00291420" w:rsidRPr="0057600B">
              <w:rPr>
                <w:shd w:val="clear" w:color="auto" w:fill="FFFFFF"/>
              </w:rPr>
              <w:t xml:space="preserve"> </w:t>
            </w:r>
            <w:r w:rsidRPr="00D80FED">
              <w:rPr>
                <w:shd w:val="clear" w:color="auto" w:fill="FFFFFF"/>
              </w:rPr>
              <w:t>Latvijas Darba devēju konfederācijai</w:t>
            </w:r>
            <w:r w:rsidR="004E6978">
              <w:rPr>
                <w:shd w:val="clear" w:color="auto" w:fill="FFFFFF"/>
              </w:rPr>
              <w:t xml:space="preserve">, </w:t>
            </w:r>
            <w:r w:rsidR="00E27853" w:rsidRPr="00D80FED">
              <w:rPr>
                <w:shd w:val="clear" w:color="auto" w:fill="FFFFFF"/>
              </w:rPr>
              <w:t xml:space="preserve"> un </w:t>
            </w:r>
            <w:r w:rsidR="00CF7E80" w:rsidRPr="00D80FED">
              <w:rPr>
                <w:shd w:val="clear" w:color="auto" w:fill="FFFFFF"/>
              </w:rPr>
              <w:t>biedrībai “</w:t>
            </w:r>
            <w:r w:rsidR="00E27853" w:rsidRPr="00D80FED">
              <w:rPr>
                <w:shd w:val="clear" w:color="auto" w:fill="FFFFFF"/>
              </w:rPr>
              <w:t>Latvijas Spēļu biznesa asociācija</w:t>
            </w:r>
            <w:r w:rsidR="00CF7E80" w:rsidRPr="00D80FED">
              <w:rPr>
                <w:shd w:val="clear" w:color="auto" w:fill="FFFFFF"/>
              </w:rPr>
              <w:t>”</w:t>
            </w:r>
            <w:r w:rsidRPr="00D80FED">
              <w:rPr>
                <w:shd w:val="clear" w:color="auto" w:fill="FFFFFF"/>
              </w:rPr>
              <w:t>.</w:t>
            </w:r>
          </w:p>
        </w:tc>
      </w:tr>
      <w:tr w:rsidR="0057600B" w:rsidRPr="0057600B" w14:paraId="63BF73D5" w14:textId="77777777" w:rsidTr="00693529">
        <w:trPr>
          <w:trHeight w:val="594"/>
          <w:jc w:val="center"/>
        </w:trPr>
        <w:tc>
          <w:tcPr>
            <w:tcW w:w="445" w:type="dxa"/>
          </w:tcPr>
          <w:p w14:paraId="63BF73D2" w14:textId="221F898F" w:rsidR="000B0624" w:rsidRPr="0057600B" w:rsidRDefault="000B0624" w:rsidP="000D3520">
            <w:pPr>
              <w:rPr>
                <w:iCs/>
              </w:rPr>
            </w:pPr>
            <w:r w:rsidRPr="0057600B">
              <w:rPr>
                <w:iCs/>
              </w:rPr>
              <w:t>2.</w:t>
            </w:r>
          </w:p>
        </w:tc>
        <w:tc>
          <w:tcPr>
            <w:tcW w:w="3029" w:type="dxa"/>
          </w:tcPr>
          <w:p w14:paraId="63BF73D3" w14:textId="77777777" w:rsidR="000B0624" w:rsidRPr="0057600B" w:rsidRDefault="000B0624" w:rsidP="000D3520">
            <w:r w:rsidRPr="0057600B">
              <w:t>Sabiedrības līdzdalība projekta izstrādē</w:t>
            </w:r>
          </w:p>
        </w:tc>
        <w:tc>
          <w:tcPr>
            <w:tcW w:w="5926" w:type="dxa"/>
          </w:tcPr>
          <w:p w14:paraId="63BF73D4" w14:textId="0212D392" w:rsidR="000B0624" w:rsidRPr="0057600B" w:rsidRDefault="00291420">
            <w:pPr>
              <w:jc w:val="both"/>
            </w:pPr>
            <w:r w:rsidRPr="0057600B">
              <w:rPr>
                <w:shd w:val="clear" w:color="auto" w:fill="FFFFFF"/>
              </w:rPr>
              <w:t>Valsts nodokļu politikas pamatnostād</w:t>
            </w:r>
            <w:r>
              <w:rPr>
                <w:shd w:val="clear" w:color="auto" w:fill="FFFFFF"/>
              </w:rPr>
              <w:t>ņu</w:t>
            </w:r>
            <w:r w:rsidRPr="0057600B">
              <w:rPr>
                <w:shd w:val="clear" w:color="auto" w:fill="FFFFFF"/>
              </w:rPr>
              <w:t xml:space="preserve"> 2018.-2021.gadam</w:t>
            </w:r>
            <w:r>
              <w:rPr>
                <w:shd w:val="clear" w:color="auto" w:fill="FFFFFF"/>
              </w:rPr>
              <w:t xml:space="preserve"> izstrādes gaitā</w:t>
            </w:r>
            <w:r w:rsidRPr="00A833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</w:t>
            </w:r>
            <w:r w:rsidR="00572A89" w:rsidRPr="00D80FED">
              <w:rPr>
                <w:shd w:val="clear" w:color="auto" w:fill="FFFFFF"/>
              </w:rPr>
              <w:t xml:space="preserve">ar </w:t>
            </w:r>
            <w:r>
              <w:rPr>
                <w:shd w:val="clear" w:color="auto" w:fill="FFFFFF"/>
              </w:rPr>
              <w:t>l</w:t>
            </w:r>
            <w:r w:rsidR="00572A89" w:rsidRPr="00D80FED">
              <w:rPr>
                <w:shd w:val="clear" w:color="auto" w:fill="FFFFFF"/>
              </w:rPr>
              <w:t xml:space="preserve">ikumprojektā paredzēto azartspēļu nodokļa likmju paaugstināšanu </w:t>
            </w:r>
            <w:r>
              <w:rPr>
                <w:shd w:val="clear" w:color="auto" w:fill="FFFFFF"/>
              </w:rPr>
              <w:t>tika</w:t>
            </w:r>
            <w:r w:rsidR="00572A89" w:rsidRPr="00D80FED">
              <w:rPr>
                <w:shd w:val="clear" w:color="auto" w:fill="FFFFFF"/>
              </w:rPr>
              <w:t xml:space="preserve"> informēta</w:t>
            </w:r>
            <w:r w:rsidR="00CF7E80" w:rsidRPr="00D80FED">
              <w:rPr>
                <w:shd w:val="clear" w:color="auto" w:fill="FFFFFF"/>
              </w:rPr>
              <w:t xml:space="preserve"> </w:t>
            </w:r>
            <w:r w:rsidRPr="00D80FED">
              <w:rPr>
                <w:rFonts w:eastAsia="Calibri"/>
              </w:rPr>
              <w:t>Latvijas Tird</w:t>
            </w:r>
            <w:r>
              <w:rPr>
                <w:rFonts w:eastAsia="Calibri"/>
              </w:rPr>
              <w:t xml:space="preserve">zniecības un rūpniecības kamera, </w:t>
            </w:r>
            <w:r w:rsidR="00E27853" w:rsidRPr="00D80FED">
              <w:rPr>
                <w:shd w:val="clear" w:color="auto" w:fill="FFFFFF"/>
              </w:rPr>
              <w:t xml:space="preserve">Latvijas Darba devēju konfederācija un </w:t>
            </w:r>
            <w:r w:rsidR="00CF7E80" w:rsidRPr="00D80FED">
              <w:rPr>
                <w:shd w:val="clear" w:color="auto" w:fill="FFFFFF"/>
              </w:rPr>
              <w:t>biedrība “</w:t>
            </w:r>
            <w:r w:rsidR="00572A89" w:rsidRPr="00D80FED">
              <w:rPr>
                <w:shd w:val="clear" w:color="auto" w:fill="FFFFFF"/>
              </w:rPr>
              <w:t>Latvijas Spēļu biznesa asociācija</w:t>
            </w:r>
            <w:r w:rsidR="00CF7E80" w:rsidRPr="00D80FED">
              <w:rPr>
                <w:shd w:val="clear" w:color="auto" w:fill="FFFFFF"/>
              </w:rPr>
              <w:t>”</w:t>
            </w:r>
            <w:r w:rsidR="00572A89" w:rsidRPr="00D80FED">
              <w:rPr>
                <w:shd w:val="clear" w:color="auto" w:fill="FFFFFF"/>
              </w:rPr>
              <w:t>.</w:t>
            </w:r>
          </w:p>
        </w:tc>
      </w:tr>
      <w:tr w:rsidR="0057600B" w:rsidRPr="0057600B" w14:paraId="63BF73D9" w14:textId="77777777" w:rsidTr="00693529">
        <w:trPr>
          <w:trHeight w:val="607"/>
          <w:jc w:val="center"/>
        </w:trPr>
        <w:tc>
          <w:tcPr>
            <w:tcW w:w="445" w:type="dxa"/>
          </w:tcPr>
          <w:p w14:paraId="63BF73D6" w14:textId="77777777" w:rsidR="000B0624" w:rsidRPr="0057600B" w:rsidRDefault="000B0624" w:rsidP="000D3520">
            <w:pPr>
              <w:rPr>
                <w:iCs/>
              </w:rPr>
            </w:pPr>
            <w:r w:rsidRPr="0057600B">
              <w:rPr>
                <w:iCs/>
              </w:rPr>
              <w:t>3.</w:t>
            </w:r>
          </w:p>
        </w:tc>
        <w:tc>
          <w:tcPr>
            <w:tcW w:w="3029" w:type="dxa"/>
          </w:tcPr>
          <w:p w14:paraId="63BF73D7" w14:textId="77777777" w:rsidR="000B0624" w:rsidRPr="0057600B" w:rsidRDefault="000B0624" w:rsidP="000D3520">
            <w:pPr>
              <w:rPr>
                <w:iCs/>
              </w:rPr>
            </w:pPr>
            <w:r w:rsidRPr="0057600B">
              <w:t>Sabiedrības līdzdalības rezultāti</w:t>
            </w:r>
          </w:p>
        </w:tc>
        <w:tc>
          <w:tcPr>
            <w:tcW w:w="5926" w:type="dxa"/>
          </w:tcPr>
          <w:p w14:paraId="63BF73D8" w14:textId="245C9F15" w:rsidR="000B0624" w:rsidRPr="0057600B" w:rsidRDefault="00CF7E80" w:rsidP="00E27853">
            <w:pPr>
              <w:jc w:val="both"/>
              <w:rPr>
                <w:iCs/>
              </w:rPr>
            </w:pPr>
            <w:r w:rsidRPr="00D80FED">
              <w:rPr>
                <w:shd w:val="clear" w:color="auto" w:fill="FFFFFF"/>
              </w:rPr>
              <w:t>Biedrība</w:t>
            </w:r>
            <w:r w:rsidR="00572A89" w:rsidRPr="00D80FED">
              <w:rPr>
                <w:rStyle w:val="apple-converted-space"/>
                <w:shd w:val="clear" w:color="auto" w:fill="FFFFFF"/>
              </w:rPr>
              <w:t> </w:t>
            </w:r>
            <w:r w:rsidRPr="00D80FED">
              <w:rPr>
                <w:rStyle w:val="apple-converted-space"/>
                <w:shd w:val="clear" w:color="auto" w:fill="FFFFFF"/>
              </w:rPr>
              <w:t>“</w:t>
            </w:r>
            <w:r w:rsidR="00572A89" w:rsidRPr="00D80FED">
              <w:rPr>
                <w:shd w:val="clear" w:color="auto" w:fill="FFFFFF"/>
              </w:rPr>
              <w:t>Latvijas Spēļu biznesa asociācija</w:t>
            </w:r>
            <w:r w:rsidRPr="00D80FED">
              <w:rPr>
                <w:shd w:val="clear" w:color="auto" w:fill="FFFFFF"/>
              </w:rPr>
              <w:t>”</w:t>
            </w:r>
            <w:r w:rsidR="00572A89" w:rsidRPr="00D80FED">
              <w:rPr>
                <w:rStyle w:val="apple-converted-space"/>
                <w:shd w:val="clear" w:color="auto" w:fill="FFFFFF"/>
              </w:rPr>
              <w:t> </w:t>
            </w:r>
            <w:r w:rsidR="00572A89" w:rsidRPr="00D80FED">
              <w:rPr>
                <w:shd w:val="clear" w:color="auto" w:fill="FFFFFF"/>
              </w:rPr>
              <w:t xml:space="preserve">neatbalsta </w:t>
            </w:r>
            <w:r w:rsidR="00291420">
              <w:rPr>
                <w:shd w:val="clear" w:color="auto" w:fill="FFFFFF"/>
              </w:rPr>
              <w:t xml:space="preserve">likumprojektā paredzēto </w:t>
            </w:r>
            <w:r w:rsidR="00572A89" w:rsidRPr="00D80FED">
              <w:rPr>
                <w:shd w:val="clear" w:color="auto" w:fill="FFFFFF"/>
              </w:rPr>
              <w:t>azartspēļu nodokļa</w:t>
            </w:r>
            <w:r w:rsidRPr="00D80FED">
              <w:rPr>
                <w:shd w:val="clear" w:color="auto" w:fill="FFFFFF"/>
              </w:rPr>
              <w:t xml:space="preserve"> </w:t>
            </w:r>
            <w:r w:rsidR="00572A89" w:rsidRPr="00D80FED">
              <w:rPr>
                <w:shd w:val="clear" w:color="auto" w:fill="FFFFFF"/>
              </w:rPr>
              <w:t>likmju paaugstināšanu.</w:t>
            </w:r>
          </w:p>
        </w:tc>
      </w:tr>
      <w:tr w:rsidR="000B0624" w:rsidRPr="0057600B" w14:paraId="63BF73DD" w14:textId="77777777" w:rsidTr="00693529">
        <w:trPr>
          <w:trHeight w:val="315"/>
          <w:jc w:val="center"/>
        </w:trPr>
        <w:tc>
          <w:tcPr>
            <w:tcW w:w="445" w:type="dxa"/>
          </w:tcPr>
          <w:p w14:paraId="63BF73DA" w14:textId="77777777" w:rsidR="000B0624" w:rsidRPr="0057600B" w:rsidRDefault="000B0624" w:rsidP="000D3520">
            <w:pPr>
              <w:rPr>
                <w:iCs/>
              </w:rPr>
            </w:pPr>
            <w:r w:rsidRPr="0057600B">
              <w:rPr>
                <w:iCs/>
              </w:rPr>
              <w:t>4.</w:t>
            </w:r>
          </w:p>
        </w:tc>
        <w:tc>
          <w:tcPr>
            <w:tcW w:w="3029" w:type="dxa"/>
          </w:tcPr>
          <w:p w14:paraId="63BF73DB" w14:textId="77777777" w:rsidR="000B0624" w:rsidRPr="0057600B" w:rsidRDefault="000B0624" w:rsidP="000D3520">
            <w:r w:rsidRPr="0057600B">
              <w:t>Cita informācija</w:t>
            </w:r>
          </w:p>
        </w:tc>
        <w:tc>
          <w:tcPr>
            <w:tcW w:w="5926" w:type="dxa"/>
          </w:tcPr>
          <w:p w14:paraId="63BF73DC" w14:textId="77777777" w:rsidR="000B0624" w:rsidRPr="0057600B" w:rsidRDefault="000B0624" w:rsidP="000D3520">
            <w:r w:rsidRPr="0057600B">
              <w:t>Nav.</w:t>
            </w:r>
          </w:p>
        </w:tc>
      </w:tr>
    </w:tbl>
    <w:p w14:paraId="63BF73DE" w14:textId="77777777" w:rsidR="008515C5" w:rsidRPr="0057600B" w:rsidRDefault="008515C5" w:rsidP="000D3520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253"/>
        <w:gridCol w:w="4705"/>
      </w:tblGrid>
      <w:tr w:rsidR="0057600B" w:rsidRPr="0057600B" w14:paraId="63BF73E0" w14:textId="77777777" w:rsidTr="00052654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DF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600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57600B" w:rsidRPr="0057600B" w14:paraId="63BF73E4" w14:textId="77777777" w:rsidTr="000D352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1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1.</w:t>
            </w:r>
          </w:p>
        </w:tc>
        <w:tc>
          <w:tcPr>
            <w:tcW w:w="2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2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Projekta izpildē iesaistītās institūcijas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3" w14:textId="4FE94F7E" w:rsidR="001E4890" w:rsidRPr="0057600B" w:rsidRDefault="00572A89" w:rsidP="000D3520">
            <w:pPr>
              <w:pStyle w:val="NormalWeb"/>
              <w:spacing w:before="0" w:beforeAutospacing="0" w:after="0" w:afterAutospacing="0"/>
              <w:jc w:val="both"/>
            </w:pPr>
            <w:r w:rsidRPr="00D80FED">
              <w:rPr>
                <w:shd w:val="clear" w:color="auto" w:fill="FFFFFF"/>
              </w:rPr>
              <w:t>Izložu un azartspēļu uzraudzības inspekcija, Valsts ieņēmumu dienests.</w:t>
            </w:r>
          </w:p>
        </w:tc>
      </w:tr>
      <w:tr w:rsidR="0057600B" w:rsidRPr="0057600B" w14:paraId="63BF73EA" w14:textId="77777777" w:rsidTr="000D352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5" w14:textId="77777777" w:rsidR="001353B2" w:rsidRPr="0057600B" w:rsidRDefault="001353B2" w:rsidP="000D3520">
            <w:pPr>
              <w:pStyle w:val="NormalWeb"/>
              <w:spacing w:before="0" w:beforeAutospacing="0" w:after="0" w:afterAutospacing="0"/>
            </w:pPr>
            <w:r w:rsidRPr="0057600B">
              <w:t>2.</w:t>
            </w:r>
          </w:p>
        </w:tc>
        <w:tc>
          <w:tcPr>
            <w:tcW w:w="2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6" w14:textId="77777777" w:rsidR="001353B2" w:rsidRPr="0057600B" w:rsidRDefault="001353B2" w:rsidP="000D3520">
            <w:pPr>
              <w:pStyle w:val="NormalWeb"/>
              <w:spacing w:before="0" w:beforeAutospacing="0" w:after="0" w:afterAutospacing="0"/>
            </w:pPr>
            <w:r w:rsidRPr="0057600B">
              <w:t>Projekta izpildes ietekme uz pārvaldes funkcijām un institucionālo struktūru.</w:t>
            </w:r>
          </w:p>
          <w:p w14:paraId="63BF73E7" w14:textId="77777777" w:rsidR="001353B2" w:rsidRPr="0057600B" w:rsidRDefault="001353B2" w:rsidP="000D3520">
            <w:pPr>
              <w:pStyle w:val="NormalWeb"/>
              <w:spacing w:before="0" w:beforeAutospacing="0" w:after="0" w:afterAutospacing="0"/>
            </w:pPr>
            <w:r w:rsidRPr="0057600B">
              <w:t>Jaunu institūciju izveide, esošo institūciju likvidācija vai reorganizācija, to ietekme uz institūcijas cilvēkresursiem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213AC" w14:textId="4D9EC157" w:rsidR="001353B2" w:rsidRPr="0057600B" w:rsidRDefault="000C4D22" w:rsidP="000D3520">
            <w:pPr>
              <w:pStyle w:val="NormalWeb"/>
              <w:spacing w:before="0" w:beforeAutospacing="0" w:after="0" w:afterAutospacing="0"/>
              <w:jc w:val="both"/>
            </w:pPr>
            <w:r w:rsidRPr="0057600B">
              <w:t>Funkc</w:t>
            </w:r>
            <w:r w:rsidR="00651117" w:rsidRPr="0057600B">
              <w:t>ijas un uzdevumi netiek grozīti</w:t>
            </w:r>
            <w:r w:rsidRPr="0057600B">
              <w:t>.</w:t>
            </w:r>
          </w:p>
          <w:p w14:paraId="5A299569" w14:textId="77777777" w:rsidR="001353B2" w:rsidRPr="0057600B" w:rsidRDefault="001353B2" w:rsidP="000D3520">
            <w:pPr>
              <w:pStyle w:val="NormalWeb"/>
              <w:spacing w:before="0" w:beforeAutospacing="0" w:after="0" w:afterAutospacing="0"/>
              <w:jc w:val="both"/>
            </w:pPr>
            <w:r w:rsidRPr="0057600B">
              <w:t>Jaunu institūciju izveide, esošo institūciju likvidācija vai reorganizācija netiek paredzēta.</w:t>
            </w:r>
          </w:p>
          <w:p w14:paraId="63BF73E9" w14:textId="252173C6" w:rsidR="00572A89" w:rsidRPr="0057600B" w:rsidRDefault="001353B2" w:rsidP="00572A89">
            <w:pPr>
              <w:pStyle w:val="NormalWeb"/>
              <w:spacing w:before="0" w:beforeAutospacing="0" w:after="0" w:afterAutospacing="0"/>
              <w:jc w:val="both"/>
            </w:pPr>
            <w:r w:rsidRPr="0057600B">
              <w:t xml:space="preserve">Likumprojekts tiks realizēts, </w:t>
            </w:r>
            <w:r w:rsidR="00651117" w:rsidRPr="0057600B">
              <w:t>esošo cilvēkresursu ietvaros.</w:t>
            </w:r>
          </w:p>
        </w:tc>
      </w:tr>
      <w:tr w:rsidR="001E4890" w:rsidRPr="0057600B" w14:paraId="63BF73EE" w14:textId="77777777" w:rsidTr="000D352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B" w14:textId="77777777" w:rsidR="001E4890" w:rsidRPr="0057600B" w:rsidRDefault="00880A15" w:rsidP="000D3520">
            <w:pPr>
              <w:pStyle w:val="NormalWeb"/>
              <w:spacing w:before="0" w:beforeAutospacing="0" w:after="0" w:afterAutospacing="0"/>
            </w:pPr>
            <w:r w:rsidRPr="0057600B">
              <w:t>3</w:t>
            </w:r>
            <w:r w:rsidR="001E4890" w:rsidRPr="0057600B">
              <w:t>.</w:t>
            </w:r>
          </w:p>
        </w:tc>
        <w:tc>
          <w:tcPr>
            <w:tcW w:w="2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C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Cita informācija</w:t>
            </w:r>
          </w:p>
        </w:tc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D" w14:textId="77777777" w:rsidR="001E4890" w:rsidRPr="0057600B" w:rsidRDefault="001E4890" w:rsidP="000D3520">
            <w:pPr>
              <w:pStyle w:val="NormalWeb"/>
              <w:spacing w:before="0" w:beforeAutospacing="0" w:after="0" w:afterAutospacing="0"/>
            </w:pPr>
            <w:r w:rsidRPr="0057600B">
              <w:t>Nav</w:t>
            </w:r>
            <w:r w:rsidR="0026359B" w:rsidRPr="0057600B">
              <w:t>.</w:t>
            </w:r>
          </w:p>
        </w:tc>
      </w:tr>
    </w:tbl>
    <w:p w14:paraId="63BF73EF" w14:textId="77777777" w:rsidR="001E4890" w:rsidRPr="0057600B" w:rsidRDefault="001E4890" w:rsidP="000D3520"/>
    <w:p w14:paraId="2797DFB7" w14:textId="77777777" w:rsidR="00C12AF6" w:rsidRPr="0057600B" w:rsidRDefault="00C12AF6" w:rsidP="000D3520"/>
    <w:p w14:paraId="451093D6" w14:textId="77777777" w:rsidR="00CF7E80" w:rsidRPr="0057600B" w:rsidRDefault="00CF7E80" w:rsidP="004D2EF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D4AAB30" w14:textId="080BBAF9" w:rsidR="004D2EFA" w:rsidRPr="00FE3135" w:rsidRDefault="004D2EFA" w:rsidP="00FE3135">
      <w:pPr>
        <w:tabs>
          <w:tab w:val="left" w:pos="6521"/>
          <w:tab w:val="right" w:pos="8820"/>
        </w:tabs>
        <w:rPr>
          <w:sz w:val="26"/>
          <w:szCs w:val="26"/>
        </w:rPr>
      </w:pPr>
      <w:r w:rsidRPr="00FE3135">
        <w:rPr>
          <w:sz w:val="26"/>
          <w:szCs w:val="26"/>
        </w:rPr>
        <w:t>Finanšu ministre</w:t>
      </w:r>
      <w:r w:rsidRPr="00FE3135">
        <w:rPr>
          <w:sz w:val="26"/>
          <w:szCs w:val="26"/>
        </w:rPr>
        <w:tab/>
        <w:t>Dana Reizniece-Ozola</w:t>
      </w:r>
    </w:p>
    <w:p w14:paraId="54960E67" w14:textId="77777777" w:rsidR="004D2EFA" w:rsidRPr="0057600B" w:rsidRDefault="004D2EFA" w:rsidP="004D2EFA">
      <w:pPr>
        <w:pStyle w:val="naisf"/>
        <w:tabs>
          <w:tab w:val="left" w:pos="6804"/>
        </w:tabs>
        <w:spacing w:before="0" w:after="0"/>
        <w:ind w:firstLine="0"/>
        <w:rPr>
          <w:spacing w:val="-2"/>
          <w:sz w:val="28"/>
          <w:szCs w:val="28"/>
          <w:lang w:val="de-DE"/>
        </w:rPr>
      </w:pPr>
    </w:p>
    <w:p w14:paraId="51984312" w14:textId="77777777" w:rsidR="00CF7E80" w:rsidRPr="0057600B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1AF2CF9F" w14:textId="77777777" w:rsidR="00CF7E80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10B4D54E" w14:textId="77777777" w:rsidR="00CF7E80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02EE4FB2" w14:textId="77777777" w:rsidR="00CF7E80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0216038B" w14:textId="6D6626E0" w:rsidR="004D2EFA" w:rsidRDefault="004D2EFA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Avotiņa, 67095515</w:t>
      </w:r>
    </w:p>
    <w:p w14:paraId="7C29048E" w14:textId="7136AF9D" w:rsidR="000D3520" w:rsidRDefault="00865BB0" w:rsidP="004D2EFA">
      <w:pPr>
        <w:jc w:val="both"/>
        <w:rPr>
          <w:sz w:val="26"/>
          <w:szCs w:val="26"/>
        </w:rPr>
      </w:pPr>
      <w:hyperlink r:id="rId13" w:history="1">
        <w:r w:rsidR="004D2EFA">
          <w:rPr>
            <w:rStyle w:val="Hyperlink"/>
            <w:rFonts w:ascii="Times New Roman BaltRim" w:hAnsi="Times New Roman BaltRim"/>
            <w:color w:val="0000CC"/>
            <w:spacing w:val="-2"/>
            <w:sz w:val="20"/>
            <w:szCs w:val="20"/>
          </w:rPr>
          <w:t>inga.avotina@fm.gov.lv</w:t>
        </w:r>
      </w:hyperlink>
    </w:p>
    <w:sectPr w:rsidR="000D3520" w:rsidSect="00372B9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134" w:right="851" w:bottom="1134" w:left="1701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BB8B" w14:textId="77777777" w:rsidR="00865BB0" w:rsidRDefault="00865BB0">
      <w:r>
        <w:separator/>
      </w:r>
    </w:p>
  </w:endnote>
  <w:endnote w:type="continuationSeparator" w:id="0">
    <w:p w14:paraId="66742270" w14:textId="77777777" w:rsidR="00865BB0" w:rsidRDefault="008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8" w14:textId="77777777" w:rsidR="009439B5" w:rsidRDefault="009439B5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7419" w14:textId="77777777" w:rsidR="009439B5" w:rsidRDefault="009439B5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8F9B" w14:textId="5CA86201" w:rsidR="00372B9B" w:rsidRPr="00372B9B" w:rsidRDefault="00372B9B">
    <w:pPr>
      <w:pStyle w:val="Footer"/>
      <w:rPr>
        <w:sz w:val="20"/>
        <w:szCs w:val="20"/>
      </w:rPr>
    </w:pPr>
    <w:r w:rsidRPr="00372B9B">
      <w:rPr>
        <w:sz w:val="20"/>
        <w:szCs w:val="20"/>
      </w:rPr>
      <w:t>FManot_</w:t>
    </w:r>
    <w:r w:rsidR="005D43EE">
      <w:rPr>
        <w:sz w:val="20"/>
        <w:szCs w:val="20"/>
      </w:rPr>
      <w:t>1</w:t>
    </w:r>
    <w:r w:rsidRPr="00372B9B">
      <w:rPr>
        <w:sz w:val="20"/>
        <w:szCs w:val="20"/>
      </w:rPr>
      <w:t>90517_IANNgroz.docx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B" w14:textId="1401601A" w:rsidR="009439B5" w:rsidRPr="00372B9B" w:rsidRDefault="00372B9B" w:rsidP="00FA6931">
    <w:pPr>
      <w:pStyle w:val="Footer"/>
      <w:rPr>
        <w:sz w:val="20"/>
        <w:szCs w:val="20"/>
      </w:rPr>
    </w:pPr>
    <w:r w:rsidRPr="00372B9B">
      <w:rPr>
        <w:sz w:val="20"/>
        <w:szCs w:val="20"/>
      </w:rPr>
      <w:t>FManot_</w:t>
    </w:r>
    <w:r w:rsidR="005D43EE">
      <w:rPr>
        <w:sz w:val="20"/>
        <w:szCs w:val="20"/>
      </w:rPr>
      <w:t>1</w:t>
    </w:r>
    <w:r w:rsidRPr="00372B9B">
      <w:rPr>
        <w:sz w:val="20"/>
        <w:szCs w:val="20"/>
      </w:rPr>
      <w:t>90517_IANNgroz.docx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2621" w14:textId="77777777" w:rsidR="00865BB0" w:rsidRDefault="00865BB0">
      <w:r>
        <w:separator/>
      </w:r>
    </w:p>
  </w:footnote>
  <w:footnote w:type="continuationSeparator" w:id="0">
    <w:p w14:paraId="736D023E" w14:textId="77777777" w:rsidR="00865BB0" w:rsidRDefault="0086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4" w14:textId="77777777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7415" w14:textId="77777777" w:rsidR="009439B5" w:rsidRDefault="0094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6" w14:textId="08F3C72C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9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BF7417" w14:textId="77777777" w:rsidR="009439B5" w:rsidRPr="004F7101" w:rsidRDefault="009439B5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F1"/>
    <w:multiLevelType w:val="hybridMultilevel"/>
    <w:tmpl w:val="5212F8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554CE"/>
    <w:multiLevelType w:val="hybridMultilevel"/>
    <w:tmpl w:val="46884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5CB"/>
    <w:multiLevelType w:val="hybridMultilevel"/>
    <w:tmpl w:val="957C3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D1FB2"/>
    <w:multiLevelType w:val="hybridMultilevel"/>
    <w:tmpl w:val="6D3C1572"/>
    <w:lvl w:ilvl="0" w:tplc="042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>
    <w:nsid w:val="24F21702"/>
    <w:multiLevelType w:val="hybridMultilevel"/>
    <w:tmpl w:val="A12479EC"/>
    <w:lvl w:ilvl="0" w:tplc="BD6C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7C4"/>
    <w:multiLevelType w:val="hybridMultilevel"/>
    <w:tmpl w:val="4672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4F32"/>
    <w:multiLevelType w:val="hybridMultilevel"/>
    <w:tmpl w:val="C85041DC"/>
    <w:lvl w:ilvl="0" w:tplc="01DA5A1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B0976"/>
    <w:multiLevelType w:val="hybridMultilevel"/>
    <w:tmpl w:val="34087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C16"/>
    <w:multiLevelType w:val="hybridMultilevel"/>
    <w:tmpl w:val="7BD2B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8AA"/>
    <w:multiLevelType w:val="hybridMultilevel"/>
    <w:tmpl w:val="D14A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34BA6"/>
    <w:multiLevelType w:val="hybridMultilevel"/>
    <w:tmpl w:val="CC40333A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35A0D03"/>
    <w:multiLevelType w:val="hybridMultilevel"/>
    <w:tmpl w:val="C470B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80AB8"/>
    <w:multiLevelType w:val="hybridMultilevel"/>
    <w:tmpl w:val="EB48EBC0"/>
    <w:lvl w:ilvl="0" w:tplc="042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4">
    <w:nsid w:val="43781735"/>
    <w:multiLevelType w:val="hybridMultilevel"/>
    <w:tmpl w:val="0CBE3B1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2D53D8"/>
    <w:multiLevelType w:val="hybridMultilevel"/>
    <w:tmpl w:val="9EF0DA8A"/>
    <w:lvl w:ilvl="0" w:tplc="E4B4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1C42"/>
    <w:multiLevelType w:val="hybridMultilevel"/>
    <w:tmpl w:val="A8624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825C9"/>
    <w:multiLevelType w:val="hybridMultilevel"/>
    <w:tmpl w:val="9A0EAB60"/>
    <w:lvl w:ilvl="0" w:tplc="F07C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471B"/>
    <w:multiLevelType w:val="hybridMultilevel"/>
    <w:tmpl w:val="4830B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F11DA"/>
    <w:multiLevelType w:val="hybridMultilevel"/>
    <w:tmpl w:val="02421D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B4376"/>
    <w:multiLevelType w:val="hybridMultilevel"/>
    <w:tmpl w:val="975E6E5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6B10D9"/>
    <w:multiLevelType w:val="hybridMultilevel"/>
    <w:tmpl w:val="01660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51D37"/>
    <w:multiLevelType w:val="hybridMultilevel"/>
    <w:tmpl w:val="06F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"/>
  </w:num>
  <w:num w:numId="5">
    <w:abstractNumId w:val="7"/>
  </w:num>
  <w:num w:numId="6">
    <w:abstractNumId w:val="22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24"/>
  </w:num>
  <w:num w:numId="13">
    <w:abstractNumId w:val="3"/>
  </w:num>
  <w:num w:numId="14">
    <w:abstractNumId w:val="0"/>
  </w:num>
  <w:num w:numId="15">
    <w:abstractNumId w:val="5"/>
  </w:num>
  <w:num w:numId="16">
    <w:abstractNumId w:val="10"/>
  </w:num>
  <w:num w:numId="17">
    <w:abstractNumId w:val="18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1AB3"/>
    <w:rsid w:val="00001ECF"/>
    <w:rsid w:val="00003633"/>
    <w:rsid w:val="000039B7"/>
    <w:rsid w:val="00007210"/>
    <w:rsid w:val="00010698"/>
    <w:rsid w:val="000142E6"/>
    <w:rsid w:val="0001718B"/>
    <w:rsid w:val="0002043D"/>
    <w:rsid w:val="00020E02"/>
    <w:rsid w:val="000215CC"/>
    <w:rsid w:val="0002342B"/>
    <w:rsid w:val="000235F2"/>
    <w:rsid w:val="00026B38"/>
    <w:rsid w:val="00026D21"/>
    <w:rsid w:val="00027D92"/>
    <w:rsid w:val="00031574"/>
    <w:rsid w:val="00032913"/>
    <w:rsid w:val="00035354"/>
    <w:rsid w:val="00040E0A"/>
    <w:rsid w:val="00042338"/>
    <w:rsid w:val="00044877"/>
    <w:rsid w:val="00047364"/>
    <w:rsid w:val="00047D53"/>
    <w:rsid w:val="00051A01"/>
    <w:rsid w:val="00052654"/>
    <w:rsid w:val="00053620"/>
    <w:rsid w:val="000549AE"/>
    <w:rsid w:val="00054CDF"/>
    <w:rsid w:val="0005658C"/>
    <w:rsid w:val="0005736C"/>
    <w:rsid w:val="0006132B"/>
    <w:rsid w:val="00061BFF"/>
    <w:rsid w:val="00062165"/>
    <w:rsid w:val="00062337"/>
    <w:rsid w:val="00062AC3"/>
    <w:rsid w:val="00063764"/>
    <w:rsid w:val="000650E2"/>
    <w:rsid w:val="00065458"/>
    <w:rsid w:val="00065A07"/>
    <w:rsid w:val="0007105F"/>
    <w:rsid w:val="0007177C"/>
    <w:rsid w:val="000733D6"/>
    <w:rsid w:val="0007487C"/>
    <w:rsid w:val="000751F5"/>
    <w:rsid w:val="000761E8"/>
    <w:rsid w:val="00076E30"/>
    <w:rsid w:val="00085B64"/>
    <w:rsid w:val="000865BC"/>
    <w:rsid w:val="00087B26"/>
    <w:rsid w:val="00095652"/>
    <w:rsid w:val="00095B9A"/>
    <w:rsid w:val="00096000"/>
    <w:rsid w:val="000961DA"/>
    <w:rsid w:val="00097A82"/>
    <w:rsid w:val="000A2E50"/>
    <w:rsid w:val="000A3996"/>
    <w:rsid w:val="000A3E14"/>
    <w:rsid w:val="000A441E"/>
    <w:rsid w:val="000A716C"/>
    <w:rsid w:val="000A7187"/>
    <w:rsid w:val="000A7E6D"/>
    <w:rsid w:val="000A7F4E"/>
    <w:rsid w:val="000B0624"/>
    <w:rsid w:val="000B4230"/>
    <w:rsid w:val="000B6914"/>
    <w:rsid w:val="000C07F9"/>
    <w:rsid w:val="000C0E8A"/>
    <w:rsid w:val="000C104E"/>
    <w:rsid w:val="000C4152"/>
    <w:rsid w:val="000C4D22"/>
    <w:rsid w:val="000C7791"/>
    <w:rsid w:val="000D001D"/>
    <w:rsid w:val="000D0713"/>
    <w:rsid w:val="000D2508"/>
    <w:rsid w:val="000D3520"/>
    <w:rsid w:val="000D3CF1"/>
    <w:rsid w:val="000D3D67"/>
    <w:rsid w:val="000D56AA"/>
    <w:rsid w:val="000D6B22"/>
    <w:rsid w:val="000E0A41"/>
    <w:rsid w:val="000E1545"/>
    <w:rsid w:val="000E4926"/>
    <w:rsid w:val="000E638B"/>
    <w:rsid w:val="000E6C5A"/>
    <w:rsid w:val="000F01C4"/>
    <w:rsid w:val="000F092F"/>
    <w:rsid w:val="000F1C39"/>
    <w:rsid w:val="000F4234"/>
    <w:rsid w:val="000F52CA"/>
    <w:rsid w:val="000F758B"/>
    <w:rsid w:val="00103556"/>
    <w:rsid w:val="001036E5"/>
    <w:rsid w:val="001044CC"/>
    <w:rsid w:val="00104785"/>
    <w:rsid w:val="00104AFF"/>
    <w:rsid w:val="00105B00"/>
    <w:rsid w:val="00106600"/>
    <w:rsid w:val="001148C9"/>
    <w:rsid w:val="00115101"/>
    <w:rsid w:val="001171F3"/>
    <w:rsid w:val="001173E0"/>
    <w:rsid w:val="001237BA"/>
    <w:rsid w:val="00126CEB"/>
    <w:rsid w:val="00126D5D"/>
    <w:rsid w:val="00127906"/>
    <w:rsid w:val="00133727"/>
    <w:rsid w:val="00135026"/>
    <w:rsid w:val="001353B2"/>
    <w:rsid w:val="001362A3"/>
    <w:rsid w:val="001368B1"/>
    <w:rsid w:val="00136A52"/>
    <w:rsid w:val="001419B1"/>
    <w:rsid w:val="00142044"/>
    <w:rsid w:val="0014307B"/>
    <w:rsid w:val="00145CA2"/>
    <w:rsid w:val="001469CE"/>
    <w:rsid w:val="00147C6A"/>
    <w:rsid w:val="00150672"/>
    <w:rsid w:val="00150D1D"/>
    <w:rsid w:val="00151057"/>
    <w:rsid w:val="001570A6"/>
    <w:rsid w:val="001601D0"/>
    <w:rsid w:val="001604B9"/>
    <w:rsid w:val="0016358A"/>
    <w:rsid w:val="00164F5B"/>
    <w:rsid w:val="00165D83"/>
    <w:rsid w:val="00166F8F"/>
    <w:rsid w:val="00167206"/>
    <w:rsid w:val="00170DF1"/>
    <w:rsid w:val="00171776"/>
    <w:rsid w:val="00171DC4"/>
    <w:rsid w:val="001725B0"/>
    <w:rsid w:val="00172E78"/>
    <w:rsid w:val="001731F3"/>
    <w:rsid w:val="00174301"/>
    <w:rsid w:val="00177FE8"/>
    <w:rsid w:val="00182C02"/>
    <w:rsid w:val="00182C0B"/>
    <w:rsid w:val="0018309B"/>
    <w:rsid w:val="0018480C"/>
    <w:rsid w:val="0018701E"/>
    <w:rsid w:val="00187E06"/>
    <w:rsid w:val="001911FC"/>
    <w:rsid w:val="001929B1"/>
    <w:rsid w:val="00193AAB"/>
    <w:rsid w:val="00194389"/>
    <w:rsid w:val="001952EA"/>
    <w:rsid w:val="00196543"/>
    <w:rsid w:val="00197757"/>
    <w:rsid w:val="001A70F0"/>
    <w:rsid w:val="001A7D5F"/>
    <w:rsid w:val="001A7E6B"/>
    <w:rsid w:val="001C25B8"/>
    <w:rsid w:val="001C386F"/>
    <w:rsid w:val="001D038F"/>
    <w:rsid w:val="001D12DE"/>
    <w:rsid w:val="001D251A"/>
    <w:rsid w:val="001D5B53"/>
    <w:rsid w:val="001D6249"/>
    <w:rsid w:val="001E2366"/>
    <w:rsid w:val="001E4890"/>
    <w:rsid w:val="001E75CA"/>
    <w:rsid w:val="001F089C"/>
    <w:rsid w:val="001F0A71"/>
    <w:rsid w:val="001F21CB"/>
    <w:rsid w:val="001F4C8F"/>
    <w:rsid w:val="001F57A4"/>
    <w:rsid w:val="001F6166"/>
    <w:rsid w:val="001F7156"/>
    <w:rsid w:val="001F722B"/>
    <w:rsid w:val="00203870"/>
    <w:rsid w:val="002067F2"/>
    <w:rsid w:val="00207B9B"/>
    <w:rsid w:val="00212CDB"/>
    <w:rsid w:val="002131F3"/>
    <w:rsid w:val="002144A3"/>
    <w:rsid w:val="00217C3F"/>
    <w:rsid w:val="002229C2"/>
    <w:rsid w:val="002254C5"/>
    <w:rsid w:val="00225C6A"/>
    <w:rsid w:val="00227472"/>
    <w:rsid w:val="002319F9"/>
    <w:rsid w:val="00232290"/>
    <w:rsid w:val="00232FC7"/>
    <w:rsid w:val="002348C4"/>
    <w:rsid w:val="00236243"/>
    <w:rsid w:val="002372E5"/>
    <w:rsid w:val="002461F5"/>
    <w:rsid w:val="00246735"/>
    <w:rsid w:val="002476FE"/>
    <w:rsid w:val="0025017B"/>
    <w:rsid w:val="00251BD6"/>
    <w:rsid w:val="002551B8"/>
    <w:rsid w:val="00255A73"/>
    <w:rsid w:val="002560E4"/>
    <w:rsid w:val="0026006B"/>
    <w:rsid w:val="00262F54"/>
    <w:rsid w:val="0026359B"/>
    <w:rsid w:val="00264CAA"/>
    <w:rsid w:val="00270489"/>
    <w:rsid w:val="002712C0"/>
    <w:rsid w:val="00273FA2"/>
    <w:rsid w:val="00276BAC"/>
    <w:rsid w:val="0028218C"/>
    <w:rsid w:val="00285008"/>
    <w:rsid w:val="002855BC"/>
    <w:rsid w:val="00290393"/>
    <w:rsid w:val="00290DC4"/>
    <w:rsid w:val="00290EA6"/>
    <w:rsid w:val="00291420"/>
    <w:rsid w:val="0029515B"/>
    <w:rsid w:val="00295A81"/>
    <w:rsid w:val="00296E93"/>
    <w:rsid w:val="002A143A"/>
    <w:rsid w:val="002A1A91"/>
    <w:rsid w:val="002A2389"/>
    <w:rsid w:val="002A3D53"/>
    <w:rsid w:val="002A4871"/>
    <w:rsid w:val="002A5373"/>
    <w:rsid w:val="002A6F46"/>
    <w:rsid w:val="002A7800"/>
    <w:rsid w:val="002A797A"/>
    <w:rsid w:val="002B1E4F"/>
    <w:rsid w:val="002B6D8B"/>
    <w:rsid w:val="002C04C1"/>
    <w:rsid w:val="002C2881"/>
    <w:rsid w:val="002C2F59"/>
    <w:rsid w:val="002C48FB"/>
    <w:rsid w:val="002C5456"/>
    <w:rsid w:val="002C6539"/>
    <w:rsid w:val="002C66F4"/>
    <w:rsid w:val="002C72CC"/>
    <w:rsid w:val="002D083D"/>
    <w:rsid w:val="002D13AF"/>
    <w:rsid w:val="002D47FC"/>
    <w:rsid w:val="002D49DC"/>
    <w:rsid w:val="002D69F9"/>
    <w:rsid w:val="002D6DBF"/>
    <w:rsid w:val="002E23CC"/>
    <w:rsid w:val="002E3C62"/>
    <w:rsid w:val="002E41D7"/>
    <w:rsid w:val="002E6410"/>
    <w:rsid w:val="002E6F2E"/>
    <w:rsid w:val="002E79ED"/>
    <w:rsid w:val="002F0395"/>
    <w:rsid w:val="002F0740"/>
    <w:rsid w:val="002F081D"/>
    <w:rsid w:val="002F7AE9"/>
    <w:rsid w:val="00300DC9"/>
    <w:rsid w:val="003013B7"/>
    <w:rsid w:val="00301AAC"/>
    <w:rsid w:val="00301C17"/>
    <w:rsid w:val="003023A3"/>
    <w:rsid w:val="00303B38"/>
    <w:rsid w:val="00305B96"/>
    <w:rsid w:val="003104F0"/>
    <w:rsid w:val="00310FF2"/>
    <w:rsid w:val="00314F97"/>
    <w:rsid w:val="00320B49"/>
    <w:rsid w:val="00322CBE"/>
    <w:rsid w:val="0032318D"/>
    <w:rsid w:val="0032418A"/>
    <w:rsid w:val="00324B52"/>
    <w:rsid w:val="00325421"/>
    <w:rsid w:val="003260FD"/>
    <w:rsid w:val="00327F83"/>
    <w:rsid w:val="00331977"/>
    <w:rsid w:val="00332137"/>
    <w:rsid w:val="003424A8"/>
    <w:rsid w:val="003424AC"/>
    <w:rsid w:val="0034319F"/>
    <w:rsid w:val="00343316"/>
    <w:rsid w:val="003435BC"/>
    <w:rsid w:val="00343979"/>
    <w:rsid w:val="00343C43"/>
    <w:rsid w:val="003442F7"/>
    <w:rsid w:val="00344387"/>
    <w:rsid w:val="003451C7"/>
    <w:rsid w:val="00346D36"/>
    <w:rsid w:val="0035030C"/>
    <w:rsid w:val="0035132A"/>
    <w:rsid w:val="00351CC6"/>
    <w:rsid w:val="00355F6B"/>
    <w:rsid w:val="003615B9"/>
    <w:rsid w:val="003659F6"/>
    <w:rsid w:val="0037222B"/>
    <w:rsid w:val="00372B9B"/>
    <w:rsid w:val="0037347B"/>
    <w:rsid w:val="0037584D"/>
    <w:rsid w:val="00375EC0"/>
    <w:rsid w:val="00376F87"/>
    <w:rsid w:val="003821D5"/>
    <w:rsid w:val="00382C20"/>
    <w:rsid w:val="003834DD"/>
    <w:rsid w:val="003834F2"/>
    <w:rsid w:val="00384605"/>
    <w:rsid w:val="00391231"/>
    <w:rsid w:val="00391BCF"/>
    <w:rsid w:val="00392F4F"/>
    <w:rsid w:val="0039325D"/>
    <w:rsid w:val="003938F1"/>
    <w:rsid w:val="00393ACC"/>
    <w:rsid w:val="00393D9C"/>
    <w:rsid w:val="003949F5"/>
    <w:rsid w:val="00395E7A"/>
    <w:rsid w:val="003A102E"/>
    <w:rsid w:val="003A3E26"/>
    <w:rsid w:val="003A4BE0"/>
    <w:rsid w:val="003A6DDE"/>
    <w:rsid w:val="003A7F83"/>
    <w:rsid w:val="003B4BEA"/>
    <w:rsid w:val="003B5F77"/>
    <w:rsid w:val="003B75BA"/>
    <w:rsid w:val="003C21AF"/>
    <w:rsid w:val="003C583E"/>
    <w:rsid w:val="003C62DB"/>
    <w:rsid w:val="003C720B"/>
    <w:rsid w:val="003C72C5"/>
    <w:rsid w:val="003C78E6"/>
    <w:rsid w:val="003D0E87"/>
    <w:rsid w:val="003D105B"/>
    <w:rsid w:val="003D170A"/>
    <w:rsid w:val="003D170F"/>
    <w:rsid w:val="003D5BCD"/>
    <w:rsid w:val="003E0D8D"/>
    <w:rsid w:val="003E129A"/>
    <w:rsid w:val="003E2622"/>
    <w:rsid w:val="003E30CC"/>
    <w:rsid w:val="003E558B"/>
    <w:rsid w:val="003E5C9F"/>
    <w:rsid w:val="003E7033"/>
    <w:rsid w:val="003E731F"/>
    <w:rsid w:val="003E74C1"/>
    <w:rsid w:val="003E7C26"/>
    <w:rsid w:val="003F0227"/>
    <w:rsid w:val="003F08FA"/>
    <w:rsid w:val="003F14B5"/>
    <w:rsid w:val="003F15C8"/>
    <w:rsid w:val="003F1647"/>
    <w:rsid w:val="003F18E0"/>
    <w:rsid w:val="003F48CE"/>
    <w:rsid w:val="004011A4"/>
    <w:rsid w:val="00401CF6"/>
    <w:rsid w:val="0040277D"/>
    <w:rsid w:val="004035C4"/>
    <w:rsid w:val="0041108F"/>
    <w:rsid w:val="0041110C"/>
    <w:rsid w:val="00412F95"/>
    <w:rsid w:val="00416EA9"/>
    <w:rsid w:val="00420B60"/>
    <w:rsid w:val="004239FC"/>
    <w:rsid w:val="00425E94"/>
    <w:rsid w:val="0043042E"/>
    <w:rsid w:val="00432B8E"/>
    <w:rsid w:val="00432ECC"/>
    <w:rsid w:val="004331F8"/>
    <w:rsid w:val="0043362E"/>
    <w:rsid w:val="00442A67"/>
    <w:rsid w:val="004442BD"/>
    <w:rsid w:val="00446175"/>
    <w:rsid w:val="004466F9"/>
    <w:rsid w:val="00447103"/>
    <w:rsid w:val="00450663"/>
    <w:rsid w:val="0045075A"/>
    <w:rsid w:val="004510E3"/>
    <w:rsid w:val="00452463"/>
    <w:rsid w:val="00453834"/>
    <w:rsid w:val="004556FA"/>
    <w:rsid w:val="004573AD"/>
    <w:rsid w:val="00461283"/>
    <w:rsid w:val="0046641F"/>
    <w:rsid w:val="00472123"/>
    <w:rsid w:val="00472716"/>
    <w:rsid w:val="0047688F"/>
    <w:rsid w:val="0047780E"/>
    <w:rsid w:val="00480261"/>
    <w:rsid w:val="00481CEC"/>
    <w:rsid w:val="0048335E"/>
    <w:rsid w:val="00485687"/>
    <w:rsid w:val="004865E7"/>
    <w:rsid w:val="00487128"/>
    <w:rsid w:val="00487218"/>
    <w:rsid w:val="004912EA"/>
    <w:rsid w:val="00493432"/>
    <w:rsid w:val="004953F4"/>
    <w:rsid w:val="00496F2A"/>
    <w:rsid w:val="0049796E"/>
    <w:rsid w:val="004A1218"/>
    <w:rsid w:val="004A16F4"/>
    <w:rsid w:val="004A333B"/>
    <w:rsid w:val="004A38DF"/>
    <w:rsid w:val="004A5AAF"/>
    <w:rsid w:val="004A5E4A"/>
    <w:rsid w:val="004A6555"/>
    <w:rsid w:val="004A6DCA"/>
    <w:rsid w:val="004A7EF0"/>
    <w:rsid w:val="004B3EE7"/>
    <w:rsid w:val="004B6D0A"/>
    <w:rsid w:val="004C0D5F"/>
    <w:rsid w:val="004C35A2"/>
    <w:rsid w:val="004C619A"/>
    <w:rsid w:val="004C7556"/>
    <w:rsid w:val="004D0D34"/>
    <w:rsid w:val="004D2863"/>
    <w:rsid w:val="004D2C5F"/>
    <w:rsid w:val="004D2EFA"/>
    <w:rsid w:val="004D6DA1"/>
    <w:rsid w:val="004E03A9"/>
    <w:rsid w:val="004E0EB8"/>
    <w:rsid w:val="004E292B"/>
    <w:rsid w:val="004E2FFD"/>
    <w:rsid w:val="004E4520"/>
    <w:rsid w:val="004E46CB"/>
    <w:rsid w:val="004E48DC"/>
    <w:rsid w:val="004E4F4C"/>
    <w:rsid w:val="004E5E7C"/>
    <w:rsid w:val="004E6978"/>
    <w:rsid w:val="004F3408"/>
    <w:rsid w:val="004F359D"/>
    <w:rsid w:val="004F4114"/>
    <w:rsid w:val="004F4651"/>
    <w:rsid w:val="004F4A5C"/>
    <w:rsid w:val="004F6743"/>
    <w:rsid w:val="004F7101"/>
    <w:rsid w:val="005002B2"/>
    <w:rsid w:val="0050190F"/>
    <w:rsid w:val="00502677"/>
    <w:rsid w:val="00503B57"/>
    <w:rsid w:val="005061F2"/>
    <w:rsid w:val="005103B8"/>
    <w:rsid w:val="00511068"/>
    <w:rsid w:val="005116B0"/>
    <w:rsid w:val="00511EB4"/>
    <w:rsid w:val="005163C8"/>
    <w:rsid w:val="005167CC"/>
    <w:rsid w:val="00516F03"/>
    <w:rsid w:val="005212D3"/>
    <w:rsid w:val="00525572"/>
    <w:rsid w:val="005307FA"/>
    <w:rsid w:val="00531FC6"/>
    <w:rsid w:val="00532B88"/>
    <w:rsid w:val="00533466"/>
    <w:rsid w:val="0053506D"/>
    <w:rsid w:val="00535F50"/>
    <w:rsid w:val="005369C5"/>
    <w:rsid w:val="00536BCD"/>
    <w:rsid w:val="0053797C"/>
    <w:rsid w:val="005411D0"/>
    <w:rsid w:val="00542250"/>
    <w:rsid w:val="005460B5"/>
    <w:rsid w:val="00552D19"/>
    <w:rsid w:val="005554FB"/>
    <w:rsid w:val="00556A32"/>
    <w:rsid w:val="00556FF2"/>
    <w:rsid w:val="005577C0"/>
    <w:rsid w:val="00557B55"/>
    <w:rsid w:val="00560892"/>
    <w:rsid w:val="00560A28"/>
    <w:rsid w:val="00561863"/>
    <w:rsid w:val="0056484E"/>
    <w:rsid w:val="0056528F"/>
    <w:rsid w:val="00571C51"/>
    <w:rsid w:val="00572A89"/>
    <w:rsid w:val="005732DB"/>
    <w:rsid w:val="00573633"/>
    <w:rsid w:val="0057433C"/>
    <w:rsid w:val="00574A43"/>
    <w:rsid w:val="00574A86"/>
    <w:rsid w:val="0057600B"/>
    <w:rsid w:val="005764CD"/>
    <w:rsid w:val="0057687F"/>
    <w:rsid w:val="00580F14"/>
    <w:rsid w:val="00580F41"/>
    <w:rsid w:val="0058257C"/>
    <w:rsid w:val="00582DE9"/>
    <w:rsid w:val="005857FC"/>
    <w:rsid w:val="00585C9D"/>
    <w:rsid w:val="0058741B"/>
    <w:rsid w:val="00591DA1"/>
    <w:rsid w:val="00592270"/>
    <w:rsid w:val="00592648"/>
    <w:rsid w:val="0059425F"/>
    <w:rsid w:val="00594765"/>
    <w:rsid w:val="00596628"/>
    <w:rsid w:val="005A055C"/>
    <w:rsid w:val="005A342A"/>
    <w:rsid w:val="005A5033"/>
    <w:rsid w:val="005A73B3"/>
    <w:rsid w:val="005A7F8B"/>
    <w:rsid w:val="005B02EC"/>
    <w:rsid w:val="005B05E5"/>
    <w:rsid w:val="005B4BAB"/>
    <w:rsid w:val="005B7580"/>
    <w:rsid w:val="005C04D6"/>
    <w:rsid w:val="005C14B8"/>
    <w:rsid w:val="005C4125"/>
    <w:rsid w:val="005C560B"/>
    <w:rsid w:val="005C6264"/>
    <w:rsid w:val="005C708F"/>
    <w:rsid w:val="005C7CCD"/>
    <w:rsid w:val="005D19EE"/>
    <w:rsid w:val="005D340F"/>
    <w:rsid w:val="005D4043"/>
    <w:rsid w:val="005D4084"/>
    <w:rsid w:val="005D43EE"/>
    <w:rsid w:val="005D4C67"/>
    <w:rsid w:val="005D52F3"/>
    <w:rsid w:val="005D57D5"/>
    <w:rsid w:val="005D7AAD"/>
    <w:rsid w:val="005E3AE4"/>
    <w:rsid w:val="005E4627"/>
    <w:rsid w:val="005E6AC1"/>
    <w:rsid w:val="005E7852"/>
    <w:rsid w:val="005F0502"/>
    <w:rsid w:val="005F13AC"/>
    <w:rsid w:val="005F514E"/>
    <w:rsid w:val="005F51A5"/>
    <w:rsid w:val="005F5775"/>
    <w:rsid w:val="005F588E"/>
    <w:rsid w:val="005F6059"/>
    <w:rsid w:val="005F78C5"/>
    <w:rsid w:val="005F7CD9"/>
    <w:rsid w:val="00605BB5"/>
    <w:rsid w:val="00605FC9"/>
    <w:rsid w:val="00606F67"/>
    <w:rsid w:val="00607145"/>
    <w:rsid w:val="00607300"/>
    <w:rsid w:val="0060745B"/>
    <w:rsid w:val="00607946"/>
    <w:rsid w:val="0061480C"/>
    <w:rsid w:val="00616624"/>
    <w:rsid w:val="00622A1E"/>
    <w:rsid w:val="006241FB"/>
    <w:rsid w:val="00625FE7"/>
    <w:rsid w:val="00636BCC"/>
    <w:rsid w:val="00637414"/>
    <w:rsid w:val="00637A14"/>
    <w:rsid w:val="00645D1D"/>
    <w:rsid w:val="00645F38"/>
    <w:rsid w:val="0064729F"/>
    <w:rsid w:val="00647507"/>
    <w:rsid w:val="006476B6"/>
    <w:rsid w:val="00650506"/>
    <w:rsid w:val="00650F9F"/>
    <w:rsid w:val="00651117"/>
    <w:rsid w:val="0065162C"/>
    <w:rsid w:val="00651670"/>
    <w:rsid w:val="00651EB6"/>
    <w:rsid w:val="00652CDA"/>
    <w:rsid w:val="00656ECE"/>
    <w:rsid w:val="00660AA4"/>
    <w:rsid w:val="00660FDC"/>
    <w:rsid w:val="00662231"/>
    <w:rsid w:val="006639A0"/>
    <w:rsid w:val="00665CA6"/>
    <w:rsid w:val="006671DA"/>
    <w:rsid w:val="00667C77"/>
    <w:rsid w:val="0067172C"/>
    <w:rsid w:val="006732C7"/>
    <w:rsid w:val="0067450E"/>
    <w:rsid w:val="00676761"/>
    <w:rsid w:val="00677B91"/>
    <w:rsid w:val="00685996"/>
    <w:rsid w:val="006878B5"/>
    <w:rsid w:val="00690124"/>
    <w:rsid w:val="00690C51"/>
    <w:rsid w:val="00693529"/>
    <w:rsid w:val="00695B1A"/>
    <w:rsid w:val="0069696B"/>
    <w:rsid w:val="00697CD8"/>
    <w:rsid w:val="006A3989"/>
    <w:rsid w:val="006A4065"/>
    <w:rsid w:val="006A4494"/>
    <w:rsid w:val="006A4E19"/>
    <w:rsid w:val="006A4F98"/>
    <w:rsid w:val="006A52E0"/>
    <w:rsid w:val="006A5EEA"/>
    <w:rsid w:val="006A62C1"/>
    <w:rsid w:val="006A7BCB"/>
    <w:rsid w:val="006B0681"/>
    <w:rsid w:val="006B3E7B"/>
    <w:rsid w:val="006B540B"/>
    <w:rsid w:val="006B621D"/>
    <w:rsid w:val="006B74BB"/>
    <w:rsid w:val="006B75C3"/>
    <w:rsid w:val="006B781E"/>
    <w:rsid w:val="006C014B"/>
    <w:rsid w:val="006C449F"/>
    <w:rsid w:val="006C58E4"/>
    <w:rsid w:val="006C603F"/>
    <w:rsid w:val="006C640F"/>
    <w:rsid w:val="006D1034"/>
    <w:rsid w:val="006D10B2"/>
    <w:rsid w:val="006D51CF"/>
    <w:rsid w:val="006D6199"/>
    <w:rsid w:val="006D666B"/>
    <w:rsid w:val="006D687E"/>
    <w:rsid w:val="006D68A6"/>
    <w:rsid w:val="006E3999"/>
    <w:rsid w:val="006E453C"/>
    <w:rsid w:val="006F053E"/>
    <w:rsid w:val="006F0C07"/>
    <w:rsid w:val="006F1EAE"/>
    <w:rsid w:val="006F428C"/>
    <w:rsid w:val="00701964"/>
    <w:rsid w:val="00702261"/>
    <w:rsid w:val="007023D0"/>
    <w:rsid w:val="007032E3"/>
    <w:rsid w:val="0070661F"/>
    <w:rsid w:val="00706C4E"/>
    <w:rsid w:val="00713029"/>
    <w:rsid w:val="00720469"/>
    <w:rsid w:val="00721BB1"/>
    <w:rsid w:val="007224C3"/>
    <w:rsid w:val="00724701"/>
    <w:rsid w:val="007256A4"/>
    <w:rsid w:val="00725FEA"/>
    <w:rsid w:val="007263E4"/>
    <w:rsid w:val="00734143"/>
    <w:rsid w:val="00734209"/>
    <w:rsid w:val="0074034C"/>
    <w:rsid w:val="00740780"/>
    <w:rsid w:val="00742BEE"/>
    <w:rsid w:val="00743311"/>
    <w:rsid w:val="007442A7"/>
    <w:rsid w:val="00745587"/>
    <w:rsid w:val="0074633E"/>
    <w:rsid w:val="00746A22"/>
    <w:rsid w:val="00751CD3"/>
    <w:rsid w:val="00755C2E"/>
    <w:rsid w:val="0075711A"/>
    <w:rsid w:val="007579C6"/>
    <w:rsid w:val="00760649"/>
    <w:rsid w:val="00761D65"/>
    <w:rsid w:val="00763741"/>
    <w:rsid w:val="00765A04"/>
    <w:rsid w:val="00767BB2"/>
    <w:rsid w:val="00771F77"/>
    <w:rsid w:val="00772036"/>
    <w:rsid w:val="00774C1E"/>
    <w:rsid w:val="007750A6"/>
    <w:rsid w:val="00777848"/>
    <w:rsid w:val="00777B87"/>
    <w:rsid w:val="00780842"/>
    <w:rsid w:val="00780BC3"/>
    <w:rsid w:val="0078175B"/>
    <w:rsid w:val="00781FC8"/>
    <w:rsid w:val="00784EAF"/>
    <w:rsid w:val="007860A9"/>
    <w:rsid w:val="00786342"/>
    <w:rsid w:val="0079094C"/>
    <w:rsid w:val="007957F8"/>
    <w:rsid w:val="00796C48"/>
    <w:rsid w:val="007A0C1C"/>
    <w:rsid w:val="007A17D3"/>
    <w:rsid w:val="007A1852"/>
    <w:rsid w:val="007A3028"/>
    <w:rsid w:val="007A3A88"/>
    <w:rsid w:val="007A4D47"/>
    <w:rsid w:val="007A6633"/>
    <w:rsid w:val="007A726D"/>
    <w:rsid w:val="007B1958"/>
    <w:rsid w:val="007B458F"/>
    <w:rsid w:val="007B571B"/>
    <w:rsid w:val="007C0D5C"/>
    <w:rsid w:val="007C12BD"/>
    <w:rsid w:val="007C1E6D"/>
    <w:rsid w:val="007C454A"/>
    <w:rsid w:val="007C5128"/>
    <w:rsid w:val="007C5838"/>
    <w:rsid w:val="007C5AEB"/>
    <w:rsid w:val="007C5D29"/>
    <w:rsid w:val="007D16F0"/>
    <w:rsid w:val="007D4A68"/>
    <w:rsid w:val="007D51C7"/>
    <w:rsid w:val="007D6145"/>
    <w:rsid w:val="007D61DC"/>
    <w:rsid w:val="007D6576"/>
    <w:rsid w:val="007E0492"/>
    <w:rsid w:val="007E20EF"/>
    <w:rsid w:val="007E2CE0"/>
    <w:rsid w:val="007E43A2"/>
    <w:rsid w:val="007E5060"/>
    <w:rsid w:val="007E59FC"/>
    <w:rsid w:val="007E5E9C"/>
    <w:rsid w:val="007F06F6"/>
    <w:rsid w:val="007F3BBD"/>
    <w:rsid w:val="007F40B6"/>
    <w:rsid w:val="007F40F0"/>
    <w:rsid w:val="007F5004"/>
    <w:rsid w:val="00802827"/>
    <w:rsid w:val="00802A1D"/>
    <w:rsid w:val="00805B7C"/>
    <w:rsid w:val="00805FCB"/>
    <w:rsid w:val="00810011"/>
    <w:rsid w:val="00812FCE"/>
    <w:rsid w:val="0082159A"/>
    <w:rsid w:val="0082309C"/>
    <w:rsid w:val="008268D8"/>
    <w:rsid w:val="00827386"/>
    <w:rsid w:val="00830225"/>
    <w:rsid w:val="00830B1F"/>
    <w:rsid w:val="008311D9"/>
    <w:rsid w:val="008312C4"/>
    <w:rsid w:val="0083152E"/>
    <w:rsid w:val="0083178B"/>
    <w:rsid w:val="00832B10"/>
    <w:rsid w:val="0083449E"/>
    <w:rsid w:val="00835038"/>
    <w:rsid w:val="00835A13"/>
    <w:rsid w:val="008374A6"/>
    <w:rsid w:val="00841273"/>
    <w:rsid w:val="008434E2"/>
    <w:rsid w:val="008464C6"/>
    <w:rsid w:val="0084747F"/>
    <w:rsid w:val="00850D6E"/>
    <w:rsid w:val="00850DC2"/>
    <w:rsid w:val="00850E76"/>
    <w:rsid w:val="008515C5"/>
    <w:rsid w:val="00851C1F"/>
    <w:rsid w:val="00851CA9"/>
    <w:rsid w:val="008555AC"/>
    <w:rsid w:val="00855690"/>
    <w:rsid w:val="00857D7B"/>
    <w:rsid w:val="00860361"/>
    <w:rsid w:val="00862207"/>
    <w:rsid w:val="008641F4"/>
    <w:rsid w:val="00865BB0"/>
    <w:rsid w:val="00866955"/>
    <w:rsid w:val="00867428"/>
    <w:rsid w:val="00874E43"/>
    <w:rsid w:val="008770D9"/>
    <w:rsid w:val="00880A15"/>
    <w:rsid w:val="00883455"/>
    <w:rsid w:val="0088448D"/>
    <w:rsid w:val="00884537"/>
    <w:rsid w:val="00884E29"/>
    <w:rsid w:val="00891871"/>
    <w:rsid w:val="008923C6"/>
    <w:rsid w:val="00892E5D"/>
    <w:rsid w:val="00897E91"/>
    <w:rsid w:val="008A017A"/>
    <w:rsid w:val="008A2614"/>
    <w:rsid w:val="008A405A"/>
    <w:rsid w:val="008A40EB"/>
    <w:rsid w:val="008A4959"/>
    <w:rsid w:val="008A5F10"/>
    <w:rsid w:val="008A7887"/>
    <w:rsid w:val="008B18D8"/>
    <w:rsid w:val="008B2C58"/>
    <w:rsid w:val="008B6A0C"/>
    <w:rsid w:val="008B7699"/>
    <w:rsid w:val="008C30A6"/>
    <w:rsid w:val="008C4E30"/>
    <w:rsid w:val="008C5273"/>
    <w:rsid w:val="008C53D7"/>
    <w:rsid w:val="008C555E"/>
    <w:rsid w:val="008D0B9C"/>
    <w:rsid w:val="008D1902"/>
    <w:rsid w:val="008D2DFA"/>
    <w:rsid w:val="008D3694"/>
    <w:rsid w:val="008D440A"/>
    <w:rsid w:val="008D77FC"/>
    <w:rsid w:val="008E21D5"/>
    <w:rsid w:val="008E3E67"/>
    <w:rsid w:val="008E5018"/>
    <w:rsid w:val="008E7451"/>
    <w:rsid w:val="008F0C79"/>
    <w:rsid w:val="008F149E"/>
    <w:rsid w:val="008F1589"/>
    <w:rsid w:val="008F18CF"/>
    <w:rsid w:val="008F1FE1"/>
    <w:rsid w:val="008F4BDA"/>
    <w:rsid w:val="008F765C"/>
    <w:rsid w:val="00900C4E"/>
    <w:rsid w:val="00903AFC"/>
    <w:rsid w:val="009055DD"/>
    <w:rsid w:val="00906008"/>
    <w:rsid w:val="0090777A"/>
    <w:rsid w:val="00907F2A"/>
    <w:rsid w:val="009123ED"/>
    <w:rsid w:val="00912CEA"/>
    <w:rsid w:val="00923D3D"/>
    <w:rsid w:val="009259D3"/>
    <w:rsid w:val="009265AC"/>
    <w:rsid w:val="0092757F"/>
    <w:rsid w:val="00927998"/>
    <w:rsid w:val="00927FD1"/>
    <w:rsid w:val="00931543"/>
    <w:rsid w:val="009363D4"/>
    <w:rsid w:val="00936AFB"/>
    <w:rsid w:val="009372D9"/>
    <w:rsid w:val="009426B9"/>
    <w:rsid w:val="00942E44"/>
    <w:rsid w:val="009431E6"/>
    <w:rsid w:val="009439B5"/>
    <w:rsid w:val="0094620A"/>
    <w:rsid w:val="009472E5"/>
    <w:rsid w:val="009474EF"/>
    <w:rsid w:val="00950420"/>
    <w:rsid w:val="00951B93"/>
    <w:rsid w:val="00952CB4"/>
    <w:rsid w:val="00956992"/>
    <w:rsid w:val="00957AAA"/>
    <w:rsid w:val="009658EC"/>
    <w:rsid w:val="009663CA"/>
    <w:rsid w:val="00970558"/>
    <w:rsid w:val="009708F5"/>
    <w:rsid w:val="0097095D"/>
    <w:rsid w:val="00971E44"/>
    <w:rsid w:val="0097289B"/>
    <w:rsid w:val="00972A0B"/>
    <w:rsid w:val="00972F7E"/>
    <w:rsid w:val="009744B5"/>
    <w:rsid w:val="00974C0A"/>
    <w:rsid w:val="009752F5"/>
    <w:rsid w:val="0097617D"/>
    <w:rsid w:val="00981FF9"/>
    <w:rsid w:val="009825BB"/>
    <w:rsid w:val="00982F36"/>
    <w:rsid w:val="00984A47"/>
    <w:rsid w:val="00985148"/>
    <w:rsid w:val="00985A9F"/>
    <w:rsid w:val="00985B79"/>
    <w:rsid w:val="00992E1E"/>
    <w:rsid w:val="009946AD"/>
    <w:rsid w:val="00995105"/>
    <w:rsid w:val="0099539A"/>
    <w:rsid w:val="0099699E"/>
    <w:rsid w:val="009973CF"/>
    <w:rsid w:val="00997515"/>
    <w:rsid w:val="009A0C45"/>
    <w:rsid w:val="009A35BF"/>
    <w:rsid w:val="009A3FEE"/>
    <w:rsid w:val="009A7BEA"/>
    <w:rsid w:val="009B0C6C"/>
    <w:rsid w:val="009B0C74"/>
    <w:rsid w:val="009C010D"/>
    <w:rsid w:val="009C0B38"/>
    <w:rsid w:val="009C247D"/>
    <w:rsid w:val="009C2717"/>
    <w:rsid w:val="009C4471"/>
    <w:rsid w:val="009C5A5A"/>
    <w:rsid w:val="009C7160"/>
    <w:rsid w:val="009D0E96"/>
    <w:rsid w:val="009D2A22"/>
    <w:rsid w:val="009D31DE"/>
    <w:rsid w:val="009D388A"/>
    <w:rsid w:val="009D6A6B"/>
    <w:rsid w:val="009E3315"/>
    <w:rsid w:val="009E6295"/>
    <w:rsid w:val="009E6CA0"/>
    <w:rsid w:val="009E6DBE"/>
    <w:rsid w:val="009E794E"/>
    <w:rsid w:val="009F020E"/>
    <w:rsid w:val="009F22AB"/>
    <w:rsid w:val="009F23F9"/>
    <w:rsid w:val="009F3456"/>
    <w:rsid w:val="009F4B2E"/>
    <w:rsid w:val="009F5885"/>
    <w:rsid w:val="009F635B"/>
    <w:rsid w:val="009F7371"/>
    <w:rsid w:val="00A0109B"/>
    <w:rsid w:val="00A03F0A"/>
    <w:rsid w:val="00A03F5C"/>
    <w:rsid w:val="00A04250"/>
    <w:rsid w:val="00A04BD7"/>
    <w:rsid w:val="00A06CE0"/>
    <w:rsid w:val="00A1063A"/>
    <w:rsid w:val="00A12EC1"/>
    <w:rsid w:val="00A12F26"/>
    <w:rsid w:val="00A12F2D"/>
    <w:rsid w:val="00A13B95"/>
    <w:rsid w:val="00A1538E"/>
    <w:rsid w:val="00A16A6C"/>
    <w:rsid w:val="00A20340"/>
    <w:rsid w:val="00A2130F"/>
    <w:rsid w:val="00A264E8"/>
    <w:rsid w:val="00A33E08"/>
    <w:rsid w:val="00A34E50"/>
    <w:rsid w:val="00A34E6F"/>
    <w:rsid w:val="00A351FF"/>
    <w:rsid w:val="00A3643F"/>
    <w:rsid w:val="00A410C7"/>
    <w:rsid w:val="00A436BC"/>
    <w:rsid w:val="00A436C5"/>
    <w:rsid w:val="00A4430F"/>
    <w:rsid w:val="00A4564E"/>
    <w:rsid w:val="00A46369"/>
    <w:rsid w:val="00A4641F"/>
    <w:rsid w:val="00A46B6B"/>
    <w:rsid w:val="00A47605"/>
    <w:rsid w:val="00A478C6"/>
    <w:rsid w:val="00A55CB6"/>
    <w:rsid w:val="00A6183D"/>
    <w:rsid w:val="00A61F1B"/>
    <w:rsid w:val="00A63C25"/>
    <w:rsid w:val="00A64AC7"/>
    <w:rsid w:val="00A6505C"/>
    <w:rsid w:val="00A65DDA"/>
    <w:rsid w:val="00A66167"/>
    <w:rsid w:val="00A6672B"/>
    <w:rsid w:val="00A67B1E"/>
    <w:rsid w:val="00A70F5A"/>
    <w:rsid w:val="00A721EA"/>
    <w:rsid w:val="00A72958"/>
    <w:rsid w:val="00A73C5A"/>
    <w:rsid w:val="00A74423"/>
    <w:rsid w:val="00A7447F"/>
    <w:rsid w:val="00A80C31"/>
    <w:rsid w:val="00A80DC1"/>
    <w:rsid w:val="00A8136E"/>
    <w:rsid w:val="00A84595"/>
    <w:rsid w:val="00A84E82"/>
    <w:rsid w:val="00A8517D"/>
    <w:rsid w:val="00A913AD"/>
    <w:rsid w:val="00A91789"/>
    <w:rsid w:val="00A919F6"/>
    <w:rsid w:val="00A91B4A"/>
    <w:rsid w:val="00A95792"/>
    <w:rsid w:val="00AA4B94"/>
    <w:rsid w:val="00AB405C"/>
    <w:rsid w:val="00AB47CE"/>
    <w:rsid w:val="00AB575B"/>
    <w:rsid w:val="00AC1D29"/>
    <w:rsid w:val="00AC2DB9"/>
    <w:rsid w:val="00AC4F51"/>
    <w:rsid w:val="00AC59BE"/>
    <w:rsid w:val="00AC7BC2"/>
    <w:rsid w:val="00AD5291"/>
    <w:rsid w:val="00AD54C5"/>
    <w:rsid w:val="00AD5A97"/>
    <w:rsid w:val="00AD72B7"/>
    <w:rsid w:val="00AD7C5A"/>
    <w:rsid w:val="00AE0065"/>
    <w:rsid w:val="00AE31F2"/>
    <w:rsid w:val="00AE35A3"/>
    <w:rsid w:val="00AE36A8"/>
    <w:rsid w:val="00AE407F"/>
    <w:rsid w:val="00AE5023"/>
    <w:rsid w:val="00AE6312"/>
    <w:rsid w:val="00AE72F9"/>
    <w:rsid w:val="00AF1207"/>
    <w:rsid w:val="00AF140D"/>
    <w:rsid w:val="00AF211B"/>
    <w:rsid w:val="00AF4696"/>
    <w:rsid w:val="00AF6518"/>
    <w:rsid w:val="00B02B90"/>
    <w:rsid w:val="00B03809"/>
    <w:rsid w:val="00B074FA"/>
    <w:rsid w:val="00B07CB2"/>
    <w:rsid w:val="00B10408"/>
    <w:rsid w:val="00B1253D"/>
    <w:rsid w:val="00B14156"/>
    <w:rsid w:val="00B15C76"/>
    <w:rsid w:val="00B16C29"/>
    <w:rsid w:val="00B2169D"/>
    <w:rsid w:val="00B232C6"/>
    <w:rsid w:val="00B25B35"/>
    <w:rsid w:val="00B32D1A"/>
    <w:rsid w:val="00B33DD7"/>
    <w:rsid w:val="00B372A8"/>
    <w:rsid w:val="00B375BE"/>
    <w:rsid w:val="00B40803"/>
    <w:rsid w:val="00B40DC5"/>
    <w:rsid w:val="00B42104"/>
    <w:rsid w:val="00B43332"/>
    <w:rsid w:val="00B45CAC"/>
    <w:rsid w:val="00B46EE7"/>
    <w:rsid w:val="00B51D85"/>
    <w:rsid w:val="00B53FDE"/>
    <w:rsid w:val="00B5482C"/>
    <w:rsid w:val="00B54DED"/>
    <w:rsid w:val="00B559A4"/>
    <w:rsid w:val="00B56DDC"/>
    <w:rsid w:val="00B6057E"/>
    <w:rsid w:val="00B60D59"/>
    <w:rsid w:val="00B63281"/>
    <w:rsid w:val="00B64D33"/>
    <w:rsid w:val="00B674DB"/>
    <w:rsid w:val="00B70DD3"/>
    <w:rsid w:val="00B722B6"/>
    <w:rsid w:val="00B730ED"/>
    <w:rsid w:val="00B77431"/>
    <w:rsid w:val="00B77B96"/>
    <w:rsid w:val="00B8030D"/>
    <w:rsid w:val="00B81233"/>
    <w:rsid w:val="00B81EB4"/>
    <w:rsid w:val="00B8226C"/>
    <w:rsid w:val="00B83A0D"/>
    <w:rsid w:val="00B84083"/>
    <w:rsid w:val="00B84D0B"/>
    <w:rsid w:val="00B84EF5"/>
    <w:rsid w:val="00B86AE2"/>
    <w:rsid w:val="00B8739E"/>
    <w:rsid w:val="00B903B6"/>
    <w:rsid w:val="00B9058C"/>
    <w:rsid w:val="00B95CF5"/>
    <w:rsid w:val="00B97120"/>
    <w:rsid w:val="00B97FFC"/>
    <w:rsid w:val="00BA0702"/>
    <w:rsid w:val="00BA07B9"/>
    <w:rsid w:val="00BA3D78"/>
    <w:rsid w:val="00BA406A"/>
    <w:rsid w:val="00BA4567"/>
    <w:rsid w:val="00BA4C6D"/>
    <w:rsid w:val="00BA6533"/>
    <w:rsid w:val="00BA767C"/>
    <w:rsid w:val="00BB10B0"/>
    <w:rsid w:val="00BB1220"/>
    <w:rsid w:val="00BB2683"/>
    <w:rsid w:val="00BB374B"/>
    <w:rsid w:val="00BB4B43"/>
    <w:rsid w:val="00BC11F4"/>
    <w:rsid w:val="00BC21CD"/>
    <w:rsid w:val="00BC3593"/>
    <w:rsid w:val="00BC3F1F"/>
    <w:rsid w:val="00BC4272"/>
    <w:rsid w:val="00BC4812"/>
    <w:rsid w:val="00BC6D3B"/>
    <w:rsid w:val="00BD22A4"/>
    <w:rsid w:val="00BD2CD0"/>
    <w:rsid w:val="00BD3559"/>
    <w:rsid w:val="00BD3F2E"/>
    <w:rsid w:val="00BD45F9"/>
    <w:rsid w:val="00BD4EE5"/>
    <w:rsid w:val="00BD56A7"/>
    <w:rsid w:val="00BD59CB"/>
    <w:rsid w:val="00BD631F"/>
    <w:rsid w:val="00BD77BE"/>
    <w:rsid w:val="00BE044B"/>
    <w:rsid w:val="00BE0593"/>
    <w:rsid w:val="00BE2F5A"/>
    <w:rsid w:val="00BE3A13"/>
    <w:rsid w:val="00BE4545"/>
    <w:rsid w:val="00BE4831"/>
    <w:rsid w:val="00BE495F"/>
    <w:rsid w:val="00BE629D"/>
    <w:rsid w:val="00BE6428"/>
    <w:rsid w:val="00BF17F3"/>
    <w:rsid w:val="00BF2B04"/>
    <w:rsid w:val="00BF323C"/>
    <w:rsid w:val="00BF6CE3"/>
    <w:rsid w:val="00BF7448"/>
    <w:rsid w:val="00BF7F74"/>
    <w:rsid w:val="00C0434E"/>
    <w:rsid w:val="00C048E4"/>
    <w:rsid w:val="00C057A9"/>
    <w:rsid w:val="00C073FC"/>
    <w:rsid w:val="00C117D6"/>
    <w:rsid w:val="00C12AF6"/>
    <w:rsid w:val="00C13854"/>
    <w:rsid w:val="00C16258"/>
    <w:rsid w:val="00C20745"/>
    <w:rsid w:val="00C20B3B"/>
    <w:rsid w:val="00C2166C"/>
    <w:rsid w:val="00C2331C"/>
    <w:rsid w:val="00C2518E"/>
    <w:rsid w:val="00C25FD9"/>
    <w:rsid w:val="00C268E7"/>
    <w:rsid w:val="00C26F6D"/>
    <w:rsid w:val="00C276D1"/>
    <w:rsid w:val="00C2799A"/>
    <w:rsid w:val="00C30712"/>
    <w:rsid w:val="00C30CE6"/>
    <w:rsid w:val="00C32C64"/>
    <w:rsid w:val="00C37385"/>
    <w:rsid w:val="00C375C9"/>
    <w:rsid w:val="00C404BD"/>
    <w:rsid w:val="00C41A6F"/>
    <w:rsid w:val="00C41EE7"/>
    <w:rsid w:val="00C43F96"/>
    <w:rsid w:val="00C4409E"/>
    <w:rsid w:val="00C4515D"/>
    <w:rsid w:val="00C51C98"/>
    <w:rsid w:val="00C52AC7"/>
    <w:rsid w:val="00C555CB"/>
    <w:rsid w:val="00C607D3"/>
    <w:rsid w:val="00C609C2"/>
    <w:rsid w:val="00C6235F"/>
    <w:rsid w:val="00C64553"/>
    <w:rsid w:val="00C654F9"/>
    <w:rsid w:val="00C65993"/>
    <w:rsid w:val="00C663CB"/>
    <w:rsid w:val="00C672C8"/>
    <w:rsid w:val="00C71638"/>
    <w:rsid w:val="00C71754"/>
    <w:rsid w:val="00C72F5F"/>
    <w:rsid w:val="00C746C0"/>
    <w:rsid w:val="00C75785"/>
    <w:rsid w:val="00C76935"/>
    <w:rsid w:val="00C76BA0"/>
    <w:rsid w:val="00C81B84"/>
    <w:rsid w:val="00C83997"/>
    <w:rsid w:val="00C87114"/>
    <w:rsid w:val="00C901F4"/>
    <w:rsid w:val="00C9240F"/>
    <w:rsid w:val="00C92BC5"/>
    <w:rsid w:val="00C93239"/>
    <w:rsid w:val="00C93518"/>
    <w:rsid w:val="00C94042"/>
    <w:rsid w:val="00C97315"/>
    <w:rsid w:val="00C97D1B"/>
    <w:rsid w:val="00CA1F58"/>
    <w:rsid w:val="00CA5C36"/>
    <w:rsid w:val="00CA6791"/>
    <w:rsid w:val="00CA71CF"/>
    <w:rsid w:val="00CB753F"/>
    <w:rsid w:val="00CC0B2B"/>
    <w:rsid w:val="00CC1D67"/>
    <w:rsid w:val="00CC23FF"/>
    <w:rsid w:val="00CC3192"/>
    <w:rsid w:val="00CC7359"/>
    <w:rsid w:val="00CD06B2"/>
    <w:rsid w:val="00CD091D"/>
    <w:rsid w:val="00CD179E"/>
    <w:rsid w:val="00CD299B"/>
    <w:rsid w:val="00CD38A5"/>
    <w:rsid w:val="00CD431A"/>
    <w:rsid w:val="00CD65AB"/>
    <w:rsid w:val="00CD7B92"/>
    <w:rsid w:val="00CE35E8"/>
    <w:rsid w:val="00CE3879"/>
    <w:rsid w:val="00CE4113"/>
    <w:rsid w:val="00CE4BCF"/>
    <w:rsid w:val="00CE543A"/>
    <w:rsid w:val="00CE5982"/>
    <w:rsid w:val="00CF42EA"/>
    <w:rsid w:val="00CF4E65"/>
    <w:rsid w:val="00CF5CD2"/>
    <w:rsid w:val="00CF6AC1"/>
    <w:rsid w:val="00CF7E80"/>
    <w:rsid w:val="00D0099C"/>
    <w:rsid w:val="00D0159F"/>
    <w:rsid w:val="00D02420"/>
    <w:rsid w:val="00D02D56"/>
    <w:rsid w:val="00D03B89"/>
    <w:rsid w:val="00D03DC8"/>
    <w:rsid w:val="00D051F3"/>
    <w:rsid w:val="00D10893"/>
    <w:rsid w:val="00D11A58"/>
    <w:rsid w:val="00D1349C"/>
    <w:rsid w:val="00D15095"/>
    <w:rsid w:val="00D20594"/>
    <w:rsid w:val="00D20744"/>
    <w:rsid w:val="00D22914"/>
    <w:rsid w:val="00D24295"/>
    <w:rsid w:val="00D24CB1"/>
    <w:rsid w:val="00D26382"/>
    <w:rsid w:val="00D27948"/>
    <w:rsid w:val="00D31432"/>
    <w:rsid w:val="00D344F1"/>
    <w:rsid w:val="00D3708D"/>
    <w:rsid w:val="00D4113E"/>
    <w:rsid w:val="00D4186C"/>
    <w:rsid w:val="00D41FD8"/>
    <w:rsid w:val="00D42813"/>
    <w:rsid w:val="00D44628"/>
    <w:rsid w:val="00D44B3D"/>
    <w:rsid w:val="00D44DEA"/>
    <w:rsid w:val="00D451DA"/>
    <w:rsid w:val="00D45671"/>
    <w:rsid w:val="00D45AC4"/>
    <w:rsid w:val="00D460B6"/>
    <w:rsid w:val="00D46695"/>
    <w:rsid w:val="00D503DB"/>
    <w:rsid w:val="00D505D1"/>
    <w:rsid w:val="00D50CC9"/>
    <w:rsid w:val="00D51236"/>
    <w:rsid w:val="00D52335"/>
    <w:rsid w:val="00D53E7C"/>
    <w:rsid w:val="00D57035"/>
    <w:rsid w:val="00D57437"/>
    <w:rsid w:val="00D61963"/>
    <w:rsid w:val="00D62426"/>
    <w:rsid w:val="00D64C04"/>
    <w:rsid w:val="00D6575A"/>
    <w:rsid w:val="00D71033"/>
    <w:rsid w:val="00D71CA0"/>
    <w:rsid w:val="00D75DE4"/>
    <w:rsid w:val="00D77056"/>
    <w:rsid w:val="00D80FED"/>
    <w:rsid w:val="00D81D34"/>
    <w:rsid w:val="00D82CBE"/>
    <w:rsid w:val="00D85178"/>
    <w:rsid w:val="00D85317"/>
    <w:rsid w:val="00D85A1C"/>
    <w:rsid w:val="00D86C0A"/>
    <w:rsid w:val="00D87960"/>
    <w:rsid w:val="00D87ADD"/>
    <w:rsid w:val="00D87F25"/>
    <w:rsid w:val="00D90710"/>
    <w:rsid w:val="00D916B3"/>
    <w:rsid w:val="00D9179A"/>
    <w:rsid w:val="00D95716"/>
    <w:rsid w:val="00D959F8"/>
    <w:rsid w:val="00D95E78"/>
    <w:rsid w:val="00D96372"/>
    <w:rsid w:val="00D966A1"/>
    <w:rsid w:val="00DA135B"/>
    <w:rsid w:val="00DA5AEE"/>
    <w:rsid w:val="00DA607C"/>
    <w:rsid w:val="00DA6E9E"/>
    <w:rsid w:val="00DB1227"/>
    <w:rsid w:val="00DB1C79"/>
    <w:rsid w:val="00DB31F7"/>
    <w:rsid w:val="00DB5B6B"/>
    <w:rsid w:val="00DB6155"/>
    <w:rsid w:val="00DB7D61"/>
    <w:rsid w:val="00DB7E17"/>
    <w:rsid w:val="00DC0D60"/>
    <w:rsid w:val="00DC3E3B"/>
    <w:rsid w:val="00DC4815"/>
    <w:rsid w:val="00DC4E71"/>
    <w:rsid w:val="00DC51B2"/>
    <w:rsid w:val="00DD143E"/>
    <w:rsid w:val="00DD38E9"/>
    <w:rsid w:val="00DE721C"/>
    <w:rsid w:val="00DE75B4"/>
    <w:rsid w:val="00DF01D5"/>
    <w:rsid w:val="00DF1753"/>
    <w:rsid w:val="00DF2A86"/>
    <w:rsid w:val="00DF3AED"/>
    <w:rsid w:val="00DF413B"/>
    <w:rsid w:val="00DF43A2"/>
    <w:rsid w:val="00DF5A0F"/>
    <w:rsid w:val="00DF78F6"/>
    <w:rsid w:val="00DF7BAD"/>
    <w:rsid w:val="00E007F1"/>
    <w:rsid w:val="00E00CE5"/>
    <w:rsid w:val="00E03515"/>
    <w:rsid w:val="00E0413A"/>
    <w:rsid w:val="00E0679E"/>
    <w:rsid w:val="00E06B50"/>
    <w:rsid w:val="00E111A7"/>
    <w:rsid w:val="00E11B8A"/>
    <w:rsid w:val="00E12C27"/>
    <w:rsid w:val="00E15CDB"/>
    <w:rsid w:val="00E1608B"/>
    <w:rsid w:val="00E162E5"/>
    <w:rsid w:val="00E169F4"/>
    <w:rsid w:val="00E17AD4"/>
    <w:rsid w:val="00E21306"/>
    <w:rsid w:val="00E24C33"/>
    <w:rsid w:val="00E2670C"/>
    <w:rsid w:val="00E26933"/>
    <w:rsid w:val="00E27853"/>
    <w:rsid w:val="00E367D4"/>
    <w:rsid w:val="00E459BB"/>
    <w:rsid w:val="00E47951"/>
    <w:rsid w:val="00E55B8E"/>
    <w:rsid w:val="00E564F4"/>
    <w:rsid w:val="00E60B01"/>
    <w:rsid w:val="00E60C1A"/>
    <w:rsid w:val="00E60D5C"/>
    <w:rsid w:val="00E62417"/>
    <w:rsid w:val="00E62E63"/>
    <w:rsid w:val="00E63CD5"/>
    <w:rsid w:val="00E65FA3"/>
    <w:rsid w:val="00E66253"/>
    <w:rsid w:val="00E672CF"/>
    <w:rsid w:val="00E72C14"/>
    <w:rsid w:val="00E7338C"/>
    <w:rsid w:val="00E7459F"/>
    <w:rsid w:val="00E75264"/>
    <w:rsid w:val="00E768AB"/>
    <w:rsid w:val="00E76D6F"/>
    <w:rsid w:val="00E77EAE"/>
    <w:rsid w:val="00E80771"/>
    <w:rsid w:val="00E81F84"/>
    <w:rsid w:val="00E84A9A"/>
    <w:rsid w:val="00E957D9"/>
    <w:rsid w:val="00E95D08"/>
    <w:rsid w:val="00E96511"/>
    <w:rsid w:val="00E96EA0"/>
    <w:rsid w:val="00E97A46"/>
    <w:rsid w:val="00EA3630"/>
    <w:rsid w:val="00EA3795"/>
    <w:rsid w:val="00EB0A38"/>
    <w:rsid w:val="00EB2567"/>
    <w:rsid w:val="00EB37ED"/>
    <w:rsid w:val="00EB6084"/>
    <w:rsid w:val="00EB7CD4"/>
    <w:rsid w:val="00EC0478"/>
    <w:rsid w:val="00EC238D"/>
    <w:rsid w:val="00EC53E7"/>
    <w:rsid w:val="00EC5904"/>
    <w:rsid w:val="00EC5E63"/>
    <w:rsid w:val="00EC789C"/>
    <w:rsid w:val="00ED2149"/>
    <w:rsid w:val="00ED24D4"/>
    <w:rsid w:val="00ED3510"/>
    <w:rsid w:val="00ED472B"/>
    <w:rsid w:val="00ED59E4"/>
    <w:rsid w:val="00ED641B"/>
    <w:rsid w:val="00EE4C8F"/>
    <w:rsid w:val="00EE59B8"/>
    <w:rsid w:val="00EE626F"/>
    <w:rsid w:val="00EE648E"/>
    <w:rsid w:val="00EE7466"/>
    <w:rsid w:val="00EE7C9C"/>
    <w:rsid w:val="00EF1EC2"/>
    <w:rsid w:val="00EF3070"/>
    <w:rsid w:val="00EF509F"/>
    <w:rsid w:val="00EF5EC2"/>
    <w:rsid w:val="00EF74EB"/>
    <w:rsid w:val="00F01CD3"/>
    <w:rsid w:val="00F07361"/>
    <w:rsid w:val="00F10710"/>
    <w:rsid w:val="00F115DB"/>
    <w:rsid w:val="00F11D8F"/>
    <w:rsid w:val="00F13486"/>
    <w:rsid w:val="00F15107"/>
    <w:rsid w:val="00F16B72"/>
    <w:rsid w:val="00F21F2A"/>
    <w:rsid w:val="00F237D1"/>
    <w:rsid w:val="00F255D4"/>
    <w:rsid w:val="00F2718D"/>
    <w:rsid w:val="00F277F0"/>
    <w:rsid w:val="00F27955"/>
    <w:rsid w:val="00F30AEB"/>
    <w:rsid w:val="00F31D99"/>
    <w:rsid w:val="00F34F36"/>
    <w:rsid w:val="00F37B4F"/>
    <w:rsid w:val="00F44BE8"/>
    <w:rsid w:val="00F454F7"/>
    <w:rsid w:val="00F45999"/>
    <w:rsid w:val="00F469AB"/>
    <w:rsid w:val="00F51484"/>
    <w:rsid w:val="00F53DA7"/>
    <w:rsid w:val="00F571B1"/>
    <w:rsid w:val="00F63A4A"/>
    <w:rsid w:val="00F65521"/>
    <w:rsid w:val="00F65634"/>
    <w:rsid w:val="00F65E3D"/>
    <w:rsid w:val="00F6647C"/>
    <w:rsid w:val="00F66885"/>
    <w:rsid w:val="00F66E3D"/>
    <w:rsid w:val="00F7130E"/>
    <w:rsid w:val="00F72DD0"/>
    <w:rsid w:val="00F7681C"/>
    <w:rsid w:val="00F83083"/>
    <w:rsid w:val="00F83FB8"/>
    <w:rsid w:val="00F86A44"/>
    <w:rsid w:val="00F86ECC"/>
    <w:rsid w:val="00F86F33"/>
    <w:rsid w:val="00F87A35"/>
    <w:rsid w:val="00F909F9"/>
    <w:rsid w:val="00F92A5D"/>
    <w:rsid w:val="00F92EFD"/>
    <w:rsid w:val="00F938F6"/>
    <w:rsid w:val="00F96DA5"/>
    <w:rsid w:val="00F97B4F"/>
    <w:rsid w:val="00FA29F2"/>
    <w:rsid w:val="00FA566F"/>
    <w:rsid w:val="00FA6931"/>
    <w:rsid w:val="00FA7B08"/>
    <w:rsid w:val="00FB0E5D"/>
    <w:rsid w:val="00FB3297"/>
    <w:rsid w:val="00FB4121"/>
    <w:rsid w:val="00FB48F1"/>
    <w:rsid w:val="00FB65A8"/>
    <w:rsid w:val="00FB67E7"/>
    <w:rsid w:val="00FC1F32"/>
    <w:rsid w:val="00FC5CD4"/>
    <w:rsid w:val="00FC75E9"/>
    <w:rsid w:val="00FD36B5"/>
    <w:rsid w:val="00FD3AED"/>
    <w:rsid w:val="00FD4EBB"/>
    <w:rsid w:val="00FD6D35"/>
    <w:rsid w:val="00FE014A"/>
    <w:rsid w:val="00FE0E4C"/>
    <w:rsid w:val="00FE16D4"/>
    <w:rsid w:val="00FE1C14"/>
    <w:rsid w:val="00FE3135"/>
    <w:rsid w:val="00FE42ED"/>
    <w:rsid w:val="00FE5F4B"/>
    <w:rsid w:val="00FE64BC"/>
    <w:rsid w:val="00FE67A7"/>
    <w:rsid w:val="00FE6FCC"/>
    <w:rsid w:val="00FE76D5"/>
    <w:rsid w:val="00FE7A14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F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uiPriority w:val="99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kr">
    <w:name w:val="naiskr"/>
    <w:basedOn w:val="Normal"/>
    <w:rsid w:val="0041108F"/>
    <w:pPr>
      <w:spacing w:before="75" w:after="75"/>
    </w:pPr>
  </w:style>
  <w:style w:type="table" w:styleId="TableGrid">
    <w:name w:val="Table Grid"/>
    <w:basedOn w:val="TableNormal"/>
    <w:uiPriority w:val="39"/>
    <w:rsid w:val="00FE0E4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2A89"/>
  </w:style>
  <w:style w:type="paragraph" w:styleId="Revision">
    <w:name w:val="Revision"/>
    <w:hidden/>
    <w:uiPriority w:val="99"/>
    <w:semiHidden/>
    <w:rsid w:val="00942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uiPriority w:val="99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kr">
    <w:name w:val="naiskr"/>
    <w:basedOn w:val="Normal"/>
    <w:rsid w:val="0041108F"/>
    <w:pPr>
      <w:spacing w:before="75" w:after="75"/>
    </w:pPr>
  </w:style>
  <w:style w:type="table" w:styleId="TableGrid">
    <w:name w:val="Table Grid"/>
    <w:basedOn w:val="TableNormal"/>
    <w:uiPriority w:val="39"/>
    <w:rsid w:val="00FE0E4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2A89"/>
  </w:style>
  <w:style w:type="paragraph" w:styleId="Revision">
    <w:name w:val="Revision"/>
    <w:hidden/>
    <w:uiPriority w:val="99"/>
    <w:semiHidden/>
    <w:rsid w:val="00942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ga.avotina@fm.gov.l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A.Kaļāne</Vad_x012b_t_x0101_js>
    <Kategorija xmlns="2e5bb04e-596e-45bd-9003-43ca78b1ba16">Anotācija</Kategorija>
    <DKP xmlns="2e5bb04e-596e-45bd-9003-43ca78b1ba16">38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6F7A-C3E7-4A76-AEB2-F0EE47417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C8FF1-718A-4F11-A177-2ACFFFAF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7DDAB8-6FB1-4F94-BFCD-E4CBDDB5E8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5E0665-BD9C-43C8-9516-40CF25BAB0C3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284C3203-9F94-4135-8C0A-7E94DD2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6080</Words>
  <Characters>3467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izložu un azartspēļu nodevu un nodokli"" sākotnējās ietekmes novērtējuma ziņojums (anotācija)</vt:lpstr>
    </vt:vector>
  </TitlesOfParts>
  <Company>FM</Company>
  <LinksUpToDate>false</LinksUpToDate>
  <CharactersWithSpaces>9528</CharactersWithSpaces>
  <SharedDoc>false</SharedDoc>
  <HLinks>
    <vt:vector size="6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mailto:Liga.Leite@fm.gov.lv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izložu un azartspēļu nodevu un nodokli"" sākotnējās ietekmes novērtējuma ziņojums (anotācija)</dc:title>
  <dc:subject>Anotācija</dc:subject>
  <dc:creator>Inga Avotiņa</dc:creator>
  <dc:description>Inga.Avotina@fm.gov.lv,_x000d_
67095515</dc:description>
  <cp:lastModifiedBy>Laimdota Adlere</cp:lastModifiedBy>
  <cp:revision>4</cp:revision>
  <cp:lastPrinted>2017-06-01T10:09:00Z</cp:lastPrinted>
  <dcterms:created xsi:type="dcterms:W3CDTF">2017-06-02T09:06:00Z</dcterms:created>
  <dcterms:modified xsi:type="dcterms:W3CDTF">2017-06-02T09:06:00Z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0x01010017C0365FDA3237408C10BF7E5E49454A</vt:lpwstr>
  </property>
</Properties>
</file>