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496E3" w14:textId="77777777" w:rsidR="00BD39F9" w:rsidRPr="0080654E" w:rsidRDefault="00BD39F9" w:rsidP="00BD39F9">
      <w:pPr>
        <w:jc w:val="center"/>
        <w:rPr>
          <w:b/>
          <w:color w:val="000000" w:themeColor="text1"/>
          <w:sz w:val="28"/>
        </w:rPr>
      </w:pPr>
      <w:r w:rsidRPr="0080654E">
        <w:rPr>
          <w:b/>
          <w:color w:val="000000" w:themeColor="text1"/>
          <w:sz w:val="28"/>
        </w:rPr>
        <w:t>Informatīvais ziņojums</w:t>
      </w:r>
    </w:p>
    <w:p w14:paraId="65ED57BB" w14:textId="1A619125" w:rsidR="00BD39F9" w:rsidRPr="0080654E" w:rsidRDefault="00994ECF" w:rsidP="00BD39F9">
      <w:pPr>
        <w:ind w:firstLine="709"/>
        <w:jc w:val="center"/>
        <w:rPr>
          <w:b/>
          <w:color w:val="000000" w:themeColor="text1"/>
          <w:sz w:val="28"/>
        </w:rPr>
      </w:pPr>
      <w:r w:rsidRPr="0080654E">
        <w:rPr>
          <w:b/>
          <w:color w:val="000000" w:themeColor="text1"/>
          <w:sz w:val="28"/>
        </w:rPr>
        <w:t>„Par Eiropas Stabilitātes</w:t>
      </w:r>
      <w:r w:rsidR="00BD39F9" w:rsidRPr="0080654E">
        <w:rPr>
          <w:b/>
          <w:color w:val="000000" w:themeColor="text1"/>
          <w:sz w:val="28"/>
        </w:rPr>
        <w:t xml:space="preserve"> mehānisma </w:t>
      </w:r>
      <w:r w:rsidRPr="0080654E">
        <w:rPr>
          <w:b/>
          <w:color w:val="000000" w:themeColor="text1"/>
          <w:sz w:val="28"/>
        </w:rPr>
        <w:t>darbību 201</w:t>
      </w:r>
      <w:r w:rsidR="00F33A20" w:rsidRPr="0080654E">
        <w:rPr>
          <w:b/>
          <w:color w:val="000000" w:themeColor="text1"/>
          <w:sz w:val="28"/>
        </w:rPr>
        <w:t>6</w:t>
      </w:r>
      <w:r w:rsidR="00BD39F9" w:rsidRPr="0080654E">
        <w:rPr>
          <w:b/>
          <w:color w:val="000000" w:themeColor="text1"/>
          <w:sz w:val="28"/>
        </w:rPr>
        <w:t>.gadā”</w:t>
      </w:r>
    </w:p>
    <w:p w14:paraId="7EA27B68" w14:textId="415D2A8A" w:rsidR="003A3BCE" w:rsidRDefault="003A3BCE" w:rsidP="0029137B">
      <w:pPr>
        <w:ind w:firstLine="720"/>
        <w:jc w:val="both"/>
        <w:rPr>
          <w:rFonts w:eastAsia="Times New Roman"/>
          <w:color w:val="000000"/>
          <w:szCs w:val="24"/>
        </w:rPr>
      </w:pPr>
    </w:p>
    <w:p w14:paraId="4394A271" w14:textId="728CA357" w:rsidR="0029137B" w:rsidRDefault="0029137B" w:rsidP="0080654E">
      <w:pPr>
        <w:spacing w:after="120"/>
        <w:ind w:firstLine="720"/>
        <w:jc w:val="both"/>
      </w:pPr>
      <w:r>
        <w:rPr>
          <w:rFonts w:eastAsia="Times New Roman"/>
          <w:color w:val="000000"/>
          <w:szCs w:val="24"/>
        </w:rPr>
        <w:t>Informatīvais ziņojums</w:t>
      </w:r>
      <w:r w:rsidRPr="002578D7">
        <w:rPr>
          <w:rFonts w:eastAsia="Times New Roman"/>
          <w:color w:val="000000"/>
          <w:szCs w:val="24"/>
        </w:rPr>
        <w:t xml:space="preserve"> ir izstrādāts, lai informētu Ministru kabinetu un Saeimu par Eiropas Stabilitātes mehānisma (turpmāk – ESM) darbību saskaņā ar likuma „Par Latvijas pārstāvību Eiropas Stabilitātes mehānisma Valdē un Direktoru padomē” 7.pantu, kas nosaka, ka Ministru kabinets katru gadu ne vēlāk kā trīs mēnešus pēc tam, kad ESM publicējis gada pārskatu</w:t>
      </w:r>
      <w:r w:rsidR="00B55702">
        <w:rPr>
          <w:rStyle w:val="FootnoteReference"/>
          <w:rFonts w:eastAsia="Times New Roman"/>
          <w:color w:val="000000"/>
          <w:szCs w:val="24"/>
        </w:rPr>
        <w:footnoteReference w:id="1"/>
      </w:r>
      <w:r w:rsidRPr="002578D7">
        <w:rPr>
          <w:rFonts w:eastAsia="Times New Roman"/>
          <w:color w:val="000000"/>
          <w:szCs w:val="24"/>
        </w:rPr>
        <w:t xml:space="preserve"> </w:t>
      </w:r>
      <w:r>
        <w:rPr>
          <w:rFonts w:eastAsia="Times New Roman"/>
          <w:color w:val="000000"/>
          <w:szCs w:val="24"/>
        </w:rPr>
        <w:t>(tika publicēts 201</w:t>
      </w:r>
      <w:r w:rsidR="00F33A20">
        <w:rPr>
          <w:rFonts w:eastAsia="Times New Roman"/>
          <w:color w:val="000000"/>
          <w:szCs w:val="24"/>
        </w:rPr>
        <w:t>7</w:t>
      </w:r>
      <w:r>
        <w:rPr>
          <w:rFonts w:eastAsia="Times New Roman"/>
          <w:color w:val="000000"/>
          <w:szCs w:val="24"/>
        </w:rPr>
        <w:t xml:space="preserve">.gada </w:t>
      </w:r>
      <w:r w:rsidR="00346138">
        <w:rPr>
          <w:rFonts w:eastAsia="Times New Roman"/>
          <w:color w:val="000000"/>
          <w:szCs w:val="24"/>
        </w:rPr>
        <w:t>15</w:t>
      </w:r>
      <w:r>
        <w:rPr>
          <w:rFonts w:eastAsia="Times New Roman"/>
          <w:color w:val="000000"/>
          <w:szCs w:val="24"/>
        </w:rPr>
        <w:t xml:space="preserve">.jūnijā) </w:t>
      </w:r>
      <w:r w:rsidRPr="002578D7">
        <w:rPr>
          <w:rFonts w:eastAsia="Times New Roman"/>
          <w:color w:val="000000"/>
          <w:szCs w:val="24"/>
        </w:rPr>
        <w:t>saskaņā ar Līgum</w:t>
      </w:r>
      <w:r w:rsidR="009F426E">
        <w:rPr>
          <w:rFonts w:eastAsia="Times New Roman"/>
          <w:color w:val="000000"/>
          <w:szCs w:val="24"/>
        </w:rPr>
        <w:t>a</w:t>
      </w:r>
      <w:r w:rsidRPr="002578D7">
        <w:rPr>
          <w:rFonts w:eastAsia="Times New Roman"/>
          <w:color w:val="000000"/>
          <w:szCs w:val="24"/>
        </w:rPr>
        <w:t xml:space="preserve"> par Eiropas Stabilitātes mehānisma dibināšanu 27.panta 2.punktu, iesniedz Saeimai ziņojumu par ESM darbību iepriekšējā gadā.</w:t>
      </w:r>
      <w:r w:rsidR="002D351A" w:rsidRPr="002D351A">
        <w:t xml:space="preserve"> </w:t>
      </w:r>
      <w:r w:rsidR="002D351A" w:rsidRPr="00032C70">
        <w:t>Šajā nolūkā dotais informatīvais ziņojums turpmākajās sadaļās sniedz informāciju par ESM darbību 201</w:t>
      </w:r>
      <w:r w:rsidR="002D351A">
        <w:t>6</w:t>
      </w:r>
      <w:r w:rsidR="002D351A" w:rsidRPr="00032C70">
        <w:t>.gadā.</w:t>
      </w:r>
    </w:p>
    <w:p w14:paraId="092EDFD1" w14:textId="09CFAF5A" w:rsidR="009C438F" w:rsidRDefault="009C438F" w:rsidP="0080654E">
      <w:pPr>
        <w:spacing w:after="120"/>
        <w:ind w:firstLine="709"/>
        <w:jc w:val="both"/>
      </w:pPr>
      <w:r w:rsidRPr="00032C70">
        <w:t xml:space="preserve">2014.gada 21.februārī tika deponēts pievienošanās instruments ESM, kā rezultātā atbilstoši Līguma par </w:t>
      </w:r>
      <w:r w:rsidR="00101D4E">
        <w:t>Eiropas Stabilitātes mehānisma</w:t>
      </w:r>
      <w:r w:rsidR="00101D4E" w:rsidRPr="00032C70">
        <w:t xml:space="preserve"> </w:t>
      </w:r>
      <w:r w:rsidRPr="00032C70">
        <w:t>dibināšanu 48.panta trešajā daļā noteiktajam Latvija 2014.gada 13.martā kļuva par ESM dalībnieci ar pilnām tiesībām un pienākumiem.</w:t>
      </w:r>
      <w:r w:rsidR="00AE01C0">
        <w:t xml:space="preserve"> </w:t>
      </w:r>
      <w:r w:rsidR="007D48E9">
        <w:t>Latvija</w:t>
      </w:r>
      <w:r w:rsidR="00AE01C0">
        <w:t xml:space="preserve">i pieder 0,2746% no ESM kapitāla un līdz šim </w:t>
      </w:r>
      <w:r w:rsidR="00B55702">
        <w:t xml:space="preserve">Latvija </w:t>
      </w:r>
      <w:r w:rsidR="00AE01C0">
        <w:t xml:space="preserve">ir ieguldījusi </w:t>
      </w:r>
      <w:r w:rsidR="00AE01C0" w:rsidRPr="00AE01C0">
        <w:t>176</w:t>
      </w:r>
      <w:r w:rsidR="00AE01C0">
        <w:t>,</w:t>
      </w:r>
      <w:r w:rsidR="00AE01C0" w:rsidRPr="00AE01C0">
        <w:t>96</w:t>
      </w:r>
      <w:r w:rsidR="00AE01C0">
        <w:t xml:space="preserve"> milj. </w:t>
      </w:r>
      <w:r w:rsidR="00AE01C0">
        <w:rPr>
          <w:i/>
        </w:rPr>
        <w:t>euro</w:t>
      </w:r>
      <w:r w:rsidR="00DE0BAE">
        <w:rPr>
          <w:rStyle w:val="FootnoteReference"/>
          <w:i/>
        </w:rPr>
        <w:footnoteReference w:id="2"/>
      </w:r>
      <w:r w:rsidR="00AE01C0" w:rsidRPr="00AE01C0">
        <w:t>.</w:t>
      </w:r>
    </w:p>
    <w:p w14:paraId="170CCE39" w14:textId="0B887EED" w:rsidR="00CA4839" w:rsidRPr="00004E13" w:rsidRDefault="00A30852" w:rsidP="0080654E">
      <w:pPr>
        <w:spacing w:after="120"/>
        <w:ind w:firstLine="709"/>
        <w:jc w:val="both"/>
        <w:rPr>
          <w:rFonts w:cs="Times New Roman"/>
          <w:i/>
        </w:rPr>
      </w:pPr>
      <w:r>
        <w:t xml:space="preserve">ESM ir viens no </w:t>
      </w:r>
      <w:r>
        <w:rPr>
          <w:i/>
        </w:rPr>
        <w:t xml:space="preserve">euro </w:t>
      </w:r>
      <w:r w:rsidR="0044061A">
        <w:t>zonas ieviestajiem</w:t>
      </w:r>
      <w:r>
        <w:t xml:space="preserve"> ekonomikas pārvaldības un koordinācijas pastiprināšanas instrumentiem, kas </w:t>
      </w:r>
      <w:r w:rsidR="001B5973">
        <w:t xml:space="preserve">izveidots, lai novērstu </w:t>
      </w:r>
      <w:r w:rsidR="001B5973" w:rsidRPr="001B5973">
        <w:t>trūkumus Ekonomikas un monetārajā savienībā</w:t>
      </w:r>
      <w:r w:rsidR="001B5973">
        <w:t xml:space="preserve">. ESM izveidošanas ieguvums citām valstīm saistāms ar to, ka tiek mazināta atsevišķu valstu radīto fiskālo un finanšu satricinājumu ietekme uz visas </w:t>
      </w:r>
      <w:r w:rsidR="001B5973">
        <w:rPr>
          <w:i/>
        </w:rPr>
        <w:t xml:space="preserve">euro </w:t>
      </w:r>
      <w:r w:rsidR="001B5973">
        <w:t xml:space="preserve">zonas stabilitāti. </w:t>
      </w:r>
      <w:r w:rsidR="00E01935" w:rsidRPr="00014BC7">
        <w:t>Eiropas finanšu</w:t>
      </w:r>
      <w:r w:rsidR="00B51911" w:rsidRPr="00014BC7">
        <w:t xml:space="preserve"> krīžu noregulēšanas mehānism</w:t>
      </w:r>
      <w:r w:rsidR="005E6CED" w:rsidRPr="00014BC7">
        <w:t>s</w:t>
      </w:r>
      <w:r w:rsidR="00B51911" w:rsidRPr="00014BC7">
        <w:t xml:space="preserve"> ESM</w:t>
      </w:r>
      <w:r w:rsidR="00E01935" w:rsidRPr="00014BC7">
        <w:t xml:space="preserve"> ir uzskatām</w:t>
      </w:r>
      <w:r w:rsidR="00B51911" w:rsidRPr="00014BC7">
        <w:t>s</w:t>
      </w:r>
      <w:r w:rsidR="00E01935" w:rsidRPr="00014BC7">
        <w:t xml:space="preserve"> par pēdējās instances aizdevēj</w:t>
      </w:r>
      <w:r w:rsidR="005E6CED" w:rsidRPr="00014BC7">
        <w:t>u</w:t>
      </w:r>
      <w:r w:rsidR="00E01935" w:rsidRPr="00014BC7">
        <w:t xml:space="preserve"> </w:t>
      </w:r>
      <w:r w:rsidR="00F33A20">
        <w:rPr>
          <w:i/>
        </w:rPr>
        <w:t xml:space="preserve">euro </w:t>
      </w:r>
      <w:r w:rsidR="00F33A20">
        <w:t xml:space="preserve">zonas </w:t>
      </w:r>
      <w:r w:rsidR="001B5973" w:rsidRPr="00014BC7">
        <w:t xml:space="preserve">valstīm </w:t>
      </w:r>
      <w:r w:rsidR="00E01935" w:rsidRPr="00014BC7">
        <w:t xml:space="preserve">situācijās, kad </w:t>
      </w:r>
      <w:r w:rsidR="001B5973" w:rsidRPr="00014BC7">
        <w:t xml:space="preserve">tās nevar piekļūt finanšu tirgiem par ilgtspējīgām procentu likmēm. Tādējādi </w:t>
      </w:r>
      <w:r w:rsidR="00E01935" w:rsidRPr="00014BC7">
        <w:t xml:space="preserve">ESM </w:t>
      </w:r>
      <w:r w:rsidR="001B5973" w:rsidRPr="00014BC7">
        <w:t xml:space="preserve">uzdevums ir </w:t>
      </w:r>
      <w:r w:rsidR="00E01935" w:rsidRPr="00014BC7">
        <w:t>stiprin</w:t>
      </w:r>
      <w:r w:rsidR="001B5973" w:rsidRPr="00014BC7">
        <w:t>āt</w:t>
      </w:r>
      <w:r w:rsidR="00E01935" w:rsidRPr="00014BC7">
        <w:t xml:space="preserve"> investoru uzticību un palīdz</w:t>
      </w:r>
      <w:r w:rsidR="001B5973" w:rsidRPr="00014BC7">
        <w:t>ēt dalībvalstīm</w:t>
      </w:r>
      <w:r w:rsidR="00937054" w:rsidRPr="00014BC7">
        <w:t xml:space="preserve"> </w:t>
      </w:r>
      <w:r w:rsidR="00E01935" w:rsidRPr="00014BC7">
        <w:t xml:space="preserve">stabilizēt </w:t>
      </w:r>
      <w:r w:rsidR="001B5973" w:rsidRPr="00014BC7">
        <w:t xml:space="preserve">situāciju </w:t>
      </w:r>
      <w:r w:rsidR="00E01935" w:rsidRPr="00A0553D">
        <w:rPr>
          <w:rFonts w:cs="Times New Roman"/>
        </w:rPr>
        <w:t>finanšu tirgos</w:t>
      </w:r>
      <w:r w:rsidR="001B5973" w:rsidRPr="00A0553D">
        <w:rPr>
          <w:rFonts w:cs="Times New Roman"/>
        </w:rPr>
        <w:t xml:space="preserve"> un fiskālajā stāvoklī</w:t>
      </w:r>
      <w:r w:rsidR="006A1A20" w:rsidRPr="00A0553D">
        <w:rPr>
          <w:rFonts w:cs="Times New Roman"/>
        </w:rPr>
        <w:t>.</w:t>
      </w:r>
      <w:r w:rsidR="00254817" w:rsidRPr="00A0553D">
        <w:rPr>
          <w:rFonts w:cs="Times New Roman"/>
        </w:rPr>
        <w:t xml:space="preserve"> </w:t>
      </w:r>
      <w:r w:rsidR="00CA4839">
        <w:rPr>
          <w:rFonts w:cs="Times New Roman"/>
        </w:rPr>
        <w:t xml:space="preserve">ESM akcionāri ir </w:t>
      </w:r>
      <w:r w:rsidR="00CA4839" w:rsidRPr="00004E13">
        <w:rPr>
          <w:rFonts w:cs="Times New Roman"/>
          <w:i/>
        </w:rPr>
        <w:t>euro</w:t>
      </w:r>
      <w:r w:rsidR="00CA4839">
        <w:rPr>
          <w:rFonts w:cs="Times New Roman"/>
        </w:rPr>
        <w:t xml:space="preserve"> zonas valstis</w:t>
      </w:r>
      <w:r w:rsidR="00CA4839">
        <w:rPr>
          <w:rStyle w:val="FootnoteReference"/>
          <w:rFonts w:cs="Times New Roman"/>
        </w:rPr>
        <w:footnoteReference w:id="3"/>
      </w:r>
      <w:r w:rsidR="00CA4839">
        <w:rPr>
          <w:rFonts w:cs="Times New Roman"/>
        </w:rPr>
        <w:t>.</w:t>
      </w:r>
      <w:r w:rsidR="00004E13">
        <w:rPr>
          <w:rFonts w:cs="Times New Roman"/>
        </w:rPr>
        <w:t xml:space="preserve"> ESM akcionāri kopā ir ieguldījuši 80,4 </w:t>
      </w:r>
      <w:r w:rsidR="00A4581D">
        <w:rPr>
          <w:rFonts w:eastAsia="Times New Roman" w:cs="Times New Roman"/>
          <w:szCs w:val="24"/>
          <w:lang w:eastAsia="lv-LV"/>
        </w:rPr>
        <w:t>mljrd.</w:t>
      </w:r>
      <w:r w:rsidR="00A4581D" w:rsidRPr="00896C7F">
        <w:t xml:space="preserve"> </w:t>
      </w:r>
      <w:r w:rsidR="00004E13">
        <w:rPr>
          <w:rFonts w:cs="Times New Roman"/>
          <w:i/>
        </w:rPr>
        <w:t>euro.</w:t>
      </w:r>
    </w:p>
    <w:p w14:paraId="3537D535" w14:textId="27904E0A" w:rsidR="00CA4839" w:rsidRPr="006E7176" w:rsidRDefault="00CA4839" w:rsidP="00DE0BAE">
      <w:pPr>
        <w:spacing w:before="120"/>
        <w:ind w:firstLine="709"/>
        <w:jc w:val="right"/>
        <w:rPr>
          <w:rFonts w:cs="Times New Roman"/>
          <w:b/>
          <w:i/>
          <w:sz w:val="20"/>
        </w:rPr>
      </w:pPr>
      <w:r w:rsidRPr="006E7176">
        <w:rPr>
          <w:rFonts w:cs="Times New Roman"/>
          <w:b/>
          <w:i/>
          <w:sz w:val="20"/>
        </w:rPr>
        <w:t>1.attēls “ESM akcionāri” (atzīmēti ar zilu)</w:t>
      </w:r>
    </w:p>
    <w:p w14:paraId="55B8E18F" w14:textId="1736926C" w:rsidR="00CA4839" w:rsidRDefault="00CA4839" w:rsidP="00CA4839">
      <w:pPr>
        <w:ind w:firstLine="709"/>
        <w:jc w:val="center"/>
        <w:rPr>
          <w:rFonts w:cs="Times New Roman"/>
        </w:rPr>
      </w:pPr>
      <w:r>
        <w:rPr>
          <w:noProof/>
          <w:lang w:eastAsia="lv-LV"/>
        </w:rPr>
        <w:drawing>
          <wp:inline distT="0" distB="0" distL="0" distR="0" wp14:anchorId="02286450" wp14:editId="517D6699">
            <wp:extent cx="4362450" cy="2401776"/>
            <wp:effectExtent l="133350" t="133350" r="152400" b="1701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822" t="26698" r="5454" b="18046"/>
                    <a:stretch/>
                  </pic:blipFill>
                  <pic:spPr bwMode="auto">
                    <a:xfrm>
                      <a:off x="0" y="0"/>
                      <a:ext cx="4374041" cy="24081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0CF60D1" w14:textId="6E2F45EF" w:rsidR="0029137B" w:rsidRDefault="0029137B" w:rsidP="0080654E">
      <w:pPr>
        <w:spacing w:after="120"/>
        <w:ind w:firstLine="709"/>
        <w:jc w:val="both"/>
        <w:rPr>
          <w:rFonts w:cs="Times New Roman"/>
        </w:rPr>
      </w:pPr>
      <w:r>
        <w:rPr>
          <w:rFonts w:cs="Times New Roman"/>
        </w:rPr>
        <w:t>ESM sniedz šādus palīdzības veidus</w:t>
      </w:r>
      <w:r w:rsidR="001C1D85">
        <w:rPr>
          <w:rFonts w:cs="Times New Roman"/>
        </w:rPr>
        <w:t xml:space="preserve"> dalībvalstīm</w:t>
      </w:r>
      <w:r>
        <w:rPr>
          <w:rFonts w:cs="Times New Roman"/>
        </w:rPr>
        <w:t>:</w:t>
      </w:r>
    </w:p>
    <w:p w14:paraId="5EC22564" w14:textId="2774D5B5" w:rsidR="00A0553D" w:rsidRPr="0029137B" w:rsidRDefault="00004DF1" w:rsidP="0080654E">
      <w:pPr>
        <w:pStyle w:val="ListParagraph"/>
        <w:numPr>
          <w:ilvl w:val="0"/>
          <w:numId w:val="4"/>
        </w:numPr>
        <w:spacing w:after="120"/>
        <w:jc w:val="both"/>
        <w:rPr>
          <w:rFonts w:cs="Times New Roman"/>
          <w:color w:val="000000" w:themeColor="text1"/>
        </w:rPr>
      </w:pPr>
      <w:r w:rsidRPr="0029137B">
        <w:rPr>
          <w:rFonts w:cs="Times New Roman"/>
          <w:color w:val="000000" w:themeColor="text1"/>
        </w:rPr>
        <w:t>A</w:t>
      </w:r>
      <w:r w:rsidR="00A0553D" w:rsidRPr="0029137B">
        <w:rPr>
          <w:rFonts w:cs="Times New Roman"/>
          <w:color w:val="000000" w:themeColor="text1"/>
        </w:rPr>
        <w:t>izdevum</w:t>
      </w:r>
      <w:r>
        <w:rPr>
          <w:rFonts w:cs="Times New Roman"/>
          <w:color w:val="000000" w:themeColor="text1"/>
        </w:rPr>
        <w:t>u sniegšana</w:t>
      </w:r>
      <w:r w:rsidR="00A0553D" w:rsidRPr="0029137B">
        <w:rPr>
          <w:rFonts w:cs="Times New Roman"/>
          <w:color w:val="000000" w:themeColor="text1"/>
        </w:rPr>
        <w:t>, lai segtu finanšu vajadzības;</w:t>
      </w:r>
    </w:p>
    <w:p w14:paraId="592143B8" w14:textId="415E4848" w:rsidR="00A0553D" w:rsidRPr="0029137B" w:rsidRDefault="00004DF1" w:rsidP="0080654E">
      <w:pPr>
        <w:pStyle w:val="ListParagraph"/>
        <w:numPr>
          <w:ilvl w:val="0"/>
          <w:numId w:val="3"/>
        </w:numPr>
        <w:spacing w:after="120"/>
        <w:jc w:val="both"/>
        <w:rPr>
          <w:rFonts w:cs="Times New Roman"/>
          <w:color w:val="000000" w:themeColor="text1"/>
        </w:rPr>
      </w:pPr>
      <w:r>
        <w:rPr>
          <w:rFonts w:cs="Times New Roman"/>
          <w:color w:val="000000" w:themeColor="text1"/>
        </w:rPr>
        <w:t>Aizdevumu sniegšana</w:t>
      </w:r>
      <w:r w:rsidR="00A0553D" w:rsidRPr="0029137B">
        <w:rPr>
          <w:rFonts w:cs="Times New Roman"/>
          <w:color w:val="000000" w:themeColor="text1"/>
        </w:rPr>
        <w:t xml:space="preserve"> un tiešas kapitāla injekcijas, la</w:t>
      </w:r>
      <w:r w:rsidR="00560C13">
        <w:rPr>
          <w:rFonts w:cs="Times New Roman"/>
          <w:color w:val="000000" w:themeColor="text1"/>
        </w:rPr>
        <w:t>i rekapitalizētu finanšu iestādes</w:t>
      </w:r>
      <w:r w:rsidR="00A0553D" w:rsidRPr="0029137B">
        <w:rPr>
          <w:rFonts w:cs="Times New Roman"/>
          <w:color w:val="000000" w:themeColor="text1"/>
        </w:rPr>
        <w:t>;</w:t>
      </w:r>
    </w:p>
    <w:p w14:paraId="6C2FD43D" w14:textId="076BA100" w:rsidR="00A0553D" w:rsidRPr="0029137B" w:rsidRDefault="00004DF1" w:rsidP="0080654E">
      <w:pPr>
        <w:pStyle w:val="ListParagraph"/>
        <w:numPr>
          <w:ilvl w:val="0"/>
          <w:numId w:val="3"/>
        </w:numPr>
        <w:spacing w:after="120"/>
        <w:jc w:val="both"/>
        <w:rPr>
          <w:rFonts w:cs="Times New Roman"/>
          <w:color w:val="000000" w:themeColor="text1"/>
        </w:rPr>
      </w:pPr>
      <w:r>
        <w:rPr>
          <w:rFonts w:cs="Times New Roman"/>
          <w:color w:val="000000" w:themeColor="text1"/>
        </w:rPr>
        <w:lastRenderedPageBreak/>
        <w:t>K</w:t>
      </w:r>
      <w:r w:rsidR="00A0553D" w:rsidRPr="0029137B">
        <w:rPr>
          <w:rFonts w:cs="Times New Roman"/>
          <w:color w:val="000000" w:themeColor="text1"/>
        </w:rPr>
        <w:t>redītlīnijas</w:t>
      </w:r>
      <w:r w:rsidR="008670DD">
        <w:rPr>
          <w:rFonts w:cs="Times New Roman"/>
          <w:color w:val="000000" w:themeColor="text1"/>
        </w:rPr>
        <w:t xml:space="preserve"> sniegšana</w:t>
      </w:r>
      <w:r w:rsidR="00A0553D" w:rsidRPr="0029137B">
        <w:rPr>
          <w:rFonts w:cs="Times New Roman"/>
          <w:color w:val="000000" w:themeColor="text1"/>
        </w:rPr>
        <w:t>;</w:t>
      </w:r>
    </w:p>
    <w:p w14:paraId="01EE25AB" w14:textId="216A4CDD" w:rsidR="00A0553D" w:rsidRPr="0029137B" w:rsidRDefault="0095622F" w:rsidP="0080654E">
      <w:pPr>
        <w:pStyle w:val="ListParagraph"/>
        <w:numPr>
          <w:ilvl w:val="0"/>
          <w:numId w:val="3"/>
        </w:numPr>
        <w:spacing w:after="120"/>
        <w:jc w:val="both"/>
        <w:rPr>
          <w:rFonts w:cs="Times New Roman"/>
          <w:color w:val="000000" w:themeColor="text1"/>
        </w:rPr>
      </w:pPr>
      <w:r>
        <w:rPr>
          <w:rFonts w:cs="Times New Roman"/>
          <w:color w:val="000000" w:themeColor="text1"/>
        </w:rPr>
        <w:t>Dalībvalstu obligāciju</w:t>
      </w:r>
      <w:r w:rsidRPr="003A3BCE">
        <w:rPr>
          <w:rFonts w:cs="Times New Roman"/>
          <w:color w:val="000000" w:themeColor="text1"/>
        </w:rPr>
        <w:t xml:space="preserve"> </w:t>
      </w:r>
      <w:r>
        <w:rPr>
          <w:rFonts w:cs="Times New Roman"/>
          <w:color w:val="000000" w:themeColor="text1"/>
        </w:rPr>
        <w:t>iepirkšana p</w:t>
      </w:r>
      <w:r w:rsidR="00004DF1">
        <w:rPr>
          <w:rFonts w:cs="Times New Roman"/>
          <w:color w:val="000000" w:themeColor="text1"/>
        </w:rPr>
        <w:t>rimār</w:t>
      </w:r>
      <w:r w:rsidR="00A4581D">
        <w:rPr>
          <w:rFonts w:cs="Times New Roman"/>
          <w:color w:val="000000" w:themeColor="text1"/>
        </w:rPr>
        <w:t>o</w:t>
      </w:r>
      <w:r w:rsidR="00A0553D" w:rsidRPr="0029137B">
        <w:rPr>
          <w:rFonts w:cs="Times New Roman"/>
          <w:color w:val="000000" w:themeColor="text1"/>
        </w:rPr>
        <w:t xml:space="preserve"> un sekundār</w:t>
      </w:r>
      <w:r w:rsidR="00A4581D">
        <w:rPr>
          <w:rFonts w:cs="Times New Roman"/>
          <w:color w:val="000000" w:themeColor="text1"/>
        </w:rPr>
        <w:t>o</w:t>
      </w:r>
      <w:r w:rsidR="00A0553D" w:rsidRPr="0029137B">
        <w:rPr>
          <w:rFonts w:cs="Times New Roman"/>
          <w:color w:val="000000" w:themeColor="text1"/>
        </w:rPr>
        <w:t xml:space="preserve"> parādu tirg</w:t>
      </w:r>
      <w:r>
        <w:rPr>
          <w:rFonts w:cs="Times New Roman"/>
          <w:color w:val="000000" w:themeColor="text1"/>
        </w:rPr>
        <w:t>os</w:t>
      </w:r>
      <w:r w:rsidR="00A0553D" w:rsidRPr="0029137B">
        <w:rPr>
          <w:rFonts w:cs="Times New Roman"/>
          <w:color w:val="000000" w:themeColor="text1"/>
        </w:rPr>
        <w:t>.</w:t>
      </w:r>
    </w:p>
    <w:p w14:paraId="7D5D2E68" w14:textId="5F6F7181" w:rsidR="00004DF1" w:rsidRDefault="00004DF1" w:rsidP="00004DF1">
      <w:pPr>
        <w:spacing w:after="120"/>
        <w:ind w:firstLine="709"/>
        <w:jc w:val="both"/>
        <w:rPr>
          <w:color w:val="000000" w:themeColor="text1"/>
        </w:rPr>
      </w:pPr>
      <w:r w:rsidRPr="00041D64">
        <w:rPr>
          <w:color w:val="000000" w:themeColor="text1"/>
        </w:rPr>
        <w:t>ESM ir novērtēts ar augstas kvalitātes reitingu, kas nav mainījies no iepriekšējā gada, kas ir pateicoties ESM stipram akcionāru atbalstam, spēcīgai kapitāla struktūrai, konservatīvai finansēšanas un investīciju stratēģijai.</w:t>
      </w:r>
    </w:p>
    <w:p w14:paraId="7ACA3859" w14:textId="77777777" w:rsidR="00004DF1" w:rsidRPr="006E7176" w:rsidRDefault="00004DF1" w:rsidP="00004DF1">
      <w:pPr>
        <w:spacing w:before="120"/>
        <w:ind w:left="74"/>
        <w:jc w:val="right"/>
        <w:rPr>
          <w:rFonts w:eastAsia="Times New Roman" w:cs="Times New Roman"/>
          <w:b/>
          <w:i/>
          <w:color w:val="000000" w:themeColor="text1"/>
          <w:sz w:val="20"/>
          <w:szCs w:val="20"/>
          <w:lang w:val="en" w:eastAsia="lv-LV"/>
        </w:rPr>
      </w:pPr>
      <w:r w:rsidRPr="006E7176">
        <w:rPr>
          <w:b/>
          <w:i/>
          <w:color w:val="000000" w:themeColor="text1"/>
          <w:sz w:val="20"/>
          <w:szCs w:val="20"/>
        </w:rPr>
        <w:t xml:space="preserve">1.tabula </w:t>
      </w:r>
      <w:r w:rsidRPr="006E7176">
        <w:rPr>
          <w:rFonts w:eastAsia="Times New Roman" w:cs="Times New Roman"/>
          <w:b/>
          <w:i/>
          <w:color w:val="000000" w:themeColor="text1"/>
          <w:sz w:val="20"/>
          <w:szCs w:val="20"/>
          <w:lang w:val="en" w:eastAsia="lv-LV"/>
        </w:rPr>
        <w:t>Starptautisko kredītreitingu aģentūru novērtējums</w:t>
      </w:r>
    </w:p>
    <w:tbl>
      <w:tblPr>
        <w:tblStyle w:val="GridTable3-Accent1"/>
        <w:tblW w:w="3968" w:type="pct"/>
        <w:jc w:val="center"/>
        <w:tblLook w:val="04A0" w:firstRow="1" w:lastRow="0" w:firstColumn="1" w:lastColumn="0" w:noHBand="0" w:noVBand="1"/>
        <w:tblDescription w:val="rating table"/>
      </w:tblPr>
      <w:tblGrid>
        <w:gridCol w:w="1518"/>
        <w:gridCol w:w="1846"/>
        <w:gridCol w:w="1700"/>
        <w:gridCol w:w="2756"/>
      </w:tblGrid>
      <w:tr w:rsidR="00004DF1" w:rsidRPr="006E7176" w14:paraId="2CFE0B63" w14:textId="77777777" w:rsidTr="00E31F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970" w:type="pct"/>
            <w:hideMark/>
          </w:tcPr>
          <w:p w14:paraId="3AE0B62D" w14:textId="77777777" w:rsidR="00004DF1" w:rsidRPr="006E7176" w:rsidRDefault="00004DF1" w:rsidP="00EE06D4">
            <w:pPr>
              <w:jc w:val="center"/>
              <w:rPr>
                <w:rFonts w:eastAsia="Times New Roman" w:cs="Times New Roman"/>
                <w:color w:val="000000" w:themeColor="text1"/>
                <w:sz w:val="20"/>
                <w:szCs w:val="20"/>
                <w:lang w:eastAsia="lv-LV"/>
              </w:rPr>
            </w:pPr>
          </w:p>
        </w:tc>
        <w:tc>
          <w:tcPr>
            <w:tcW w:w="1180" w:type="pct"/>
            <w:hideMark/>
          </w:tcPr>
          <w:p w14:paraId="59B9C253"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Ilgtermiņa</w:t>
            </w:r>
          </w:p>
        </w:tc>
        <w:tc>
          <w:tcPr>
            <w:tcW w:w="1087" w:type="pct"/>
            <w:hideMark/>
          </w:tcPr>
          <w:p w14:paraId="4660CC29"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Īstermiņa</w:t>
            </w:r>
          </w:p>
        </w:tc>
        <w:tc>
          <w:tcPr>
            <w:tcW w:w="1762" w:type="pct"/>
          </w:tcPr>
          <w:p w14:paraId="0A850ADA" w14:textId="77777777" w:rsidR="00004DF1" w:rsidRPr="006E7176" w:rsidRDefault="00004DF1" w:rsidP="00EE06D4">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Reitinga perspektīva</w:t>
            </w:r>
          </w:p>
        </w:tc>
      </w:tr>
      <w:tr w:rsidR="00004DF1" w:rsidRPr="006E7176" w14:paraId="1F0843D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2907A5AA"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Moody's</w:t>
            </w:r>
          </w:p>
        </w:tc>
        <w:tc>
          <w:tcPr>
            <w:tcW w:w="1180" w:type="pct"/>
            <w:hideMark/>
          </w:tcPr>
          <w:p w14:paraId="256B364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Aa1</w:t>
            </w:r>
          </w:p>
        </w:tc>
        <w:tc>
          <w:tcPr>
            <w:tcW w:w="1087" w:type="pct"/>
            <w:hideMark/>
          </w:tcPr>
          <w:p w14:paraId="1D0E6BF5"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P-1</w:t>
            </w:r>
          </w:p>
        </w:tc>
        <w:tc>
          <w:tcPr>
            <w:tcW w:w="1762" w:type="pct"/>
          </w:tcPr>
          <w:p w14:paraId="4D505CE3"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B438D43" w14:textId="77777777" w:rsidTr="00E31F93">
        <w:trPr>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1B202F22"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Fitch Ratings</w:t>
            </w:r>
          </w:p>
        </w:tc>
        <w:tc>
          <w:tcPr>
            <w:tcW w:w="1180" w:type="pct"/>
            <w:hideMark/>
          </w:tcPr>
          <w:p w14:paraId="3CBCE78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360AADB0"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F1+</w:t>
            </w:r>
          </w:p>
        </w:tc>
        <w:tc>
          <w:tcPr>
            <w:tcW w:w="1762" w:type="pct"/>
          </w:tcPr>
          <w:p w14:paraId="52B600A5" w14:textId="77777777" w:rsidR="00004DF1" w:rsidRPr="006E7176" w:rsidRDefault="00004DF1" w:rsidP="00EE06D4">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r w:rsidR="00004DF1" w:rsidRPr="006E7176" w14:paraId="2AA1E84D" w14:textId="77777777" w:rsidTr="00E31F9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70" w:type="pct"/>
            <w:hideMark/>
          </w:tcPr>
          <w:p w14:paraId="598F1C94" w14:textId="77777777" w:rsidR="00004DF1" w:rsidRPr="006E7176" w:rsidRDefault="00004DF1" w:rsidP="00EE06D4">
            <w:pPr>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DBRS</w:t>
            </w:r>
          </w:p>
        </w:tc>
        <w:tc>
          <w:tcPr>
            <w:tcW w:w="1180" w:type="pct"/>
            <w:hideMark/>
          </w:tcPr>
          <w:p w14:paraId="6248406A"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AAA</w:t>
            </w:r>
          </w:p>
        </w:tc>
        <w:tc>
          <w:tcPr>
            <w:tcW w:w="1087" w:type="pct"/>
            <w:hideMark/>
          </w:tcPr>
          <w:p w14:paraId="08DC1C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R-1 (augsts)</w:t>
            </w:r>
          </w:p>
        </w:tc>
        <w:tc>
          <w:tcPr>
            <w:tcW w:w="1762" w:type="pct"/>
          </w:tcPr>
          <w:p w14:paraId="7F4C3BDF" w14:textId="77777777" w:rsidR="00004DF1" w:rsidRPr="006E7176" w:rsidRDefault="00004DF1" w:rsidP="00EE06D4">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sz w:val="20"/>
                <w:szCs w:val="20"/>
                <w:lang w:eastAsia="lv-LV"/>
              </w:rPr>
            </w:pPr>
            <w:r w:rsidRPr="006E7176">
              <w:rPr>
                <w:rFonts w:eastAsia="Times New Roman" w:cs="Times New Roman"/>
                <w:color w:val="000000" w:themeColor="text1"/>
                <w:sz w:val="20"/>
                <w:szCs w:val="20"/>
                <w:lang w:eastAsia="lv-LV"/>
              </w:rPr>
              <w:t>Stabila</w:t>
            </w:r>
          </w:p>
        </w:tc>
      </w:tr>
    </w:tbl>
    <w:p w14:paraId="2059A96B" w14:textId="77777777" w:rsidR="00004DF1" w:rsidRPr="00E31F93" w:rsidRDefault="00004DF1" w:rsidP="00004DF1">
      <w:pPr>
        <w:rPr>
          <w:rFonts w:eastAsia="Times New Roman" w:cs="Times New Roman"/>
          <w:color w:val="000000" w:themeColor="text1"/>
          <w:sz w:val="28"/>
          <w:szCs w:val="24"/>
          <w:highlight w:val="yellow"/>
          <w:lang w:eastAsia="lv-LV"/>
        </w:rPr>
      </w:pPr>
    </w:p>
    <w:p w14:paraId="6C49BD79" w14:textId="77777777" w:rsidR="00004DF1" w:rsidRPr="00AF1364" w:rsidRDefault="00004DF1" w:rsidP="00004DF1">
      <w:pPr>
        <w:ind w:firstLine="720"/>
        <w:jc w:val="both"/>
        <w:rPr>
          <w:rFonts w:eastAsia="Times New Roman" w:cs="Times New Roman"/>
          <w:color w:val="000000" w:themeColor="text1"/>
          <w:szCs w:val="24"/>
          <w:lang w:eastAsia="lv-LV"/>
        </w:rPr>
      </w:pPr>
    </w:p>
    <w:p w14:paraId="2F5C3343" w14:textId="2A0AAD62" w:rsidR="00280255" w:rsidRPr="00041D64" w:rsidRDefault="001F5245" w:rsidP="00A83D94">
      <w:pPr>
        <w:jc w:val="center"/>
        <w:rPr>
          <w:rFonts w:eastAsia="Times New Roman" w:cs="Times New Roman"/>
          <w:b/>
          <w:color w:val="000000" w:themeColor="text1"/>
          <w:szCs w:val="24"/>
          <w:lang w:eastAsia="lv-LV"/>
        </w:rPr>
      </w:pPr>
      <w:r w:rsidRPr="00041D64">
        <w:rPr>
          <w:rFonts w:eastAsia="Times New Roman" w:cs="Times New Roman"/>
          <w:b/>
          <w:color w:val="000000" w:themeColor="text1"/>
          <w:szCs w:val="24"/>
          <w:lang w:eastAsia="lv-LV"/>
        </w:rPr>
        <w:t>1</w:t>
      </w:r>
      <w:r w:rsidR="000C076D" w:rsidRPr="00041D64">
        <w:rPr>
          <w:rFonts w:eastAsia="Times New Roman" w:cs="Times New Roman"/>
          <w:b/>
          <w:color w:val="000000" w:themeColor="text1"/>
          <w:szCs w:val="24"/>
          <w:lang w:eastAsia="lv-LV"/>
        </w:rPr>
        <w:t xml:space="preserve">. </w:t>
      </w:r>
      <w:r w:rsidR="00280255" w:rsidRPr="00041D64">
        <w:rPr>
          <w:rFonts w:eastAsia="Times New Roman" w:cs="Times New Roman"/>
          <w:b/>
          <w:color w:val="000000" w:themeColor="text1"/>
          <w:szCs w:val="24"/>
          <w:lang w:eastAsia="lv-LV"/>
        </w:rPr>
        <w:t xml:space="preserve">ESM </w:t>
      </w:r>
      <w:r w:rsidRPr="00041D64">
        <w:rPr>
          <w:rFonts w:eastAsia="Times New Roman" w:cs="Times New Roman"/>
          <w:b/>
          <w:color w:val="000000" w:themeColor="text1"/>
          <w:szCs w:val="24"/>
          <w:lang w:eastAsia="lv-LV"/>
        </w:rPr>
        <w:t>īstenot</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finansiāl</w:t>
      </w:r>
      <w:r w:rsidR="00A0553D" w:rsidRPr="00041D64">
        <w:rPr>
          <w:rFonts w:eastAsia="Times New Roman" w:cs="Times New Roman"/>
          <w:b/>
          <w:color w:val="000000" w:themeColor="text1"/>
          <w:szCs w:val="24"/>
          <w:lang w:eastAsia="lv-LV"/>
        </w:rPr>
        <w:t>o</w:t>
      </w:r>
      <w:r w:rsidR="00A83D94" w:rsidRPr="00041D64">
        <w:rPr>
          <w:rFonts w:eastAsia="Times New Roman" w:cs="Times New Roman"/>
          <w:b/>
          <w:color w:val="000000" w:themeColor="text1"/>
          <w:szCs w:val="24"/>
          <w:lang w:eastAsia="lv-LV"/>
        </w:rPr>
        <w:t xml:space="preserve"> palīdzīb</w:t>
      </w:r>
      <w:r w:rsidR="00A0553D" w:rsidRPr="00041D64">
        <w:rPr>
          <w:rFonts w:eastAsia="Times New Roman" w:cs="Times New Roman"/>
          <w:b/>
          <w:color w:val="000000" w:themeColor="text1"/>
          <w:szCs w:val="24"/>
          <w:lang w:eastAsia="lv-LV"/>
        </w:rPr>
        <w:t>u</w:t>
      </w:r>
      <w:r w:rsidR="00A83D94" w:rsidRPr="00041D64">
        <w:rPr>
          <w:rFonts w:eastAsia="Times New Roman" w:cs="Times New Roman"/>
          <w:b/>
          <w:color w:val="000000" w:themeColor="text1"/>
          <w:szCs w:val="24"/>
          <w:lang w:eastAsia="lv-LV"/>
        </w:rPr>
        <w:t xml:space="preserve"> programm</w:t>
      </w:r>
      <w:r w:rsidR="00BD7A7E" w:rsidRPr="00041D64">
        <w:rPr>
          <w:rFonts w:eastAsia="Times New Roman" w:cs="Times New Roman"/>
          <w:b/>
          <w:color w:val="000000" w:themeColor="text1"/>
          <w:szCs w:val="24"/>
          <w:lang w:eastAsia="lv-LV"/>
        </w:rPr>
        <w:t>u pieredze (Kipra</w:t>
      </w:r>
      <w:r w:rsidR="004F02AD" w:rsidRPr="00041D64">
        <w:rPr>
          <w:rFonts w:eastAsia="Times New Roman" w:cs="Times New Roman"/>
          <w:b/>
          <w:color w:val="000000" w:themeColor="text1"/>
          <w:szCs w:val="24"/>
          <w:lang w:eastAsia="lv-LV"/>
        </w:rPr>
        <w:t>,</w:t>
      </w:r>
      <w:r w:rsidR="00BD7A7E" w:rsidRPr="00041D64">
        <w:rPr>
          <w:rFonts w:eastAsia="Times New Roman" w:cs="Times New Roman"/>
          <w:b/>
          <w:color w:val="000000" w:themeColor="text1"/>
          <w:szCs w:val="24"/>
          <w:lang w:eastAsia="lv-LV"/>
        </w:rPr>
        <w:t xml:space="preserve"> </w:t>
      </w:r>
      <w:r w:rsidR="004F02AD" w:rsidRPr="00041D64">
        <w:rPr>
          <w:rFonts w:eastAsia="Times New Roman" w:cs="Times New Roman"/>
          <w:b/>
          <w:color w:val="000000" w:themeColor="text1"/>
          <w:szCs w:val="24"/>
          <w:lang w:eastAsia="lv-LV"/>
        </w:rPr>
        <w:t xml:space="preserve">Spānija </w:t>
      </w:r>
      <w:r w:rsidR="00BD7A7E" w:rsidRPr="00041D64">
        <w:rPr>
          <w:rFonts w:eastAsia="Times New Roman" w:cs="Times New Roman"/>
          <w:b/>
          <w:color w:val="000000" w:themeColor="text1"/>
          <w:szCs w:val="24"/>
          <w:lang w:eastAsia="lv-LV"/>
        </w:rPr>
        <w:t>un Grieķija)</w:t>
      </w:r>
    </w:p>
    <w:p w14:paraId="7F274FE7" w14:textId="77777777" w:rsidR="00BD7A7E" w:rsidRPr="00AF1364" w:rsidRDefault="00BD7A7E" w:rsidP="008E56A0">
      <w:pPr>
        <w:jc w:val="both"/>
        <w:rPr>
          <w:rFonts w:eastAsia="Times New Roman" w:cs="Times New Roman"/>
          <w:szCs w:val="24"/>
          <w:lang w:eastAsia="lv-LV"/>
        </w:rPr>
      </w:pPr>
    </w:p>
    <w:p w14:paraId="22314476" w14:textId="6DEC873F" w:rsidR="008E56A0" w:rsidRPr="00041D64" w:rsidRDefault="00AF1364" w:rsidP="00AF1364">
      <w:pPr>
        <w:spacing w:after="120"/>
        <w:ind w:firstLine="709"/>
        <w:jc w:val="both"/>
        <w:rPr>
          <w:rFonts w:eastAsia="Times New Roman" w:cs="Times New Roman"/>
          <w:i/>
          <w:szCs w:val="24"/>
          <w:lang w:eastAsia="lv-LV"/>
        </w:rPr>
      </w:pPr>
      <w:r>
        <w:rPr>
          <w:rFonts w:eastAsia="Times New Roman" w:cs="Times New Roman"/>
          <w:szCs w:val="24"/>
          <w:lang w:eastAsia="lv-LV"/>
        </w:rPr>
        <w:t xml:space="preserve">Kopš dibināšanas brīža </w:t>
      </w:r>
      <w:r w:rsidRPr="008E56A0">
        <w:rPr>
          <w:rFonts w:eastAsia="Times New Roman" w:cs="Times New Roman"/>
          <w:szCs w:val="24"/>
          <w:lang w:eastAsia="lv-LV"/>
        </w:rPr>
        <w:t>ESM kopumā ir snie</w:t>
      </w:r>
      <w:r>
        <w:rPr>
          <w:rFonts w:eastAsia="Times New Roman" w:cs="Times New Roman"/>
          <w:szCs w:val="24"/>
          <w:lang w:eastAsia="lv-LV"/>
        </w:rPr>
        <w:t>dzis</w:t>
      </w:r>
      <w:r w:rsidRPr="008E56A0">
        <w:rPr>
          <w:rFonts w:eastAsia="Times New Roman" w:cs="Times New Roman"/>
          <w:szCs w:val="24"/>
          <w:lang w:eastAsia="lv-LV"/>
        </w:rPr>
        <w:t xml:space="preserve"> palīdzību trī</w:t>
      </w:r>
      <w:r>
        <w:rPr>
          <w:rFonts w:eastAsia="Times New Roman" w:cs="Times New Roman"/>
          <w:szCs w:val="24"/>
          <w:lang w:eastAsia="lv-LV"/>
        </w:rPr>
        <w:t>s</w:t>
      </w:r>
      <w:r w:rsidRPr="008E56A0">
        <w:rPr>
          <w:rFonts w:eastAsia="Times New Roman" w:cs="Times New Roman"/>
          <w:szCs w:val="24"/>
          <w:lang w:eastAsia="lv-LV"/>
        </w:rPr>
        <w:t xml:space="preserve"> valstīm – Spānija</w:t>
      </w:r>
      <w:r>
        <w:rPr>
          <w:rFonts w:eastAsia="Times New Roman" w:cs="Times New Roman"/>
          <w:szCs w:val="24"/>
          <w:lang w:eastAsia="lv-LV"/>
        </w:rPr>
        <w:t>i</w:t>
      </w:r>
      <w:r w:rsidRPr="008E56A0">
        <w:rPr>
          <w:rFonts w:eastAsia="Times New Roman" w:cs="Times New Roman"/>
          <w:szCs w:val="24"/>
          <w:lang w:eastAsia="lv-LV"/>
        </w:rPr>
        <w:t>, Kipra</w:t>
      </w:r>
      <w:r>
        <w:rPr>
          <w:rFonts w:eastAsia="Times New Roman" w:cs="Times New Roman"/>
          <w:szCs w:val="24"/>
          <w:lang w:eastAsia="lv-LV"/>
        </w:rPr>
        <w:t>i</w:t>
      </w:r>
      <w:r w:rsidRPr="008E56A0">
        <w:rPr>
          <w:rFonts w:eastAsia="Times New Roman" w:cs="Times New Roman"/>
          <w:szCs w:val="24"/>
          <w:lang w:eastAsia="lv-LV"/>
        </w:rPr>
        <w:t xml:space="preserve"> un Grieķija</w:t>
      </w:r>
      <w:r>
        <w:rPr>
          <w:rFonts w:eastAsia="Times New Roman" w:cs="Times New Roman"/>
          <w:szCs w:val="24"/>
          <w:lang w:eastAsia="lv-LV"/>
        </w:rPr>
        <w:t xml:space="preserve">i. </w:t>
      </w:r>
      <w:r w:rsidR="008E56A0">
        <w:rPr>
          <w:rFonts w:eastAsia="Times New Roman" w:cs="Times New Roman"/>
          <w:szCs w:val="24"/>
          <w:lang w:eastAsia="lv-LV"/>
        </w:rPr>
        <w:t xml:space="preserve">Spānijai un Kiprai </w:t>
      </w:r>
      <w:r w:rsidRPr="00041D64">
        <w:rPr>
          <w:color w:val="000000" w:themeColor="text1"/>
        </w:rPr>
        <w:t xml:space="preserve">makroekonomikas korekcijas </w:t>
      </w:r>
      <w:r w:rsidR="008E56A0">
        <w:rPr>
          <w:rFonts w:eastAsia="Times New Roman" w:cs="Times New Roman"/>
          <w:szCs w:val="24"/>
          <w:lang w:eastAsia="lv-LV"/>
        </w:rPr>
        <w:t>programmas</w:t>
      </w:r>
      <w:r>
        <w:rPr>
          <w:rFonts w:eastAsia="Times New Roman" w:cs="Times New Roman"/>
          <w:szCs w:val="24"/>
          <w:lang w:eastAsia="lv-LV"/>
        </w:rPr>
        <w:t xml:space="preserve"> (turpmāk - programma)</w:t>
      </w:r>
      <w:r w:rsidR="008E56A0">
        <w:rPr>
          <w:rFonts w:eastAsia="Times New Roman" w:cs="Times New Roman"/>
          <w:szCs w:val="24"/>
          <w:lang w:eastAsia="lv-LV"/>
        </w:rPr>
        <w:t xml:space="preserve"> ir veiksmīgi beigušās</w:t>
      </w:r>
      <w:r w:rsidR="00A4581D">
        <w:rPr>
          <w:rFonts w:eastAsia="Times New Roman" w:cs="Times New Roman"/>
          <w:szCs w:val="24"/>
          <w:lang w:eastAsia="lv-LV"/>
        </w:rPr>
        <w:t xml:space="preserve"> attiecīgi </w:t>
      </w:r>
      <w:r w:rsidR="00A4581D" w:rsidRPr="008364B0">
        <w:t>2013.gad</w:t>
      </w:r>
      <w:r w:rsidR="00A4581D">
        <w:t>ā</w:t>
      </w:r>
      <w:r w:rsidR="00A4581D" w:rsidRPr="008364B0">
        <w:t xml:space="preserve"> </w:t>
      </w:r>
      <w:r w:rsidR="00A4581D">
        <w:t>un 2016.gadā</w:t>
      </w:r>
      <w:r w:rsidR="008E56A0">
        <w:rPr>
          <w:rFonts w:eastAsia="Times New Roman" w:cs="Times New Roman"/>
          <w:szCs w:val="24"/>
          <w:lang w:eastAsia="lv-LV"/>
        </w:rPr>
        <w:t xml:space="preserve">. </w:t>
      </w:r>
      <w:r w:rsidRPr="00041D64">
        <w:rPr>
          <w:color w:val="000000" w:themeColor="text1"/>
        </w:rPr>
        <w:t>ESM 2016.gadā kopš 2015.gada 19.augusta ir turpinā</w:t>
      </w:r>
      <w:r w:rsidR="005A4F0B">
        <w:rPr>
          <w:color w:val="000000" w:themeColor="text1"/>
        </w:rPr>
        <w:t>jis īstenot Grieķijas programmu.</w:t>
      </w:r>
    </w:p>
    <w:p w14:paraId="571C19F0" w14:textId="113F0196" w:rsidR="006C6A48" w:rsidRDefault="006C6A48" w:rsidP="0080654E">
      <w:pPr>
        <w:spacing w:after="120"/>
        <w:jc w:val="center"/>
        <w:rPr>
          <w:rFonts w:eastAsia="Times New Roman" w:cs="Times New Roman"/>
          <w:szCs w:val="24"/>
          <w:lang w:eastAsia="lv-LV"/>
        </w:rPr>
      </w:pPr>
    </w:p>
    <w:p w14:paraId="006B3621" w14:textId="7888F565" w:rsidR="00280255" w:rsidRPr="00896C7F" w:rsidRDefault="001F5245" w:rsidP="002E2149">
      <w:pPr>
        <w:jc w:val="center"/>
        <w:rPr>
          <w:rFonts w:eastAsia="Times New Roman" w:cs="Times New Roman"/>
          <w:b/>
          <w:szCs w:val="24"/>
          <w:lang w:eastAsia="lv-LV"/>
        </w:rPr>
      </w:pPr>
      <w:r w:rsidRPr="00896C7F">
        <w:rPr>
          <w:rFonts w:eastAsia="Times New Roman" w:cs="Times New Roman"/>
          <w:b/>
          <w:szCs w:val="24"/>
          <w:lang w:eastAsia="lv-LV"/>
        </w:rPr>
        <w:t>1</w:t>
      </w:r>
      <w:r w:rsidR="00D43DE7" w:rsidRPr="00896C7F">
        <w:rPr>
          <w:rFonts w:eastAsia="Times New Roman" w:cs="Times New Roman"/>
          <w:b/>
          <w:szCs w:val="24"/>
          <w:lang w:eastAsia="lv-LV"/>
        </w:rPr>
        <w:t xml:space="preserve">.1. Finansiālās palīdzības programma </w:t>
      </w:r>
      <w:r w:rsidR="00280255" w:rsidRPr="00896C7F">
        <w:rPr>
          <w:rFonts w:eastAsia="Times New Roman" w:cs="Times New Roman"/>
          <w:b/>
          <w:szCs w:val="24"/>
          <w:lang w:eastAsia="lv-LV"/>
        </w:rPr>
        <w:t>Kipra</w:t>
      </w:r>
      <w:r w:rsidR="00D43DE7" w:rsidRPr="00896C7F">
        <w:rPr>
          <w:rFonts w:eastAsia="Times New Roman" w:cs="Times New Roman"/>
          <w:b/>
          <w:szCs w:val="24"/>
          <w:lang w:eastAsia="lv-LV"/>
        </w:rPr>
        <w:t>i</w:t>
      </w:r>
    </w:p>
    <w:p w14:paraId="2C0839E0" w14:textId="77777777" w:rsidR="00280255" w:rsidRPr="00AF1364" w:rsidRDefault="00280255" w:rsidP="00E205D1">
      <w:pPr>
        <w:rPr>
          <w:rFonts w:eastAsia="Times New Roman" w:cs="Times New Roman"/>
          <w:szCs w:val="24"/>
          <w:highlight w:val="yellow"/>
          <w:lang w:eastAsia="lv-LV"/>
        </w:rPr>
      </w:pPr>
    </w:p>
    <w:p w14:paraId="30EDFE6E" w14:textId="13F9C90A" w:rsidR="00AF1364" w:rsidRDefault="00AF1364" w:rsidP="00AF1364">
      <w:pPr>
        <w:spacing w:after="120"/>
        <w:ind w:firstLine="720"/>
        <w:jc w:val="both"/>
        <w:rPr>
          <w:rFonts w:eastAsia="Times New Roman" w:cs="Times New Roman"/>
          <w:szCs w:val="24"/>
          <w:lang w:eastAsia="lv-LV"/>
        </w:rPr>
      </w:pPr>
      <w:r w:rsidRPr="00D2071E">
        <w:t xml:space="preserve">ESM un Kipra finansiālās palīdzības līgumu parakstīja 2013.gada 8.maijā. </w:t>
      </w:r>
      <w:r w:rsidRPr="008E3C46">
        <w:rPr>
          <w:rFonts w:eastAsia="Times New Roman" w:cs="Times New Roman"/>
          <w:szCs w:val="24"/>
          <w:lang w:eastAsia="lv-LV"/>
        </w:rPr>
        <w:t xml:space="preserve">Kipras makroekonomikas korekcijas programmas mērķis </w:t>
      </w:r>
      <w:r>
        <w:rPr>
          <w:rFonts w:eastAsia="Times New Roman" w:cs="Times New Roman"/>
          <w:szCs w:val="24"/>
          <w:lang w:eastAsia="lv-LV"/>
        </w:rPr>
        <w:t>bija</w:t>
      </w:r>
      <w:r w:rsidRPr="008E3C46">
        <w:rPr>
          <w:rFonts w:eastAsia="Times New Roman" w:cs="Times New Roman"/>
          <w:szCs w:val="24"/>
          <w:lang w:eastAsia="lv-LV"/>
        </w:rPr>
        <w:t xml:space="preserve"> atjaunot finanšu sektora stabilitāti, stiprināt publisko finanšu ilgtspēju un veicināt strukturālo reformu īstenošanu ilgtspējīgas ekonomiskās izaugsmes nodrošināšanai. </w:t>
      </w:r>
      <w:r>
        <w:rPr>
          <w:rFonts w:eastAsia="Times New Roman" w:cs="Times New Roman"/>
          <w:szCs w:val="24"/>
          <w:lang w:eastAsia="lv-LV"/>
        </w:rPr>
        <w:t>K</w:t>
      </w:r>
      <w:r w:rsidRPr="00896C7F">
        <w:t>opēj</w:t>
      </w:r>
      <w:r>
        <w:t>ā</w:t>
      </w:r>
      <w:r w:rsidRPr="00896C7F">
        <w:t xml:space="preserve"> aizdevum</w:t>
      </w:r>
      <w:r>
        <w:t>a summa bija paredzēta</w:t>
      </w:r>
      <w:r w:rsidRPr="00896C7F">
        <w:t xml:space="preserve"> līdz </w:t>
      </w:r>
      <w:r>
        <w:t>9</w:t>
      </w:r>
      <w:r w:rsidRPr="00896C7F">
        <w:t xml:space="preserve"> </w:t>
      </w:r>
      <w:r>
        <w:rPr>
          <w:rFonts w:eastAsia="Times New Roman" w:cs="Times New Roman"/>
          <w:szCs w:val="24"/>
          <w:lang w:eastAsia="lv-LV"/>
        </w:rPr>
        <w:t>mljrd</w:t>
      </w:r>
      <w:r w:rsidR="00A4581D">
        <w:rPr>
          <w:rFonts w:eastAsia="Times New Roman" w:cs="Times New Roman"/>
          <w:szCs w:val="24"/>
          <w:lang w:eastAsia="lv-LV"/>
        </w:rPr>
        <w:t>.</w:t>
      </w:r>
      <w:r w:rsidRPr="00896C7F">
        <w:t xml:space="preserve"> </w:t>
      </w:r>
      <w:r w:rsidRPr="00896C7F">
        <w:rPr>
          <w:i/>
        </w:rPr>
        <w:t>euro</w:t>
      </w:r>
      <w:r w:rsidRPr="00896C7F">
        <w:t xml:space="preserve">, </w:t>
      </w:r>
      <w:r w:rsidR="00260B26">
        <w:t>ieskaitot S</w:t>
      </w:r>
      <w:r w:rsidR="005A4F0B">
        <w:t xml:space="preserve">tarptautiskā </w:t>
      </w:r>
      <w:r w:rsidR="00260B26">
        <w:t>V</w:t>
      </w:r>
      <w:r w:rsidR="005A4F0B">
        <w:t>alūtas fonda</w:t>
      </w:r>
      <w:r w:rsidR="00260B26">
        <w:t xml:space="preserve"> sniegto atbalstu.</w:t>
      </w:r>
    </w:p>
    <w:p w14:paraId="076682C6" w14:textId="4DD0EF3B" w:rsidR="00365FAB" w:rsidRDefault="00881652" w:rsidP="0080654E">
      <w:pPr>
        <w:spacing w:after="120"/>
        <w:ind w:firstLine="720"/>
        <w:jc w:val="both"/>
        <w:rPr>
          <w:rFonts w:eastAsia="Times New Roman" w:cs="Times New Roman"/>
          <w:szCs w:val="24"/>
          <w:lang w:eastAsia="lv-LV"/>
        </w:rPr>
      </w:pPr>
      <w:r>
        <w:rPr>
          <w:rFonts w:eastAsia="Times New Roman" w:cs="Times New Roman"/>
          <w:szCs w:val="24"/>
          <w:lang w:eastAsia="lv-LV"/>
        </w:rPr>
        <w:t>Kipra</w:t>
      </w:r>
      <w:r w:rsidR="00AF1364">
        <w:rPr>
          <w:rFonts w:eastAsia="Times New Roman" w:cs="Times New Roman"/>
          <w:szCs w:val="24"/>
          <w:lang w:eastAsia="lv-LV"/>
        </w:rPr>
        <w:t>s programma</w:t>
      </w:r>
      <w:r>
        <w:rPr>
          <w:rFonts w:eastAsia="Times New Roman" w:cs="Times New Roman"/>
          <w:szCs w:val="24"/>
          <w:lang w:eastAsia="lv-LV"/>
        </w:rPr>
        <w:t xml:space="preserve"> veiksmīgi </w:t>
      </w:r>
      <w:r w:rsidR="00AF1364">
        <w:rPr>
          <w:rFonts w:eastAsia="Times New Roman" w:cs="Times New Roman"/>
          <w:szCs w:val="24"/>
          <w:lang w:eastAsia="lv-LV"/>
        </w:rPr>
        <w:t>beidzās</w:t>
      </w:r>
      <w:r>
        <w:rPr>
          <w:rFonts w:eastAsia="Times New Roman" w:cs="Times New Roman"/>
          <w:szCs w:val="24"/>
          <w:lang w:eastAsia="lv-LV"/>
        </w:rPr>
        <w:t xml:space="preserve"> 2016.gada 31.martā, izmantojot tikai 70% no kopējās piešķirtās summas</w:t>
      </w:r>
      <w:r w:rsidR="002E2149">
        <w:rPr>
          <w:rFonts w:eastAsia="Times New Roman" w:cs="Times New Roman"/>
          <w:szCs w:val="24"/>
          <w:lang w:eastAsia="lv-LV"/>
        </w:rPr>
        <w:t xml:space="preserve"> (</w:t>
      </w:r>
      <w:r w:rsidR="002E2149" w:rsidRPr="002E2149">
        <w:rPr>
          <w:rFonts w:eastAsia="Times New Roman" w:cs="Times New Roman"/>
          <w:szCs w:val="24"/>
          <w:lang w:eastAsia="lv-LV"/>
        </w:rPr>
        <w:t xml:space="preserve">6,3 </w:t>
      </w:r>
      <w:r w:rsidR="00A4581D">
        <w:rPr>
          <w:rFonts w:eastAsia="Times New Roman" w:cs="Times New Roman"/>
          <w:szCs w:val="24"/>
          <w:lang w:eastAsia="lv-LV"/>
        </w:rPr>
        <w:t>mljrd.</w:t>
      </w:r>
      <w:r w:rsidR="00A4581D" w:rsidRPr="00896C7F">
        <w:t xml:space="preserve"> </w:t>
      </w:r>
      <w:r w:rsidR="002E2149" w:rsidRPr="002E2149">
        <w:rPr>
          <w:rFonts w:eastAsia="Times New Roman" w:cs="Times New Roman"/>
          <w:i/>
          <w:szCs w:val="24"/>
          <w:lang w:eastAsia="lv-LV"/>
        </w:rPr>
        <w:t>euro</w:t>
      </w:r>
      <w:r w:rsidR="002E2149">
        <w:rPr>
          <w:rFonts w:eastAsia="Times New Roman" w:cs="Times New Roman"/>
          <w:szCs w:val="24"/>
          <w:lang w:eastAsia="lv-LV"/>
        </w:rPr>
        <w:t>)</w:t>
      </w:r>
      <w:r w:rsidRPr="008E3C46">
        <w:rPr>
          <w:rFonts w:eastAsia="Times New Roman" w:cs="Times New Roman"/>
          <w:szCs w:val="24"/>
          <w:lang w:eastAsia="lv-LV"/>
        </w:rPr>
        <w:t>.</w:t>
      </w:r>
      <w:r w:rsidR="00C302E9">
        <w:rPr>
          <w:rFonts w:eastAsia="Times New Roman" w:cs="Times New Roman"/>
          <w:szCs w:val="24"/>
          <w:lang w:eastAsia="lv-LV"/>
        </w:rPr>
        <w:t xml:space="preserve"> Piešķirtais finansējums tika izlietots f</w:t>
      </w:r>
      <w:r w:rsidR="00C302E9" w:rsidRPr="00C302E9">
        <w:rPr>
          <w:rFonts w:eastAsia="Times New Roman" w:cs="Times New Roman"/>
          <w:szCs w:val="24"/>
          <w:lang w:eastAsia="lv-LV"/>
        </w:rPr>
        <w:t>inanšu sektora stabilitātes atjaunošana</w:t>
      </w:r>
      <w:r w:rsidR="00E1433D">
        <w:rPr>
          <w:rFonts w:eastAsia="Times New Roman" w:cs="Times New Roman"/>
          <w:szCs w:val="24"/>
          <w:lang w:eastAsia="lv-LV"/>
        </w:rPr>
        <w:t>i</w:t>
      </w:r>
      <w:r w:rsidR="00C302E9" w:rsidRPr="00C302E9">
        <w:rPr>
          <w:rFonts w:eastAsia="Times New Roman" w:cs="Times New Roman"/>
          <w:szCs w:val="24"/>
          <w:lang w:eastAsia="lv-LV"/>
        </w:rPr>
        <w:t>, publisko finanšu ilgtspējas stiprināšana</w:t>
      </w:r>
      <w:r w:rsidR="00260B26">
        <w:rPr>
          <w:rFonts w:eastAsia="Times New Roman" w:cs="Times New Roman"/>
          <w:szCs w:val="24"/>
          <w:lang w:eastAsia="lv-LV"/>
        </w:rPr>
        <w:t>i</w:t>
      </w:r>
      <w:r w:rsidR="00C302E9">
        <w:rPr>
          <w:rFonts w:eastAsia="Times New Roman" w:cs="Times New Roman"/>
          <w:szCs w:val="24"/>
          <w:lang w:eastAsia="lv-LV"/>
        </w:rPr>
        <w:t xml:space="preserve">, </w:t>
      </w:r>
      <w:r w:rsidR="00C302E9" w:rsidRPr="00C302E9">
        <w:rPr>
          <w:rFonts w:eastAsia="Times New Roman" w:cs="Times New Roman"/>
          <w:szCs w:val="24"/>
          <w:lang w:eastAsia="lv-LV"/>
        </w:rPr>
        <w:t>strukturālo reformu veicināšana</w:t>
      </w:r>
      <w:r w:rsidR="00260B26">
        <w:rPr>
          <w:rFonts w:eastAsia="Times New Roman" w:cs="Times New Roman"/>
          <w:szCs w:val="24"/>
          <w:lang w:eastAsia="lv-LV"/>
        </w:rPr>
        <w:t>i</w:t>
      </w:r>
      <w:r w:rsidR="00C302E9">
        <w:rPr>
          <w:rFonts w:eastAsia="Times New Roman" w:cs="Times New Roman"/>
          <w:szCs w:val="24"/>
          <w:lang w:eastAsia="lv-LV"/>
        </w:rPr>
        <w:t>, kā arī banku rekapitalizācijai</w:t>
      </w:r>
      <w:r w:rsidR="00C302E9" w:rsidRPr="00C302E9">
        <w:rPr>
          <w:rFonts w:eastAsia="Times New Roman" w:cs="Times New Roman"/>
          <w:szCs w:val="24"/>
          <w:lang w:eastAsia="lv-LV"/>
        </w:rPr>
        <w:t>.</w:t>
      </w:r>
      <w:r w:rsidR="00E1433D">
        <w:rPr>
          <w:rFonts w:eastAsia="Times New Roman" w:cs="Times New Roman"/>
          <w:szCs w:val="24"/>
          <w:lang w:eastAsia="lv-LV"/>
        </w:rPr>
        <w:t xml:space="preserve"> </w:t>
      </w:r>
      <w:r w:rsidR="00365FAB">
        <w:rPr>
          <w:rFonts w:eastAsia="Times New Roman" w:cs="Times New Roman"/>
          <w:szCs w:val="24"/>
          <w:lang w:eastAsia="lv-LV"/>
        </w:rPr>
        <w:t>Izaugsme</w:t>
      </w:r>
      <w:r w:rsidR="005A4F0B">
        <w:rPr>
          <w:rFonts w:eastAsia="Times New Roman" w:cs="Times New Roman"/>
          <w:szCs w:val="24"/>
          <w:lang w:eastAsia="lv-LV"/>
        </w:rPr>
        <w:t>s</w:t>
      </w:r>
      <w:r w:rsidR="00365FAB">
        <w:rPr>
          <w:rFonts w:eastAsia="Times New Roman" w:cs="Times New Roman"/>
          <w:szCs w:val="24"/>
          <w:lang w:eastAsia="lv-LV"/>
        </w:rPr>
        <w:t xml:space="preserve"> un fiskālā</w:t>
      </w:r>
      <w:r w:rsidR="005A4F0B">
        <w:rPr>
          <w:rFonts w:eastAsia="Times New Roman" w:cs="Times New Roman"/>
          <w:szCs w:val="24"/>
          <w:lang w:eastAsia="lv-LV"/>
        </w:rPr>
        <w:t>s</w:t>
      </w:r>
      <w:r w:rsidR="00365FAB">
        <w:rPr>
          <w:rFonts w:eastAsia="Times New Roman" w:cs="Times New Roman"/>
          <w:szCs w:val="24"/>
          <w:lang w:eastAsia="lv-LV"/>
        </w:rPr>
        <w:t xml:space="preserve"> situācija</w:t>
      </w:r>
      <w:r w:rsidR="005A4F0B">
        <w:rPr>
          <w:rFonts w:eastAsia="Times New Roman" w:cs="Times New Roman"/>
          <w:szCs w:val="24"/>
          <w:lang w:eastAsia="lv-LV"/>
        </w:rPr>
        <w:t>s uzlabošanās</w:t>
      </w:r>
      <w:r w:rsidR="00365FAB">
        <w:rPr>
          <w:rFonts w:eastAsia="Times New Roman" w:cs="Times New Roman"/>
          <w:szCs w:val="24"/>
          <w:lang w:eastAsia="lv-LV"/>
        </w:rPr>
        <w:t xml:space="preserve"> palīdzēja Kiprai atgūt pieeju finanšu tirgiem un ļāva veiksmīgi </w:t>
      </w:r>
      <w:r w:rsidR="005A4F0B">
        <w:rPr>
          <w:rFonts w:eastAsia="Times New Roman" w:cs="Times New Roman"/>
          <w:szCs w:val="24"/>
          <w:lang w:eastAsia="lv-LV"/>
        </w:rPr>
        <w:t xml:space="preserve">noslēgt programmu </w:t>
      </w:r>
      <w:r w:rsidR="00365FAB">
        <w:rPr>
          <w:rFonts w:eastAsia="Times New Roman" w:cs="Times New Roman"/>
          <w:szCs w:val="24"/>
          <w:lang w:eastAsia="lv-LV"/>
        </w:rPr>
        <w:t>bez turpmā</w:t>
      </w:r>
      <w:r w:rsidR="005A4F0B">
        <w:rPr>
          <w:rFonts w:eastAsia="Times New Roman" w:cs="Times New Roman"/>
          <w:szCs w:val="24"/>
          <w:lang w:eastAsia="lv-LV"/>
        </w:rPr>
        <w:t>kajiem piesardzības pasākumiem.</w:t>
      </w:r>
    </w:p>
    <w:p w14:paraId="3C3D08A8" w14:textId="3A2A13D2" w:rsidR="00A233B6" w:rsidRDefault="00644FFB" w:rsidP="0080654E">
      <w:pPr>
        <w:spacing w:after="120"/>
        <w:ind w:firstLine="720"/>
        <w:jc w:val="both"/>
        <w:rPr>
          <w:rFonts w:eastAsia="Times New Roman" w:cs="Times New Roman"/>
          <w:szCs w:val="24"/>
          <w:lang w:eastAsia="lv-LV"/>
        </w:rPr>
      </w:pPr>
      <w:r>
        <w:rPr>
          <w:rFonts w:eastAsia="Times New Roman" w:cs="Times New Roman"/>
          <w:szCs w:val="24"/>
          <w:lang w:eastAsia="lv-LV"/>
        </w:rPr>
        <w:t xml:space="preserve">Kipras </w:t>
      </w:r>
      <w:r w:rsidR="005A4F0B">
        <w:rPr>
          <w:rFonts w:eastAsia="Times New Roman" w:cs="Times New Roman"/>
          <w:szCs w:val="24"/>
          <w:lang w:eastAsia="lv-LV"/>
        </w:rPr>
        <w:t>ekonomika</w:t>
      </w:r>
      <w:r>
        <w:rPr>
          <w:rFonts w:eastAsia="Times New Roman" w:cs="Times New Roman"/>
          <w:szCs w:val="24"/>
          <w:lang w:eastAsia="lv-LV"/>
        </w:rPr>
        <w:t xml:space="preserve"> 2016.gadā pieauga par 2,6%, kuras pamatā ir </w:t>
      </w:r>
      <w:r w:rsidR="00E1433D">
        <w:rPr>
          <w:rFonts w:eastAsia="Times New Roman" w:cs="Times New Roman"/>
          <w:szCs w:val="24"/>
          <w:lang w:eastAsia="lv-LV"/>
        </w:rPr>
        <w:t>paātrināta izaugsme</w:t>
      </w:r>
      <w:r>
        <w:rPr>
          <w:rFonts w:eastAsia="Times New Roman" w:cs="Times New Roman"/>
          <w:szCs w:val="24"/>
          <w:lang w:eastAsia="lv-LV"/>
        </w:rPr>
        <w:t xml:space="preserve"> iekš</w:t>
      </w:r>
      <w:r w:rsidR="00E1433D">
        <w:rPr>
          <w:rFonts w:eastAsia="Times New Roman" w:cs="Times New Roman"/>
          <w:szCs w:val="24"/>
          <w:lang w:eastAsia="lv-LV"/>
        </w:rPr>
        <w:t>zemes</w:t>
      </w:r>
      <w:r w:rsidR="006A623C">
        <w:rPr>
          <w:rFonts w:eastAsia="Times New Roman" w:cs="Times New Roman"/>
          <w:szCs w:val="24"/>
          <w:lang w:eastAsia="lv-LV"/>
        </w:rPr>
        <w:t xml:space="preserve"> </w:t>
      </w:r>
      <w:r>
        <w:rPr>
          <w:rFonts w:eastAsia="Times New Roman" w:cs="Times New Roman"/>
          <w:szCs w:val="24"/>
          <w:lang w:eastAsia="lv-LV"/>
        </w:rPr>
        <w:t xml:space="preserve">pieprasījumam (3,9%). </w:t>
      </w:r>
      <w:r w:rsidR="00E1433D">
        <w:rPr>
          <w:rFonts w:eastAsia="Times New Roman" w:cs="Times New Roman"/>
          <w:szCs w:val="24"/>
          <w:lang w:eastAsia="lv-LV"/>
        </w:rPr>
        <w:t>Bezdarba</w:t>
      </w:r>
      <w:r>
        <w:rPr>
          <w:rFonts w:eastAsia="Times New Roman" w:cs="Times New Roman"/>
          <w:szCs w:val="24"/>
          <w:lang w:eastAsia="lv-LV"/>
        </w:rPr>
        <w:t xml:space="preserve"> </w:t>
      </w:r>
      <w:r w:rsidR="00E1433D">
        <w:rPr>
          <w:rFonts w:eastAsia="Times New Roman" w:cs="Times New Roman"/>
          <w:szCs w:val="24"/>
          <w:lang w:eastAsia="lv-LV"/>
        </w:rPr>
        <w:t>līmenis</w:t>
      </w:r>
      <w:r>
        <w:rPr>
          <w:rFonts w:eastAsia="Times New Roman" w:cs="Times New Roman"/>
          <w:szCs w:val="24"/>
          <w:lang w:eastAsia="lv-LV"/>
        </w:rPr>
        <w:t xml:space="preserve"> </w:t>
      </w:r>
      <w:r w:rsidR="005A4F0B">
        <w:rPr>
          <w:rFonts w:eastAsia="Times New Roman" w:cs="Times New Roman"/>
          <w:szCs w:val="24"/>
          <w:lang w:eastAsia="lv-LV"/>
        </w:rPr>
        <w:t>samazinājā</w:t>
      </w:r>
      <w:r>
        <w:rPr>
          <w:rFonts w:eastAsia="Times New Roman" w:cs="Times New Roman"/>
          <w:szCs w:val="24"/>
          <w:lang w:eastAsia="lv-LV"/>
        </w:rPr>
        <w:t xml:space="preserve">s līdz 13,3%, kas tomēr būtiski pārsniedz </w:t>
      </w:r>
      <w:r>
        <w:rPr>
          <w:rFonts w:eastAsia="Times New Roman" w:cs="Times New Roman"/>
          <w:i/>
          <w:szCs w:val="24"/>
          <w:lang w:eastAsia="lv-LV"/>
        </w:rPr>
        <w:t xml:space="preserve">euro </w:t>
      </w:r>
      <w:r>
        <w:rPr>
          <w:rFonts w:eastAsia="Times New Roman" w:cs="Times New Roman"/>
          <w:szCs w:val="24"/>
          <w:lang w:eastAsia="lv-LV"/>
        </w:rPr>
        <w:t>zonas vidējo – 9,6%. Kipras primārā</w:t>
      </w:r>
      <w:r w:rsidR="005A4F0B">
        <w:rPr>
          <w:rFonts w:eastAsia="Times New Roman" w:cs="Times New Roman"/>
          <w:szCs w:val="24"/>
          <w:lang w:eastAsia="lv-LV"/>
        </w:rPr>
        <w:t xml:space="preserve"> budžeta</w:t>
      </w:r>
      <w:r>
        <w:rPr>
          <w:rFonts w:eastAsia="Times New Roman" w:cs="Times New Roman"/>
          <w:szCs w:val="24"/>
          <w:lang w:eastAsia="lv-LV"/>
        </w:rPr>
        <w:t xml:space="preserve"> bilance 2016.gadā uzlabojās līdz 3</w:t>
      </w:r>
      <w:r w:rsidR="00794FDC">
        <w:rPr>
          <w:rFonts w:eastAsia="Times New Roman" w:cs="Times New Roman"/>
          <w:szCs w:val="24"/>
          <w:lang w:eastAsia="lv-LV"/>
        </w:rPr>
        <w:t>,0</w:t>
      </w:r>
      <w:r>
        <w:rPr>
          <w:rFonts w:eastAsia="Times New Roman" w:cs="Times New Roman"/>
          <w:szCs w:val="24"/>
          <w:lang w:eastAsia="lv-LV"/>
        </w:rPr>
        <w:t>% no IKP.</w:t>
      </w:r>
      <w:r w:rsidR="00E571CC">
        <w:rPr>
          <w:rFonts w:eastAsia="Times New Roman" w:cs="Times New Roman"/>
          <w:szCs w:val="24"/>
          <w:lang w:eastAsia="lv-LV"/>
        </w:rPr>
        <w:t xml:space="preserve"> Uzlabojoties fiskālajai situācijai Kiprai tika izbeigta pārmērīga budžeta deficīta procedūra.</w:t>
      </w:r>
      <w:r>
        <w:rPr>
          <w:rFonts w:eastAsia="Times New Roman" w:cs="Times New Roman"/>
          <w:szCs w:val="24"/>
          <w:lang w:eastAsia="lv-LV"/>
        </w:rPr>
        <w:t xml:space="preserve"> Savukārt parāds nedaudz pieauga par 0,3%punktiem, salīdzinot ar 2015.gadu, līdz 107,8% no IKP. Bankas ir labi kapitalizētas un likviditāte</w:t>
      </w:r>
      <w:r w:rsidR="00E1433D">
        <w:rPr>
          <w:rFonts w:eastAsia="Times New Roman" w:cs="Times New Roman"/>
          <w:szCs w:val="24"/>
          <w:lang w:eastAsia="lv-LV"/>
        </w:rPr>
        <w:t>s</w:t>
      </w:r>
      <w:r>
        <w:rPr>
          <w:rFonts w:eastAsia="Times New Roman" w:cs="Times New Roman"/>
          <w:szCs w:val="24"/>
          <w:lang w:eastAsia="lv-LV"/>
        </w:rPr>
        <w:t xml:space="preserve"> pozīcija ir uzlabojusies. P</w:t>
      </w:r>
      <w:r w:rsidRPr="00644FFB">
        <w:rPr>
          <w:rFonts w:eastAsia="Times New Roman" w:cs="Times New Roman"/>
          <w:szCs w:val="24"/>
          <w:lang w:eastAsia="lv-LV"/>
        </w:rPr>
        <w:t>roblemātisko aizdevumu īpatsvar</w:t>
      </w:r>
      <w:r>
        <w:rPr>
          <w:rFonts w:eastAsia="Times New Roman" w:cs="Times New Roman"/>
          <w:szCs w:val="24"/>
          <w:lang w:eastAsia="lv-LV"/>
        </w:rPr>
        <w:t>s</w:t>
      </w:r>
      <w:r w:rsidRPr="00644FFB">
        <w:rPr>
          <w:rFonts w:eastAsia="Times New Roman" w:cs="Times New Roman"/>
          <w:szCs w:val="24"/>
          <w:lang w:eastAsia="lv-LV"/>
        </w:rPr>
        <w:t xml:space="preserve"> banku bilancēs</w:t>
      </w:r>
      <w:r>
        <w:rPr>
          <w:rFonts w:eastAsia="Times New Roman" w:cs="Times New Roman"/>
          <w:szCs w:val="24"/>
          <w:lang w:eastAsia="lv-LV"/>
        </w:rPr>
        <w:t xml:space="preserve"> </w:t>
      </w:r>
      <w:r w:rsidR="00794FDC">
        <w:rPr>
          <w:rFonts w:eastAsia="Times New Roman" w:cs="Times New Roman"/>
          <w:szCs w:val="24"/>
          <w:lang w:eastAsia="lv-LV"/>
        </w:rPr>
        <w:t>joprojām</w:t>
      </w:r>
      <w:r>
        <w:rPr>
          <w:rFonts w:eastAsia="Times New Roman" w:cs="Times New Roman"/>
          <w:szCs w:val="24"/>
          <w:lang w:eastAsia="lv-LV"/>
        </w:rPr>
        <w:t xml:space="preserve"> </w:t>
      </w:r>
      <w:r w:rsidR="00794FDC">
        <w:rPr>
          <w:rFonts w:eastAsia="Times New Roman" w:cs="Times New Roman"/>
          <w:szCs w:val="24"/>
          <w:lang w:eastAsia="lv-LV"/>
        </w:rPr>
        <w:t xml:space="preserve">ir </w:t>
      </w:r>
      <w:r>
        <w:rPr>
          <w:rFonts w:eastAsia="Times New Roman" w:cs="Times New Roman"/>
          <w:szCs w:val="24"/>
          <w:lang w:eastAsia="lv-LV"/>
        </w:rPr>
        <w:t xml:space="preserve">augsts, lai arī turpina un tiek prognozēts, ka arī turpinās samazināties. </w:t>
      </w:r>
      <w:r w:rsidR="00794FDC">
        <w:rPr>
          <w:rFonts w:eastAsia="Times New Roman" w:cs="Times New Roman"/>
          <w:szCs w:val="24"/>
          <w:lang w:eastAsia="lv-LV"/>
        </w:rPr>
        <w:t xml:space="preserve">Svarīgi, ka Kipra aktīvi vada problemātisko aizdevumu īpatsvaru banku bilancēs un turpina īstenot pēc-programmas ilgtspējīgu politiku, lai turpmāk uzlabotu ilgtermiņa izaugsmes tendences. </w:t>
      </w:r>
      <w:r>
        <w:rPr>
          <w:rFonts w:eastAsia="Times New Roman" w:cs="Times New Roman"/>
          <w:szCs w:val="24"/>
          <w:lang w:eastAsia="lv-LV"/>
        </w:rPr>
        <w:t xml:space="preserve">Nepieciešamā likumdošana, lai samazinātu </w:t>
      </w:r>
      <w:r w:rsidRPr="00644FFB">
        <w:rPr>
          <w:rFonts w:eastAsia="Times New Roman" w:cs="Times New Roman"/>
          <w:szCs w:val="24"/>
          <w:lang w:eastAsia="lv-LV"/>
        </w:rPr>
        <w:t>problemātisko aizdevumu īpatsvaru banku bilancēs</w:t>
      </w:r>
      <w:r>
        <w:rPr>
          <w:rFonts w:eastAsia="Times New Roman" w:cs="Times New Roman"/>
          <w:szCs w:val="24"/>
          <w:lang w:eastAsia="lv-LV"/>
        </w:rPr>
        <w:t xml:space="preserve">, ir stājusies spēkā, tomēr praktiskā ieviešana </w:t>
      </w:r>
      <w:r w:rsidR="00302D46">
        <w:rPr>
          <w:rFonts w:eastAsia="Times New Roman" w:cs="Times New Roman"/>
          <w:szCs w:val="24"/>
          <w:lang w:eastAsia="lv-LV"/>
        </w:rPr>
        <w:t>kavējas</w:t>
      </w:r>
      <w:r>
        <w:rPr>
          <w:rFonts w:eastAsia="Times New Roman" w:cs="Times New Roman"/>
          <w:szCs w:val="24"/>
          <w:lang w:eastAsia="lv-LV"/>
        </w:rPr>
        <w:t>. Valsts banku privatizācijas process varētu sākties 2017.gada vidū.</w:t>
      </w:r>
      <w:r w:rsidR="00302D46">
        <w:rPr>
          <w:rFonts w:eastAsia="Times New Roman" w:cs="Times New Roman"/>
          <w:szCs w:val="24"/>
          <w:lang w:eastAsia="lv-LV"/>
        </w:rPr>
        <w:t xml:space="preserve"> </w:t>
      </w:r>
      <w:r w:rsidR="00794FDC">
        <w:rPr>
          <w:rFonts w:eastAsia="Times New Roman" w:cs="Times New Roman"/>
          <w:szCs w:val="24"/>
          <w:lang w:eastAsia="lv-LV"/>
        </w:rPr>
        <w:t xml:space="preserve"> </w:t>
      </w:r>
    </w:p>
    <w:p w14:paraId="158F0E36" w14:textId="77777777" w:rsidR="00E874A7" w:rsidRDefault="00E874A7" w:rsidP="00F201D3">
      <w:pPr>
        <w:jc w:val="center"/>
        <w:rPr>
          <w:rFonts w:eastAsia="Times New Roman" w:cs="Times New Roman"/>
          <w:b/>
          <w:szCs w:val="24"/>
          <w:lang w:eastAsia="lv-LV"/>
        </w:rPr>
      </w:pPr>
    </w:p>
    <w:p w14:paraId="110A891E" w14:textId="314740D6" w:rsidR="00F201D3" w:rsidRPr="00896C7F" w:rsidRDefault="00A90717" w:rsidP="00F201D3">
      <w:pPr>
        <w:jc w:val="center"/>
        <w:rPr>
          <w:b/>
        </w:rPr>
      </w:pPr>
      <w:r w:rsidRPr="00896C7F">
        <w:rPr>
          <w:rFonts w:eastAsia="Times New Roman" w:cs="Times New Roman"/>
          <w:b/>
          <w:szCs w:val="24"/>
          <w:lang w:eastAsia="lv-LV"/>
        </w:rPr>
        <w:t>1.</w:t>
      </w:r>
      <w:r w:rsidR="00E4317A">
        <w:rPr>
          <w:rFonts w:eastAsia="Times New Roman" w:cs="Times New Roman"/>
          <w:b/>
          <w:szCs w:val="24"/>
          <w:lang w:eastAsia="lv-LV"/>
        </w:rPr>
        <w:t>2</w:t>
      </w:r>
      <w:r w:rsidR="00D43DE7" w:rsidRPr="00896C7F">
        <w:rPr>
          <w:rFonts w:eastAsia="Times New Roman" w:cs="Times New Roman"/>
          <w:b/>
          <w:szCs w:val="24"/>
          <w:lang w:eastAsia="lv-LV"/>
        </w:rPr>
        <w:t>. Finansiālās palīdzības programma Spānijai</w:t>
      </w:r>
    </w:p>
    <w:p w14:paraId="5C3AF8F2" w14:textId="32CDF9EF" w:rsidR="00593D13" w:rsidRDefault="00D826B4" w:rsidP="004901FB">
      <w:pPr>
        <w:ind w:firstLine="720"/>
        <w:jc w:val="both"/>
        <w:rPr>
          <w:highlight w:val="yellow"/>
        </w:rPr>
      </w:pPr>
      <w:r>
        <w:rPr>
          <w:highlight w:val="yellow"/>
        </w:rPr>
        <w:t xml:space="preserve"> </w:t>
      </w:r>
    </w:p>
    <w:p w14:paraId="514EFB1C" w14:textId="7F124F39" w:rsidR="00D826B4" w:rsidRDefault="00D826B4" w:rsidP="009C2FBF">
      <w:pPr>
        <w:spacing w:after="120"/>
        <w:ind w:firstLine="720"/>
        <w:jc w:val="both"/>
        <w:rPr>
          <w:i/>
        </w:rPr>
      </w:pPr>
      <w:r>
        <w:t xml:space="preserve">Spānijas programma ilga no </w:t>
      </w:r>
      <w:r w:rsidRPr="00D2071E">
        <w:t>201</w:t>
      </w:r>
      <w:r>
        <w:t>2</w:t>
      </w:r>
      <w:r w:rsidRPr="00D2071E">
        <w:t xml:space="preserve">.gada </w:t>
      </w:r>
      <w:r>
        <w:t xml:space="preserve">23.jūlija līdz </w:t>
      </w:r>
      <w:r w:rsidR="008364B0" w:rsidRPr="008364B0">
        <w:t>2013.gada 31.dec</w:t>
      </w:r>
      <w:r w:rsidR="006A1A20">
        <w:t>em</w:t>
      </w:r>
      <w:r w:rsidR="008364B0" w:rsidRPr="008364B0">
        <w:t>br</w:t>
      </w:r>
      <w:r>
        <w:t>im</w:t>
      </w:r>
      <w:r w:rsidR="008364B0" w:rsidRPr="008364B0">
        <w:t xml:space="preserve">. Spānijas programmas mērķis bija atjaunot banku kapitāla pietiekamību atbilstoši prasībām un izveidot ietvaru problemātisko aktīvu pārvaldībai, kā arī ievērojami uzlabot banku pārraudzību un </w:t>
      </w:r>
      <w:r w:rsidR="008364B0" w:rsidRPr="008364B0">
        <w:lastRenderedPageBreak/>
        <w:t>regulējumu.</w:t>
      </w:r>
      <w:r w:rsidR="009C2FBF">
        <w:t xml:space="preserve"> </w:t>
      </w:r>
      <w:r w:rsidRPr="00DE3F13">
        <w:t xml:space="preserve">Kopējais palīdzības apjoms bija paredzēts 100 </w:t>
      </w:r>
      <w:r w:rsidR="00794FDC" w:rsidRPr="00996800">
        <w:t xml:space="preserve">mljrd. </w:t>
      </w:r>
      <w:r w:rsidRPr="00DE3F13">
        <w:rPr>
          <w:i/>
        </w:rPr>
        <w:t>euro</w:t>
      </w:r>
      <w:r w:rsidRPr="00DE3F13">
        <w:t xml:space="preserve"> apmērā</w:t>
      </w:r>
      <w:r>
        <w:t xml:space="preserve">. Kopumā Spānijai izmaksāja 41,33 </w:t>
      </w:r>
      <w:r w:rsidR="00794FDC" w:rsidRPr="00996800">
        <w:t xml:space="preserve">mljrd. </w:t>
      </w:r>
      <w:r>
        <w:rPr>
          <w:i/>
        </w:rPr>
        <w:t>euro.</w:t>
      </w:r>
      <w:r w:rsidR="00794FDC">
        <w:rPr>
          <w:i/>
        </w:rPr>
        <w:t xml:space="preserve"> </w:t>
      </w:r>
    </w:p>
    <w:p w14:paraId="7770E44C" w14:textId="50A00A99" w:rsidR="009C2FBF" w:rsidRDefault="00D64B72" w:rsidP="009C2FBF">
      <w:pPr>
        <w:spacing w:after="120"/>
        <w:ind w:firstLine="720"/>
        <w:jc w:val="both"/>
      </w:pPr>
      <w:r>
        <w:t>Spānijas p</w:t>
      </w:r>
      <w:r w:rsidRPr="008364B0">
        <w:t>rogrammas ietvaros ar ESM finanšu institūciju rekapitalizācijas instrumenta palīdzību tika rekapitalizētas un restrukturizētas Spānijas problemātiskās bankas.</w:t>
      </w:r>
      <w:r>
        <w:t xml:space="preserve"> </w:t>
      </w:r>
      <w:r w:rsidR="00463107">
        <w:t>Palīdzība</w:t>
      </w:r>
      <w:r w:rsidR="009C2FBF" w:rsidRPr="00DE3F13">
        <w:t xml:space="preserve"> tika </w:t>
      </w:r>
      <w:r w:rsidR="00794FDC">
        <w:t>sniegta</w:t>
      </w:r>
      <w:r w:rsidR="009C2FBF" w:rsidRPr="00DE3F13">
        <w:t xml:space="preserve"> Spānijas rīcībā nododot ESM emitētus vērtspapīrus, kas tika tālāk nodoti Spānijas Nacionālās bankas rīcībā, kura tos pārskaitīja Banku restrukturizācijas fondam. </w:t>
      </w:r>
      <w:r w:rsidR="00463107">
        <w:t>Minētais</w:t>
      </w:r>
      <w:r w:rsidR="009C2FBF" w:rsidRPr="00DE3F13">
        <w:t xml:space="preserve"> fonds savukārt izmantoja dotos finanšu līdzekļus </w:t>
      </w:r>
      <w:r w:rsidR="00463107">
        <w:t>četru</w:t>
      </w:r>
      <w:r w:rsidR="009C2FBF" w:rsidRPr="00DE3F13">
        <w:t xml:space="preserve"> finanšu institūciju rekapitalizācijai, kā arī Spānijas aktīvu pārvaldības sabiedrības </w:t>
      </w:r>
      <w:r w:rsidR="009C2FBF">
        <w:rPr>
          <w:rFonts w:cs="Times New Roman"/>
          <w:szCs w:val="24"/>
        </w:rPr>
        <w:t xml:space="preserve">SAREB </w:t>
      </w:r>
      <w:r w:rsidR="009C2FBF" w:rsidRPr="00DE3F13">
        <w:t>vajadzībām.</w:t>
      </w:r>
      <w:r w:rsidR="00463107">
        <w:t xml:space="preserve"> Vēlāk nākamā maksājuma</w:t>
      </w:r>
      <w:r w:rsidR="009C2FBF" w:rsidRPr="00DE3F13">
        <w:t xml:space="preserve"> </w:t>
      </w:r>
      <w:r w:rsidR="00463107">
        <w:t>l</w:t>
      </w:r>
      <w:r w:rsidR="009C2FBF">
        <w:t xml:space="preserve">īdzekļi tika izlietoti, lai rekapitalizētu papildus </w:t>
      </w:r>
      <w:r w:rsidR="00463107">
        <w:t>četras</w:t>
      </w:r>
      <w:r w:rsidR="009C2FBF">
        <w:t xml:space="preserve"> Spānijas bankas.</w:t>
      </w:r>
    </w:p>
    <w:p w14:paraId="794DAE1F" w14:textId="70DC918A" w:rsidR="009C2FBF" w:rsidRPr="009C2FBF" w:rsidRDefault="009C2FBF" w:rsidP="009C2FBF">
      <w:pPr>
        <w:spacing w:after="120"/>
        <w:ind w:firstLine="720"/>
        <w:jc w:val="both"/>
        <w:rPr>
          <w:i/>
        </w:rPr>
      </w:pPr>
      <w:r w:rsidRPr="00996800">
        <w:t xml:space="preserve">Ņemot vērā veiksmīgo </w:t>
      </w:r>
      <w:r w:rsidRPr="00996800">
        <w:rPr>
          <w:i/>
        </w:rPr>
        <w:t xml:space="preserve">Bankia </w:t>
      </w:r>
      <w:r w:rsidRPr="00996800">
        <w:t xml:space="preserve">akciju pārdošanu, Spānija 2014.gada jūnijā izteica piedāvājumu samazināt tās neizlietoto ESM aizdevuma finanšu līdzekļus 1,3 mljrd. </w:t>
      </w:r>
      <w:r w:rsidRPr="00996800">
        <w:rPr>
          <w:i/>
        </w:rPr>
        <w:t xml:space="preserve">euro </w:t>
      </w:r>
      <w:r w:rsidRPr="00996800">
        <w:t xml:space="preserve">apmērā. </w:t>
      </w:r>
      <w:r>
        <w:t>Šajā sakarā</w:t>
      </w:r>
      <w:r w:rsidRPr="00996800">
        <w:t xml:space="preserve"> </w:t>
      </w:r>
      <w:r>
        <w:t xml:space="preserve">2014.gada </w:t>
      </w:r>
      <w:r w:rsidRPr="00996800">
        <w:t xml:space="preserve">7.jūnijā ESM Direktoru padome apstiprināja Spānijas priekšlikumu, kā rezultātā pirmo reizi ESM programmas valsts veica priekšlaicīgu aizdevuma daļas atmaksu, dodot finanšu tirgos pozitīvu signālu par Spānijas programmas veiksmīgo īstenošanu. </w:t>
      </w:r>
      <w:r>
        <w:t xml:space="preserve">Kopumā </w:t>
      </w:r>
      <w:r w:rsidRPr="00996800">
        <w:t xml:space="preserve">Spānija </w:t>
      </w:r>
      <w:r>
        <w:t>ir veikusi</w:t>
      </w:r>
      <w:r w:rsidRPr="00996800">
        <w:t xml:space="preserve"> </w:t>
      </w:r>
      <w:r w:rsidR="00463107">
        <w:t>piecas</w:t>
      </w:r>
      <w:r>
        <w:t xml:space="preserve"> </w:t>
      </w:r>
      <w:r w:rsidRPr="00996800">
        <w:t>priekšlaicīg</w:t>
      </w:r>
      <w:r>
        <w:t>as</w:t>
      </w:r>
      <w:r w:rsidRPr="00996800">
        <w:t xml:space="preserve"> aizdevuma daļas atmaks</w:t>
      </w:r>
      <w:r>
        <w:t>as</w:t>
      </w:r>
      <w:r w:rsidRPr="00996800">
        <w:t xml:space="preserve"> </w:t>
      </w:r>
      <w:r w:rsidR="00463107">
        <w:t>7</w:t>
      </w:r>
      <w:r>
        <w:t>,</w:t>
      </w:r>
      <w:r w:rsidRPr="005B1B7A">
        <w:t>612</w:t>
      </w:r>
      <w:r>
        <w:t xml:space="preserve"> </w:t>
      </w:r>
      <w:r w:rsidR="00A4581D">
        <w:rPr>
          <w:rFonts w:eastAsia="Times New Roman" w:cs="Times New Roman"/>
          <w:szCs w:val="24"/>
          <w:lang w:eastAsia="lv-LV"/>
        </w:rPr>
        <w:t>mljrd.</w:t>
      </w:r>
      <w:r w:rsidR="00A4581D" w:rsidRPr="00896C7F">
        <w:t xml:space="preserve"> </w:t>
      </w:r>
      <w:r w:rsidRPr="00996800">
        <w:rPr>
          <w:i/>
        </w:rPr>
        <w:t>euro</w:t>
      </w:r>
      <w:r w:rsidRPr="00996800">
        <w:t xml:space="preserve"> vērtībā</w:t>
      </w:r>
      <w:r w:rsidR="00463107">
        <w:t xml:space="preserve"> (t.sk. 2017.gada 14.jūnijā)</w:t>
      </w:r>
      <w:r w:rsidRPr="00996800">
        <w:t>.</w:t>
      </w:r>
      <w:r>
        <w:t xml:space="preserve"> </w:t>
      </w:r>
      <w:r w:rsidR="00463107">
        <w:t>2017.gadā Spānija ātrāk atmaksu veica</w:t>
      </w:r>
      <w:r w:rsidRPr="005B1B7A">
        <w:t>, lai uzlabotu investoru uzticību Spānijas ekonomikai, ņemot vērā pašreizējās zemās finansēšanas izmaksas un lai optimizētu skaidras naudas pārvaldību.</w:t>
      </w:r>
    </w:p>
    <w:p w14:paraId="452956F4" w14:textId="7990864A" w:rsidR="004901FB" w:rsidRDefault="008364B0" w:rsidP="0080654E">
      <w:pPr>
        <w:spacing w:after="120"/>
        <w:ind w:firstLine="720"/>
        <w:jc w:val="both"/>
      </w:pPr>
      <w:r w:rsidRPr="008364B0">
        <w:t xml:space="preserve">Kopš Spānijas programma </w:t>
      </w:r>
      <w:r w:rsidR="00413851">
        <w:t>noslēgšanās</w:t>
      </w:r>
      <w:r w:rsidR="002E12CB">
        <w:t xml:space="preserve"> </w:t>
      </w:r>
      <w:r w:rsidRPr="008364B0">
        <w:t>ir uzsākts pēc</w:t>
      </w:r>
      <w:r w:rsidR="00101D4E">
        <w:t>-</w:t>
      </w:r>
      <w:r w:rsidRPr="008364B0">
        <w:t>programmas uzraudzība</w:t>
      </w:r>
      <w:r w:rsidR="00D12948">
        <w:t>s posms.</w:t>
      </w:r>
      <w:r w:rsidR="009C2FBF">
        <w:t xml:space="preserve"> </w:t>
      </w:r>
    </w:p>
    <w:p w14:paraId="1709F33A" w14:textId="3BA1E24D" w:rsidR="006A623C" w:rsidRDefault="00365FAB" w:rsidP="0080654E">
      <w:pPr>
        <w:spacing w:after="120"/>
        <w:ind w:firstLine="720"/>
        <w:jc w:val="both"/>
        <w:rPr>
          <w:rFonts w:cs="Times New Roman"/>
          <w:szCs w:val="24"/>
        </w:rPr>
      </w:pPr>
      <w:r>
        <w:t>Kopumā 201</w:t>
      </w:r>
      <w:r w:rsidR="00E571CC">
        <w:t>6</w:t>
      </w:r>
      <w:r>
        <w:t>.gadā</w:t>
      </w:r>
      <w:r w:rsidR="0000092A">
        <w:t xml:space="preserve"> Spānijas</w:t>
      </w:r>
      <w:r>
        <w:t xml:space="preserve"> izaugsme sasniedz 3,2%</w:t>
      </w:r>
      <w:r w:rsidR="002764F1">
        <w:t>, tāpat kā 20</w:t>
      </w:r>
      <w:r w:rsidR="005B1B7A">
        <w:t>15.gadā, pārsniedzot prognozes</w:t>
      </w:r>
      <w:r w:rsidR="00B1766B">
        <w:t xml:space="preserve">. </w:t>
      </w:r>
      <w:r w:rsidR="00B1766B">
        <w:rPr>
          <w:rFonts w:cs="Times New Roman"/>
          <w:szCs w:val="24"/>
        </w:rPr>
        <w:t xml:space="preserve">Galvenais izaugsmes dzinējspēks bija </w:t>
      </w:r>
      <w:r w:rsidR="002764F1">
        <w:rPr>
          <w:rFonts w:cs="Times New Roman"/>
          <w:szCs w:val="24"/>
        </w:rPr>
        <w:t xml:space="preserve">iekšzemes pieprasījums, </w:t>
      </w:r>
      <w:r w:rsidR="002924A1">
        <w:rPr>
          <w:rFonts w:cs="Times New Roman"/>
          <w:szCs w:val="24"/>
        </w:rPr>
        <w:t>ko nodrošināja</w:t>
      </w:r>
      <w:r w:rsidR="002764F1">
        <w:rPr>
          <w:rFonts w:cs="Times New Roman"/>
          <w:szCs w:val="24"/>
        </w:rPr>
        <w:t xml:space="preserve"> </w:t>
      </w:r>
      <w:r w:rsidR="00B1766B">
        <w:rPr>
          <w:rFonts w:cs="Times New Roman"/>
          <w:szCs w:val="24"/>
        </w:rPr>
        <w:t>privāt</w:t>
      </w:r>
      <w:r w:rsidR="002924A1">
        <w:rPr>
          <w:rFonts w:cs="Times New Roman"/>
          <w:szCs w:val="24"/>
        </w:rPr>
        <w:t>ā</w:t>
      </w:r>
      <w:r w:rsidR="00B1766B">
        <w:rPr>
          <w:rFonts w:cs="Times New Roman"/>
          <w:szCs w:val="24"/>
        </w:rPr>
        <w:t xml:space="preserve"> patēriņ</w:t>
      </w:r>
      <w:r w:rsidR="002924A1">
        <w:rPr>
          <w:rFonts w:cs="Times New Roman"/>
          <w:szCs w:val="24"/>
        </w:rPr>
        <w:t>a pieaugums</w:t>
      </w:r>
      <w:r w:rsidR="00B1766B">
        <w:rPr>
          <w:rFonts w:cs="Times New Roman"/>
          <w:szCs w:val="24"/>
        </w:rPr>
        <w:t xml:space="preserve"> un, kā arī n</w:t>
      </w:r>
      <w:r w:rsidR="0000092A">
        <w:rPr>
          <w:rFonts w:cs="Times New Roman"/>
          <w:szCs w:val="24"/>
        </w:rPr>
        <w:t>eto eksports pozitīvi ietekmēja</w:t>
      </w:r>
      <w:r w:rsidR="00B1766B">
        <w:rPr>
          <w:rFonts w:cs="Times New Roman"/>
          <w:szCs w:val="24"/>
        </w:rPr>
        <w:t xml:space="preserve"> izaugsmi. </w:t>
      </w:r>
      <w:r w:rsidR="005B1B7A">
        <w:t xml:space="preserve">Tomēr tiek prognozēts, ka ekonomiskā izaugsme palēnināsies, ņemot vērā </w:t>
      </w:r>
      <w:r w:rsidR="005F4C6F" w:rsidRPr="005B1B7A">
        <w:t>ekspansīv</w:t>
      </w:r>
      <w:r w:rsidR="005F4C6F">
        <w:t>ās</w:t>
      </w:r>
      <w:r w:rsidR="005F4C6F" w:rsidRPr="005B1B7A">
        <w:t xml:space="preserve"> ekonomik</w:t>
      </w:r>
      <w:r w:rsidR="005F4C6F">
        <w:t xml:space="preserve">as politikas un </w:t>
      </w:r>
      <w:r w:rsidR="005B1B7A">
        <w:t>naftas</w:t>
      </w:r>
      <w:r w:rsidR="00CA22D2">
        <w:t xml:space="preserve"> produktu</w:t>
      </w:r>
      <w:r w:rsidR="005B1B7A">
        <w:t xml:space="preserve"> zem</w:t>
      </w:r>
      <w:r w:rsidR="005F4C6F">
        <w:t>o</w:t>
      </w:r>
      <w:r w:rsidR="005B1B7A">
        <w:t xml:space="preserve"> cen</w:t>
      </w:r>
      <w:r w:rsidR="005F4C6F">
        <w:t>u</w:t>
      </w:r>
      <w:r w:rsidR="005B1B7A">
        <w:t xml:space="preserve"> pakāpenisko izzušanu. </w:t>
      </w:r>
      <w:r w:rsidR="00B1766B">
        <w:t>V</w:t>
      </w:r>
      <w:r w:rsidR="00B1766B" w:rsidRPr="00B1766B">
        <w:t>alsts budžeta deficīts 2016.gadā sasniedza 4,5% no IKP, kas pārmērīga budžeta deficīta procedūras ietvaros ir nedaudz zem Padomes rekomendētā mērķa</w:t>
      </w:r>
      <w:r w:rsidR="006A623C">
        <w:rPr>
          <w:rStyle w:val="FootnoteReference"/>
        </w:rPr>
        <w:footnoteReference w:id="4"/>
      </w:r>
      <w:r w:rsidR="00B1766B" w:rsidRPr="00B1766B">
        <w:t xml:space="preserve"> – 4,6% no IKP.</w:t>
      </w:r>
    </w:p>
    <w:p w14:paraId="1E403B4E" w14:textId="62E4C823" w:rsidR="00D12948" w:rsidRDefault="00B1766B" w:rsidP="0080654E">
      <w:pPr>
        <w:spacing w:after="120"/>
        <w:ind w:firstLine="720"/>
        <w:jc w:val="both"/>
      </w:pPr>
      <w:r>
        <w:t>Privātā sektora parād</w:t>
      </w:r>
      <w:r w:rsidR="002924A1">
        <w:t>s turpina</w:t>
      </w:r>
      <w:r>
        <w:t xml:space="preserve"> samazinā</w:t>
      </w:r>
      <w:r w:rsidR="002924A1">
        <w:t>ties</w:t>
      </w:r>
      <w:r>
        <w:t xml:space="preserve">, kas virzās uz </w:t>
      </w:r>
      <w:r w:rsidRPr="006F3C7E">
        <w:rPr>
          <w:i/>
        </w:rPr>
        <w:t>euro</w:t>
      </w:r>
      <w:r w:rsidR="002924A1">
        <w:t xml:space="preserve"> zonas vidējo līmeni</w:t>
      </w:r>
      <w:r>
        <w:t>. Joprojām ir augsts privāt</w:t>
      </w:r>
      <w:r w:rsidR="00CE4B08">
        <w:t>ais</w:t>
      </w:r>
      <w:r>
        <w:t xml:space="preserve"> un valsts parāda līmenis, kas atspoguļojas ievērojamā ārējo saistību apjomā.</w:t>
      </w:r>
      <w:r w:rsidR="00D12948">
        <w:t xml:space="preserve"> </w:t>
      </w:r>
      <w:r>
        <w:t xml:space="preserve">Bezdarba līmenis pēdējo trīs gadu laikā ir ievērojami samazinājies, pateicoties arī darba tirgus veiktajām reformām, tomēr </w:t>
      </w:r>
      <w:r w:rsidR="002924A1">
        <w:t>bezdarba</w:t>
      </w:r>
      <w:r>
        <w:t xml:space="preserve"> līmenis vēl joprojām ir viens no augstākajiem E</w:t>
      </w:r>
      <w:r w:rsidR="00E631B3">
        <w:t xml:space="preserve">iropas </w:t>
      </w:r>
      <w:r>
        <w:t>S</w:t>
      </w:r>
      <w:r w:rsidR="00E631B3">
        <w:t>avienībā</w:t>
      </w:r>
      <w:r>
        <w:t xml:space="preserve">, īpaši attiecībā uz jauniešu un mazkvalificēto darbaspēku. </w:t>
      </w:r>
      <w:r w:rsidR="006F3C7E">
        <w:t>I</w:t>
      </w:r>
      <w:r>
        <w:t>r nepieciešamas tālākas reformas, lai panāktu augstāku darba ražīgumu un nodrošinātu līdzsvarotu un ilgtspējīgu izaugsmi.</w:t>
      </w:r>
    </w:p>
    <w:p w14:paraId="50ACEF29" w14:textId="1A2F54EC" w:rsidR="00B1766B" w:rsidRDefault="00B1766B" w:rsidP="0080654E">
      <w:pPr>
        <w:spacing w:after="120"/>
        <w:ind w:firstLine="720"/>
        <w:jc w:val="both"/>
        <w:rPr>
          <w:rFonts w:cs="Times New Roman"/>
          <w:szCs w:val="24"/>
        </w:rPr>
      </w:pPr>
      <w:r>
        <w:rPr>
          <w:rFonts w:cs="Times New Roman"/>
          <w:szCs w:val="24"/>
        </w:rPr>
        <w:t>Finanšu sektorā ir novērojama stabiliz</w:t>
      </w:r>
      <w:r w:rsidR="00E631B3">
        <w:rPr>
          <w:rFonts w:cs="Times New Roman"/>
          <w:szCs w:val="24"/>
        </w:rPr>
        <w:t>ēšanās</w:t>
      </w:r>
      <w:r>
        <w:rPr>
          <w:rFonts w:cs="Times New Roman"/>
          <w:szCs w:val="24"/>
        </w:rPr>
        <w:t>, ko veicina ekonomiskā atveseļošanās un strukturālās reformas.</w:t>
      </w:r>
      <w:r w:rsidR="00D12948">
        <w:rPr>
          <w:rFonts w:cs="Times New Roman"/>
          <w:szCs w:val="24"/>
        </w:rPr>
        <w:t xml:space="preserve"> </w:t>
      </w:r>
      <w:r>
        <w:rPr>
          <w:rFonts w:cs="Times New Roman"/>
          <w:szCs w:val="24"/>
        </w:rPr>
        <w:t xml:space="preserve">Banku piekļuve likviditātei un zemas finansējumu izmaksas veicināja jaunus banku aizdevumus, īpaši attiecībā uz mājsaimniecībām un maziem un vidējiem uzņēmumiem. Bankas aktīvu kvalitāte tika vairāk stiprināta, </w:t>
      </w:r>
      <w:r w:rsidR="00D12948" w:rsidRPr="00D12948">
        <w:rPr>
          <w:rFonts w:cs="Times New Roman"/>
          <w:szCs w:val="24"/>
        </w:rPr>
        <w:t>problemātisko aizdevumu īpatsvar</w:t>
      </w:r>
      <w:r w:rsidR="009C2FBF">
        <w:rPr>
          <w:rFonts w:cs="Times New Roman"/>
          <w:szCs w:val="24"/>
        </w:rPr>
        <w:t>s</w:t>
      </w:r>
      <w:r w:rsidR="00D12948" w:rsidRPr="00D12948">
        <w:rPr>
          <w:rFonts w:cs="Times New Roman"/>
          <w:szCs w:val="24"/>
        </w:rPr>
        <w:t xml:space="preserve"> banku bilancēs</w:t>
      </w:r>
      <w:r w:rsidRPr="00D12948">
        <w:rPr>
          <w:rFonts w:cs="Times New Roman"/>
          <w:szCs w:val="24"/>
        </w:rPr>
        <w:t xml:space="preserve"> turpina samazināties, tomēr šis līmenis vēl joprojām ir augsts</w:t>
      </w:r>
      <w:r>
        <w:rPr>
          <w:rFonts w:cs="Times New Roman"/>
          <w:szCs w:val="24"/>
        </w:rPr>
        <w:t xml:space="preserve"> un dažām bankām varētu būt </w:t>
      </w:r>
      <w:r w:rsidR="002924A1">
        <w:rPr>
          <w:rFonts w:cs="Times New Roman"/>
          <w:szCs w:val="24"/>
        </w:rPr>
        <w:t>nepieciešams</w:t>
      </w:r>
      <w:r>
        <w:rPr>
          <w:rFonts w:cs="Times New Roman"/>
          <w:szCs w:val="24"/>
        </w:rPr>
        <w:t xml:space="preserve"> stiprināt bilanci.</w:t>
      </w:r>
      <w:r w:rsidR="00D12948">
        <w:rPr>
          <w:rFonts w:cs="Times New Roman"/>
          <w:szCs w:val="24"/>
        </w:rPr>
        <w:t xml:space="preserve"> </w:t>
      </w:r>
      <w:r>
        <w:rPr>
          <w:rFonts w:cs="Times New Roman"/>
          <w:szCs w:val="24"/>
        </w:rPr>
        <w:t>Kopumā Spānijas bankas 2016.gadā strādāja ar peļņu, tomēr rentabilitāti ir grūti noturēt un tas ir saistīts ar vājo kreditēšanu. Ņemot vērā E</w:t>
      </w:r>
      <w:r w:rsidR="009C2FBF">
        <w:rPr>
          <w:rFonts w:cs="Times New Roman"/>
          <w:szCs w:val="24"/>
        </w:rPr>
        <w:t xml:space="preserve">iropas </w:t>
      </w:r>
      <w:r>
        <w:rPr>
          <w:rFonts w:cs="Times New Roman"/>
          <w:szCs w:val="24"/>
        </w:rPr>
        <w:t>S</w:t>
      </w:r>
      <w:r w:rsidR="009C2FBF">
        <w:rPr>
          <w:rFonts w:cs="Times New Roman"/>
          <w:szCs w:val="24"/>
        </w:rPr>
        <w:t>avienības</w:t>
      </w:r>
      <w:r>
        <w:rPr>
          <w:rFonts w:cs="Times New Roman"/>
          <w:szCs w:val="24"/>
        </w:rPr>
        <w:t xml:space="preserve"> mēroga banku restrukturizācijas un normatīvo aktu izmaiņu izaicinājumus, dažām Spānijas bankām var nākties pielāgot savus biznesa modeļus.</w:t>
      </w:r>
      <w:r w:rsidR="00D12948">
        <w:rPr>
          <w:rFonts w:cs="Times New Roman"/>
          <w:szCs w:val="24"/>
        </w:rPr>
        <w:t xml:space="preserve"> </w:t>
      </w:r>
      <w:r>
        <w:rPr>
          <w:rFonts w:cs="Times New Roman"/>
          <w:szCs w:val="24"/>
        </w:rPr>
        <w:t>Krietni uz priekšu ir pavirzījusies restrukturizācijas plāna īstenošana Spānijas bankām, kuras ir saņēmušas valsts atbalstu. Banku restrukturizācijas fonds (</w:t>
      </w:r>
      <w:r>
        <w:rPr>
          <w:rFonts w:cs="Times New Roman"/>
          <w:i/>
          <w:szCs w:val="24"/>
        </w:rPr>
        <w:t>The Fund for Orderly Bank Restructuring</w:t>
      </w:r>
      <w:r>
        <w:rPr>
          <w:rFonts w:cs="Times New Roman"/>
          <w:szCs w:val="24"/>
        </w:rPr>
        <w:t xml:space="preserve">) ir </w:t>
      </w:r>
      <w:r w:rsidR="00E631B3">
        <w:rPr>
          <w:rFonts w:cs="Times New Roman"/>
          <w:szCs w:val="24"/>
        </w:rPr>
        <w:t>atbalstījis</w:t>
      </w:r>
      <w:r>
        <w:rPr>
          <w:rFonts w:cs="Times New Roman"/>
          <w:szCs w:val="24"/>
        </w:rPr>
        <w:t xml:space="preserve"> apvienot valstij piederošās bankas – </w:t>
      </w:r>
      <w:r>
        <w:rPr>
          <w:rFonts w:cs="Times New Roman"/>
          <w:i/>
          <w:szCs w:val="24"/>
        </w:rPr>
        <w:t>Bankia</w:t>
      </w:r>
      <w:r>
        <w:rPr>
          <w:rFonts w:cs="Times New Roman"/>
          <w:szCs w:val="24"/>
        </w:rPr>
        <w:t xml:space="preserve"> un </w:t>
      </w:r>
      <w:r>
        <w:rPr>
          <w:rFonts w:cs="Times New Roman"/>
          <w:i/>
          <w:szCs w:val="24"/>
        </w:rPr>
        <w:t>Banco Mare Nostrum</w:t>
      </w:r>
      <w:r>
        <w:rPr>
          <w:rFonts w:cs="Times New Roman"/>
          <w:szCs w:val="24"/>
        </w:rPr>
        <w:t>. Šo banku restrukturizācija pēc apvienošanas un to privatizācija stiprinās banku sektoru.</w:t>
      </w:r>
      <w:r w:rsidR="00D12948">
        <w:rPr>
          <w:rFonts w:cs="Times New Roman"/>
          <w:szCs w:val="24"/>
        </w:rPr>
        <w:t xml:space="preserve"> </w:t>
      </w:r>
    </w:p>
    <w:p w14:paraId="46D24244" w14:textId="685A9C20" w:rsidR="002239E0" w:rsidRPr="0080654E" w:rsidRDefault="002239E0" w:rsidP="002239E0">
      <w:pPr>
        <w:jc w:val="center"/>
        <w:rPr>
          <w:rFonts w:eastAsia="Times New Roman" w:cs="Times New Roman"/>
          <w:b/>
          <w:color w:val="000000" w:themeColor="text1"/>
          <w:szCs w:val="24"/>
          <w:lang w:eastAsia="lv-LV"/>
        </w:rPr>
      </w:pPr>
      <w:r w:rsidRPr="0080654E">
        <w:rPr>
          <w:rFonts w:eastAsia="Times New Roman" w:cs="Times New Roman"/>
          <w:b/>
          <w:color w:val="000000" w:themeColor="text1"/>
          <w:szCs w:val="24"/>
          <w:lang w:eastAsia="lv-LV"/>
        </w:rPr>
        <w:t>1</w:t>
      </w:r>
      <w:r w:rsidR="00042954" w:rsidRPr="0080654E">
        <w:rPr>
          <w:rFonts w:eastAsia="Times New Roman" w:cs="Times New Roman"/>
          <w:b/>
          <w:color w:val="000000" w:themeColor="text1"/>
          <w:szCs w:val="24"/>
          <w:lang w:eastAsia="lv-LV"/>
        </w:rPr>
        <w:t>.</w:t>
      </w:r>
      <w:r w:rsidR="00E4317A" w:rsidRPr="0080654E">
        <w:rPr>
          <w:rFonts w:eastAsia="Times New Roman" w:cs="Times New Roman"/>
          <w:b/>
          <w:color w:val="000000" w:themeColor="text1"/>
          <w:szCs w:val="24"/>
          <w:lang w:eastAsia="lv-LV"/>
        </w:rPr>
        <w:t>3</w:t>
      </w:r>
      <w:r w:rsidRPr="0080654E">
        <w:rPr>
          <w:rFonts w:eastAsia="Times New Roman" w:cs="Times New Roman"/>
          <w:b/>
          <w:color w:val="000000" w:themeColor="text1"/>
          <w:szCs w:val="24"/>
          <w:lang w:eastAsia="lv-LV"/>
        </w:rPr>
        <w:t>. Finansiālās palīdzības programma Grieķijai</w:t>
      </w:r>
    </w:p>
    <w:p w14:paraId="0B44F8A2" w14:textId="77777777" w:rsidR="002239E0" w:rsidRPr="002239E0" w:rsidRDefault="002239E0" w:rsidP="002239E0">
      <w:pPr>
        <w:spacing w:after="120"/>
        <w:ind w:firstLine="720"/>
        <w:jc w:val="both"/>
        <w:rPr>
          <w:rFonts w:eastAsia="Times New Roman" w:cs="Calibri"/>
          <w:color w:val="000000" w:themeColor="text1"/>
          <w:szCs w:val="24"/>
          <w:lang w:eastAsia="en-GB"/>
        </w:rPr>
      </w:pPr>
    </w:p>
    <w:p w14:paraId="5980ED40" w14:textId="0626434D" w:rsidR="002239E0" w:rsidRPr="002239E0" w:rsidRDefault="002239E0" w:rsidP="00F84EEA">
      <w:pPr>
        <w:spacing w:after="120"/>
        <w:ind w:firstLine="600"/>
        <w:jc w:val="both"/>
        <w:rPr>
          <w:rFonts w:eastAsia="Times New Roman" w:cs="Times New Roman"/>
          <w:kern w:val="24"/>
          <w:szCs w:val="24"/>
        </w:rPr>
      </w:pPr>
      <w:r w:rsidRPr="002239E0">
        <w:rPr>
          <w:rFonts w:eastAsia="Calibri" w:cs="Times New Roman"/>
          <w:kern w:val="24"/>
          <w:szCs w:val="24"/>
        </w:rPr>
        <w:t>2015.gada 19.augustā ESM</w:t>
      </w:r>
      <w:r w:rsidRPr="002239E0">
        <w:rPr>
          <w:rFonts w:ascii="Garamond" w:eastAsia="Calibri" w:hAnsi="Garamond" w:cs="Times New Roman"/>
          <w:kern w:val="24"/>
          <w:szCs w:val="24"/>
        </w:rPr>
        <w:t xml:space="preserve"> </w:t>
      </w:r>
      <w:r w:rsidRPr="002239E0">
        <w:rPr>
          <w:rFonts w:eastAsia="Calibri" w:cs="Times New Roman"/>
          <w:kern w:val="24"/>
          <w:szCs w:val="24"/>
        </w:rPr>
        <w:t xml:space="preserve">Valde lēma par aizdevumu Grieķijai un </w:t>
      </w:r>
      <w:r w:rsidR="00AA47E4">
        <w:rPr>
          <w:rFonts w:eastAsia="Calibri" w:cs="Times New Roman"/>
          <w:kern w:val="24"/>
          <w:szCs w:val="24"/>
        </w:rPr>
        <w:t>piešķīr</w:t>
      </w:r>
      <w:r w:rsidRPr="002239E0">
        <w:rPr>
          <w:rFonts w:eastAsia="Calibri" w:cs="Times New Roman"/>
          <w:kern w:val="24"/>
          <w:szCs w:val="24"/>
        </w:rPr>
        <w:t>a finansiāl</w:t>
      </w:r>
      <w:r w:rsidR="00AA47E4">
        <w:rPr>
          <w:rFonts w:eastAsia="Calibri" w:cs="Times New Roman"/>
          <w:kern w:val="24"/>
          <w:szCs w:val="24"/>
        </w:rPr>
        <w:t>o</w:t>
      </w:r>
      <w:r w:rsidRPr="002239E0">
        <w:rPr>
          <w:rFonts w:eastAsia="Calibri" w:cs="Times New Roman"/>
          <w:kern w:val="24"/>
          <w:szCs w:val="24"/>
        </w:rPr>
        <w:t xml:space="preserve"> palīdzīb</w:t>
      </w:r>
      <w:r w:rsidR="00AA47E4">
        <w:rPr>
          <w:rFonts w:eastAsia="Calibri" w:cs="Times New Roman"/>
          <w:kern w:val="24"/>
          <w:szCs w:val="24"/>
        </w:rPr>
        <w:t>u</w:t>
      </w:r>
      <w:r w:rsidRPr="002239E0">
        <w:rPr>
          <w:rFonts w:eastAsia="Calibri" w:cs="Times New Roman"/>
          <w:kern w:val="24"/>
          <w:szCs w:val="24"/>
        </w:rPr>
        <w:t xml:space="preserve"> uz trīs gadiem kopumā piešķirot </w:t>
      </w:r>
      <w:r w:rsidRPr="002239E0">
        <w:rPr>
          <w:rFonts w:eastAsia="Times New Roman" w:cs="Times New Roman"/>
          <w:kern w:val="24"/>
          <w:szCs w:val="24"/>
        </w:rPr>
        <w:t xml:space="preserve">86 </w:t>
      </w:r>
      <w:r w:rsidR="00B04672">
        <w:rPr>
          <w:rFonts w:eastAsia="Times New Roman" w:cs="Times New Roman"/>
          <w:bCs/>
          <w:iCs/>
          <w:kern w:val="24"/>
          <w:szCs w:val="24"/>
        </w:rPr>
        <w:t>m</w:t>
      </w:r>
      <w:r w:rsidR="00955B5B" w:rsidRPr="002239E0">
        <w:rPr>
          <w:rFonts w:eastAsia="Times New Roman" w:cs="Times New Roman"/>
          <w:bCs/>
          <w:iCs/>
          <w:kern w:val="24"/>
          <w:szCs w:val="24"/>
        </w:rPr>
        <w:t>lj</w:t>
      </w:r>
      <w:r w:rsidR="00955B5B">
        <w:rPr>
          <w:rFonts w:eastAsia="Times New Roman" w:cs="Times New Roman"/>
          <w:bCs/>
          <w:iCs/>
          <w:kern w:val="24"/>
          <w:szCs w:val="24"/>
        </w:rPr>
        <w:t>rd.</w:t>
      </w:r>
      <w:r w:rsidR="00955B5B" w:rsidRPr="002239E0">
        <w:rPr>
          <w:rFonts w:eastAsia="Times New Roman" w:cs="Times New Roman"/>
          <w:bCs/>
          <w:iCs/>
          <w:kern w:val="24"/>
          <w:szCs w:val="24"/>
        </w:rPr>
        <w:t xml:space="preserve"> </w:t>
      </w:r>
      <w:r w:rsidRPr="002239E0">
        <w:rPr>
          <w:rFonts w:eastAsia="Times New Roman" w:cs="Times New Roman"/>
          <w:bCs/>
          <w:i/>
          <w:iCs/>
          <w:kern w:val="24"/>
          <w:szCs w:val="24"/>
        </w:rPr>
        <w:t>euro</w:t>
      </w:r>
      <w:r w:rsidRPr="002239E0">
        <w:rPr>
          <w:rFonts w:eastAsia="Times New Roman" w:cs="Times New Roman"/>
          <w:bCs/>
          <w:iCs/>
          <w:kern w:val="24"/>
          <w:szCs w:val="24"/>
        </w:rPr>
        <w:t>, noslēdzot</w:t>
      </w:r>
      <w:r w:rsidRPr="002239E0">
        <w:rPr>
          <w:rFonts w:eastAsia="Times New Roman" w:cs="Times New Roman"/>
          <w:kern w:val="24"/>
          <w:szCs w:val="24"/>
        </w:rPr>
        <w:t xml:space="preserve"> Saprašanās memorandu starp Eiropas Komisiju</w:t>
      </w:r>
      <w:r w:rsidR="006A623C">
        <w:rPr>
          <w:rFonts w:eastAsia="Times New Roman" w:cs="Times New Roman"/>
          <w:kern w:val="24"/>
          <w:szCs w:val="24"/>
        </w:rPr>
        <w:t xml:space="preserve"> ESM vārdā, </w:t>
      </w:r>
      <w:r w:rsidRPr="002239E0">
        <w:rPr>
          <w:rFonts w:eastAsia="Times New Roman" w:cs="Times New Roman"/>
          <w:kern w:val="24"/>
          <w:szCs w:val="24"/>
        </w:rPr>
        <w:t>Grieķijas Republiku un Grieķijas Banku.</w:t>
      </w:r>
      <w:r w:rsidR="00D91CBE" w:rsidRPr="00D91CBE">
        <w:rPr>
          <w:rFonts w:eastAsia="Times New Roman" w:cs="Times New Roman"/>
          <w:color w:val="FF0000"/>
          <w:szCs w:val="24"/>
          <w:lang w:eastAsia="lv-LV"/>
        </w:rPr>
        <w:t xml:space="preserve"> </w:t>
      </w:r>
      <w:r w:rsidR="00D91CBE" w:rsidRPr="00D91CBE">
        <w:rPr>
          <w:rFonts w:eastAsia="Times New Roman" w:cs="Times New Roman"/>
          <w:color w:val="000000" w:themeColor="text1"/>
          <w:szCs w:val="24"/>
          <w:lang w:eastAsia="lv-LV"/>
        </w:rPr>
        <w:t xml:space="preserve">Kopumā Grieķijai ir sniegta palīdzība Trešās ekonomikas stabilizācijas programmas Grieķijai ietvaros 31,7 </w:t>
      </w:r>
      <w:r w:rsidR="00A4581D">
        <w:rPr>
          <w:rFonts w:eastAsia="Times New Roman" w:cs="Times New Roman"/>
          <w:szCs w:val="24"/>
          <w:lang w:eastAsia="lv-LV"/>
        </w:rPr>
        <w:t>mljrd.</w:t>
      </w:r>
      <w:r w:rsidR="00A4581D" w:rsidRPr="00896C7F">
        <w:t xml:space="preserve"> </w:t>
      </w:r>
      <w:r w:rsidR="00D91CBE" w:rsidRPr="00D91CBE">
        <w:rPr>
          <w:rFonts w:eastAsia="Times New Roman" w:cs="Times New Roman"/>
          <w:i/>
          <w:color w:val="000000" w:themeColor="text1"/>
          <w:szCs w:val="24"/>
          <w:lang w:eastAsia="lv-LV"/>
        </w:rPr>
        <w:t>euro</w:t>
      </w:r>
      <w:r w:rsidR="00D91CBE" w:rsidRPr="00D91CBE">
        <w:rPr>
          <w:rFonts w:eastAsia="Times New Roman" w:cs="Times New Roman"/>
          <w:color w:val="000000" w:themeColor="text1"/>
          <w:szCs w:val="24"/>
          <w:lang w:eastAsia="lv-LV"/>
        </w:rPr>
        <w:t xml:space="preserve"> apmērā, no kuriem 10,3 </w:t>
      </w:r>
      <w:r w:rsidR="00A4581D">
        <w:rPr>
          <w:rFonts w:eastAsia="Times New Roman" w:cs="Times New Roman"/>
          <w:szCs w:val="24"/>
          <w:lang w:eastAsia="lv-LV"/>
        </w:rPr>
        <w:t>mljrd.</w:t>
      </w:r>
      <w:r w:rsidR="00A4581D" w:rsidRPr="00896C7F">
        <w:t xml:space="preserve"> </w:t>
      </w:r>
      <w:r w:rsidR="00D91CBE" w:rsidRPr="00D91CBE">
        <w:rPr>
          <w:rFonts w:eastAsia="Times New Roman" w:cs="Times New Roman"/>
          <w:i/>
          <w:color w:val="000000" w:themeColor="text1"/>
          <w:szCs w:val="24"/>
          <w:lang w:eastAsia="lv-LV"/>
        </w:rPr>
        <w:t xml:space="preserve">euro </w:t>
      </w:r>
      <w:r w:rsidR="00D91CBE" w:rsidRPr="00D91CBE">
        <w:rPr>
          <w:rFonts w:eastAsia="Times New Roman" w:cs="Times New Roman"/>
          <w:color w:val="000000" w:themeColor="text1"/>
          <w:szCs w:val="24"/>
          <w:lang w:eastAsia="lv-LV"/>
        </w:rPr>
        <w:t>apmērā palīdzība tika sniegta 2016.gadā.</w:t>
      </w:r>
    </w:p>
    <w:p w14:paraId="67629543" w14:textId="2E1B9337" w:rsidR="002239E0" w:rsidRDefault="00D92A93" w:rsidP="00D91CBE">
      <w:pPr>
        <w:spacing w:after="120"/>
        <w:ind w:firstLine="600"/>
        <w:jc w:val="both"/>
        <w:rPr>
          <w:rFonts w:eastAsia="Times New Roman" w:cs="Times New Roman"/>
          <w:kern w:val="24"/>
          <w:szCs w:val="24"/>
        </w:rPr>
      </w:pPr>
      <w:r>
        <w:rPr>
          <w:rFonts w:eastAsia="Times New Roman" w:cs="Times New Roman"/>
          <w:kern w:val="24"/>
          <w:szCs w:val="24"/>
        </w:rPr>
        <w:t>Programmas mērķis ir ieviest</w:t>
      </w:r>
      <w:r w:rsidR="002239E0" w:rsidRPr="002239E0">
        <w:rPr>
          <w:rFonts w:eastAsia="Times New Roman" w:cs="Times New Roman"/>
          <w:kern w:val="24"/>
          <w:szCs w:val="24"/>
        </w:rPr>
        <w:t xml:space="preserve"> </w:t>
      </w:r>
      <w:r>
        <w:rPr>
          <w:rFonts w:eastAsia="Times New Roman" w:cs="Times New Roman"/>
          <w:kern w:val="24"/>
          <w:szCs w:val="24"/>
        </w:rPr>
        <w:t xml:space="preserve">reformas </w:t>
      </w:r>
      <w:r w:rsidR="002239E0" w:rsidRPr="002239E0">
        <w:rPr>
          <w:rFonts w:eastAsia="Times New Roman" w:cs="Times New Roman"/>
          <w:kern w:val="24"/>
          <w:szCs w:val="24"/>
        </w:rPr>
        <w:t>četr</w:t>
      </w:r>
      <w:r>
        <w:rPr>
          <w:rFonts w:eastAsia="Times New Roman" w:cs="Times New Roman"/>
          <w:kern w:val="24"/>
          <w:szCs w:val="24"/>
        </w:rPr>
        <w:t>o</w:t>
      </w:r>
      <w:r w:rsidR="002239E0" w:rsidRPr="002239E0">
        <w:rPr>
          <w:rFonts w:eastAsia="Times New Roman" w:cs="Times New Roman"/>
          <w:kern w:val="24"/>
          <w:szCs w:val="24"/>
        </w:rPr>
        <w:t>s galvenos virzienus:</w:t>
      </w:r>
      <w:r w:rsidR="00D91CBE">
        <w:rPr>
          <w:rFonts w:eastAsia="Times New Roman" w:cs="Times New Roman"/>
          <w:kern w:val="24"/>
          <w:szCs w:val="24"/>
        </w:rPr>
        <w:t xml:space="preserve"> (i) </w:t>
      </w:r>
      <w:r w:rsidR="002239E0" w:rsidRPr="00D92A93">
        <w:rPr>
          <w:rFonts w:eastAsia="Calibri" w:cs="Times New Roman"/>
          <w:szCs w:val="24"/>
          <w:lang w:eastAsia="lv-LV"/>
        </w:rPr>
        <w:t>fiskālās ilgtspējas atjaunošana;</w:t>
      </w:r>
      <w:r w:rsidR="00F84EEA" w:rsidRPr="00D92A93">
        <w:rPr>
          <w:rFonts w:eastAsia="Calibri" w:cs="Times New Roman"/>
          <w:szCs w:val="24"/>
          <w:lang w:eastAsia="lv-LV"/>
        </w:rPr>
        <w:t xml:space="preserve"> </w:t>
      </w:r>
      <w:r w:rsidR="00D91CBE" w:rsidRPr="00D92A93">
        <w:rPr>
          <w:rFonts w:eastAsia="Calibri" w:cs="Times New Roman"/>
          <w:szCs w:val="24"/>
          <w:lang w:eastAsia="lv-LV"/>
        </w:rPr>
        <w:t xml:space="preserve">(ii) </w:t>
      </w:r>
      <w:r w:rsidR="002239E0" w:rsidRPr="00D92A93">
        <w:rPr>
          <w:rFonts w:eastAsia="Calibri" w:cs="Times New Roman"/>
          <w:szCs w:val="24"/>
          <w:lang w:eastAsia="lv-LV"/>
        </w:rPr>
        <w:t>fin</w:t>
      </w:r>
      <w:r w:rsidR="00D91CBE" w:rsidRPr="00D92A93">
        <w:rPr>
          <w:rFonts w:eastAsia="Calibri" w:cs="Times New Roman"/>
          <w:szCs w:val="24"/>
          <w:lang w:eastAsia="lv-LV"/>
        </w:rPr>
        <w:t>anšu stabilitātes nodrošināšana</w:t>
      </w:r>
      <w:r w:rsidR="002239E0" w:rsidRPr="00D92A93">
        <w:rPr>
          <w:rFonts w:eastAsia="Calibri" w:cs="Times New Roman"/>
          <w:szCs w:val="24"/>
          <w:lang w:eastAsia="lv-LV"/>
        </w:rPr>
        <w:t>;</w:t>
      </w:r>
      <w:r w:rsidR="00D91CBE" w:rsidRPr="00D92A93">
        <w:rPr>
          <w:rFonts w:eastAsia="Calibri" w:cs="Times New Roman"/>
          <w:szCs w:val="24"/>
          <w:lang w:eastAsia="lv-LV"/>
        </w:rPr>
        <w:t xml:space="preserve"> (iii) </w:t>
      </w:r>
      <w:r w:rsidR="002239E0" w:rsidRPr="00D92A93">
        <w:rPr>
          <w:rFonts w:eastAsia="Calibri" w:cs="Times New Roman"/>
          <w:szCs w:val="24"/>
          <w:lang w:eastAsia="lv-LV"/>
        </w:rPr>
        <w:t>izaugsmes un konkurētspējas nodrošināšana un investīciju piesaiste;</w:t>
      </w:r>
      <w:r w:rsidR="00D91CBE" w:rsidRPr="00D92A93">
        <w:rPr>
          <w:rFonts w:eastAsia="Calibri" w:cs="Times New Roman"/>
          <w:szCs w:val="24"/>
          <w:lang w:eastAsia="lv-LV"/>
        </w:rPr>
        <w:t xml:space="preserve"> (iv) </w:t>
      </w:r>
      <w:r w:rsidR="002239E0" w:rsidRPr="00D92A93">
        <w:rPr>
          <w:rFonts w:eastAsia="Times New Roman" w:cs="Times New Roman"/>
          <w:kern w:val="24"/>
          <w:szCs w:val="24"/>
        </w:rPr>
        <w:t>valsts pārvaldes uzlabošana.</w:t>
      </w:r>
    </w:p>
    <w:p w14:paraId="4D0A9094" w14:textId="6FF040EE" w:rsidR="00DC64BE" w:rsidRDefault="00D92A93" w:rsidP="005871E8">
      <w:pPr>
        <w:spacing w:after="120"/>
        <w:ind w:firstLine="600"/>
        <w:jc w:val="both"/>
        <w:rPr>
          <w:rFonts w:eastAsia="Calibri"/>
          <w:szCs w:val="26"/>
        </w:rPr>
      </w:pPr>
      <w:r>
        <w:rPr>
          <w:rFonts w:eastAsia="Times New Roman" w:cs="Times New Roman"/>
          <w:kern w:val="24"/>
          <w:szCs w:val="24"/>
        </w:rPr>
        <w:t>Grieķijas ekonomikas izaugsme 2016.gad</w:t>
      </w:r>
      <w:r w:rsidR="005C4DF2">
        <w:rPr>
          <w:rFonts w:eastAsia="Times New Roman" w:cs="Times New Roman"/>
          <w:kern w:val="24"/>
          <w:szCs w:val="24"/>
        </w:rPr>
        <w:t>ā bija</w:t>
      </w:r>
      <w:r>
        <w:rPr>
          <w:rFonts w:eastAsia="Times New Roman" w:cs="Times New Roman"/>
          <w:kern w:val="24"/>
          <w:szCs w:val="24"/>
        </w:rPr>
        <w:t xml:space="preserve"> </w:t>
      </w:r>
      <w:r w:rsidR="005C4DF2">
        <w:rPr>
          <w:rFonts w:eastAsia="Times New Roman" w:cs="Times New Roman"/>
          <w:kern w:val="24"/>
          <w:szCs w:val="24"/>
        </w:rPr>
        <w:t>lēna un tiek prognozēts, ka ekonomiskā izaugsme 2017. un 2018.gadā attiecīgi būs 2,1% un 2,5%. 2016.gadā budžetā atbilstoši programmas metodoloģijai</w:t>
      </w:r>
      <w:r w:rsidR="00ED7668">
        <w:rPr>
          <w:rFonts w:eastAsia="Times New Roman" w:cs="Times New Roman"/>
          <w:kern w:val="24"/>
          <w:szCs w:val="24"/>
        </w:rPr>
        <w:t xml:space="preserve"> bija pārpalikums </w:t>
      </w:r>
      <w:r w:rsidR="005C4DF2">
        <w:rPr>
          <w:rFonts w:eastAsia="Times New Roman" w:cs="Times New Roman"/>
          <w:kern w:val="24"/>
          <w:szCs w:val="24"/>
        </w:rPr>
        <w:t>4,2% no IKP</w:t>
      </w:r>
      <w:r w:rsidR="005F4C6F">
        <w:rPr>
          <w:rFonts w:eastAsia="Times New Roman" w:cs="Times New Roman"/>
          <w:kern w:val="24"/>
          <w:szCs w:val="24"/>
        </w:rPr>
        <w:t xml:space="preserve"> apmērā</w:t>
      </w:r>
      <w:r w:rsidR="005C4DF2">
        <w:rPr>
          <w:rFonts w:eastAsia="Times New Roman" w:cs="Times New Roman"/>
          <w:kern w:val="24"/>
          <w:szCs w:val="24"/>
        </w:rPr>
        <w:t xml:space="preserve">, kas krietni pārsniedza programmas mērķi </w:t>
      </w:r>
      <w:r w:rsidR="00DB7199">
        <w:rPr>
          <w:rFonts w:eastAsia="Times New Roman" w:cs="Times New Roman"/>
          <w:szCs w:val="24"/>
          <w:lang w:eastAsia="lv-LV"/>
        </w:rPr>
        <w:t xml:space="preserve">– </w:t>
      </w:r>
      <w:r w:rsidR="005C4DF2">
        <w:rPr>
          <w:rFonts w:eastAsia="Times New Roman" w:cs="Times New Roman"/>
          <w:kern w:val="24"/>
          <w:szCs w:val="24"/>
        </w:rPr>
        <w:t>0,</w:t>
      </w:r>
      <w:r w:rsidR="00DB7199">
        <w:rPr>
          <w:rFonts w:eastAsia="Times New Roman" w:cs="Times New Roman"/>
          <w:kern w:val="24"/>
          <w:szCs w:val="24"/>
        </w:rPr>
        <w:t>5% no IKP, kas</w:t>
      </w:r>
      <w:r w:rsidR="00ED7668">
        <w:rPr>
          <w:rFonts w:eastAsia="Times New Roman" w:cs="Times New Roman"/>
          <w:kern w:val="24"/>
          <w:szCs w:val="24"/>
        </w:rPr>
        <w:t xml:space="preserve"> savukārt</w:t>
      </w:r>
      <w:r w:rsidR="00DB7199">
        <w:rPr>
          <w:rFonts w:eastAsia="Times New Roman" w:cs="Times New Roman"/>
          <w:kern w:val="24"/>
          <w:szCs w:val="24"/>
        </w:rPr>
        <w:t xml:space="preserve"> liecina, ka ieviestās fiskālās reformas, īpaši nodokļu jomā sniedz rezultātus. </w:t>
      </w:r>
      <w:r w:rsidR="00B24C92" w:rsidRPr="00EC4736">
        <w:rPr>
          <w:rFonts w:eastAsia="Times New Roman" w:cs="Times New Roman"/>
          <w:color w:val="000000" w:themeColor="text1"/>
          <w:szCs w:val="24"/>
          <w:lang w:eastAsia="lv-LV"/>
        </w:rPr>
        <w:t>Grieķijas parāds</w:t>
      </w:r>
      <w:r w:rsidR="00DC64BE">
        <w:rPr>
          <w:rFonts w:eastAsia="Times New Roman" w:cs="Times New Roman"/>
          <w:color w:val="000000" w:themeColor="text1"/>
          <w:szCs w:val="24"/>
          <w:lang w:eastAsia="lv-LV"/>
        </w:rPr>
        <w:t xml:space="preserve"> saskaņā ar </w:t>
      </w:r>
      <w:r w:rsidR="00DC64BE">
        <w:rPr>
          <w:rFonts w:eastAsia="Times New Roman" w:cs="Times New Roman"/>
          <w:i/>
          <w:color w:val="000000" w:themeColor="text1"/>
          <w:szCs w:val="24"/>
          <w:lang w:eastAsia="lv-LV"/>
        </w:rPr>
        <w:t xml:space="preserve">Eurostat </w:t>
      </w:r>
      <w:r w:rsidR="00DC64BE">
        <w:rPr>
          <w:rFonts w:eastAsia="Times New Roman" w:cs="Times New Roman"/>
          <w:color w:val="000000" w:themeColor="text1"/>
          <w:szCs w:val="24"/>
          <w:lang w:eastAsia="lv-LV"/>
        </w:rPr>
        <w:t>datiem</w:t>
      </w:r>
      <w:r w:rsidR="00B24C92" w:rsidRPr="00EC4736">
        <w:rPr>
          <w:rFonts w:eastAsia="Times New Roman" w:cs="Times New Roman"/>
          <w:color w:val="000000" w:themeColor="text1"/>
          <w:szCs w:val="24"/>
          <w:lang w:eastAsia="lv-LV"/>
        </w:rPr>
        <w:t xml:space="preserve"> 2016.gadā sasniedza 179</w:t>
      </w:r>
      <w:r w:rsidR="00D91CBE">
        <w:rPr>
          <w:rFonts w:eastAsia="Times New Roman" w:cs="Times New Roman"/>
          <w:color w:val="000000" w:themeColor="text1"/>
          <w:szCs w:val="24"/>
          <w:lang w:eastAsia="lv-LV"/>
        </w:rPr>
        <w:t>,</w:t>
      </w:r>
      <w:r w:rsidR="00B24C92" w:rsidRPr="00EC4736">
        <w:rPr>
          <w:rFonts w:eastAsia="Times New Roman" w:cs="Times New Roman"/>
          <w:color w:val="000000" w:themeColor="text1"/>
          <w:szCs w:val="24"/>
          <w:lang w:eastAsia="lv-LV"/>
        </w:rPr>
        <w:t>0</w:t>
      </w:r>
      <w:r w:rsidR="00DC64BE">
        <w:rPr>
          <w:rFonts w:eastAsia="Times New Roman" w:cs="Times New Roman"/>
          <w:color w:val="000000" w:themeColor="text1"/>
          <w:szCs w:val="24"/>
          <w:lang w:eastAsia="lv-LV"/>
        </w:rPr>
        <w:t xml:space="preserve">% no IKP, kas būtiski </w:t>
      </w:r>
      <w:r w:rsidR="00ED7668">
        <w:rPr>
          <w:rFonts w:eastAsia="Times New Roman" w:cs="Times New Roman"/>
          <w:color w:val="000000" w:themeColor="text1"/>
          <w:szCs w:val="24"/>
          <w:lang w:eastAsia="lv-LV"/>
        </w:rPr>
        <w:t>pārsniedz Māstrihtas kritēriju</w:t>
      </w:r>
      <w:r w:rsidR="00D91CBE">
        <w:rPr>
          <w:rFonts w:eastAsia="Times New Roman" w:cs="Times New Roman"/>
          <w:color w:val="000000" w:themeColor="text1"/>
          <w:szCs w:val="24"/>
          <w:lang w:eastAsia="lv-LV"/>
        </w:rPr>
        <w:t xml:space="preserve"> </w:t>
      </w:r>
      <w:r w:rsidR="00DB7199">
        <w:rPr>
          <w:rFonts w:eastAsia="Times New Roman" w:cs="Times New Roman"/>
          <w:szCs w:val="24"/>
          <w:lang w:eastAsia="lv-LV"/>
        </w:rPr>
        <w:t xml:space="preserve">– </w:t>
      </w:r>
      <w:r w:rsidR="00DC64BE">
        <w:rPr>
          <w:rFonts w:eastAsia="Times New Roman" w:cs="Times New Roman"/>
          <w:color w:val="000000" w:themeColor="text1"/>
          <w:szCs w:val="24"/>
          <w:lang w:eastAsia="lv-LV"/>
        </w:rPr>
        <w:t>60% no IKP</w:t>
      </w:r>
      <w:r w:rsidR="00DB7199">
        <w:rPr>
          <w:rFonts w:eastAsia="Times New Roman" w:cs="Times New Roman"/>
          <w:color w:val="000000" w:themeColor="text1"/>
          <w:szCs w:val="24"/>
          <w:lang w:eastAsia="lv-LV"/>
        </w:rPr>
        <w:t>. Tomēr tiek prognozēts, ka parāda līmenis samazināsies, ņemot vērā īstermiņa parāda samazināšanas pasākumu ieviešanu.</w:t>
      </w:r>
      <w:r w:rsidR="005871E8">
        <w:rPr>
          <w:rFonts w:eastAsia="Times New Roman" w:cs="Times New Roman"/>
          <w:color w:val="000000" w:themeColor="text1"/>
          <w:szCs w:val="24"/>
          <w:lang w:eastAsia="lv-LV"/>
        </w:rPr>
        <w:t xml:space="preserve"> </w:t>
      </w:r>
      <w:r w:rsidR="00BE3FDD">
        <w:rPr>
          <w:rFonts w:eastAsia="Calibri"/>
          <w:szCs w:val="26"/>
        </w:rPr>
        <w:t xml:space="preserve">ESM prognozē, ka </w:t>
      </w:r>
      <w:r w:rsidR="00CE5A7E">
        <w:rPr>
          <w:rFonts w:eastAsia="Calibri"/>
          <w:szCs w:val="26"/>
        </w:rPr>
        <w:t>Grieķijas valsts parād</w:t>
      </w:r>
      <w:r w:rsidR="00BE3FDD">
        <w:rPr>
          <w:rFonts w:eastAsia="Calibri"/>
          <w:szCs w:val="26"/>
        </w:rPr>
        <w:t>s</w:t>
      </w:r>
      <w:r w:rsidR="00CE5A7E">
        <w:rPr>
          <w:rFonts w:eastAsia="Calibri"/>
          <w:szCs w:val="26"/>
        </w:rPr>
        <w:t xml:space="preserve"> samazinās līdz 100% no IKP līdz 2060.gadam.</w:t>
      </w:r>
    </w:p>
    <w:p w14:paraId="2618D384" w14:textId="44CD0102" w:rsidR="007F3A21" w:rsidRDefault="007F3A21" w:rsidP="00EC4736">
      <w:pPr>
        <w:spacing w:after="120"/>
        <w:ind w:left="40" w:firstLine="720"/>
        <w:jc w:val="both"/>
        <w:rPr>
          <w:rFonts w:cs="Times New Roman"/>
          <w:bCs/>
          <w:iCs/>
          <w:szCs w:val="24"/>
        </w:rPr>
      </w:pPr>
      <w:r w:rsidRPr="007F3A21">
        <w:rPr>
          <w:rFonts w:cs="Times New Roman"/>
          <w:bCs/>
          <w:i/>
          <w:iCs/>
          <w:szCs w:val="24"/>
        </w:rPr>
        <w:t>Euro</w:t>
      </w:r>
      <w:r>
        <w:rPr>
          <w:rFonts w:cs="Times New Roman"/>
          <w:bCs/>
          <w:iCs/>
          <w:szCs w:val="24"/>
        </w:rPr>
        <w:t xml:space="preserve"> grupa 2016.gada 25.maijā vienojās par 1) parāda ilgtspējas vērtēšanas/atskaites kritēriju, kas tiek sasaistīts ar bruto finansējuma vajadzību līmeni</w:t>
      </w:r>
      <w:r>
        <w:rPr>
          <w:rStyle w:val="FootnoteReference"/>
          <w:rFonts w:cs="Times New Roman"/>
          <w:bCs/>
          <w:iCs/>
          <w:szCs w:val="24"/>
        </w:rPr>
        <w:footnoteReference w:id="5"/>
      </w:r>
      <w:r>
        <w:rPr>
          <w:rFonts w:cs="Times New Roman"/>
          <w:bCs/>
          <w:iCs/>
          <w:szCs w:val="24"/>
        </w:rPr>
        <w:t xml:space="preserve"> un 2) parāda ilgtspējas risinājumiem, kas tiks iedarbināti pakāpeniski pa posmiem.</w:t>
      </w:r>
    </w:p>
    <w:p w14:paraId="58D002C1" w14:textId="238E81D2" w:rsidR="007F3A21" w:rsidRPr="009D3DCD" w:rsidRDefault="007F3A21" w:rsidP="00240A47">
      <w:pPr>
        <w:spacing w:after="120"/>
        <w:ind w:firstLine="720"/>
        <w:jc w:val="both"/>
        <w:rPr>
          <w:rFonts w:cs="Times New Roman"/>
          <w:bCs/>
          <w:iCs/>
          <w:szCs w:val="24"/>
        </w:rPr>
      </w:pPr>
      <w:r>
        <w:rPr>
          <w:rFonts w:cs="Times New Roman"/>
          <w:bCs/>
          <w:iCs/>
          <w:szCs w:val="24"/>
        </w:rPr>
        <w:t>Īstermiņa</w:t>
      </w:r>
      <w:r w:rsidR="00361095">
        <w:rPr>
          <w:rFonts w:cs="Times New Roman"/>
          <w:bCs/>
          <w:iCs/>
          <w:szCs w:val="24"/>
        </w:rPr>
        <w:t xml:space="preserve"> parāda</w:t>
      </w:r>
      <w:r>
        <w:rPr>
          <w:rFonts w:cs="Times New Roman"/>
          <w:bCs/>
          <w:iCs/>
          <w:szCs w:val="24"/>
        </w:rPr>
        <w:t xml:space="preserve"> pasākumu kopums</w:t>
      </w:r>
      <w:r w:rsidR="00DB7199">
        <w:rPr>
          <w:rFonts w:cs="Times New Roman"/>
          <w:bCs/>
          <w:iCs/>
          <w:szCs w:val="24"/>
        </w:rPr>
        <w:t>, ko ESM sāka ieviest no 2017.gada sākuma</w:t>
      </w:r>
      <w:r>
        <w:rPr>
          <w:rFonts w:cs="Times New Roman"/>
          <w:bCs/>
          <w:iCs/>
          <w:szCs w:val="24"/>
        </w:rPr>
        <w:t>, iekļauj tādus risinājumus kā:</w:t>
      </w:r>
      <w:r w:rsidR="00240A47">
        <w:rPr>
          <w:rFonts w:cs="Times New Roman"/>
          <w:bCs/>
          <w:iCs/>
          <w:szCs w:val="24"/>
        </w:rPr>
        <w:t xml:space="preserve"> i</w:t>
      </w:r>
      <w:r w:rsidRPr="007A1E1F">
        <w:rPr>
          <w:rFonts w:cs="Times New Roman"/>
          <w:bCs/>
          <w:iCs/>
          <w:szCs w:val="24"/>
        </w:rPr>
        <w:t>zlīdzināt EFSF</w:t>
      </w:r>
      <w:r>
        <w:rPr>
          <w:rStyle w:val="FootnoteReference"/>
          <w:rFonts w:cs="Times New Roman"/>
          <w:bCs/>
          <w:iCs/>
          <w:szCs w:val="24"/>
        </w:rPr>
        <w:footnoteReference w:id="6"/>
      </w:r>
      <w:r w:rsidRPr="007A1E1F">
        <w:rPr>
          <w:rFonts w:cs="Times New Roman"/>
          <w:bCs/>
          <w:iCs/>
          <w:szCs w:val="24"/>
        </w:rPr>
        <w:t xml:space="preserve"> aizdevumu atmaksas profilu, ievērojot pašreizējo </w:t>
      </w:r>
      <w:r>
        <w:rPr>
          <w:rFonts w:cs="Times New Roman"/>
          <w:bCs/>
          <w:iCs/>
          <w:szCs w:val="24"/>
        </w:rPr>
        <w:t>vidējo svērto parāda atmaksāšanas termiņus</w:t>
      </w:r>
      <w:r w:rsidRPr="007A1E1F">
        <w:rPr>
          <w:rFonts w:cs="Times New Roman"/>
          <w:bCs/>
          <w:iCs/>
          <w:szCs w:val="24"/>
        </w:rPr>
        <w:t>;</w:t>
      </w:r>
      <w:r w:rsidR="00240A47">
        <w:rPr>
          <w:rFonts w:cs="Times New Roman"/>
          <w:bCs/>
          <w:iCs/>
          <w:szCs w:val="24"/>
        </w:rPr>
        <w:t xml:space="preserve"> i</w:t>
      </w:r>
      <w:r w:rsidRPr="009D3DCD">
        <w:rPr>
          <w:rFonts w:cs="Times New Roman"/>
          <w:bCs/>
          <w:iCs/>
          <w:szCs w:val="24"/>
        </w:rPr>
        <w:t>zmantot EFSF un ESM dažādās finansēšanas stratēģijas, lai mazinātu procentu likmju risku, neradot papildus izmaksas bijušām programmas valstīm;</w:t>
      </w:r>
      <w:r w:rsidR="00240A47">
        <w:rPr>
          <w:rFonts w:cs="Times New Roman"/>
          <w:bCs/>
          <w:iCs/>
          <w:szCs w:val="24"/>
        </w:rPr>
        <w:t xml:space="preserve"> a</w:t>
      </w:r>
      <w:r w:rsidRPr="009D3DCD">
        <w:rPr>
          <w:rFonts w:cs="Times New Roman"/>
          <w:bCs/>
          <w:iCs/>
          <w:szCs w:val="24"/>
        </w:rPr>
        <w:t>t</w:t>
      </w:r>
      <w:r>
        <w:rPr>
          <w:rFonts w:cs="Times New Roman"/>
          <w:bCs/>
          <w:iCs/>
          <w:szCs w:val="24"/>
        </w:rPr>
        <w:t>teikties no</w:t>
      </w:r>
      <w:r w:rsidRPr="009D3DCD">
        <w:rPr>
          <w:rFonts w:cs="Times New Roman"/>
          <w:bCs/>
          <w:iCs/>
          <w:szCs w:val="24"/>
        </w:rPr>
        <w:t xml:space="preserve"> pieaugošo procentu likmju robežvērtīb</w:t>
      </w:r>
      <w:r>
        <w:rPr>
          <w:rFonts w:cs="Times New Roman"/>
          <w:bCs/>
          <w:iCs/>
          <w:szCs w:val="24"/>
        </w:rPr>
        <w:t>as, kas saistīta ar Grieķijas otrās palīdzības programmas</w:t>
      </w:r>
      <w:r w:rsidRPr="009D3DCD">
        <w:rPr>
          <w:rFonts w:cs="Times New Roman"/>
          <w:bCs/>
          <w:iCs/>
          <w:szCs w:val="24"/>
        </w:rPr>
        <w:t xml:space="preserve"> (EFSF finansēts) </w:t>
      </w:r>
      <w:r>
        <w:rPr>
          <w:rFonts w:cs="Times New Roman"/>
          <w:bCs/>
          <w:iCs/>
          <w:szCs w:val="24"/>
        </w:rPr>
        <w:t>parāda atpirkšanas laidienu 2017. gadam</w:t>
      </w:r>
      <w:r w:rsidRPr="009D3DCD">
        <w:rPr>
          <w:rFonts w:cs="Times New Roman"/>
          <w:bCs/>
          <w:iCs/>
          <w:szCs w:val="24"/>
        </w:rPr>
        <w:t>.</w:t>
      </w:r>
    </w:p>
    <w:p w14:paraId="7ADB72C5" w14:textId="7B12C96A" w:rsidR="007F3A21" w:rsidRDefault="007F3A21" w:rsidP="00240A47">
      <w:pPr>
        <w:spacing w:after="120"/>
        <w:ind w:firstLine="720"/>
        <w:jc w:val="both"/>
        <w:rPr>
          <w:rFonts w:cs="Times New Roman"/>
          <w:bCs/>
          <w:iCs/>
          <w:szCs w:val="24"/>
        </w:rPr>
      </w:pPr>
      <w:r>
        <w:rPr>
          <w:rFonts w:cs="Times New Roman"/>
          <w:bCs/>
          <w:iCs/>
          <w:szCs w:val="24"/>
        </w:rPr>
        <w:t xml:space="preserve">Vidējā termiņa </w:t>
      </w:r>
      <w:r w:rsidR="00361095">
        <w:rPr>
          <w:rFonts w:cs="Times New Roman"/>
          <w:bCs/>
          <w:iCs/>
          <w:szCs w:val="24"/>
        </w:rPr>
        <w:t xml:space="preserve">parāda </w:t>
      </w:r>
      <w:r>
        <w:rPr>
          <w:rFonts w:cs="Times New Roman"/>
          <w:bCs/>
          <w:iCs/>
          <w:szCs w:val="24"/>
        </w:rPr>
        <w:t xml:space="preserve">pasākuma kopums tiks ieviests pēc veiksmīgas programmas īstenošanas, ja parāda ilgtspējas analīze </w:t>
      </w:r>
      <w:r w:rsidR="00240A47">
        <w:rPr>
          <w:rFonts w:cs="Times New Roman"/>
          <w:bCs/>
          <w:iCs/>
          <w:szCs w:val="24"/>
        </w:rPr>
        <w:t>atspoguļos</w:t>
      </w:r>
      <w:r>
        <w:rPr>
          <w:rFonts w:cs="Times New Roman"/>
          <w:bCs/>
          <w:iCs/>
          <w:szCs w:val="24"/>
        </w:rPr>
        <w:t xml:space="preserve">, ka pasākumi ir nepieciešami bruto finansējumu </w:t>
      </w:r>
      <w:r w:rsidRPr="00CC5079">
        <w:rPr>
          <w:rFonts w:cs="Times New Roman"/>
          <w:bCs/>
          <w:iCs/>
          <w:szCs w:val="24"/>
        </w:rPr>
        <w:t>vajadzības līmeņa nodrošināšanai.</w:t>
      </w:r>
      <w:r>
        <w:rPr>
          <w:rFonts w:cs="Times New Roman"/>
          <w:bCs/>
          <w:iCs/>
          <w:szCs w:val="24"/>
        </w:rPr>
        <w:t xml:space="preserve"> Kā potenciālie pasākumi tiek minēti:</w:t>
      </w:r>
      <w:r w:rsidR="00240A47">
        <w:rPr>
          <w:rFonts w:cs="Times New Roman"/>
          <w:bCs/>
          <w:iCs/>
          <w:szCs w:val="24"/>
        </w:rPr>
        <w:t xml:space="preserve"> a</w:t>
      </w:r>
      <w:r w:rsidRPr="009D3DCD">
        <w:rPr>
          <w:rFonts w:cs="Times New Roman"/>
          <w:bCs/>
          <w:iCs/>
          <w:szCs w:val="24"/>
        </w:rPr>
        <w:t>tteikties no pieaugošo procentu likmju robežvērtības, kas saistīta ar Grieķijas otrās palīdzības programmas parāda atpirkšanas laidienu</w:t>
      </w:r>
      <w:r>
        <w:rPr>
          <w:rFonts w:cs="Times New Roman"/>
          <w:bCs/>
          <w:iCs/>
          <w:szCs w:val="24"/>
        </w:rPr>
        <w:t>,</w:t>
      </w:r>
      <w:r w:rsidRPr="009D3DCD">
        <w:rPr>
          <w:rFonts w:cs="Times New Roman"/>
          <w:bCs/>
          <w:iCs/>
          <w:szCs w:val="24"/>
        </w:rPr>
        <w:t xml:space="preserve"> sākot no 2018.</w:t>
      </w:r>
      <w:r>
        <w:rPr>
          <w:rFonts w:cs="Times New Roman"/>
          <w:bCs/>
          <w:iCs/>
          <w:szCs w:val="24"/>
        </w:rPr>
        <w:t> </w:t>
      </w:r>
      <w:r w:rsidRPr="009D3DCD">
        <w:rPr>
          <w:rFonts w:cs="Times New Roman"/>
          <w:bCs/>
          <w:iCs/>
          <w:szCs w:val="24"/>
        </w:rPr>
        <w:t>gada.</w:t>
      </w:r>
      <w:r w:rsidR="00240A47">
        <w:rPr>
          <w:rFonts w:cs="Times New Roman"/>
          <w:bCs/>
          <w:iCs/>
          <w:szCs w:val="24"/>
        </w:rPr>
        <w:t xml:space="preserve"> </w:t>
      </w:r>
      <w:r w:rsidRPr="009D3DCD">
        <w:rPr>
          <w:rFonts w:cs="Times New Roman"/>
          <w:bCs/>
          <w:iCs/>
          <w:szCs w:val="24"/>
        </w:rPr>
        <w:t>ANFA un SMP</w:t>
      </w:r>
      <w:r>
        <w:rPr>
          <w:rStyle w:val="FootnoteReference"/>
          <w:rFonts w:cs="Times New Roman"/>
          <w:bCs/>
          <w:iCs/>
          <w:szCs w:val="24"/>
        </w:rPr>
        <w:footnoteReference w:id="7"/>
      </w:r>
      <w:r w:rsidRPr="008512D6">
        <w:rPr>
          <w:rFonts w:cs="Times New Roman"/>
          <w:bCs/>
          <w:iCs/>
          <w:szCs w:val="24"/>
        </w:rPr>
        <w:t xml:space="preserve"> </w:t>
      </w:r>
      <w:r w:rsidRPr="009D3DCD">
        <w:rPr>
          <w:rFonts w:cs="Times New Roman"/>
          <w:bCs/>
          <w:iCs/>
          <w:szCs w:val="24"/>
        </w:rPr>
        <w:t>darījumu peļņas novirzīšana ESM atsevišķā kontā kā ESM iekšējs buferis, lai samazinātu nākotn</w:t>
      </w:r>
      <w:r w:rsidR="00240A47">
        <w:rPr>
          <w:rFonts w:cs="Times New Roman"/>
          <w:bCs/>
          <w:iCs/>
          <w:szCs w:val="24"/>
        </w:rPr>
        <w:t>es bruto finansējuma vajadzības; s</w:t>
      </w:r>
      <w:r>
        <w:rPr>
          <w:rFonts w:cs="Times New Roman"/>
          <w:bCs/>
          <w:iCs/>
          <w:szCs w:val="24"/>
        </w:rPr>
        <w:t>aistību pārvaldīšana - l</w:t>
      </w:r>
      <w:r w:rsidRPr="008512D6">
        <w:rPr>
          <w:rFonts w:cs="Times New Roman"/>
          <w:bCs/>
          <w:iCs/>
          <w:szCs w:val="24"/>
        </w:rPr>
        <w:t>ai mazinātu procentu likmes un pagarinātu atmaksas termiņu, izmantot neizlietotos resursus ESM programmā priekšlaicīgai daļējai Grieķijas parādu atmaksai</w:t>
      </w:r>
      <w:r>
        <w:rPr>
          <w:rFonts w:cs="Times New Roman"/>
          <w:bCs/>
          <w:iCs/>
          <w:szCs w:val="24"/>
        </w:rPr>
        <w:t>;</w:t>
      </w:r>
      <w:r w:rsidR="00240A47">
        <w:rPr>
          <w:rFonts w:cs="Times New Roman"/>
          <w:bCs/>
          <w:iCs/>
          <w:szCs w:val="24"/>
        </w:rPr>
        <w:t xml:space="preserve"> j</w:t>
      </w:r>
      <w:r>
        <w:rPr>
          <w:rFonts w:cs="Times New Roman"/>
          <w:bCs/>
          <w:iCs/>
          <w:szCs w:val="24"/>
        </w:rPr>
        <w:t>a nepieciešams, EFSF aizdevumu pārprofilēšana, lai nodrošinātu nepieciešamo bruto finansējumu vajadzības atbilstošā līmenī.</w:t>
      </w:r>
    </w:p>
    <w:p w14:paraId="40C9A13E" w14:textId="303B4161" w:rsidR="00B24C92" w:rsidRPr="00DB7199" w:rsidRDefault="007F3A21" w:rsidP="00DB7199">
      <w:pPr>
        <w:spacing w:after="120"/>
        <w:ind w:firstLine="720"/>
        <w:jc w:val="both"/>
        <w:rPr>
          <w:rFonts w:cs="Times New Roman"/>
          <w:bCs/>
          <w:iCs/>
          <w:szCs w:val="24"/>
        </w:rPr>
      </w:pPr>
      <w:r>
        <w:rPr>
          <w:rFonts w:cs="Times New Roman"/>
          <w:bCs/>
          <w:iCs/>
          <w:szCs w:val="24"/>
        </w:rPr>
        <w:t>Attiecībā uz ilgtermiņa</w:t>
      </w:r>
      <w:r w:rsidR="00361095">
        <w:rPr>
          <w:rFonts w:cs="Times New Roman"/>
          <w:bCs/>
          <w:iCs/>
          <w:szCs w:val="24"/>
        </w:rPr>
        <w:t xml:space="preserve"> parāda</w:t>
      </w:r>
      <w:r>
        <w:rPr>
          <w:rFonts w:cs="Times New Roman"/>
          <w:bCs/>
          <w:iCs/>
          <w:szCs w:val="24"/>
        </w:rPr>
        <w:t xml:space="preserve"> pasākumiem </w:t>
      </w:r>
      <w:r w:rsidRPr="007F3A21">
        <w:rPr>
          <w:rFonts w:cs="Times New Roman"/>
          <w:bCs/>
          <w:i/>
          <w:iCs/>
          <w:szCs w:val="24"/>
        </w:rPr>
        <w:t>Euro</w:t>
      </w:r>
      <w:r>
        <w:rPr>
          <w:rFonts w:cs="Times New Roman"/>
          <w:bCs/>
          <w:iCs/>
          <w:szCs w:val="24"/>
        </w:rPr>
        <w:t xml:space="preserve"> grupa vienojās par parāda ilgtspējas ārkārtas mehānismu, kas tiktu iedarbināts pēc programmas noslēgšanas, ja īstenotos negatīvais scenārijs. Šāds mehānisms būtu saistīts ar tālāku EFSF pārprofilēšanu un procentu maksājumu ierobežošanu (</w:t>
      </w:r>
      <w:r w:rsidRPr="00BE3AFC">
        <w:rPr>
          <w:rFonts w:cs="Times New Roman"/>
          <w:bCs/>
          <w:i/>
          <w:iCs/>
          <w:szCs w:val="24"/>
        </w:rPr>
        <w:t>capping</w:t>
      </w:r>
      <w:r>
        <w:rPr>
          <w:rFonts w:cs="Times New Roman"/>
          <w:bCs/>
          <w:iCs/>
          <w:szCs w:val="24"/>
        </w:rPr>
        <w:t>) u</w:t>
      </w:r>
      <w:r w:rsidR="00DB7199">
        <w:rPr>
          <w:rFonts w:cs="Times New Roman"/>
          <w:bCs/>
          <w:iCs/>
          <w:szCs w:val="24"/>
        </w:rPr>
        <w:t>n procentu maksājumu atlikšanu.</w:t>
      </w:r>
    </w:p>
    <w:p w14:paraId="1239767D" w14:textId="46585949" w:rsidR="007F3A21" w:rsidRDefault="00513965" w:rsidP="007F3A21">
      <w:pPr>
        <w:spacing w:after="120"/>
        <w:ind w:firstLine="720"/>
        <w:jc w:val="both"/>
        <w:rPr>
          <w:rFonts w:cs="Times New Roman"/>
          <w:bCs/>
          <w:iCs/>
          <w:szCs w:val="24"/>
        </w:rPr>
      </w:pPr>
      <w:r>
        <w:rPr>
          <w:rFonts w:cs="Times New Roman"/>
          <w:bCs/>
          <w:iCs/>
          <w:szCs w:val="24"/>
        </w:rPr>
        <w:t>ESM prognozē, ka minēto īstermiņa parāda atvieglošanas pasākumu īstenošana dos pozitīvu ietekmi uz parāda ilgtspēju, samazinot parādu par 20</w:t>
      </w:r>
      <w:r w:rsidR="00361095">
        <w:rPr>
          <w:rFonts w:cs="Times New Roman"/>
          <w:bCs/>
          <w:iCs/>
          <w:szCs w:val="24"/>
        </w:rPr>
        <w:t xml:space="preserve"> procenta </w:t>
      </w:r>
      <w:r>
        <w:rPr>
          <w:rFonts w:cs="Times New Roman"/>
          <w:bCs/>
          <w:iCs/>
          <w:szCs w:val="24"/>
        </w:rPr>
        <w:t>punktiem 2060.gadā un b</w:t>
      </w:r>
      <w:r w:rsidRPr="00513965">
        <w:rPr>
          <w:rFonts w:cs="Times New Roman"/>
          <w:bCs/>
          <w:iCs/>
          <w:szCs w:val="24"/>
        </w:rPr>
        <w:t>rut</w:t>
      </w:r>
      <w:r>
        <w:rPr>
          <w:rFonts w:cs="Times New Roman"/>
          <w:bCs/>
          <w:iCs/>
          <w:szCs w:val="24"/>
        </w:rPr>
        <w:t>o fina</w:t>
      </w:r>
      <w:r w:rsidR="00361095">
        <w:rPr>
          <w:rFonts w:cs="Times New Roman"/>
          <w:bCs/>
          <w:iCs/>
          <w:szCs w:val="24"/>
        </w:rPr>
        <w:t xml:space="preserve">nsējuma vajadzības līmeni par 5 procenta </w:t>
      </w:r>
      <w:r>
        <w:rPr>
          <w:rFonts w:cs="Times New Roman"/>
          <w:bCs/>
          <w:iCs/>
          <w:szCs w:val="24"/>
        </w:rPr>
        <w:t>punktiem.</w:t>
      </w:r>
      <w:r w:rsidR="0061244D">
        <w:rPr>
          <w:rFonts w:cs="Times New Roman"/>
          <w:bCs/>
          <w:iCs/>
          <w:szCs w:val="24"/>
        </w:rPr>
        <w:t xml:space="preserve"> </w:t>
      </w:r>
    </w:p>
    <w:p w14:paraId="169CFDEE" w14:textId="77777777" w:rsidR="0061244D" w:rsidRDefault="0061244D" w:rsidP="00656E6B">
      <w:pPr>
        <w:jc w:val="both"/>
        <w:rPr>
          <w:b/>
        </w:rPr>
      </w:pPr>
    </w:p>
    <w:p w14:paraId="2DC14C80" w14:textId="42BE38FC" w:rsidR="00422C1A" w:rsidRDefault="00E4317A" w:rsidP="00F84EEA">
      <w:pPr>
        <w:spacing w:after="120"/>
        <w:jc w:val="both"/>
        <w:rPr>
          <w:b/>
        </w:rPr>
      </w:pPr>
      <w:r w:rsidRPr="00896C7F">
        <w:rPr>
          <w:b/>
        </w:rPr>
        <w:t>ESM veiktie maksājumi</w:t>
      </w:r>
      <w:r>
        <w:rPr>
          <w:b/>
        </w:rPr>
        <w:t xml:space="preserve"> Grieķijai</w:t>
      </w:r>
    </w:p>
    <w:p w14:paraId="172A14F5" w14:textId="00BB1213" w:rsidR="007A1031" w:rsidRDefault="00422C1A" w:rsidP="00F84EEA">
      <w:pPr>
        <w:spacing w:after="120"/>
        <w:ind w:firstLine="720"/>
        <w:jc w:val="both"/>
      </w:pPr>
      <w:r>
        <w:t xml:space="preserve">2015.gada 20.augustā ESM atbalstīja pirmo maksājumu 26 </w:t>
      </w:r>
      <w:r w:rsidR="00542E18">
        <w:t>m</w:t>
      </w:r>
      <w:r w:rsidR="0024666A">
        <w:t>ljrd</w:t>
      </w:r>
      <w:r w:rsidR="00542E18">
        <w:t>.</w:t>
      </w:r>
      <w:r>
        <w:t xml:space="preserve"> </w:t>
      </w:r>
      <w:r>
        <w:rPr>
          <w:i/>
        </w:rPr>
        <w:t xml:space="preserve">euro </w:t>
      </w:r>
      <w:r>
        <w:t xml:space="preserve">apmērā, no kuriem 13 </w:t>
      </w:r>
      <w:r w:rsidR="00A4581D">
        <w:rPr>
          <w:rFonts w:eastAsia="Times New Roman" w:cs="Times New Roman"/>
          <w:szCs w:val="24"/>
          <w:lang w:eastAsia="lv-LV"/>
        </w:rPr>
        <w:t>mljrd.</w:t>
      </w:r>
      <w:r w:rsidR="00A4581D" w:rsidRPr="00896C7F">
        <w:t xml:space="preserve"> </w:t>
      </w:r>
      <w:r>
        <w:rPr>
          <w:i/>
        </w:rPr>
        <w:t>euro</w:t>
      </w:r>
      <w:r>
        <w:t xml:space="preserve"> tika izmaksāti uzreiz. Pirmais maksājums ietvēra arī </w:t>
      </w:r>
      <w:r w:rsidR="0024666A">
        <w:t xml:space="preserve">drošības </w:t>
      </w:r>
      <w:r>
        <w:t xml:space="preserve">buferi 10 </w:t>
      </w:r>
      <w:r w:rsidR="00A4581D">
        <w:rPr>
          <w:rFonts w:eastAsia="Times New Roman" w:cs="Times New Roman"/>
          <w:szCs w:val="24"/>
          <w:lang w:eastAsia="lv-LV"/>
        </w:rPr>
        <w:t>mljrd.</w:t>
      </w:r>
      <w:r w:rsidR="00A4581D" w:rsidRPr="00896C7F">
        <w:t xml:space="preserve"> </w:t>
      </w:r>
      <w:r>
        <w:rPr>
          <w:i/>
        </w:rPr>
        <w:t>euro</w:t>
      </w:r>
      <w:r>
        <w:t xml:space="preserve"> apmērā banku rekapitalizacijai.</w:t>
      </w:r>
      <w:r w:rsidR="00F84EEA">
        <w:t xml:space="preserve"> </w:t>
      </w:r>
      <w:r w:rsidR="00715D4D">
        <w:t xml:space="preserve">Kopumā </w:t>
      </w:r>
      <w:r w:rsidR="007C6AF9" w:rsidRPr="007C6AF9">
        <w:t xml:space="preserve">līdz 2016.gada 31.decembrim </w:t>
      </w:r>
      <w:r w:rsidR="00715D4D">
        <w:t>Grieķijai ir izmaksāts</w:t>
      </w:r>
      <w:r w:rsidR="007A1031">
        <w:t xml:space="preserve"> </w:t>
      </w:r>
      <w:r w:rsidR="00715D4D" w:rsidRPr="00715D4D">
        <w:t>31,7</w:t>
      </w:r>
      <w:r w:rsidR="007A1031">
        <w:t xml:space="preserve"> mljrd. </w:t>
      </w:r>
      <w:r w:rsidR="007A1031">
        <w:rPr>
          <w:i/>
        </w:rPr>
        <w:t>euro</w:t>
      </w:r>
      <w:r w:rsidR="00715D4D">
        <w:t xml:space="preserve"> </w:t>
      </w:r>
      <w:r w:rsidR="007C6AF9">
        <w:t>b</w:t>
      </w:r>
      <w:r w:rsidR="007C6AF9" w:rsidRPr="007C6AF9">
        <w:t>anku rekapitalizācijai</w:t>
      </w:r>
      <w:r w:rsidR="007C6AF9">
        <w:t>,</w:t>
      </w:r>
      <w:r w:rsidR="007C6AF9" w:rsidRPr="007C6AF9">
        <w:t xml:space="preserve"> </w:t>
      </w:r>
      <w:r w:rsidR="007A1031">
        <w:t>parāda apkalpošanai un budžeta finansēšanai.</w:t>
      </w:r>
      <w:r w:rsidR="007C6AF9">
        <w:t xml:space="preserve"> </w:t>
      </w:r>
      <w:r w:rsidR="007A1031">
        <w:t>Grieķijai izmaksāto aizdevum</w:t>
      </w:r>
      <w:r w:rsidR="00AA47E4">
        <w:t>u</w:t>
      </w:r>
      <w:r w:rsidR="007A1031">
        <w:t xml:space="preserve"> ir jāatmaksā no 2034. līdz 205</w:t>
      </w:r>
      <w:r w:rsidR="007C6AF9">
        <w:t>8</w:t>
      </w:r>
      <w:r w:rsidR="007A1031">
        <w:t>.gada.</w:t>
      </w:r>
    </w:p>
    <w:p w14:paraId="7FD00884" w14:textId="59845F21" w:rsidR="008E56A0" w:rsidRPr="006E7176" w:rsidRDefault="005871E8" w:rsidP="0080654E">
      <w:pPr>
        <w:spacing w:after="120"/>
        <w:jc w:val="right"/>
        <w:rPr>
          <w:b/>
          <w:i/>
          <w:sz w:val="20"/>
        </w:rPr>
      </w:pPr>
      <w:r>
        <w:rPr>
          <w:b/>
          <w:i/>
          <w:sz w:val="20"/>
        </w:rPr>
        <w:t>2</w:t>
      </w:r>
      <w:r w:rsidR="002239E0" w:rsidRPr="006E7176">
        <w:rPr>
          <w:b/>
          <w:i/>
          <w:sz w:val="20"/>
        </w:rPr>
        <w:t>.tabula Grieķijas makroekonomikas korekcijas programmas ietvaros veiktie ESM maksājumi</w:t>
      </w:r>
    </w:p>
    <w:tbl>
      <w:tblPr>
        <w:tblStyle w:val="GridTable3-Accent1"/>
        <w:tblW w:w="0" w:type="auto"/>
        <w:jc w:val="center"/>
        <w:tblLook w:val="04A0" w:firstRow="1" w:lastRow="0" w:firstColumn="1" w:lastColumn="0" w:noHBand="0" w:noVBand="1"/>
      </w:tblPr>
      <w:tblGrid>
        <w:gridCol w:w="3466"/>
        <w:gridCol w:w="2002"/>
        <w:gridCol w:w="3540"/>
      </w:tblGrid>
      <w:tr w:rsidR="00F84EEA" w:rsidRPr="006E7176" w14:paraId="02C1B6B7" w14:textId="77777777" w:rsidTr="00E31F93">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466" w:type="dxa"/>
            <w:vAlign w:val="center"/>
          </w:tcPr>
          <w:p w14:paraId="390141B3" w14:textId="77777777" w:rsidR="00F84EEA" w:rsidRPr="006E7176" w:rsidRDefault="00F84EEA" w:rsidP="00F84EEA">
            <w:pPr>
              <w:jc w:val="center"/>
              <w:rPr>
                <w:sz w:val="20"/>
              </w:rPr>
            </w:pPr>
            <w:r w:rsidRPr="006E7176">
              <w:rPr>
                <w:sz w:val="20"/>
              </w:rPr>
              <w:t>Izmaksas datums</w:t>
            </w:r>
          </w:p>
        </w:tc>
        <w:tc>
          <w:tcPr>
            <w:tcW w:w="2002" w:type="dxa"/>
            <w:vAlign w:val="center"/>
          </w:tcPr>
          <w:p w14:paraId="0904A7BD" w14:textId="77777777" w:rsidR="00F84EEA" w:rsidRPr="006E7176" w:rsidRDefault="00F84EEA" w:rsidP="00F84EEA">
            <w:pPr>
              <w:jc w:val="center"/>
              <w:cnfStyle w:val="100000000000" w:firstRow="1" w:lastRow="0" w:firstColumn="0" w:lastColumn="0" w:oddVBand="0" w:evenVBand="0" w:oddHBand="0" w:evenHBand="0" w:firstRowFirstColumn="0" w:firstRowLastColumn="0" w:lastRowFirstColumn="0" w:lastRowLastColumn="0"/>
              <w:rPr>
                <w:i/>
                <w:sz w:val="20"/>
              </w:rPr>
            </w:pPr>
            <w:r w:rsidRPr="006E7176">
              <w:rPr>
                <w:i/>
                <w:sz w:val="20"/>
              </w:rPr>
              <w:t>Apmērs</w:t>
            </w:r>
          </w:p>
          <w:p w14:paraId="12A3BCAE" w14:textId="128E90C6" w:rsidR="00F84EEA" w:rsidRPr="006E7176" w:rsidRDefault="00F84EEA" w:rsidP="00F84EEA">
            <w:pPr>
              <w:jc w:val="center"/>
              <w:cnfStyle w:val="100000000000" w:firstRow="1" w:lastRow="0" w:firstColumn="0" w:lastColumn="0" w:oddVBand="0" w:evenVBand="0" w:oddHBand="0" w:evenHBand="0" w:firstRowFirstColumn="0" w:firstRowLastColumn="0" w:lastRowFirstColumn="0" w:lastRowLastColumn="0"/>
              <w:rPr>
                <w:i/>
                <w:sz w:val="20"/>
              </w:rPr>
            </w:pPr>
            <w:r w:rsidRPr="006E7176">
              <w:rPr>
                <w:i/>
                <w:sz w:val="20"/>
              </w:rPr>
              <w:t>(mljrd. euro)</w:t>
            </w:r>
          </w:p>
        </w:tc>
        <w:tc>
          <w:tcPr>
            <w:tcW w:w="3540" w:type="dxa"/>
            <w:vAlign w:val="center"/>
          </w:tcPr>
          <w:p w14:paraId="2E8A17D9" w14:textId="77777777" w:rsidR="00F84EEA" w:rsidRPr="006E7176" w:rsidRDefault="00F84EEA" w:rsidP="00F84EEA">
            <w:pPr>
              <w:jc w:val="center"/>
              <w:cnfStyle w:val="100000000000" w:firstRow="1" w:lastRow="0" w:firstColumn="0" w:lastColumn="0" w:oddVBand="0" w:evenVBand="0" w:oddHBand="0" w:evenHBand="0" w:firstRowFirstColumn="0" w:firstRowLastColumn="0" w:lastRowFirstColumn="0" w:lastRowLastColumn="0"/>
              <w:rPr>
                <w:i/>
                <w:sz w:val="20"/>
              </w:rPr>
            </w:pPr>
            <w:r w:rsidRPr="006E7176">
              <w:rPr>
                <w:i/>
                <w:sz w:val="20"/>
              </w:rPr>
              <w:t>Mērķis</w:t>
            </w:r>
          </w:p>
        </w:tc>
      </w:tr>
      <w:tr w:rsidR="00F84EEA" w:rsidRPr="006E7176" w14:paraId="13204A2B"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6579FA3D" w14:textId="77777777" w:rsidR="00F84EEA" w:rsidRPr="006E7176" w:rsidRDefault="00F84EEA" w:rsidP="00F84EEA">
            <w:pPr>
              <w:jc w:val="center"/>
              <w:rPr>
                <w:i w:val="0"/>
                <w:sz w:val="20"/>
              </w:rPr>
            </w:pPr>
            <w:r w:rsidRPr="006E7176">
              <w:rPr>
                <w:i w:val="0"/>
                <w:sz w:val="20"/>
              </w:rPr>
              <w:t>20.08.2015.</w:t>
            </w:r>
          </w:p>
        </w:tc>
        <w:tc>
          <w:tcPr>
            <w:tcW w:w="2002" w:type="dxa"/>
          </w:tcPr>
          <w:p w14:paraId="7B50E567" w14:textId="7777777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13</w:t>
            </w:r>
          </w:p>
        </w:tc>
        <w:tc>
          <w:tcPr>
            <w:tcW w:w="3540" w:type="dxa"/>
            <w:vMerge w:val="restart"/>
            <w:vAlign w:val="center"/>
          </w:tcPr>
          <w:p w14:paraId="697D9DEC"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b/>
                <w:sz w:val="20"/>
              </w:rPr>
            </w:pPr>
            <w:r w:rsidRPr="006E7176">
              <w:rPr>
                <w:sz w:val="20"/>
              </w:rPr>
              <w:t>Parāda apkalpošanai un budžeta finansēšanai</w:t>
            </w:r>
          </w:p>
        </w:tc>
      </w:tr>
      <w:tr w:rsidR="00F84EEA" w:rsidRPr="006E7176" w14:paraId="792FDA5E"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59B5B94C" w14:textId="77777777" w:rsidR="00F84EEA" w:rsidRPr="006E7176" w:rsidRDefault="00F84EEA" w:rsidP="00F84EEA">
            <w:pPr>
              <w:jc w:val="center"/>
              <w:rPr>
                <w:i w:val="0"/>
                <w:sz w:val="20"/>
              </w:rPr>
            </w:pPr>
            <w:r w:rsidRPr="006E7176">
              <w:rPr>
                <w:i w:val="0"/>
                <w:sz w:val="20"/>
              </w:rPr>
              <w:t>24.11.2015.</w:t>
            </w:r>
          </w:p>
        </w:tc>
        <w:tc>
          <w:tcPr>
            <w:tcW w:w="2002" w:type="dxa"/>
          </w:tcPr>
          <w:p w14:paraId="2BEFDAF1" w14:textId="77777777"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sz w:val="20"/>
              </w:rPr>
            </w:pPr>
            <w:r w:rsidRPr="006E7176">
              <w:rPr>
                <w:sz w:val="20"/>
              </w:rPr>
              <w:t>2</w:t>
            </w:r>
          </w:p>
        </w:tc>
        <w:tc>
          <w:tcPr>
            <w:tcW w:w="3540" w:type="dxa"/>
            <w:vMerge/>
          </w:tcPr>
          <w:p w14:paraId="2BAF251F" w14:textId="103A074C"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b/>
                <w:sz w:val="20"/>
              </w:rPr>
            </w:pPr>
          </w:p>
        </w:tc>
      </w:tr>
      <w:tr w:rsidR="00F84EEA" w:rsidRPr="006E7176" w14:paraId="7C96EDFD"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A5D4F00" w14:textId="77777777" w:rsidR="00F84EEA" w:rsidRPr="006E7176" w:rsidRDefault="00F84EEA" w:rsidP="00F84EEA">
            <w:pPr>
              <w:jc w:val="center"/>
              <w:rPr>
                <w:i w:val="0"/>
                <w:sz w:val="20"/>
              </w:rPr>
            </w:pPr>
            <w:r w:rsidRPr="006E7176">
              <w:rPr>
                <w:i w:val="0"/>
                <w:sz w:val="20"/>
              </w:rPr>
              <w:t>01.12.2015.</w:t>
            </w:r>
          </w:p>
        </w:tc>
        <w:tc>
          <w:tcPr>
            <w:tcW w:w="2002" w:type="dxa"/>
          </w:tcPr>
          <w:p w14:paraId="581DD0EA" w14:textId="7777777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2,72</w:t>
            </w:r>
          </w:p>
        </w:tc>
        <w:tc>
          <w:tcPr>
            <w:tcW w:w="3540" w:type="dxa"/>
            <w:vMerge w:val="restart"/>
            <w:vAlign w:val="center"/>
          </w:tcPr>
          <w:p w14:paraId="0AE48A36"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sz w:val="20"/>
              </w:rPr>
            </w:pPr>
            <w:r w:rsidRPr="006E7176">
              <w:rPr>
                <w:sz w:val="20"/>
              </w:rPr>
              <w:t>Banku rekapitalizācijai</w:t>
            </w:r>
          </w:p>
        </w:tc>
      </w:tr>
      <w:tr w:rsidR="00F84EEA" w:rsidRPr="006E7176" w14:paraId="16E6602F"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D94638F" w14:textId="77777777" w:rsidR="00F84EEA" w:rsidRPr="006E7176" w:rsidRDefault="00F84EEA" w:rsidP="00F84EEA">
            <w:pPr>
              <w:jc w:val="center"/>
              <w:rPr>
                <w:i w:val="0"/>
                <w:sz w:val="20"/>
              </w:rPr>
            </w:pPr>
            <w:r w:rsidRPr="006E7176">
              <w:rPr>
                <w:i w:val="0"/>
                <w:sz w:val="20"/>
              </w:rPr>
              <w:t>08.12.2015.</w:t>
            </w:r>
          </w:p>
        </w:tc>
        <w:tc>
          <w:tcPr>
            <w:tcW w:w="2002" w:type="dxa"/>
          </w:tcPr>
          <w:p w14:paraId="2C077381" w14:textId="77777777"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sz w:val="20"/>
              </w:rPr>
            </w:pPr>
            <w:r w:rsidRPr="006E7176">
              <w:rPr>
                <w:sz w:val="20"/>
              </w:rPr>
              <w:t>2,71</w:t>
            </w:r>
          </w:p>
        </w:tc>
        <w:tc>
          <w:tcPr>
            <w:tcW w:w="3540" w:type="dxa"/>
            <w:vMerge/>
          </w:tcPr>
          <w:p w14:paraId="34E6D782" w14:textId="493A0A1A"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b/>
                <w:sz w:val="20"/>
              </w:rPr>
            </w:pPr>
          </w:p>
        </w:tc>
      </w:tr>
      <w:tr w:rsidR="00F84EEA" w:rsidRPr="006E7176" w14:paraId="7B07A928"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0DE6667" w14:textId="77777777" w:rsidR="00F84EEA" w:rsidRPr="006E7176" w:rsidRDefault="00F84EEA" w:rsidP="00F84EEA">
            <w:pPr>
              <w:jc w:val="center"/>
              <w:rPr>
                <w:i w:val="0"/>
                <w:sz w:val="20"/>
              </w:rPr>
            </w:pPr>
            <w:r w:rsidRPr="006E7176">
              <w:rPr>
                <w:i w:val="0"/>
                <w:sz w:val="20"/>
              </w:rPr>
              <w:t>23.12.2015.</w:t>
            </w:r>
          </w:p>
        </w:tc>
        <w:tc>
          <w:tcPr>
            <w:tcW w:w="2002" w:type="dxa"/>
          </w:tcPr>
          <w:p w14:paraId="2EFA495A" w14:textId="7777777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1</w:t>
            </w:r>
          </w:p>
        </w:tc>
        <w:tc>
          <w:tcPr>
            <w:tcW w:w="3540" w:type="dxa"/>
            <w:vMerge w:val="restart"/>
            <w:vAlign w:val="center"/>
          </w:tcPr>
          <w:p w14:paraId="52DCC894"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b/>
                <w:sz w:val="20"/>
              </w:rPr>
            </w:pPr>
            <w:r w:rsidRPr="006E7176">
              <w:rPr>
                <w:sz w:val="20"/>
              </w:rPr>
              <w:t>Parāda apkalpošanai un budžeta finansēšanai</w:t>
            </w:r>
          </w:p>
        </w:tc>
      </w:tr>
      <w:tr w:rsidR="00F84EEA" w:rsidRPr="006E7176" w14:paraId="004FE58E"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2B7BA19F" w14:textId="0DD20578" w:rsidR="00F84EEA" w:rsidRPr="006E7176" w:rsidRDefault="00F84EEA" w:rsidP="00F84EEA">
            <w:pPr>
              <w:jc w:val="center"/>
              <w:rPr>
                <w:i w:val="0"/>
                <w:sz w:val="20"/>
              </w:rPr>
            </w:pPr>
            <w:r w:rsidRPr="006E7176">
              <w:rPr>
                <w:i w:val="0"/>
                <w:sz w:val="20"/>
              </w:rPr>
              <w:t>21.06.2016.</w:t>
            </w:r>
          </w:p>
        </w:tc>
        <w:tc>
          <w:tcPr>
            <w:tcW w:w="2002" w:type="dxa"/>
          </w:tcPr>
          <w:p w14:paraId="72582483" w14:textId="736EAB7C"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sz w:val="20"/>
              </w:rPr>
            </w:pPr>
            <w:r w:rsidRPr="006E7176">
              <w:rPr>
                <w:sz w:val="20"/>
              </w:rPr>
              <w:t>7,5</w:t>
            </w:r>
          </w:p>
        </w:tc>
        <w:tc>
          <w:tcPr>
            <w:tcW w:w="3540" w:type="dxa"/>
            <w:vMerge/>
          </w:tcPr>
          <w:p w14:paraId="3A7D9F2A" w14:textId="77777777"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sz w:val="20"/>
              </w:rPr>
            </w:pPr>
          </w:p>
        </w:tc>
      </w:tr>
      <w:tr w:rsidR="00F84EEA" w:rsidRPr="006E7176" w14:paraId="09B9C76A" w14:textId="77777777" w:rsidTr="00E31F9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54C1DB17" w14:textId="46909062" w:rsidR="00F84EEA" w:rsidRPr="006E7176" w:rsidRDefault="00F84EEA" w:rsidP="00F84EEA">
            <w:pPr>
              <w:jc w:val="center"/>
              <w:rPr>
                <w:i w:val="0"/>
                <w:sz w:val="20"/>
              </w:rPr>
            </w:pPr>
            <w:r w:rsidRPr="006E7176">
              <w:rPr>
                <w:i w:val="0"/>
                <w:sz w:val="20"/>
              </w:rPr>
              <w:t>26.10.2016.</w:t>
            </w:r>
          </w:p>
        </w:tc>
        <w:tc>
          <w:tcPr>
            <w:tcW w:w="2002" w:type="dxa"/>
          </w:tcPr>
          <w:p w14:paraId="6A7F6698" w14:textId="74A53497" w:rsidR="00F84EEA" w:rsidRPr="006E7176" w:rsidRDefault="00F84EEA" w:rsidP="00F84EEA">
            <w:pPr>
              <w:jc w:val="right"/>
              <w:cnfStyle w:val="000000100000" w:firstRow="0" w:lastRow="0" w:firstColumn="0" w:lastColumn="0" w:oddVBand="0" w:evenVBand="0" w:oddHBand="1" w:evenHBand="0" w:firstRowFirstColumn="0" w:firstRowLastColumn="0" w:lastRowFirstColumn="0" w:lastRowLastColumn="0"/>
              <w:rPr>
                <w:sz w:val="20"/>
              </w:rPr>
            </w:pPr>
            <w:r w:rsidRPr="006E7176">
              <w:rPr>
                <w:sz w:val="20"/>
              </w:rPr>
              <w:t>2.8</w:t>
            </w:r>
          </w:p>
        </w:tc>
        <w:tc>
          <w:tcPr>
            <w:tcW w:w="3540" w:type="dxa"/>
            <w:vMerge/>
          </w:tcPr>
          <w:p w14:paraId="348FBFB1" w14:textId="77777777" w:rsidR="00F84EEA" w:rsidRPr="006E7176" w:rsidRDefault="00F84EEA" w:rsidP="00F84EEA">
            <w:pPr>
              <w:jc w:val="both"/>
              <w:cnfStyle w:val="000000100000" w:firstRow="0" w:lastRow="0" w:firstColumn="0" w:lastColumn="0" w:oddVBand="0" w:evenVBand="0" w:oddHBand="1" w:evenHBand="0" w:firstRowFirstColumn="0" w:firstRowLastColumn="0" w:lastRowFirstColumn="0" w:lastRowLastColumn="0"/>
              <w:rPr>
                <w:sz w:val="20"/>
              </w:rPr>
            </w:pPr>
          </w:p>
        </w:tc>
      </w:tr>
      <w:tr w:rsidR="00F84EEA" w:rsidRPr="006E7176" w14:paraId="77C66A97" w14:textId="77777777" w:rsidTr="00E31F93">
        <w:trPr>
          <w:trHeight w:val="283"/>
          <w:jc w:val="center"/>
        </w:trPr>
        <w:tc>
          <w:tcPr>
            <w:cnfStyle w:val="001000000000" w:firstRow="0" w:lastRow="0" w:firstColumn="1" w:lastColumn="0" w:oddVBand="0" w:evenVBand="0" w:oddHBand="0" w:evenHBand="0" w:firstRowFirstColumn="0" w:firstRowLastColumn="0" w:lastRowFirstColumn="0" w:lastRowLastColumn="0"/>
            <w:tcW w:w="3466" w:type="dxa"/>
          </w:tcPr>
          <w:p w14:paraId="174D0EE1" w14:textId="16C67073" w:rsidR="00F84EEA" w:rsidRPr="006E7176" w:rsidRDefault="00F84EEA" w:rsidP="00F84EEA">
            <w:pPr>
              <w:jc w:val="center"/>
              <w:rPr>
                <w:b/>
                <w:i w:val="0"/>
                <w:sz w:val="20"/>
              </w:rPr>
            </w:pPr>
            <w:r w:rsidRPr="006E7176">
              <w:rPr>
                <w:b/>
                <w:i w:val="0"/>
                <w:sz w:val="20"/>
              </w:rPr>
              <w:t>KOPĀ līdz 2016.gada 31.decembrim</w:t>
            </w:r>
          </w:p>
        </w:tc>
        <w:tc>
          <w:tcPr>
            <w:tcW w:w="2002" w:type="dxa"/>
          </w:tcPr>
          <w:p w14:paraId="7F53B087" w14:textId="5A47524F" w:rsidR="00F84EEA" w:rsidRPr="006E7176" w:rsidRDefault="00F84EEA" w:rsidP="00F84EEA">
            <w:pPr>
              <w:jc w:val="right"/>
              <w:cnfStyle w:val="000000000000" w:firstRow="0" w:lastRow="0" w:firstColumn="0" w:lastColumn="0" w:oddVBand="0" w:evenVBand="0" w:oddHBand="0" w:evenHBand="0" w:firstRowFirstColumn="0" w:firstRowLastColumn="0" w:lastRowFirstColumn="0" w:lastRowLastColumn="0"/>
              <w:rPr>
                <w:b/>
                <w:i/>
                <w:sz w:val="20"/>
              </w:rPr>
            </w:pPr>
            <w:r w:rsidRPr="006E7176">
              <w:rPr>
                <w:b/>
                <w:i/>
                <w:sz w:val="20"/>
              </w:rPr>
              <w:t>31,7</w:t>
            </w:r>
          </w:p>
        </w:tc>
        <w:tc>
          <w:tcPr>
            <w:tcW w:w="3540" w:type="dxa"/>
          </w:tcPr>
          <w:p w14:paraId="48A83357" w14:textId="77777777" w:rsidR="00F84EEA" w:rsidRPr="006E7176" w:rsidRDefault="00F84EEA" w:rsidP="00F84EEA">
            <w:pPr>
              <w:jc w:val="both"/>
              <w:cnfStyle w:val="000000000000" w:firstRow="0" w:lastRow="0" w:firstColumn="0" w:lastColumn="0" w:oddVBand="0" w:evenVBand="0" w:oddHBand="0" w:evenHBand="0" w:firstRowFirstColumn="0" w:firstRowLastColumn="0" w:lastRowFirstColumn="0" w:lastRowLastColumn="0"/>
              <w:rPr>
                <w:b/>
                <w:i/>
                <w:sz w:val="20"/>
              </w:rPr>
            </w:pPr>
          </w:p>
        </w:tc>
      </w:tr>
    </w:tbl>
    <w:p w14:paraId="4E62912B" w14:textId="77777777" w:rsidR="007F3A21" w:rsidRDefault="007F3A21" w:rsidP="007A2B6B">
      <w:pPr>
        <w:jc w:val="center"/>
        <w:rPr>
          <w:b/>
          <w:color w:val="000000" w:themeColor="text1"/>
        </w:rPr>
      </w:pPr>
    </w:p>
    <w:p w14:paraId="0BD7410F" w14:textId="77777777" w:rsidR="00E31F93" w:rsidRDefault="00E31F93" w:rsidP="007A2B6B">
      <w:pPr>
        <w:jc w:val="center"/>
        <w:rPr>
          <w:b/>
          <w:color w:val="000000" w:themeColor="text1"/>
        </w:rPr>
      </w:pPr>
    </w:p>
    <w:p w14:paraId="23A2D044" w14:textId="0BF33224" w:rsidR="00D5502A" w:rsidRPr="00A90717" w:rsidRDefault="00A90717" w:rsidP="007A2B6B">
      <w:pPr>
        <w:jc w:val="center"/>
        <w:rPr>
          <w:b/>
          <w:color w:val="000000" w:themeColor="text1"/>
        </w:rPr>
      </w:pPr>
      <w:r w:rsidRPr="00A90717">
        <w:rPr>
          <w:b/>
          <w:color w:val="000000" w:themeColor="text1"/>
        </w:rPr>
        <w:t>2</w:t>
      </w:r>
      <w:r w:rsidR="000C076D" w:rsidRPr="00A90717">
        <w:rPr>
          <w:b/>
          <w:color w:val="000000" w:themeColor="text1"/>
        </w:rPr>
        <w:t xml:space="preserve">. </w:t>
      </w:r>
      <w:r w:rsidR="00D5502A" w:rsidRPr="00A90717">
        <w:rPr>
          <w:b/>
          <w:color w:val="000000" w:themeColor="text1"/>
        </w:rPr>
        <w:t>ESM finanšu līdzekļu piesaiste</w:t>
      </w:r>
      <w:r w:rsidR="000C076D" w:rsidRPr="00A90717">
        <w:rPr>
          <w:b/>
          <w:color w:val="000000" w:themeColor="text1"/>
        </w:rPr>
        <w:t xml:space="preserve"> finanšu tirgos</w:t>
      </w:r>
    </w:p>
    <w:p w14:paraId="381C8F61" w14:textId="77777777" w:rsidR="00D5502A" w:rsidRPr="00994ECF" w:rsidRDefault="00D5502A" w:rsidP="00085635">
      <w:pPr>
        <w:jc w:val="both"/>
        <w:rPr>
          <w:b/>
          <w:highlight w:val="yellow"/>
        </w:rPr>
      </w:pPr>
    </w:p>
    <w:p w14:paraId="442BA0AF" w14:textId="01E5E115" w:rsidR="00E31F93" w:rsidRDefault="004A7DAD" w:rsidP="00E31F93">
      <w:pPr>
        <w:ind w:firstLine="720"/>
        <w:jc w:val="both"/>
        <w:rPr>
          <w:b/>
          <w:i/>
          <w:color w:val="000000" w:themeColor="text1"/>
          <w:sz w:val="20"/>
        </w:rPr>
      </w:pPr>
      <w:r w:rsidRPr="004A7DAD">
        <w:t>ESM piemēro dažādotu finansēšanas stratēģiju, kas ietver virkni instrumentu un termiņu izmantošanu, lai nodrošinātu finansējuma efektivitāti un nepārtrauktu piekļuvi tirgum. Vien</w:t>
      </w:r>
      <w:r w:rsidR="00542E18">
        <w:t>a</w:t>
      </w:r>
      <w:r w:rsidRPr="004A7DAD">
        <w:t xml:space="preserve"> no šīs stratēģijas iezīmēm ir </w:t>
      </w:r>
      <w:r w:rsidR="00542E18">
        <w:t>tāda</w:t>
      </w:r>
      <w:r w:rsidRPr="004A7DAD">
        <w:t xml:space="preserve">, ka līdzekļi, kas iegūti, izmantojot dažādus instrumentus, netiek attiecināti uz konkrētu </w:t>
      </w:r>
      <w:r>
        <w:t>saņēmēj</w:t>
      </w:r>
      <w:r w:rsidRPr="004A7DAD">
        <w:t>valsti. Līdzekļus apvieno un pēc tam izmaksā programmas valstīm.</w:t>
      </w:r>
      <w:r w:rsidR="00CA4F15">
        <w:t xml:space="preserve"> </w:t>
      </w:r>
    </w:p>
    <w:p w14:paraId="65C67323" w14:textId="4E76F1EB" w:rsidR="00DE0BAE" w:rsidRPr="006E7176" w:rsidRDefault="00DE0BAE" w:rsidP="00DE0BAE">
      <w:pPr>
        <w:spacing w:before="120"/>
        <w:jc w:val="right"/>
        <w:rPr>
          <w:i/>
          <w:sz w:val="20"/>
        </w:rPr>
      </w:pPr>
      <w:r w:rsidRPr="006E7176">
        <w:rPr>
          <w:b/>
          <w:i/>
          <w:color w:val="000000" w:themeColor="text1"/>
          <w:sz w:val="20"/>
        </w:rPr>
        <w:t>2.att. ESM finanšu līdzekļu piesaiste finanšu tirgos</w:t>
      </w:r>
      <w:r w:rsidR="007F3A21" w:rsidRPr="006E7176">
        <w:rPr>
          <w:rStyle w:val="FootnoteReference"/>
          <w:b/>
          <w:i/>
          <w:color w:val="FFFFFF" w:themeColor="background1"/>
          <w:sz w:val="20"/>
        </w:rPr>
        <w:footnoteReference w:id="8"/>
      </w:r>
    </w:p>
    <w:p w14:paraId="7741D3A0" w14:textId="5FC3836D" w:rsidR="007F3A21" w:rsidRDefault="002C13FC" w:rsidP="002C13FC">
      <w:pPr>
        <w:jc w:val="center"/>
        <w:rPr>
          <w:sz w:val="20"/>
        </w:rPr>
      </w:pPr>
      <w:r>
        <w:rPr>
          <w:noProof/>
          <w:lang w:eastAsia="lv-LV"/>
        </w:rPr>
        <w:drawing>
          <wp:inline distT="0" distB="0" distL="0" distR="0" wp14:anchorId="6A95E621" wp14:editId="1442E93C">
            <wp:extent cx="5308853" cy="250507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744" t="19062" r="1806" b="11137"/>
                    <a:stretch/>
                  </pic:blipFill>
                  <pic:spPr bwMode="auto">
                    <a:xfrm>
                      <a:off x="0" y="0"/>
                      <a:ext cx="5393509" cy="2545021"/>
                    </a:xfrm>
                    <a:prstGeom prst="rect">
                      <a:avLst/>
                    </a:prstGeom>
                    <a:ln>
                      <a:noFill/>
                    </a:ln>
                    <a:extLst>
                      <a:ext uri="{53640926-AAD7-44D8-BBD7-CCE9431645EC}">
                        <a14:shadowObscured xmlns:a14="http://schemas.microsoft.com/office/drawing/2010/main"/>
                      </a:ext>
                    </a:extLst>
                  </pic:spPr>
                </pic:pic>
              </a:graphicData>
            </a:graphic>
          </wp:inline>
        </w:drawing>
      </w:r>
    </w:p>
    <w:p w14:paraId="5F9F1F2A" w14:textId="5D59E204" w:rsidR="007F3A21" w:rsidRDefault="007F3A21" w:rsidP="007F3A21">
      <w:pPr>
        <w:jc w:val="center"/>
        <w:rPr>
          <w:sz w:val="20"/>
        </w:rPr>
      </w:pPr>
    </w:p>
    <w:p w14:paraId="4F5238CE" w14:textId="17F0D5EE" w:rsidR="00BF0ECA" w:rsidRPr="005D3D36" w:rsidRDefault="00AD123E" w:rsidP="00240A47">
      <w:pPr>
        <w:spacing w:after="120"/>
        <w:ind w:firstLine="720"/>
        <w:jc w:val="both"/>
        <w:rPr>
          <w:i/>
        </w:rPr>
      </w:pPr>
      <w:r w:rsidRPr="00AD123E">
        <w:t>ESM</w:t>
      </w:r>
      <w:r w:rsidR="00B260D4">
        <w:t xml:space="preserve"> uzsāka finanšu resursu piesaisti ilgtermiņa tirgos 2013.gada oktobrī līdz ar </w:t>
      </w:r>
      <w:r w:rsidR="008D5DCC">
        <w:t>5 gadu obligācijas emisiju. 2015</w:t>
      </w:r>
      <w:r w:rsidR="00B260D4">
        <w:t xml:space="preserve">.gadam </w:t>
      </w:r>
      <w:r w:rsidR="00BD147B">
        <w:t xml:space="preserve">ilgtermiņa resursu piesaistes mērķis </w:t>
      </w:r>
      <w:r w:rsidR="00BF0ECA">
        <w:t>sākotnēji tika noteikts 14 </w:t>
      </w:r>
      <w:r w:rsidR="00BD147B">
        <w:t xml:space="preserve">mljrd. </w:t>
      </w:r>
      <w:r w:rsidR="00BF0ECA">
        <w:rPr>
          <w:i/>
        </w:rPr>
        <w:t xml:space="preserve">euro </w:t>
      </w:r>
      <w:r w:rsidR="00BD147B">
        <w:t>apmērā</w:t>
      </w:r>
      <w:r w:rsidR="00BF0ECA">
        <w:t>, tomēr ņemot vērā nepieciešamību aizdot Grieķijai, mērķis tika palielināts līdz 2</w:t>
      </w:r>
      <w:r w:rsidR="005D3D36">
        <w:t>8</w:t>
      </w:r>
      <w:r w:rsidR="00BF0ECA">
        <w:t xml:space="preserve">,5 mljrd. </w:t>
      </w:r>
      <w:r w:rsidR="00BF0ECA">
        <w:rPr>
          <w:i/>
        </w:rPr>
        <w:t>euro</w:t>
      </w:r>
      <w:r w:rsidR="00BD147B">
        <w:t xml:space="preserve">. </w:t>
      </w:r>
      <w:r w:rsidR="005D3D36">
        <w:t xml:space="preserve">Tomēr 2016.gadā ņemot vērā, ka Kipras programma beidzās un Spānija ātrāk apmaksāja aizdevumu, </w:t>
      </w:r>
      <w:r w:rsidR="005D3D36" w:rsidRPr="005D3D36">
        <w:t>ilgtermiņa resursu piesaiste</w:t>
      </w:r>
      <w:r w:rsidR="005D3D36">
        <w:t xml:space="preserve"> apjoms 2016.gada beigās</w:t>
      </w:r>
      <w:r w:rsidR="005D3D36" w:rsidRPr="005D3D36">
        <w:t xml:space="preserve"> </w:t>
      </w:r>
      <w:r w:rsidR="005D3D36">
        <w:t xml:space="preserve">bija 24,5 mljrd. </w:t>
      </w:r>
      <w:r w:rsidR="005D3D36">
        <w:rPr>
          <w:i/>
        </w:rPr>
        <w:t xml:space="preserve">euro. </w:t>
      </w:r>
    </w:p>
    <w:p w14:paraId="2FA1646B" w14:textId="6B671C8F" w:rsidR="006F6E9E" w:rsidRDefault="00BF0ECA" w:rsidP="00240A47">
      <w:pPr>
        <w:spacing w:after="120"/>
        <w:ind w:firstLine="720"/>
        <w:jc w:val="both"/>
      </w:pPr>
      <w:r>
        <w:t xml:space="preserve">Kopumā ESM </w:t>
      </w:r>
      <w:r w:rsidR="00052415">
        <w:t>emitēja dažādu termiņu</w:t>
      </w:r>
      <w:r w:rsidR="005D3D36">
        <w:t xml:space="preserve"> (no 5 gadiem līdz 40 gadiem)</w:t>
      </w:r>
      <w:r w:rsidR="00052415">
        <w:t xml:space="preserve"> obligācijas</w:t>
      </w:r>
      <w:r w:rsidR="005D3D36">
        <w:t>.</w:t>
      </w:r>
      <w:r w:rsidR="002C13FC">
        <w:t xml:space="preserve"> </w:t>
      </w:r>
      <w:r w:rsidR="00C61B49">
        <w:t>G</w:t>
      </w:r>
      <w:r w:rsidR="00A9603D">
        <w:t xml:space="preserve">arāks </w:t>
      </w:r>
      <w:r w:rsidR="00C61B49">
        <w:t xml:space="preserve">ESM emitēto </w:t>
      </w:r>
      <w:r w:rsidR="00A9603D">
        <w:t>obligāciju termiņš piesaistīja jaunas investoru grupas</w:t>
      </w:r>
      <w:r w:rsidR="001E3DD6">
        <w:t>,</w:t>
      </w:r>
      <w:r w:rsidR="00A9603D">
        <w:t xml:space="preserve"> </w:t>
      </w:r>
      <w:r w:rsidR="001E3DD6">
        <w:t>piemēram, pensiju fondus</w:t>
      </w:r>
      <w:r w:rsidR="00A9603D">
        <w:t>, kuriem termiņš sakrīt ar to ienākumu termiņiem.</w:t>
      </w:r>
      <w:r w:rsidR="005D3D36">
        <w:t xml:space="preserve"> Ņemot vērā negatīvas procentu likmes īstermiņa </w:t>
      </w:r>
      <w:r w:rsidR="00240A47">
        <w:t>obligācijām</w:t>
      </w:r>
      <w:r w:rsidR="005D3D36">
        <w:t xml:space="preserve">, investoriem arvien lielāka vēlme ir ieguldīt ilgtermiņa un ultra-ilgtermiņa </w:t>
      </w:r>
      <w:r w:rsidR="00240A47">
        <w:t>obligācijās</w:t>
      </w:r>
      <w:r w:rsidR="005D3D36">
        <w:t>.</w:t>
      </w:r>
      <w:r w:rsidR="00240A47">
        <w:t xml:space="preserve"> </w:t>
      </w:r>
    </w:p>
    <w:p w14:paraId="577C0215" w14:textId="34EAC8B1" w:rsidR="009B706A" w:rsidRPr="00735274" w:rsidRDefault="00336790" w:rsidP="00240A47">
      <w:pPr>
        <w:spacing w:after="120"/>
        <w:ind w:firstLine="720"/>
        <w:jc w:val="both"/>
      </w:pPr>
      <w:r w:rsidRPr="00393AFB">
        <w:rPr>
          <w:color w:val="000000" w:themeColor="text1"/>
        </w:rPr>
        <w:t>ESM 2016.gadā sāk</w:t>
      </w:r>
      <w:r w:rsidR="002C13FC">
        <w:rPr>
          <w:color w:val="000000" w:themeColor="text1"/>
        </w:rPr>
        <w:t>a</w:t>
      </w:r>
      <w:r w:rsidRPr="00393AFB">
        <w:rPr>
          <w:color w:val="000000" w:themeColor="text1"/>
        </w:rPr>
        <w:t xml:space="preserve"> emitēt obligācijas saskaņā ar Vācijas likumdošanu – N-obligācijas (</w:t>
      </w:r>
      <w:r w:rsidRPr="00896C7F">
        <w:rPr>
          <w:i/>
          <w:color w:val="000000" w:themeColor="text1"/>
        </w:rPr>
        <w:t>Namensschulderschreibungen</w:t>
      </w:r>
      <w:r w:rsidRPr="00393AFB">
        <w:rPr>
          <w:color w:val="000000" w:themeColor="text1"/>
        </w:rPr>
        <w:t xml:space="preserve">), kas </w:t>
      </w:r>
      <w:r w:rsidR="002C13FC">
        <w:rPr>
          <w:color w:val="000000" w:themeColor="text1"/>
        </w:rPr>
        <w:t>ļauj</w:t>
      </w:r>
      <w:r w:rsidRPr="00393AFB">
        <w:rPr>
          <w:color w:val="000000" w:themeColor="text1"/>
        </w:rPr>
        <w:t xml:space="preserve"> paplašinā</w:t>
      </w:r>
      <w:r w:rsidR="005F4C6F">
        <w:rPr>
          <w:color w:val="000000" w:themeColor="text1"/>
        </w:rPr>
        <w:t>t ESM parāda portfeļa struktūru,</w:t>
      </w:r>
      <w:r w:rsidRPr="00393AFB">
        <w:rPr>
          <w:color w:val="000000" w:themeColor="text1"/>
        </w:rPr>
        <w:t xml:space="preserve"> </w:t>
      </w:r>
      <w:r w:rsidR="005F4C6F">
        <w:rPr>
          <w:color w:val="000000" w:themeColor="text1"/>
        </w:rPr>
        <w:t>t</w:t>
      </w:r>
      <w:r w:rsidRPr="00393AFB">
        <w:rPr>
          <w:color w:val="000000" w:themeColor="text1"/>
        </w:rPr>
        <w:t xml:space="preserve">āpat arī </w:t>
      </w:r>
      <w:r w:rsidR="002C13FC">
        <w:rPr>
          <w:color w:val="000000" w:themeColor="text1"/>
        </w:rPr>
        <w:t>ļauj</w:t>
      </w:r>
      <w:r w:rsidRPr="00393AFB">
        <w:rPr>
          <w:color w:val="000000" w:themeColor="text1"/>
        </w:rPr>
        <w:t xml:space="preserve"> paplašināt investoru </w:t>
      </w:r>
      <w:r>
        <w:rPr>
          <w:color w:val="000000" w:themeColor="text1"/>
        </w:rPr>
        <w:t>bāzi, piedāvājot jaunas investīciju iespējas, galvenokārt</w:t>
      </w:r>
      <w:r w:rsidR="005F4C6F">
        <w:rPr>
          <w:color w:val="000000" w:themeColor="text1"/>
        </w:rPr>
        <w:t>,</w:t>
      </w:r>
      <w:r>
        <w:rPr>
          <w:color w:val="000000" w:themeColor="text1"/>
        </w:rPr>
        <w:t xml:space="preserve"> ilgtermiņa finansējuma piesaistei.</w:t>
      </w:r>
      <w:r w:rsidR="002C13FC">
        <w:rPr>
          <w:color w:val="000000" w:themeColor="text1"/>
        </w:rPr>
        <w:t xml:space="preserve"> </w:t>
      </w:r>
      <w:r w:rsidR="00CF5ED7" w:rsidRPr="00735274">
        <w:t>201</w:t>
      </w:r>
      <w:r>
        <w:t>6</w:t>
      </w:r>
      <w:r w:rsidR="00CF5ED7" w:rsidRPr="00735274">
        <w:t>.gadā ESM aktīvi turpināja īstermiņa finansējuma piesaisti, regulāri īstenojot 3 mēnešu un 6 mēnešu parādzīmju izsoles</w:t>
      </w:r>
      <w:r w:rsidR="005F4C6F">
        <w:t>.</w:t>
      </w:r>
      <w:r w:rsidR="000753CB">
        <w:t xml:space="preserve"> </w:t>
      </w:r>
      <w:r w:rsidR="005F4C6F">
        <w:t>K</w:t>
      </w:r>
      <w:r w:rsidR="00CF5ED7" w:rsidRPr="00735274">
        <w:t xml:space="preserve">opumā </w:t>
      </w:r>
      <w:r w:rsidR="005F4C6F">
        <w:t>ESM</w:t>
      </w:r>
      <w:r w:rsidR="00CF5ED7" w:rsidRPr="00735274">
        <w:t xml:space="preserve"> </w:t>
      </w:r>
      <w:r w:rsidR="00F179D2" w:rsidRPr="00735274">
        <w:t>piesaistīja</w:t>
      </w:r>
      <w:r w:rsidR="00CF5ED7" w:rsidRPr="00735274">
        <w:t xml:space="preserve"> parādzīmes </w:t>
      </w:r>
      <w:r>
        <w:t>35</w:t>
      </w:r>
      <w:r w:rsidR="00CF5ED7" w:rsidRPr="00735274">
        <w:t xml:space="preserve"> mljrd. </w:t>
      </w:r>
      <w:r w:rsidR="00CF5ED7" w:rsidRPr="00735274">
        <w:rPr>
          <w:i/>
        </w:rPr>
        <w:t>euro</w:t>
      </w:r>
      <w:r>
        <w:t xml:space="preserve"> apmērā, </w:t>
      </w:r>
      <w:r w:rsidR="005F4C6F">
        <w:t>kas</w:t>
      </w:r>
      <w:r>
        <w:t xml:space="preserve"> ir īpašs sasniegums ņemot vērā, ka parādzīmes tika izlaistas ar negatīvām likmēm.</w:t>
      </w:r>
    </w:p>
    <w:p w14:paraId="0747D21F" w14:textId="2C06D58F" w:rsidR="0066772C" w:rsidRPr="00336790" w:rsidRDefault="0066772C" w:rsidP="00240A47">
      <w:pPr>
        <w:spacing w:after="120"/>
        <w:ind w:firstLine="720"/>
        <w:jc w:val="both"/>
        <w:rPr>
          <w:color w:val="000000" w:themeColor="text1"/>
        </w:rPr>
      </w:pPr>
      <w:r w:rsidRPr="0066772C">
        <w:rPr>
          <w:color w:val="000000" w:themeColor="text1"/>
        </w:rPr>
        <w:t>I</w:t>
      </w:r>
      <w:r w:rsidR="000E3AB8" w:rsidRPr="0066772C">
        <w:rPr>
          <w:color w:val="000000" w:themeColor="text1"/>
        </w:rPr>
        <w:t>lgtermiņa piesaistīto resursu</w:t>
      </w:r>
      <w:r w:rsidR="00813AE6" w:rsidRPr="0066772C">
        <w:rPr>
          <w:color w:val="000000" w:themeColor="text1"/>
        </w:rPr>
        <w:t xml:space="preserve"> apjoma mērķis 201</w:t>
      </w:r>
      <w:r w:rsidR="00336790">
        <w:rPr>
          <w:color w:val="000000" w:themeColor="text1"/>
        </w:rPr>
        <w:t>7</w:t>
      </w:r>
      <w:r w:rsidR="00813AE6" w:rsidRPr="0066772C">
        <w:rPr>
          <w:color w:val="000000" w:themeColor="text1"/>
        </w:rPr>
        <w:t xml:space="preserve">.gadam </w:t>
      </w:r>
      <w:r w:rsidR="00981C09">
        <w:rPr>
          <w:color w:val="000000" w:themeColor="text1"/>
        </w:rPr>
        <w:t>ir noteikts</w:t>
      </w:r>
      <w:r w:rsidR="00981C09" w:rsidRPr="0066772C">
        <w:rPr>
          <w:color w:val="000000" w:themeColor="text1"/>
        </w:rPr>
        <w:t xml:space="preserve"> </w:t>
      </w:r>
      <w:r w:rsidR="00336790">
        <w:rPr>
          <w:color w:val="000000" w:themeColor="text1"/>
        </w:rPr>
        <w:t>17</w:t>
      </w:r>
      <w:r w:rsidR="000E3AB8" w:rsidRPr="0066772C">
        <w:rPr>
          <w:color w:val="000000" w:themeColor="text1"/>
        </w:rPr>
        <w:t xml:space="preserve"> mljrd. </w:t>
      </w:r>
      <w:r w:rsidR="00336790">
        <w:rPr>
          <w:i/>
          <w:color w:val="000000" w:themeColor="text1"/>
        </w:rPr>
        <w:t>euro.</w:t>
      </w:r>
    </w:p>
    <w:p w14:paraId="24573226" w14:textId="77777777" w:rsidR="00955B5B" w:rsidRPr="00994ECF" w:rsidRDefault="00955B5B" w:rsidP="00240A47">
      <w:pPr>
        <w:pStyle w:val="ListParagraph"/>
        <w:spacing w:after="120"/>
        <w:ind w:left="0"/>
        <w:jc w:val="center"/>
        <w:rPr>
          <w:b/>
          <w:highlight w:val="yellow"/>
        </w:rPr>
      </w:pPr>
    </w:p>
    <w:p w14:paraId="402BA5AF" w14:textId="6999BA06" w:rsidR="00102197" w:rsidRPr="00896C7F" w:rsidRDefault="005266B8" w:rsidP="00102197">
      <w:pPr>
        <w:pStyle w:val="ListParagraph"/>
        <w:ind w:left="0"/>
        <w:jc w:val="center"/>
        <w:rPr>
          <w:b/>
          <w:color w:val="000000" w:themeColor="text1"/>
        </w:rPr>
      </w:pPr>
      <w:r w:rsidRPr="00896C7F">
        <w:rPr>
          <w:b/>
          <w:color w:val="000000" w:themeColor="text1"/>
        </w:rPr>
        <w:t>3</w:t>
      </w:r>
      <w:r w:rsidR="00D226CF" w:rsidRPr="00896C7F">
        <w:rPr>
          <w:b/>
          <w:color w:val="000000" w:themeColor="text1"/>
        </w:rPr>
        <w:t xml:space="preserve">. </w:t>
      </w:r>
      <w:r w:rsidRPr="00896C7F">
        <w:rPr>
          <w:b/>
          <w:color w:val="000000" w:themeColor="text1"/>
        </w:rPr>
        <w:t>ESM 201</w:t>
      </w:r>
      <w:r w:rsidR="00F33A20">
        <w:rPr>
          <w:b/>
          <w:color w:val="000000" w:themeColor="text1"/>
        </w:rPr>
        <w:t>6</w:t>
      </w:r>
      <w:r w:rsidR="00102197" w:rsidRPr="00896C7F">
        <w:rPr>
          <w:b/>
          <w:color w:val="000000" w:themeColor="text1"/>
        </w:rPr>
        <w:t>.gada finanšu darbības rezultāti</w:t>
      </w:r>
    </w:p>
    <w:p w14:paraId="65800828" w14:textId="77777777" w:rsidR="005266B8" w:rsidRDefault="005266B8" w:rsidP="00102197">
      <w:pPr>
        <w:ind w:firstLine="720"/>
        <w:jc w:val="both"/>
        <w:rPr>
          <w:highlight w:val="yellow"/>
        </w:rPr>
      </w:pPr>
    </w:p>
    <w:p w14:paraId="7BC5E1B6" w14:textId="1874A846" w:rsidR="00461FE6" w:rsidRDefault="004F31B4" w:rsidP="00FE30BC">
      <w:pPr>
        <w:spacing w:after="120"/>
        <w:ind w:firstLine="720"/>
        <w:jc w:val="both"/>
      </w:pPr>
      <w:r w:rsidRPr="00DB2CBD">
        <w:t>Saskaņā ar ESM 201</w:t>
      </w:r>
      <w:r w:rsidR="00886683">
        <w:t>6</w:t>
      </w:r>
      <w:r w:rsidR="00102197" w:rsidRPr="00DB2CBD">
        <w:t xml:space="preserve">.gada </w:t>
      </w:r>
      <w:r w:rsidRPr="00DB2CBD">
        <w:t>finanšu</w:t>
      </w:r>
      <w:r w:rsidR="00102197" w:rsidRPr="00DB2CBD">
        <w:t xml:space="preserve"> pārska</w:t>
      </w:r>
      <w:r w:rsidRPr="00DB2CBD">
        <w:t xml:space="preserve">tu, ESM </w:t>
      </w:r>
      <w:r w:rsidR="003A3BCE">
        <w:t>kopējā bilance</w:t>
      </w:r>
      <w:r w:rsidRPr="00DB2CBD">
        <w:t xml:space="preserve"> bija 7</w:t>
      </w:r>
      <w:r w:rsidR="009561B3">
        <w:t>93</w:t>
      </w:r>
      <w:r w:rsidR="00D525B8">
        <w:t>,</w:t>
      </w:r>
      <w:r w:rsidR="009561B3">
        <w:t>1</w:t>
      </w:r>
      <w:r w:rsidRPr="00DB2CBD">
        <w:t xml:space="preserve"> mljrd. </w:t>
      </w:r>
      <w:r w:rsidRPr="00DB2CBD">
        <w:rPr>
          <w:i/>
        </w:rPr>
        <w:t xml:space="preserve">euro, </w:t>
      </w:r>
      <w:r w:rsidRPr="00DB2CBD">
        <w:t xml:space="preserve">kas ir </w:t>
      </w:r>
      <w:r w:rsidR="00D525B8">
        <w:t>palielinājums</w:t>
      </w:r>
      <w:r w:rsidRPr="00DB2CBD">
        <w:t xml:space="preserve"> par </w:t>
      </w:r>
      <w:r w:rsidR="009561B3">
        <w:t>14</w:t>
      </w:r>
      <w:r w:rsidR="00D525B8">
        <w:t>,</w:t>
      </w:r>
      <w:r w:rsidR="009561B3">
        <w:t>2</w:t>
      </w:r>
      <w:r w:rsidRPr="00DB2CBD">
        <w:t xml:space="preserve"> mljrd. </w:t>
      </w:r>
      <w:r w:rsidRPr="00DB2CBD">
        <w:rPr>
          <w:i/>
        </w:rPr>
        <w:t>euro</w:t>
      </w:r>
      <w:r w:rsidRPr="00DB2CBD">
        <w:t xml:space="preserve">, salīdzinot ar iepriekšējo pārskata gadu. Galvenais </w:t>
      </w:r>
      <w:r w:rsidR="00D525B8">
        <w:t>palielinājuma</w:t>
      </w:r>
      <w:r w:rsidRPr="00DB2CBD">
        <w:t xml:space="preserve"> iemesls saistāms ar </w:t>
      </w:r>
      <w:r w:rsidR="00D525B8">
        <w:t xml:space="preserve">aizdevuma piešķiršanu </w:t>
      </w:r>
      <w:r w:rsidR="009561B3">
        <w:t>saņēmēja dalībvalstīm (Grieķijai)</w:t>
      </w:r>
      <w:r w:rsidR="00D525B8">
        <w:t xml:space="preserve">, </w:t>
      </w:r>
      <w:r w:rsidR="009561B3">
        <w:t>kā arī likviditātes bufer</w:t>
      </w:r>
      <w:r w:rsidR="00151A50">
        <w:t>a</w:t>
      </w:r>
      <w:r w:rsidR="00151A50" w:rsidRPr="00151A50">
        <w:t xml:space="preserve"> </w:t>
      </w:r>
      <w:r w:rsidR="00151A50">
        <w:t>palielinājums</w:t>
      </w:r>
      <w:r w:rsidR="009561B3">
        <w:t>, kas tika segts no papildus ESM parādzīmju izlaišanas.</w:t>
      </w:r>
      <w:r w:rsidR="00151A50">
        <w:t xml:space="preserve"> </w:t>
      </w:r>
    </w:p>
    <w:p w14:paraId="010E0810" w14:textId="0DB735B2" w:rsidR="009561B3" w:rsidRDefault="009561B3" w:rsidP="00FE30BC">
      <w:pPr>
        <w:spacing w:after="120"/>
        <w:ind w:firstLine="720"/>
        <w:jc w:val="both"/>
      </w:pPr>
      <w:r>
        <w:t xml:space="preserve">Uz 2016.gada 31.decembri 50,1 mljrd. </w:t>
      </w:r>
      <w:r w:rsidR="00792523">
        <w:rPr>
          <w:i/>
        </w:rPr>
        <w:t>euro</w:t>
      </w:r>
      <w:r>
        <w:rPr>
          <w:i/>
        </w:rPr>
        <w:t xml:space="preserve"> </w:t>
      </w:r>
      <w:r w:rsidRPr="00FE30BC">
        <w:t>no 80,3</w:t>
      </w:r>
      <w:r>
        <w:rPr>
          <w:i/>
        </w:rPr>
        <w:t xml:space="preserve"> </w:t>
      </w:r>
      <w:r w:rsidRPr="00792523">
        <w:t>mljrd</w:t>
      </w:r>
      <w:r>
        <w:rPr>
          <w:i/>
        </w:rPr>
        <w:t xml:space="preserve">. </w:t>
      </w:r>
      <w:r w:rsidR="00792523">
        <w:rPr>
          <w:i/>
        </w:rPr>
        <w:t>euro</w:t>
      </w:r>
      <w:r>
        <w:t xml:space="preserve"> </w:t>
      </w:r>
      <w:r w:rsidR="00AA3373" w:rsidRPr="00F33108">
        <w:t>apmaksāt</w:t>
      </w:r>
      <w:r w:rsidR="00AA3373">
        <w:t>ā</w:t>
      </w:r>
      <w:r w:rsidR="00AA3373" w:rsidRPr="00F33108">
        <w:t xml:space="preserve"> kapitāl</w:t>
      </w:r>
      <w:r w:rsidR="00AA3373">
        <w:t xml:space="preserve">a, </w:t>
      </w:r>
      <w:r w:rsidR="00736A7E" w:rsidRPr="00736A7E">
        <w:t>ko iemaksājušas visas dalībnieces</w:t>
      </w:r>
      <w:r w:rsidR="00736A7E">
        <w:t>,</w:t>
      </w:r>
      <w:r w:rsidR="00AA3373" w:rsidRPr="00F33108">
        <w:t xml:space="preserve"> </w:t>
      </w:r>
      <w:r>
        <w:t>tika turēti kā skaidra nauda un atliku</w:t>
      </w:r>
      <w:r w:rsidR="00AA3373">
        <w:t>sī summa</w:t>
      </w:r>
      <w:r>
        <w:t xml:space="preserve"> tika investēt</w:t>
      </w:r>
      <w:r w:rsidR="00AA3373">
        <w:t>a</w:t>
      </w:r>
      <w:r>
        <w:t xml:space="preserve"> vērtspapīros.</w:t>
      </w:r>
      <w:r w:rsidR="00792523">
        <w:t xml:space="preserve"> </w:t>
      </w:r>
      <w:r w:rsidR="00AA3373">
        <w:t xml:space="preserve"> </w:t>
      </w:r>
    </w:p>
    <w:p w14:paraId="0AE72B27" w14:textId="53802EAE" w:rsidR="00E953D0" w:rsidRDefault="00AA3373" w:rsidP="00FE30BC">
      <w:pPr>
        <w:spacing w:after="120"/>
        <w:ind w:firstLine="694"/>
        <w:jc w:val="both"/>
      </w:pPr>
      <w:r>
        <w:t xml:space="preserve">2016.gadā ESM peļņa </w:t>
      </w:r>
      <w:r w:rsidRPr="00996C40">
        <w:t>sastādīja 568</w:t>
      </w:r>
      <w:r w:rsidR="00996C40" w:rsidRPr="00996C40">
        <w:t>,</w:t>
      </w:r>
      <w:r w:rsidR="00996C40">
        <w:t xml:space="preserve">8 milj. </w:t>
      </w:r>
      <w:r>
        <w:rPr>
          <w:i/>
        </w:rPr>
        <w:t>euro</w:t>
      </w:r>
      <w:r>
        <w:t>, kas salīdzinot ar 2015. gadu ir par 160,6 milj</w:t>
      </w:r>
      <w:r w:rsidR="00996C40">
        <w:t>.</w:t>
      </w:r>
      <w:r>
        <w:t xml:space="preserve"> </w:t>
      </w:r>
      <w:r>
        <w:rPr>
          <w:i/>
        </w:rPr>
        <w:t>euro</w:t>
      </w:r>
      <w:r>
        <w:t xml:space="preserve"> mazāk. </w:t>
      </w:r>
      <w:r w:rsidR="00E953D0">
        <w:t xml:space="preserve">Samazinājums primāri ir saistīts ar zemāku </w:t>
      </w:r>
      <w:r w:rsidR="00E953D0" w:rsidRPr="00E953D0">
        <w:t>tīro peļņu no parāda vērtspapīru pārdošanas</w:t>
      </w:r>
      <w:r w:rsidR="005F4C6F">
        <w:t>.</w:t>
      </w:r>
      <w:r w:rsidR="00E953D0">
        <w:t xml:space="preserve"> </w:t>
      </w:r>
      <w:r w:rsidR="005F4C6F">
        <w:t>P</w:t>
      </w:r>
      <w:r w:rsidR="00E953D0" w:rsidRPr="00E953D0">
        <w:t xml:space="preserve">rocentu ienākumi par parāda vērtspapīriem, ko tur apmaksātā kapitāla portfelī, samazinājās par 64,1 </w:t>
      </w:r>
      <w:r w:rsidR="00996C40">
        <w:t xml:space="preserve">milj. </w:t>
      </w:r>
      <w:r w:rsidR="00E953D0">
        <w:rPr>
          <w:i/>
        </w:rPr>
        <w:t>euro</w:t>
      </w:r>
      <w:r w:rsidR="00E953D0" w:rsidRPr="00E953D0">
        <w:t xml:space="preserve">, </w:t>
      </w:r>
      <w:r w:rsidR="00E953D0" w:rsidRPr="00684E57">
        <w:t>ko radīja ieguldījumu</w:t>
      </w:r>
      <w:r w:rsidR="00684E57" w:rsidRPr="00684E57">
        <w:t xml:space="preserve"> </w:t>
      </w:r>
      <w:r w:rsidR="00E953D0" w:rsidRPr="00684E57">
        <w:t>samazināšanās</w:t>
      </w:r>
      <w:r w:rsidR="00E953D0">
        <w:t xml:space="preserve"> portfelī.</w:t>
      </w:r>
    </w:p>
    <w:p w14:paraId="532B87A7" w14:textId="24E6902E" w:rsidR="00AA3373" w:rsidRDefault="00AA3373" w:rsidP="00FE30BC">
      <w:pPr>
        <w:spacing w:after="120"/>
        <w:ind w:firstLine="694"/>
        <w:jc w:val="both"/>
      </w:pPr>
      <w:r>
        <w:t>ESM Valde</w:t>
      </w:r>
      <w:r w:rsidR="00FE30BC">
        <w:t xml:space="preserve"> 2017.gada 15.jūnijā</w:t>
      </w:r>
      <w:r>
        <w:t xml:space="preserve"> lēma rezerves fondā novirzīt visus </w:t>
      </w:r>
      <w:r w:rsidR="007B55FB" w:rsidRPr="00996C40">
        <w:t>568,</w:t>
      </w:r>
      <w:r w:rsidR="007B55FB">
        <w:t xml:space="preserve">8 milj. </w:t>
      </w:r>
      <w:r>
        <w:rPr>
          <w:i/>
        </w:rPr>
        <w:t>euro</w:t>
      </w:r>
      <w:r>
        <w:t>, ko veido 201</w:t>
      </w:r>
      <w:r w:rsidR="00FE30BC">
        <w:t xml:space="preserve">6.gada peļņa, nevis </w:t>
      </w:r>
      <w:r w:rsidR="00981C09">
        <w:t>izmaksāt</w:t>
      </w:r>
      <w:r>
        <w:t xml:space="preserve"> </w:t>
      </w:r>
      <w:r w:rsidR="00FE30BC">
        <w:t>dividendēs</w:t>
      </w:r>
      <w:r>
        <w:t>. Šāda lēmuma mērķis ir uzkrāt līdzekļus rezerves fondā, lai nodrošinātu drošības spilvenu iespējamiem zaudējumiem nākotnē un mazinātu risku, ka būtu jāizmanto kapitāla iesaukšana uz pieprasījuma</w:t>
      </w:r>
      <w:r w:rsidR="00FE30BC">
        <w:t>, kam būtu negatīva ietekme uz akcionāru vispārējās valdības budžeta bilanci</w:t>
      </w:r>
      <w:r>
        <w:t>. Jāatzīmē, ka arī iepriekšējos gados ESM peļņa tika pilnā apjomā ieskaitīta rezerves fondā.</w:t>
      </w:r>
      <w:r w:rsidR="00A72D4B">
        <w:t xml:space="preserve"> Uz 2016.gada 31.decembri rezerves fonda atlikums</w:t>
      </w:r>
      <w:r w:rsidRPr="00A72D4B">
        <w:t xml:space="preserve"> </w:t>
      </w:r>
      <w:r w:rsidR="00A72D4B">
        <w:t>ir 1,4 mljrd.</w:t>
      </w:r>
      <w:r w:rsidR="00151A50">
        <w:t> </w:t>
      </w:r>
      <w:r w:rsidR="00A72D4B">
        <w:rPr>
          <w:i/>
        </w:rPr>
        <w:t>euro</w:t>
      </w:r>
      <w:r w:rsidR="00A72D4B">
        <w:t xml:space="preserve">. </w:t>
      </w:r>
    </w:p>
    <w:p w14:paraId="757968B8" w14:textId="27FA0A6A" w:rsidR="00AA3373" w:rsidRPr="006E7176" w:rsidRDefault="005871E8" w:rsidP="00FE30BC">
      <w:pPr>
        <w:jc w:val="right"/>
        <w:rPr>
          <w:b/>
          <w:i/>
          <w:sz w:val="20"/>
          <w:szCs w:val="20"/>
        </w:rPr>
      </w:pPr>
      <w:r>
        <w:rPr>
          <w:b/>
          <w:i/>
          <w:color w:val="000000"/>
          <w:sz w:val="20"/>
        </w:rPr>
        <w:t>3</w:t>
      </w:r>
      <w:r w:rsidR="00FE30BC" w:rsidRPr="006E7176">
        <w:rPr>
          <w:b/>
          <w:i/>
          <w:color w:val="000000"/>
          <w:sz w:val="20"/>
        </w:rPr>
        <w:t xml:space="preserve">.tabula </w:t>
      </w:r>
      <w:r w:rsidR="00AA3373" w:rsidRPr="006E7176">
        <w:rPr>
          <w:b/>
          <w:i/>
          <w:color w:val="000000"/>
          <w:sz w:val="20"/>
        </w:rPr>
        <w:t>ESM peļņa vai zaudējums attiecīgajā gadā kopš ESM dibināšanas (milj. euro)</w:t>
      </w:r>
    </w:p>
    <w:tbl>
      <w:tblPr>
        <w:tblW w:w="7257"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59"/>
        <w:gridCol w:w="809"/>
        <w:gridCol w:w="828"/>
        <w:gridCol w:w="829"/>
        <w:gridCol w:w="877"/>
        <w:gridCol w:w="855"/>
      </w:tblGrid>
      <w:tr w:rsidR="00AA3373" w:rsidRPr="006E7176" w14:paraId="4E4C0BAF" w14:textId="77777777" w:rsidTr="00DE49E2">
        <w:trPr>
          <w:jc w:val="center"/>
        </w:trPr>
        <w:tc>
          <w:tcPr>
            <w:tcW w:w="3059" w:type="dxa"/>
            <w:tcBorders>
              <w:top w:val="single" w:sz="4" w:space="0" w:color="BFBFBF"/>
              <w:left w:val="single" w:sz="4" w:space="0" w:color="BFBFBF"/>
              <w:bottom w:val="single" w:sz="4" w:space="0" w:color="BFBFBF"/>
              <w:right w:val="single" w:sz="4" w:space="0" w:color="BFBFBF"/>
            </w:tcBorders>
            <w:shd w:val="clear" w:color="auto" w:fill="9CC2E5"/>
          </w:tcPr>
          <w:p w14:paraId="4DB357AC" w14:textId="77777777" w:rsidR="00AA3373" w:rsidRPr="006E7176" w:rsidRDefault="00AA3373" w:rsidP="00DE49E2">
            <w:pPr>
              <w:ind w:right="127"/>
              <w:jc w:val="right"/>
              <w:rPr>
                <w:color w:val="000000"/>
                <w:sz w:val="20"/>
                <w:szCs w:val="18"/>
              </w:rPr>
            </w:pPr>
          </w:p>
        </w:tc>
        <w:tc>
          <w:tcPr>
            <w:tcW w:w="809" w:type="dxa"/>
            <w:tcBorders>
              <w:top w:val="single" w:sz="4" w:space="0" w:color="BFBFBF"/>
              <w:left w:val="single" w:sz="4" w:space="0" w:color="BFBFBF"/>
              <w:bottom w:val="single" w:sz="4" w:space="0" w:color="BFBFBF"/>
              <w:right w:val="single" w:sz="4" w:space="0" w:color="BFBFBF"/>
            </w:tcBorders>
            <w:shd w:val="clear" w:color="auto" w:fill="9CC2E5"/>
            <w:hideMark/>
          </w:tcPr>
          <w:p w14:paraId="743752FF" w14:textId="77777777" w:rsidR="00AA3373" w:rsidRPr="006E7176" w:rsidRDefault="00AA3373" w:rsidP="00DE49E2">
            <w:pPr>
              <w:ind w:left="-168" w:right="-81"/>
              <w:jc w:val="center"/>
              <w:rPr>
                <w:b/>
                <w:color w:val="000000"/>
                <w:sz w:val="20"/>
                <w:szCs w:val="18"/>
              </w:rPr>
            </w:pPr>
            <w:r w:rsidRPr="006E7176">
              <w:rPr>
                <w:b/>
                <w:color w:val="000000"/>
                <w:sz w:val="20"/>
                <w:szCs w:val="18"/>
              </w:rPr>
              <w:t>2012</w:t>
            </w:r>
          </w:p>
        </w:tc>
        <w:tc>
          <w:tcPr>
            <w:tcW w:w="828" w:type="dxa"/>
            <w:tcBorders>
              <w:top w:val="single" w:sz="4" w:space="0" w:color="BFBFBF"/>
              <w:left w:val="single" w:sz="4" w:space="0" w:color="BFBFBF"/>
              <w:bottom w:val="single" w:sz="4" w:space="0" w:color="BFBFBF"/>
              <w:right w:val="single" w:sz="4" w:space="0" w:color="BFBFBF"/>
            </w:tcBorders>
            <w:shd w:val="clear" w:color="auto" w:fill="9CC2E5"/>
            <w:hideMark/>
          </w:tcPr>
          <w:p w14:paraId="097807F6" w14:textId="77777777" w:rsidR="00AA3373" w:rsidRPr="006E7176" w:rsidRDefault="00AA3373" w:rsidP="00DE49E2">
            <w:pPr>
              <w:ind w:left="-168" w:right="-81"/>
              <w:jc w:val="center"/>
              <w:rPr>
                <w:b/>
                <w:color w:val="000000"/>
                <w:sz w:val="20"/>
                <w:szCs w:val="18"/>
              </w:rPr>
            </w:pPr>
            <w:r w:rsidRPr="006E7176">
              <w:rPr>
                <w:b/>
                <w:color w:val="000000"/>
                <w:sz w:val="20"/>
                <w:szCs w:val="18"/>
              </w:rPr>
              <w:t>2013</w:t>
            </w:r>
          </w:p>
        </w:tc>
        <w:tc>
          <w:tcPr>
            <w:tcW w:w="829" w:type="dxa"/>
            <w:tcBorders>
              <w:top w:val="single" w:sz="4" w:space="0" w:color="BFBFBF"/>
              <w:left w:val="single" w:sz="4" w:space="0" w:color="BFBFBF"/>
              <w:bottom w:val="single" w:sz="4" w:space="0" w:color="BFBFBF"/>
              <w:right w:val="single" w:sz="4" w:space="0" w:color="BFBFBF"/>
            </w:tcBorders>
            <w:shd w:val="clear" w:color="auto" w:fill="9CC2E5"/>
            <w:hideMark/>
          </w:tcPr>
          <w:p w14:paraId="5CD61DA4" w14:textId="77777777" w:rsidR="00AA3373" w:rsidRPr="006E7176" w:rsidRDefault="00AA3373" w:rsidP="00DE49E2">
            <w:pPr>
              <w:ind w:left="-168" w:right="-81"/>
              <w:jc w:val="center"/>
              <w:rPr>
                <w:b/>
                <w:color w:val="000000"/>
                <w:sz w:val="20"/>
                <w:szCs w:val="18"/>
              </w:rPr>
            </w:pPr>
            <w:r w:rsidRPr="006E7176">
              <w:rPr>
                <w:b/>
                <w:color w:val="000000"/>
                <w:sz w:val="20"/>
                <w:szCs w:val="18"/>
              </w:rPr>
              <w:t>2014</w:t>
            </w:r>
          </w:p>
        </w:tc>
        <w:tc>
          <w:tcPr>
            <w:tcW w:w="877" w:type="dxa"/>
            <w:tcBorders>
              <w:top w:val="single" w:sz="4" w:space="0" w:color="BFBFBF"/>
              <w:left w:val="single" w:sz="4" w:space="0" w:color="BFBFBF"/>
              <w:bottom w:val="single" w:sz="4" w:space="0" w:color="BFBFBF"/>
              <w:right w:val="single" w:sz="4" w:space="0" w:color="BFBFBF"/>
            </w:tcBorders>
            <w:shd w:val="clear" w:color="auto" w:fill="9CC2E5"/>
            <w:hideMark/>
          </w:tcPr>
          <w:p w14:paraId="1D3BFC0A" w14:textId="77777777" w:rsidR="00AA3373" w:rsidRPr="006E7176" w:rsidRDefault="00AA3373" w:rsidP="00DE49E2">
            <w:pPr>
              <w:ind w:left="-168" w:right="-81"/>
              <w:jc w:val="center"/>
              <w:rPr>
                <w:b/>
                <w:color w:val="000000"/>
                <w:sz w:val="20"/>
                <w:szCs w:val="18"/>
              </w:rPr>
            </w:pPr>
            <w:r w:rsidRPr="006E7176">
              <w:rPr>
                <w:b/>
                <w:color w:val="000000"/>
                <w:sz w:val="20"/>
                <w:szCs w:val="18"/>
              </w:rPr>
              <w:t>2015</w:t>
            </w:r>
          </w:p>
        </w:tc>
        <w:tc>
          <w:tcPr>
            <w:tcW w:w="855" w:type="dxa"/>
            <w:tcBorders>
              <w:top w:val="single" w:sz="4" w:space="0" w:color="BFBFBF"/>
              <w:left w:val="single" w:sz="4" w:space="0" w:color="BFBFBF"/>
              <w:bottom w:val="single" w:sz="4" w:space="0" w:color="BFBFBF"/>
              <w:right w:val="single" w:sz="4" w:space="0" w:color="BFBFBF"/>
            </w:tcBorders>
            <w:shd w:val="clear" w:color="auto" w:fill="9CC2E5"/>
            <w:hideMark/>
          </w:tcPr>
          <w:p w14:paraId="2140CED8" w14:textId="77777777" w:rsidR="00AA3373" w:rsidRPr="006E7176" w:rsidRDefault="00AA3373" w:rsidP="00DE49E2">
            <w:pPr>
              <w:ind w:left="-168" w:right="-81"/>
              <w:jc w:val="center"/>
              <w:rPr>
                <w:b/>
                <w:color w:val="000000"/>
                <w:sz w:val="20"/>
                <w:szCs w:val="18"/>
              </w:rPr>
            </w:pPr>
            <w:r w:rsidRPr="006E7176">
              <w:rPr>
                <w:b/>
                <w:color w:val="000000"/>
                <w:sz w:val="20"/>
                <w:szCs w:val="18"/>
              </w:rPr>
              <w:t>2016</w:t>
            </w:r>
          </w:p>
        </w:tc>
      </w:tr>
      <w:tr w:rsidR="00AA3373" w:rsidRPr="006E7176" w14:paraId="49F31694" w14:textId="77777777" w:rsidTr="00DE49E2">
        <w:trPr>
          <w:jc w:val="center"/>
        </w:trPr>
        <w:tc>
          <w:tcPr>
            <w:tcW w:w="3059" w:type="dxa"/>
            <w:tcBorders>
              <w:top w:val="single" w:sz="4" w:space="0" w:color="BFBFBF"/>
              <w:left w:val="single" w:sz="4" w:space="0" w:color="BFBFBF"/>
              <w:bottom w:val="single" w:sz="4" w:space="0" w:color="BFBFBF"/>
              <w:right w:val="single" w:sz="4" w:space="0" w:color="BFBFBF"/>
            </w:tcBorders>
            <w:hideMark/>
          </w:tcPr>
          <w:p w14:paraId="566922E5" w14:textId="77777777" w:rsidR="00AA3373" w:rsidRPr="006E7176" w:rsidRDefault="00AA3373" w:rsidP="00DE49E2">
            <w:pPr>
              <w:ind w:right="-71"/>
              <w:jc w:val="both"/>
              <w:rPr>
                <w:i/>
                <w:color w:val="000000"/>
                <w:sz w:val="20"/>
                <w:szCs w:val="18"/>
              </w:rPr>
            </w:pPr>
            <w:r w:rsidRPr="006E7176">
              <w:rPr>
                <w:color w:val="000000"/>
                <w:sz w:val="20"/>
                <w:szCs w:val="18"/>
              </w:rPr>
              <w:t>ESM peļņa vai zaudējums</w:t>
            </w:r>
          </w:p>
        </w:tc>
        <w:tc>
          <w:tcPr>
            <w:tcW w:w="809" w:type="dxa"/>
            <w:tcBorders>
              <w:top w:val="single" w:sz="4" w:space="0" w:color="BFBFBF"/>
              <w:left w:val="single" w:sz="4" w:space="0" w:color="BFBFBF"/>
              <w:bottom w:val="single" w:sz="4" w:space="0" w:color="BFBFBF"/>
              <w:right w:val="single" w:sz="4" w:space="0" w:color="BFBFBF"/>
            </w:tcBorders>
            <w:hideMark/>
          </w:tcPr>
          <w:p w14:paraId="1A6CA1BB" w14:textId="77777777" w:rsidR="00AA3373" w:rsidRPr="006E7176" w:rsidRDefault="00AA3373" w:rsidP="00DE49E2">
            <w:pPr>
              <w:ind w:left="-168" w:right="-81"/>
              <w:jc w:val="center"/>
              <w:rPr>
                <w:color w:val="000000"/>
                <w:sz w:val="20"/>
                <w:szCs w:val="18"/>
              </w:rPr>
            </w:pPr>
            <w:r w:rsidRPr="006E7176">
              <w:rPr>
                <w:color w:val="000000"/>
                <w:sz w:val="20"/>
                <w:szCs w:val="18"/>
              </w:rPr>
              <w:t>-0,5</w:t>
            </w:r>
          </w:p>
        </w:tc>
        <w:tc>
          <w:tcPr>
            <w:tcW w:w="828" w:type="dxa"/>
            <w:tcBorders>
              <w:top w:val="single" w:sz="4" w:space="0" w:color="BFBFBF"/>
              <w:left w:val="single" w:sz="4" w:space="0" w:color="BFBFBF"/>
              <w:bottom w:val="single" w:sz="4" w:space="0" w:color="BFBFBF"/>
              <w:right w:val="single" w:sz="4" w:space="0" w:color="BFBFBF"/>
            </w:tcBorders>
            <w:hideMark/>
          </w:tcPr>
          <w:p w14:paraId="5485440C" w14:textId="77777777" w:rsidR="00AA3373" w:rsidRPr="006E7176" w:rsidRDefault="00AA3373" w:rsidP="00DE49E2">
            <w:pPr>
              <w:ind w:left="-168" w:right="-81"/>
              <w:jc w:val="center"/>
              <w:rPr>
                <w:color w:val="000000"/>
                <w:sz w:val="20"/>
                <w:szCs w:val="18"/>
              </w:rPr>
            </w:pPr>
            <w:r w:rsidRPr="006E7176">
              <w:rPr>
                <w:color w:val="000000"/>
                <w:sz w:val="20"/>
                <w:szCs w:val="18"/>
              </w:rPr>
              <w:t>253,9</w:t>
            </w:r>
          </w:p>
        </w:tc>
        <w:tc>
          <w:tcPr>
            <w:tcW w:w="829" w:type="dxa"/>
            <w:tcBorders>
              <w:top w:val="single" w:sz="4" w:space="0" w:color="BFBFBF"/>
              <w:left w:val="single" w:sz="4" w:space="0" w:color="BFBFBF"/>
              <w:bottom w:val="single" w:sz="4" w:space="0" w:color="BFBFBF"/>
              <w:right w:val="single" w:sz="4" w:space="0" w:color="BFBFBF"/>
            </w:tcBorders>
            <w:hideMark/>
          </w:tcPr>
          <w:p w14:paraId="17905448" w14:textId="77777777" w:rsidR="00AA3373" w:rsidRPr="006E7176" w:rsidRDefault="00AA3373" w:rsidP="00DE49E2">
            <w:pPr>
              <w:ind w:left="-168" w:right="-81"/>
              <w:jc w:val="center"/>
              <w:rPr>
                <w:color w:val="000000"/>
                <w:sz w:val="20"/>
                <w:szCs w:val="18"/>
              </w:rPr>
            </w:pPr>
            <w:r w:rsidRPr="006E7176">
              <w:rPr>
                <w:color w:val="000000"/>
                <w:sz w:val="20"/>
                <w:szCs w:val="18"/>
              </w:rPr>
              <w:t>443,9</w:t>
            </w:r>
          </w:p>
        </w:tc>
        <w:tc>
          <w:tcPr>
            <w:tcW w:w="877" w:type="dxa"/>
            <w:tcBorders>
              <w:top w:val="single" w:sz="4" w:space="0" w:color="BFBFBF"/>
              <w:left w:val="single" w:sz="4" w:space="0" w:color="BFBFBF"/>
              <w:bottom w:val="single" w:sz="4" w:space="0" w:color="BFBFBF"/>
              <w:right w:val="single" w:sz="4" w:space="0" w:color="BFBFBF"/>
            </w:tcBorders>
            <w:hideMark/>
          </w:tcPr>
          <w:p w14:paraId="16FE126B" w14:textId="77777777" w:rsidR="00AA3373" w:rsidRPr="006E7176" w:rsidRDefault="00AA3373" w:rsidP="00DE49E2">
            <w:pPr>
              <w:ind w:left="-168" w:right="-81"/>
              <w:jc w:val="center"/>
              <w:rPr>
                <w:color w:val="000000"/>
                <w:sz w:val="20"/>
                <w:szCs w:val="18"/>
              </w:rPr>
            </w:pPr>
            <w:r w:rsidRPr="006E7176">
              <w:rPr>
                <w:color w:val="000000"/>
                <w:sz w:val="20"/>
                <w:szCs w:val="18"/>
              </w:rPr>
              <w:t>729,4</w:t>
            </w:r>
          </w:p>
        </w:tc>
        <w:tc>
          <w:tcPr>
            <w:tcW w:w="855" w:type="dxa"/>
            <w:tcBorders>
              <w:top w:val="single" w:sz="4" w:space="0" w:color="BFBFBF"/>
              <w:left w:val="single" w:sz="4" w:space="0" w:color="BFBFBF"/>
              <w:bottom w:val="single" w:sz="4" w:space="0" w:color="BFBFBF"/>
              <w:right w:val="single" w:sz="4" w:space="0" w:color="BFBFBF"/>
            </w:tcBorders>
            <w:hideMark/>
          </w:tcPr>
          <w:p w14:paraId="2C15588E" w14:textId="77777777" w:rsidR="00AA3373" w:rsidRPr="006E7176" w:rsidRDefault="00AA3373" w:rsidP="00DE49E2">
            <w:pPr>
              <w:ind w:left="-168" w:right="-81"/>
              <w:jc w:val="center"/>
              <w:rPr>
                <w:color w:val="000000"/>
                <w:sz w:val="20"/>
                <w:szCs w:val="18"/>
              </w:rPr>
            </w:pPr>
            <w:r w:rsidRPr="006E7176">
              <w:rPr>
                <w:color w:val="000000"/>
                <w:sz w:val="20"/>
                <w:szCs w:val="18"/>
              </w:rPr>
              <w:t>568,8</w:t>
            </w:r>
          </w:p>
        </w:tc>
      </w:tr>
    </w:tbl>
    <w:p w14:paraId="0DB60130" w14:textId="455C4264" w:rsidR="00AA3373" w:rsidRPr="006E7176" w:rsidRDefault="00AA3373" w:rsidP="00AA3373">
      <w:pPr>
        <w:ind w:firstLine="694"/>
        <w:jc w:val="both"/>
        <w:rPr>
          <w:sz w:val="14"/>
          <w:szCs w:val="20"/>
        </w:rPr>
      </w:pPr>
    </w:p>
    <w:p w14:paraId="7F6BCDEB" w14:textId="7F6EA85A" w:rsidR="00FE30BC" w:rsidRPr="006E7176" w:rsidRDefault="00FE30BC" w:rsidP="00AA3373">
      <w:pPr>
        <w:ind w:firstLine="694"/>
        <w:jc w:val="both"/>
        <w:rPr>
          <w:sz w:val="18"/>
          <w:szCs w:val="20"/>
        </w:rPr>
      </w:pPr>
    </w:p>
    <w:p w14:paraId="533D6FD8" w14:textId="7F99C393" w:rsidR="00FE30BC" w:rsidRDefault="007B55FB" w:rsidP="00AA3373">
      <w:pPr>
        <w:ind w:firstLine="694"/>
        <w:jc w:val="both"/>
        <w:rPr>
          <w:sz w:val="20"/>
          <w:szCs w:val="20"/>
        </w:rPr>
      </w:pPr>
      <w:r>
        <w:t>Rezerves fondā izvietotie finanšu līdzekļi tiek investēti saskaņā ar ESM ieguldīšanas vadlīnijām.</w:t>
      </w:r>
    </w:p>
    <w:p w14:paraId="6CF0F036" w14:textId="20CAAF58" w:rsidR="006E7176" w:rsidRDefault="006E7176" w:rsidP="00AA3373">
      <w:pPr>
        <w:ind w:firstLine="694"/>
        <w:jc w:val="both"/>
        <w:rPr>
          <w:sz w:val="20"/>
          <w:szCs w:val="20"/>
        </w:rPr>
      </w:pPr>
    </w:p>
    <w:p w14:paraId="66474725" w14:textId="77777777" w:rsidR="006E7176" w:rsidRDefault="006E7176" w:rsidP="00AA3373">
      <w:pPr>
        <w:ind w:firstLine="694"/>
        <w:jc w:val="both"/>
        <w:rPr>
          <w:sz w:val="20"/>
          <w:szCs w:val="20"/>
        </w:rPr>
      </w:pPr>
    </w:p>
    <w:p w14:paraId="7A698158" w14:textId="14191A0D" w:rsidR="00B11113" w:rsidRPr="00B11113" w:rsidRDefault="00B11113" w:rsidP="00B11113">
      <w:pPr>
        <w:pStyle w:val="Heading1"/>
        <w:tabs>
          <w:tab w:val="left" w:pos="6840"/>
        </w:tabs>
        <w:rPr>
          <w:rFonts w:ascii="Times New Roman" w:hAnsi="Times New Roman" w:cs="Times New Roman"/>
          <w:color w:val="000000" w:themeColor="text1"/>
          <w:lang w:eastAsia="lv-LV"/>
        </w:rPr>
      </w:pPr>
      <w:r w:rsidRPr="00B11113">
        <w:rPr>
          <w:rFonts w:ascii="Times New Roman" w:hAnsi="Times New Roman" w:cs="Times New Roman"/>
          <w:noProof/>
          <w:color w:val="000000" w:themeColor="text1"/>
          <w:sz w:val="24"/>
        </w:rPr>
        <w:t>Finanšu ministre</w:t>
      </w:r>
      <w:r w:rsidRPr="00B11113">
        <w:rPr>
          <w:rFonts w:ascii="Times New Roman" w:hAnsi="Times New Roman" w:cs="Times New Roman"/>
          <w:noProof/>
          <w:color w:val="000000" w:themeColor="text1"/>
          <w:sz w:val="24"/>
        </w:rPr>
        <w:tab/>
      </w:r>
      <w:r w:rsidRPr="00B11113">
        <w:rPr>
          <w:rFonts w:ascii="Times New Roman" w:hAnsi="Times New Roman" w:cs="Times New Roman"/>
          <w:noProof/>
          <w:color w:val="000000" w:themeColor="text1"/>
          <w:sz w:val="24"/>
        </w:rPr>
        <w:tab/>
      </w:r>
      <w:r w:rsidR="00B55502">
        <w:rPr>
          <w:rFonts w:ascii="Times New Roman" w:hAnsi="Times New Roman" w:cs="Times New Roman"/>
          <w:noProof/>
          <w:color w:val="000000" w:themeColor="text1"/>
          <w:sz w:val="24"/>
        </w:rPr>
        <w:t xml:space="preserve">    </w:t>
      </w:r>
      <w:r w:rsidRPr="00B11113">
        <w:rPr>
          <w:rFonts w:ascii="Times New Roman" w:hAnsi="Times New Roman" w:cs="Times New Roman"/>
          <w:noProof/>
          <w:color w:val="000000" w:themeColor="text1"/>
          <w:sz w:val="24"/>
          <w:lang w:val="en-GB"/>
        </w:rPr>
        <w:t>D</w:t>
      </w:r>
      <w:r w:rsidR="00CE5A7E">
        <w:rPr>
          <w:rFonts w:ascii="Times New Roman" w:hAnsi="Times New Roman" w:cs="Times New Roman"/>
          <w:noProof/>
          <w:color w:val="000000" w:themeColor="text1"/>
          <w:sz w:val="24"/>
          <w:lang w:val="en-GB"/>
        </w:rPr>
        <w:t>ana</w:t>
      </w:r>
      <w:r w:rsidRPr="00B11113">
        <w:rPr>
          <w:rFonts w:ascii="Times New Roman" w:hAnsi="Times New Roman" w:cs="Times New Roman"/>
          <w:noProof/>
          <w:color w:val="000000" w:themeColor="text1"/>
          <w:sz w:val="24"/>
          <w:lang w:val="en-GB"/>
        </w:rPr>
        <w:t xml:space="preserve"> Reizniece-Ozola</w:t>
      </w:r>
    </w:p>
    <w:p w14:paraId="3C93F6FE" w14:textId="47C6A35F" w:rsidR="003540A8" w:rsidRDefault="003540A8" w:rsidP="00813AE6">
      <w:pPr>
        <w:tabs>
          <w:tab w:val="left" w:pos="5387"/>
        </w:tabs>
        <w:adjustRightInd w:val="0"/>
        <w:jc w:val="both"/>
        <w:textAlignment w:val="baseline"/>
        <w:rPr>
          <w:rFonts w:eastAsia="Times New Roman"/>
          <w:lang w:eastAsia="lv-LV"/>
        </w:rPr>
      </w:pPr>
    </w:p>
    <w:p w14:paraId="2A764D94" w14:textId="19FDFEF8" w:rsidR="00CE5A7E" w:rsidRDefault="00CE5A7E" w:rsidP="00813AE6">
      <w:pPr>
        <w:tabs>
          <w:tab w:val="left" w:pos="5387"/>
        </w:tabs>
        <w:adjustRightInd w:val="0"/>
        <w:jc w:val="both"/>
        <w:textAlignment w:val="baseline"/>
        <w:rPr>
          <w:rFonts w:eastAsia="Times New Roman"/>
          <w:lang w:eastAsia="lv-LV"/>
        </w:rPr>
      </w:pPr>
    </w:p>
    <w:p w14:paraId="3FA072BF" w14:textId="08348CEA" w:rsidR="00FE30BC" w:rsidRDefault="00FE30BC" w:rsidP="00D226CF">
      <w:pPr>
        <w:ind w:firstLine="720"/>
        <w:jc w:val="both"/>
        <w:rPr>
          <w:highlight w:val="yellow"/>
        </w:rPr>
      </w:pPr>
      <w:bookmarkStart w:id="0" w:name="_GoBack"/>
      <w:bookmarkEnd w:id="0"/>
    </w:p>
    <w:p w14:paraId="5D580881" w14:textId="77777777" w:rsidR="00F33A20" w:rsidRDefault="00B11113" w:rsidP="00EF21C9">
      <w:pPr>
        <w:rPr>
          <w:color w:val="000000"/>
          <w:sz w:val="20"/>
          <w:szCs w:val="20"/>
        </w:rPr>
      </w:pPr>
      <w:r w:rsidRPr="00571D45">
        <w:rPr>
          <w:color w:val="000000"/>
          <w:sz w:val="20"/>
          <w:szCs w:val="20"/>
        </w:rPr>
        <w:t>Ozoliņa</w:t>
      </w:r>
      <w:r w:rsidR="00F33A20">
        <w:rPr>
          <w:color w:val="000000"/>
          <w:sz w:val="20"/>
          <w:szCs w:val="20"/>
        </w:rPr>
        <w:t xml:space="preserve">, </w:t>
      </w:r>
      <w:r w:rsidRPr="00571D45">
        <w:rPr>
          <w:color w:val="000000"/>
          <w:sz w:val="20"/>
          <w:szCs w:val="20"/>
        </w:rPr>
        <w:t>67083823</w:t>
      </w:r>
    </w:p>
    <w:p w14:paraId="0A575C3D" w14:textId="7D165F44" w:rsidR="00D57A57" w:rsidRDefault="00B11113" w:rsidP="00EF21C9">
      <w:pPr>
        <w:rPr>
          <w:rStyle w:val="Hyperlink"/>
          <w:sz w:val="20"/>
          <w:szCs w:val="20"/>
        </w:rPr>
      </w:pPr>
      <w:r w:rsidRPr="00F6633C">
        <w:rPr>
          <w:sz w:val="20"/>
          <w:szCs w:val="20"/>
        </w:rPr>
        <w:t>Liga.Ozolina@fm.gov.lv</w:t>
      </w:r>
      <w:r w:rsidR="00EF21C9">
        <w:rPr>
          <w:rStyle w:val="Hyperlink"/>
          <w:sz w:val="20"/>
          <w:szCs w:val="20"/>
        </w:rPr>
        <w:t xml:space="preserve"> </w:t>
      </w:r>
    </w:p>
    <w:sectPr w:rsidR="00D57A57" w:rsidSect="00004E13">
      <w:headerReference w:type="default" r:id="rId10"/>
      <w:footerReference w:type="default" r:id="rId11"/>
      <w:footerReference w:type="first" r:id="rId12"/>
      <w:pgSz w:w="11906" w:h="16838"/>
      <w:pgMar w:top="1134" w:right="567" w:bottom="1134" w:left="1701" w:header="709"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B4E52" w14:textId="77777777" w:rsidR="005B1B7A" w:rsidRDefault="005B1B7A" w:rsidP="001907A7">
      <w:r>
        <w:separator/>
      </w:r>
    </w:p>
  </w:endnote>
  <w:endnote w:type="continuationSeparator" w:id="0">
    <w:p w14:paraId="56EC2E8C" w14:textId="77777777" w:rsidR="005B1B7A" w:rsidRDefault="005B1B7A" w:rsidP="0019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FE7DA" w14:textId="7F5AA2C1" w:rsidR="005B1B7A" w:rsidRPr="00B11113" w:rsidRDefault="005B1B7A" w:rsidP="00B11113">
    <w:pPr>
      <w:jc w:val="both"/>
      <w:rPr>
        <w:sz w:val="20"/>
        <w:szCs w:val="20"/>
      </w:rPr>
    </w:pPr>
    <w:r w:rsidRPr="00B11113">
      <w:rPr>
        <w:sz w:val="20"/>
        <w:szCs w:val="20"/>
      </w:rPr>
      <w:fldChar w:fldCharType="begin"/>
    </w:r>
    <w:r w:rsidRPr="00B11113">
      <w:rPr>
        <w:sz w:val="20"/>
        <w:szCs w:val="20"/>
      </w:rPr>
      <w:instrText xml:space="preserve"> FILENAME   \* MERGEFORMAT </w:instrText>
    </w:r>
    <w:r w:rsidRPr="00B11113">
      <w:rPr>
        <w:sz w:val="20"/>
        <w:szCs w:val="20"/>
      </w:rPr>
      <w:fldChar w:fldCharType="separate"/>
    </w:r>
    <w:r w:rsidR="0095622F">
      <w:rPr>
        <w:noProof/>
        <w:sz w:val="20"/>
        <w:szCs w:val="20"/>
      </w:rPr>
      <w:t>FMzin_280617_ESM_2016.docx</w:t>
    </w:r>
    <w:r w:rsidRPr="00B11113">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D7654" w14:textId="75366497" w:rsidR="00804885" w:rsidRPr="00804885" w:rsidRDefault="00804885" w:rsidP="00804885">
    <w:pPr>
      <w:jc w:val="both"/>
      <w:rPr>
        <w:sz w:val="20"/>
        <w:szCs w:val="20"/>
      </w:rPr>
    </w:pPr>
    <w:r w:rsidRPr="00B11113">
      <w:rPr>
        <w:sz w:val="20"/>
        <w:szCs w:val="20"/>
      </w:rPr>
      <w:fldChar w:fldCharType="begin"/>
    </w:r>
    <w:r w:rsidRPr="00B11113">
      <w:rPr>
        <w:sz w:val="20"/>
        <w:szCs w:val="20"/>
      </w:rPr>
      <w:instrText xml:space="preserve"> FILENAME   \* MERGEFORMAT </w:instrText>
    </w:r>
    <w:r w:rsidRPr="00B11113">
      <w:rPr>
        <w:sz w:val="20"/>
        <w:szCs w:val="20"/>
      </w:rPr>
      <w:fldChar w:fldCharType="separate"/>
    </w:r>
    <w:r w:rsidR="0095622F">
      <w:rPr>
        <w:noProof/>
        <w:sz w:val="20"/>
        <w:szCs w:val="20"/>
      </w:rPr>
      <w:t>FMzin_280617_ESM_2016.docx</w:t>
    </w:r>
    <w:r w:rsidRPr="00B1111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B5BBC" w14:textId="77777777" w:rsidR="005B1B7A" w:rsidRDefault="005B1B7A" w:rsidP="001907A7">
      <w:r>
        <w:separator/>
      </w:r>
    </w:p>
  </w:footnote>
  <w:footnote w:type="continuationSeparator" w:id="0">
    <w:p w14:paraId="43982686" w14:textId="77777777" w:rsidR="005B1B7A" w:rsidRDefault="005B1B7A" w:rsidP="001907A7">
      <w:r>
        <w:continuationSeparator/>
      </w:r>
    </w:p>
  </w:footnote>
  <w:footnote w:id="1">
    <w:p w14:paraId="59CD016C" w14:textId="5F459FF5" w:rsidR="009F426E" w:rsidRDefault="00B55702" w:rsidP="00B55702">
      <w:pPr>
        <w:pStyle w:val="FootnoteText"/>
        <w:jc w:val="both"/>
      </w:pPr>
      <w:r>
        <w:rPr>
          <w:rStyle w:val="FootnoteReference"/>
        </w:rPr>
        <w:footnoteRef/>
      </w:r>
      <w:r>
        <w:t xml:space="preserve"> </w:t>
      </w:r>
      <w:r w:rsidR="009F426E">
        <w:t xml:space="preserve">Elektroniski </w:t>
      </w:r>
      <w:r>
        <w:t>ESM gada pārskati</w:t>
      </w:r>
      <w:r w:rsidR="009F426E">
        <w:t xml:space="preserve"> pieejami šeit</w:t>
      </w:r>
      <w:r>
        <w:t>:</w:t>
      </w:r>
    </w:p>
    <w:p w14:paraId="25ABF78D" w14:textId="1CFBF562" w:rsidR="00B55702" w:rsidRDefault="00B55702" w:rsidP="00B55702">
      <w:pPr>
        <w:pStyle w:val="FootnoteText"/>
        <w:jc w:val="both"/>
      </w:pPr>
      <w:r w:rsidRPr="00F6633C">
        <w:t>https://www.esm.europa.eu/publications?field_esm_publication_type_tid[]=2#publication-preselect</w:t>
      </w:r>
      <w:r>
        <w:t xml:space="preserve"> </w:t>
      </w:r>
    </w:p>
  </w:footnote>
  <w:footnote w:id="2">
    <w:p w14:paraId="7F86D048" w14:textId="14B85811" w:rsidR="00DE0BAE" w:rsidRDefault="00DE0BAE" w:rsidP="002715CA">
      <w:pPr>
        <w:pStyle w:val="FootnoteText"/>
        <w:jc w:val="both"/>
      </w:pPr>
      <w:r>
        <w:rPr>
          <w:rStyle w:val="FootnoteReference"/>
        </w:rPr>
        <w:footnoteRef/>
      </w:r>
      <w:r>
        <w:t xml:space="preserve"> N</w:t>
      </w:r>
      <w:r w:rsidRPr="00AE01C0">
        <w:t xml:space="preserve">av ietekmes uz vispārējās valdības </w:t>
      </w:r>
      <w:r>
        <w:t xml:space="preserve">budžeta </w:t>
      </w:r>
      <w:r w:rsidRPr="00AE01C0">
        <w:t>bilanci pēc E</w:t>
      </w:r>
      <w:r w:rsidR="002715CA">
        <w:t xml:space="preserve">iropas </w:t>
      </w:r>
      <w:r w:rsidRPr="00AE01C0">
        <w:t>K</w:t>
      </w:r>
      <w:r w:rsidR="002715CA">
        <w:t>ontu sistēmas</w:t>
      </w:r>
      <w:r w:rsidRPr="00AE01C0">
        <w:t xml:space="preserve"> metodoloģij</w:t>
      </w:r>
      <w:r>
        <w:t>as, jo ir finansēšanas darījums.</w:t>
      </w:r>
    </w:p>
  </w:footnote>
  <w:footnote w:id="3">
    <w:p w14:paraId="14138892" w14:textId="0F704B65" w:rsidR="005B1B7A" w:rsidRDefault="005B1B7A" w:rsidP="00CA4839">
      <w:pPr>
        <w:pStyle w:val="FootnoteText"/>
        <w:jc w:val="both"/>
      </w:pPr>
      <w:r>
        <w:rPr>
          <w:rStyle w:val="FootnoteReference"/>
        </w:rPr>
        <w:footnoteRef/>
      </w:r>
      <w:r>
        <w:t xml:space="preserve"> </w:t>
      </w:r>
      <w:r w:rsidRPr="00CB544C">
        <w:rPr>
          <w:bCs/>
          <w:sz w:val="18"/>
          <w:szCs w:val="18"/>
        </w:rPr>
        <w:t>Beļģijas Karalist</w:t>
      </w:r>
      <w:r>
        <w:rPr>
          <w:bCs/>
          <w:sz w:val="18"/>
          <w:szCs w:val="18"/>
        </w:rPr>
        <w:t>e</w:t>
      </w:r>
      <w:r w:rsidRPr="00CB544C">
        <w:rPr>
          <w:bCs/>
          <w:sz w:val="18"/>
          <w:szCs w:val="18"/>
        </w:rPr>
        <w:t>, Vācijas Federatīv</w:t>
      </w:r>
      <w:r>
        <w:rPr>
          <w:bCs/>
          <w:sz w:val="18"/>
          <w:szCs w:val="18"/>
        </w:rPr>
        <w:t>ā</w:t>
      </w:r>
      <w:r w:rsidRPr="00CB544C">
        <w:rPr>
          <w:bCs/>
          <w:sz w:val="18"/>
          <w:szCs w:val="18"/>
        </w:rPr>
        <w:t xml:space="preserve"> </w:t>
      </w:r>
      <w:r>
        <w:rPr>
          <w:bCs/>
          <w:sz w:val="18"/>
          <w:szCs w:val="18"/>
        </w:rPr>
        <w:t>Republika</w:t>
      </w:r>
      <w:r w:rsidRPr="00CB544C">
        <w:rPr>
          <w:bCs/>
          <w:sz w:val="18"/>
          <w:szCs w:val="18"/>
        </w:rPr>
        <w:t xml:space="preserve">, Igaunijas </w:t>
      </w:r>
      <w:r>
        <w:rPr>
          <w:bCs/>
          <w:sz w:val="18"/>
          <w:szCs w:val="18"/>
        </w:rPr>
        <w:t>Republika</w:t>
      </w:r>
      <w:r w:rsidRPr="00CB544C">
        <w:rPr>
          <w:bCs/>
          <w:sz w:val="18"/>
          <w:szCs w:val="18"/>
        </w:rPr>
        <w:t>, Īrij</w:t>
      </w:r>
      <w:r>
        <w:rPr>
          <w:bCs/>
          <w:sz w:val="18"/>
          <w:szCs w:val="18"/>
        </w:rPr>
        <w:t>as Republika</w:t>
      </w:r>
      <w:r w:rsidRPr="00CB544C">
        <w:rPr>
          <w:bCs/>
          <w:sz w:val="18"/>
          <w:szCs w:val="18"/>
        </w:rPr>
        <w:t xml:space="preserve">, Grieķijas </w:t>
      </w:r>
      <w:r>
        <w:rPr>
          <w:bCs/>
          <w:sz w:val="18"/>
          <w:szCs w:val="18"/>
        </w:rPr>
        <w:t>Republika</w:t>
      </w:r>
      <w:r w:rsidRPr="00CB544C">
        <w:rPr>
          <w:bCs/>
          <w:sz w:val="18"/>
          <w:szCs w:val="18"/>
        </w:rPr>
        <w:t>, Spānijas Karalist</w:t>
      </w:r>
      <w:r>
        <w:rPr>
          <w:bCs/>
          <w:sz w:val="18"/>
          <w:szCs w:val="18"/>
        </w:rPr>
        <w:t>e</w:t>
      </w:r>
      <w:r w:rsidRPr="00CB544C">
        <w:rPr>
          <w:bCs/>
          <w:sz w:val="18"/>
          <w:szCs w:val="18"/>
        </w:rPr>
        <w:t xml:space="preserve">, Francijas </w:t>
      </w:r>
      <w:r>
        <w:rPr>
          <w:bCs/>
          <w:sz w:val="18"/>
          <w:szCs w:val="18"/>
        </w:rPr>
        <w:t>Republika</w:t>
      </w:r>
      <w:r w:rsidRPr="00CB544C">
        <w:rPr>
          <w:bCs/>
          <w:sz w:val="18"/>
          <w:szCs w:val="18"/>
        </w:rPr>
        <w:t xml:space="preserve">, Itālijas </w:t>
      </w:r>
      <w:r>
        <w:rPr>
          <w:bCs/>
          <w:sz w:val="18"/>
          <w:szCs w:val="18"/>
        </w:rPr>
        <w:t>Republika</w:t>
      </w:r>
      <w:r w:rsidRPr="00CB544C">
        <w:rPr>
          <w:bCs/>
          <w:sz w:val="18"/>
          <w:szCs w:val="18"/>
        </w:rPr>
        <w:t xml:space="preserve">, Kipras </w:t>
      </w:r>
      <w:r>
        <w:rPr>
          <w:bCs/>
          <w:sz w:val="18"/>
          <w:szCs w:val="18"/>
        </w:rPr>
        <w:t>Republika</w:t>
      </w:r>
      <w:r w:rsidRPr="00CB544C">
        <w:rPr>
          <w:bCs/>
          <w:sz w:val="18"/>
          <w:szCs w:val="18"/>
        </w:rPr>
        <w:t>,</w:t>
      </w:r>
      <w:r>
        <w:rPr>
          <w:bCs/>
          <w:sz w:val="18"/>
          <w:szCs w:val="18"/>
        </w:rPr>
        <w:t xml:space="preserve"> Latvijas Republika, Lietuvas Republika,</w:t>
      </w:r>
      <w:r w:rsidRPr="00CB544C">
        <w:rPr>
          <w:bCs/>
          <w:sz w:val="18"/>
          <w:szCs w:val="18"/>
        </w:rPr>
        <w:t xml:space="preserve"> Luksemburgas Lielhercogist</w:t>
      </w:r>
      <w:r>
        <w:rPr>
          <w:bCs/>
          <w:sz w:val="18"/>
          <w:szCs w:val="18"/>
        </w:rPr>
        <w:t>e</w:t>
      </w:r>
      <w:r w:rsidRPr="00CB544C">
        <w:rPr>
          <w:bCs/>
          <w:sz w:val="18"/>
          <w:szCs w:val="18"/>
        </w:rPr>
        <w:t>, Malt</w:t>
      </w:r>
      <w:r>
        <w:rPr>
          <w:bCs/>
          <w:sz w:val="18"/>
          <w:szCs w:val="18"/>
        </w:rPr>
        <w:t>a</w:t>
      </w:r>
      <w:r w:rsidRPr="00CB544C">
        <w:rPr>
          <w:bCs/>
          <w:sz w:val="18"/>
          <w:szCs w:val="18"/>
        </w:rPr>
        <w:t>, Nīderlandes Karalist</w:t>
      </w:r>
      <w:r>
        <w:rPr>
          <w:bCs/>
          <w:sz w:val="18"/>
          <w:szCs w:val="18"/>
        </w:rPr>
        <w:t>e</w:t>
      </w:r>
      <w:r w:rsidRPr="00CB544C">
        <w:rPr>
          <w:bCs/>
          <w:sz w:val="18"/>
          <w:szCs w:val="18"/>
        </w:rPr>
        <w:t xml:space="preserve">, Austrijas </w:t>
      </w:r>
      <w:r>
        <w:rPr>
          <w:bCs/>
          <w:sz w:val="18"/>
          <w:szCs w:val="18"/>
        </w:rPr>
        <w:t>Republika</w:t>
      </w:r>
      <w:r w:rsidRPr="00CB544C">
        <w:rPr>
          <w:bCs/>
          <w:sz w:val="18"/>
          <w:szCs w:val="18"/>
        </w:rPr>
        <w:t xml:space="preserve">, Portugāles </w:t>
      </w:r>
      <w:r>
        <w:rPr>
          <w:bCs/>
          <w:sz w:val="18"/>
          <w:szCs w:val="18"/>
        </w:rPr>
        <w:t>Republika</w:t>
      </w:r>
      <w:r w:rsidRPr="00CB544C">
        <w:rPr>
          <w:bCs/>
          <w:sz w:val="18"/>
          <w:szCs w:val="18"/>
        </w:rPr>
        <w:t xml:space="preserve">, Slovēnijas </w:t>
      </w:r>
      <w:r>
        <w:rPr>
          <w:bCs/>
          <w:sz w:val="18"/>
          <w:szCs w:val="18"/>
        </w:rPr>
        <w:t>Republika</w:t>
      </w:r>
      <w:r w:rsidRPr="00CB544C">
        <w:rPr>
          <w:bCs/>
          <w:sz w:val="18"/>
          <w:szCs w:val="18"/>
        </w:rPr>
        <w:t xml:space="preserve">, Slovākijas </w:t>
      </w:r>
      <w:r>
        <w:rPr>
          <w:bCs/>
          <w:sz w:val="18"/>
          <w:szCs w:val="18"/>
        </w:rPr>
        <w:t>Republika</w:t>
      </w:r>
      <w:r w:rsidRPr="00CB544C">
        <w:rPr>
          <w:bCs/>
          <w:sz w:val="18"/>
          <w:szCs w:val="18"/>
        </w:rPr>
        <w:t xml:space="preserve"> un Somijas </w:t>
      </w:r>
      <w:r>
        <w:rPr>
          <w:bCs/>
          <w:sz w:val="18"/>
          <w:szCs w:val="18"/>
        </w:rPr>
        <w:t>Republika.</w:t>
      </w:r>
    </w:p>
  </w:footnote>
  <w:footnote w:id="4">
    <w:p w14:paraId="7346D136" w14:textId="1AA2E027" w:rsidR="006A623C" w:rsidRPr="006A623C" w:rsidRDefault="006A623C" w:rsidP="006A623C">
      <w:pPr>
        <w:pStyle w:val="FootnoteText"/>
        <w:jc w:val="both"/>
      </w:pPr>
      <w:r>
        <w:rPr>
          <w:rStyle w:val="FootnoteReference"/>
        </w:rPr>
        <w:footnoteRef/>
      </w:r>
      <w:r>
        <w:t xml:space="preserve"> </w:t>
      </w:r>
      <w:r w:rsidRPr="006A623C">
        <w:rPr>
          <w:sz w:val="18"/>
        </w:rPr>
        <w:t xml:space="preserve">Padome atbilstoši Līgumam par stabilitāti, koordināciju un pārvaldību ekonomiskajā un monetārajā savienībā (turpmāk – LSKP) augustā pieņēma lēmumu, ka Spānija nav veikusi efektīvu rīcību </w:t>
      </w:r>
      <w:r w:rsidRPr="00CA22D2">
        <w:rPr>
          <w:i/>
          <w:sz w:val="18"/>
        </w:rPr>
        <w:t>(effective action)</w:t>
      </w:r>
      <w:r w:rsidRPr="006A623C">
        <w:rPr>
          <w:sz w:val="18"/>
        </w:rPr>
        <w:t>, lai samazinātu budžeta deficītu līdz 3% no IKP, jo budžeta deficīta korekcijas termiņš bija 2016.gads. Tāpat Padome pieņēma lēmumu atcelt sodu 0,2% no IKP apmērā, bet atbilstoši LSKP pieņēma paziņojumu (notice), ar kuru Spānijai tika noteikts jauns pārmērīga budžeta deficīta korekcijas termiņš – 2018.gads, kā arī tika noteikts pasākumu kopums budžeta deficīta samazināšanai.</w:t>
      </w:r>
    </w:p>
  </w:footnote>
  <w:footnote w:id="5">
    <w:p w14:paraId="4EDD00D1" w14:textId="77777777"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Pie bāzes scenārija bruto finansējuma vajadzības līmenim ir jāpaliek zem 15% no IKP programmas laikā un zem 20% no IKP pēc programmas. </w:t>
      </w:r>
    </w:p>
  </w:footnote>
  <w:footnote w:id="6">
    <w:p w14:paraId="0F752673" w14:textId="77777777" w:rsidR="007F3A21" w:rsidRPr="007F3A21" w:rsidRDefault="007F3A21" w:rsidP="007F3A21">
      <w:pPr>
        <w:pStyle w:val="FootnoteText"/>
        <w:jc w:val="both"/>
        <w:rPr>
          <w:rFonts w:cs="Times New Roman"/>
        </w:rPr>
      </w:pPr>
      <w:r w:rsidRPr="007F3A21">
        <w:rPr>
          <w:rStyle w:val="FootnoteReference"/>
          <w:rFonts w:cs="Times New Roman"/>
        </w:rPr>
        <w:footnoteRef/>
      </w:r>
      <w:r w:rsidRPr="007F3A21">
        <w:rPr>
          <w:rFonts w:cs="Times New Roman"/>
        </w:rPr>
        <w:t xml:space="preserve"> EFSF – Eiropas Finansiālās stabilitātes fonds, kas tika izveidots 2010. gadā kā pagaidu finansiālās palīdzības instruments grūtībās nonākušajām eirozonas valstīm ar mērķi saglabāt visas eirozonas stabilitāti.</w:t>
      </w:r>
    </w:p>
  </w:footnote>
  <w:footnote w:id="7">
    <w:p w14:paraId="1C50B90F" w14:textId="77777777" w:rsidR="007F3A21" w:rsidRPr="007F3A21" w:rsidRDefault="007F3A21" w:rsidP="007F3A21">
      <w:pPr>
        <w:pStyle w:val="FootnoteText"/>
        <w:jc w:val="both"/>
        <w:rPr>
          <w:color w:val="000000"/>
        </w:rPr>
      </w:pPr>
      <w:r w:rsidRPr="007F3A21">
        <w:rPr>
          <w:rStyle w:val="FootnoteReference"/>
          <w:rFonts w:cs="Times New Roman"/>
        </w:rPr>
        <w:footnoteRef/>
      </w:r>
      <w:r w:rsidRPr="007F3A21">
        <w:rPr>
          <w:rFonts w:cs="Times New Roman"/>
        </w:rPr>
        <w:t xml:space="preserve"> </w:t>
      </w:r>
      <w:r w:rsidRPr="007F3A21">
        <w:rPr>
          <w:i/>
          <w:color w:val="000000"/>
          <w:shd w:val="clear" w:color="auto" w:fill="FFFFFF"/>
        </w:rPr>
        <w:t>Agreement on Net Financial Assets</w:t>
      </w:r>
      <w:r w:rsidRPr="007F3A21">
        <w:rPr>
          <w:color w:val="000000"/>
        </w:rPr>
        <w:t xml:space="preserve"> (ANFA) ir </w:t>
      </w:r>
      <w:r w:rsidRPr="007F3A21">
        <w:rPr>
          <w:i/>
          <w:color w:val="000000"/>
        </w:rPr>
        <w:t>Eurosistēmas</w:t>
      </w:r>
      <w:r w:rsidRPr="007F3A21">
        <w:rPr>
          <w:color w:val="000000"/>
        </w:rPr>
        <w:t xml:space="preserve"> centrālo banku vienošanās par </w:t>
      </w:r>
      <w:r w:rsidRPr="007F3A21">
        <w:rPr>
          <w:i/>
          <w:color w:val="000000"/>
        </w:rPr>
        <w:t>Eurosistēmas</w:t>
      </w:r>
      <w:r w:rsidRPr="007F3A21">
        <w:rPr>
          <w:color w:val="000000"/>
        </w:rPr>
        <w:t xml:space="preserve"> neto finanšu aktīvu apjomiem.</w:t>
      </w:r>
    </w:p>
    <w:p w14:paraId="5FD83F87" w14:textId="77777777" w:rsidR="007F3A21" w:rsidRPr="001B30FD" w:rsidRDefault="007F3A21" w:rsidP="007F3A21">
      <w:pPr>
        <w:pStyle w:val="FootnoteText"/>
        <w:jc w:val="both"/>
        <w:rPr>
          <w:color w:val="000000"/>
          <w:sz w:val="18"/>
          <w:szCs w:val="24"/>
        </w:rPr>
      </w:pPr>
      <w:r w:rsidRPr="007F3A21">
        <w:rPr>
          <w:i/>
          <w:color w:val="000000"/>
        </w:rPr>
        <w:t>Securities Markets Programme</w:t>
      </w:r>
      <w:r w:rsidRPr="007F3A21">
        <w:rPr>
          <w:color w:val="000000"/>
        </w:rPr>
        <w:t xml:space="preserve"> (SMP) ir </w:t>
      </w:r>
      <w:r w:rsidRPr="007F3A21">
        <w:rPr>
          <w:i/>
          <w:color w:val="000000"/>
        </w:rPr>
        <w:t>Eurosistēmas</w:t>
      </w:r>
      <w:r w:rsidRPr="007F3A21">
        <w:rPr>
          <w:color w:val="000000"/>
        </w:rPr>
        <w:t xml:space="preserve"> programma, kuras ietvaros tā iegādājās atsevišķu </w:t>
      </w:r>
      <w:r w:rsidRPr="007F3A21">
        <w:rPr>
          <w:i/>
          <w:color w:val="000000"/>
        </w:rPr>
        <w:t>euro</w:t>
      </w:r>
      <w:r w:rsidRPr="007F3A21">
        <w:rPr>
          <w:color w:val="000000"/>
        </w:rPr>
        <w:t xml:space="preserve"> zonas valstu obligācijas otrreizējos tirgos.</w:t>
      </w:r>
    </w:p>
  </w:footnote>
  <w:footnote w:id="8">
    <w:p w14:paraId="4097109F" w14:textId="41B050DF" w:rsidR="007F3A21" w:rsidRPr="007F3A21" w:rsidRDefault="007F3A21" w:rsidP="007F3A21">
      <w:pPr>
        <w:jc w:val="both"/>
        <w:rPr>
          <w:sz w:val="20"/>
        </w:rPr>
      </w:pPr>
      <w:r w:rsidRPr="002C13FC">
        <w:rPr>
          <w:rStyle w:val="FootnoteReference"/>
          <w:color w:val="FFFFFF" w:themeColor="background1"/>
          <w:sz w:val="2"/>
          <w:szCs w:val="16"/>
        </w:rPr>
        <w:footnoteRef/>
      </w:r>
      <w:r w:rsidRPr="004A7DAD">
        <w:rPr>
          <w:sz w:val="20"/>
        </w:rPr>
        <w:t xml:space="preserve">* tas nozīmē, ka ESM </w:t>
      </w:r>
      <w:r>
        <w:rPr>
          <w:sz w:val="20"/>
        </w:rPr>
        <w:t>iz</w:t>
      </w:r>
      <w:r w:rsidRPr="004A7DAD">
        <w:rPr>
          <w:sz w:val="20"/>
        </w:rPr>
        <w:t xml:space="preserve">sniedz </w:t>
      </w:r>
      <w:r>
        <w:rPr>
          <w:sz w:val="20"/>
        </w:rPr>
        <w:t>parādzīmes</w:t>
      </w:r>
      <w:r w:rsidRPr="004A7DAD">
        <w:rPr>
          <w:sz w:val="20"/>
        </w:rPr>
        <w:t xml:space="preserve"> programmas valstij banku nozares rekapitalizācijai. Šīs </w:t>
      </w:r>
      <w:r>
        <w:rPr>
          <w:sz w:val="20"/>
        </w:rPr>
        <w:t>parādzīmes</w:t>
      </w:r>
      <w:r w:rsidRPr="004A7DAD">
        <w:rPr>
          <w:sz w:val="20"/>
        </w:rPr>
        <w:t xml:space="preserve"> var izmantot repo </w:t>
      </w:r>
      <w:r>
        <w:rPr>
          <w:sz w:val="20"/>
        </w:rPr>
        <w:t>(</w:t>
      </w:r>
      <w:r w:rsidRPr="0012434F">
        <w:rPr>
          <w:sz w:val="20"/>
        </w:rPr>
        <w:t>Līgumi par aktīvu pārdošanu ar atpirkšanu</w:t>
      </w:r>
      <w:r>
        <w:rPr>
          <w:sz w:val="20"/>
        </w:rPr>
        <w:t>)</w:t>
      </w:r>
      <w:r w:rsidRPr="0012434F">
        <w:rPr>
          <w:sz w:val="20"/>
        </w:rPr>
        <w:t xml:space="preserve"> </w:t>
      </w:r>
      <w:r w:rsidRPr="004A7DAD">
        <w:rPr>
          <w:sz w:val="20"/>
        </w:rPr>
        <w:t>tirgos kā nodrošinājumu, bet nav paredzētas tirdzniecībai tirgū.</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10821"/>
      <w:docPartObj>
        <w:docPartGallery w:val="Page Numbers (Top of Page)"/>
        <w:docPartUnique/>
      </w:docPartObj>
    </w:sdtPr>
    <w:sdtEndPr>
      <w:rPr>
        <w:noProof/>
      </w:rPr>
    </w:sdtEndPr>
    <w:sdtContent>
      <w:p w14:paraId="57A28D97" w14:textId="76D9D18E" w:rsidR="005B1B7A" w:rsidRDefault="005B1B7A" w:rsidP="00896C7F">
        <w:pPr>
          <w:pStyle w:val="Header"/>
          <w:jc w:val="center"/>
        </w:pPr>
        <w:r>
          <w:fldChar w:fldCharType="begin"/>
        </w:r>
        <w:r>
          <w:instrText xml:space="preserve"> PAGE   \* MERGEFORMAT </w:instrText>
        </w:r>
        <w:r>
          <w:fldChar w:fldCharType="separate"/>
        </w:r>
        <w:r w:rsidR="00F6633C">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901"/>
    <w:multiLevelType w:val="hybridMultilevel"/>
    <w:tmpl w:val="F8E27BFE"/>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0A120161"/>
    <w:multiLevelType w:val="hybridMultilevel"/>
    <w:tmpl w:val="32C886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D46648"/>
    <w:multiLevelType w:val="hybridMultilevel"/>
    <w:tmpl w:val="74C2939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17A7BC2"/>
    <w:multiLevelType w:val="hybridMultilevel"/>
    <w:tmpl w:val="433E01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7E7742A"/>
    <w:multiLevelType w:val="hybridMultilevel"/>
    <w:tmpl w:val="93A47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AF63AF"/>
    <w:multiLevelType w:val="multilevel"/>
    <w:tmpl w:val="D56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3C3C52"/>
    <w:multiLevelType w:val="hybridMultilevel"/>
    <w:tmpl w:val="5EF65FF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31D4125"/>
    <w:multiLevelType w:val="hybridMultilevel"/>
    <w:tmpl w:val="CBC60B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35744F5"/>
    <w:multiLevelType w:val="hybridMultilevel"/>
    <w:tmpl w:val="4052F8A4"/>
    <w:lvl w:ilvl="0" w:tplc="04260005">
      <w:start w:val="1"/>
      <w:numFmt w:val="bullet"/>
      <w:lvlText w:val=""/>
      <w:lvlJc w:val="left"/>
      <w:pPr>
        <w:ind w:left="1429" w:hanging="360"/>
      </w:pPr>
      <w:rPr>
        <w:rFonts w:ascii="Wingdings" w:hAnsi="Wingding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7B041730"/>
    <w:multiLevelType w:val="hybridMultilevel"/>
    <w:tmpl w:val="9FA40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D432F9"/>
    <w:multiLevelType w:val="hybridMultilevel"/>
    <w:tmpl w:val="813AF68C"/>
    <w:lvl w:ilvl="0" w:tplc="04260005">
      <w:start w:val="1"/>
      <w:numFmt w:val="bullet"/>
      <w:lvlText w:val=""/>
      <w:lvlJc w:val="left"/>
      <w:pPr>
        <w:ind w:left="757" w:hanging="360"/>
      </w:pPr>
      <w:rPr>
        <w:rFonts w:ascii="Wingdings" w:hAnsi="Wingdings"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num w:numId="1">
    <w:abstractNumId w:val="4"/>
  </w:num>
  <w:num w:numId="2">
    <w:abstractNumId w:val="5"/>
  </w:num>
  <w:num w:numId="3">
    <w:abstractNumId w:val="8"/>
  </w:num>
  <w:num w:numId="4">
    <w:abstractNumId w:val="0"/>
  </w:num>
  <w:num w:numId="5">
    <w:abstractNumId w:val="10"/>
  </w:num>
  <w:num w:numId="6">
    <w:abstractNumId w:val="2"/>
  </w:num>
  <w:num w:numId="7">
    <w:abstractNumId w:val="3"/>
  </w:num>
  <w:num w:numId="8">
    <w:abstractNumId w:val="9"/>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9F"/>
    <w:rsid w:val="0000092A"/>
    <w:rsid w:val="00000D0D"/>
    <w:rsid w:val="00004DF1"/>
    <w:rsid w:val="00004E13"/>
    <w:rsid w:val="0000616B"/>
    <w:rsid w:val="00014BC7"/>
    <w:rsid w:val="00032C70"/>
    <w:rsid w:val="000357AB"/>
    <w:rsid w:val="00041182"/>
    <w:rsid w:val="000415DE"/>
    <w:rsid w:val="00041D64"/>
    <w:rsid w:val="00042155"/>
    <w:rsid w:val="00042954"/>
    <w:rsid w:val="00052415"/>
    <w:rsid w:val="000546FE"/>
    <w:rsid w:val="000753CB"/>
    <w:rsid w:val="0008170F"/>
    <w:rsid w:val="00085635"/>
    <w:rsid w:val="000A07C1"/>
    <w:rsid w:val="000B13AC"/>
    <w:rsid w:val="000B4FF2"/>
    <w:rsid w:val="000B540C"/>
    <w:rsid w:val="000C076D"/>
    <w:rsid w:val="000C5365"/>
    <w:rsid w:val="000C5D0C"/>
    <w:rsid w:val="000C7419"/>
    <w:rsid w:val="000E3AB8"/>
    <w:rsid w:val="000E7D90"/>
    <w:rsid w:val="000F00DF"/>
    <w:rsid w:val="000F237C"/>
    <w:rsid w:val="000F48EA"/>
    <w:rsid w:val="00101D4E"/>
    <w:rsid w:val="00102197"/>
    <w:rsid w:val="001113BF"/>
    <w:rsid w:val="001145D4"/>
    <w:rsid w:val="00122D35"/>
    <w:rsid w:val="0012434F"/>
    <w:rsid w:val="00124DEE"/>
    <w:rsid w:val="0013137B"/>
    <w:rsid w:val="00131D60"/>
    <w:rsid w:val="00141D76"/>
    <w:rsid w:val="00151A50"/>
    <w:rsid w:val="00171BE2"/>
    <w:rsid w:val="0017633C"/>
    <w:rsid w:val="0018674C"/>
    <w:rsid w:val="001907A7"/>
    <w:rsid w:val="001A7C49"/>
    <w:rsid w:val="001B5973"/>
    <w:rsid w:val="001C1B34"/>
    <w:rsid w:val="001C1D85"/>
    <w:rsid w:val="001C4618"/>
    <w:rsid w:val="001D63F2"/>
    <w:rsid w:val="001E3DD6"/>
    <w:rsid w:val="001E7658"/>
    <w:rsid w:val="001E79A9"/>
    <w:rsid w:val="001F3658"/>
    <w:rsid w:val="001F5245"/>
    <w:rsid w:val="0020097B"/>
    <w:rsid w:val="00202D1F"/>
    <w:rsid w:val="00204419"/>
    <w:rsid w:val="00210F59"/>
    <w:rsid w:val="00221D74"/>
    <w:rsid w:val="00222243"/>
    <w:rsid w:val="002239E0"/>
    <w:rsid w:val="002245D4"/>
    <w:rsid w:val="002307F3"/>
    <w:rsid w:val="00240A47"/>
    <w:rsid w:val="0024666A"/>
    <w:rsid w:val="00254817"/>
    <w:rsid w:val="002601B4"/>
    <w:rsid w:val="00260B26"/>
    <w:rsid w:val="002715CA"/>
    <w:rsid w:val="002764F1"/>
    <w:rsid w:val="00277AC8"/>
    <w:rsid w:val="00277D76"/>
    <w:rsid w:val="00280255"/>
    <w:rsid w:val="002848A6"/>
    <w:rsid w:val="0029137B"/>
    <w:rsid w:val="002920DF"/>
    <w:rsid w:val="002924A1"/>
    <w:rsid w:val="00293A15"/>
    <w:rsid w:val="002A2D30"/>
    <w:rsid w:val="002A6276"/>
    <w:rsid w:val="002A7ADA"/>
    <w:rsid w:val="002B46EA"/>
    <w:rsid w:val="002B54BC"/>
    <w:rsid w:val="002C13FC"/>
    <w:rsid w:val="002D351A"/>
    <w:rsid w:val="002D3E68"/>
    <w:rsid w:val="002E12CB"/>
    <w:rsid w:val="002E2149"/>
    <w:rsid w:val="002E422A"/>
    <w:rsid w:val="002F4990"/>
    <w:rsid w:val="002F7DC9"/>
    <w:rsid w:val="002F7FB5"/>
    <w:rsid w:val="00302D46"/>
    <w:rsid w:val="00321309"/>
    <w:rsid w:val="00325000"/>
    <w:rsid w:val="00325E12"/>
    <w:rsid w:val="00331EFA"/>
    <w:rsid w:val="00336790"/>
    <w:rsid w:val="00346138"/>
    <w:rsid w:val="003540A8"/>
    <w:rsid w:val="0036034E"/>
    <w:rsid w:val="003604A0"/>
    <w:rsid w:val="00361095"/>
    <w:rsid w:val="00365FAB"/>
    <w:rsid w:val="00381906"/>
    <w:rsid w:val="00385E18"/>
    <w:rsid w:val="003869A2"/>
    <w:rsid w:val="00393AFB"/>
    <w:rsid w:val="003A0482"/>
    <w:rsid w:val="003A1421"/>
    <w:rsid w:val="003A2703"/>
    <w:rsid w:val="003A3BCE"/>
    <w:rsid w:val="003D486A"/>
    <w:rsid w:val="003E67F9"/>
    <w:rsid w:val="003F0F01"/>
    <w:rsid w:val="003F4BE0"/>
    <w:rsid w:val="0040727A"/>
    <w:rsid w:val="0041354F"/>
    <w:rsid w:val="00413851"/>
    <w:rsid w:val="00422C1A"/>
    <w:rsid w:val="004248FE"/>
    <w:rsid w:val="004257A2"/>
    <w:rsid w:val="0043593D"/>
    <w:rsid w:val="004370EC"/>
    <w:rsid w:val="0044061A"/>
    <w:rsid w:val="00440F0E"/>
    <w:rsid w:val="00441B6B"/>
    <w:rsid w:val="004502A9"/>
    <w:rsid w:val="00452349"/>
    <w:rsid w:val="00461FE6"/>
    <w:rsid w:val="00463107"/>
    <w:rsid w:val="00463C73"/>
    <w:rsid w:val="00467C93"/>
    <w:rsid w:val="00483B38"/>
    <w:rsid w:val="004901FB"/>
    <w:rsid w:val="004A12D9"/>
    <w:rsid w:val="004A5280"/>
    <w:rsid w:val="004A7DAD"/>
    <w:rsid w:val="004C1197"/>
    <w:rsid w:val="004C2792"/>
    <w:rsid w:val="004C2FFF"/>
    <w:rsid w:val="004D18B9"/>
    <w:rsid w:val="004D2877"/>
    <w:rsid w:val="004E2EE9"/>
    <w:rsid w:val="004E5B2C"/>
    <w:rsid w:val="004F02AD"/>
    <w:rsid w:val="004F31B4"/>
    <w:rsid w:val="004F3AD4"/>
    <w:rsid w:val="004F74A5"/>
    <w:rsid w:val="00505E01"/>
    <w:rsid w:val="00513965"/>
    <w:rsid w:val="00520B86"/>
    <w:rsid w:val="005220CE"/>
    <w:rsid w:val="00522FBC"/>
    <w:rsid w:val="00523B26"/>
    <w:rsid w:val="005266B8"/>
    <w:rsid w:val="00534A3A"/>
    <w:rsid w:val="00542E18"/>
    <w:rsid w:val="005438CE"/>
    <w:rsid w:val="00546390"/>
    <w:rsid w:val="0054738D"/>
    <w:rsid w:val="00560C13"/>
    <w:rsid w:val="00560F9A"/>
    <w:rsid w:val="0056686E"/>
    <w:rsid w:val="00570769"/>
    <w:rsid w:val="005835CE"/>
    <w:rsid w:val="005871E8"/>
    <w:rsid w:val="005900EA"/>
    <w:rsid w:val="00591A7B"/>
    <w:rsid w:val="00593D13"/>
    <w:rsid w:val="00593F53"/>
    <w:rsid w:val="005A10A1"/>
    <w:rsid w:val="005A4F0B"/>
    <w:rsid w:val="005A77B8"/>
    <w:rsid w:val="005B0C8D"/>
    <w:rsid w:val="005B1B7A"/>
    <w:rsid w:val="005C2CDE"/>
    <w:rsid w:val="005C4DF2"/>
    <w:rsid w:val="005D3D36"/>
    <w:rsid w:val="005E6CED"/>
    <w:rsid w:val="005F4C6F"/>
    <w:rsid w:val="00601021"/>
    <w:rsid w:val="00610586"/>
    <w:rsid w:val="0061244D"/>
    <w:rsid w:val="00630BE5"/>
    <w:rsid w:val="00630D84"/>
    <w:rsid w:val="006342BD"/>
    <w:rsid w:val="00640764"/>
    <w:rsid w:val="00644FFB"/>
    <w:rsid w:val="00651B86"/>
    <w:rsid w:val="006562FA"/>
    <w:rsid w:val="00656E6B"/>
    <w:rsid w:val="00662DC9"/>
    <w:rsid w:val="0066772C"/>
    <w:rsid w:val="00670A46"/>
    <w:rsid w:val="0067361D"/>
    <w:rsid w:val="00684983"/>
    <w:rsid w:val="00684E57"/>
    <w:rsid w:val="0069097F"/>
    <w:rsid w:val="0069433F"/>
    <w:rsid w:val="006A1A20"/>
    <w:rsid w:val="006A623C"/>
    <w:rsid w:val="006C6A48"/>
    <w:rsid w:val="006E7176"/>
    <w:rsid w:val="006F3C7E"/>
    <w:rsid w:val="006F6E9E"/>
    <w:rsid w:val="006F7EE6"/>
    <w:rsid w:val="007065B4"/>
    <w:rsid w:val="00715C24"/>
    <w:rsid w:val="00715D4D"/>
    <w:rsid w:val="00721B0C"/>
    <w:rsid w:val="00723595"/>
    <w:rsid w:val="007300DA"/>
    <w:rsid w:val="00731D50"/>
    <w:rsid w:val="0073395D"/>
    <w:rsid w:val="00735274"/>
    <w:rsid w:val="00735876"/>
    <w:rsid w:val="00735C9F"/>
    <w:rsid w:val="00736A7E"/>
    <w:rsid w:val="007444C1"/>
    <w:rsid w:val="007448F4"/>
    <w:rsid w:val="00752648"/>
    <w:rsid w:val="007622BA"/>
    <w:rsid w:val="00772672"/>
    <w:rsid w:val="00783688"/>
    <w:rsid w:val="00792523"/>
    <w:rsid w:val="00794FDC"/>
    <w:rsid w:val="007A0768"/>
    <w:rsid w:val="007A1031"/>
    <w:rsid w:val="007A1DE9"/>
    <w:rsid w:val="007A2B19"/>
    <w:rsid w:val="007A2B6B"/>
    <w:rsid w:val="007B103C"/>
    <w:rsid w:val="007B55FB"/>
    <w:rsid w:val="007C2C19"/>
    <w:rsid w:val="007C6AF9"/>
    <w:rsid w:val="007C7942"/>
    <w:rsid w:val="007D48E9"/>
    <w:rsid w:val="007E2ADD"/>
    <w:rsid w:val="007F3A21"/>
    <w:rsid w:val="008015BB"/>
    <w:rsid w:val="00804885"/>
    <w:rsid w:val="0080654E"/>
    <w:rsid w:val="008114CC"/>
    <w:rsid w:val="00813AE6"/>
    <w:rsid w:val="00821ABE"/>
    <w:rsid w:val="00827A65"/>
    <w:rsid w:val="008364B0"/>
    <w:rsid w:val="00852268"/>
    <w:rsid w:val="008670DD"/>
    <w:rsid w:val="0088149C"/>
    <w:rsid w:val="00881652"/>
    <w:rsid w:val="00886683"/>
    <w:rsid w:val="00890704"/>
    <w:rsid w:val="00896C7F"/>
    <w:rsid w:val="008A246F"/>
    <w:rsid w:val="008A4EC4"/>
    <w:rsid w:val="008B1CA2"/>
    <w:rsid w:val="008C3E65"/>
    <w:rsid w:val="008C53E4"/>
    <w:rsid w:val="008C5F43"/>
    <w:rsid w:val="008D5DCC"/>
    <w:rsid w:val="008E1F8B"/>
    <w:rsid w:val="008E3C46"/>
    <w:rsid w:val="008E56A0"/>
    <w:rsid w:val="008F0BF6"/>
    <w:rsid w:val="008F0E26"/>
    <w:rsid w:val="00911591"/>
    <w:rsid w:val="00923E49"/>
    <w:rsid w:val="00925F4F"/>
    <w:rsid w:val="00931C0B"/>
    <w:rsid w:val="00937054"/>
    <w:rsid w:val="009539D4"/>
    <w:rsid w:val="00955B5B"/>
    <w:rsid w:val="009561B3"/>
    <w:rsid w:val="0095622F"/>
    <w:rsid w:val="00956CB7"/>
    <w:rsid w:val="00977742"/>
    <w:rsid w:val="00981C09"/>
    <w:rsid w:val="009915AA"/>
    <w:rsid w:val="00992342"/>
    <w:rsid w:val="00994794"/>
    <w:rsid w:val="00994ECF"/>
    <w:rsid w:val="00996800"/>
    <w:rsid w:val="00996C40"/>
    <w:rsid w:val="009A545C"/>
    <w:rsid w:val="009B313B"/>
    <w:rsid w:val="009B706A"/>
    <w:rsid w:val="009B7ED1"/>
    <w:rsid w:val="009C044F"/>
    <w:rsid w:val="009C0944"/>
    <w:rsid w:val="009C2FBF"/>
    <w:rsid w:val="009C438F"/>
    <w:rsid w:val="009D28A5"/>
    <w:rsid w:val="009D759F"/>
    <w:rsid w:val="009E5800"/>
    <w:rsid w:val="009F0F00"/>
    <w:rsid w:val="009F0FDA"/>
    <w:rsid w:val="009F3285"/>
    <w:rsid w:val="009F426E"/>
    <w:rsid w:val="00A051DF"/>
    <w:rsid w:val="00A0553D"/>
    <w:rsid w:val="00A11D90"/>
    <w:rsid w:val="00A12D0B"/>
    <w:rsid w:val="00A13238"/>
    <w:rsid w:val="00A233B6"/>
    <w:rsid w:val="00A264BB"/>
    <w:rsid w:val="00A30852"/>
    <w:rsid w:val="00A4502C"/>
    <w:rsid w:val="00A4581D"/>
    <w:rsid w:val="00A65B21"/>
    <w:rsid w:val="00A67256"/>
    <w:rsid w:val="00A72D4B"/>
    <w:rsid w:val="00A736A2"/>
    <w:rsid w:val="00A807D2"/>
    <w:rsid w:val="00A83D94"/>
    <w:rsid w:val="00A90717"/>
    <w:rsid w:val="00A9603D"/>
    <w:rsid w:val="00AA2C2C"/>
    <w:rsid w:val="00AA3215"/>
    <w:rsid w:val="00AA3373"/>
    <w:rsid w:val="00AA47E4"/>
    <w:rsid w:val="00AB015A"/>
    <w:rsid w:val="00AB58FE"/>
    <w:rsid w:val="00AC3BDB"/>
    <w:rsid w:val="00AC6244"/>
    <w:rsid w:val="00AD123E"/>
    <w:rsid w:val="00AD5681"/>
    <w:rsid w:val="00AE01C0"/>
    <w:rsid w:val="00AF1364"/>
    <w:rsid w:val="00AF4636"/>
    <w:rsid w:val="00AF6E01"/>
    <w:rsid w:val="00B04672"/>
    <w:rsid w:val="00B10B2B"/>
    <w:rsid w:val="00B11113"/>
    <w:rsid w:val="00B132BC"/>
    <w:rsid w:val="00B1766B"/>
    <w:rsid w:val="00B24C92"/>
    <w:rsid w:val="00B260D4"/>
    <w:rsid w:val="00B477C9"/>
    <w:rsid w:val="00B51911"/>
    <w:rsid w:val="00B55502"/>
    <w:rsid w:val="00B55702"/>
    <w:rsid w:val="00B60B00"/>
    <w:rsid w:val="00B77CB8"/>
    <w:rsid w:val="00B86EB3"/>
    <w:rsid w:val="00B904E4"/>
    <w:rsid w:val="00B92CCD"/>
    <w:rsid w:val="00BA38A9"/>
    <w:rsid w:val="00BB00E1"/>
    <w:rsid w:val="00BB3287"/>
    <w:rsid w:val="00BC5D26"/>
    <w:rsid w:val="00BD06C7"/>
    <w:rsid w:val="00BD0B5F"/>
    <w:rsid w:val="00BD147B"/>
    <w:rsid w:val="00BD39F9"/>
    <w:rsid w:val="00BD7A7E"/>
    <w:rsid w:val="00BE3FDD"/>
    <w:rsid w:val="00BF0ECA"/>
    <w:rsid w:val="00C000B0"/>
    <w:rsid w:val="00C06BAF"/>
    <w:rsid w:val="00C151F9"/>
    <w:rsid w:val="00C159A6"/>
    <w:rsid w:val="00C16DE9"/>
    <w:rsid w:val="00C20446"/>
    <w:rsid w:val="00C221DF"/>
    <w:rsid w:val="00C22648"/>
    <w:rsid w:val="00C302E9"/>
    <w:rsid w:val="00C305B1"/>
    <w:rsid w:val="00C31C33"/>
    <w:rsid w:val="00C43DCC"/>
    <w:rsid w:val="00C47D94"/>
    <w:rsid w:val="00C53635"/>
    <w:rsid w:val="00C572DE"/>
    <w:rsid w:val="00C61B49"/>
    <w:rsid w:val="00C65754"/>
    <w:rsid w:val="00C72A08"/>
    <w:rsid w:val="00C752F0"/>
    <w:rsid w:val="00C762D6"/>
    <w:rsid w:val="00CA032C"/>
    <w:rsid w:val="00CA1E4B"/>
    <w:rsid w:val="00CA22D2"/>
    <w:rsid w:val="00CA3EAC"/>
    <w:rsid w:val="00CA4839"/>
    <w:rsid w:val="00CA4F15"/>
    <w:rsid w:val="00CC3D86"/>
    <w:rsid w:val="00CD4C48"/>
    <w:rsid w:val="00CD5AA8"/>
    <w:rsid w:val="00CD5C83"/>
    <w:rsid w:val="00CE4B08"/>
    <w:rsid w:val="00CE5A7E"/>
    <w:rsid w:val="00CF588A"/>
    <w:rsid w:val="00CF5ED7"/>
    <w:rsid w:val="00D11F24"/>
    <w:rsid w:val="00D12948"/>
    <w:rsid w:val="00D13CF5"/>
    <w:rsid w:val="00D15E1F"/>
    <w:rsid w:val="00D2014C"/>
    <w:rsid w:val="00D2071E"/>
    <w:rsid w:val="00D219A4"/>
    <w:rsid w:val="00D226CF"/>
    <w:rsid w:val="00D27689"/>
    <w:rsid w:val="00D278A2"/>
    <w:rsid w:val="00D34404"/>
    <w:rsid w:val="00D40EE7"/>
    <w:rsid w:val="00D43DE7"/>
    <w:rsid w:val="00D46569"/>
    <w:rsid w:val="00D525B8"/>
    <w:rsid w:val="00D542D4"/>
    <w:rsid w:val="00D5502A"/>
    <w:rsid w:val="00D56514"/>
    <w:rsid w:val="00D57A57"/>
    <w:rsid w:val="00D64B72"/>
    <w:rsid w:val="00D7725F"/>
    <w:rsid w:val="00D818A4"/>
    <w:rsid w:val="00D81DD9"/>
    <w:rsid w:val="00D826B4"/>
    <w:rsid w:val="00D85E74"/>
    <w:rsid w:val="00D91CBE"/>
    <w:rsid w:val="00D92A93"/>
    <w:rsid w:val="00DA00DB"/>
    <w:rsid w:val="00DA3820"/>
    <w:rsid w:val="00DB2CBD"/>
    <w:rsid w:val="00DB33FB"/>
    <w:rsid w:val="00DB6D5D"/>
    <w:rsid w:val="00DB7199"/>
    <w:rsid w:val="00DC64BE"/>
    <w:rsid w:val="00DE0BAE"/>
    <w:rsid w:val="00DE3F13"/>
    <w:rsid w:val="00DF33AD"/>
    <w:rsid w:val="00E01935"/>
    <w:rsid w:val="00E07C1A"/>
    <w:rsid w:val="00E1433D"/>
    <w:rsid w:val="00E15544"/>
    <w:rsid w:val="00E205D1"/>
    <w:rsid w:val="00E3048A"/>
    <w:rsid w:val="00E31F93"/>
    <w:rsid w:val="00E40513"/>
    <w:rsid w:val="00E4317A"/>
    <w:rsid w:val="00E55F56"/>
    <w:rsid w:val="00E56244"/>
    <w:rsid w:val="00E571CC"/>
    <w:rsid w:val="00E631B3"/>
    <w:rsid w:val="00E70345"/>
    <w:rsid w:val="00E771C3"/>
    <w:rsid w:val="00E874A7"/>
    <w:rsid w:val="00E87F35"/>
    <w:rsid w:val="00E953D0"/>
    <w:rsid w:val="00EA30D3"/>
    <w:rsid w:val="00EC4736"/>
    <w:rsid w:val="00ED2D93"/>
    <w:rsid w:val="00ED2E60"/>
    <w:rsid w:val="00ED6E04"/>
    <w:rsid w:val="00ED7668"/>
    <w:rsid w:val="00EE491D"/>
    <w:rsid w:val="00EF21C9"/>
    <w:rsid w:val="00F0479B"/>
    <w:rsid w:val="00F13A6C"/>
    <w:rsid w:val="00F179D2"/>
    <w:rsid w:val="00F201D3"/>
    <w:rsid w:val="00F27403"/>
    <w:rsid w:val="00F31466"/>
    <w:rsid w:val="00F33108"/>
    <w:rsid w:val="00F33A20"/>
    <w:rsid w:val="00F37E08"/>
    <w:rsid w:val="00F43821"/>
    <w:rsid w:val="00F6633C"/>
    <w:rsid w:val="00F77284"/>
    <w:rsid w:val="00F84EEA"/>
    <w:rsid w:val="00F90C75"/>
    <w:rsid w:val="00F965D1"/>
    <w:rsid w:val="00FA0E28"/>
    <w:rsid w:val="00FA45F9"/>
    <w:rsid w:val="00FA6FA1"/>
    <w:rsid w:val="00FE21CC"/>
    <w:rsid w:val="00FE30BC"/>
    <w:rsid w:val="00FE3B4D"/>
    <w:rsid w:val="00FE5D3B"/>
    <w:rsid w:val="00FE76E2"/>
    <w:rsid w:val="00FF0F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87BC27"/>
  <w15:docId w15:val="{DB9164B9-3A20-4358-9960-8F7BA366F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1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C438F"/>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E01"/>
    <w:rPr>
      <w:color w:val="0563C1" w:themeColor="hyperlink"/>
      <w:u w:val="single"/>
    </w:rPr>
  </w:style>
  <w:style w:type="paragraph" w:styleId="ListParagraph">
    <w:name w:val="List Paragraph"/>
    <w:basedOn w:val="Normal"/>
    <w:uiPriority w:val="34"/>
    <w:qFormat/>
    <w:rsid w:val="00102197"/>
    <w:pPr>
      <w:ind w:left="720"/>
      <w:contextualSpacing/>
    </w:pPr>
  </w:style>
  <w:style w:type="character" w:customStyle="1" w:styleId="hps">
    <w:name w:val="hps"/>
    <w:basedOn w:val="DefaultParagraphFont"/>
    <w:rsid w:val="00D40EE7"/>
  </w:style>
  <w:style w:type="character" w:customStyle="1" w:styleId="atn">
    <w:name w:val="atn"/>
    <w:basedOn w:val="DefaultParagraphFont"/>
    <w:rsid w:val="00D40EE7"/>
  </w:style>
  <w:style w:type="paragraph" w:styleId="Header">
    <w:name w:val="header"/>
    <w:basedOn w:val="Normal"/>
    <w:link w:val="HeaderChar"/>
    <w:uiPriority w:val="99"/>
    <w:unhideWhenUsed/>
    <w:rsid w:val="001907A7"/>
    <w:pPr>
      <w:tabs>
        <w:tab w:val="center" w:pos="4153"/>
        <w:tab w:val="right" w:pos="8306"/>
      </w:tabs>
    </w:pPr>
  </w:style>
  <w:style w:type="character" w:customStyle="1" w:styleId="HeaderChar">
    <w:name w:val="Header Char"/>
    <w:basedOn w:val="DefaultParagraphFont"/>
    <w:link w:val="Header"/>
    <w:uiPriority w:val="99"/>
    <w:rsid w:val="001907A7"/>
  </w:style>
  <w:style w:type="paragraph" w:styleId="Footer">
    <w:name w:val="footer"/>
    <w:basedOn w:val="Normal"/>
    <w:link w:val="FooterChar"/>
    <w:uiPriority w:val="99"/>
    <w:unhideWhenUsed/>
    <w:rsid w:val="001907A7"/>
    <w:pPr>
      <w:tabs>
        <w:tab w:val="center" w:pos="4153"/>
        <w:tab w:val="right" w:pos="8306"/>
      </w:tabs>
    </w:pPr>
  </w:style>
  <w:style w:type="character" w:customStyle="1" w:styleId="FooterChar">
    <w:name w:val="Footer Char"/>
    <w:basedOn w:val="DefaultParagraphFont"/>
    <w:link w:val="Footer"/>
    <w:uiPriority w:val="99"/>
    <w:rsid w:val="001907A7"/>
  </w:style>
  <w:style w:type="table" w:styleId="TableGrid">
    <w:name w:val="Table Grid"/>
    <w:basedOn w:val="TableNormal"/>
    <w:uiPriority w:val="39"/>
    <w:rsid w:val="001C4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2 Char,Footnote Text Char1 Char Char,Footnote Text Char2 Char Char Char,Footnote Text Char1 Char Char Char Char,Footnote Text Char2 Char Char Char Char Char,Footnote Text Char1 Char,Footnote,Fußnote,ft,Footnote Text Char1"/>
    <w:basedOn w:val="Normal"/>
    <w:link w:val="FootnoteTextChar"/>
    <w:uiPriority w:val="99"/>
    <w:unhideWhenUsed/>
    <w:qFormat/>
    <w:rsid w:val="00B77CB8"/>
    <w:rPr>
      <w:sz w:val="20"/>
      <w:szCs w:val="20"/>
    </w:rPr>
  </w:style>
  <w:style w:type="character" w:customStyle="1" w:styleId="FootnoteTextChar">
    <w:name w:val="Footnote Text Char"/>
    <w:aliases w:val="Footnote Text Char2 Char Char,Footnote Text Char1 Char Char Char,Footnote Text Char2 Char Char Char Char,Footnote Text Char1 Char Char Char Char Char,Footnote Text Char2 Char Char Char Char Char Char,Footnote Text Char1 Char Char1"/>
    <w:basedOn w:val="DefaultParagraphFont"/>
    <w:link w:val="FootnoteText"/>
    <w:uiPriority w:val="99"/>
    <w:rsid w:val="00B77CB8"/>
    <w:rPr>
      <w:sz w:val="20"/>
      <w:szCs w:val="20"/>
    </w:rPr>
  </w:style>
  <w:style w:type="character" w:styleId="FootnoteReference">
    <w:name w:val="footnote reference"/>
    <w:aliases w:val="stylish,number,SUPERS,Footnote Reference Number,Footnote symbol,Footnotes refss,Footnote Reference Superscript,BVI fnr,Footnote symboFußnotenzeichen,Footnote sign,E FNZ,-E Fußnotenzeichen,Footnote#,Times 10 Point,Exposant 3 Point,Ref"/>
    <w:basedOn w:val="DefaultParagraphFont"/>
    <w:uiPriority w:val="99"/>
    <w:unhideWhenUsed/>
    <w:qFormat/>
    <w:rsid w:val="00B77CB8"/>
    <w:rPr>
      <w:vertAlign w:val="superscript"/>
    </w:rPr>
  </w:style>
  <w:style w:type="character" w:customStyle="1" w:styleId="Heading3Char">
    <w:name w:val="Heading 3 Char"/>
    <w:basedOn w:val="DefaultParagraphFont"/>
    <w:link w:val="Heading3"/>
    <w:uiPriority w:val="9"/>
    <w:rsid w:val="009C438F"/>
    <w:rPr>
      <w:rFonts w:eastAsia="Times New Roman" w:cs="Times New Roman"/>
      <w:b/>
      <w:bCs/>
      <w:sz w:val="27"/>
      <w:szCs w:val="27"/>
      <w:lang w:val="en-US"/>
    </w:rPr>
  </w:style>
  <w:style w:type="paragraph" w:styleId="BalloonText">
    <w:name w:val="Balloon Text"/>
    <w:basedOn w:val="Normal"/>
    <w:link w:val="BalloonTextChar"/>
    <w:uiPriority w:val="99"/>
    <w:semiHidden/>
    <w:unhideWhenUsed/>
    <w:rsid w:val="006A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20"/>
    <w:rPr>
      <w:rFonts w:ascii="Segoe UI" w:hAnsi="Segoe UI" w:cs="Segoe UI"/>
      <w:sz w:val="18"/>
      <w:szCs w:val="18"/>
    </w:rPr>
  </w:style>
  <w:style w:type="character" w:customStyle="1" w:styleId="xdtextbox1">
    <w:name w:val="xdtextbox1"/>
    <w:basedOn w:val="DefaultParagraphFont"/>
    <w:rsid w:val="00FA0E28"/>
    <w:rPr>
      <w:color w:val="auto"/>
      <w:bdr w:val="single" w:sz="8" w:space="1" w:color="DCDCDC" w:frame="1"/>
      <w:shd w:val="clear" w:color="auto" w:fill="FFFFFF"/>
    </w:rPr>
  </w:style>
  <w:style w:type="character" w:customStyle="1" w:styleId="Heading1Char">
    <w:name w:val="Heading 1 Char"/>
    <w:basedOn w:val="DefaultParagraphFont"/>
    <w:link w:val="Heading1"/>
    <w:uiPriority w:val="9"/>
    <w:rsid w:val="00B111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D57A57"/>
    <w:rPr>
      <w:b/>
      <w:bCs/>
    </w:rPr>
  </w:style>
  <w:style w:type="paragraph" w:styleId="NormalWeb">
    <w:name w:val="Normal (Web)"/>
    <w:basedOn w:val="Normal"/>
    <w:uiPriority w:val="99"/>
    <w:semiHidden/>
    <w:unhideWhenUsed/>
    <w:rsid w:val="00D57A57"/>
    <w:pPr>
      <w:spacing w:after="135" w:line="270" w:lineRule="atLeast"/>
    </w:pPr>
    <w:rPr>
      <w:rFonts w:ascii="Helvetica" w:eastAsia="Times New Roman" w:hAnsi="Helvetica" w:cs="Helvetica"/>
      <w:sz w:val="20"/>
      <w:szCs w:val="20"/>
      <w:lang w:eastAsia="lv-LV"/>
    </w:rPr>
  </w:style>
  <w:style w:type="table" w:styleId="ListTable1Light-Accent1">
    <w:name w:val="List Table 1 Light Accent 1"/>
    <w:basedOn w:val="TableNormal"/>
    <w:uiPriority w:val="46"/>
    <w:rsid w:val="00D57A57"/>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D57A57"/>
    <w:rPr>
      <w:color w:val="954F72" w:themeColor="followedHyperlink"/>
      <w:u w:val="single"/>
    </w:rPr>
  </w:style>
  <w:style w:type="character" w:styleId="Emphasis">
    <w:name w:val="Emphasis"/>
    <w:basedOn w:val="DefaultParagraphFont"/>
    <w:uiPriority w:val="20"/>
    <w:qFormat/>
    <w:rsid w:val="00FA45F9"/>
    <w:rPr>
      <w:i/>
      <w:iCs/>
    </w:rPr>
  </w:style>
  <w:style w:type="paragraph" w:customStyle="1" w:styleId="teksts">
    <w:name w:val="teksts"/>
    <w:rsid w:val="002239E0"/>
    <w:pPr>
      <w:spacing w:after="40"/>
      <w:jc w:val="both"/>
    </w:pPr>
    <w:rPr>
      <w:rFonts w:ascii="Garamond" w:eastAsia="Times New Roman" w:hAnsi="Garamond" w:cs="Times New Roman"/>
      <w:kern w:val="24"/>
      <w:szCs w:val="20"/>
    </w:rPr>
  </w:style>
  <w:style w:type="character" w:customStyle="1" w:styleId="longtext">
    <w:name w:val="long_text"/>
    <w:basedOn w:val="DefaultParagraphFont"/>
    <w:rsid w:val="002239E0"/>
  </w:style>
  <w:style w:type="table" w:styleId="GridTable3-Accent1">
    <w:name w:val="Grid Table 3 Accent 1"/>
    <w:basedOn w:val="TableNormal"/>
    <w:uiPriority w:val="48"/>
    <w:rsid w:val="00210F5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CommentReference">
    <w:name w:val="annotation reference"/>
    <w:basedOn w:val="DefaultParagraphFont"/>
    <w:uiPriority w:val="99"/>
    <w:semiHidden/>
    <w:unhideWhenUsed/>
    <w:rsid w:val="00101D4E"/>
    <w:rPr>
      <w:sz w:val="16"/>
      <w:szCs w:val="16"/>
    </w:rPr>
  </w:style>
  <w:style w:type="paragraph" w:styleId="CommentText">
    <w:name w:val="annotation text"/>
    <w:basedOn w:val="Normal"/>
    <w:link w:val="CommentTextChar"/>
    <w:uiPriority w:val="99"/>
    <w:semiHidden/>
    <w:unhideWhenUsed/>
    <w:rsid w:val="00101D4E"/>
    <w:rPr>
      <w:sz w:val="20"/>
      <w:szCs w:val="20"/>
    </w:rPr>
  </w:style>
  <w:style w:type="character" w:customStyle="1" w:styleId="CommentTextChar">
    <w:name w:val="Comment Text Char"/>
    <w:basedOn w:val="DefaultParagraphFont"/>
    <w:link w:val="CommentText"/>
    <w:uiPriority w:val="99"/>
    <w:semiHidden/>
    <w:rsid w:val="00101D4E"/>
    <w:rPr>
      <w:sz w:val="20"/>
      <w:szCs w:val="20"/>
    </w:rPr>
  </w:style>
  <w:style w:type="paragraph" w:styleId="CommentSubject">
    <w:name w:val="annotation subject"/>
    <w:basedOn w:val="CommentText"/>
    <w:next w:val="CommentText"/>
    <w:link w:val="CommentSubjectChar"/>
    <w:uiPriority w:val="99"/>
    <w:semiHidden/>
    <w:unhideWhenUsed/>
    <w:rsid w:val="00101D4E"/>
    <w:rPr>
      <w:b/>
      <w:bCs/>
    </w:rPr>
  </w:style>
  <w:style w:type="character" w:customStyle="1" w:styleId="CommentSubjectChar">
    <w:name w:val="Comment Subject Char"/>
    <w:basedOn w:val="CommentTextChar"/>
    <w:link w:val="CommentSubject"/>
    <w:uiPriority w:val="99"/>
    <w:semiHidden/>
    <w:rsid w:val="00101D4E"/>
    <w:rPr>
      <w:b/>
      <w:bCs/>
      <w:sz w:val="20"/>
      <w:szCs w:val="20"/>
    </w:rPr>
  </w:style>
  <w:style w:type="table" w:styleId="GridTable7Colorful-Accent5">
    <w:name w:val="Grid Table 7 Colorful Accent 5"/>
    <w:basedOn w:val="TableNormal"/>
    <w:uiPriority w:val="52"/>
    <w:rsid w:val="00931C0B"/>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2-Accent1">
    <w:name w:val="List Table 2 Accent 1"/>
    <w:basedOn w:val="TableNormal"/>
    <w:uiPriority w:val="47"/>
    <w:rsid w:val="00931C0B"/>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7Colorful-Accent51">
    <w:name w:val="List Table 7 Colorful - Accent 51"/>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64B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5737">
      <w:bodyDiv w:val="1"/>
      <w:marLeft w:val="0"/>
      <w:marRight w:val="0"/>
      <w:marTop w:val="0"/>
      <w:marBottom w:val="0"/>
      <w:divBdr>
        <w:top w:val="none" w:sz="0" w:space="0" w:color="auto"/>
        <w:left w:val="none" w:sz="0" w:space="0" w:color="auto"/>
        <w:bottom w:val="none" w:sz="0" w:space="0" w:color="auto"/>
        <w:right w:val="none" w:sz="0" w:space="0" w:color="auto"/>
      </w:divBdr>
      <w:divsChild>
        <w:div w:id="1500734471">
          <w:marLeft w:val="0"/>
          <w:marRight w:val="0"/>
          <w:marTop w:val="0"/>
          <w:marBottom w:val="0"/>
          <w:divBdr>
            <w:top w:val="none" w:sz="0" w:space="0" w:color="auto"/>
            <w:left w:val="none" w:sz="0" w:space="0" w:color="auto"/>
            <w:bottom w:val="none" w:sz="0" w:space="0" w:color="auto"/>
            <w:right w:val="none" w:sz="0" w:space="0" w:color="auto"/>
          </w:divBdr>
          <w:divsChild>
            <w:div w:id="9591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7049">
      <w:bodyDiv w:val="1"/>
      <w:marLeft w:val="0"/>
      <w:marRight w:val="0"/>
      <w:marTop w:val="0"/>
      <w:marBottom w:val="0"/>
      <w:divBdr>
        <w:top w:val="none" w:sz="0" w:space="0" w:color="auto"/>
        <w:left w:val="none" w:sz="0" w:space="0" w:color="auto"/>
        <w:bottom w:val="none" w:sz="0" w:space="0" w:color="auto"/>
        <w:right w:val="none" w:sz="0" w:space="0" w:color="auto"/>
      </w:divBdr>
    </w:div>
    <w:div w:id="776487224">
      <w:bodyDiv w:val="1"/>
      <w:marLeft w:val="0"/>
      <w:marRight w:val="0"/>
      <w:marTop w:val="0"/>
      <w:marBottom w:val="0"/>
      <w:divBdr>
        <w:top w:val="none" w:sz="0" w:space="0" w:color="auto"/>
        <w:left w:val="none" w:sz="0" w:space="0" w:color="auto"/>
        <w:bottom w:val="none" w:sz="0" w:space="0" w:color="auto"/>
        <w:right w:val="none" w:sz="0" w:space="0" w:color="auto"/>
      </w:divBdr>
    </w:div>
    <w:div w:id="798718363">
      <w:bodyDiv w:val="1"/>
      <w:marLeft w:val="0"/>
      <w:marRight w:val="0"/>
      <w:marTop w:val="0"/>
      <w:marBottom w:val="0"/>
      <w:divBdr>
        <w:top w:val="none" w:sz="0" w:space="0" w:color="auto"/>
        <w:left w:val="none" w:sz="0" w:space="0" w:color="auto"/>
        <w:bottom w:val="none" w:sz="0" w:space="0" w:color="auto"/>
        <w:right w:val="none" w:sz="0" w:space="0" w:color="auto"/>
      </w:divBdr>
      <w:divsChild>
        <w:div w:id="752897254">
          <w:marLeft w:val="0"/>
          <w:marRight w:val="0"/>
          <w:marTop w:val="0"/>
          <w:marBottom w:val="0"/>
          <w:divBdr>
            <w:top w:val="none" w:sz="0" w:space="0" w:color="auto"/>
            <w:left w:val="none" w:sz="0" w:space="0" w:color="auto"/>
            <w:bottom w:val="none" w:sz="0" w:space="0" w:color="auto"/>
            <w:right w:val="none" w:sz="0" w:space="0" w:color="auto"/>
          </w:divBdr>
          <w:divsChild>
            <w:div w:id="1214388654">
              <w:marLeft w:val="-300"/>
              <w:marRight w:val="0"/>
              <w:marTop w:val="0"/>
              <w:marBottom w:val="270"/>
              <w:divBdr>
                <w:top w:val="none" w:sz="0" w:space="0" w:color="auto"/>
                <w:left w:val="none" w:sz="0" w:space="0" w:color="auto"/>
                <w:bottom w:val="none" w:sz="0" w:space="0" w:color="auto"/>
                <w:right w:val="none" w:sz="0" w:space="0" w:color="auto"/>
              </w:divBdr>
              <w:divsChild>
                <w:div w:id="1214197949">
                  <w:marLeft w:val="0"/>
                  <w:marRight w:val="0"/>
                  <w:marTop w:val="0"/>
                  <w:marBottom w:val="0"/>
                  <w:divBdr>
                    <w:top w:val="none" w:sz="0" w:space="0" w:color="auto"/>
                    <w:left w:val="none" w:sz="0" w:space="0" w:color="auto"/>
                    <w:bottom w:val="none" w:sz="0" w:space="0" w:color="auto"/>
                    <w:right w:val="none" w:sz="0" w:space="0" w:color="auto"/>
                  </w:divBdr>
                  <w:divsChild>
                    <w:div w:id="96419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652776">
      <w:bodyDiv w:val="1"/>
      <w:marLeft w:val="0"/>
      <w:marRight w:val="0"/>
      <w:marTop w:val="0"/>
      <w:marBottom w:val="0"/>
      <w:divBdr>
        <w:top w:val="none" w:sz="0" w:space="0" w:color="auto"/>
        <w:left w:val="none" w:sz="0" w:space="0" w:color="auto"/>
        <w:bottom w:val="none" w:sz="0" w:space="0" w:color="auto"/>
        <w:right w:val="none" w:sz="0" w:space="0" w:color="auto"/>
      </w:divBdr>
    </w:div>
    <w:div w:id="932132913">
      <w:bodyDiv w:val="1"/>
      <w:marLeft w:val="0"/>
      <w:marRight w:val="0"/>
      <w:marTop w:val="0"/>
      <w:marBottom w:val="0"/>
      <w:divBdr>
        <w:top w:val="none" w:sz="0" w:space="0" w:color="auto"/>
        <w:left w:val="none" w:sz="0" w:space="0" w:color="auto"/>
        <w:bottom w:val="none" w:sz="0" w:space="0" w:color="auto"/>
        <w:right w:val="none" w:sz="0" w:space="0" w:color="auto"/>
      </w:divBdr>
      <w:divsChild>
        <w:div w:id="2135362622">
          <w:marLeft w:val="0"/>
          <w:marRight w:val="0"/>
          <w:marTop w:val="0"/>
          <w:marBottom w:val="0"/>
          <w:divBdr>
            <w:top w:val="none" w:sz="0" w:space="0" w:color="auto"/>
            <w:left w:val="none" w:sz="0" w:space="0" w:color="auto"/>
            <w:bottom w:val="none" w:sz="0" w:space="0" w:color="auto"/>
            <w:right w:val="none" w:sz="0" w:space="0" w:color="auto"/>
          </w:divBdr>
          <w:divsChild>
            <w:div w:id="435293218">
              <w:marLeft w:val="-300"/>
              <w:marRight w:val="0"/>
              <w:marTop w:val="0"/>
              <w:marBottom w:val="270"/>
              <w:divBdr>
                <w:top w:val="none" w:sz="0" w:space="0" w:color="auto"/>
                <w:left w:val="none" w:sz="0" w:space="0" w:color="auto"/>
                <w:bottom w:val="none" w:sz="0" w:space="0" w:color="auto"/>
                <w:right w:val="none" w:sz="0" w:space="0" w:color="auto"/>
              </w:divBdr>
              <w:divsChild>
                <w:div w:id="1649673704">
                  <w:marLeft w:val="0"/>
                  <w:marRight w:val="0"/>
                  <w:marTop w:val="0"/>
                  <w:marBottom w:val="0"/>
                  <w:divBdr>
                    <w:top w:val="none" w:sz="0" w:space="0" w:color="auto"/>
                    <w:left w:val="none" w:sz="0" w:space="0" w:color="auto"/>
                    <w:bottom w:val="none" w:sz="0" w:space="0" w:color="auto"/>
                    <w:right w:val="none" w:sz="0" w:space="0" w:color="auto"/>
                  </w:divBdr>
                  <w:divsChild>
                    <w:div w:id="92834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2123">
      <w:bodyDiv w:val="1"/>
      <w:marLeft w:val="0"/>
      <w:marRight w:val="0"/>
      <w:marTop w:val="0"/>
      <w:marBottom w:val="0"/>
      <w:divBdr>
        <w:top w:val="none" w:sz="0" w:space="0" w:color="auto"/>
        <w:left w:val="none" w:sz="0" w:space="0" w:color="auto"/>
        <w:bottom w:val="none" w:sz="0" w:space="0" w:color="auto"/>
        <w:right w:val="none" w:sz="0" w:space="0" w:color="auto"/>
      </w:divBdr>
    </w:div>
    <w:div w:id="1191607450">
      <w:bodyDiv w:val="1"/>
      <w:marLeft w:val="0"/>
      <w:marRight w:val="0"/>
      <w:marTop w:val="0"/>
      <w:marBottom w:val="0"/>
      <w:divBdr>
        <w:top w:val="none" w:sz="0" w:space="0" w:color="auto"/>
        <w:left w:val="none" w:sz="0" w:space="0" w:color="auto"/>
        <w:bottom w:val="none" w:sz="0" w:space="0" w:color="auto"/>
        <w:right w:val="none" w:sz="0" w:space="0" w:color="auto"/>
      </w:divBdr>
      <w:divsChild>
        <w:div w:id="1128160481">
          <w:marLeft w:val="0"/>
          <w:marRight w:val="0"/>
          <w:marTop w:val="0"/>
          <w:marBottom w:val="0"/>
          <w:divBdr>
            <w:top w:val="none" w:sz="0" w:space="0" w:color="auto"/>
            <w:left w:val="none" w:sz="0" w:space="0" w:color="auto"/>
            <w:bottom w:val="none" w:sz="0" w:space="0" w:color="auto"/>
            <w:right w:val="none" w:sz="0" w:space="0" w:color="auto"/>
          </w:divBdr>
          <w:divsChild>
            <w:div w:id="866679064">
              <w:marLeft w:val="-300"/>
              <w:marRight w:val="0"/>
              <w:marTop w:val="0"/>
              <w:marBottom w:val="270"/>
              <w:divBdr>
                <w:top w:val="none" w:sz="0" w:space="0" w:color="auto"/>
                <w:left w:val="none" w:sz="0" w:space="0" w:color="auto"/>
                <w:bottom w:val="none" w:sz="0" w:space="0" w:color="auto"/>
                <w:right w:val="none" w:sz="0" w:space="0" w:color="auto"/>
              </w:divBdr>
              <w:divsChild>
                <w:div w:id="943460615">
                  <w:marLeft w:val="0"/>
                  <w:marRight w:val="0"/>
                  <w:marTop w:val="0"/>
                  <w:marBottom w:val="0"/>
                  <w:divBdr>
                    <w:top w:val="none" w:sz="0" w:space="0" w:color="auto"/>
                    <w:left w:val="none" w:sz="0" w:space="0" w:color="auto"/>
                    <w:bottom w:val="none" w:sz="0" w:space="0" w:color="auto"/>
                    <w:right w:val="none" w:sz="0" w:space="0" w:color="auto"/>
                  </w:divBdr>
                  <w:divsChild>
                    <w:div w:id="572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20132">
      <w:bodyDiv w:val="1"/>
      <w:marLeft w:val="0"/>
      <w:marRight w:val="0"/>
      <w:marTop w:val="0"/>
      <w:marBottom w:val="0"/>
      <w:divBdr>
        <w:top w:val="none" w:sz="0" w:space="0" w:color="auto"/>
        <w:left w:val="none" w:sz="0" w:space="0" w:color="auto"/>
        <w:bottom w:val="none" w:sz="0" w:space="0" w:color="auto"/>
        <w:right w:val="none" w:sz="0" w:space="0" w:color="auto"/>
      </w:divBdr>
    </w:div>
    <w:div w:id="1281255928">
      <w:bodyDiv w:val="1"/>
      <w:marLeft w:val="0"/>
      <w:marRight w:val="0"/>
      <w:marTop w:val="0"/>
      <w:marBottom w:val="0"/>
      <w:divBdr>
        <w:top w:val="none" w:sz="0" w:space="0" w:color="auto"/>
        <w:left w:val="none" w:sz="0" w:space="0" w:color="auto"/>
        <w:bottom w:val="none" w:sz="0" w:space="0" w:color="auto"/>
        <w:right w:val="none" w:sz="0" w:space="0" w:color="auto"/>
      </w:divBdr>
      <w:divsChild>
        <w:div w:id="85422333">
          <w:marLeft w:val="0"/>
          <w:marRight w:val="0"/>
          <w:marTop w:val="0"/>
          <w:marBottom w:val="0"/>
          <w:divBdr>
            <w:top w:val="none" w:sz="0" w:space="0" w:color="auto"/>
            <w:left w:val="none" w:sz="0" w:space="0" w:color="auto"/>
            <w:bottom w:val="none" w:sz="0" w:space="0" w:color="auto"/>
            <w:right w:val="none" w:sz="0" w:space="0" w:color="auto"/>
          </w:divBdr>
          <w:divsChild>
            <w:div w:id="1528907988">
              <w:marLeft w:val="-300"/>
              <w:marRight w:val="0"/>
              <w:marTop w:val="0"/>
              <w:marBottom w:val="270"/>
              <w:divBdr>
                <w:top w:val="none" w:sz="0" w:space="0" w:color="auto"/>
                <w:left w:val="none" w:sz="0" w:space="0" w:color="auto"/>
                <w:bottom w:val="none" w:sz="0" w:space="0" w:color="auto"/>
                <w:right w:val="none" w:sz="0" w:space="0" w:color="auto"/>
              </w:divBdr>
              <w:divsChild>
                <w:div w:id="897479530">
                  <w:marLeft w:val="0"/>
                  <w:marRight w:val="0"/>
                  <w:marTop w:val="0"/>
                  <w:marBottom w:val="0"/>
                  <w:divBdr>
                    <w:top w:val="none" w:sz="0" w:space="0" w:color="auto"/>
                    <w:left w:val="none" w:sz="0" w:space="0" w:color="auto"/>
                    <w:bottom w:val="none" w:sz="0" w:space="0" w:color="auto"/>
                    <w:right w:val="none" w:sz="0" w:space="0" w:color="auto"/>
                  </w:divBdr>
                  <w:divsChild>
                    <w:div w:id="991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0663">
      <w:bodyDiv w:val="1"/>
      <w:marLeft w:val="0"/>
      <w:marRight w:val="0"/>
      <w:marTop w:val="0"/>
      <w:marBottom w:val="0"/>
      <w:divBdr>
        <w:top w:val="none" w:sz="0" w:space="0" w:color="auto"/>
        <w:left w:val="none" w:sz="0" w:space="0" w:color="auto"/>
        <w:bottom w:val="none" w:sz="0" w:space="0" w:color="auto"/>
        <w:right w:val="none" w:sz="0" w:space="0" w:color="auto"/>
      </w:divBdr>
    </w:div>
    <w:div w:id="1579942346">
      <w:bodyDiv w:val="1"/>
      <w:marLeft w:val="0"/>
      <w:marRight w:val="0"/>
      <w:marTop w:val="0"/>
      <w:marBottom w:val="0"/>
      <w:divBdr>
        <w:top w:val="none" w:sz="0" w:space="0" w:color="auto"/>
        <w:left w:val="none" w:sz="0" w:space="0" w:color="auto"/>
        <w:bottom w:val="none" w:sz="0" w:space="0" w:color="auto"/>
        <w:right w:val="none" w:sz="0" w:space="0" w:color="auto"/>
      </w:divBdr>
      <w:divsChild>
        <w:div w:id="621616219">
          <w:marLeft w:val="0"/>
          <w:marRight w:val="0"/>
          <w:marTop w:val="0"/>
          <w:marBottom w:val="0"/>
          <w:divBdr>
            <w:top w:val="none" w:sz="0" w:space="0" w:color="auto"/>
            <w:left w:val="none" w:sz="0" w:space="0" w:color="auto"/>
            <w:bottom w:val="none" w:sz="0" w:space="0" w:color="auto"/>
            <w:right w:val="none" w:sz="0" w:space="0" w:color="auto"/>
          </w:divBdr>
          <w:divsChild>
            <w:div w:id="1673676819">
              <w:marLeft w:val="-300"/>
              <w:marRight w:val="0"/>
              <w:marTop w:val="0"/>
              <w:marBottom w:val="270"/>
              <w:divBdr>
                <w:top w:val="none" w:sz="0" w:space="0" w:color="auto"/>
                <w:left w:val="none" w:sz="0" w:space="0" w:color="auto"/>
                <w:bottom w:val="none" w:sz="0" w:space="0" w:color="auto"/>
                <w:right w:val="none" w:sz="0" w:space="0" w:color="auto"/>
              </w:divBdr>
              <w:divsChild>
                <w:div w:id="711736387">
                  <w:marLeft w:val="0"/>
                  <w:marRight w:val="0"/>
                  <w:marTop w:val="0"/>
                  <w:marBottom w:val="0"/>
                  <w:divBdr>
                    <w:top w:val="none" w:sz="0" w:space="0" w:color="auto"/>
                    <w:left w:val="none" w:sz="0" w:space="0" w:color="auto"/>
                    <w:bottom w:val="none" w:sz="0" w:space="0" w:color="auto"/>
                    <w:right w:val="none" w:sz="0" w:space="0" w:color="auto"/>
                  </w:divBdr>
                  <w:divsChild>
                    <w:div w:id="3448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305969">
      <w:bodyDiv w:val="1"/>
      <w:marLeft w:val="0"/>
      <w:marRight w:val="0"/>
      <w:marTop w:val="0"/>
      <w:marBottom w:val="0"/>
      <w:divBdr>
        <w:top w:val="none" w:sz="0" w:space="0" w:color="auto"/>
        <w:left w:val="none" w:sz="0" w:space="0" w:color="auto"/>
        <w:bottom w:val="none" w:sz="0" w:space="0" w:color="auto"/>
        <w:right w:val="none" w:sz="0" w:space="0" w:color="auto"/>
      </w:divBdr>
    </w:div>
    <w:div w:id="1743524777">
      <w:bodyDiv w:val="1"/>
      <w:marLeft w:val="0"/>
      <w:marRight w:val="0"/>
      <w:marTop w:val="0"/>
      <w:marBottom w:val="0"/>
      <w:divBdr>
        <w:top w:val="none" w:sz="0" w:space="0" w:color="auto"/>
        <w:left w:val="none" w:sz="0" w:space="0" w:color="auto"/>
        <w:bottom w:val="none" w:sz="0" w:space="0" w:color="auto"/>
        <w:right w:val="none" w:sz="0" w:space="0" w:color="auto"/>
      </w:divBdr>
    </w:div>
    <w:div w:id="19838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Informatīvais ziņojums</Kategorija>
    <DKP xmlns="2e5bb04e-596e-45bd-9003-43ca78b1ba16">126</DKP>
  </documentManagement>
</p:properties>
</file>

<file path=customXml/itemProps1.xml><?xml version="1.0" encoding="utf-8"?>
<ds:datastoreItem xmlns:ds="http://schemas.openxmlformats.org/officeDocument/2006/customXml" ds:itemID="{39BEC462-92EC-48C5-8775-4A4915DCEDA4}"/>
</file>

<file path=customXml/itemProps2.xml><?xml version="1.0" encoding="utf-8"?>
<ds:datastoreItem xmlns:ds="http://schemas.openxmlformats.org/officeDocument/2006/customXml" ds:itemID="{28C55737-548A-4494-85D1-C578271F6164}"/>
</file>

<file path=customXml/itemProps3.xml><?xml version="1.0" encoding="utf-8"?>
<ds:datastoreItem xmlns:ds="http://schemas.openxmlformats.org/officeDocument/2006/customXml" ds:itemID="{7EE54AFF-8459-4DFB-948F-066A39E1A726}"/>
</file>

<file path=customXml/itemProps4.xml><?xml version="1.0" encoding="utf-8"?>
<ds:datastoreItem xmlns:ds="http://schemas.openxmlformats.org/officeDocument/2006/customXml" ds:itemID="{74203497-8A48-4FCB-84DE-606F00639280}"/>
</file>

<file path=docProps/app.xml><?xml version="1.0" encoding="utf-8"?>
<Properties xmlns="http://schemas.openxmlformats.org/officeDocument/2006/extended-properties" xmlns:vt="http://schemas.openxmlformats.org/officeDocument/2006/docPropsVTypes">
  <Template>Normal.dotm</Template>
  <TotalTime>7374</TotalTime>
  <Pages>6</Pages>
  <Words>11211</Words>
  <Characters>6391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Informatīvais ziņojums „Par Eiropas Stabilitātes mehānisma darbību 2016.gadā”</vt:lpstr>
    </vt:vector>
  </TitlesOfParts>
  <Company>Finanšu ministrija</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Stabilitātes mehānisma darbību 2016.gadā”</dc:title>
  <dc:subject>Informatīvais ziņojums</dc:subject>
  <dc:creator>L.Ozoliņa</dc:creator>
  <cp:keywords/>
  <dc:description>67083823, Liga.Ozolina@fm.gov.lv</dc:description>
  <cp:lastModifiedBy>Līga Ozoliņa</cp:lastModifiedBy>
  <cp:revision>239</cp:revision>
  <cp:lastPrinted>2017-06-28T09:00:00Z</cp:lastPrinted>
  <dcterms:created xsi:type="dcterms:W3CDTF">2014-08-01T08:05:00Z</dcterms:created>
  <dcterms:modified xsi:type="dcterms:W3CDTF">2017-06-29T07:35:00Z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