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591" w:rsidRPr="00B40AF0" w:rsidRDefault="00B00591" w:rsidP="00B00591">
      <w:pPr>
        <w:jc w:val="center"/>
        <w:rPr>
          <w:b/>
          <w:sz w:val="26"/>
          <w:szCs w:val="26"/>
        </w:rPr>
      </w:pPr>
      <w:r w:rsidRPr="00B40AF0">
        <w:rPr>
          <w:b/>
          <w:sz w:val="26"/>
          <w:szCs w:val="26"/>
        </w:rPr>
        <w:t>Ministru kabineta noteikumu projekta</w:t>
      </w:r>
    </w:p>
    <w:p w:rsidR="00B9164F" w:rsidRDefault="00EE3727" w:rsidP="00B9164F">
      <w:pPr>
        <w:jc w:val="center"/>
        <w:rPr>
          <w:b/>
          <w:sz w:val="26"/>
          <w:szCs w:val="26"/>
        </w:rPr>
      </w:pPr>
      <w:r>
        <w:rPr>
          <w:b/>
          <w:sz w:val="26"/>
          <w:szCs w:val="26"/>
        </w:rPr>
        <w:t>“</w:t>
      </w:r>
      <w:r w:rsidR="009B16CB" w:rsidRPr="009B16CB">
        <w:rPr>
          <w:b/>
          <w:sz w:val="26"/>
          <w:szCs w:val="26"/>
        </w:rPr>
        <w:t xml:space="preserve">Grozījums Ministru kabineta </w:t>
      </w:r>
      <w:r w:rsidR="00B9164F" w:rsidRPr="00B9164F">
        <w:rPr>
          <w:b/>
          <w:sz w:val="26"/>
          <w:szCs w:val="26"/>
        </w:rPr>
        <w:t>2015. gada 10. februāra</w:t>
      </w:r>
    </w:p>
    <w:p w:rsidR="00B9164F" w:rsidRDefault="00B9164F" w:rsidP="00B9164F">
      <w:pPr>
        <w:jc w:val="center"/>
        <w:rPr>
          <w:b/>
          <w:sz w:val="26"/>
          <w:szCs w:val="26"/>
        </w:rPr>
      </w:pPr>
      <w:r w:rsidRPr="00B9164F">
        <w:rPr>
          <w:b/>
          <w:sz w:val="26"/>
          <w:szCs w:val="26"/>
        </w:rPr>
        <w:t xml:space="preserve"> noteikumos Nr. 63 “Licenču un sertifikātu reģistra noteikumi”</w:t>
      </w:r>
      <w:r w:rsidR="009935E7">
        <w:rPr>
          <w:b/>
          <w:sz w:val="26"/>
          <w:szCs w:val="26"/>
        </w:rPr>
        <w:t>”</w:t>
      </w:r>
    </w:p>
    <w:p w:rsidR="000E7ED0" w:rsidRPr="00B40AF0" w:rsidRDefault="00B00591" w:rsidP="00B9164F">
      <w:pPr>
        <w:jc w:val="center"/>
        <w:rPr>
          <w:b/>
          <w:sz w:val="26"/>
          <w:szCs w:val="26"/>
        </w:rPr>
      </w:pPr>
      <w:r w:rsidRPr="00B40AF0">
        <w:rPr>
          <w:b/>
          <w:bCs/>
          <w:sz w:val="26"/>
          <w:szCs w:val="26"/>
        </w:rPr>
        <w:t xml:space="preserve"> </w:t>
      </w:r>
      <w:r w:rsidR="000E7ED0" w:rsidRPr="00B40AF0">
        <w:rPr>
          <w:b/>
          <w:sz w:val="26"/>
          <w:szCs w:val="26"/>
        </w:rPr>
        <w:t>sākotnējās ietekmes novērtējuma</w:t>
      </w:r>
      <w:r w:rsidR="001B71B1" w:rsidRPr="00B40AF0">
        <w:rPr>
          <w:b/>
          <w:sz w:val="26"/>
          <w:szCs w:val="26"/>
        </w:rPr>
        <w:t xml:space="preserve"> </w:t>
      </w:r>
      <w:r w:rsidR="000E7ED0" w:rsidRPr="00B40AF0">
        <w:rPr>
          <w:b/>
          <w:sz w:val="26"/>
          <w:szCs w:val="26"/>
        </w:rPr>
        <w:t>ziņojums (anotācija)</w:t>
      </w:r>
    </w:p>
    <w:p w:rsidR="00862D0F" w:rsidRPr="00B40AF0" w:rsidRDefault="00862D0F">
      <w:pPr>
        <w:rPr>
          <w:sz w:val="26"/>
          <w:szCs w:val="26"/>
        </w:rPr>
      </w:pPr>
    </w:p>
    <w:p w:rsidR="00BE5F28" w:rsidRPr="00B40AF0" w:rsidRDefault="00BE5F28">
      <w:pPr>
        <w:rPr>
          <w:sz w:val="26"/>
          <w:szCs w:val="26"/>
        </w:rPr>
      </w:pPr>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3"/>
        <w:gridCol w:w="1747"/>
        <w:gridCol w:w="7121"/>
      </w:tblGrid>
      <w:tr w:rsidR="00862D0F" w:rsidRPr="00B40AF0" w:rsidTr="006020DB">
        <w:trPr>
          <w:trHeight w:val="40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862D0F" w:rsidRPr="00B40AF0" w:rsidRDefault="00862D0F" w:rsidP="00862D0F">
            <w:pPr>
              <w:spacing w:before="100" w:beforeAutospacing="1" w:after="100" w:afterAutospacing="1"/>
              <w:ind w:firstLine="0"/>
              <w:jc w:val="center"/>
              <w:rPr>
                <w:rFonts w:eastAsia="Times New Roman" w:cs="Times New Roman"/>
                <w:b/>
                <w:bCs/>
                <w:sz w:val="26"/>
                <w:szCs w:val="26"/>
                <w:lang w:eastAsia="lv-LV"/>
              </w:rPr>
            </w:pPr>
            <w:r w:rsidRPr="00B40AF0">
              <w:rPr>
                <w:rFonts w:eastAsia="Times New Roman" w:cs="Times New Roman"/>
                <w:b/>
                <w:bCs/>
                <w:sz w:val="26"/>
                <w:szCs w:val="26"/>
                <w:lang w:eastAsia="lv-LV"/>
              </w:rPr>
              <w:t>I. Tiesību akta projekta izstrādes nepieciešamība</w:t>
            </w:r>
          </w:p>
        </w:tc>
      </w:tr>
      <w:tr w:rsidR="00862D0F" w:rsidRPr="00B40AF0" w:rsidTr="006020DB">
        <w:trPr>
          <w:trHeight w:val="405"/>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B40AF0" w:rsidRDefault="00862D0F" w:rsidP="00862D0F">
            <w:pPr>
              <w:spacing w:before="100" w:beforeAutospacing="1" w:after="100" w:afterAutospacing="1"/>
              <w:ind w:firstLine="0"/>
              <w:jc w:val="center"/>
              <w:rPr>
                <w:rFonts w:eastAsia="Times New Roman" w:cs="Times New Roman"/>
                <w:sz w:val="26"/>
                <w:szCs w:val="26"/>
                <w:lang w:eastAsia="lv-LV"/>
              </w:rPr>
            </w:pPr>
            <w:r w:rsidRPr="00B40AF0">
              <w:rPr>
                <w:rFonts w:eastAsia="Times New Roman" w:cs="Times New Roman"/>
                <w:sz w:val="26"/>
                <w:szCs w:val="26"/>
                <w:lang w:eastAsia="lv-LV"/>
              </w:rPr>
              <w:t>1.</w:t>
            </w:r>
          </w:p>
        </w:tc>
        <w:tc>
          <w:tcPr>
            <w:tcW w:w="883" w:type="pct"/>
            <w:tcBorders>
              <w:top w:val="outset" w:sz="6" w:space="0" w:color="auto"/>
              <w:left w:val="outset" w:sz="6" w:space="0" w:color="auto"/>
              <w:bottom w:val="outset" w:sz="6" w:space="0" w:color="auto"/>
              <w:right w:val="outset" w:sz="6" w:space="0" w:color="auto"/>
            </w:tcBorders>
            <w:hideMark/>
          </w:tcPr>
          <w:p w:rsidR="00862D0F" w:rsidRPr="00B40AF0" w:rsidRDefault="00862D0F" w:rsidP="00862D0F">
            <w:pPr>
              <w:ind w:firstLine="0"/>
              <w:jc w:val="left"/>
              <w:rPr>
                <w:rFonts w:eastAsia="Times New Roman" w:cs="Times New Roman"/>
                <w:sz w:val="26"/>
                <w:szCs w:val="26"/>
                <w:lang w:eastAsia="lv-LV"/>
              </w:rPr>
            </w:pPr>
            <w:r w:rsidRPr="00B40AF0">
              <w:rPr>
                <w:rFonts w:eastAsia="Times New Roman" w:cs="Times New Roman"/>
                <w:sz w:val="26"/>
                <w:szCs w:val="26"/>
                <w:lang w:eastAsia="lv-LV"/>
              </w:rPr>
              <w:t>Pamatojums</w:t>
            </w:r>
          </w:p>
        </w:tc>
        <w:tc>
          <w:tcPr>
            <w:tcW w:w="3608" w:type="pct"/>
            <w:tcBorders>
              <w:top w:val="outset" w:sz="6" w:space="0" w:color="auto"/>
              <w:left w:val="outset" w:sz="6" w:space="0" w:color="auto"/>
              <w:bottom w:val="outset" w:sz="6" w:space="0" w:color="auto"/>
              <w:right w:val="outset" w:sz="6" w:space="0" w:color="auto"/>
            </w:tcBorders>
            <w:hideMark/>
          </w:tcPr>
          <w:p w:rsidR="00EE3727" w:rsidRDefault="009935E7" w:rsidP="009935E7">
            <w:pPr>
              <w:shd w:val="clear" w:color="auto" w:fill="FFFFFF"/>
              <w:ind w:right="57" w:firstLine="388"/>
              <w:outlineLvl w:val="2"/>
              <w:rPr>
                <w:rFonts w:eastAsia="Times New Roman" w:cs="Times New Roman"/>
                <w:sz w:val="26"/>
                <w:szCs w:val="26"/>
                <w:lang w:eastAsia="lv-LV"/>
              </w:rPr>
            </w:pPr>
            <w:r w:rsidRPr="009935E7">
              <w:rPr>
                <w:rFonts w:eastAsia="Times New Roman" w:cs="Times New Roman"/>
                <w:sz w:val="26"/>
                <w:szCs w:val="26"/>
                <w:lang w:eastAsia="lv-LV"/>
              </w:rPr>
              <w:t>Ministru kabineta noteikumu projekts “Grozījums Ministru k</w:t>
            </w:r>
            <w:r>
              <w:rPr>
                <w:rFonts w:eastAsia="Times New Roman" w:cs="Times New Roman"/>
                <w:sz w:val="26"/>
                <w:szCs w:val="26"/>
                <w:lang w:eastAsia="lv-LV"/>
              </w:rPr>
              <w:t xml:space="preserve">abineta 2015. gada 10. februāra </w:t>
            </w:r>
            <w:r w:rsidRPr="009935E7">
              <w:rPr>
                <w:rFonts w:eastAsia="Times New Roman" w:cs="Times New Roman"/>
                <w:sz w:val="26"/>
                <w:szCs w:val="26"/>
                <w:lang w:eastAsia="lv-LV"/>
              </w:rPr>
              <w:t>noteikumos Nr. 63 “Licenču un sertifikātu reģistra noteikumi””</w:t>
            </w:r>
            <w:r>
              <w:rPr>
                <w:rFonts w:eastAsia="Times New Roman" w:cs="Times New Roman"/>
                <w:sz w:val="26"/>
                <w:szCs w:val="26"/>
                <w:lang w:eastAsia="lv-LV"/>
              </w:rPr>
              <w:t xml:space="preserve"> </w:t>
            </w:r>
            <w:r w:rsidRPr="009935E7">
              <w:rPr>
                <w:rFonts w:eastAsia="Times New Roman" w:cs="Times New Roman"/>
                <w:sz w:val="26"/>
                <w:szCs w:val="26"/>
                <w:lang w:eastAsia="lv-LV"/>
              </w:rPr>
              <w:t>tika izstrādāts pēc Latvijas Bankas iniciatīvas.</w:t>
            </w:r>
          </w:p>
          <w:p w:rsidR="000E7ED0" w:rsidRPr="00B40AF0" w:rsidRDefault="000E7ED0" w:rsidP="00C20BB3">
            <w:pPr>
              <w:shd w:val="clear" w:color="auto" w:fill="FFFFFF"/>
              <w:ind w:right="57" w:firstLine="388"/>
              <w:outlineLvl w:val="2"/>
              <w:rPr>
                <w:rFonts w:eastAsia="Times New Roman" w:cs="Times New Roman"/>
                <w:sz w:val="26"/>
                <w:szCs w:val="26"/>
                <w:lang w:eastAsia="lv-LV"/>
              </w:rPr>
            </w:pPr>
          </w:p>
        </w:tc>
      </w:tr>
      <w:tr w:rsidR="00862D0F" w:rsidRPr="00B40AF0" w:rsidTr="006020DB">
        <w:trPr>
          <w:trHeight w:val="465"/>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B40AF0" w:rsidRDefault="00862D0F" w:rsidP="00862D0F">
            <w:pPr>
              <w:spacing w:before="100" w:beforeAutospacing="1" w:after="100" w:afterAutospacing="1"/>
              <w:ind w:firstLine="0"/>
              <w:jc w:val="center"/>
              <w:rPr>
                <w:rFonts w:eastAsia="Times New Roman" w:cs="Times New Roman"/>
                <w:sz w:val="26"/>
                <w:szCs w:val="26"/>
                <w:lang w:eastAsia="lv-LV"/>
              </w:rPr>
            </w:pPr>
            <w:r w:rsidRPr="00B40AF0">
              <w:rPr>
                <w:rFonts w:eastAsia="Times New Roman" w:cs="Times New Roman"/>
                <w:sz w:val="26"/>
                <w:szCs w:val="26"/>
                <w:lang w:eastAsia="lv-LV"/>
              </w:rPr>
              <w:t>2.</w:t>
            </w:r>
          </w:p>
        </w:tc>
        <w:tc>
          <w:tcPr>
            <w:tcW w:w="883" w:type="pct"/>
            <w:tcBorders>
              <w:top w:val="outset" w:sz="6" w:space="0" w:color="auto"/>
              <w:left w:val="outset" w:sz="6" w:space="0" w:color="auto"/>
              <w:bottom w:val="outset" w:sz="6" w:space="0" w:color="auto"/>
              <w:right w:val="outset" w:sz="6" w:space="0" w:color="auto"/>
            </w:tcBorders>
            <w:hideMark/>
          </w:tcPr>
          <w:p w:rsidR="00862D0F" w:rsidRPr="00B40AF0" w:rsidRDefault="00862D0F" w:rsidP="00FD61B9">
            <w:pPr>
              <w:ind w:firstLine="0"/>
              <w:jc w:val="left"/>
              <w:rPr>
                <w:rFonts w:eastAsia="Times New Roman" w:cs="Times New Roman"/>
                <w:sz w:val="26"/>
                <w:szCs w:val="26"/>
                <w:lang w:eastAsia="lv-LV"/>
              </w:rPr>
            </w:pPr>
            <w:r w:rsidRPr="00B40AF0">
              <w:rPr>
                <w:rFonts w:eastAsia="Times New Roman" w:cs="Times New Roman"/>
                <w:sz w:val="26"/>
                <w:szCs w:val="26"/>
                <w:lang w:eastAsia="lv-LV"/>
              </w:rPr>
              <w:t>Pašreizējā situācija un problēmas, kuru risināšanai tiesību akta projekts izstrādāts, tiesiskā regulējuma mērķis un būtība</w:t>
            </w:r>
          </w:p>
        </w:tc>
        <w:tc>
          <w:tcPr>
            <w:tcW w:w="3608" w:type="pct"/>
            <w:tcBorders>
              <w:top w:val="outset" w:sz="6" w:space="0" w:color="auto"/>
              <w:left w:val="outset" w:sz="6" w:space="0" w:color="auto"/>
              <w:bottom w:val="outset" w:sz="6" w:space="0" w:color="auto"/>
              <w:right w:val="outset" w:sz="6" w:space="0" w:color="auto"/>
            </w:tcBorders>
            <w:hideMark/>
          </w:tcPr>
          <w:p w:rsidR="00F47315" w:rsidRDefault="00C20BB3" w:rsidP="00E00A8B">
            <w:pPr>
              <w:autoSpaceDE w:val="0"/>
              <w:autoSpaceDN w:val="0"/>
              <w:adjustRightInd w:val="0"/>
              <w:ind w:firstLine="0"/>
              <w:rPr>
                <w:rFonts w:eastAsia="Times New Roman" w:cs="Times New Roman"/>
                <w:sz w:val="26"/>
                <w:szCs w:val="26"/>
                <w:lang w:eastAsia="lv-LV"/>
              </w:rPr>
            </w:pPr>
            <w:r w:rsidRPr="00B40AF0">
              <w:rPr>
                <w:rFonts w:eastAsia="Times New Roman" w:cs="Times New Roman"/>
                <w:sz w:val="26"/>
                <w:szCs w:val="26"/>
                <w:lang w:eastAsia="lv-LV"/>
              </w:rPr>
              <w:t xml:space="preserve">    </w:t>
            </w:r>
            <w:r w:rsidR="00EB5959">
              <w:rPr>
                <w:rFonts w:eastAsia="Times New Roman" w:cs="Times New Roman"/>
                <w:sz w:val="26"/>
                <w:szCs w:val="26"/>
                <w:lang w:eastAsia="lv-LV"/>
              </w:rPr>
              <w:t>Saskaņā ar likuma “Par Latvijas Banku” 42.</w:t>
            </w:r>
            <w:proofErr w:type="gramStart"/>
            <w:r w:rsidR="00EB5959" w:rsidRPr="00EB5959">
              <w:rPr>
                <w:rFonts w:eastAsia="Times New Roman" w:cs="Times New Roman"/>
                <w:sz w:val="26"/>
                <w:szCs w:val="26"/>
                <w:vertAlign w:val="superscript"/>
                <w:lang w:eastAsia="lv-LV"/>
              </w:rPr>
              <w:t>3</w:t>
            </w:r>
            <w:r w:rsidR="00E00A8B">
              <w:rPr>
                <w:rFonts w:eastAsia="Times New Roman" w:cs="Times New Roman"/>
                <w:sz w:val="26"/>
                <w:szCs w:val="26"/>
                <w:lang w:eastAsia="lv-LV"/>
              </w:rPr>
              <w:t>panta</w:t>
            </w:r>
            <w:proofErr w:type="gramEnd"/>
            <w:r w:rsidR="00E00A8B">
              <w:rPr>
                <w:rFonts w:eastAsia="Times New Roman" w:cs="Times New Roman"/>
                <w:sz w:val="26"/>
                <w:szCs w:val="26"/>
                <w:lang w:eastAsia="lv-LV"/>
              </w:rPr>
              <w:t xml:space="preserve"> otrās</w:t>
            </w:r>
            <w:r w:rsidR="00EB5959">
              <w:rPr>
                <w:rFonts w:eastAsia="Times New Roman" w:cs="Times New Roman"/>
                <w:sz w:val="26"/>
                <w:szCs w:val="26"/>
                <w:lang w:eastAsia="lv-LV"/>
              </w:rPr>
              <w:t xml:space="preserve"> da</w:t>
            </w:r>
            <w:r w:rsidR="00F47315">
              <w:rPr>
                <w:rFonts w:eastAsia="Times New Roman" w:cs="Times New Roman"/>
                <w:sz w:val="26"/>
                <w:szCs w:val="26"/>
                <w:lang w:eastAsia="lv-LV"/>
              </w:rPr>
              <w:t>ļas 3</w:t>
            </w:r>
            <w:r w:rsidR="00044E4C">
              <w:rPr>
                <w:rFonts w:eastAsia="Times New Roman" w:cs="Times New Roman"/>
                <w:sz w:val="26"/>
                <w:szCs w:val="26"/>
                <w:lang w:eastAsia="lv-LV"/>
              </w:rPr>
              <w:t>.punktu uz</w:t>
            </w:r>
            <w:r w:rsidR="00EB5959">
              <w:rPr>
                <w:rFonts w:eastAsia="Times New Roman" w:cs="Times New Roman"/>
                <w:sz w:val="26"/>
                <w:szCs w:val="26"/>
                <w:lang w:eastAsia="lv-LV"/>
              </w:rPr>
              <w:t xml:space="preserve"> </w:t>
            </w:r>
            <w:r w:rsidR="00EB5959" w:rsidRPr="00EB5959">
              <w:rPr>
                <w:rFonts w:eastAsia="Times New Roman" w:cs="Times New Roman"/>
                <w:sz w:val="26"/>
                <w:szCs w:val="26"/>
                <w:lang w:eastAsia="lv-LV"/>
              </w:rPr>
              <w:t>Aizsardzības pārvaldes darbinieka amatu, kura pienākumu pildīšanai izsniedzams šaujamierocis vai lielas enerģijas pneimatiskais ierocis, var pretendēt un attiecīgajā amatā var</w:t>
            </w:r>
            <w:r w:rsidR="00E00A8B">
              <w:rPr>
                <w:rFonts w:eastAsia="Times New Roman" w:cs="Times New Roman"/>
                <w:sz w:val="26"/>
                <w:szCs w:val="26"/>
                <w:lang w:eastAsia="lv-LV"/>
              </w:rPr>
              <w:t xml:space="preserve"> tikt nodarbināta persona, kurai </w:t>
            </w:r>
            <w:r w:rsidR="00273862" w:rsidRPr="00273862">
              <w:rPr>
                <w:rFonts w:eastAsia="Times New Roman" w:cs="Times New Roman"/>
                <w:sz w:val="26"/>
                <w:szCs w:val="26"/>
                <w:lang w:eastAsia="lv-LV"/>
              </w:rPr>
              <w:t>nav ierobežotas (atņemtas uz laiku) tiesības nodarboties ar komercdarbību ieroču aprites jomā, izņemot gadījumu, kad attiecīgo tiesību i</w:t>
            </w:r>
            <w:r w:rsidR="00273862">
              <w:rPr>
                <w:rFonts w:eastAsia="Times New Roman" w:cs="Times New Roman"/>
                <w:sz w:val="26"/>
                <w:szCs w:val="26"/>
                <w:lang w:eastAsia="lv-LV"/>
              </w:rPr>
              <w:t>erobežojuma termiņš ir beidzies.</w:t>
            </w:r>
          </w:p>
          <w:p w:rsidR="00F47315" w:rsidRDefault="007F160F" w:rsidP="007F160F">
            <w:pPr>
              <w:autoSpaceDE w:val="0"/>
              <w:autoSpaceDN w:val="0"/>
              <w:adjustRightInd w:val="0"/>
              <w:ind w:firstLine="400"/>
              <w:rPr>
                <w:rFonts w:eastAsia="Times New Roman" w:cs="Times New Roman"/>
                <w:sz w:val="26"/>
                <w:szCs w:val="26"/>
                <w:lang w:eastAsia="lv-LV"/>
              </w:rPr>
            </w:pPr>
            <w:r>
              <w:rPr>
                <w:rFonts w:eastAsia="Times New Roman" w:cs="Times New Roman"/>
                <w:sz w:val="26"/>
                <w:szCs w:val="26"/>
                <w:lang w:eastAsia="lv-LV"/>
              </w:rPr>
              <w:t xml:space="preserve">Atbilstoši </w:t>
            </w:r>
            <w:r w:rsidRPr="007F160F">
              <w:rPr>
                <w:rFonts w:eastAsia="Times New Roman" w:cs="Times New Roman"/>
                <w:sz w:val="26"/>
                <w:szCs w:val="26"/>
                <w:lang w:eastAsia="lv-LV"/>
              </w:rPr>
              <w:t>Ministru kabineta 20</w:t>
            </w:r>
            <w:r>
              <w:rPr>
                <w:rFonts w:eastAsia="Times New Roman" w:cs="Times New Roman"/>
                <w:sz w:val="26"/>
                <w:szCs w:val="26"/>
                <w:lang w:eastAsia="lv-LV"/>
              </w:rPr>
              <w:t>15. gada 10. februāra noteikumu</w:t>
            </w:r>
            <w:r w:rsidR="00C14993">
              <w:rPr>
                <w:rFonts w:eastAsia="Times New Roman" w:cs="Times New Roman"/>
                <w:sz w:val="26"/>
                <w:szCs w:val="26"/>
                <w:lang w:eastAsia="lv-LV"/>
              </w:rPr>
              <w:t xml:space="preserve"> Nr.</w:t>
            </w:r>
            <w:r w:rsidRPr="007F160F">
              <w:rPr>
                <w:rFonts w:eastAsia="Times New Roman" w:cs="Times New Roman"/>
                <w:sz w:val="26"/>
                <w:szCs w:val="26"/>
                <w:lang w:eastAsia="lv-LV"/>
              </w:rPr>
              <w:t>63 “Licenču un sertifikātu reģistra noteikumi</w:t>
            </w:r>
            <w:r w:rsidR="00C14993">
              <w:rPr>
                <w:rFonts w:eastAsia="Times New Roman" w:cs="Times New Roman"/>
                <w:sz w:val="26"/>
                <w:szCs w:val="26"/>
                <w:lang w:eastAsia="lv-LV"/>
              </w:rPr>
              <w:t>”</w:t>
            </w:r>
            <w:r w:rsidR="00044E4C">
              <w:rPr>
                <w:rFonts w:eastAsia="Times New Roman" w:cs="Times New Roman"/>
                <w:sz w:val="26"/>
                <w:szCs w:val="26"/>
                <w:lang w:eastAsia="lv-LV"/>
              </w:rPr>
              <w:t xml:space="preserve"> </w:t>
            </w:r>
            <w:r w:rsidR="00C14993">
              <w:rPr>
                <w:rFonts w:eastAsia="Times New Roman" w:cs="Times New Roman"/>
                <w:sz w:val="26"/>
                <w:szCs w:val="26"/>
                <w:lang w:eastAsia="lv-LV"/>
              </w:rPr>
              <w:t>(turpmāk - Noteikumi)</w:t>
            </w:r>
            <w:r>
              <w:rPr>
                <w:rFonts w:eastAsia="Times New Roman" w:cs="Times New Roman"/>
                <w:sz w:val="26"/>
                <w:szCs w:val="26"/>
                <w:lang w:eastAsia="lv-LV"/>
              </w:rPr>
              <w:t xml:space="preserve"> 3.2.apakšpunktam Licenču un sertifikātu reģistrā</w:t>
            </w:r>
            <w:r w:rsidR="00EF563B">
              <w:rPr>
                <w:rFonts w:eastAsia="Times New Roman" w:cs="Times New Roman"/>
                <w:sz w:val="26"/>
                <w:szCs w:val="26"/>
                <w:lang w:eastAsia="lv-LV"/>
              </w:rPr>
              <w:t xml:space="preserve"> (turpmāk - reģistrs)</w:t>
            </w:r>
            <w:r>
              <w:rPr>
                <w:rFonts w:eastAsia="Times New Roman" w:cs="Times New Roman"/>
                <w:sz w:val="26"/>
                <w:szCs w:val="26"/>
                <w:lang w:eastAsia="lv-LV"/>
              </w:rPr>
              <w:t xml:space="preserve"> iekļauj ziņas</w:t>
            </w:r>
            <w:r w:rsidR="00BA12E7">
              <w:rPr>
                <w:rFonts w:eastAsia="Times New Roman" w:cs="Times New Roman"/>
                <w:sz w:val="26"/>
                <w:szCs w:val="26"/>
                <w:lang w:eastAsia="lv-LV"/>
              </w:rPr>
              <w:t xml:space="preserve"> par</w:t>
            </w:r>
            <w:r>
              <w:rPr>
                <w:rFonts w:eastAsia="Times New Roman" w:cs="Times New Roman"/>
                <w:sz w:val="26"/>
                <w:szCs w:val="26"/>
                <w:lang w:eastAsia="lv-LV"/>
              </w:rPr>
              <w:t xml:space="preserve"> </w:t>
            </w:r>
            <w:r w:rsidRPr="007F160F">
              <w:rPr>
                <w:rFonts w:eastAsia="Times New Roman" w:cs="Times New Roman"/>
                <w:sz w:val="26"/>
                <w:szCs w:val="26"/>
                <w:lang w:eastAsia="lv-LV"/>
              </w:rPr>
              <w:t>speciālajām atļaujām (licencēm) ieroču, munīcijas un speciālo līdzekļu komerciālajai apritei, komercsabiedrībām un individuālajiem komersantiem, kas tās saņēmuši, personām, kas ir tiesīgas pārstāvēt komercsabiedrību, tās dalībniekiem, kā arī darbiniekiem, kuriem Ieroču un speciālo līdzekļu aprites l</w:t>
            </w:r>
            <w:r>
              <w:rPr>
                <w:rFonts w:eastAsia="Times New Roman" w:cs="Times New Roman"/>
                <w:sz w:val="26"/>
                <w:szCs w:val="26"/>
                <w:lang w:eastAsia="lv-LV"/>
              </w:rPr>
              <w:t>ikumā ir paredzēti ierobežojumi.</w:t>
            </w:r>
            <w:r w:rsidR="00EF563B">
              <w:rPr>
                <w:rFonts w:eastAsia="Times New Roman" w:cs="Times New Roman"/>
                <w:sz w:val="26"/>
                <w:szCs w:val="26"/>
                <w:lang w:eastAsia="lv-LV"/>
              </w:rPr>
              <w:t xml:space="preserve"> Saskaņā ar Noteikumu 4.punktu ziņas reģistrā izmanto un apstrādā tiešsaistes datu pārraides režīmā.</w:t>
            </w:r>
          </w:p>
          <w:p w:rsidR="00EF563B" w:rsidRDefault="00F727C3" w:rsidP="007F160F">
            <w:pPr>
              <w:autoSpaceDE w:val="0"/>
              <w:autoSpaceDN w:val="0"/>
              <w:adjustRightInd w:val="0"/>
              <w:ind w:firstLine="400"/>
              <w:rPr>
                <w:rFonts w:eastAsia="Times New Roman" w:cs="Times New Roman"/>
                <w:sz w:val="26"/>
                <w:szCs w:val="26"/>
                <w:lang w:eastAsia="lv-LV"/>
              </w:rPr>
            </w:pPr>
            <w:r>
              <w:rPr>
                <w:rFonts w:eastAsia="Times New Roman" w:cs="Times New Roman"/>
                <w:sz w:val="26"/>
                <w:szCs w:val="26"/>
                <w:lang w:eastAsia="lv-LV"/>
              </w:rPr>
              <w:t>Noteikumu 25.punktā ir noteiktas</w:t>
            </w:r>
            <w:proofErr w:type="gramStart"/>
            <w:r>
              <w:rPr>
                <w:rFonts w:eastAsia="Times New Roman" w:cs="Times New Roman"/>
                <w:sz w:val="26"/>
                <w:szCs w:val="26"/>
                <w:lang w:eastAsia="lv-LV"/>
              </w:rPr>
              <w:t xml:space="preserve">  </w:t>
            </w:r>
            <w:proofErr w:type="gramEnd"/>
            <w:r>
              <w:rPr>
                <w:rFonts w:eastAsia="Times New Roman" w:cs="Times New Roman"/>
                <w:sz w:val="26"/>
                <w:szCs w:val="26"/>
                <w:lang w:eastAsia="lv-LV"/>
              </w:rPr>
              <w:t xml:space="preserve">tās institūcijas, </w:t>
            </w:r>
            <w:r w:rsidR="00EF563B">
              <w:rPr>
                <w:rFonts w:eastAsia="Times New Roman" w:cs="Times New Roman"/>
                <w:sz w:val="26"/>
                <w:szCs w:val="26"/>
                <w:lang w:eastAsia="lv-LV"/>
              </w:rPr>
              <w:t>kuras ir tiesīgas izmantot reģistrā iekļautās ziņas normatīvajos aktos noteikto funkciju veikšanai.</w:t>
            </w:r>
            <w:r>
              <w:rPr>
                <w:rFonts w:eastAsia="Times New Roman" w:cs="Times New Roman"/>
                <w:sz w:val="26"/>
                <w:szCs w:val="26"/>
                <w:lang w:eastAsia="lv-LV"/>
              </w:rPr>
              <w:t xml:space="preserve"> </w:t>
            </w:r>
          </w:p>
          <w:p w:rsidR="00F47315" w:rsidRDefault="00EF563B" w:rsidP="00EF563B">
            <w:pPr>
              <w:autoSpaceDE w:val="0"/>
              <w:autoSpaceDN w:val="0"/>
              <w:adjustRightInd w:val="0"/>
              <w:ind w:firstLine="400"/>
              <w:rPr>
                <w:rFonts w:eastAsia="Times New Roman" w:cs="Times New Roman"/>
                <w:sz w:val="26"/>
                <w:szCs w:val="26"/>
                <w:lang w:eastAsia="lv-LV"/>
              </w:rPr>
            </w:pPr>
            <w:r w:rsidRPr="00B40AF0">
              <w:rPr>
                <w:rFonts w:eastAsia="Times New Roman" w:cs="Times New Roman"/>
                <w:sz w:val="26"/>
                <w:szCs w:val="26"/>
                <w:lang w:eastAsia="lv-LV"/>
              </w:rPr>
              <w:t xml:space="preserve">Ņemot vērā minēto, nepieciešams veikt grozījumus </w:t>
            </w:r>
            <w:r>
              <w:rPr>
                <w:rFonts w:eastAsia="Times New Roman" w:cs="Times New Roman"/>
                <w:sz w:val="26"/>
                <w:szCs w:val="26"/>
                <w:lang w:eastAsia="lv-LV"/>
              </w:rPr>
              <w:t>Noteikumos</w:t>
            </w:r>
            <w:r w:rsidRPr="00B40AF0">
              <w:rPr>
                <w:rFonts w:eastAsia="Times New Roman" w:cs="Times New Roman"/>
                <w:sz w:val="26"/>
                <w:szCs w:val="26"/>
                <w:lang w:eastAsia="lv-LV"/>
              </w:rPr>
              <w:t>,</w:t>
            </w:r>
            <w:r>
              <w:rPr>
                <w:bCs/>
                <w:sz w:val="26"/>
                <w:szCs w:val="26"/>
              </w:rPr>
              <w:t xml:space="preserve"> </w:t>
            </w:r>
            <w:proofErr w:type="gramStart"/>
            <w:r>
              <w:rPr>
                <w:bCs/>
                <w:sz w:val="26"/>
                <w:szCs w:val="26"/>
              </w:rPr>
              <w:t>paredzot, ka</w:t>
            </w:r>
            <w:r w:rsidRPr="00B40AF0">
              <w:rPr>
                <w:bCs/>
                <w:sz w:val="26"/>
                <w:szCs w:val="26"/>
              </w:rPr>
              <w:t xml:space="preserve"> </w:t>
            </w:r>
            <w:r>
              <w:rPr>
                <w:bCs/>
                <w:sz w:val="26"/>
                <w:szCs w:val="26"/>
              </w:rPr>
              <w:t>Latvijas Bankas Aizsardzības pārvalde ir tiesīga</w:t>
            </w:r>
            <w:proofErr w:type="gramEnd"/>
            <w:r>
              <w:rPr>
                <w:bCs/>
                <w:sz w:val="26"/>
                <w:szCs w:val="26"/>
              </w:rPr>
              <w:t xml:space="preserve"> </w:t>
            </w:r>
            <w:r w:rsidR="00044E4C" w:rsidRPr="00044E4C">
              <w:rPr>
                <w:bCs/>
                <w:sz w:val="26"/>
                <w:szCs w:val="26"/>
              </w:rPr>
              <w:t xml:space="preserve">tiešsaistes datu pārraides režīmā </w:t>
            </w:r>
            <w:r>
              <w:rPr>
                <w:bCs/>
                <w:sz w:val="26"/>
                <w:szCs w:val="26"/>
              </w:rPr>
              <w:t>piekļūt un izmantot reģistrā iekļautās ziņas normatīvajos aktos noteikto funkciju veikšanai.</w:t>
            </w:r>
          </w:p>
          <w:p w:rsidR="00714D96" w:rsidRPr="00B40AF0" w:rsidRDefault="00372B9A" w:rsidP="00D605D9">
            <w:pPr>
              <w:autoSpaceDE w:val="0"/>
              <w:autoSpaceDN w:val="0"/>
              <w:adjustRightInd w:val="0"/>
              <w:ind w:firstLine="0"/>
              <w:rPr>
                <w:rFonts w:eastAsia="Times New Roman" w:cs="Times New Roman"/>
                <w:sz w:val="26"/>
                <w:szCs w:val="26"/>
                <w:lang w:eastAsia="lv-LV"/>
              </w:rPr>
            </w:pPr>
            <w:r w:rsidRPr="00B40AF0">
              <w:rPr>
                <w:rFonts w:eastAsia="Times New Roman" w:cs="Times New Roman"/>
                <w:sz w:val="26"/>
                <w:szCs w:val="26"/>
                <w:lang w:eastAsia="lv-LV"/>
              </w:rPr>
              <w:t xml:space="preserve">     </w:t>
            </w:r>
          </w:p>
        </w:tc>
      </w:tr>
      <w:tr w:rsidR="00862D0F" w:rsidRPr="00B40AF0" w:rsidTr="006020DB">
        <w:trPr>
          <w:trHeight w:val="465"/>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B40AF0" w:rsidRDefault="00862D0F" w:rsidP="00862D0F">
            <w:pPr>
              <w:spacing w:before="100" w:beforeAutospacing="1" w:after="100" w:afterAutospacing="1"/>
              <w:ind w:firstLine="0"/>
              <w:jc w:val="center"/>
              <w:rPr>
                <w:rFonts w:eastAsia="Times New Roman" w:cs="Times New Roman"/>
                <w:sz w:val="26"/>
                <w:szCs w:val="26"/>
                <w:lang w:eastAsia="lv-LV"/>
              </w:rPr>
            </w:pPr>
            <w:r w:rsidRPr="00B40AF0">
              <w:rPr>
                <w:rFonts w:eastAsia="Times New Roman" w:cs="Times New Roman"/>
                <w:sz w:val="26"/>
                <w:szCs w:val="26"/>
                <w:lang w:eastAsia="lv-LV"/>
              </w:rPr>
              <w:t>3.</w:t>
            </w:r>
          </w:p>
        </w:tc>
        <w:tc>
          <w:tcPr>
            <w:tcW w:w="883" w:type="pct"/>
            <w:tcBorders>
              <w:top w:val="outset" w:sz="6" w:space="0" w:color="auto"/>
              <w:left w:val="outset" w:sz="6" w:space="0" w:color="auto"/>
              <w:bottom w:val="outset" w:sz="6" w:space="0" w:color="auto"/>
              <w:right w:val="outset" w:sz="6" w:space="0" w:color="auto"/>
            </w:tcBorders>
            <w:hideMark/>
          </w:tcPr>
          <w:p w:rsidR="00862D0F" w:rsidRPr="00B40AF0" w:rsidRDefault="00862D0F" w:rsidP="00862D0F">
            <w:pPr>
              <w:ind w:firstLine="0"/>
              <w:jc w:val="left"/>
              <w:rPr>
                <w:rFonts w:eastAsia="Times New Roman" w:cs="Times New Roman"/>
                <w:sz w:val="26"/>
                <w:szCs w:val="26"/>
                <w:lang w:eastAsia="lv-LV"/>
              </w:rPr>
            </w:pPr>
            <w:r w:rsidRPr="00B40AF0">
              <w:rPr>
                <w:rFonts w:eastAsia="Times New Roman" w:cs="Times New Roman"/>
                <w:sz w:val="26"/>
                <w:szCs w:val="26"/>
                <w:lang w:eastAsia="lv-LV"/>
              </w:rPr>
              <w:t>Projekta izstrādē iesaistītās institūcijas</w:t>
            </w:r>
          </w:p>
        </w:tc>
        <w:tc>
          <w:tcPr>
            <w:tcW w:w="3608" w:type="pct"/>
            <w:tcBorders>
              <w:top w:val="outset" w:sz="6" w:space="0" w:color="auto"/>
              <w:left w:val="outset" w:sz="6" w:space="0" w:color="auto"/>
              <w:bottom w:val="outset" w:sz="6" w:space="0" w:color="auto"/>
              <w:right w:val="outset" w:sz="6" w:space="0" w:color="auto"/>
            </w:tcBorders>
            <w:hideMark/>
          </w:tcPr>
          <w:p w:rsidR="00862D0F" w:rsidRPr="00B40AF0" w:rsidRDefault="00F86428" w:rsidP="00EE3727">
            <w:pPr>
              <w:ind w:firstLine="0"/>
              <w:jc w:val="left"/>
              <w:rPr>
                <w:rFonts w:eastAsia="Times New Roman" w:cs="Times New Roman"/>
                <w:sz w:val="26"/>
                <w:szCs w:val="26"/>
                <w:lang w:eastAsia="lv-LV"/>
              </w:rPr>
            </w:pPr>
            <w:r>
              <w:rPr>
                <w:rFonts w:eastAsia="Times New Roman" w:cs="Times New Roman"/>
                <w:sz w:val="26"/>
                <w:szCs w:val="26"/>
                <w:lang w:eastAsia="lv-LV"/>
              </w:rPr>
              <w:t>Iekšli</w:t>
            </w:r>
            <w:r w:rsidR="00EE3727">
              <w:rPr>
                <w:rFonts w:eastAsia="Times New Roman" w:cs="Times New Roman"/>
                <w:sz w:val="26"/>
                <w:szCs w:val="26"/>
                <w:lang w:eastAsia="lv-LV"/>
              </w:rPr>
              <w:t>etu ministrija, Latvijas Banka.</w:t>
            </w:r>
          </w:p>
        </w:tc>
      </w:tr>
      <w:tr w:rsidR="00862D0F" w:rsidRPr="00B40AF0" w:rsidTr="006020DB">
        <w:trPr>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B40AF0" w:rsidRDefault="00862D0F" w:rsidP="00862D0F">
            <w:pPr>
              <w:spacing w:before="100" w:beforeAutospacing="1" w:after="100" w:afterAutospacing="1"/>
              <w:ind w:firstLine="0"/>
              <w:jc w:val="center"/>
              <w:rPr>
                <w:rFonts w:eastAsia="Times New Roman" w:cs="Times New Roman"/>
                <w:sz w:val="26"/>
                <w:szCs w:val="26"/>
                <w:lang w:eastAsia="lv-LV"/>
              </w:rPr>
            </w:pPr>
            <w:r w:rsidRPr="00B40AF0">
              <w:rPr>
                <w:rFonts w:eastAsia="Times New Roman" w:cs="Times New Roman"/>
                <w:sz w:val="26"/>
                <w:szCs w:val="26"/>
                <w:lang w:eastAsia="lv-LV"/>
              </w:rPr>
              <w:t>4.</w:t>
            </w:r>
          </w:p>
        </w:tc>
        <w:tc>
          <w:tcPr>
            <w:tcW w:w="883" w:type="pct"/>
            <w:tcBorders>
              <w:top w:val="outset" w:sz="6" w:space="0" w:color="auto"/>
              <w:left w:val="outset" w:sz="6" w:space="0" w:color="auto"/>
              <w:bottom w:val="outset" w:sz="6" w:space="0" w:color="auto"/>
              <w:right w:val="outset" w:sz="6" w:space="0" w:color="auto"/>
            </w:tcBorders>
            <w:hideMark/>
          </w:tcPr>
          <w:p w:rsidR="00862D0F" w:rsidRPr="00B40AF0" w:rsidRDefault="00862D0F" w:rsidP="00862D0F">
            <w:pPr>
              <w:ind w:firstLine="0"/>
              <w:jc w:val="left"/>
              <w:rPr>
                <w:rFonts w:eastAsia="Times New Roman" w:cs="Times New Roman"/>
                <w:sz w:val="26"/>
                <w:szCs w:val="26"/>
                <w:lang w:eastAsia="lv-LV"/>
              </w:rPr>
            </w:pPr>
            <w:r w:rsidRPr="00B40AF0">
              <w:rPr>
                <w:rFonts w:eastAsia="Times New Roman" w:cs="Times New Roman"/>
                <w:sz w:val="26"/>
                <w:szCs w:val="26"/>
                <w:lang w:eastAsia="lv-LV"/>
              </w:rPr>
              <w:t>Cita informācija</w:t>
            </w:r>
          </w:p>
        </w:tc>
        <w:tc>
          <w:tcPr>
            <w:tcW w:w="3608" w:type="pct"/>
            <w:tcBorders>
              <w:top w:val="outset" w:sz="6" w:space="0" w:color="auto"/>
              <w:left w:val="outset" w:sz="6" w:space="0" w:color="auto"/>
              <w:bottom w:val="outset" w:sz="6" w:space="0" w:color="auto"/>
              <w:right w:val="outset" w:sz="6" w:space="0" w:color="auto"/>
            </w:tcBorders>
            <w:hideMark/>
          </w:tcPr>
          <w:p w:rsidR="00862D0F" w:rsidRPr="00B40AF0" w:rsidRDefault="005A2741" w:rsidP="00862D0F">
            <w:pPr>
              <w:spacing w:before="100" w:beforeAutospacing="1" w:after="100" w:afterAutospacing="1"/>
              <w:ind w:firstLine="0"/>
              <w:jc w:val="left"/>
              <w:rPr>
                <w:rFonts w:eastAsia="Times New Roman" w:cs="Times New Roman"/>
                <w:sz w:val="26"/>
                <w:szCs w:val="26"/>
                <w:lang w:eastAsia="lv-LV"/>
              </w:rPr>
            </w:pPr>
            <w:r w:rsidRPr="00B40AF0">
              <w:rPr>
                <w:rFonts w:eastAsia="Times New Roman" w:cs="Times New Roman"/>
                <w:sz w:val="26"/>
                <w:szCs w:val="26"/>
                <w:lang w:eastAsia="lv-LV"/>
              </w:rPr>
              <w:t>Nav</w:t>
            </w:r>
            <w:bookmarkStart w:id="0" w:name="_GoBack"/>
            <w:bookmarkEnd w:id="0"/>
            <w:r w:rsidRPr="00B40AF0">
              <w:rPr>
                <w:rFonts w:eastAsia="Times New Roman" w:cs="Times New Roman"/>
                <w:sz w:val="26"/>
                <w:szCs w:val="26"/>
                <w:lang w:eastAsia="lv-LV"/>
              </w:rPr>
              <w:t>.</w:t>
            </w:r>
          </w:p>
        </w:tc>
      </w:tr>
    </w:tbl>
    <w:p w:rsidR="004B7C63" w:rsidRPr="00B40AF0" w:rsidRDefault="00862D0F" w:rsidP="00862D0F">
      <w:pPr>
        <w:spacing w:before="100" w:beforeAutospacing="1" w:after="100" w:afterAutospacing="1"/>
        <w:ind w:firstLine="0"/>
        <w:jc w:val="left"/>
        <w:rPr>
          <w:rFonts w:eastAsia="Times New Roman" w:cs="Times New Roman"/>
          <w:sz w:val="26"/>
          <w:szCs w:val="26"/>
          <w:lang w:eastAsia="lv-LV"/>
        </w:rPr>
      </w:pPr>
      <w:r w:rsidRPr="00B40AF0">
        <w:rPr>
          <w:rFonts w:eastAsia="Times New Roman" w:cs="Times New Roman"/>
          <w:sz w:val="26"/>
          <w:szCs w:val="26"/>
          <w:lang w:eastAsia="lv-LV"/>
        </w:rPr>
        <w:lastRenderedPageBreak/>
        <w:t> </w:t>
      </w:r>
    </w:p>
    <w:tbl>
      <w:tblPr>
        <w:tblW w:w="5323"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4"/>
        <w:gridCol w:w="3977"/>
        <w:gridCol w:w="5249"/>
      </w:tblGrid>
      <w:tr w:rsidR="00862D0F" w:rsidRPr="00B40AF0" w:rsidTr="008C16EE">
        <w:trPr>
          <w:trHeight w:val="375"/>
          <w:tblCellSpacing w:w="15" w:type="dxa"/>
          <w:jc w:val="center"/>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862D0F" w:rsidRPr="00B40AF0" w:rsidRDefault="00862D0F" w:rsidP="00862D0F">
            <w:pPr>
              <w:spacing w:before="100" w:beforeAutospacing="1" w:after="100" w:afterAutospacing="1"/>
              <w:ind w:firstLine="0"/>
              <w:jc w:val="center"/>
              <w:rPr>
                <w:rFonts w:eastAsia="Times New Roman" w:cs="Times New Roman"/>
                <w:b/>
                <w:bCs/>
                <w:sz w:val="26"/>
                <w:szCs w:val="26"/>
                <w:lang w:eastAsia="lv-LV"/>
              </w:rPr>
            </w:pPr>
            <w:r w:rsidRPr="00B40AF0">
              <w:rPr>
                <w:rFonts w:eastAsia="Times New Roman" w:cs="Times New Roman"/>
                <w:b/>
                <w:bCs/>
                <w:sz w:val="26"/>
                <w:szCs w:val="26"/>
                <w:lang w:eastAsia="lv-LV"/>
              </w:rPr>
              <w:t>VII. Tiesību akta projekta izpildes nodrošināšana un tās ietekme uz institūcijām</w:t>
            </w:r>
          </w:p>
        </w:tc>
      </w:tr>
      <w:tr w:rsidR="00862D0F" w:rsidRPr="00B40AF0" w:rsidTr="008C16EE">
        <w:trPr>
          <w:trHeight w:val="420"/>
          <w:tblCellSpacing w:w="15" w:type="dxa"/>
          <w:jc w:val="center"/>
        </w:trPr>
        <w:tc>
          <w:tcPr>
            <w:tcW w:w="193" w:type="pct"/>
            <w:tcBorders>
              <w:top w:val="outset" w:sz="6" w:space="0" w:color="auto"/>
              <w:left w:val="outset" w:sz="6" w:space="0" w:color="auto"/>
              <w:bottom w:val="outset" w:sz="6" w:space="0" w:color="auto"/>
              <w:right w:val="outset" w:sz="6" w:space="0" w:color="auto"/>
            </w:tcBorders>
            <w:hideMark/>
          </w:tcPr>
          <w:p w:rsidR="00862D0F" w:rsidRPr="00B40AF0" w:rsidRDefault="00862D0F" w:rsidP="00862D0F">
            <w:pPr>
              <w:ind w:firstLine="0"/>
              <w:jc w:val="left"/>
              <w:rPr>
                <w:rFonts w:eastAsia="Times New Roman" w:cs="Times New Roman"/>
                <w:sz w:val="26"/>
                <w:szCs w:val="26"/>
                <w:lang w:eastAsia="lv-LV"/>
              </w:rPr>
            </w:pPr>
            <w:r w:rsidRPr="00B40AF0">
              <w:rPr>
                <w:rFonts w:eastAsia="Times New Roman" w:cs="Times New Roman"/>
                <w:sz w:val="26"/>
                <w:szCs w:val="26"/>
                <w:lang w:eastAsia="lv-LV"/>
              </w:rPr>
              <w:t>1.</w:t>
            </w:r>
          </w:p>
        </w:tc>
        <w:tc>
          <w:tcPr>
            <w:tcW w:w="2060" w:type="pct"/>
            <w:tcBorders>
              <w:top w:val="outset" w:sz="6" w:space="0" w:color="auto"/>
              <w:left w:val="outset" w:sz="6" w:space="0" w:color="auto"/>
              <w:bottom w:val="outset" w:sz="6" w:space="0" w:color="auto"/>
              <w:right w:val="outset" w:sz="6" w:space="0" w:color="auto"/>
            </w:tcBorders>
            <w:hideMark/>
          </w:tcPr>
          <w:p w:rsidR="00862D0F" w:rsidRPr="00B40AF0" w:rsidRDefault="00862D0F" w:rsidP="00862D0F">
            <w:pPr>
              <w:ind w:firstLine="0"/>
              <w:jc w:val="left"/>
              <w:rPr>
                <w:rFonts w:eastAsia="Times New Roman" w:cs="Times New Roman"/>
                <w:sz w:val="26"/>
                <w:szCs w:val="26"/>
                <w:lang w:eastAsia="lv-LV"/>
              </w:rPr>
            </w:pPr>
            <w:r w:rsidRPr="00B40AF0">
              <w:rPr>
                <w:rFonts w:eastAsia="Times New Roman" w:cs="Times New Roman"/>
                <w:sz w:val="26"/>
                <w:szCs w:val="26"/>
                <w:lang w:eastAsia="lv-LV"/>
              </w:rPr>
              <w:t>Projekta izpildē iesaistītās institūcijas</w:t>
            </w:r>
          </w:p>
        </w:tc>
        <w:tc>
          <w:tcPr>
            <w:tcW w:w="2684" w:type="pct"/>
            <w:tcBorders>
              <w:top w:val="outset" w:sz="6" w:space="0" w:color="auto"/>
              <w:left w:val="outset" w:sz="6" w:space="0" w:color="auto"/>
              <w:bottom w:val="outset" w:sz="6" w:space="0" w:color="auto"/>
              <w:right w:val="outset" w:sz="6" w:space="0" w:color="auto"/>
            </w:tcBorders>
            <w:hideMark/>
          </w:tcPr>
          <w:p w:rsidR="00862D0F" w:rsidRPr="00B40AF0" w:rsidRDefault="00F86428" w:rsidP="00862D0F">
            <w:pPr>
              <w:ind w:firstLine="0"/>
              <w:jc w:val="left"/>
              <w:rPr>
                <w:rFonts w:eastAsia="Times New Roman" w:cs="Times New Roman"/>
                <w:sz w:val="26"/>
                <w:szCs w:val="26"/>
                <w:lang w:eastAsia="lv-LV"/>
              </w:rPr>
            </w:pPr>
            <w:r>
              <w:rPr>
                <w:rFonts w:eastAsia="Times New Roman" w:cs="Times New Roman"/>
                <w:sz w:val="26"/>
                <w:szCs w:val="26"/>
                <w:lang w:eastAsia="lv-LV"/>
              </w:rPr>
              <w:t xml:space="preserve">Iekšlietu ministrijas Informācijas centrs, Latvijas Bankas </w:t>
            </w:r>
            <w:r w:rsidRPr="006F4A65">
              <w:rPr>
                <w:rFonts w:eastAsia="Times New Roman" w:cs="Times New Roman"/>
                <w:sz w:val="26"/>
                <w:szCs w:val="26"/>
                <w:lang w:eastAsia="lv-LV"/>
              </w:rPr>
              <w:t>Aizsardzības pārvalde.</w:t>
            </w:r>
          </w:p>
        </w:tc>
      </w:tr>
      <w:tr w:rsidR="00862D0F" w:rsidRPr="00B40AF0" w:rsidTr="008C16EE">
        <w:trPr>
          <w:trHeight w:val="450"/>
          <w:tblCellSpacing w:w="15" w:type="dxa"/>
          <w:jc w:val="center"/>
        </w:trPr>
        <w:tc>
          <w:tcPr>
            <w:tcW w:w="193" w:type="pct"/>
            <w:tcBorders>
              <w:top w:val="outset" w:sz="6" w:space="0" w:color="auto"/>
              <w:left w:val="outset" w:sz="6" w:space="0" w:color="auto"/>
              <w:bottom w:val="outset" w:sz="6" w:space="0" w:color="auto"/>
              <w:right w:val="outset" w:sz="6" w:space="0" w:color="auto"/>
            </w:tcBorders>
            <w:hideMark/>
          </w:tcPr>
          <w:p w:rsidR="00862D0F" w:rsidRPr="00B40AF0" w:rsidRDefault="00862D0F" w:rsidP="00862D0F">
            <w:pPr>
              <w:ind w:firstLine="0"/>
              <w:jc w:val="left"/>
              <w:rPr>
                <w:rFonts w:eastAsia="Times New Roman" w:cs="Times New Roman"/>
                <w:sz w:val="26"/>
                <w:szCs w:val="26"/>
                <w:lang w:eastAsia="lv-LV"/>
              </w:rPr>
            </w:pPr>
            <w:r w:rsidRPr="00B40AF0">
              <w:rPr>
                <w:rFonts w:eastAsia="Times New Roman" w:cs="Times New Roman"/>
                <w:sz w:val="26"/>
                <w:szCs w:val="26"/>
                <w:lang w:eastAsia="lv-LV"/>
              </w:rPr>
              <w:t>2.</w:t>
            </w:r>
          </w:p>
        </w:tc>
        <w:tc>
          <w:tcPr>
            <w:tcW w:w="2060" w:type="pct"/>
            <w:tcBorders>
              <w:top w:val="outset" w:sz="6" w:space="0" w:color="auto"/>
              <w:left w:val="outset" w:sz="6" w:space="0" w:color="auto"/>
              <w:bottom w:val="outset" w:sz="6" w:space="0" w:color="auto"/>
              <w:right w:val="outset" w:sz="6" w:space="0" w:color="auto"/>
            </w:tcBorders>
            <w:hideMark/>
          </w:tcPr>
          <w:p w:rsidR="00862D0F" w:rsidRPr="00B40AF0" w:rsidRDefault="00862D0F" w:rsidP="002A3D3A">
            <w:pPr>
              <w:ind w:firstLine="0"/>
              <w:rPr>
                <w:rFonts w:eastAsia="Times New Roman" w:cs="Times New Roman"/>
                <w:sz w:val="26"/>
                <w:szCs w:val="26"/>
                <w:lang w:eastAsia="lv-LV"/>
              </w:rPr>
            </w:pPr>
            <w:r w:rsidRPr="00B40AF0">
              <w:rPr>
                <w:rFonts w:eastAsia="Times New Roman" w:cs="Times New Roman"/>
                <w:sz w:val="26"/>
                <w:szCs w:val="26"/>
                <w:lang w:eastAsia="lv-LV"/>
              </w:rPr>
              <w:t xml:space="preserve">Projekta izpildes ietekme uz pārvaldes funkcijām un institucionālo struktūru. </w:t>
            </w:r>
          </w:p>
          <w:p w:rsidR="00862D0F" w:rsidRPr="00B40AF0" w:rsidRDefault="00862D0F" w:rsidP="002A3D3A">
            <w:pPr>
              <w:spacing w:before="100" w:beforeAutospacing="1" w:after="100" w:afterAutospacing="1"/>
              <w:ind w:firstLine="0"/>
              <w:rPr>
                <w:rFonts w:eastAsia="Times New Roman" w:cs="Times New Roman"/>
                <w:sz w:val="26"/>
                <w:szCs w:val="26"/>
                <w:lang w:eastAsia="lv-LV"/>
              </w:rPr>
            </w:pPr>
            <w:r w:rsidRPr="00B40AF0">
              <w:rPr>
                <w:rFonts w:eastAsia="Times New Roman" w:cs="Times New Roman"/>
                <w:sz w:val="26"/>
                <w:szCs w:val="26"/>
                <w:lang w:eastAsia="lv-LV"/>
              </w:rPr>
              <w:t>Jaunu institūciju izveide, esošu institūciju likvidācija vai reorganizācija, to ietekme uz institūcijas cilvēkresursiem</w:t>
            </w:r>
            <w:r w:rsidR="00372B9A" w:rsidRPr="00B40AF0">
              <w:rPr>
                <w:rFonts w:eastAsia="Times New Roman" w:cs="Times New Roman"/>
                <w:sz w:val="26"/>
                <w:szCs w:val="26"/>
                <w:lang w:eastAsia="lv-LV"/>
              </w:rPr>
              <w:t>.</w:t>
            </w:r>
          </w:p>
        </w:tc>
        <w:tc>
          <w:tcPr>
            <w:tcW w:w="2684" w:type="pct"/>
            <w:tcBorders>
              <w:top w:val="outset" w:sz="6" w:space="0" w:color="auto"/>
              <w:left w:val="outset" w:sz="6" w:space="0" w:color="auto"/>
              <w:bottom w:val="outset" w:sz="6" w:space="0" w:color="auto"/>
              <w:right w:val="outset" w:sz="6" w:space="0" w:color="auto"/>
            </w:tcBorders>
            <w:hideMark/>
          </w:tcPr>
          <w:p w:rsidR="00227ED8" w:rsidRPr="00B40AF0" w:rsidRDefault="00F86428" w:rsidP="002A3D3A">
            <w:pPr>
              <w:ind w:firstLine="0"/>
              <w:rPr>
                <w:rFonts w:eastAsia="Calibri" w:cs="Times New Roman"/>
                <w:sz w:val="26"/>
                <w:szCs w:val="26"/>
              </w:rPr>
            </w:pPr>
            <w:r>
              <w:rPr>
                <w:rFonts w:eastAsia="Calibri" w:cs="Times New Roman"/>
                <w:sz w:val="26"/>
                <w:szCs w:val="26"/>
              </w:rPr>
              <w:t>Projekts šo jomu neskar.</w:t>
            </w:r>
          </w:p>
          <w:p w:rsidR="00AB6F4E" w:rsidRPr="00B40AF0" w:rsidRDefault="00AB6F4E" w:rsidP="002B4616">
            <w:pPr>
              <w:ind w:firstLine="0"/>
              <w:rPr>
                <w:rFonts w:eastAsia="Times New Roman" w:cs="Times New Roman"/>
                <w:sz w:val="26"/>
                <w:szCs w:val="26"/>
                <w:lang w:eastAsia="lv-LV"/>
              </w:rPr>
            </w:pPr>
          </w:p>
        </w:tc>
      </w:tr>
      <w:tr w:rsidR="00862D0F" w:rsidRPr="00B40AF0" w:rsidTr="008C16EE">
        <w:trPr>
          <w:trHeight w:val="390"/>
          <w:tblCellSpacing w:w="15" w:type="dxa"/>
          <w:jc w:val="center"/>
        </w:trPr>
        <w:tc>
          <w:tcPr>
            <w:tcW w:w="193" w:type="pct"/>
            <w:tcBorders>
              <w:top w:val="outset" w:sz="6" w:space="0" w:color="auto"/>
              <w:left w:val="outset" w:sz="6" w:space="0" w:color="auto"/>
              <w:bottom w:val="outset" w:sz="6" w:space="0" w:color="auto"/>
              <w:right w:val="outset" w:sz="6" w:space="0" w:color="auto"/>
            </w:tcBorders>
            <w:hideMark/>
          </w:tcPr>
          <w:p w:rsidR="00862D0F" w:rsidRPr="00B40AF0" w:rsidRDefault="00862D0F" w:rsidP="00862D0F">
            <w:pPr>
              <w:ind w:firstLine="0"/>
              <w:jc w:val="left"/>
              <w:rPr>
                <w:rFonts w:eastAsia="Times New Roman" w:cs="Times New Roman"/>
                <w:sz w:val="26"/>
                <w:szCs w:val="26"/>
                <w:lang w:eastAsia="lv-LV"/>
              </w:rPr>
            </w:pPr>
            <w:r w:rsidRPr="00B40AF0">
              <w:rPr>
                <w:rFonts w:eastAsia="Times New Roman" w:cs="Times New Roman"/>
                <w:sz w:val="26"/>
                <w:szCs w:val="26"/>
                <w:lang w:eastAsia="lv-LV"/>
              </w:rPr>
              <w:t>3.</w:t>
            </w:r>
          </w:p>
        </w:tc>
        <w:tc>
          <w:tcPr>
            <w:tcW w:w="2060" w:type="pct"/>
            <w:tcBorders>
              <w:top w:val="outset" w:sz="6" w:space="0" w:color="auto"/>
              <w:left w:val="outset" w:sz="6" w:space="0" w:color="auto"/>
              <w:bottom w:val="outset" w:sz="6" w:space="0" w:color="auto"/>
              <w:right w:val="outset" w:sz="6" w:space="0" w:color="auto"/>
            </w:tcBorders>
            <w:hideMark/>
          </w:tcPr>
          <w:p w:rsidR="00862D0F" w:rsidRPr="00B40AF0" w:rsidRDefault="00862D0F" w:rsidP="00862D0F">
            <w:pPr>
              <w:ind w:firstLine="0"/>
              <w:jc w:val="left"/>
              <w:rPr>
                <w:rFonts w:eastAsia="Times New Roman" w:cs="Times New Roman"/>
                <w:sz w:val="26"/>
                <w:szCs w:val="26"/>
                <w:lang w:eastAsia="lv-LV"/>
              </w:rPr>
            </w:pPr>
            <w:r w:rsidRPr="00B40AF0">
              <w:rPr>
                <w:rFonts w:eastAsia="Times New Roman" w:cs="Times New Roman"/>
                <w:sz w:val="26"/>
                <w:szCs w:val="26"/>
                <w:lang w:eastAsia="lv-LV"/>
              </w:rPr>
              <w:t>Cita informācija</w:t>
            </w:r>
          </w:p>
        </w:tc>
        <w:tc>
          <w:tcPr>
            <w:tcW w:w="2684" w:type="pct"/>
            <w:tcBorders>
              <w:top w:val="outset" w:sz="6" w:space="0" w:color="auto"/>
              <w:left w:val="outset" w:sz="6" w:space="0" w:color="auto"/>
              <w:bottom w:val="outset" w:sz="6" w:space="0" w:color="auto"/>
              <w:right w:val="outset" w:sz="6" w:space="0" w:color="auto"/>
            </w:tcBorders>
            <w:hideMark/>
          </w:tcPr>
          <w:p w:rsidR="00862D0F" w:rsidRPr="00B40AF0" w:rsidRDefault="006F223E" w:rsidP="00862D0F">
            <w:pPr>
              <w:spacing w:before="100" w:beforeAutospacing="1" w:after="100" w:afterAutospacing="1"/>
              <w:ind w:firstLine="0"/>
              <w:jc w:val="left"/>
              <w:rPr>
                <w:rFonts w:eastAsia="Times New Roman" w:cs="Times New Roman"/>
                <w:sz w:val="26"/>
                <w:szCs w:val="26"/>
                <w:lang w:eastAsia="lv-LV"/>
              </w:rPr>
            </w:pPr>
            <w:r w:rsidRPr="00B40AF0">
              <w:rPr>
                <w:rFonts w:eastAsia="Times New Roman" w:cs="Times New Roman"/>
                <w:sz w:val="26"/>
                <w:szCs w:val="26"/>
                <w:lang w:eastAsia="lv-LV"/>
              </w:rPr>
              <w:t>Nav.</w:t>
            </w:r>
          </w:p>
        </w:tc>
      </w:tr>
    </w:tbl>
    <w:p w:rsidR="00140597" w:rsidRPr="00B40AF0" w:rsidRDefault="00140597" w:rsidP="00140597">
      <w:pPr>
        <w:ind w:left="-284" w:firstLine="0"/>
        <w:rPr>
          <w:sz w:val="26"/>
          <w:szCs w:val="26"/>
        </w:rPr>
      </w:pPr>
    </w:p>
    <w:p w:rsidR="00372B9A" w:rsidRPr="00B40AF0" w:rsidRDefault="00372B9A" w:rsidP="00140597">
      <w:pPr>
        <w:ind w:left="-284" w:firstLine="0"/>
        <w:rPr>
          <w:sz w:val="26"/>
          <w:szCs w:val="26"/>
        </w:rPr>
      </w:pPr>
      <w:r w:rsidRPr="00B40AF0">
        <w:rPr>
          <w:sz w:val="26"/>
          <w:szCs w:val="26"/>
        </w:rPr>
        <w:t>Anotācijas II, III, IV, V, VI – projekts šīs jomas neskar.</w:t>
      </w:r>
    </w:p>
    <w:p w:rsidR="00372B9A" w:rsidRDefault="00372B9A" w:rsidP="00140597">
      <w:pPr>
        <w:ind w:left="-284" w:firstLine="0"/>
        <w:rPr>
          <w:sz w:val="26"/>
          <w:szCs w:val="26"/>
        </w:rPr>
      </w:pPr>
    </w:p>
    <w:p w:rsidR="00C8100F" w:rsidRPr="00B40AF0" w:rsidRDefault="00C8100F" w:rsidP="00140597">
      <w:pPr>
        <w:ind w:left="-284" w:firstLine="0"/>
        <w:rPr>
          <w:sz w:val="26"/>
          <w:szCs w:val="26"/>
        </w:rPr>
      </w:pPr>
    </w:p>
    <w:p w:rsidR="00140597" w:rsidRPr="00B40AF0" w:rsidRDefault="00140597" w:rsidP="00140597">
      <w:pPr>
        <w:ind w:left="-284" w:firstLine="0"/>
        <w:rPr>
          <w:sz w:val="26"/>
          <w:szCs w:val="26"/>
        </w:rPr>
      </w:pPr>
    </w:p>
    <w:p w:rsidR="00140597" w:rsidRPr="00B40AF0" w:rsidRDefault="00C8100F" w:rsidP="00140597">
      <w:pPr>
        <w:ind w:firstLine="0"/>
        <w:rPr>
          <w:sz w:val="26"/>
          <w:szCs w:val="26"/>
        </w:rPr>
      </w:pPr>
      <w:r>
        <w:rPr>
          <w:sz w:val="26"/>
          <w:szCs w:val="26"/>
        </w:rPr>
        <w:t>Iekšlietu ministrs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Rihards </w:t>
      </w:r>
      <w:r w:rsidR="00140597" w:rsidRPr="00B40AF0">
        <w:rPr>
          <w:sz w:val="26"/>
          <w:szCs w:val="26"/>
        </w:rPr>
        <w:t>Kozlovskis</w:t>
      </w:r>
    </w:p>
    <w:p w:rsidR="00140597" w:rsidRPr="00B40AF0" w:rsidRDefault="00140597" w:rsidP="00140597">
      <w:pPr>
        <w:ind w:firstLine="0"/>
        <w:rPr>
          <w:sz w:val="26"/>
          <w:szCs w:val="26"/>
        </w:rPr>
      </w:pPr>
    </w:p>
    <w:p w:rsidR="00140597" w:rsidRPr="00B40AF0" w:rsidRDefault="00140597" w:rsidP="00140597">
      <w:pPr>
        <w:ind w:firstLine="0"/>
        <w:rPr>
          <w:sz w:val="26"/>
          <w:szCs w:val="26"/>
        </w:rPr>
      </w:pPr>
    </w:p>
    <w:p w:rsidR="00140597" w:rsidRPr="00B40AF0" w:rsidRDefault="00C8100F" w:rsidP="00140597">
      <w:pPr>
        <w:ind w:firstLine="0"/>
        <w:rPr>
          <w:sz w:val="26"/>
          <w:szCs w:val="26"/>
        </w:rPr>
      </w:pPr>
      <w:r>
        <w:rPr>
          <w:sz w:val="26"/>
          <w:szCs w:val="26"/>
        </w:rPr>
        <w:t>Valsts sekretāre</w:t>
      </w:r>
      <w:r>
        <w:rPr>
          <w:sz w:val="26"/>
          <w:szCs w:val="26"/>
        </w:rPr>
        <w:tab/>
      </w:r>
      <w:r>
        <w:rPr>
          <w:sz w:val="26"/>
          <w:szCs w:val="26"/>
        </w:rPr>
        <w:tab/>
      </w:r>
      <w:r>
        <w:rPr>
          <w:sz w:val="26"/>
          <w:szCs w:val="26"/>
        </w:rPr>
        <w:tab/>
      </w:r>
      <w:r>
        <w:rPr>
          <w:sz w:val="26"/>
          <w:szCs w:val="26"/>
        </w:rPr>
        <w:tab/>
      </w:r>
      <w:r>
        <w:rPr>
          <w:sz w:val="26"/>
          <w:szCs w:val="26"/>
        </w:rPr>
        <w:tab/>
      </w:r>
      <w:r>
        <w:rPr>
          <w:sz w:val="26"/>
          <w:szCs w:val="26"/>
        </w:rPr>
        <w:tab/>
      </w:r>
      <w:proofErr w:type="gramStart"/>
      <w:r>
        <w:rPr>
          <w:sz w:val="26"/>
          <w:szCs w:val="26"/>
        </w:rPr>
        <w:t xml:space="preserve">  </w:t>
      </w:r>
      <w:proofErr w:type="gramEnd"/>
      <w:r>
        <w:rPr>
          <w:sz w:val="26"/>
          <w:szCs w:val="26"/>
        </w:rPr>
        <w:t xml:space="preserve">Ilze </w:t>
      </w:r>
      <w:r w:rsidR="00140597" w:rsidRPr="00B40AF0">
        <w:rPr>
          <w:sz w:val="26"/>
          <w:szCs w:val="26"/>
        </w:rPr>
        <w:t xml:space="preserve">Pētersone </w:t>
      </w:r>
      <w:r w:rsidR="00FE68D5" w:rsidRPr="00B40AF0">
        <w:rPr>
          <w:sz w:val="26"/>
          <w:szCs w:val="26"/>
        </w:rPr>
        <w:t>–</w:t>
      </w:r>
      <w:r w:rsidR="00140597" w:rsidRPr="00B40AF0">
        <w:rPr>
          <w:sz w:val="26"/>
          <w:szCs w:val="26"/>
        </w:rPr>
        <w:t xml:space="preserve"> Godmane</w:t>
      </w:r>
    </w:p>
    <w:p w:rsidR="00FE68D5" w:rsidRDefault="00FE68D5" w:rsidP="00140597">
      <w:pPr>
        <w:ind w:firstLine="0"/>
      </w:pPr>
    </w:p>
    <w:p w:rsidR="00B40AF0" w:rsidRDefault="00B40AF0" w:rsidP="00140597">
      <w:pPr>
        <w:ind w:firstLine="0"/>
      </w:pPr>
    </w:p>
    <w:p w:rsidR="00B40AF0" w:rsidRDefault="00B40AF0" w:rsidP="00140597">
      <w:pPr>
        <w:ind w:firstLine="0"/>
      </w:pPr>
    </w:p>
    <w:p w:rsidR="00C8100F" w:rsidRDefault="00C8100F" w:rsidP="00140597">
      <w:pPr>
        <w:ind w:firstLine="0"/>
      </w:pPr>
    </w:p>
    <w:p w:rsidR="00E46401" w:rsidRDefault="00E46401" w:rsidP="00140597">
      <w:pPr>
        <w:ind w:firstLine="0"/>
      </w:pPr>
    </w:p>
    <w:p w:rsidR="00EF563B" w:rsidRDefault="00EF563B" w:rsidP="00140597">
      <w:pPr>
        <w:ind w:firstLine="0"/>
      </w:pPr>
    </w:p>
    <w:p w:rsidR="00EF563B" w:rsidRDefault="00EF563B" w:rsidP="00140597">
      <w:pPr>
        <w:ind w:firstLine="0"/>
      </w:pPr>
    </w:p>
    <w:p w:rsidR="00EF563B" w:rsidRDefault="00EF563B" w:rsidP="00140597">
      <w:pPr>
        <w:ind w:firstLine="0"/>
      </w:pPr>
    </w:p>
    <w:p w:rsidR="00EF563B" w:rsidRDefault="00EF563B" w:rsidP="00140597">
      <w:pPr>
        <w:ind w:firstLine="0"/>
      </w:pPr>
    </w:p>
    <w:p w:rsidR="00EF563B" w:rsidRDefault="00EF563B" w:rsidP="00140597">
      <w:pPr>
        <w:ind w:firstLine="0"/>
      </w:pPr>
    </w:p>
    <w:p w:rsidR="00EF563B" w:rsidRDefault="00EF563B" w:rsidP="00140597">
      <w:pPr>
        <w:ind w:firstLine="0"/>
      </w:pPr>
    </w:p>
    <w:p w:rsidR="00EF563B" w:rsidRDefault="00EF563B" w:rsidP="00140597">
      <w:pPr>
        <w:ind w:firstLine="0"/>
      </w:pPr>
    </w:p>
    <w:p w:rsidR="00EF563B" w:rsidRDefault="00EF563B" w:rsidP="00140597">
      <w:pPr>
        <w:ind w:firstLine="0"/>
      </w:pPr>
    </w:p>
    <w:p w:rsidR="00C0337F" w:rsidRDefault="00C0337F" w:rsidP="00140597">
      <w:pPr>
        <w:ind w:firstLine="0"/>
      </w:pPr>
    </w:p>
    <w:p w:rsidR="00EF563B" w:rsidRDefault="00EF563B" w:rsidP="00140597">
      <w:pPr>
        <w:ind w:firstLine="0"/>
      </w:pPr>
    </w:p>
    <w:p w:rsidR="00B40AF0" w:rsidRDefault="00B40AF0" w:rsidP="00140597">
      <w:pPr>
        <w:ind w:firstLine="0"/>
      </w:pPr>
    </w:p>
    <w:p w:rsidR="00C8100F" w:rsidRDefault="00FE68D5" w:rsidP="00140597">
      <w:pPr>
        <w:ind w:firstLine="0"/>
        <w:rPr>
          <w:sz w:val="20"/>
          <w:szCs w:val="20"/>
        </w:rPr>
      </w:pPr>
      <w:proofErr w:type="spellStart"/>
      <w:r w:rsidRPr="00FE68D5">
        <w:rPr>
          <w:sz w:val="20"/>
          <w:szCs w:val="20"/>
        </w:rPr>
        <w:t>Dz.Rancāne</w:t>
      </w:r>
      <w:proofErr w:type="spellEnd"/>
      <w:r w:rsidR="00C8100F">
        <w:rPr>
          <w:sz w:val="20"/>
          <w:szCs w:val="20"/>
        </w:rPr>
        <w:t>, 67219419</w:t>
      </w:r>
    </w:p>
    <w:p w:rsidR="00FE68D5" w:rsidRDefault="00683BBE" w:rsidP="00140597">
      <w:pPr>
        <w:ind w:firstLine="0"/>
        <w:rPr>
          <w:sz w:val="20"/>
          <w:szCs w:val="20"/>
        </w:rPr>
      </w:pPr>
      <w:r>
        <w:rPr>
          <w:sz w:val="20"/>
          <w:szCs w:val="20"/>
        </w:rPr>
        <w:t>dzintra.</w:t>
      </w:r>
      <w:r w:rsidR="00963E11" w:rsidRPr="00963E11">
        <w:rPr>
          <w:sz w:val="20"/>
          <w:szCs w:val="20"/>
        </w:rPr>
        <w:t>rancane@iem.gov.lv</w:t>
      </w:r>
    </w:p>
    <w:sectPr w:rsidR="00FE68D5" w:rsidSect="0042492E">
      <w:headerReference w:type="default" r:id="rId8"/>
      <w:footerReference w:type="default" r:id="rId9"/>
      <w:footerReference w:type="first" r:id="rId10"/>
      <w:pgSz w:w="11906" w:h="16838"/>
      <w:pgMar w:top="1276"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E1B" w:rsidRDefault="00157E1B" w:rsidP="00F3628F">
      <w:r>
        <w:separator/>
      </w:r>
    </w:p>
  </w:endnote>
  <w:endnote w:type="continuationSeparator" w:id="0">
    <w:p w:rsidR="00157E1B" w:rsidRDefault="00157E1B" w:rsidP="00F3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E54" w:rsidRPr="00C64146" w:rsidRDefault="00E32C68" w:rsidP="00C64146">
    <w:pPr>
      <w:pStyle w:val="Footer"/>
      <w:ind w:firstLine="0"/>
      <w:rPr>
        <w:sz w:val="20"/>
        <w:szCs w:val="20"/>
      </w:rPr>
    </w:pPr>
    <w:r>
      <w:rPr>
        <w:sz w:val="20"/>
        <w:szCs w:val="20"/>
      </w:rPr>
      <w:t>IEMAnot_2804</w:t>
    </w:r>
    <w:r w:rsidR="00F86428">
      <w:rPr>
        <w:sz w:val="20"/>
        <w:szCs w:val="20"/>
      </w:rPr>
      <w:t>17</w:t>
    </w:r>
  </w:p>
  <w:p w:rsidR="000E5184" w:rsidRPr="002E4A57" w:rsidRDefault="000E5184" w:rsidP="002E4A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146" w:rsidRPr="00C64146" w:rsidRDefault="00AF6149" w:rsidP="00C64146">
    <w:pPr>
      <w:pStyle w:val="Footer"/>
      <w:ind w:firstLine="0"/>
      <w:rPr>
        <w:sz w:val="20"/>
        <w:szCs w:val="20"/>
      </w:rPr>
    </w:pPr>
    <w:r>
      <w:rPr>
        <w:sz w:val="20"/>
        <w:szCs w:val="20"/>
      </w:rPr>
      <w:t>IEMAnot_</w:t>
    </w:r>
    <w:r w:rsidR="00E32C68">
      <w:rPr>
        <w:sz w:val="20"/>
        <w:szCs w:val="20"/>
      </w:rPr>
      <w:t>2804</w:t>
    </w:r>
    <w:r w:rsidR="00F86428">
      <w:rPr>
        <w:sz w:val="20"/>
        <w:szCs w:val="20"/>
      </w:rPr>
      <w:t>17</w:t>
    </w:r>
  </w:p>
  <w:p w:rsidR="0027319E" w:rsidRDefault="005B1FF1" w:rsidP="005B1FF1">
    <w:pPr>
      <w:tabs>
        <w:tab w:val="left" w:pos="24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E1B" w:rsidRDefault="00157E1B" w:rsidP="00F3628F">
      <w:r>
        <w:separator/>
      </w:r>
    </w:p>
  </w:footnote>
  <w:footnote w:type="continuationSeparator" w:id="0">
    <w:p w:rsidR="00157E1B" w:rsidRDefault="00157E1B" w:rsidP="00F36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895249"/>
      <w:docPartObj>
        <w:docPartGallery w:val="Page Numbers (Top of Page)"/>
        <w:docPartUnique/>
      </w:docPartObj>
    </w:sdtPr>
    <w:sdtEndPr>
      <w:rPr>
        <w:noProof/>
        <w:sz w:val="24"/>
        <w:szCs w:val="24"/>
      </w:rPr>
    </w:sdtEndPr>
    <w:sdtContent>
      <w:p w:rsidR="00F04140" w:rsidRPr="00925C8F" w:rsidRDefault="00F04140">
        <w:pPr>
          <w:pStyle w:val="Header"/>
          <w:jc w:val="center"/>
          <w:rPr>
            <w:sz w:val="24"/>
            <w:szCs w:val="24"/>
          </w:rPr>
        </w:pPr>
        <w:r w:rsidRPr="00925C8F">
          <w:rPr>
            <w:sz w:val="24"/>
            <w:szCs w:val="24"/>
          </w:rPr>
          <w:fldChar w:fldCharType="begin"/>
        </w:r>
        <w:r w:rsidRPr="00925C8F">
          <w:rPr>
            <w:sz w:val="24"/>
            <w:szCs w:val="24"/>
          </w:rPr>
          <w:instrText xml:space="preserve"> PAGE   \* MERGEFORMAT </w:instrText>
        </w:r>
        <w:r w:rsidRPr="00925C8F">
          <w:rPr>
            <w:sz w:val="24"/>
            <w:szCs w:val="24"/>
          </w:rPr>
          <w:fldChar w:fldCharType="separate"/>
        </w:r>
        <w:r w:rsidR="00E32C68">
          <w:rPr>
            <w:noProof/>
            <w:sz w:val="24"/>
            <w:szCs w:val="24"/>
          </w:rPr>
          <w:t>2</w:t>
        </w:r>
        <w:r w:rsidRPr="00925C8F">
          <w:rPr>
            <w:noProof/>
            <w:sz w:val="24"/>
            <w:szCs w:val="24"/>
          </w:rPr>
          <w:fldChar w:fldCharType="end"/>
        </w:r>
      </w:p>
    </w:sdtContent>
  </w:sdt>
  <w:p w:rsidR="00B605EA" w:rsidRDefault="00B60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C20B5"/>
    <w:multiLevelType w:val="hybridMultilevel"/>
    <w:tmpl w:val="EF506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E459FF"/>
    <w:multiLevelType w:val="hybridMultilevel"/>
    <w:tmpl w:val="8C66A74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AC5D0B"/>
    <w:multiLevelType w:val="hybridMultilevel"/>
    <w:tmpl w:val="F5D8F722"/>
    <w:lvl w:ilvl="0" w:tplc="458806FA">
      <w:start w:val="2014"/>
      <w:numFmt w:val="bullet"/>
      <w:lvlText w:val="-"/>
      <w:lvlJc w:val="left"/>
      <w:pPr>
        <w:ind w:left="502"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15:restartNumberingAfterBreak="0">
    <w:nsid w:val="3A2C5AA4"/>
    <w:multiLevelType w:val="hybridMultilevel"/>
    <w:tmpl w:val="EF506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9713258"/>
    <w:multiLevelType w:val="hybridMultilevel"/>
    <w:tmpl w:val="8C2AD1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0D3663"/>
    <w:multiLevelType w:val="hybridMultilevel"/>
    <w:tmpl w:val="89CCBAB0"/>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7A1D6E08"/>
    <w:multiLevelType w:val="hybridMultilevel"/>
    <w:tmpl w:val="FAA0778A"/>
    <w:lvl w:ilvl="0" w:tplc="E4AE95D8">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AA43FC3"/>
    <w:multiLevelType w:val="hybridMultilevel"/>
    <w:tmpl w:val="CA84BF3A"/>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0F"/>
    <w:rsid w:val="00001823"/>
    <w:rsid w:val="00003E54"/>
    <w:rsid w:val="00014974"/>
    <w:rsid w:val="00020EC5"/>
    <w:rsid w:val="0004061E"/>
    <w:rsid w:val="000446D7"/>
    <w:rsid w:val="00044E4C"/>
    <w:rsid w:val="00065E56"/>
    <w:rsid w:val="000662E7"/>
    <w:rsid w:val="00067791"/>
    <w:rsid w:val="0007566F"/>
    <w:rsid w:val="00083D16"/>
    <w:rsid w:val="0008799E"/>
    <w:rsid w:val="00095E60"/>
    <w:rsid w:val="000A70F8"/>
    <w:rsid w:val="000C4566"/>
    <w:rsid w:val="000D28E0"/>
    <w:rsid w:val="000D513D"/>
    <w:rsid w:val="000E5184"/>
    <w:rsid w:val="000E5608"/>
    <w:rsid w:val="000E7ED0"/>
    <w:rsid w:val="0013070F"/>
    <w:rsid w:val="001347D1"/>
    <w:rsid w:val="0013550B"/>
    <w:rsid w:val="0013569A"/>
    <w:rsid w:val="00140597"/>
    <w:rsid w:val="00141133"/>
    <w:rsid w:val="0014431E"/>
    <w:rsid w:val="00151C8F"/>
    <w:rsid w:val="00157E1B"/>
    <w:rsid w:val="00161FC1"/>
    <w:rsid w:val="00171E4F"/>
    <w:rsid w:val="00183AE1"/>
    <w:rsid w:val="001865B0"/>
    <w:rsid w:val="001963E5"/>
    <w:rsid w:val="001A0BAB"/>
    <w:rsid w:val="001A4487"/>
    <w:rsid w:val="001B71B1"/>
    <w:rsid w:val="001C56BA"/>
    <w:rsid w:val="001D510D"/>
    <w:rsid w:val="001D5646"/>
    <w:rsid w:val="001D681A"/>
    <w:rsid w:val="001E4331"/>
    <w:rsid w:val="00205CD5"/>
    <w:rsid w:val="0021213F"/>
    <w:rsid w:val="00221A97"/>
    <w:rsid w:val="00222A64"/>
    <w:rsid w:val="00226D12"/>
    <w:rsid w:val="00227ED8"/>
    <w:rsid w:val="00230A3D"/>
    <w:rsid w:val="00243873"/>
    <w:rsid w:val="002572D4"/>
    <w:rsid w:val="0025773E"/>
    <w:rsid w:val="0027319E"/>
    <w:rsid w:val="00273862"/>
    <w:rsid w:val="0027455A"/>
    <w:rsid w:val="0027656E"/>
    <w:rsid w:val="002836E1"/>
    <w:rsid w:val="00295EA0"/>
    <w:rsid w:val="00296449"/>
    <w:rsid w:val="002A3D3A"/>
    <w:rsid w:val="002A564A"/>
    <w:rsid w:val="002B4616"/>
    <w:rsid w:val="002B51B0"/>
    <w:rsid w:val="002C01C2"/>
    <w:rsid w:val="002C20B4"/>
    <w:rsid w:val="002C307E"/>
    <w:rsid w:val="002D2B36"/>
    <w:rsid w:val="002D7A33"/>
    <w:rsid w:val="002E13FB"/>
    <w:rsid w:val="002E4A57"/>
    <w:rsid w:val="003102AA"/>
    <w:rsid w:val="003149E9"/>
    <w:rsid w:val="00316759"/>
    <w:rsid w:val="003235AA"/>
    <w:rsid w:val="00332417"/>
    <w:rsid w:val="00333668"/>
    <w:rsid w:val="003417A9"/>
    <w:rsid w:val="00345C48"/>
    <w:rsid w:val="0036053F"/>
    <w:rsid w:val="0036204A"/>
    <w:rsid w:val="00372B9A"/>
    <w:rsid w:val="00381DB1"/>
    <w:rsid w:val="003C5128"/>
    <w:rsid w:val="003C530F"/>
    <w:rsid w:val="003D131C"/>
    <w:rsid w:val="003D6EA8"/>
    <w:rsid w:val="003E7735"/>
    <w:rsid w:val="003F4162"/>
    <w:rsid w:val="004118C9"/>
    <w:rsid w:val="00420A06"/>
    <w:rsid w:val="0042492E"/>
    <w:rsid w:val="004261EB"/>
    <w:rsid w:val="004378AB"/>
    <w:rsid w:val="0044584E"/>
    <w:rsid w:val="004625F8"/>
    <w:rsid w:val="004701FD"/>
    <w:rsid w:val="004734AF"/>
    <w:rsid w:val="00476B02"/>
    <w:rsid w:val="00476E9D"/>
    <w:rsid w:val="00490159"/>
    <w:rsid w:val="004B313C"/>
    <w:rsid w:val="004B7C63"/>
    <w:rsid w:val="004C3604"/>
    <w:rsid w:val="004D2053"/>
    <w:rsid w:val="004F55B2"/>
    <w:rsid w:val="004F62C2"/>
    <w:rsid w:val="00506EE0"/>
    <w:rsid w:val="00507BA0"/>
    <w:rsid w:val="00512301"/>
    <w:rsid w:val="005401E9"/>
    <w:rsid w:val="00541B5D"/>
    <w:rsid w:val="005575B9"/>
    <w:rsid w:val="00571B50"/>
    <w:rsid w:val="00576891"/>
    <w:rsid w:val="00580DDF"/>
    <w:rsid w:val="00583CFA"/>
    <w:rsid w:val="005855AB"/>
    <w:rsid w:val="00587B5D"/>
    <w:rsid w:val="005937BE"/>
    <w:rsid w:val="005A2741"/>
    <w:rsid w:val="005B1FF1"/>
    <w:rsid w:val="005C45CA"/>
    <w:rsid w:val="005E36D1"/>
    <w:rsid w:val="006020DB"/>
    <w:rsid w:val="006163F3"/>
    <w:rsid w:val="00616CC7"/>
    <w:rsid w:val="00617E10"/>
    <w:rsid w:val="00623A32"/>
    <w:rsid w:val="006462A7"/>
    <w:rsid w:val="006569DF"/>
    <w:rsid w:val="00683BBE"/>
    <w:rsid w:val="00687DEE"/>
    <w:rsid w:val="006A5191"/>
    <w:rsid w:val="006B01BA"/>
    <w:rsid w:val="006C7180"/>
    <w:rsid w:val="006C76BC"/>
    <w:rsid w:val="006D04EB"/>
    <w:rsid w:val="006D6A94"/>
    <w:rsid w:val="006F223E"/>
    <w:rsid w:val="006F4A65"/>
    <w:rsid w:val="00707F33"/>
    <w:rsid w:val="00714D96"/>
    <w:rsid w:val="00715FE0"/>
    <w:rsid w:val="0073700E"/>
    <w:rsid w:val="007536A2"/>
    <w:rsid w:val="007747B8"/>
    <w:rsid w:val="00791DB5"/>
    <w:rsid w:val="007E0AEF"/>
    <w:rsid w:val="007E486A"/>
    <w:rsid w:val="007F160F"/>
    <w:rsid w:val="007F3BE1"/>
    <w:rsid w:val="007F50AD"/>
    <w:rsid w:val="007F5ACC"/>
    <w:rsid w:val="00800BE8"/>
    <w:rsid w:val="008230AB"/>
    <w:rsid w:val="0084143A"/>
    <w:rsid w:val="00850A1C"/>
    <w:rsid w:val="00862D0F"/>
    <w:rsid w:val="008773AE"/>
    <w:rsid w:val="0088221C"/>
    <w:rsid w:val="00887DF1"/>
    <w:rsid w:val="008925DF"/>
    <w:rsid w:val="0089767B"/>
    <w:rsid w:val="008A295E"/>
    <w:rsid w:val="008A7E54"/>
    <w:rsid w:val="008C16EE"/>
    <w:rsid w:val="008D5E43"/>
    <w:rsid w:val="008D71A1"/>
    <w:rsid w:val="008E2044"/>
    <w:rsid w:val="008E398C"/>
    <w:rsid w:val="00902BE1"/>
    <w:rsid w:val="00907B1F"/>
    <w:rsid w:val="00915D58"/>
    <w:rsid w:val="00925C8F"/>
    <w:rsid w:val="009310A1"/>
    <w:rsid w:val="009354B8"/>
    <w:rsid w:val="009566B4"/>
    <w:rsid w:val="00961452"/>
    <w:rsid w:val="009629B8"/>
    <w:rsid w:val="00963E11"/>
    <w:rsid w:val="00977A7F"/>
    <w:rsid w:val="009935E7"/>
    <w:rsid w:val="009A0E3A"/>
    <w:rsid w:val="009B16CB"/>
    <w:rsid w:val="009B2E47"/>
    <w:rsid w:val="009B479F"/>
    <w:rsid w:val="009B4C04"/>
    <w:rsid w:val="009C1D16"/>
    <w:rsid w:val="009C5B54"/>
    <w:rsid w:val="009D6FFF"/>
    <w:rsid w:val="009F78BC"/>
    <w:rsid w:val="00A0497D"/>
    <w:rsid w:val="00A069A6"/>
    <w:rsid w:val="00A24594"/>
    <w:rsid w:val="00A26085"/>
    <w:rsid w:val="00A749F1"/>
    <w:rsid w:val="00A900F4"/>
    <w:rsid w:val="00A9559E"/>
    <w:rsid w:val="00A974F2"/>
    <w:rsid w:val="00AB6F4E"/>
    <w:rsid w:val="00AD3501"/>
    <w:rsid w:val="00AF1141"/>
    <w:rsid w:val="00AF1735"/>
    <w:rsid w:val="00AF2B4C"/>
    <w:rsid w:val="00AF4B51"/>
    <w:rsid w:val="00AF6149"/>
    <w:rsid w:val="00AF7FCC"/>
    <w:rsid w:val="00B00591"/>
    <w:rsid w:val="00B16423"/>
    <w:rsid w:val="00B21D01"/>
    <w:rsid w:val="00B30091"/>
    <w:rsid w:val="00B40AF0"/>
    <w:rsid w:val="00B605EA"/>
    <w:rsid w:val="00B725BF"/>
    <w:rsid w:val="00B75620"/>
    <w:rsid w:val="00B9164F"/>
    <w:rsid w:val="00B91689"/>
    <w:rsid w:val="00BA12E7"/>
    <w:rsid w:val="00BA5524"/>
    <w:rsid w:val="00BA74DB"/>
    <w:rsid w:val="00BC485F"/>
    <w:rsid w:val="00BC73EC"/>
    <w:rsid w:val="00BD5607"/>
    <w:rsid w:val="00BE147B"/>
    <w:rsid w:val="00BE22DB"/>
    <w:rsid w:val="00BE5F28"/>
    <w:rsid w:val="00BE6D54"/>
    <w:rsid w:val="00BF4C08"/>
    <w:rsid w:val="00C00BF4"/>
    <w:rsid w:val="00C0337F"/>
    <w:rsid w:val="00C139B6"/>
    <w:rsid w:val="00C14993"/>
    <w:rsid w:val="00C16655"/>
    <w:rsid w:val="00C20BB3"/>
    <w:rsid w:val="00C22A7A"/>
    <w:rsid w:val="00C46783"/>
    <w:rsid w:val="00C52932"/>
    <w:rsid w:val="00C6177A"/>
    <w:rsid w:val="00C64146"/>
    <w:rsid w:val="00C75CD7"/>
    <w:rsid w:val="00C8100F"/>
    <w:rsid w:val="00CA2C35"/>
    <w:rsid w:val="00CB0FEC"/>
    <w:rsid w:val="00CC131A"/>
    <w:rsid w:val="00CD5434"/>
    <w:rsid w:val="00CE29C6"/>
    <w:rsid w:val="00CE60DB"/>
    <w:rsid w:val="00CF1022"/>
    <w:rsid w:val="00D03670"/>
    <w:rsid w:val="00D0737C"/>
    <w:rsid w:val="00D10525"/>
    <w:rsid w:val="00D12AF7"/>
    <w:rsid w:val="00D22081"/>
    <w:rsid w:val="00D37BC1"/>
    <w:rsid w:val="00D40C1D"/>
    <w:rsid w:val="00D4453F"/>
    <w:rsid w:val="00D605D9"/>
    <w:rsid w:val="00D63A07"/>
    <w:rsid w:val="00D847A7"/>
    <w:rsid w:val="00D87E7A"/>
    <w:rsid w:val="00D910B0"/>
    <w:rsid w:val="00DA192D"/>
    <w:rsid w:val="00DB0ED8"/>
    <w:rsid w:val="00DB1169"/>
    <w:rsid w:val="00DC27BA"/>
    <w:rsid w:val="00DD22B3"/>
    <w:rsid w:val="00DD7078"/>
    <w:rsid w:val="00DE0A42"/>
    <w:rsid w:val="00DF157D"/>
    <w:rsid w:val="00DF183D"/>
    <w:rsid w:val="00DF1871"/>
    <w:rsid w:val="00E00A8B"/>
    <w:rsid w:val="00E21D7E"/>
    <w:rsid w:val="00E3289B"/>
    <w:rsid w:val="00E32C68"/>
    <w:rsid w:val="00E42023"/>
    <w:rsid w:val="00E46401"/>
    <w:rsid w:val="00E84650"/>
    <w:rsid w:val="00E93F6A"/>
    <w:rsid w:val="00EA0FC6"/>
    <w:rsid w:val="00EA1991"/>
    <w:rsid w:val="00EB0963"/>
    <w:rsid w:val="00EB5959"/>
    <w:rsid w:val="00EB79FB"/>
    <w:rsid w:val="00EC1DC1"/>
    <w:rsid w:val="00EE3727"/>
    <w:rsid w:val="00EF35E7"/>
    <w:rsid w:val="00EF52DE"/>
    <w:rsid w:val="00EF563B"/>
    <w:rsid w:val="00F0237B"/>
    <w:rsid w:val="00F04140"/>
    <w:rsid w:val="00F26636"/>
    <w:rsid w:val="00F34631"/>
    <w:rsid w:val="00F3474A"/>
    <w:rsid w:val="00F3628F"/>
    <w:rsid w:val="00F37DCD"/>
    <w:rsid w:val="00F44580"/>
    <w:rsid w:val="00F47315"/>
    <w:rsid w:val="00F66AD9"/>
    <w:rsid w:val="00F705E3"/>
    <w:rsid w:val="00F71F05"/>
    <w:rsid w:val="00F727C3"/>
    <w:rsid w:val="00F75CFF"/>
    <w:rsid w:val="00F81D8F"/>
    <w:rsid w:val="00F8250F"/>
    <w:rsid w:val="00F83BDB"/>
    <w:rsid w:val="00F86428"/>
    <w:rsid w:val="00F953D7"/>
    <w:rsid w:val="00FB32FB"/>
    <w:rsid w:val="00FC6016"/>
    <w:rsid w:val="00FD45F9"/>
    <w:rsid w:val="00FD61B9"/>
    <w:rsid w:val="00FE307B"/>
    <w:rsid w:val="00FE68D5"/>
    <w:rsid w:val="00FF0E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1C0613-3455-49CC-973A-B098F324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char"/>
    <w:rsid w:val="001D510D"/>
    <w:rPr>
      <w:rFonts w:ascii="Times New Roman" w:hAnsi="Times New Roman" w:cs="Times New Roman"/>
    </w:rPr>
  </w:style>
  <w:style w:type="paragraph" w:styleId="FootnoteText">
    <w:name w:val="footnote text"/>
    <w:basedOn w:val="Normal"/>
    <w:link w:val="FootnoteTextChar"/>
    <w:rsid w:val="00F3628F"/>
    <w:pPr>
      <w:ind w:firstLine="0"/>
      <w:jc w:val="left"/>
    </w:pPr>
    <w:rPr>
      <w:rFonts w:eastAsia="Times New Roman" w:cs="Times New Roman"/>
      <w:sz w:val="20"/>
      <w:szCs w:val="20"/>
      <w:lang w:eastAsia="lv-LV"/>
    </w:rPr>
  </w:style>
  <w:style w:type="character" w:customStyle="1" w:styleId="FootnoteTextChar">
    <w:name w:val="Footnote Text Char"/>
    <w:basedOn w:val="DefaultParagraphFont"/>
    <w:link w:val="FootnoteText"/>
    <w:rsid w:val="00F3628F"/>
    <w:rPr>
      <w:rFonts w:eastAsia="Times New Roman" w:cs="Times New Roman"/>
      <w:sz w:val="20"/>
      <w:szCs w:val="20"/>
      <w:lang w:eastAsia="lv-LV"/>
    </w:rPr>
  </w:style>
  <w:style w:type="character" w:styleId="FootnoteReference">
    <w:name w:val="footnote reference"/>
    <w:aliases w:val="Footnote Reference Number"/>
    <w:rsid w:val="00F3628F"/>
    <w:rPr>
      <w:vertAlign w:val="superscript"/>
    </w:rPr>
  </w:style>
  <w:style w:type="paragraph" w:customStyle="1" w:styleId="naisf">
    <w:name w:val="naisf"/>
    <w:basedOn w:val="Normal"/>
    <w:rsid w:val="00F3628F"/>
    <w:pPr>
      <w:spacing w:before="75" w:after="75"/>
      <w:ind w:firstLine="375"/>
    </w:pPr>
    <w:rPr>
      <w:rFonts w:eastAsia="Calibri" w:cs="Times New Roman"/>
      <w:sz w:val="24"/>
      <w:szCs w:val="24"/>
      <w:lang w:eastAsia="lv-LV"/>
    </w:rPr>
  </w:style>
  <w:style w:type="paragraph" w:styleId="ListParagraph">
    <w:name w:val="List Paragraph"/>
    <w:basedOn w:val="Normal"/>
    <w:uiPriority w:val="34"/>
    <w:qFormat/>
    <w:rsid w:val="00623A32"/>
    <w:pPr>
      <w:ind w:left="720"/>
      <w:contextualSpacing/>
    </w:pPr>
  </w:style>
  <w:style w:type="paragraph" w:customStyle="1" w:styleId="naisnod">
    <w:name w:val="naisnod"/>
    <w:basedOn w:val="Normal"/>
    <w:rsid w:val="003D6EA8"/>
    <w:pPr>
      <w:spacing w:before="100" w:beforeAutospacing="1" w:after="100" w:afterAutospacing="1"/>
      <w:ind w:firstLine="0"/>
      <w:jc w:val="left"/>
    </w:pPr>
    <w:rPr>
      <w:rFonts w:eastAsia="Times New Roman" w:cs="Times New Roman"/>
      <w:sz w:val="24"/>
      <w:szCs w:val="24"/>
      <w:lang w:eastAsia="lv-LV"/>
    </w:rPr>
  </w:style>
  <w:style w:type="paragraph" w:customStyle="1" w:styleId="naiskr">
    <w:name w:val="naiskr"/>
    <w:basedOn w:val="Normal"/>
    <w:rsid w:val="003D6EA8"/>
    <w:pPr>
      <w:spacing w:before="100" w:beforeAutospacing="1" w:after="100" w:afterAutospacing="1"/>
      <w:ind w:firstLine="0"/>
      <w:jc w:val="left"/>
    </w:pPr>
    <w:rPr>
      <w:rFonts w:eastAsia="Times New Roman" w:cs="Times New Roman"/>
      <w:sz w:val="24"/>
      <w:szCs w:val="24"/>
      <w:lang w:eastAsia="lv-LV"/>
    </w:rPr>
  </w:style>
  <w:style w:type="paragraph" w:styleId="NormalWeb">
    <w:name w:val="Normal (Web)"/>
    <w:basedOn w:val="Normal"/>
    <w:uiPriority w:val="99"/>
    <w:rsid w:val="003D6EA8"/>
    <w:pPr>
      <w:spacing w:before="100" w:beforeAutospacing="1" w:after="100" w:afterAutospacing="1"/>
      <w:ind w:firstLine="0"/>
      <w:jc w:val="left"/>
    </w:pPr>
    <w:rPr>
      <w:rFonts w:eastAsia="Times New Roman" w:cs="Times New Roman"/>
      <w:sz w:val="24"/>
      <w:szCs w:val="24"/>
      <w:lang w:eastAsia="lv-LV"/>
    </w:rPr>
  </w:style>
  <w:style w:type="paragraph" w:styleId="Header">
    <w:name w:val="header"/>
    <w:basedOn w:val="Normal"/>
    <w:link w:val="HeaderChar"/>
    <w:uiPriority w:val="99"/>
    <w:unhideWhenUsed/>
    <w:rsid w:val="00B605EA"/>
    <w:pPr>
      <w:tabs>
        <w:tab w:val="center" w:pos="4153"/>
        <w:tab w:val="right" w:pos="8306"/>
      </w:tabs>
    </w:pPr>
  </w:style>
  <w:style w:type="character" w:customStyle="1" w:styleId="HeaderChar">
    <w:name w:val="Header Char"/>
    <w:basedOn w:val="DefaultParagraphFont"/>
    <w:link w:val="Header"/>
    <w:uiPriority w:val="99"/>
    <w:rsid w:val="00B605EA"/>
  </w:style>
  <w:style w:type="paragraph" w:styleId="Footer">
    <w:name w:val="footer"/>
    <w:basedOn w:val="Normal"/>
    <w:link w:val="FooterChar"/>
    <w:uiPriority w:val="99"/>
    <w:unhideWhenUsed/>
    <w:rsid w:val="00B605EA"/>
    <w:pPr>
      <w:tabs>
        <w:tab w:val="center" w:pos="4153"/>
        <w:tab w:val="right" w:pos="8306"/>
      </w:tabs>
    </w:pPr>
  </w:style>
  <w:style w:type="character" w:customStyle="1" w:styleId="FooterChar">
    <w:name w:val="Footer Char"/>
    <w:basedOn w:val="DefaultParagraphFont"/>
    <w:link w:val="Footer"/>
    <w:uiPriority w:val="99"/>
    <w:rsid w:val="00B605EA"/>
  </w:style>
  <w:style w:type="paragraph" w:styleId="BalloonText">
    <w:name w:val="Balloon Text"/>
    <w:basedOn w:val="Normal"/>
    <w:link w:val="BalloonTextChar"/>
    <w:uiPriority w:val="99"/>
    <w:semiHidden/>
    <w:unhideWhenUsed/>
    <w:rsid w:val="00887DF1"/>
    <w:rPr>
      <w:rFonts w:ascii="Arial" w:hAnsi="Arial" w:cs="Arial"/>
      <w:sz w:val="18"/>
      <w:szCs w:val="18"/>
    </w:rPr>
  </w:style>
  <w:style w:type="character" w:customStyle="1" w:styleId="BalloonTextChar">
    <w:name w:val="Balloon Text Char"/>
    <w:basedOn w:val="DefaultParagraphFont"/>
    <w:link w:val="BalloonText"/>
    <w:uiPriority w:val="99"/>
    <w:semiHidden/>
    <w:rsid w:val="00887DF1"/>
    <w:rPr>
      <w:rFonts w:ascii="Arial" w:hAnsi="Arial" w:cs="Arial"/>
      <w:sz w:val="18"/>
      <w:szCs w:val="18"/>
    </w:rPr>
  </w:style>
  <w:style w:type="character" w:styleId="Hyperlink">
    <w:name w:val="Hyperlink"/>
    <w:basedOn w:val="DefaultParagraphFont"/>
    <w:uiPriority w:val="99"/>
    <w:unhideWhenUsed/>
    <w:rsid w:val="00963E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111250">
      <w:bodyDiv w:val="1"/>
      <w:marLeft w:val="0"/>
      <w:marRight w:val="0"/>
      <w:marTop w:val="0"/>
      <w:marBottom w:val="0"/>
      <w:divBdr>
        <w:top w:val="none" w:sz="0" w:space="0" w:color="auto"/>
        <w:left w:val="none" w:sz="0" w:space="0" w:color="auto"/>
        <w:bottom w:val="none" w:sz="0" w:space="0" w:color="auto"/>
        <w:right w:val="none" w:sz="0" w:space="0" w:color="auto"/>
      </w:divBdr>
    </w:div>
    <w:div w:id="206513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C5FDD-F5DD-4E73-9454-5FF1ABBFD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Pages>
  <Words>1863</Words>
  <Characters>1063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Grozījums Ministru kabineta 2015.gada 20.februāra noteikumos "Licenču un sertidikāta reģistra noteikumi"</vt:lpstr>
    </vt:vector>
  </TitlesOfParts>
  <Company>Iekšlietu ministrija</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2015.gada 20.februāra noteikumos "Licenču un sertidikāta reģistra noteikumi"</dc:title>
  <dc:subject>Anotācija</dc:subject>
  <dc:creator>Dzintra Rancāne</dc:creator>
  <cp:keywords/>
  <dc:description>dzintra.rancane@iem.gov.lv, 67219419</dc:description>
  <cp:lastModifiedBy>Dzintra Rancāne</cp:lastModifiedBy>
  <cp:revision>113</cp:revision>
  <cp:lastPrinted>2014-03-21T08:34:00Z</cp:lastPrinted>
  <dcterms:created xsi:type="dcterms:W3CDTF">2014-05-14T07:18:00Z</dcterms:created>
  <dcterms:modified xsi:type="dcterms:W3CDTF">2017-04-28T07:40:00Z</dcterms:modified>
</cp:coreProperties>
</file>