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0C94" w14:textId="77777777" w:rsidR="004D6E8D" w:rsidRPr="00E87FFA" w:rsidRDefault="004D6E8D" w:rsidP="002925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  <w:bookmarkStart w:id="0" w:name="OLE_LINK1"/>
      <w:bookmarkStart w:id="1" w:name="OLE_LINK2"/>
      <w:r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Ministru kabineta rīkojuma projekta</w:t>
      </w:r>
    </w:p>
    <w:p w14:paraId="47FF7C71" w14:textId="4BFC4639" w:rsidR="004D6E8D" w:rsidRPr="00E87FFA" w:rsidRDefault="004D6E8D" w:rsidP="004432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  <w:r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„Par </w:t>
      </w:r>
      <w:r w:rsidR="00AD238A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ilgtermiņa saistībām </w:t>
      </w:r>
      <w:r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Iekšlietu ministrija</w:t>
      </w:r>
      <w:r w:rsidR="00AD238A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i</w:t>
      </w:r>
      <w:r w:rsidR="00241675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dalīb</w:t>
      </w:r>
      <w:r w:rsidR="00AD238A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ai</w:t>
      </w:r>
      <w:r w:rsidR="00241675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starptautiskajās institūcijās –Autotransporta tiesībaizsardzības organizāciju konfederācijā (</w:t>
      </w:r>
      <w:r w:rsidRPr="00E87FFA">
        <w:rPr>
          <w:rFonts w:ascii="Times New Roman" w:hAnsi="Times New Roman"/>
          <w:b/>
          <w:i/>
          <w:color w:val="000000"/>
          <w:sz w:val="28"/>
          <w:szCs w:val="28"/>
          <w:lang w:eastAsia="lv-LV"/>
        </w:rPr>
        <w:t>CORTE</w:t>
      </w:r>
      <w:r w:rsidR="00241675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)</w:t>
      </w:r>
      <w:r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E72F80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un</w:t>
      </w:r>
      <w:r w:rsidR="00241675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Eiropas ceļu policijas tīklā (</w:t>
      </w:r>
      <w:r w:rsidR="00E72F80" w:rsidRPr="00E87FFA">
        <w:rPr>
          <w:rFonts w:ascii="Times New Roman" w:hAnsi="Times New Roman"/>
          <w:b/>
          <w:i/>
          <w:color w:val="000000"/>
          <w:sz w:val="28"/>
          <w:szCs w:val="28"/>
          <w:lang w:eastAsia="lv-LV"/>
        </w:rPr>
        <w:t>TISPOL</w:t>
      </w:r>
      <w:r w:rsidR="00241675"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)“ </w:t>
      </w:r>
      <w:r w:rsidRPr="00E87FFA">
        <w:rPr>
          <w:rFonts w:ascii="Times New Roman" w:hAnsi="Times New Roman"/>
          <w:b/>
          <w:color w:val="000000"/>
          <w:sz w:val="28"/>
          <w:szCs w:val="28"/>
          <w:lang w:eastAsia="lv-LV"/>
        </w:rPr>
        <w:t>sākotnējās ietekmes novērtējuma ziņojums (anotācija)</w:t>
      </w:r>
      <w:bookmarkEnd w:id="0"/>
      <w:bookmarkEnd w:id="1"/>
    </w:p>
    <w:p w14:paraId="2F55E8BF" w14:textId="77777777" w:rsidR="0098497B" w:rsidRPr="00E87FFA" w:rsidRDefault="0098497B" w:rsidP="004432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4"/>
        <w:gridCol w:w="1031"/>
        <w:gridCol w:w="1098"/>
        <w:gridCol w:w="200"/>
        <w:gridCol w:w="1310"/>
        <w:gridCol w:w="1521"/>
        <w:gridCol w:w="1683"/>
        <w:gridCol w:w="1887"/>
      </w:tblGrid>
      <w:tr w:rsidR="004D6E8D" w:rsidRPr="00E87FFA" w14:paraId="4F64A4EA" w14:textId="77777777" w:rsidTr="00E31F1A">
        <w:trPr>
          <w:trHeight w:val="405"/>
          <w:tblCellSpacing w:w="15" w:type="dxa"/>
        </w:trPr>
        <w:tc>
          <w:tcPr>
            <w:tcW w:w="4968" w:type="pct"/>
            <w:gridSpan w:val="8"/>
            <w:vAlign w:val="center"/>
          </w:tcPr>
          <w:p w14:paraId="0DCEBE3B" w14:textId="77777777" w:rsidR="004D6E8D" w:rsidRPr="00E87FFA" w:rsidRDefault="004D6E8D" w:rsidP="0082650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4D6E8D" w:rsidRPr="00E87FFA" w14:paraId="61E700BB" w14:textId="77777777" w:rsidTr="004F7FBD">
        <w:trPr>
          <w:trHeight w:val="405"/>
          <w:tblCellSpacing w:w="15" w:type="dxa"/>
        </w:trPr>
        <w:tc>
          <w:tcPr>
            <w:tcW w:w="327" w:type="pct"/>
          </w:tcPr>
          <w:p w14:paraId="631789C9" w14:textId="77777777" w:rsidR="004D6E8D" w:rsidRPr="00E87FFA" w:rsidRDefault="004D6E8D" w:rsidP="00DA684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163" w:type="pct"/>
            <w:gridSpan w:val="2"/>
          </w:tcPr>
          <w:p w14:paraId="190DC9A0" w14:textId="77777777" w:rsidR="004D6E8D" w:rsidRPr="00E87FFA" w:rsidRDefault="004D6E8D" w:rsidP="0082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446" w:type="pct"/>
            <w:gridSpan w:val="5"/>
          </w:tcPr>
          <w:p w14:paraId="3B1CFB71" w14:textId="4021664F" w:rsidR="004D6E8D" w:rsidRPr="00E87FFA" w:rsidRDefault="00207429" w:rsidP="002C74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Ministru kabineta rīkojuma projekts „Par ilgtermiņa saistībām Iekšlietu ministrijai dalībai starptautiskajās institūcijās – Autotransporta tiesībaizsardzības organizāciju konfederācijā (</w:t>
            </w:r>
            <w:r w:rsidRPr="00E87FFA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) un Eiropas ceļu policijas</w:t>
            </w:r>
            <w:r w:rsidRPr="00E87F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tīklā (</w:t>
            </w:r>
            <w:r w:rsidRPr="00E87FFA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TISPOL</w:t>
            </w: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)“ (turpmāk – projekts) sagatavots saskaņā ar </w:t>
            </w:r>
            <w:r w:rsidR="00F24A95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Ministru kabineta 2012.gada 31.jūlija noteikumu Nr.523 </w:t>
            </w:r>
            <w:r w:rsidR="00F24A95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br/>
              <w:t>“Noteikumi par budžeta pieprasījumu izstrādāšanas un iesniegšanas pamatprincipiem”</w:t>
            </w:r>
            <w:r w:rsidR="007E0546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(turpmāk – noteikumi Nr.523) </w:t>
            </w:r>
            <w:r w:rsidR="00F24A95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34.3. apakšpunkt</w:t>
            </w: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u</w:t>
            </w:r>
            <w:r w:rsidR="00F24A95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, kas nosaka, ka ministrija var uzņemties jaunas valsts budžeta ilgtermiņa saistības maksājumiem starptautiskajās institūcijās un programmās tikai ar Ministru kabineta lēmumu.</w:t>
            </w:r>
          </w:p>
        </w:tc>
      </w:tr>
      <w:tr w:rsidR="004D6E8D" w:rsidRPr="00E87FFA" w14:paraId="567888E3" w14:textId="77777777" w:rsidTr="004F7FBD">
        <w:trPr>
          <w:trHeight w:val="465"/>
          <w:tblCellSpacing w:w="15" w:type="dxa"/>
        </w:trPr>
        <w:tc>
          <w:tcPr>
            <w:tcW w:w="327" w:type="pct"/>
          </w:tcPr>
          <w:p w14:paraId="7613E83D" w14:textId="77777777" w:rsidR="004D6E8D" w:rsidRPr="00E87FFA" w:rsidRDefault="004D6E8D" w:rsidP="00DA684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163" w:type="pct"/>
            <w:gridSpan w:val="2"/>
          </w:tcPr>
          <w:p w14:paraId="74C151FC" w14:textId="77777777" w:rsidR="004D6E8D" w:rsidRPr="00E87FFA" w:rsidRDefault="004D6E8D" w:rsidP="0082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46" w:type="pct"/>
            <w:gridSpan w:val="5"/>
          </w:tcPr>
          <w:p w14:paraId="37732B0E" w14:textId="5C5EC222" w:rsidR="004D6E8D" w:rsidRPr="00E87FFA" w:rsidRDefault="004D6E8D" w:rsidP="00EB5E9A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1997. gadā tika nodibināta neformāla autopārvadājumu uzraudzības ekspertu grupa „EU </w:t>
            </w:r>
            <w:proofErr w:type="spellStart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Enforcers</w:t>
            </w:r>
            <w:proofErr w:type="spellEnd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group</w:t>
            </w:r>
            <w:proofErr w:type="spellEnd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”, kuras mērķis bija </w:t>
            </w:r>
            <w:r w:rsidR="00AD238A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nodarboties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ar autopārvadājumu kontroles jautājumiem un likumdošanu, kura attiecas uz </w:t>
            </w:r>
            <w:proofErr w:type="spellStart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komerctransportu</w:t>
            </w:r>
            <w:proofErr w:type="spellEnd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  <w:p w14:paraId="58479153" w14:textId="77777777" w:rsidR="004D6E8D" w:rsidRPr="00E87FFA" w:rsidRDefault="004D6E8D" w:rsidP="00EB5E9A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Apvienojot dalībvalstis, 2005. gadā šī ekspertu grupa Beļģijā (Briselē) nodibināja nevalstisku bezpeļņas organizāciju </w:t>
            </w:r>
            <w:r w:rsidR="00130EF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„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The</w:t>
            </w:r>
            <w:proofErr w:type="spellEnd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Confederation</w:t>
            </w:r>
            <w:proofErr w:type="spellEnd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of</w:t>
            </w:r>
            <w:proofErr w:type="spellEnd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Organisations</w:t>
            </w:r>
            <w:proofErr w:type="spellEnd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in</w:t>
            </w:r>
            <w:proofErr w:type="spellEnd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Road</w:t>
            </w:r>
            <w:proofErr w:type="spellEnd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Transport </w:t>
            </w:r>
            <w:proofErr w:type="spellStart"/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Enforcement</w:t>
            </w:r>
            <w:proofErr w:type="spellEnd"/>
            <w:r w:rsidR="00A15068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” (turpmāk - </w:t>
            </w:r>
            <w:r w:rsidR="00A15068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="00A15068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)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(</w:t>
            </w:r>
            <w:r w:rsidR="00F8156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Autotransporta tiesībaizsardzības organizāciju konfederācija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), lai uzsāktu formālu sadarbību ar Eiropas Komisiju un Apvienoto Nāciju Organizāciju. </w:t>
            </w:r>
          </w:p>
          <w:p w14:paraId="4C9F03CE" w14:textId="77777777" w:rsidR="004D6E8D" w:rsidRPr="00E87FFA" w:rsidRDefault="004D6E8D" w:rsidP="00EB5E9A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mērķis ir veicināt autopārvadājumu politikas attīstību, uzlabot starptautiski saistošo normatīvo aktu ieviešanu Eiropas Savienībā, uzlabot satiksmes drošību, kā arī veicin</w:t>
            </w:r>
            <w:r w:rsidR="00A935B1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ā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t taisnīgu konkurenci. </w:t>
            </w:r>
          </w:p>
          <w:p w14:paraId="0B61C9D6" w14:textId="77777777" w:rsidR="004D6E8D" w:rsidRPr="00E87FFA" w:rsidRDefault="004D6E8D" w:rsidP="00EB5E9A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aktivitātes tiek organizētas trīs pīlāros</w:t>
            </w:r>
            <w:r w:rsidR="00AD238A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–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“</w:t>
            </w:r>
            <w:proofErr w:type="spellStart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Road</w:t>
            </w:r>
            <w:proofErr w:type="spellEnd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Transport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” (</w:t>
            </w:r>
            <w:r w:rsidR="0065736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utotransports)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, 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“</w:t>
            </w:r>
            <w:proofErr w:type="spellStart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Road</w:t>
            </w:r>
            <w:proofErr w:type="spellEnd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Safety</w:t>
            </w:r>
            <w:proofErr w:type="spellEnd"/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” (</w:t>
            </w:r>
            <w:r w:rsidR="0065736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C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eļu satiksmes drošība)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un 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“</w:t>
            </w:r>
            <w:proofErr w:type="spellStart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Road</w:t>
            </w:r>
            <w:proofErr w:type="spellEnd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Security</w:t>
            </w:r>
            <w:proofErr w:type="spellEnd"/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” (</w:t>
            </w:r>
            <w:r w:rsidR="0065736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C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eļu drošība)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, lai aptvertu autopārvadājumu, ceļu satiksmes drošības un drošuma uz ceļa (kravas zādzības) likumdošanu. </w:t>
            </w:r>
          </w:p>
          <w:p w14:paraId="4188BB9B" w14:textId="3A4A7F99" w:rsidR="004D6E8D" w:rsidRPr="00E87FFA" w:rsidRDefault="004D6E8D" w:rsidP="00C2507C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viens no galvenajiem </w:t>
            </w:r>
            <w:r w:rsidR="00AD238A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apakš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mērķiem autopārvadājumu uzraudzības jomā ir sasniegt visās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Eiropas Savienības dalībvalstīs vienotu izpratni par autovadītāju braukšanas un atpūtas laikiem saskaņā ar 2006. gada 15. marta Eiropas Parlamenta un Padomes Regulu Nr. 561/2006, ar ko paredz dažu sociālās jomas tiesību aktu saskaņošanu saistībā ar autotransportu, groza Padomes Regulu (EEK) Nr. 3821/85 un Padomes Regulu (EK) Nr. 2135/98 un atceļ Padomes Regulu (EEK) Nr. 3820/85.</w:t>
            </w:r>
          </w:p>
          <w:p w14:paraId="3592113C" w14:textId="570DE3FA" w:rsidR="004D6E8D" w:rsidRPr="00E87FFA" w:rsidRDefault="004D6E8D" w:rsidP="004139C2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Kopš autopārvadājumu uzraudzības funkciju pārņemšanas </w:t>
            </w:r>
            <w:r w:rsidR="00130EF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no Autotransporta inspekcijas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2011. gadā Valsts policija ir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biedrs un regulāri piedalās tās darba grupu sanāksmēs. CORTE organizē autopārvadājumu uzraudzības darba grupas sanāksmes divas līdz četras reizes gadā.</w:t>
            </w:r>
          </w:p>
          <w:p w14:paraId="3FAC022A" w14:textId="77777777" w:rsidR="004D6E8D" w:rsidRPr="00E87FFA" w:rsidRDefault="004D6E8D" w:rsidP="004139C2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Ieguvumi no dalības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:</w:t>
            </w:r>
          </w:p>
          <w:p w14:paraId="44DBD728" w14:textId="77777777" w:rsidR="004D6E8D" w:rsidRPr="00E87FFA" w:rsidRDefault="00AD238A" w:rsidP="002C74D9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- 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platforma, kur autopārvadājumu kontrolējošās institūcijas tiekas ar Eiropas Komisijas pārstāvjiem, industrijas (tahogrāfu ražotāji) pārstāvjiem, autopārvadājumu nozares (autopārvadātāju asociācijas) pārstāvjiem;</w:t>
            </w:r>
          </w:p>
          <w:p w14:paraId="40D9E176" w14:textId="77777777" w:rsidR="004D6E8D" w:rsidRPr="00E87FFA" w:rsidRDefault="00AD238A" w:rsidP="002C74D9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- 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iespēja piedalīties kādā no septiņām darba grupām;</w:t>
            </w:r>
          </w:p>
          <w:p w14:paraId="01AB5419" w14:textId="4AEFCE07" w:rsidR="004D6E8D" w:rsidRPr="00E87FFA" w:rsidRDefault="00AD238A" w:rsidP="002C74D9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- 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piekļuve </w:t>
            </w:r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dokumentiem, informācijas apmaiņa (ar elektroniskā pasta starpniecību);</w:t>
            </w:r>
          </w:p>
          <w:p w14:paraId="24C5E999" w14:textId="77777777" w:rsidR="004D6E8D" w:rsidRPr="00E87FFA" w:rsidRDefault="00AD238A" w:rsidP="002C74D9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- 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piekļuve </w:t>
            </w:r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“</w:t>
            </w:r>
            <w:proofErr w:type="spellStart"/>
            <w:r w:rsidR="00130EF6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The</w:t>
            </w:r>
            <w:proofErr w:type="spellEnd"/>
            <w:r w:rsidR="00130EF6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Road</w:t>
            </w:r>
            <w:proofErr w:type="spellEnd"/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Transport </w:t>
            </w:r>
            <w:proofErr w:type="spellStart"/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Law</w:t>
            </w:r>
            <w:proofErr w:type="spellEnd"/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4D6E8D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magazine</w:t>
            </w:r>
            <w:proofErr w:type="spellEnd"/>
            <w:r w:rsidR="00DF6A37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”</w:t>
            </w:r>
            <w:r w:rsidR="00130EF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(</w:t>
            </w:r>
            <w:r w:rsidR="0065736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</w:t>
            </w:r>
            <w:r w:rsidR="00130EF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utopārvadājumu </w:t>
            </w:r>
            <w:r w:rsidR="0065736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likumu </w:t>
            </w:r>
            <w:r w:rsidR="00130EF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žurnāls)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. </w:t>
            </w:r>
          </w:p>
          <w:p w14:paraId="16663E13" w14:textId="75741D09" w:rsidR="00E04DFE" w:rsidRPr="00E87FFA" w:rsidRDefault="004D6E8D" w:rsidP="00354EC0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 201</w:t>
            </w:r>
            <w:r w:rsidR="004879E2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. gada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ir ieviesusi dalības maksu, lai nodrošinātu biroja darbību, sanāksmju organizēšanu, dokumentu sagatavošanu un mājas lapas uzturēšanu.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biedra dalības maksa ir 2</w:t>
            </w:r>
            <w:r w:rsidR="00AA3BF2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500 EUR gadā. Valsts policijai</w:t>
            </w:r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,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kā </w:t>
            </w:r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jaunajam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CORTE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biedram</w:t>
            </w:r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,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pārejas periods, kad varēja nemaksāt dalības maksu, beidzās 2016. gada 31. </w:t>
            </w:r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d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ecembrī</w:t>
            </w:r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un tās nomaksa veicama katru gadu, sākot ar </w:t>
            </w:r>
            <w:proofErr w:type="gramStart"/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2017.gadu</w:t>
            </w:r>
            <w:proofErr w:type="gramEnd"/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(maksājuma dokuments - </w:t>
            </w:r>
            <w:proofErr w:type="spellStart"/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Facture</w:t>
            </w:r>
            <w:proofErr w:type="spellEnd"/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051/2017 – CORTE VAT BE 0879.509.985)</w:t>
            </w:r>
            <w:r w:rsidR="00DF6B95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  <w:p w14:paraId="6B68099C" w14:textId="583BF691" w:rsidR="00354EC0" w:rsidRPr="00E87FFA" w:rsidRDefault="00DF6B95" w:rsidP="00354EC0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2010. gada maijā Valsts polic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ija tika uzņemta Eiropas ceļu policijas tīklā (turpmāk – </w:t>
            </w:r>
            <w:r w:rsidR="00354EC0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), kura sastāvā ir jau 30 dalībvalstis. Minētā organizācija ir izveidota ar mērķi uzlabot ceļu satiksmes drošības stāvokli Eiropā, samazinot ceļu satiksmes negadījumos bojā gājušo un cietušo personu skaitu. </w:t>
            </w:r>
          </w:p>
          <w:p w14:paraId="1145940B" w14:textId="77777777" w:rsidR="00354EC0" w:rsidRPr="00E87FFA" w:rsidRDefault="00354EC0" w:rsidP="00354EC0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Lai sasniegtu minēto mērķi,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ietvaros pastāvīgi tiek organizētas starptautiskas apmācības un semināri gan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Padomes un Operacionālās darba grupas biedriem, kuru mērķis ir izstrādāt vienotu stratēģiju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 xml:space="preserve">attiecībā uz ceļu satiksmes drošības uzlabošanu visā Eiropā, gan starpvalstu satiksmes uzraudzības aktivitātes (reidi) inspektoriem, kuru ikdienas darba pienākumi vistiešākajā mērā saistīti ar ceļu satiksmes uzraudzību. </w:t>
            </w:r>
          </w:p>
          <w:p w14:paraId="354D32E7" w14:textId="097480AF" w:rsidR="00354EC0" w:rsidRPr="00E87FFA" w:rsidRDefault="00354EC0" w:rsidP="00354EC0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707E74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policijai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ir iespēja izmantot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platformu gadījumos, kad tiek </w:t>
            </w:r>
            <w:r w:rsidR="00707E74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veikta nacionālo normatīvo aktu projektu izstrāde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, lai operatīvi uzzinātu citu valstu pieredzi attiecīgajā jautājumā. </w:t>
            </w:r>
            <w:r w:rsidR="000E6DF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policijai veicot tiesību aktu izstrādi,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īpaši aktuāla ir operatīva informācijas iegūšana, jo regulāri </w:t>
            </w:r>
            <w:r w:rsidR="00707E74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ir nepieciešami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dažādi statistikas dati par rezultātiem, izmaksām, tehniskām specifikācijām, kā arī citu valstu praktiskā pieredze normatīvo aktu ieviešanā. </w:t>
            </w:r>
          </w:p>
          <w:p w14:paraId="6DA697A4" w14:textId="77777777" w:rsidR="00354EC0" w:rsidRPr="00E87FFA" w:rsidRDefault="00354EC0" w:rsidP="00354EC0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organizē pieredzes apmaiņas programmas, piemēram, “</w:t>
            </w:r>
            <w:proofErr w:type="spellStart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Master</w:t>
            </w:r>
            <w:proofErr w:type="spellEnd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Class</w:t>
            </w:r>
            <w:proofErr w:type="spellEnd"/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” – par tahogrāfu manipulācijām, kura ir</w:t>
            </w:r>
            <w:r w:rsidR="00707E74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aktuāla problēma visā Eiropas Savienībā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, kā arī citus seminārus, kuros ir iespēja iepazīties ar citu valstu darba metodē</w:t>
            </w:r>
            <w:r w:rsidR="00707E74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m, izmantojamo tehniku un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normatīvo regulējumu. </w:t>
            </w:r>
          </w:p>
          <w:p w14:paraId="2B14529C" w14:textId="419D5DD7" w:rsidR="00354EC0" w:rsidRPr="00E87FFA" w:rsidRDefault="00707E74" w:rsidP="00354EC0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policija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piedalās </w:t>
            </w:r>
            <w:r w:rsidR="00354EC0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rīkotajās akcijās, piemēram, </w:t>
            </w:r>
            <w:r w:rsidR="00354EC0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TRIVIUM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, kas veltīts kravas transporta kontrolei visā Eiropā, 24h ātruma maratons u.c. </w:t>
            </w:r>
            <w:r w:rsidR="00354EC0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realizē dažādus projektus,</w:t>
            </w:r>
            <w:r w:rsidR="007E054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kurus 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finansē Eiropas Komisija</w:t>
            </w:r>
            <w:r w:rsidR="007E054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un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kuru ietvarā ir iespējams iepazīties ar citu valstu pieredzi un praksi ceļ</w:t>
            </w:r>
            <w:r w:rsidR="00DA6846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u satiksmes jautājumu risināšanā</w:t>
            </w:r>
            <w:r w:rsidR="00354EC0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. Atsaucoties un semināriem par inovatīvām satiksmes uzraudzības metodēm, </w:t>
            </w:r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piemēram, </w:t>
            </w:r>
            <w:r w:rsidR="00B90CDE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Valsts policijas vajadzībām</w:t>
            </w:r>
            <w:r w:rsidR="00354EC0"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ir paredzēts iegādāties 3D lineālu</w:t>
            </w: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</w:p>
          <w:p w14:paraId="1E4BD6C9" w14:textId="1A6B57D9" w:rsidR="00AA3BF2" w:rsidRPr="00E87FFA" w:rsidRDefault="00AA3BF2" w:rsidP="00AA3BF2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 xml:space="preserve">TISPOL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biedra (Valsts policijas) dalības maksa ir 5 000 EUR gadā</w:t>
            </w:r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(</w:t>
            </w:r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maksājuma dokuments </w:t>
            </w:r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– </w:t>
            </w:r>
            <w:proofErr w:type="spellStart"/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Invoice</w:t>
            </w:r>
            <w:proofErr w:type="spellEnd"/>
            <w:r w:rsidR="00CA602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28.12.2016.)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  <w:p w14:paraId="45B1F108" w14:textId="15576134" w:rsidR="004D6E8D" w:rsidRPr="00E87FFA" w:rsidRDefault="007E0546" w:rsidP="002B0A17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Projekts sagatavots, lai Iekšlietu ministrija (Valsts policija) varētu uzņemties ilgtermiņa saistības </w:t>
            </w:r>
            <w:r w:rsidR="00E03AC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un no 2017.gada veikt maksājumus </w:t>
            </w:r>
            <w:proofErr w:type="spellStart"/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maksājum</w:t>
            </w:r>
            <w:r w:rsidR="00E03AC9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us</w:t>
            </w:r>
            <w:proofErr w:type="spellEnd"/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starptautiskajās institūcijās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CORTE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un </w:t>
            </w:r>
            <w:r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="004D6E8D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atbilstoši noteikumu Nr.523 34.3.apak</w:t>
            </w:r>
            <w:r w:rsidR="005748CB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šp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unkta prasībām. </w:t>
            </w:r>
          </w:p>
        </w:tc>
      </w:tr>
      <w:tr w:rsidR="004D6E8D" w:rsidRPr="00E87FFA" w14:paraId="6AA8629B" w14:textId="77777777" w:rsidTr="004F7FBD">
        <w:trPr>
          <w:trHeight w:val="465"/>
          <w:tblCellSpacing w:w="15" w:type="dxa"/>
        </w:trPr>
        <w:tc>
          <w:tcPr>
            <w:tcW w:w="327" w:type="pct"/>
          </w:tcPr>
          <w:p w14:paraId="69284328" w14:textId="77777777" w:rsidR="004D6E8D" w:rsidRPr="00E87FFA" w:rsidRDefault="004D6E8D" w:rsidP="00DA684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163" w:type="pct"/>
            <w:gridSpan w:val="2"/>
          </w:tcPr>
          <w:p w14:paraId="48A53570" w14:textId="77777777" w:rsidR="004D6E8D" w:rsidRPr="00E87FFA" w:rsidRDefault="004D6E8D" w:rsidP="0082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446" w:type="pct"/>
            <w:gridSpan w:val="5"/>
          </w:tcPr>
          <w:p w14:paraId="04FFF6B6" w14:textId="77777777" w:rsidR="004D6E8D" w:rsidRPr="00E87FFA" w:rsidRDefault="004D6E8D" w:rsidP="00F810CF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Iekšlietu ministrija, Valsts policija.</w:t>
            </w:r>
          </w:p>
        </w:tc>
      </w:tr>
      <w:tr w:rsidR="004D6E8D" w:rsidRPr="00E87FFA" w14:paraId="3C5DA509" w14:textId="77777777" w:rsidTr="004F7FBD">
        <w:trPr>
          <w:tblCellSpacing w:w="15" w:type="dxa"/>
        </w:trPr>
        <w:tc>
          <w:tcPr>
            <w:tcW w:w="327" w:type="pct"/>
          </w:tcPr>
          <w:p w14:paraId="58DBC0E1" w14:textId="77777777" w:rsidR="004D6E8D" w:rsidRPr="00E87FFA" w:rsidRDefault="004D6E8D" w:rsidP="00DA684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163" w:type="pct"/>
            <w:gridSpan w:val="2"/>
          </w:tcPr>
          <w:p w14:paraId="01835926" w14:textId="77777777" w:rsidR="004D6E8D" w:rsidRPr="00E87FFA" w:rsidRDefault="004D6E8D" w:rsidP="0082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46" w:type="pct"/>
            <w:gridSpan w:val="5"/>
          </w:tcPr>
          <w:p w14:paraId="26FFBF61" w14:textId="77777777" w:rsidR="004D6E8D" w:rsidRPr="00E87FFA" w:rsidRDefault="004D6E8D" w:rsidP="00F810CF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  <w:tr w:rsidR="007E35FA" w:rsidRPr="00E87FFA" w14:paraId="2E0AA8FB" w14:textId="77777777" w:rsidTr="00E31F1A">
        <w:tblPrEx>
          <w:jc w:val="center"/>
          <w:tblLook w:val="04A0" w:firstRow="1" w:lastRow="0" w:firstColumn="1" w:lastColumn="0" w:noHBand="0" w:noVBand="1"/>
        </w:tblPrEx>
        <w:trPr>
          <w:trHeight w:val="360"/>
          <w:tblCellSpacing w:w="15" w:type="dxa"/>
          <w:jc w:val="center"/>
        </w:trPr>
        <w:tc>
          <w:tcPr>
            <w:tcW w:w="4968" w:type="pct"/>
            <w:gridSpan w:val="8"/>
            <w:vAlign w:val="center"/>
            <w:hideMark/>
          </w:tcPr>
          <w:p w14:paraId="6F912378" w14:textId="77777777" w:rsidR="007E35FA" w:rsidRPr="00E87FFA" w:rsidRDefault="007E35FA" w:rsidP="007E35F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E35FA" w:rsidRPr="00E87FFA" w14:paraId="1EE50F1F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vMerge w:val="restart"/>
            <w:vAlign w:val="center"/>
            <w:hideMark/>
          </w:tcPr>
          <w:p w14:paraId="6A017EB8" w14:textId="77777777" w:rsidR="007E35FA" w:rsidRPr="00E87FFA" w:rsidRDefault="007E35FA" w:rsidP="007E35F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303" w:type="pct"/>
            <w:gridSpan w:val="3"/>
            <w:vMerge w:val="restart"/>
            <w:hideMark/>
          </w:tcPr>
          <w:p w14:paraId="56675B5E" w14:textId="77777777" w:rsidR="007E35FA" w:rsidRPr="00E87FFA" w:rsidRDefault="00036FC5" w:rsidP="007E35F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2017.</w:t>
            </w:r>
            <w:r w:rsidR="007E35FA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gads</w:t>
            </w:r>
          </w:p>
          <w:p w14:paraId="56290F05" w14:textId="77777777" w:rsidR="007E35FA" w:rsidRPr="00E87FFA" w:rsidRDefault="007E35FA" w:rsidP="007E35F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42" w:type="pct"/>
            <w:gridSpan w:val="3"/>
            <w:hideMark/>
          </w:tcPr>
          <w:p w14:paraId="003225E9" w14:textId="77777777" w:rsidR="007E35FA" w:rsidRPr="00E87FFA" w:rsidRDefault="00F536D7" w:rsidP="007E35F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Turpmākie trīs gadi</w:t>
            </w:r>
          </w:p>
        </w:tc>
      </w:tr>
      <w:tr w:rsidR="00C72A5E" w:rsidRPr="00E87FFA" w14:paraId="5437391F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vMerge/>
            <w:vAlign w:val="center"/>
            <w:hideMark/>
          </w:tcPr>
          <w:p w14:paraId="5481E9EF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3" w:type="pct"/>
            <w:gridSpan w:val="3"/>
            <w:vMerge/>
            <w:hideMark/>
          </w:tcPr>
          <w:p w14:paraId="16F85D9A" w14:textId="77777777" w:rsidR="007E35FA" w:rsidRPr="00E87FFA" w:rsidRDefault="007E35FA" w:rsidP="007E35FA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32" w:type="pct"/>
            <w:hideMark/>
          </w:tcPr>
          <w:p w14:paraId="512BA660" w14:textId="77777777" w:rsidR="007E35FA" w:rsidRPr="00E87FFA" w:rsidRDefault="00F536D7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lang w:eastAsia="lv-LV"/>
              </w:rPr>
              <w:t>2018.gads</w:t>
            </w:r>
          </w:p>
        </w:tc>
        <w:tc>
          <w:tcPr>
            <w:tcW w:w="920" w:type="pct"/>
            <w:hideMark/>
          </w:tcPr>
          <w:p w14:paraId="129A8B04" w14:textId="77777777" w:rsidR="007E35FA" w:rsidRPr="00E87FFA" w:rsidRDefault="00F536D7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lang w:eastAsia="lv-LV"/>
              </w:rPr>
              <w:t>2019.gads</w:t>
            </w:r>
          </w:p>
        </w:tc>
        <w:tc>
          <w:tcPr>
            <w:tcW w:w="958" w:type="pct"/>
            <w:hideMark/>
          </w:tcPr>
          <w:p w14:paraId="4DD3DFA2" w14:textId="77777777" w:rsidR="007E35FA" w:rsidRPr="00E87FFA" w:rsidRDefault="00F536D7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lang w:eastAsia="lv-LV"/>
              </w:rPr>
              <w:t>2020.gads</w:t>
            </w:r>
          </w:p>
        </w:tc>
      </w:tr>
      <w:tr w:rsidR="00C72A5E" w:rsidRPr="00E87FFA" w14:paraId="485BF43B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vMerge/>
            <w:vAlign w:val="center"/>
            <w:hideMark/>
          </w:tcPr>
          <w:p w14:paraId="659729FC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pct"/>
            <w:gridSpan w:val="2"/>
            <w:vAlign w:val="center"/>
            <w:hideMark/>
          </w:tcPr>
          <w:p w14:paraId="73328C93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79" w:type="pct"/>
            <w:vAlign w:val="center"/>
            <w:hideMark/>
          </w:tcPr>
          <w:p w14:paraId="7547D00C" w14:textId="77777777" w:rsidR="007E35FA" w:rsidRPr="00E87FFA" w:rsidRDefault="007E35FA" w:rsidP="007E35F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32" w:type="pct"/>
            <w:vAlign w:val="center"/>
            <w:hideMark/>
          </w:tcPr>
          <w:p w14:paraId="5F0544E2" w14:textId="77777777" w:rsidR="007E35FA" w:rsidRPr="00E87FFA" w:rsidRDefault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C72A5E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kārtējo </w:t>
            </w:r>
            <w:r w:rsidR="00380519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2017.gadu</w:t>
            </w:r>
          </w:p>
        </w:tc>
        <w:tc>
          <w:tcPr>
            <w:tcW w:w="920" w:type="pct"/>
            <w:vAlign w:val="center"/>
            <w:hideMark/>
          </w:tcPr>
          <w:p w14:paraId="68307AED" w14:textId="77777777" w:rsidR="007E35FA" w:rsidRPr="00E87FFA" w:rsidRDefault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C72A5E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2017.</w:t>
            </w: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958" w:type="pct"/>
            <w:vAlign w:val="center"/>
            <w:hideMark/>
          </w:tcPr>
          <w:p w14:paraId="26E8B45C" w14:textId="77777777" w:rsidR="007E35FA" w:rsidRPr="00E87FFA" w:rsidRDefault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C72A5E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2017.</w:t>
            </w: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C72A5E" w:rsidRPr="00E87FFA" w14:paraId="14D4C79B" w14:textId="77777777" w:rsidTr="004F7FBD">
        <w:tblPrEx>
          <w:jc w:val="center"/>
        </w:tblPrEx>
        <w:trPr>
          <w:trHeight w:val="227"/>
          <w:tblCellSpacing w:w="15" w:type="dxa"/>
          <w:jc w:val="center"/>
        </w:trPr>
        <w:tc>
          <w:tcPr>
            <w:tcW w:w="890" w:type="pct"/>
            <w:gridSpan w:val="2"/>
            <w:vAlign w:val="center"/>
            <w:hideMark/>
          </w:tcPr>
          <w:p w14:paraId="0AB547DD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08" w:type="pct"/>
            <w:gridSpan w:val="2"/>
            <w:vAlign w:val="center"/>
            <w:hideMark/>
          </w:tcPr>
          <w:p w14:paraId="6792A740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79" w:type="pct"/>
            <w:vAlign w:val="center"/>
            <w:hideMark/>
          </w:tcPr>
          <w:p w14:paraId="00272469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32" w:type="pct"/>
            <w:vAlign w:val="center"/>
            <w:hideMark/>
          </w:tcPr>
          <w:p w14:paraId="78AC81AB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20" w:type="pct"/>
            <w:vAlign w:val="center"/>
            <w:hideMark/>
          </w:tcPr>
          <w:p w14:paraId="0CF77FCD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58" w:type="pct"/>
            <w:vAlign w:val="center"/>
            <w:hideMark/>
          </w:tcPr>
          <w:p w14:paraId="0DEE94F2" w14:textId="77777777" w:rsidR="007E35FA" w:rsidRPr="00E87FFA" w:rsidRDefault="007E35FA" w:rsidP="007E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C72A5E" w:rsidRPr="00E87FFA" w14:paraId="363562F2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41FA47EC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708" w:type="pct"/>
            <w:gridSpan w:val="2"/>
            <w:vAlign w:val="center"/>
          </w:tcPr>
          <w:p w14:paraId="39A5EE91" w14:textId="77777777" w:rsidR="007E35FA" w:rsidRPr="00E87FFA" w:rsidRDefault="00704BF1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28 224</w:t>
            </w:r>
          </w:p>
        </w:tc>
        <w:tc>
          <w:tcPr>
            <w:tcW w:w="579" w:type="pct"/>
            <w:vAlign w:val="center"/>
          </w:tcPr>
          <w:p w14:paraId="2DBE159B" w14:textId="77777777" w:rsidR="007E35FA" w:rsidRPr="00E87FFA" w:rsidRDefault="00983FDC" w:rsidP="007E35FA">
            <w:pPr>
              <w:spacing w:after="0" w:line="240" w:lineRule="auto"/>
              <w:ind w:firstLine="1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704FA87B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3AFF7A55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7604EE42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064ECD30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3921B941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08" w:type="pct"/>
            <w:gridSpan w:val="2"/>
            <w:vAlign w:val="center"/>
          </w:tcPr>
          <w:p w14:paraId="5DCCB632" w14:textId="77777777" w:rsidR="007E35FA" w:rsidRPr="00E87FFA" w:rsidRDefault="00704BF1" w:rsidP="007E35FA">
            <w:pPr>
              <w:spacing w:after="0" w:line="240" w:lineRule="auto"/>
              <w:ind w:firstLine="1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28 224</w:t>
            </w:r>
          </w:p>
        </w:tc>
        <w:tc>
          <w:tcPr>
            <w:tcW w:w="579" w:type="pct"/>
            <w:vAlign w:val="center"/>
          </w:tcPr>
          <w:p w14:paraId="1176963A" w14:textId="77777777" w:rsidR="007E35FA" w:rsidRPr="00E87FFA" w:rsidRDefault="00704BF1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0D6DDE6E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4AFACDA5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12B008D0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5E765B11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182251B4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708" w:type="pct"/>
            <w:gridSpan w:val="2"/>
            <w:vAlign w:val="center"/>
          </w:tcPr>
          <w:p w14:paraId="77A520C2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14E69F6D" w14:textId="77777777" w:rsidR="007E35FA" w:rsidRPr="00E87FFA" w:rsidRDefault="00983FDC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6E7ED044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1208BF56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74A0F8D1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6E904E65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7D907FCD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708" w:type="pct"/>
            <w:gridSpan w:val="2"/>
            <w:vAlign w:val="center"/>
          </w:tcPr>
          <w:p w14:paraId="2B83D981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7C3BF16B" w14:textId="77777777" w:rsidR="007E35FA" w:rsidRPr="00E87FFA" w:rsidRDefault="00983FDC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22A9819F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5BDE6C07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7EE33C61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7B6452C7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311C6DF5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708" w:type="pct"/>
            <w:gridSpan w:val="2"/>
            <w:vAlign w:val="center"/>
          </w:tcPr>
          <w:p w14:paraId="2AB30DD2" w14:textId="77777777" w:rsidR="007E35FA" w:rsidRPr="00E87FFA" w:rsidRDefault="00704BF1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28 224</w:t>
            </w:r>
          </w:p>
        </w:tc>
        <w:tc>
          <w:tcPr>
            <w:tcW w:w="579" w:type="pct"/>
            <w:vAlign w:val="center"/>
          </w:tcPr>
          <w:p w14:paraId="32260582" w14:textId="5438B393" w:rsidR="007E35FA" w:rsidRPr="00E87FFA" w:rsidRDefault="00D476B9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7500</w:t>
            </w:r>
          </w:p>
        </w:tc>
        <w:tc>
          <w:tcPr>
            <w:tcW w:w="832" w:type="pct"/>
            <w:vAlign w:val="center"/>
          </w:tcPr>
          <w:p w14:paraId="77AE2C5B" w14:textId="77777777" w:rsidR="007E35FA" w:rsidRPr="00E87FFA" w:rsidRDefault="00112BCB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5D7F08"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20" w:type="pct"/>
            <w:vAlign w:val="center"/>
          </w:tcPr>
          <w:p w14:paraId="6FE8A0FB" w14:textId="77777777" w:rsidR="007E35FA" w:rsidRPr="00E87FFA" w:rsidRDefault="00112BCB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5D7F08"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58" w:type="pct"/>
            <w:vAlign w:val="center"/>
          </w:tcPr>
          <w:p w14:paraId="4A74BC30" w14:textId="77777777" w:rsidR="007E35FA" w:rsidRPr="00E87FFA" w:rsidRDefault="00112BCB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5D7F08"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500</w:t>
            </w:r>
          </w:p>
        </w:tc>
      </w:tr>
      <w:tr w:rsidR="00C72A5E" w:rsidRPr="00E87FFA" w14:paraId="7252DE0F" w14:textId="77777777" w:rsidTr="004F7FBD">
        <w:tblPrEx>
          <w:jc w:val="center"/>
        </w:tblPrEx>
        <w:trPr>
          <w:trHeight w:val="227"/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52C89839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708" w:type="pct"/>
            <w:gridSpan w:val="2"/>
            <w:vAlign w:val="center"/>
          </w:tcPr>
          <w:p w14:paraId="7484AD54" w14:textId="77777777" w:rsidR="007E35FA" w:rsidRPr="00E87FFA" w:rsidRDefault="00704BF1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28 224</w:t>
            </w:r>
          </w:p>
        </w:tc>
        <w:tc>
          <w:tcPr>
            <w:tcW w:w="579" w:type="pct"/>
            <w:vAlign w:val="center"/>
          </w:tcPr>
          <w:p w14:paraId="20FA5B91" w14:textId="1E4DE446" w:rsidR="007E35FA" w:rsidRPr="00E87FFA" w:rsidRDefault="00D476B9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7500</w:t>
            </w:r>
          </w:p>
        </w:tc>
        <w:tc>
          <w:tcPr>
            <w:tcW w:w="832" w:type="pct"/>
            <w:vAlign w:val="center"/>
          </w:tcPr>
          <w:p w14:paraId="3F977A74" w14:textId="77777777" w:rsidR="007E35FA" w:rsidRPr="00E87FFA" w:rsidRDefault="00112BCB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D7F08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20" w:type="pct"/>
            <w:vAlign w:val="center"/>
          </w:tcPr>
          <w:p w14:paraId="3141977F" w14:textId="77777777" w:rsidR="007E35FA" w:rsidRPr="00E87FFA" w:rsidRDefault="00112BCB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D7F08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58" w:type="pct"/>
            <w:vAlign w:val="center"/>
          </w:tcPr>
          <w:p w14:paraId="3C5DB76E" w14:textId="77777777" w:rsidR="007E35FA" w:rsidRPr="00E87FFA" w:rsidRDefault="00112BCB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D7F08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</w:t>
            </w:r>
          </w:p>
        </w:tc>
      </w:tr>
      <w:tr w:rsidR="00C72A5E" w:rsidRPr="00E87FFA" w14:paraId="39883AE3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701DE340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708" w:type="pct"/>
            <w:gridSpan w:val="2"/>
            <w:vAlign w:val="center"/>
          </w:tcPr>
          <w:p w14:paraId="45A40D8E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41A8CB71" w14:textId="77777777" w:rsidR="007E35FA" w:rsidRPr="00E87FFA" w:rsidRDefault="00983FDC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03917324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7DFACB52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1956FF2E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382224BA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3A47F2A1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708" w:type="pct"/>
            <w:gridSpan w:val="2"/>
            <w:vAlign w:val="center"/>
          </w:tcPr>
          <w:p w14:paraId="7533CDFF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5F72A2BA" w14:textId="77777777" w:rsidR="007E35FA" w:rsidRPr="00E87FFA" w:rsidRDefault="00983FDC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4BD99369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74F8F4D0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0DD4CF52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603518E6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10E7C64B" w14:textId="77777777" w:rsidR="007E35FA" w:rsidRPr="00E87FFA" w:rsidRDefault="007E35FA" w:rsidP="007E3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708" w:type="pct"/>
            <w:gridSpan w:val="2"/>
            <w:vAlign w:val="center"/>
          </w:tcPr>
          <w:p w14:paraId="26AEF31B" w14:textId="77777777" w:rsidR="007E35FA" w:rsidRPr="00E87FFA" w:rsidRDefault="005D7F08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20B10DB4" w14:textId="2D3B0B0D" w:rsidR="007E35FA" w:rsidRPr="00E87FFA" w:rsidRDefault="00D476B9" w:rsidP="007E3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-7500</w:t>
            </w:r>
          </w:p>
        </w:tc>
        <w:tc>
          <w:tcPr>
            <w:tcW w:w="832" w:type="pct"/>
            <w:vAlign w:val="center"/>
          </w:tcPr>
          <w:p w14:paraId="43678363" w14:textId="77777777" w:rsidR="007E35FA" w:rsidRPr="00E87FFA" w:rsidRDefault="00D02D24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</w:t>
            </w:r>
            <w:r w:rsidR="00112BCB"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20" w:type="pct"/>
            <w:vAlign w:val="center"/>
          </w:tcPr>
          <w:p w14:paraId="7528545D" w14:textId="77777777" w:rsidR="007E35FA" w:rsidRPr="00E87FFA" w:rsidRDefault="005D7F08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</w:t>
            </w:r>
            <w:r w:rsidR="00112BCB"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58" w:type="pct"/>
            <w:vAlign w:val="center"/>
          </w:tcPr>
          <w:p w14:paraId="2739671A" w14:textId="77777777" w:rsidR="007E35FA" w:rsidRPr="00E87FFA" w:rsidRDefault="00D02D24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</w:t>
            </w:r>
            <w:r w:rsidR="00112BCB"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500</w:t>
            </w:r>
          </w:p>
        </w:tc>
      </w:tr>
      <w:tr w:rsidR="00C72A5E" w:rsidRPr="00E87FFA" w14:paraId="7C454D9A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70092231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708" w:type="pct"/>
            <w:gridSpan w:val="2"/>
            <w:vAlign w:val="center"/>
          </w:tcPr>
          <w:p w14:paraId="2971AE8F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09426810" w14:textId="4D23BF59" w:rsidR="00D02D24" w:rsidRPr="00E87FFA" w:rsidRDefault="00D476B9" w:rsidP="00D02D2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-7500</w:t>
            </w:r>
          </w:p>
        </w:tc>
        <w:tc>
          <w:tcPr>
            <w:tcW w:w="832" w:type="pct"/>
            <w:vAlign w:val="center"/>
          </w:tcPr>
          <w:p w14:paraId="539EE58F" w14:textId="77777777" w:rsidR="00D02D24" w:rsidRPr="00E87FFA" w:rsidRDefault="00D02D24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112BCB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20" w:type="pct"/>
            <w:vAlign w:val="center"/>
          </w:tcPr>
          <w:p w14:paraId="11D97E30" w14:textId="77777777" w:rsidR="00D02D24" w:rsidRPr="00E87FFA" w:rsidRDefault="00D02D24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112BCB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</w:t>
            </w:r>
          </w:p>
        </w:tc>
        <w:tc>
          <w:tcPr>
            <w:tcW w:w="958" w:type="pct"/>
            <w:vAlign w:val="center"/>
          </w:tcPr>
          <w:p w14:paraId="5FCAA5BE" w14:textId="77777777" w:rsidR="00D02D24" w:rsidRPr="00E87FFA" w:rsidRDefault="00D02D24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112BCB"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500</w:t>
            </w:r>
          </w:p>
        </w:tc>
      </w:tr>
      <w:tr w:rsidR="00C72A5E" w:rsidRPr="00E87FFA" w14:paraId="63A421AF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09BEF626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708" w:type="pct"/>
            <w:gridSpan w:val="2"/>
            <w:vAlign w:val="center"/>
          </w:tcPr>
          <w:p w14:paraId="7DF5C42D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5873F146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72FBFF3D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487BCE2E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50A1A0D6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4C885FF2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2AAD1EA7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708" w:type="pct"/>
            <w:gridSpan w:val="2"/>
            <w:vAlign w:val="center"/>
          </w:tcPr>
          <w:p w14:paraId="4E7DAB9B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9" w:type="pct"/>
            <w:vAlign w:val="center"/>
          </w:tcPr>
          <w:p w14:paraId="462D4954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5262E432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36D93359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4593A75C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41F07BF8" w14:textId="77777777" w:rsidTr="004F7FBD">
        <w:tblPrEx>
          <w:jc w:val="center"/>
        </w:tblPrEx>
        <w:trPr>
          <w:trHeight w:val="1666"/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26D5937E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4. Finanšu līdzekļi papildu izdevumu finansēšanai</w:t>
            </w: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(kompensējošu izdevumu samazinājumu norāda ar "+" zīmi)</w:t>
            </w:r>
          </w:p>
        </w:tc>
        <w:tc>
          <w:tcPr>
            <w:tcW w:w="708" w:type="pct"/>
            <w:gridSpan w:val="2"/>
            <w:vAlign w:val="center"/>
          </w:tcPr>
          <w:p w14:paraId="6A8814AC" w14:textId="77777777" w:rsidR="00D02D24" w:rsidRPr="00E87FFA" w:rsidRDefault="00D02D24" w:rsidP="00D02D2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9" w:type="pct"/>
            <w:vAlign w:val="center"/>
          </w:tcPr>
          <w:p w14:paraId="018E0AC4" w14:textId="6F709A10" w:rsidR="00D02D24" w:rsidRPr="00E87FFA" w:rsidRDefault="00090721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7 500</w:t>
            </w:r>
          </w:p>
        </w:tc>
        <w:tc>
          <w:tcPr>
            <w:tcW w:w="832" w:type="pct"/>
            <w:vAlign w:val="center"/>
          </w:tcPr>
          <w:p w14:paraId="413FB37B" w14:textId="4DD344C2" w:rsidR="00D02D24" w:rsidRPr="00E87FFA" w:rsidRDefault="00090721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7 500</w:t>
            </w:r>
          </w:p>
        </w:tc>
        <w:tc>
          <w:tcPr>
            <w:tcW w:w="920" w:type="pct"/>
            <w:vAlign w:val="center"/>
          </w:tcPr>
          <w:p w14:paraId="43D54AF4" w14:textId="3D01A45D" w:rsidR="00D02D24" w:rsidRPr="00E87FFA" w:rsidRDefault="00090721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7 500</w:t>
            </w:r>
          </w:p>
        </w:tc>
        <w:tc>
          <w:tcPr>
            <w:tcW w:w="958" w:type="pct"/>
            <w:vAlign w:val="center"/>
          </w:tcPr>
          <w:p w14:paraId="68A94CB4" w14:textId="030B4E1E" w:rsidR="00D02D24" w:rsidRPr="00E87FFA" w:rsidRDefault="00090721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7 500</w:t>
            </w:r>
          </w:p>
        </w:tc>
      </w:tr>
      <w:tr w:rsidR="00C72A5E" w:rsidRPr="00E87FFA" w14:paraId="647DF794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41D0A61F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08" w:type="pct"/>
            <w:gridSpan w:val="2"/>
            <w:vMerge w:val="restart"/>
            <w:vAlign w:val="center"/>
          </w:tcPr>
          <w:p w14:paraId="7C81C29B" w14:textId="77777777" w:rsidR="00D02D24" w:rsidRPr="00E87FFA" w:rsidRDefault="00D02D24" w:rsidP="00D02D2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9" w:type="pct"/>
            <w:vAlign w:val="center"/>
          </w:tcPr>
          <w:p w14:paraId="1913C23A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260EDFBF" w14:textId="46B64CC1" w:rsidR="00D02D24" w:rsidRPr="00E87FFA" w:rsidRDefault="00D476B9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23AA7077" w14:textId="46DDFB26" w:rsidR="00D02D24" w:rsidRPr="00E87FFA" w:rsidRDefault="00D476B9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5CA9430B" w14:textId="51908EB3" w:rsidR="00D02D24" w:rsidRPr="00E87FFA" w:rsidRDefault="00D476B9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4053E63A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4F8FC8E6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08" w:type="pct"/>
            <w:gridSpan w:val="2"/>
            <w:vMerge/>
            <w:vAlign w:val="center"/>
          </w:tcPr>
          <w:p w14:paraId="5A1AFB1E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79" w:type="pct"/>
            <w:vAlign w:val="center"/>
          </w:tcPr>
          <w:p w14:paraId="58208663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72D071A8" w14:textId="49010A6E" w:rsidR="00D02D24" w:rsidRPr="00E87FFA" w:rsidRDefault="00D476B9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41A5373D" w14:textId="5160CD0B" w:rsidR="00D02D24" w:rsidRPr="00E87FFA" w:rsidRDefault="00D476B9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7A44E6B7" w14:textId="55F4F1DE" w:rsidR="00D02D24" w:rsidRPr="00E87FFA" w:rsidRDefault="00D476B9" w:rsidP="00112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616665AC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6DB420B3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08" w:type="pct"/>
            <w:gridSpan w:val="2"/>
            <w:vMerge/>
            <w:vAlign w:val="center"/>
          </w:tcPr>
          <w:p w14:paraId="325766DE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79" w:type="pct"/>
            <w:vAlign w:val="center"/>
          </w:tcPr>
          <w:p w14:paraId="5E122598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793914FA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1DE6B614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36E3EF76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72A5E" w:rsidRPr="00E87FFA" w14:paraId="44476507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30574F3A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08" w:type="pct"/>
            <w:gridSpan w:val="2"/>
            <w:vMerge/>
            <w:vAlign w:val="center"/>
          </w:tcPr>
          <w:p w14:paraId="20873273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79" w:type="pct"/>
            <w:vAlign w:val="center"/>
          </w:tcPr>
          <w:p w14:paraId="7DA7191A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2" w:type="pct"/>
            <w:vAlign w:val="center"/>
          </w:tcPr>
          <w:p w14:paraId="0E7AE48C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0" w:type="pct"/>
            <w:vAlign w:val="center"/>
          </w:tcPr>
          <w:p w14:paraId="1B9E8A21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8" w:type="pct"/>
            <w:vAlign w:val="center"/>
          </w:tcPr>
          <w:p w14:paraId="2C25E177" w14:textId="77777777" w:rsidR="00D02D24" w:rsidRPr="00E87FFA" w:rsidRDefault="00D02D24" w:rsidP="00D02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2D24" w:rsidRPr="00E87FFA" w14:paraId="25E8C4D6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01FB8C5F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4061" w:type="pct"/>
            <w:gridSpan w:val="6"/>
            <w:vMerge w:val="restart"/>
            <w:vAlign w:val="center"/>
          </w:tcPr>
          <w:p w14:paraId="2A44CF49" w14:textId="77777777" w:rsidR="00BD2D48" w:rsidRPr="00E87FFA" w:rsidRDefault="00BD2D48" w:rsidP="004F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6.2. detalizēts izdevumu apr</w:t>
            </w:r>
            <w:r w:rsidR="00BE7F79"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ēķ</w:t>
            </w:r>
            <w:r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ins</w:t>
            </w:r>
            <w:r w:rsidR="00BE7F79"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:</w:t>
            </w:r>
          </w:p>
          <w:p w14:paraId="2CD0F4E5" w14:textId="77777777" w:rsidR="00BD2D48" w:rsidRPr="00E87FFA" w:rsidRDefault="00BD2D48" w:rsidP="00704BF1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674FC9B5" w14:textId="30EFB11C" w:rsidR="00767FAB" w:rsidRPr="00E87FFA" w:rsidRDefault="00767FAB" w:rsidP="00704BF1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Izdevumi plāno</w:t>
            </w:r>
            <w:r w:rsidR="00D476B9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jami</w:t>
            </w: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budžeta apakšprogrammā</w:t>
            </w:r>
            <w:r w:rsidR="00BD2D48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06.01.00 “Valsts policija” </w:t>
            </w:r>
          </w:p>
          <w:p w14:paraId="7AFA20C2" w14:textId="766A4261" w:rsidR="00112BCB" w:rsidRPr="00E87FFA" w:rsidRDefault="00BD2D48" w:rsidP="00704BF1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>201</w:t>
            </w:r>
            <w:r w:rsidR="00D476B9"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>7</w:t>
            </w:r>
            <w:r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>.gadā un turpmāk ka</w:t>
            </w:r>
            <w:r w:rsidR="00CC0003"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>t</w:t>
            </w:r>
            <w:r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>ru gadu</w:t>
            </w:r>
            <w:r w:rsidR="00AA12F1"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 xml:space="preserve"> </w:t>
            </w:r>
            <w:r w:rsidR="00112BCB" w:rsidRPr="00E87FF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  <w:t xml:space="preserve">- </w:t>
            </w:r>
          </w:p>
          <w:p w14:paraId="68C7A3EA" w14:textId="77777777" w:rsidR="00BD2D48" w:rsidRPr="00E87FFA" w:rsidRDefault="00AA12F1" w:rsidP="00704BF1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(EKK 7712 “Maksājumi citās starptautiskajās institūcijās”):</w:t>
            </w:r>
          </w:p>
          <w:p w14:paraId="4DE84882" w14:textId="658180D1" w:rsidR="00BD2D48" w:rsidRPr="00E87FFA" w:rsidRDefault="00AA12F1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- </w:t>
            </w:r>
            <w:r w:rsidR="00BD2D48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</w:t>
            </w:r>
            <w:r w:rsidR="00CC0003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r w:rsidR="00BD2D48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500</w:t>
            </w:r>
            <w:r w:rsidR="00CC0003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proofErr w:type="spellStart"/>
            <w:r w:rsidR="00BD2D48"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BD2D48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767FAB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</w:t>
            </w:r>
            <w:r w:rsidR="00BD2D48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BD654C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ikgadēja </w:t>
            </w:r>
            <w:r w:rsidR="00767FAB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dalības maksa </w:t>
            </w:r>
            <w:r w:rsidR="00CC0003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Autotransporta tiesībaizsardzības organizāciju konfederācijā </w:t>
            </w:r>
            <w:r w:rsidR="00CC0003"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CORTE</w:t>
            </w:r>
            <w:r w:rsidR="00650199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14:paraId="419CA6EF" w14:textId="7DA6D1A3" w:rsidR="00AA12F1" w:rsidRPr="00E87FFA" w:rsidRDefault="00A844BC" w:rsidP="00D476B9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-</w:t>
            </w:r>
            <w:proofErr w:type="gramStart"/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="00AA12F1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5 000 </w:t>
            </w:r>
            <w:proofErr w:type="spellStart"/>
            <w:r w:rsidR="00AA12F1"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112BCB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A12F1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ikgadēja dalības maksa </w:t>
            </w:r>
            <w:r w:rsidR="00AA12F1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Eiropas ceļu policijas tīklā </w:t>
            </w:r>
            <w:r w:rsidR="00AA12F1" w:rsidRPr="00E87FFA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TISPOL</w:t>
            </w:r>
            <w:r w:rsidR="00AA12F1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14:paraId="633290C5" w14:textId="7F717B78" w:rsidR="005A4074" w:rsidRPr="00E87FFA" w:rsidRDefault="005A4074" w:rsidP="00D476B9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D02D24" w:rsidRPr="00E87FFA" w14:paraId="7EBB82B2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6DD41577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4061" w:type="pct"/>
            <w:gridSpan w:val="6"/>
            <w:vMerge/>
            <w:vAlign w:val="center"/>
          </w:tcPr>
          <w:p w14:paraId="7C485A42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D02D24" w:rsidRPr="00E87FFA" w14:paraId="61DCEF9D" w14:textId="77777777" w:rsidTr="004F7FBD">
        <w:tblPrEx>
          <w:jc w:val="center"/>
        </w:tblPrEx>
        <w:trPr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7A91D614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061" w:type="pct"/>
            <w:gridSpan w:val="6"/>
            <w:vMerge/>
            <w:vAlign w:val="center"/>
          </w:tcPr>
          <w:p w14:paraId="47CEC15D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D02D24" w:rsidRPr="00E87FFA" w14:paraId="75505521" w14:textId="77777777" w:rsidTr="004F7FBD">
        <w:tblPrEx>
          <w:jc w:val="center"/>
        </w:tblPrEx>
        <w:trPr>
          <w:trHeight w:val="555"/>
          <w:tblCellSpacing w:w="15" w:type="dxa"/>
          <w:jc w:val="center"/>
        </w:trPr>
        <w:tc>
          <w:tcPr>
            <w:tcW w:w="890" w:type="pct"/>
            <w:gridSpan w:val="2"/>
            <w:hideMark/>
          </w:tcPr>
          <w:p w14:paraId="73E14A46" w14:textId="77777777" w:rsidR="00D02D24" w:rsidRPr="00E87FFA" w:rsidRDefault="00D02D24" w:rsidP="00D0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4061" w:type="pct"/>
            <w:gridSpan w:val="6"/>
          </w:tcPr>
          <w:p w14:paraId="17F75782" w14:textId="64BF12F4" w:rsidR="000D27C5" w:rsidRPr="00E87FFA" w:rsidRDefault="000D27C5" w:rsidP="000D27C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Saskaņā ar likumu “Par valsts budžetu 2017.gadam”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Iekšlietu ministrijas budžeta apakšprogrammā 06.01.00</w:t>
            </w:r>
            <w:r w:rsid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“Valsts policija”</w:t>
            </w:r>
          </w:p>
          <w:p w14:paraId="15ACE6F1" w14:textId="788D29EA" w:rsidR="000D27C5" w:rsidRPr="00E87FFA" w:rsidRDefault="009763B6" w:rsidP="000D27C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</w:t>
            </w:r>
            <w:r w:rsidR="000D27C5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emaksām starptautiskajās organizācijās plānoti izdevumi 28 224 </w:t>
            </w:r>
            <w:proofErr w:type="spellStart"/>
            <w:r w:rsidR="000D27C5" w:rsidRPr="00E87FFA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0D27C5" w:rsidRPr="00E87FF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apmērā.</w:t>
            </w:r>
          </w:p>
          <w:p w14:paraId="24EB6361" w14:textId="7C2CFBA6" w:rsidR="00D02D24" w:rsidRPr="00E87FFA" w:rsidRDefault="005A4074" w:rsidP="00610848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Maksājumu veikšanai nepieciešamie izdevumi tiks segti budžeta apakšprogrammai 06.01.00</w:t>
            </w:r>
            <w:r w:rsidR="00E87FFA"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“Valsts policija” piešķirto finanšu līdzekļu ietvaros, 2017.gadā veicot apropriācijas pārdali starp izdevumu klasifikācijas kodiem atbilstoši ekonomiskajām kategorijām.  2018.-2020.gadam nepieciešams precizēt bāzes </w:t>
            </w: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 xml:space="preserve">izdevumus, veicot izdevumu pārdali starp izdevumu klasifikācijas kodiem atbilstoši ekonomiskajām kategorijām. </w:t>
            </w:r>
          </w:p>
        </w:tc>
      </w:tr>
    </w:tbl>
    <w:tbl>
      <w:tblPr>
        <w:tblpPr w:leftFromText="180" w:rightFromText="180" w:vertAnchor="text" w:horzAnchor="margin" w:tblpY="1045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2"/>
        <w:gridCol w:w="3493"/>
        <w:gridCol w:w="5349"/>
      </w:tblGrid>
      <w:tr w:rsidR="00E31F1A" w:rsidRPr="00E87FFA" w14:paraId="6F30BDCA" w14:textId="77777777" w:rsidTr="00302925">
        <w:trPr>
          <w:trHeight w:val="375"/>
          <w:tblCellSpacing w:w="15" w:type="dxa"/>
        </w:trPr>
        <w:tc>
          <w:tcPr>
            <w:tcW w:w="4968" w:type="pct"/>
            <w:gridSpan w:val="3"/>
            <w:vAlign w:val="center"/>
          </w:tcPr>
          <w:p w14:paraId="25DECB7A" w14:textId="77777777" w:rsidR="00E31F1A" w:rsidRPr="00E87FFA" w:rsidRDefault="00E31F1A" w:rsidP="00302925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E31F1A" w:rsidRPr="00E87FFA" w14:paraId="47735DC9" w14:textId="77777777" w:rsidTr="00E31F1A">
        <w:trPr>
          <w:trHeight w:val="420"/>
          <w:tblCellSpacing w:w="15" w:type="dxa"/>
        </w:trPr>
        <w:tc>
          <w:tcPr>
            <w:tcW w:w="246" w:type="pct"/>
          </w:tcPr>
          <w:p w14:paraId="3BEDF09C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65" w:type="pct"/>
          </w:tcPr>
          <w:p w14:paraId="32345ED3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25" w:type="pct"/>
          </w:tcPr>
          <w:p w14:paraId="1E268970" w14:textId="149C7AE5" w:rsidR="00E31F1A" w:rsidRPr="00E87FFA" w:rsidRDefault="00E31F1A" w:rsidP="00302925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policija.</w:t>
            </w:r>
          </w:p>
        </w:tc>
      </w:tr>
      <w:tr w:rsidR="00E31F1A" w:rsidRPr="00E87FFA" w14:paraId="17E4847B" w14:textId="77777777" w:rsidTr="00E31F1A">
        <w:trPr>
          <w:trHeight w:val="450"/>
          <w:tblCellSpacing w:w="15" w:type="dxa"/>
        </w:trPr>
        <w:tc>
          <w:tcPr>
            <w:tcW w:w="246" w:type="pct"/>
          </w:tcPr>
          <w:p w14:paraId="2FE1C887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865" w:type="pct"/>
          </w:tcPr>
          <w:p w14:paraId="03D6BB16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5FD3FEE0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14:paraId="62E5C6F1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25" w:type="pct"/>
          </w:tcPr>
          <w:p w14:paraId="240DF726" w14:textId="77777777" w:rsidR="00E31F1A" w:rsidRPr="00E87FFA" w:rsidRDefault="00E31F1A" w:rsidP="00302925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Saistībā ar projekta izpildi nav nepieciešams veidot jaunas institūcijas, likvidēt vai reorganizēt esošās.</w:t>
            </w:r>
          </w:p>
          <w:p w14:paraId="46CF405A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31F1A" w:rsidRPr="00E87FFA" w14:paraId="4AB9939E" w14:textId="77777777" w:rsidTr="00E31F1A">
        <w:trPr>
          <w:trHeight w:val="390"/>
          <w:tblCellSpacing w:w="15" w:type="dxa"/>
        </w:trPr>
        <w:tc>
          <w:tcPr>
            <w:tcW w:w="246" w:type="pct"/>
          </w:tcPr>
          <w:p w14:paraId="34BB169C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65" w:type="pct"/>
          </w:tcPr>
          <w:p w14:paraId="085F33CB" w14:textId="77777777" w:rsidR="00E31F1A" w:rsidRPr="00E87FFA" w:rsidRDefault="00E31F1A" w:rsidP="0030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25" w:type="pct"/>
          </w:tcPr>
          <w:p w14:paraId="4752B369" w14:textId="77777777" w:rsidR="00E31F1A" w:rsidRPr="00E87FFA" w:rsidRDefault="00E31F1A" w:rsidP="00302925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E87FF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Nav.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5670"/>
        <w:gridCol w:w="3674"/>
      </w:tblGrid>
      <w:tr w:rsidR="00E31F1A" w:rsidRPr="00E87FFA" w14:paraId="0CBA570C" w14:textId="77777777" w:rsidTr="00B27A66">
        <w:tc>
          <w:tcPr>
            <w:tcW w:w="9344" w:type="dxa"/>
            <w:gridSpan w:val="2"/>
          </w:tcPr>
          <w:p w14:paraId="65E3032D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87FFA">
              <w:rPr>
                <w:rFonts w:ascii="Times New Roman" w:hAnsi="Times New Roman"/>
                <w:i/>
                <w:sz w:val="28"/>
                <w:szCs w:val="28"/>
              </w:rPr>
              <w:t>Anotācijas II, IV, V un VI sadaļa – projekts šīs jomas neskar.</w:t>
            </w:r>
          </w:p>
          <w:p w14:paraId="50FDB34F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D4AEFF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4A498D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F462B0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FA">
              <w:rPr>
                <w:rFonts w:ascii="Times New Roman" w:hAnsi="Times New Roman"/>
                <w:sz w:val="28"/>
                <w:szCs w:val="28"/>
              </w:rPr>
              <w:t xml:space="preserve"> Iekšlietu ministrs</w:t>
            </w:r>
            <w:proofErr w:type="gramStart"/>
            <w:r w:rsidRPr="00E87F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proofErr w:type="gramEnd"/>
            <w:r w:rsidRPr="00E87FFA">
              <w:rPr>
                <w:rFonts w:ascii="Times New Roman" w:hAnsi="Times New Roman"/>
                <w:sz w:val="28"/>
                <w:szCs w:val="28"/>
              </w:rPr>
              <w:t>Rihards Kozlovskis</w:t>
            </w:r>
          </w:p>
          <w:p w14:paraId="3B7AEA2E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76C471" w14:textId="77777777" w:rsidR="00E31F1A" w:rsidRPr="00E87FFA" w:rsidRDefault="00E31F1A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5B2C2B" w14:textId="77777777" w:rsidR="00463F2E" w:rsidRPr="00E87FFA" w:rsidRDefault="00463F2E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E8D" w:rsidRPr="00E87FFA" w14:paraId="7B842658" w14:textId="77777777" w:rsidTr="00E31F1A">
        <w:tc>
          <w:tcPr>
            <w:tcW w:w="5670" w:type="dxa"/>
          </w:tcPr>
          <w:p w14:paraId="7338D810" w14:textId="77777777" w:rsidR="000C4765" w:rsidRPr="00E87FFA" w:rsidRDefault="00F30006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FA">
              <w:rPr>
                <w:rFonts w:ascii="Times New Roman" w:hAnsi="Times New Roman"/>
                <w:sz w:val="28"/>
                <w:szCs w:val="28"/>
              </w:rPr>
              <w:t xml:space="preserve"> Vīza: valsts sekretāra</w:t>
            </w:r>
          </w:p>
          <w:p w14:paraId="63AA30A3" w14:textId="337E103D" w:rsidR="004D6E8D" w:rsidRPr="00E87FFA" w:rsidRDefault="000C4765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006" w:rsidRPr="00E87FFA">
              <w:rPr>
                <w:rFonts w:ascii="Times New Roman" w:hAnsi="Times New Roman"/>
                <w:sz w:val="28"/>
                <w:szCs w:val="28"/>
              </w:rPr>
              <w:t xml:space="preserve"> pi</w:t>
            </w:r>
            <w:r w:rsidR="004B6C8E" w:rsidRPr="00E87FFA">
              <w:rPr>
                <w:rFonts w:ascii="Times New Roman" w:hAnsi="Times New Roman"/>
                <w:sz w:val="28"/>
                <w:szCs w:val="28"/>
              </w:rPr>
              <w:t>enākumu izpildītājs</w:t>
            </w:r>
            <w:proofErr w:type="gramStart"/>
            <w:r w:rsidR="004D6E8D" w:rsidRPr="00E87FF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gramEnd"/>
          </w:p>
          <w:p w14:paraId="1318CFC9" w14:textId="77777777" w:rsidR="004D6E8D" w:rsidRPr="00E87FFA" w:rsidRDefault="004D6E8D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E7FB15" w14:textId="77777777" w:rsidR="004D6E8D" w:rsidRPr="00E87FFA" w:rsidRDefault="004D6E8D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981CCA" w14:textId="77777777" w:rsidR="004D6E8D" w:rsidRPr="00E87FFA" w:rsidRDefault="004D6E8D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9521C9" w14:textId="77777777" w:rsidR="004D6E8D" w:rsidRPr="00E87FFA" w:rsidRDefault="004D6E8D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3E02E5" w14:textId="77777777" w:rsidR="004D6E8D" w:rsidRPr="00E87FFA" w:rsidRDefault="004D6E8D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874F52" w14:textId="77777777" w:rsidR="000C4765" w:rsidRPr="00E87FFA" w:rsidRDefault="000C4765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</w:p>
          <w:p w14:paraId="08053D93" w14:textId="77777777" w:rsidR="000C4765" w:rsidRPr="00E87FFA" w:rsidRDefault="000C4765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</w:p>
          <w:p w14:paraId="4C17F08A" w14:textId="77777777" w:rsidR="000C4765" w:rsidRPr="00E87FFA" w:rsidRDefault="000C4765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</w:p>
          <w:p w14:paraId="4D73CA8E" w14:textId="77777777" w:rsidR="000C4765" w:rsidRPr="00E87FFA" w:rsidRDefault="000C4765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</w:p>
          <w:p w14:paraId="6E2E7D0E" w14:textId="77777777" w:rsidR="000C4765" w:rsidRPr="00E87FFA" w:rsidRDefault="000C4765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</w:p>
          <w:p w14:paraId="08806944" w14:textId="77777777" w:rsidR="000C4765" w:rsidRPr="00E87FFA" w:rsidRDefault="000C4765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</w:p>
          <w:p w14:paraId="24EBCB7E" w14:textId="0641C576" w:rsidR="004A0CAD" w:rsidRPr="00E87FFA" w:rsidRDefault="004A0CAD" w:rsidP="002C74D9">
            <w:pPr>
              <w:pStyle w:val="naisf"/>
              <w:spacing w:before="0" w:after="0"/>
              <w:ind w:firstLine="374"/>
              <w:rPr>
                <w:noProof/>
                <w:sz w:val="20"/>
                <w:szCs w:val="20"/>
              </w:rPr>
            </w:pPr>
            <w:r w:rsidRPr="00E87FFA">
              <w:rPr>
                <w:noProof/>
                <w:sz w:val="20"/>
                <w:szCs w:val="20"/>
              </w:rPr>
              <w:fldChar w:fldCharType="begin"/>
            </w:r>
            <w:r w:rsidRPr="00E87FFA">
              <w:rPr>
                <w:noProof/>
                <w:sz w:val="20"/>
                <w:szCs w:val="20"/>
              </w:rPr>
              <w:instrText xml:space="preserve"> TIME \@ "dd.MM.yyyy H:mm" </w:instrText>
            </w:r>
            <w:r w:rsidRPr="00E87FFA">
              <w:rPr>
                <w:noProof/>
                <w:sz w:val="20"/>
                <w:szCs w:val="20"/>
              </w:rPr>
              <w:fldChar w:fldCharType="separate"/>
            </w:r>
            <w:r w:rsidR="007C4BB6">
              <w:rPr>
                <w:noProof/>
                <w:sz w:val="20"/>
                <w:szCs w:val="20"/>
              </w:rPr>
              <w:t>28.06.2017 10:30</w:t>
            </w:r>
            <w:r w:rsidRPr="00E87FFA">
              <w:rPr>
                <w:noProof/>
                <w:sz w:val="20"/>
                <w:szCs w:val="20"/>
              </w:rPr>
              <w:fldChar w:fldCharType="end"/>
            </w:r>
          </w:p>
          <w:p w14:paraId="2EC157D6" w14:textId="4F483978" w:rsidR="004D6E8D" w:rsidRPr="00E87FFA" w:rsidRDefault="004A0CAD" w:rsidP="002C74D9">
            <w:pPr>
              <w:pStyle w:val="naisf"/>
              <w:spacing w:before="0" w:after="0"/>
              <w:ind w:firstLine="374"/>
              <w:rPr>
                <w:sz w:val="28"/>
                <w:szCs w:val="28"/>
              </w:rPr>
            </w:pPr>
            <w:r w:rsidRPr="00E87FFA">
              <w:rPr>
                <w:noProof/>
                <w:sz w:val="20"/>
                <w:szCs w:val="20"/>
              </w:rPr>
              <w:fldChar w:fldCharType="begin"/>
            </w:r>
            <w:r w:rsidRPr="00E87FFA">
              <w:rPr>
                <w:noProof/>
                <w:sz w:val="20"/>
                <w:szCs w:val="20"/>
              </w:rPr>
              <w:instrText xml:space="preserve"> NUMWORDS   \* MERGEFORMAT </w:instrText>
            </w:r>
            <w:r w:rsidRPr="00E87FFA">
              <w:rPr>
                <w:noProof/>
                <w:sz w:val="20"/>
                <w:szCs w:val="20"/>
              </w:rPr>
              <w:fldChar w:fldCharType="separate"/>
            </w:r>
            <w:r w:rsidR="00CA602B">
              <w:rPr>
                <w:noProof/>
                <w:sz w:val="20"/>
                <w:szCs w:val="20"/>
              </w:rPr>
              <w:t>1219</w:t>
            </w:r>
            <w:r w:rsidRPr="00E87FFA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74" w:type="dxa"/>
          </w:tcPr>
          <w:p w14:paraId="4A536769" w14:textId="77777777" w:rsidR="004D6E8D" w:rsidRPr="00E87FFA" w:rsidRDefault="00F30006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FFA">
              <w:rPr>
                <w:rFonts w:ascii="Times New Roman" w:hAnsi="Times New Roman"/>
                <w:sz w:val="28"/>
                <w:szCs w:val="28"/>
              </w:rPr>
              <w:t>Dimitrijs</w:t>
            </w:r>
            <w:proofErr w:type="spellEnd"/>
            <w:r w:rsidRPr="00E8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7FFA">
              <w:rPr>
                <w:rFonts w:ascii="Times New Roman" w:hAnsi="Times New Roman"/>
                <w:sz w:val="28"/>
                <w:szCs w:val="28"/>
              </w:rPr>
              <w:t>Trofimovs</w:t>
            </w:r>
            <w:proofErr w:type="spellEnd"/>
          </w:p>
          <w:p w14:paraId="7CB30999" w14:textId="77777777" w:rsidR="004D6E8D" w:rsidRPr="00E87FFA" w:rsidRDefault="004D6E8D" w:rsidP="00BC2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80EC6E" w14:textId="799FEA85" w:rsidR="004A0CAD" w:rsidRPr="00E87FFA" w:rsidRDefault="004D6E8D" w:rsidP="002C74D9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87FFA">
        <w:rPr>
          <w:rFonts w:ascii="Times New Roman" w:hAnsi="Times New Roman"/>
          <w:sz w:val="14"/>
          <w:szCs w:val="24"/>
        </w:rPr>
        <w:t xml:space="preserve">   </w:t>
      </w:r>
      <w:r w:rsidR="004A0CAD" w:rsidRPr="00E87FFA">
        <w:rPr>
          <w:rFonts w:ascii="Times New Roman" w:hAnsi="Times New Roman"/>
          <w:noProof/>
          <w:sz w:val="20"/>
          <w:szCs w:val="20"/>
        </w:rPr>
        <w:t xml:space="preserve">   </w:t>
      </w:r>
      <w:r w:rsidR="00CA602B">
        <w:rPr>
          <w:rFonts w:ascii="Times New Roman" w:hAnsi="Times New Roman"/>
          <w:noProof/>
          <w:sz w:val="20"/>
          <w:szCs w:val="20"/>
        </w:rPr>
        <w:t xml:space="preserve">   </w:t>
      </w:r>
      <w:r w:rsidR="004A0CAD" w:rsidRPr="00E87FFA">
        <w:rPr>
          <w:rFonts w:ascii="Times New Roman" w:hAnsi="Times New Roman"/>
          <w:noProof/>
          <w:sz w:val="20"/>
          <w:szCs w:val="20"/>
        </w:rPr>
        <w:t xml:space="preserve">  </w:t>
      </w:r>
      <w:r w:rsidR="00CA602B">
        <w:rPr>
          <w:rFonts w:ascii="Times New Roman" w:hAnsi="Times New Roman"/>
          <w:noProof/>
          <w:sz w:val="20"/>
          <w:szCs w:val="20"/>
        </w:rPr>
        <w:t>I.</w:t>
      </w:r>
      <w:r w:rsidR="00463F2E" w:rsidRPr="00E87FFA">
        <w:rPr>
          <w:rFonts w:ascii="Times New Roman" w:hAnsi="Times New Roman"/>
          <w:noProof/>
          <w:sz w:val="20"/>
          <w:szCs w:val="20"/>
        </w:rPr>
        <w:t>Opolais</w:t>
      </w:r>
      <w:r w:rsidR="004A0CAD" w:rsidRPr="00E87FFA">
        <w:rPr>
          <w:rFonts w:ascii="Times New Roman" w:hAnsi="Times New Roman"/>
          <w:noProof/>
          <w:sz w:val="20"/>
          <w:szCs w:val="20"/>
        </w:rPr>
        <w:t xml:space="preserve"> </w:t>
      </w:r>
      <w:r w:rsidR="00463F2E" w:rsidRPr="00E87FFA">
        <w:rPr>
          <w:rFonts w:ascii="Times New Roman" w:hAnsi="Times New Roman"/>
          <w:noProof/>
          <w:sz w:val="20"/>
          <w:szCs w:val="20"/>
        </w:rPr>
        <w:t>67075424</w:t>
      </w:r>
    </w:p>
    <w:p w14:paraId="6297B6A2" w14:textId="06F4DF4A" w:rsidR="004D6E8D" w:rsidRPr="00E87FFA" w:rsidRDefault="002C74D9" w:rsidP="002C74D9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87FFA">
        <w:rPr>
          <w:rFonts w:ascii="Times New Roman" w:hAnsi="Times New Roman"/>
          <w:noProof/>
          <w:sz w:val="20"/>
          <w:szCs w:val="20"/>
        </w:rPr>
        <w:t xml:space="preserve">      </w:t>
      </w:r>
      <w:r w:rsidR="00CA602B">
        <w:rPr>
          <w:rFonts w:ascii="Times New Roman" w:hAnsi="Times New Roman"/>
          <w:noProof/>
          <w:sz w:val="20"/>
          <w:szCs w:val="20"/>
        </w:rPr>
        <w:t xml:space="preserve">  </w:t>
      </w:r>
      <w:bookmarkStart w:id="2" w:name="_GoBack"/>
      <w:bookmarkEnd w:id="2"/>
      <w:r w:rsidRPr="00E87FFA">
        <w:rPr>
          <w:rFonts w:ascii="Times New Roman" w:hAnsi="Times New Roman"/>
          <w:noProof/>
          <w:sz w:val="20"/>
          <w:szCs w:val="20"/>
        </w:rPr>
        <w:t xml:space="preserve"> </w:t>
      </w:r>
      <w:r w:rsidR="004A0CAD" w:rsidRPr="00E87FFA">
        <w:rPr>
          <w:rFonts w:ascii="Times New Roman" w:hAnsi="Times New Roman"/>
          <w:noProof/>
          <w:sz w:val="20"/>
          <w:szCs w:val="20"/>
        </w:rPr>
        <w:t xml:space="preserve"> </w:t>
      </w:r>
      <w:hyperlink r:id="rId8" w:history="1">
        <w:r w:rsidR="00463F2E" w:rsidRPr="00E87FFA">
          <w:rPr>
            <w:rFonts w:ascii="Times New Roman" w:hAnsi="Times New Roman"/>
            <w:noProof/>
            <w:sz w:val="20"/>
            <w:szCs w:val="20"/>
          </w:rPr>
          <w:t>intars.opolais@vp.gov.lv</w:t>
        </w:r>
      </w:hyperlink>
      <w:r w:rsidR="004A0CAD" w:rsidRPr="00E87FFA">
        <w:rPr>
          <w:rFonts w:ascii="Times New Roman" w:hAnsi="Times New Roman"/>
          <w:noProof/>
          <w:sz w:val="20"/>
          <w:szCs w:val="20"/>
        </w:rPr>
        <w:t xml:space="preserve"> </w:t>
      </w:r>
      <w:r w:rsidR="004D6E8D" w:rsidRPr="00E87FFA">
        <w:rPr>
          <w:rFonts w:ascii="Times New Roman" w:hAnsi="Times New Roman"/>
          <w:noProof/>
          <w:sz w:val="20"/>
          <w:szCs w:val="20"/>
        </w:rPr>
        <w:t xml:space="preserve"> </w:t>
      </w:r>
    </w:p>
    <w:sectPr w:rsidR="004D6E8D" w:rsidRPr="00E87FFA" w:rsidSect="004E1D3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EC0B" w14:textId="77777777" w:rsidR="00E60205" w:rsidRDefault="00E60205" w:rsidP="00516D9D">
      <w:pPr>
        <w:spacing w:after="0" w:line="240" w:lineRule="auto"/>
      </w:pPr>
      <w:r>
        <w:separator/>
      </w:r>
    </w:p>
  </w:endnote>
  <w:endnote w:type="continuationSeparator" w:id="0">
    <w:p w14:paraId="3D992E17" w14:textId="77777777" w:rsidR="00E60205" w:rsidRDefault="00E60205" w:rsidP="0051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E0B6" w14:textId="77777777" w:rsidR="0098497B" w:rsidRDefault="0098497B" w:rsidP="00E37484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4821" w14:textId="5784123B" w:rsidR="004D6E8D" w:rsidRPr="00516D9D" w:rsidRDefault="00D236E3" w:rsidP="00516D9D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IEMAnot_</w:t>
    </w:r>
    <w:r w:rsidR="005B5C18">
      <w:rPr>
        <w:rFonts w:ascii="Times New Roman" w:hAnsi="Times New Roman"/>
        <w:sz w:val="20"/>
        <w:szCs w:val="20"/>
      </w:rPr>
      <w:t>28</w:t>
    </w:r>
    <w:r>
      <w:rPr>
        <w:rFonts w:ascii="Times New Roman" w:hAnsi="Times New Roman"/>
        <w:sz w:val="20"/>
        <w:szCs w:val="20"/>
      </w:rPr>
      <w:t>0617_</w:t>
    </w:r>
    <w:r w:rsidR="002505A3">
      <w:rPr>
        <w:rFonts w:ascii="Times New Roman" w:hAnsi="Times New Roman"/>
        <w:sz w:val="20"/>
        <w:szCs w:val="20"/>
      </w:rPr>
      <w:t>CORTE_TISPOL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36C7" w14:textId="5528D6D3" w:rsidR="002505A3" w:rsidRPr="00516D9D" w:rsidRDefault="002505A3" w:rsidP="002505A3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IEMAnot_</w:t>
    </w:r>
    <w:r w:rsidR="002B5825">
      <w:rPr>
        <w:rFonts w:ascii="Times New Roman" w:hAnsi="Times New Roman"/>
        <w:sz w:val="20"/>
        <w:szCs w:val="20"/>
      </w:rPr>
      <w:t>28</w:t>
    </w:r>
    <w:r>
      <w:rPr>
        <w:rFonts w:ascii="Times New Roman" w:hAnsi="Times New Roman"/>
        <w:sz w:val="20"/>
        <w:szCs w:val="20"/>
      </w:rPr>
      <w:t>0617_CORTE_TISPOL</w:t>
    </w:r>
  </w:p>
  <w:p w14:paraId="11F0438B" w14:textId="77777777" w:rsidR="004D6E8D" w:rsidRPr="002505A3" w:rsidRDefault="004D6E8D" w:rsidP="0025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5729" w14:textId="77777777" w:rsidR="00E60205" w:rsidRDefault="00E60205" w:rsidP="00516D9D">
      <w:pPr>
        <w:spacing w:after="0" w:line="240" w:lineRule="auto"/>
      </w:pPr>
      <w:r>
        <w:separator/>
      </w:r>
    </w:p>
  </w:footnote>
  <w:footnote w:type="continuationSeparator" w:id="0">
    <w:p w14:paraId="39E10513" w14:textId="77777777" w:rsidR="00E60205" w:rsidRDefault="00E60205" w:rsidP="0051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495B" w14:textId="77777777" w:rsidR="004D6E8D" w:rsidRDefault="00396D0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02B">
      <w:rPr>
        <w:noProof/>
      </w:rPr>
      <w:t>6</w:t>
    </w:r>
    <w:r>
      <w:rPr>
        <w:noProof/>
      </w:rPr>
      <w:fldChar w:fldCharType="end"/>
    </w:r>
  </w:p>
  <w:p w14:paraId="4392E234" w14:textId="77777777" w:rsidR="004D6E8D" w:rsidRDefault="004D6E8D" w:rsidP="00E3748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347"/>
    <w:multiLevelType w:val="hybridMultilevel"/>
    <w:tmpl w:val="1F36C17E"/>
    <w:lvl w:ilvl="0" w:tplc="38A462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07D"/>
    <w:multiLevelType w:val="multilevel"/>
    <w:tmpl w:val="A90A83AC"/>
    <w:lvl w:ilvl="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eastAsia="Times New Roman" w:cs="Times New Roman" w:hint="default"/>
        <w:color w:val="414142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eastAsia="Times New Roman" w:cs="Times New Roman" w:hint="default"/>
        <w:color w:val="414142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eastAsia="Times New Roman" w:cs="Times New Roman" w:hint="default"/>
        <w:color w:val="414142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eastAsia="Times New Roman" w:cs="Times New Roman" w:hint="default"/>
        <w:color w:val="414142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eastAsia="Times New Roman" w:cs="Times New Roman" w:hint="default"/>
        <w:color w:val="414142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eastAsia="Times New Roman" w:cs="Times New Roman" w:hint="default"/>
        <w:color w:val="414142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eastAsia="Times New Roman" w:cs="Times New Roman" w:hint="default"/>
        <w:color w:val="414142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eastAsia="Times New Roman" w:cs="Times New Roman" w:hint="default"/>
        <w:color w:val="414142"/>
      </w:rPr>
    </w:lvl>
  </w:abstractNum>
  <w:abstractNum w:abstractNumId="2" w15:restartNumberingAfterBreak="0">
    <w:nsid w:val="209F309B"/>
    <w:multiLevelType w:val="hybridMultilevel"/>
    <w:tmpl w:val="2366766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3592B"/>
    <w:multiLevelType w:val="hybridMultilevel"/>
    <w:tmpl w:val="85B01152"/>
    <w:lvl w:ilvl="0" w:tplc="5EC40C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C5A"/>
    <w:multiLevelType w:val="hybridMultilevel"/>
    <w:tmpl w:val="98DCCD1E"/>
    <w:lvl w:ilvl="0" w:tplc="3BD2646A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5" w15:restartNumberingAfterBreak="0">
    <w:nsid w:val="345E3884"/>
    <w:multiLevelType w:val="hybridMultilevel"/>
    <w:tmpl w:val="0E308236"/>
    <w:lvl w:ilvl="0" w:tplc="AF2241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A2E56"/>
    <w:multiLevelType w:val="hybridMultilevel"/>
    <w:tmpl w:val="F2A444DA"/>
    <w:lvl w:ilvl="0" w:tplc="5FBC0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6A5E"/>
    <w:multiLevelType w:val="hybridMultilevel"/>
    <w:tmpl w:val="CA2ECF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A8E"/>
    <w:multiLevelType w:val="hybridMultilevel"/>
    <w:tmpl w:val="BECABB92"/>
    <w:lvl w:ilvl="0" w:tplc="E4DA08B0">
      <w:start w:val="1"/>
      <w:numFmt w:val="decimal"/>
      <w:lvlText w:val="%1)"/>
      <w:lvlJc w:val="left"/>
      <w:pPr>
        <w:ind w:left="940" w:hanging="360"/>
      </w:pPr>
      <w:rPr>
        <w:rFonts w:eastAsia="Times New Roman" w:cs="Times New Roman" w:hint="default"/>
        <w:color w:val="201C20"/>
      </w:rPr>
    </w:lvl>
    <w:lvl w:ilvl="1" w:tplc="0426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3"/>
    <w:rsid w:val="00001ABF"/>
    <w:rsid w:val="000020FC"/>
    <w:rsid w:val="00036FC5"/>
    <w:rsid w:val="00090721"/>
    <w:rsid w:val="000B3DB2"/>
    <w:rsid w:val="000C0CAD"/>
    <w:rsid w:val="000C2C05"/>
    <w:rsid w:val="000C4765"/>
    <w:rsid w:val="000C7D4E"/>
    <w:rsid w:val="000D27C5"/>
    <w:rsid w:val="000E3786"/>
    <w:rsid w:val="000E6DFD"/>
    <w:rsid w:val="00111912"/>
    <w:rsid w:val="00112BCB"/>
    <w:rsid w:val="00130EF6"/>
    <w:rsid w:val="001550B4"/>
    <w:rsid w:val="00164DB9"/>
    <w:rsid w:val="00176EF2"/>
    <w:rsid w:val="001B30A8"/>
    <w:rsid w:val="001F3236"/>
    <w:rsid w:val="00207429"/>
    <w:rsid w:val="00234230"/>
    <w:rsid w:val="00234DE6"/>
    <w:rsid w:val="00241675"/>
    <w:rsid w:val="00245354"/>
    <w:rsid w:val="002505A3"/>
    <w:rsid w:val="002664EA"/>
    <w:rsid w:val="00292535"/>
    <w:rsid w:val="002B0A17"/>
    <w:rsid w:val="002B5825"/>
    <w:rsid w:val="002C32F3"/>
    <w:rsid w:val="002C74D9"/>
    <w:rsid w:val="002D1BD7"/>
    <w:rsid w:val="002D7276"/>
    <w:rsid w:val="002E5AE4"/>
    <w:rsid w:val="003007EE"/>
    <w:rsid w:val="0031737E"/>
    <w:rsid w:val="00341D6D"/>
    <w:rsid w:val="0034718A"/>
    <w:rsid w:val="00354EC0"/>
    <w:rsid w:val="00372E8C"/>
    <w:rsid w:val="00380519"/>
    <w:rsid w:val="003862CD"/>
    <w:rsid w:val="00390783"/>
    <w:rsid w:val="00393530"/>
    <w:rsid w:val="00396D0A"/>
    <w:rsid w:val="003973BA"/>
    <w:rsid w:val="003B1475"/>
    <w:rsid w:val="003B3575"/>
    <w:rsid w:val="003B69CA"/>
    <w:rsid w:val="003D1EE9"/>
    <w:rsid w:val="003E704F"/>
    <w:rsid w:val="004139C2"/>
    <w:rsid w:val="00431DD3"/>
    <w:rsid w:val="004432EE"/>
    <w:rsid w:val="004544A2"/>
    <w:rsid w:val="00455D7E"/>
    <w:rsid w:val="004606BA"/>
    <w:rsid w:val="00463F2E"/>
    <w:rsid w:val="004879E2"/>
    <w:rsid w:val="004937B5"/>
    <w:rsid w:val="004A0CAD"/>
    <w:rsid w:val="004B6C8E"/>
    <w:rsid w:val="004D5AAE"/>
    <w:rsid w:val="004D6E8D"/>
    <w:rsid w:val="004E1D3F"/>
    <w:rsid w:val="004F0882"/>
    <w:rsid w:val="004F7FBD"/>
    <w:rsid w:val="00510A57"/>
    <w:rsid w:val="00516D9D"/>
    <w:rsid w:val="00534C44"/>
    <w:rsid w:val="00554E5F"/>
    <w:rsid w:val="005574D6"/>
    <w:rsid w:val="0057012A"/>
    <w:rsid w:val="0057170B"/>
    <w:rsid w:val="005719F6"/>
    <w:rsid w:val="005748CB"/>
    <w:rsid w:val="00586970"/>
    <w:rsid w:val="005A4074"/>
    <w:rsid w:val="005B0481"/>
    <w:rsid w:val="005B5C18"/>
    <w:rsid w:val="005B64F3"/>
    <w:rsid w:val="005C1BD4"/>
    <w:rsid w:val="005D7F08"/>
    <w:rsid w:val="005E181B"/>
    <w:rsid w:val="005F05E7"/>
    <w:rsid w:val="005F28C8"/>
    <w:rsid w:val="006073F7"/>
    <w:rsid w:val="00610848"/>
    <w:rsid w:val="00612008"/>
    <w:rsid w:val="00614566"/>
    <w:rsid w:val="00614FF3"/>
    <w:rsid w:val="00623776"/>
    <w:rsid w:val="00644343"/>
    <w:rsid w:val="006448CB"/>
    <w:rsid w:val="00650199"/>
    <w:rsid w:val="00657369"/>
    <w:rsid w:val="006A1FB9"/>
    <w:rsid w:val="006E4085"/>
    <w:rsid w:val="006F0A90"/>
    <w:rsid w:val="00704BF1"/>
    <w:rsid w:val="00707E74"/>
    <w:rsid w:val="00710EEF"/>
    <w:rsid w:val="00723830"/>
    <w:rsid w:val="00735B16"/>
    <w:rsid w:val="00744F2F"/>
    <w:rsid w:val="0076048A"/>
    <w:rsid w:val="0076364C"/>
    <w:rsid w:val="00767FAB"/>
    <w:rsid w:val="00793546"/>
    <w:rsid w:val="007B7C60"/>
    <w:rsid w:val="007C4BB6"/>
    <w:rsid w:val="007D1318"/>
    <w:rsid w:val="007E0546"/>
    <w:rsid w:val="007E31D5"/>
    <w:rsid w:val="007E35FA"/>
    <w:rsid w:val="007F0EB8"/>
    <w:rsid w:val="00821D3B"/>
    <w:rsid w:val="00824BE4"/>
    <w:rsid w:val="00826503"/>
    <w:rsid w:val="0084561C"/>
    <w:rsid w:val="00851D7F"/>
    <w:rsid w:val="0087582D"/>
    <w:rsid w:val="00890732"/>
    <w:rsid w:val="008B3A3D"/>
    <w:rsid w:val="008D4843"/>
    <w:rsid w:val="008F6C46"/>
    <w:rsid w:val="00902952"/>
    <w:rsid w:val="00926974"/>
    <w:rsid w:val="00950A7C"/>
    <w:rsid w:val="00952C1E"/>
    <w:rsid w:val="00953865"/>
    <w:rsid w:val="00966F5E"/>
    <w:rsid w:val="009763B6"/>
    <w:rsid w:val="0098176E"/>
    <w:rsid w:val="00983FDC"/>
    <w:rsid w:val="0098497B"/>
    <w:rsid w:val="009B641C"/>
    <w:rsid w:val="00A02EC2"/>
    <w:rsid w:val="00A039C8"/>
    <w:rsid w:val="00A15068"/>
    <w:rsid w:val="00A22493"/>
    <w:rsid w:val="00A232EF"/>
    <w:rsid w:val="00A5322F"/>
    <w:rsid w:val="00A62755"/>
    <w:rsid w:val="00A64CAD"/>
    <w:rsid w:val="00A71C08"/>
    <w:rsid w:val="00A844BC"/>
    <w:rsid w:val="00A9176C"/>
    <w:rsid w:val="00A935B1"/>
    <w:rsid w:val="00AA12F1"/>
    <w:rsid w:val="00AA3BF2"/>
    <w:rsid w:val="00AB325D"/>
    <w:rsid w:val="00AB3E94"/>
    <w:rsid w:val="00AC5930"/>
    <w:rsid w:val="00AD238A"/>
    <w:rsid w:val="00AF1AF8"/>
    <w:rsid w:val="00AF61D4"/>
    <w:rsid w:val="00B04FF6"/>
    <w:rsid w:val="00B1311A"/>
    <w:rsid w:val="00B25CB4"/>
    <w:rsid w:val="00B3605C"/>
    <w:rsid w:val="00B64C15"/>
    <w:rsid w:val="00B76BC1"/>
    <w:rsid w:val="00B90CDE"/>
    <w:rsid w:val="00BC2011"/>
    <w:rsid w:val="00BD04C5"/>
    <w:rsid w:val="00BD2D48"/>
    <w:rsid w:val="00BD413F"/>
    <w:rsid w:val="00BD654C"/>
    <w:rsid w:val="00BE6D56"/>
    <w:rsid w:val="00BE7F79"/>
    <w:rsid w:val="00C00BA6"/>
    <w:rsid w:val="00C2507C"/>
    <w:rsid w:val="00C34092"/>
    <w:rsid w:val="00C44724"/>
    <w:rsid w:val="00C72A5E"/>
    <w:rsid w:val="00C87139"/>
    <w:rsid w:val="00C94DE9"/>
    <w:rsid w:val="00CA602B"/>
    <w:rsid w:val="00CC0003"/>
    <w:rsid w:val="00CE3943"/>
    <w:rsid w:val="00CF0D34"/>
    <w:rsid w:val="00D02769"/>
    <w:rsid w:val="00D02D24"/>
    <w:rsid w:val="00D236E3"/>
    <w:rsid w:val="00D476B9"/>
    <w:rsid w:val="00D5771D"/>
    <w:rsid w:val="00D645D9"/>
    <w:rsid w:val="00D65064"/>
    <w:rsid w:val="00DA6846"/>
    <w:rsid w:val="00DC4A12"/>
    <w:rsid w:val="00DC4D5A"/>
    <w:rsid w:val="00DD2395"/>
    <w:rsid w:val="00DF118E"/>
    <w:rsid w:val="00DF2509"/>
    <w:rsid w:val="00DF6A37"/>
    <w:rsid w:val="00DF6B95"/>
    <w:rsid w:val="00E03AC9"/>
    <w:rsid w:val="00E04DFE"/>
    <w:rsid w:val="00E07417"/>
    <w:rsid w:val="00E272A0"/>
    <w:rsid w:val="00E31F1A"/>
    <w:rsid w:val="00E37484"/>
    <w:rsid w:val="00E543A6"/>
    <w:rsid w:val="00E54FAD"/>
    <w:rsid w:val="00E60205"/>
    <w:rsid w:val="00E657FB"/>
    <w:rsid w:val="00E72F80"/>
    <w:rsid w:val="00E87FFA"/>
    <w:rsid w:val="00EA0046"/>
    <w:rsid w:val="00EA62E4"/>
    <w:rsid w:val="00EB5E9A"/>
    <w:rsid w:val="00EC123B"/>
    <w:rsid w:val="00EC6A89"/>
    <w:rsid w:val="00ED2D3D"/>
    <w:rsid w:val="00F07B92"/>
    <w:rsid w:val="00F1159D"/>
    <w:rsid w:val="00F12A3B"/>
    <w:rsid w:val="00F24A95"/>
    <w:rsid w:val="00F30006"/>
    <w:rsid w:val="00F4217A"/>
    <w:rsid w:val="00F536D7"/>
    <w:rsid w:val="00F60CE7"/>
    <w:rsid w:val="00F729CC"/>
    <w:rsid w:val="00F8010F"/>
    <w:rsid w:val="00F810CF"/>
    <w:rsid w:val="00F81569"/>
    <w:rsid w:val="00F83A59"/>
    <w:rsid w:val="00FA2468"/>
    <w:rsid w:val="00FC181B"/>
    <w:rsid w:val="00FC5D36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A79FC"/>
  <w15:docId w15:val="{0DE2F62F-175D-4E26-8711-1D97AE2E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DB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B3D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6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6D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6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9D"/>
    <w:rPr>
      <w:rFonts w:cs="Times New Roman"/>
    </w:rPr>
  </w:style>
  <w:style w:type="paragraph" w:styleId="NormalWeb">
    <w:name w:val="Normal (Web)"/>
    <w:basedOn w:val="Normal"/>
    <w:uiPriority w:val="99"/>
    <w:rsid w:val="00516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516D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D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1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13F"/>
    <w:rPr>
      <w:rFonts w:cs="Times New Roman"/>
      <w:b/>
      <w:bCs/>
      <w:sz w:val="20"/>
      <w:szCs w:val="20"/>
    </w:rPr>
  </w:style>
  <w:style w:type="character" w:customStyle="1" w:styleId="st">
    <w:name w:val="st"/>
    <w:basedOn w:val="DefaultParagraphFont"/>
    <w:uiPriority w:val="99"/>
    <w:rsid w:val="00510A57"/>
    <w:rPr>
      <w:rFonts w:cs="Times New Roman"/>
    </w:rPr>
  </w:style>
  <w:style w:type="paragraph" w:styleId="Revision">
    <w:name w:val="Revision"/>
    <w:hidden/>
    <w:uiPriority w:val="99"/>
    <w:semiHidden/>
    <w:rsid w:val="00E37484"/>
    <w:rPr>
      <w:lang w:eastAsia="en-US"/>
    </w:rPr>
  </w:style>
  <w:style w:type="paragraph" w:customStyle="1" w:styleId="naisf">
    <w:name w:val="naisf"/>
    <w:basedOn w:val="Normal"/>
    <w:rsid w:val="004A0CA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60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605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rs.opolais@v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F4DC-164B-4720-BB75-65970427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1260</Words>
  <Characters>8435</Characters>
  <Application>Microsoft Office Word</Application>
  <DocSecurity>0</DocSecurity>
  <Lines>443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Kurca</dc:creator>
  <cp:lastModifiedBy>Alda Strode</cp:lastModifiedBy>
  <cp:revision>6</cp:revision>
  <cp:lastPrinted>2017-06-16T11:02:00Z</cp:lastPrinted>
  <dcterms:created xsi:type="dcterms:W3CDTF">2017-06-28T07:30:00Z</dcterms:created>
  <dcterms:modified xsi:type="dcterms:W3CDTF">2017-06-28T11:59:00Z</dcterms:modified>
</cp:coreProperties>
</file>