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1CD7" w14:textId="77777777" w:rsidR="00037CA8" w:rsidRPr="00037CA8" w:rsidRDefault="00037CA8" w:rsidP="0086507F">
      <w:pPr>
        <w:ind w:firstLine="0"/>
        <w:rPr>
          <w:rFonts w:eastAsia="Times New Roman" w:cs="Times New Roman"/>
          <w:szCs w:val="28"/>
        </w:rPr>
      </w:pPr>
    </w:p>
    <w:p w14:paraId="08621CD9" w14:textId="77777777" w:rsidR="00037CA8" w:rsidRPr="00037CA8" w:rsidRDefault="00037CA8" w:rsidP="0086507F">
      <w:pPr>
        <w:ind w:firstLine="0"/>
        <w:rPr>
          <w:rFonts w:eastAsia="Times New Roman" w:cs="Times New Roman"/>
          <w:szCs w:val="28"/>
        </w:rPr>
      </w:pPr>
    </w:p>
    <w:p w14:paraId="08621CDA" w14:textId="77777777" w:rsidR="00037CA8" w:rsidRPr="00037CA8" w:rsidRDefault="00037CA8" w:rsidP="0086507F">
      <w:pPr>
        <w:ind w:firstLine="0"/>
        <w:rPr>
          <w:rFonts w:eastAsia="Times New Roman" w:cs="Times New Roman"/>
          <w:szCs w:val="28"/>
        </w:rPr>
      </w:pPr>
    </w:p>
    <w:p w14:paraId="756D46B5" w14:textId="174ACFBB" w:rsidR="0086507F" w:rsidRPr="00693240" w:rsidRDefault="0086507F" w:rsidP="0086507F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</w:t>
      </w:r>
      <w:r w:rsidR="00663D85">
        <w:rPr>
          <w:szCs w:val="28"/>
        </w:rPr>
        <w:t>27. jūnijā</w:t>
      </w:r>
      <w:r w:rsidRPr="00693240">
        <w:rPr>
          <w:szCs w:val="28"/>
        </w:rPr>
        <w:tab/>
        <w:t>Noteikumi Nr.</w:t>
      </w:r>
      <w:r w:rsidR="00663D85">
        <w:rPr>
          <w:szCs w:val="28"/>
        </w:rPr>
        <w:t> 357</w:t>
      </w:r>
    </w:p>
    <w:p w14:paraId="7C3E8855" w14:textId="620F6DC2" w:rsidR="0086507F" w:rsidRPr="00693240" w:rsidRDefault="0086507F" w:rsidP="0086507F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Rīgā</w:t>
      </w:r>
      <w:bookmarkStart w:id="0" w:name="_GoBack"/>
      <w:bookmarkEnd w:id="0"/>
      <w:r w:rsidRPr="00693240">
        <w:rPr>
          <w:szCs w:val="28"/>
        </w:rPr>
        <w:tab/>
        <w:t>(prot. Nr. </w:t>
      </w:r>
      <w:r w:rsidR="00663D85">
        <w:rPr>
          <w:szCs w:val="28"/>
        </w:rPr>
        <w:t>32</w:t>
      </w:r>
      <w:r w:rsidRPr="00693240">
        <w:rPr>
          <w:szCs w:val="28"/>
        </w:rPr>
        <w:t>  </w:t>
      </w:r>
      <w:r w:rsidR="00663D85">
        <w:rPr>
          <w:szCs w:val="28"/>
        </w:rPr>
        <w:t>7</w:t>
      </w:r>
      <w:r w:rsidRPr="00693240">
        <w:rPr>
          <w:szCs w:val="28"/>
        </w:rPr>
        <w:t>. §)</w:t>
      </w:r>
    </w:p>
    <w:p w14:paraId="08621CDD" w14:textId="64D5B428" w:rsidR="00A52B8E" w:rsidRDefault="00A52B8E" w:rsidP="0086507F">
      <w:pPr>
        <w:ind w:firstLine="0"/>
        <w:outlineLvl w:val="2"/>
        <w:rPr>
          <w:rFonts w:eastAsia="Times New Roman" w:cs="Times New Roman"/>
          <w:szCs w:val="28"/>
        </w:rPr>
      </w:pPr>
    </w:p>
    <w:p w14:paraId="08621CDE" w14:textId="2207094D" w:rsidR="002604C9" w:rsidRPr="002604C9" w:rsidRDefault="00A52B8E" w:rsidP="0086507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Grozījums</w:t>
      </w:r>
      <w:r w:rsidR="002604C9" w:rsidRPr="002604C9">
        <w:rPr>
          <w:rFonts w:eastAsia="Times New Roman" w:cs="Times New Roman"/>
          <w:b/>
          <w:bCs/>
          <w:szCs w:val="28"/>
          <w:lang w:eastAsia="lv-LV"/>
        </w:rPr>
        <w:t xml:space="preserve"> Ministru kabineta 2011.</w:t>
      </w:r>
      <w:r w:rsidR="0086507F">
        <w:rPr>
          <w:rFonts w:eastAsia="Times New Roman" w:cs="Times New Roman"/>
          <w:b/>
          <w:bCs/>
          <w:szCs w:val="28"/>
          <w:lang w:eastAsia="lv-LV"/>
        </w:rPr>
        <w:t> </w:t>
      </w:r>
      <w:r w:rsidR="002604C9" w:rsidRPr="002604C9">
        <w:rPr>
          <w:rFonts w:eastAsia="Times New Roman" w:cs="Times New Roman"/>
          <w:b/>
          <w:bCs/>
          <w:szCs w:val="28"/>
          <w:lang w:eastAsia="lv-LV"/>
        </w:rPr>
        <w:t xml:space="preserve">gada </w:t>
      </w:r>
      <w:r w:rsidR="00E4308B">
        <w:rPr>
          <w:rFonts w:eastAsia="Times New Roman" w:cs="Times New Roman"/>
          <w:b/>
          <w:bCs/>
          <w:szCs w:val="28"/>
          <w:lang w:eastAsia="lv-LV"/>
        </w:rPr>
        <w:t>27.</w:t>
      </w:r>
      <w:r w:rsidR="0086507F">
        <w:rPr>
          <w:rFonts w:eastAsia="Times New Roman" w:cs="Times New Roman"/>
          <w:b/>
          <w:bCs/>
          <w:szCs w:val="28"/>
          <w:lang w:eastAsia="lv-LV"/>
        </w:rPr>
        <w:t> </w:t>
      </w:r>
      <w:r w:rsidR="00E4308B">
        <w:rPr>
          <w:rFonts w:eastAsia="Times New Roman" w:cs="Times New Roman"/>
          <w:b/>
          <w:bCs/>
          <w:szCs w:val="28"/>
          <w:lang w:eastAsia="lv-LV"/>
        </w:rPr>
        <w:t>decembra noteikumos Nr.</w:t>
      </w:r>
      <w:r w:rsidR="0086507F">
        <w:rPr>
          <w:rFonts w:eastAsia="Times New Roman" w:cs="Times New Roman"/>
          <w:b/>
          <w:bCs/>
          <w:szCs w:val="28"/>
          <w:lang w:eastAsia="lv-LV"/>
        </w:rPr>
        <w:t> </w:t>
      </w:r>
      <w:r w:rsidR="00E4308B">
        <w:rPr>
          <w:rFonts w:eastAsia="Times New Roman" w:cs="Times New Roman"/>
          <w:b/>
          <w:bCs/>
          <w:szCs w:val="28"/>
          <w:lang w:eastAsia="lv-LV"/>
        </w:rPr>
        <w:t xml:space="preserve">1012 </w:t>
      </w:r>
      <w:r w:rsidR="0086507F">
        <w:rPr>
          <w:rFonts w:eastAsia="Times New Roman" w:cs="Times New Roman"/>
          <w:b/>
          <w:bCs/>
          <w:szCs w:val="28"/>
          <w:lang w:eastAsia="lv-LV"/>
        </w:rPr>
        <w:t>"</w:t>
      </w:r>
      <w:hyperlink r:id="rId8" w:tgtFrame="_blank" w:history="1">
        <w:r w:rsidR="002604C9" w:rsidRPr="00E4308B">
          <w:rPr>
            <w:rFonts w:eastAsia="Times New Roman" w:cs="Times New Roman"/>
            <w:b/>
            <w:bCs/>
            <w:szCs w:val="28"/>
            <w:lang w:eastAsia="lv-LV"/>
          </w:rPr>
          <w:t>Šaujamieroču, lielas enerģijas pneimatisko ieroču un gāzes pistoļu (revolveru) vienotās uzskaites kārtība</w:t>
        </w:r>
      </w:hyperlink>
      <w:r w:rsidR="0086507F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06428930" w14:textId="77777777" w:rsidR="0086507F" w:rsidRDefault="0086507F" w:rsidP="00B16D51">
      <w:pPr>
        <w:ind w:firstLine="0"/>
        <w:rPr>
          <w:rFonts w:eastAsia="Times New Roman" w:cs="Times New Roman"/>
          <w:iCs/>
          <w:szCs w:val="28"/>
          <w:lang w:eastAsia="lv-LV"/>
        </w:rPr>
      </w:pPr>
    </w:p>
    <w:p w14:paraId="1DB9DBDF" w14:textId="77777777" w:rsidR="00B16D51" w:rsidRDefault="002604C9" w:rsidP="0086507F">
      <w:pPr>
        <w:jc w:val="right"/>
        <w:rPr>
          <w:rFonts w:eastAsia="Times New Roman" w:cs="Times New Roman"/>
          <w:iCs/>
          <w:szCs w:val="28"/>
          <w:lang w:eastAsia="lv-LV"/>
        </w:rPr>
      </w:pPr>
      <w:r w:rsidRPr="00B037A0">
        <w:rPr>
          <w:rFonts w:eastAsia="Times New Roman" w:cs="Times New Roman"/>
          <w:iCs/>
          <w:szCs w:val="28"/>
          <w:lang w:eastAsia="lv-LV"/>
        </w:rPr>
        <w:t xml:space="preserve">Izdoti saskaņā ar </w:t>
      </w:r>
    </w:p>
    <w:p w14:paraId="02D2BCBF" w14:textId="3DEF78EB" w:rsidR="00B16D51" w:rsidRDefault="00B16D51" w:rsidP="0086507F">
      <w:pPr>
        <w:jc w:val="right"/>
        <w:rPr>
          <w:rFonts w:eastAsia="Times New Roman" w:cs="Times New Roman"/>
          <w:iCs/>
          <w:szCs w:val="28"/>
          <w:lang w:eastAsia="lv-LV"/>
        </w:rPr>
      </w:pPr>
      <w:r>
        <w:fldChar w:fldCharType="begin"/>
      </w:r>
      <w:r>
        <w:instrText xml:space="preserve"> HYPERLINK "https://likumi.lv/ta/id/221384-ierocu-un-specialo-lidzeklu-aprites-likums" \t "_blank" </w:instrText>
      </w:r>
      <w:r>
        <w:fldChar w:fldCharType="separate"/>
      </w:r>
      <w:r w:rsidR="002604C9" w:rsidRPr="00B037A0">
        <w:rPr>
          <w:rFonts w:eastAsia="Times New Roman" w:cs="Times New Roman"/>
          <w:iCs/>
          <w:szCs w:val="28"/>
          <w:lang w:eastAsia="lv-LV"/>
        </w:rPr>
        <w:t>Ieroču un speciālo līdzekļu aprites</w:t>
      </w:r>
      <w:r w:rsidRPr="00B16D51">
        <w:t xml:space="preserve"> </w:t>
      </w:r>
      <w:r w:rsidRPr="00B16D51">
        <w:rPr>
          <w:rFonts w:eastAsia="Times New Roman" w:cs="Times New Roman"/>
          <w:iCs/>
          <w:szCs w:val="28"/>
          <w:lang w:eastAsia="lv-LV"/>
        </w:rPr>
        <w:t>likuma</w:t>
      </w:r>
    </w:p>
    <w:p w14:paraId="2CF46692" w14:textId="6362E1F4" w:rsidR="00B16D51" w:rsidRDefault="00B16D51" w:rsidP="0086507F">
      <w:pPr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fldChar w:fldCharType="end"/>
      </w:r>
      <w:r>
        <w:rPr>
          <w:rFonts w:eastAsia="Times New Roman" w:cs="Times New Roman"/>
          <w:iCs/>
          <w:szCs w:val="28"/>
          <w:lang w:eastAsia="lv-LV"/>
        </w:rPr>
        <w:t xml:space="preserve"> </w:t>
      </w:r>
      <w:r w:rsidR="002604C9" w:rsidRPr="00B037A0">
        <w:rPr>
          <w:rFonts w:eastAsia="Times New Roman" w:cs="Times New Roman"/>
          <w:iCs/>
          <w:szCs w:val="28"/>
          <w:lang w:eastAsia="lv-LV"/>
        </w:rPr>
        <w:t>18.</w:t>
      </w:r>
      <w:r w:rsidR="002604C9" w:rsidRPr="00B037A0">
        <w:rPr>
          <w:rFonts w:eastAsia="Times New Roman" w:cs="Times New Roman"/>
          <w:iCs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iCs/>
          <w:szCs w:val="28"/>
          <w:vertAlign w:val="superscript"/>
          <w:lang w:eastAsia="lv-LV"/>
        </w:rPr>
        <w:t> </w:t>
      </w:r>
      <w:r w:rsidR="002604C9" w:rsidRPr="00B037A0">
        <w:rPr>
          <w:rFonts w:eastAsia="Times New Roman" w:cs="Times New Roman"/>
          <w:iCs/>
          <w:szCs w:val="28"/>
          <w:lang w:eastAsia="lv-LV"/>
        </w:rPr>
        <w:t>panta sestās daļas 3.</w:t>
      </w:r>
      <w:r w:rsidR="0086507F">
        <w:rPr>
          <w:rFonts w:eastAsia="Times New Roman" w:cs="Times New Roman"/>
          <w:iCs/>
          <w:szCs w:val="28"/>
          <w:lang w:eastAsia="lv-LV"/>
        </w:rPr>
        <w:t> </w:t>
      </w:r>
      <w:r w:rsidR="002604C9" w:rsidRPr="00B037A0">
        <w:rPr>
          <w:rFonts w:eastAsia="Times New Roman" w:cs="Times New Roman"/>
          <w:iCs/>
          <w:szCs w:val="28"/>
          <w:lang w:eastAsia="lv-LV"/>
        </w:rPr>
        <w:t xml:space="preserve">punktu </w:t>
      </w:r>
    </w:p>
    <w:p w14:paraId="08621CDF" w14:textId="370FC163" w:rsidR="002604C9" w:rsidRPr="00B037A0" w:rsidRDefault="002604C9" w:rsidP="0086507F">
      <w:pPr>
        <w:jc w:val="right"/>
        <w:rPr>
          <w:rFonts w:eastAsia="Times New Roman" w:cs="Times New Roman"/>
          <w:iCs/>
          <w:szCs w:val="28"/>
          <w:lang w:eastAsia="lv-LV"/>
        </w:rPr>
      </w:pPr>
      <w:r w:rsidRPr="00B037A0">
        <w:rPr>
          <w:rFonts w:eastAsia="Times New Roman" w:cs="Times New Roman"/>
          <w:iCs/>
          <w:szCs w:val="28"/>
          <w:lang w:eastAsia="lv-LV"/>
        </w:rPr>
        <w:t xml:space="preserve">un </w:t>
      </w:r>
      <w:hyperlink r:id="rId9" w:anchor="p47" w:tgtFrame="_blank" w:history="1">
        <w:r w:rsidRPr="00B037A0">
          <w:rPr>
            <w:rFonts w:eastAsia="Times New Roman" w:cs="Times New Roman"/>
            <w:iCs/>
            <w:szCs w:val="28"/>
            <w:lang w:eastAsia="lv-LV"/>
          </w:rPr>
          <w:t>47.</w:t>
        </w:r>
        <w:r w:rsidR="0086507F">
          <w:rPr>
            <w:rFonts w:eastAsia="Times New Roman" w:cs="Times New Roman"/>
            <w:iCs/>
            <w:szCs w:val="28"/>
            <w:lang w:eastAsia="lv-LV"/>
          </w:rPr>
          <w:t> </w:t>
        </w:r>
        <w:r w:rsidRPr="00B037A0">
          <w:rPr>
            <w:rFonts w:eastAsia="Times New Roman" w:cs="Times New Roman"/>
            <w:iCs/>
            <w:szCs w:val="28"/>
            <w:lang w:eastAsia="lv-LV"/>
          </w:rPr>
          <w:t>panta</w:t>
        </w:r>
      </w:hyperlink>
      <w:r w:rsidRPr="00B037A0">
        <w:rPr>
          <w:rFonts w:eastAsia="Times New Roman" w:cs="Times New Roman"/>
          <w:iCs/>
          <w:szCs w:val="28"/>
          <w:lang w:eastAsia="lv-LV"/>
        </w:rPr>
        <w:t xml:space="preserve"> otro daļu</w:t>
      </w:r>
    </w:p>
    <w:p w14:paraId="70F1D03F" w14:textId="77777777" w:rsidR="0086507F" w:rsidRDefault="0086507F" w:rsidP="0086507F">
      <w:pPr>
        <w:rPr>
          <w:rFonts w:eastAsia="Times New Roman" w:cs="Times New Roman"/>
          <w:szCs w:val="28"/>
          <w:lang w:eastAsia="lv-LV"/>
        </w:rPr>
      </w:pPr>
    </w:p>
    <w:p w14:paraId="08621CE0" w14:textId="53F4E59C" w:rsidR="002604C9" w:rsidRDefault="00A52B8E" w:rsidP="0086507F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Izdarīt Ministru kabineta 2011.</w:t>
      </w:r>
      <w:r w:rsidR="0086507F">
        <w:rPr>
          <w:rFonts w:eastAsia="Times New Roman" w:cs="Times New Roman"/>
          <w:szCs w:val="28"/>
          <w:lang w:eastAsia="lv-LV"/>
        </w:rPr>
        <w:t> </w:t>
      </w:r>
      <w:r w:rsidR="002604C9" w:rsidRPr="002604C9">
        <w:rPr>
          <w:rFonts w:eastAsia="Times New Roman" w:cs="Times New Roman"/>
          <w:szCs w:val="28"/>
          <w:lang w:eastAsia="lv-LV"/>
        </w:rPr>
        <w:t>gada 27</w:t>
      </w:r>
      <w:r>
        <w:rPr>
          <w:rFonts w:eastAsia="Times New Roman" w:cs="Times New Roman"/>
          <w:szCs w:val="28"/>
          <w:lang w:eastAsia="lv-LV"/>
        </w:rPr>
        <w:t>.</w:t>
      </w:r>
      <w:r w:rsidR="0086507F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decembra noteikumos Nr.</w:t>
      </w:r>
      <w:r w:rsidR="0086507F">
        <w:rPr>
          <w:rFonts w:eastAsia="Times New Roman" w:cs="Times New Roman"/>
          <w:szCs w:val="28"/>
          <w:lang w:eastAsia="lv-LV"/>
        </w:rPr>
        <w:t> </w:t>
      </w:r>
      <w:r w:rsidR="00E4308B">
        <w:rPr>
          <w:rFonts w:eastAsia="Times New Roman" w:cs="Times New Roman"/>
          <w:szCs w:val="28"/>
          <w:lang w:eastAsia="lv-LV"/>
        </w:rPr>
        <w:t xml:space="preserve">1012 </w:t>
      </w:r>
      <w:r w:rsidR="0086507F">
        <w:rPr>
          <w:rFonts w:eastAsia="Times New Roman" w:cs="Times New Roman"/>
          <w:szCs w:val="28"/>
          <w:lang w:eastAsia="lv-LV"/>
        </w:rPr>
        <w:t>"</w:t>
      </w:r>
      <w:hyperlink r:id="rId10" w:tgtFrame="_blank" w:history="1">
        <w:r w:rsidR="002604C9" w:rsidRPr="00E4308B">
          <w:rPr>
            <w:rFonts w:eastAsia="Times New Roman" w:cs="Times New Roman"/>
            <w:szCs w:val="28"/>
            <w:lang w:eastAsia="lv-LV"/>
          </w:rPr>
          <w:t>Šaujamieroču, lielas enerģijas pneimatisko ieroču un gāzes pistoļu (revolveru) vienotās uzskaites kārtība</w:t>
        </w:r>
      </w:hyperlink>
      <w:r w:rsidR="0086507F">
        <w:rPr>
          <w:rFonts w:eastAsia="Times New Roman" w:cs="Times New Roman"/>
          <w:szCs w:val="28"/>
          <w:lang w:eastAsia="lv-LV"/>
        </w:rPr>
        <w:t>"</w:t>
      </w:r>
      <w:r w:rsidR="002604C9" w:rsidRPr="002604C9">
        <w:rPr>
          <w:rFonts w:eastAsia="Times New Roman" w:cs="Times New Roman"/>
          <w:szCs w:val="28"/>
          <w:lang w:eastAsia="lv-LV"/>
        </w:rPr>
        <w:t xml:space="preserve"> (Latvijas Vēstnesis, 2011, 205. nr.; 2014, 6.</w:t>
      </w:r>
      <w:r w:rsidR="000001A4">
        <w:rPr>
          <w:rFonts w:eastAsia="Times New Roman" w:cs="Times New Roman"/>
          <w:szCs w:val="28"/>
          <w:lang w:eastAsia="lv-LV"/>
        </w:rPr>
        <w:t>, 257.</w:t>
      </w:r>
      <w:r w:rsidR="0086507F">
        <w:rPr>
          <w:rFonts w:eastAsia="Times New Roman" w:cs="Times New Roman"/>
          <w:szCs w:val="28"/>
          <w:lang w:eastAsia="lv-LV"/>
        </w:rPr>
        <w:t xml:space="preserve"> nr.) </w:t>
      </w:r>
      <w:r>
        <w:rPr>
          <w:rFonts w:eastAsia="Times New Roman" w:cs="Times New Roman"/>
          <w:szCs w:val="28"/>
          <w:lang w:eastAsia="lv-LV"/>
        </w:rPr>
        <w:t>grozīju</w:t>
      </w:r>
      <w:r w:rsidR="0086507F">
        <w:rPr>
          <w:rFonts w:eastAsia="Times New Roman" w:cs="Times New Roman"/>
          <w:szCs w:val="28"/>
          <w:lang w:eastAsia="lv-LV"/>
        </w:rPr>
        <w:t xml:space="preserve">mu un papildināt noteikumus ar </w:t>
      </w:r>
      <w:r>
        <w:rPr>
          <w:rFonts w:eastAsia="Times New Roman" w:cs="Times New Roman"/>
          <w:szCs w:val="28"/>
          <w:lang w:eastAsia="lv-LV"/>
        </w:rPr>
        <w:t>26.14.</w:t>
      </w:r>
      <w:r w:rsidR="00FA600F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apakšpunktu šādā redakcijā:</w:t>
      </w:r>
    </w:p>
    <w:p w14:paraId="57452403" w14:textId="77777777" w:rsidR="0086507F" w:rsidRDefault="0086507F" w:rsidP="0086507F">
      <w:pPr>
        <w:rPr>
          <w:rFonts w:eastAsia="Times New Roman" w:cs="Times New Roman"/>
          <w:szCs w:val="28"/>
          <w:lang w:eastAsia="lv-LV"/>
        </w:rPr>
      </w:pPr>
    </w:p>
    <w:p w14:paraId="08621CE1" w14:textId="234633FD" w:rsidR="00A52B8E" w:rsidRPr="002604C9" w:rsidRDefault="0086507F" w:rsidP="0086507F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A52B8E">
        <w:rPr>
          <w:rFonts w:eastAsia="Times New Roman" w:cs="Times New Roman"/>
          <w:szCs w:val="28"/>
          <w:lang w:eastAsia="lv-LV"/>
        </w:rPr>
        <w:t>26.14. Latvijas Bankas Aizsardzības pārvalde.</w:t>
      </w:r>
      <w:r>
        <w:rPr>
          <w:rFonts w:eastAsia="Times New Roman" w:cs="Times New Roman"/>
          <w:szCs w:val="28"/>
          <w:lang w:eastAsia="lv-LV"/>
        </w:rPr>
        <w:t>"</w:t>
      </w:r>
    </w:p>
    <w:p w14:paraId="08621CE2" w14:textId="77777777" w:rsidR="002604C9" w:rsidRPr="00B16D51" w:rsidRDefault="002604C9" w:rsidP="0086507F">
      <w:pPr>
        <w:outlineLvl w:val="2"/>
        <w:rPr>
          <w:rFonts w:eastAsia="Times New Roman" w:cs="Times New Roman"/>
          <w:bCs/>
          <w:szCs w:val="28"/>
          <w:lang w:eastAsia="lv-LV"/>
        </w:rPr>
      </w:pPr>
    </w:p>
    <w:p w14:paraId="2CF3124B" w14:textId="77777777" w:rsidR="0086507F" w:rsidRPr="00B16D51" w:rsidRDefault="0086507F" w:rsidP="0086507F">
      <w:pPr>
        <w:outlineLvl w:val="2"/>
        <w:rPr>
          <w:rFonts w:eastAsia="Times New Roman" w:cs="Times New Roman"/>
          <w:bCs/>
          <w:szCs w:val="28"/>
          <w:lang w:eastAsia="lv-LV"/>
        </w:rPr>
      </w:pPr>
    </w:p>
    <w:p w14:paraId="08621CE3" w14:textId="77777777" w:rsidR="00AE5152" w:rsidRDefault="00AE5152" w:rsidP="0086507F"/>
    <w:p w14:paraId="5A686812" w14:textId="77777777" w:rsidR="0086507F" w:rsidRPr="00640887" w:rsidRDefault="0086507F" w:rsidP="00B16D51">
      <w:pPr>
        <w:tabs>
          <w:tab w:val="left" w:pos="6521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726D6E13" w14:textId="77777777" w:rsidR="0086507F" w:rsidRPr="00640887" w:rsidRDefault="0086507F" w:rsidP="00B16D51">
      <w:pPr>
        <w:tabs>
          <w:tab w:val="left" w:pos="4678"/>
          <w:tab w:val="left" w:pos="6521"/>
        </w:tabs>
      </w:pPr>
    </w:p>
    <w:p w14:paraId="6B24D28D" w14:textId="77777777" w:rsidR="0086507F" w:rsidRPr="00640887" w:rsidRDefault="0086507F" w:rsidP="00B16D51">
      <w:pPr>
        <w:tabs>
          <w:tab w:val="left" w:pos="4678"/>
          <w:tab w:val="left" w:pos="6521"/>
        </w:tabs>
      </w:pPr>
    </w:p>
    <w:p w14:paraId="7EAE4A9A" w14:textId="77777777" w:rsidR="0086507F" w:rsidRPr="00640887" w:rsidRDefault="0086507F" w:rsidP="00B16D51">
      <w:pPr>
        <w:tabs>
          <w:tab w:val="left" w:pos="4678"/>
          <w:tab w:val="left" w:pos="6521"/>
        </w:tabs>
      </w:pPr>
    </w:p>
    <w:p w14:paraId="7F70FEFC" w14:textId="77777777" w:rsidR="0086507F" w:rsidRPr="00640887" w:rsidRDefault="0086507F" w:rsidP="00B16D51">
      <w:pPr>
        <w:tabs>
          <w:tab w:val="left" w:pos="6521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sectPr w:rsidR="0086507F" w:rsidRPr="00640887" w:rsidSect="0086507F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21CF6" w14:textId="77777777" w:rsidR="00BE40CB" w:rsidRDefault="00BE40CB" w:rsidP="00AE5152">
      <w:r>
        <w:separator/>
      </w:r>
    </w:p>
  </w:endnote>
  <w:endnote w:type="continuationSeparator" w:id="0">
    <w:p w14:paraId="08621CF7" w14:textId="77777777" w:rsidR="00BE40CB" w:rsidRDefault="00BE40CB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1CFD" w14:textId="21168B47" w:rsidR="00AE5152" w:rsidRPr="0086507F" w:rsidRDefault="0086507F" w:rsidP="0086507F">
    <w:pPr>
      <w:pStyle w:val="Footer"/>
      <w:ind w:firstLine="0"/>
      <w:rPr>
        <w:sz w:val="16"/>
        <w:szCs w:val="16"/>
      </w:rPr>
    </w:pPr>
    <w:r w:rsidRPr="0086507F">
      <w:rPr>
        <w:sz w:val="16"/>
        <w:szCs w:val="16"/>
      </w:rPr>
      <w:t>N1179_7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1CF4" w14:textId="77777777" w:rsidR="00BE40CB" w:rsidRDefault="00BE40CB" w:rsidP="00AE5152">
      <w:r>
        <w:separator/>
      </w:r>
    </w:p>
  </w:footnote>
  <w:footnote w:type="continuationSeparator" w:id="0">
    <w:p w14:paraId="08621CF5" w14:textId="77777777" w:rsidR="00BE40CB" w:rsidRDefault="00BE40CB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AB2F" w14:textId="77777777" w:rsidR="0086507F" w:rsidRDefault="0086507F" w:rsidP="0086507F">
    <w:pPr>
      <w:pStyle w:val="Header"/>
      <w:ind w:firstLine="0"/>
    </w:pPr>
  </w:p>
  <w:p w14:paraId="21E685FC" w14:textId="6E9F4BE4" w:rsidR="0086507F" w:rsidRDefault="0086507F" w:rsidP="0086507F">
    <w:pPr>
      <w:pStyle w:val="Header"/>
      <w:ind w:firstLine="0"/>
    </w:pPr>
    <w:r>
      <w:rPr>
        <w:noProof/>
        <w:szCs w:val="28"/>
        <w:lang w:eastAsia="lv-LV"/>
      </w:rPr>
      <w:drawing>
        <wp:inline distT="0" distB="0" distL="0" distR="0" wp14:anchorId="0CB7F048" wp14:editId="3C93012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001A4"/>
    <w:rsid w:val="000237B2"/>
    <w:rsid w:val="00037CA8"/>
    <w:rsid w:val="001A0E45"/>
    <w:rsid w:val="00206D44"/>
    <w:rsid w:val="00243873"/>
    <w:rsid w:val="002604C9"/>
    <w:rsid w:val="002B2B97"/>
    <w:rsid w:val="00337072"/>
    <w:rsid w:val="003E3EC1"/>
    <w:rsid w:val="003E61C3"/>
    <w:rsid w:val="005450DC"/>
    <w:rsid w:val="00651AB3"/>
    <w:rsid w:val="00663D85"/>
    <w:rsid w:val="00690898"/>
    <w:rsid w:val="006D36B7"/>
    <w:rsid w:val="006F2DAE"/>
    <w:rsid w:val="007F729E"/>
    <w:rsid w:val="0086507F"/>
    <w:rsid w:val="008864E9"/>
    <w:rsid w:val="008F3CFF"/>
    <w:rsid w:val="009333D4"/>
    <w:rsid w:val="00A52B8E"/>
    <w:rsid w:val="00AE5152"/>
    <w:rsid w:val="00AE71B7"/>
    <w:rsid w:val="00B037A0"/>
    <w:rsid w:val="00B16D51"/>
    <w:rsid w:val="00BE40CB"/>
    <w:rsid w:val="00C7744C"/>
    <w:rsid w:val="00C93FFC"/>
    <w:rsid w:val="00CF5908"/>
    <w:rsid w:val="00DC0497"/>
    <w:rsid w:val="00DD0682"/>
    <w:rsid w:val="00DF15E2"/>
    <w:rsid w:val="00E21D7E"/>
    <w:rsid w:val="00E4308B"/>
    <w:rsid w:val="00E7213C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2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2142-saujamierocu-lielas-energijas-pneimatisko-ierocu-un-gazes-pistolu-revolveru-vienotas-uzskaites-karti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42142-saujamierocu-lielas-energijas-pneimatisko-ierocu-un-gazes-pistolu-revolveru-vienotas-uzskaite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21384-ierocu-un-specialo-lidzeklu-aprite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27.decembra noteikumos Nr.1012 "Šaujamieroču, lielas enerģijas pneimatisko ieroču un gāzes pistoļu (revolveru) vienotās uzskaites kārtība"</vt:lpstr>
    </vt:vector>
  </TitlesOfParts>
  <Company>Iekšlietu ministrija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27.decembra noteikumos Nr.1012 "Šaujamieroču, lielas enerģijas pneimatisko ieroču un gāzes pistoļu (revolveru) vienotās uzskaites kārtība"</dc:title>
  <dc:subject>Ministru kabineta noteikumu projekts</dc:subject>
  <dc:creator>Dzintra Rancāne</dc:creator>
  <cp:keywords/>
  <dc:description>dzintra.rancane@iem.gov.lv, 67219419</dc:description>
  <cp:lastModifiedBy>Leontīne Babkina</cp:lastModifiedBy>
  <cp:revision>28</cp:revision>
  <cp:lastPrinted>2017-06-12T10:25:00Z</cp:lastPrinted>
  <dcterms:created xsi:type="dcterms:W3CDTF">2015-01-14T12:13:00Z</dcterms:created>
  <dcterms:modified xsi:type="dcterms:W3CDTF">2017-06-28T07:34:00Z</dcterms:modified>
</cp:coreProperties>
</file>