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A4" w:rsidRDefault="00E703A4" w:rsidP="00E703A4">
      <w:pPr>
        <w:rPr>
          <w:sz w:val="22"/>
          <w:szCs w:val="22"/>
        </w:rPr>
      </w:pPr>
    </w:p>
    <w:p w:rsidR="00E703A4" w:rsidRPr="00823A95" w:rsidRDefault="00E703A4" w:rsidP="00E703A4">
      <w:pPr>
        <w:pStyle w:val="ParastaisWeb"/>
        <w:spacing w:before="0" w:beforeAutospacing="0" w:after="0" w:afterAutospacing="0"/>
        <w:jc w:val="center"/>
        <w:rPr>
          <w:b/>
          <w:bCs/>
          <w:sz w:val="28"/>
          <w:szCs w:val="28"/>
        </w:rPr>
      </w:pPr>
      <w:bookmarkStart w:id="0" w:name="OLE_LINK11"/>
      <w:bookmarkStart w:id="1" w:name="OLE_LINK12"/>
      <w:r w:rsidRPr="00823A95">
        <w:rPr>
          <w:b/>
          <w:bCs/>
          <w:sz w:val="28"/>
          <w:szCs w:val="28"/>
        </w:rPr>
        <w:t xml:space="preserve">Ministru kabineta rīkojuma projekta </w:t>
      </w:r>
    </w:p>
    <w:p w:rsidR="00E703A4" w:rsidRPr="00823A95" w:rsidRDefault="00E703A4" w:rsidP="003E4666">
      <w:pPr>
        <w:pStyle w:val="ParastaisWeb"/>
        <w:spacing w:before="0" w:beforeAutospacing="0" w:after="0" w:afterAutospacing="0"/>
        <w:ind w:left="-284" w:firstLine="284"/>
        <w:jc w:val="center"/>
        <w:rPr>
          <w:b/>
          <w:bCs/>
          <w:sz w:val="28"/>
          <w:szCs w:val="28"/>
        </w:rPr>
      </w:pPr>
      <w:r w:rsidRPr="00823A95">
        <w:rPr>
          <w:b/>
          <w:bCs/>
          <w:sz w:val="28"/>
          <w:szCs w:val="28"/>
        </w:rPr>
        <w:t xml:space="preserve">„Par finanšu līdzekļu piešķiršanu no valsts budžeta programmas </w:t>
      </w:r>
      <w:r w:rsidR="003F123B">
        <w:rPr>
          <w:b/>
          <w:bCs/>
          <w:sz w:val="28"/>
          <w:szCs w:val="28"/>
        </w:rPr>
        <w:t>02.00.00</w:t>
      </w:r>
    </w:p>
    <w:p w:rsidR="00E703A4" w:rsidRPr="00823A95" w:rsidRDefault="00E703A4" w:rsidP="00E703A4">
      <w:pPr>
        <w:pStyle w:val="ParastaisWeb"/>
        <w:spacing w:before="0" w:beforeAutospacing="0" w:after="0" w:afterAutospacing="0"/>
        <w:jc w:val="center"/>
        <w:rPr>
          <w:b/>
          <w:bCs/>
          <w:sz w:val="28"/>
          <w:szCs w:val="28"/>
        </w:rPr>
      </w:pPr>
      <w:r w:rsidRPr="00823A95">
        <w:rPr>
          <w:b/>
          <w:bCs/>
          <w:sz w:val="28"/>
          <w:szCs w:val="28"/>
        </w:rPr>
        <w:t>„Līdzekļi neparedzētiem gadījumiem”” sākotnējās ietekmes novērtējuma ziņojums (anotācija)</w:t>
      </w:r>
    </w:p>
    <w:tbl>
      <w:tblPr>
        <w:tblpPr w:leftFromText="180" w:rightFromText="180" w:vertAnchor="text" w:horzAnchor="margin" w:tblpXSpec="center" w:tblpY="149"/>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3138"/>
        <w:gridCol w:w="5398"/>
      </w:tblGrid>
      <w:tr w:rsidR="0010719C" w:rsidRPr="00823A95" w:rsidTr="0010719C">
        <w:trPr>
          <w:trHeight w:val="416"/>
        </w:trPr>
        <w:tc>
          <w:tcPr>
            <w:tcW w:w="5000" w:type="pct"/>
            <w:gridSpan w:val="3"/>
            <w:vAlign w:val="center"/>
          </w:tcPr>
          <w:bookmarkEnd w:id="0"/>
          <w:bookmarkEnd w:id="1"/>
          <w:p w:rsidR="0010719C" w:rsidRPr="00823A95" w:rsidRDefault="0010719C" w:rsidP="0010719C">
            <w:pPr>
              <w:pStyle w:val="naisnod"/>
              <w:spacing w:before="0" w:after="0"/>
              <w:rPr>
                <w:sz w:val="28"/>
                <w:szCs w:val="28"/>
              </w:rPr>
            </w:pPr>
            <w:r w:rsidRPr="00823A95">
              <w:rPr>
                <w:sz w:val="28"/>
                <w:szCs w:val="28"/>
              </w:rPr>
              <w:t>I. Tiesību akta projekta izstrādes nepieciešamība</w:t>
            </w:r>
          </w:p>
        </w:tc>
      </w:tr>
      <w:tr w:rsidR="0010719C" w:rsidRPr="00823A95" w:rsidTr="0010719C">
        <w:trPr>
          <w:trHeight w:val="630"/>
        </w:trPr>
        <w:tc>
          <w:tcPr>
            <w:tcW w:w="386" w:type="pct"/>
          </w:tcPr>
          <w:p w:rsidR="0010719C" w:rsidRPr="00823A95" w:rsidRDefault="0010719C" w:rsidP="0010719C">
            <w:pPr>
              <w:pStyle w:val="naiskr"/>
              <w:spacing w:before="0" w:after="0"/>
              <w:jc w:val="center"/>
              <w:rPr>
                <w:sz w:val="28"/>
                <w:szCs w:val="28"/>
              </w:rPr>
            </w:pPr>
            <w:r w:rsidRPr="00823A95">
              <w:rPr>
                <w:sz w:val="28"/>
                <w:szCs w:val="28"/>
              </w:rPr>
              <w:t>1.</w:t>
            </w:r>
          </w:p>
        </w:tc>
        <w:tc>
          <w:tcPr>
            <w:tcW w:w="1696" w:type="pct"/>
          </w:tcPr>
          <w:p w:rsidR="0010719C" w:rsidRPr="00823A95" w:rsidRDefault="0010719C" w:rsidP="0010719C">
            <w:pPr>
              <w:pStyle w:val="naiskr"/>
              <w:spacing w:before="0" w:after="0"/>
              <w:ind w:left="39" w:hanging="11"/>
              <w:rPr>
                <w:sz w:val="28"/>
                <w:szCs w:val="28"/>
              </w:rPr>
            </w:pPr>
            <w:r w:rsidRPr="00823A95">
              <w:rPr>
                <w:sz w:val="28"/>
                <w:szCs w:val="28"/>
              </w:rPr>
              <w:t>Pamatojums</w:t>
            </w:r>
          </w:p>
        </w:tc>
        <w:tc>
          <w:tcPr>
            <w:tcW w:w="2918" w:type="pct"/>
          </w:tcPr>
          <w:p w:rsidR="0010719C" w:rsidRPr="00823A95" w:rsidRDefault="0010719C" w:rsidP="0010719C">
            <w:pPr>
              <w:pStyle w:val="naiskr"/>
              <w:spacing w:before="0" w:after="0"/>
              <w:jc w:val="both"/>
              <w:rPr>
                <w:sz w:val="28"/>
                <w:szCs w:val="28"/>
              </w:rPr>
            </w:pPr>
            <w:r w:rsidRPr="00823A95">
              <w:rPr>
                <w:sz w:val="28"/>
                <w:szCs w:val="28"/>
              </w:rPr>
              <w:t>Ministru kabineta rīkojuma projekts „Par finanšu līdzekļu piešķiršanu no valsts budžeta programmas „Līdzekļi neparedzētiem gadījumiem”” (turpmāk – Projekts) sagatavots saskaņā ar Ministru kabineta 2009.gada 22.decembra noteikumu Nr.1644 „</w:t>
            </w:r>
            <w:r w:rsidRPr="00823A95">
              <w:rPr>
                <w:bCs/>
                <w:sz w:val="28"/>
                <w:szCs w:val="28"/>
              </w:rPr>
              <w:t>Kārtība, kādā pieprasa un izlieto budžeta programmas „Līdzekļi neparedzētiem gadījumiem” līdzekļus</w:t>
            </w:r>
            <w:r w:rsidRPr="00823A95">
              <w:rPr>
                <w:sz w:val="28"/>
                <w:szCs w:val="28"/>
              </w:rPr>
              <w:t>” 3.punktu.</w:t>
            </w:r>
          </w:p>
        </w:tc>
      </w:tr>
      <w:tr w:rsidR="0010719C" w:rsidRPr="00823A95" w:rsidTr="0010719C">
        <w:trPr>
          <w:trHeight w:val="422"/>
        </w:trPr>
        <w:tc>
          <w:tcPr>
            <w:tcW w:w="386" w:type="pct"/>
          </w:tcPr>
          <w:p w:rsidR="0010719C" w:rsidRPr="00823A95" w:rsidRDefault="0010719C" w:rsidP="0010719C">
            <w:pPr>
              <w:pStyle w:val="naiskr"/>
              <w:spacing w:before="0" w:after="0"/>
              <w:jc w:val="center"/>
              <w:rPr>
                <w:sz w:val="28"/>
                <w:szCs w:val="28"/>
              </w:rPr>
            </w:pPr>
            <w:r w:rsidRPr="00823A95">
              <w:rPr>
                <w:sz w:val="28"/>
                <w:szCs w:val="28"/>
              </w:rPr>
              <w:t>2.</w:t>
            </w:r>
          </w:p>
        </w:tc>
        <w:tc>
          <w:tcPr>
            <w:tcW w:w="1696" w:type="pct"/>
          </w:tcPr>
          <w:p w:rsidR="0010719C" w:rsidRPr="00823A95" w:rsidRDefault="0010719C" w:rsidP="0010719C">
            <w:pPr>
              <w:pStyle w:val="naiskr"/>
              <w:tabs>
                <w:tab w:val="left" w:pos="170"/>
              </w:tabs>
              <w:spacing w:before="0" w:after="0"/>
              <w:rPr>
                <w:sz w:val="28"/>
                <w:szCs w:val="28"/>
              </w:rPr>
            </w:pPr>
            <w:r w:rsidRPr="00823A95">
              <w:rPr>
                <w:sz w:val="28"/>
                <w:szCs w:val="28"/>
              </w:rPr>
              <w:t>Pašreizējā situācija un problēmas, kuru risināšanai tiesību akta projekts izstrādāts, tiesiskā regulējuma mērķis un būtība</w:t>
            </w:r>
          </w:p>
        </w:tc>
        <w:tc>
          <w:tcPr>
            <w:tcW w:w="2918" w:type="pct"/>
            <w:tcBorders>
              <w:right w:val="single" w:sz="4" w:space="0" w:color="auto"/>
            </w:tcBorders>
          </w:tcPr>
          <w:p w:rsidR="00054C3E" w:rsidRPr="00F45F59" w:rsidRDefault="00054C3E" w:rsidP="00827037">
            <w:pPr>
              <w:pStyle w:val="naisf"/>
              <w:spacing w:before="0" w:after="0"/>
              <w:ind w:firstLine="0"/>
              <w:rPr>
                <w:sz w:val="28"/>
                <w:szCs w:val="28"/>
              </w:rPr>
            </w:pPr>
            <w:r>
              <w:rPr>
                <w:sz w:val="28"/>
                <w:szCs w:val="28"/>
              </w:rPr>
              <w:t>Ar Latvijas Republikas Augstākās tiesas</w:t>
            </w:r>
            <w:r w:rsidRPr="002054C8">
              <w:rPr>
                <w:sz w:val="28"/>
                <w:szCs w:val="28"/>
              </w:rPr>
              <w:t xml:space="preserve"> Civillietu departamenta</w:t>
            </w:r>
            <w:r>
              <w:rPr>
                <w:sz w:val="28"/>
                <w:szCs w:val="28"/>
              </w:rPr>
              <w:t xml:space="preserve"> 2017.gada 15.jūnija rīcības sēdes lēmumu civillietā Nr.C04425110 atstāts negrozīts Latvijas Republikas Augstākās tiesas Civillietu tiesu palātas 2016.gada 6.decembra spriedums, bet Kultūras ministrijas kasācijas sūdzība noraidīta.</w:t>
            </w:r>
          </w:p>
          <w:p w:rsidR="00054C3E" w:rsidRDefault="002054C8" w:rsidP="00827037">
            <w:pPr>
              <w:pStyle w:val="naisf"/>
              <w:spacing w:before="0" w:after="0"/>
              <w:ind w:firstLine="0"/>
              <w:rPr>
                <w:sz w:val="28"/>
                <w:szCs w:val="28"/>
              </w:rPr>
            </w:pPr>
            <w:r>
              <w:rPr>
                <w:sz w:val="28"/>
                <w:szCs w:val="28"/>
              </w:rPr>
              <w:t xml:space="preserve">Ar Latvijas Republikas Augstākās tiesas Civillietu tiesas palātas 2016.gada 6.decembra spriedumu </w:t>
            </w:r>
            <w:r w:rsidR="00096A61">
              <w:rPr>
                <w:sz w:val="28"/>
                <w:szCs w:val="28"/>
              </w:rPr>
              <w:t>civillietā Nr.C04425110</w:t>
            </w:r>
            <w:r>
              <w:rPr>
                <w:sz w:val="28"/>
                <w:szCs w:val="28"/>
              </w:rPr>
              <w:t xml:space="preserve"> tiesa nospriedusi </w:t>
            </w:r>
            <w:r w:rsidR="00054C3E">
              <w:rPr>
                <w:sz w:val="28"/>
                <w:szCs w:val="28"/>
              </w:rPr>
              <w:t>sabiedrības ar ierobežotu atbildību „</w:t>
            </w:r>
            <w:proofErr w:type="spellStart"/>
            <w:r w:rsidR="00054C3E">
              <w:rPr>
                <w:sz w:val="28"/>
                <w:szCs w:val="28"/>
              </w:rPr>
              <w:t>Jaunrīgas</w:t>
            </w:r>
            <w:proofErr w:type="spellEnd"/>
            <w:r w:rsidR="00054C3E">
              <w:rPr>
                <w:sz w:val="28"/>
                <w:szCs w:val="28"/>
              </w:rPr>
              <w:t xml:space="preserve"> attīstības uzņēmums”, reģistrācijas numurs 40003565959, (turpmāk – Kapitālsabiedrība)</w:t>
            </w:r>
            <w:r>
              <w:rPr>
                <w:sz w:val="28"/>
                <w:szCs w:val="28"/>
              </w:rPr>
              <w:t xml:space="preserve"> prasību apmierināt daļēji, piedzenot </w:t>
            </w:r>
            <w:r w:rsidR="00113999">
              <w:rPr>
                <w:sz w:val="28"/>
                <w:szCs w:val="28"/>
              </w:rPr>
              <w:t>Kapitālsabiedrības</w:t>
            </w:r>
            <w:r>
              <w:rPr>
                <w:sz w:val="28"/>
                <w:szCs w:val="28"/>
              </w:rPr>
              <w:t xml:space="preserve"> labā </w:t>
            </w:r>
            <w:r w:rsidRPr="00BD14B4">
              <w:rPr>
                <w:sz w:val="28"/>
                <w:szCs w:val="28"/>
              </w:rPr>
              <w:t xml:space="preserve">kompensāciju 621 949,19 </w:t>
            </w:r>
            <w:r w:rsidRPr="00BD14B4">
              <w:rPr>
                <w:i/>
                <w:sz w:val="28"/>
                <w:szCs w:val="28"/>
              </w:rPr>
              <w:t>euro</w:t>
            </w:r>
            <w:r w:rsidRPr="00BD14B4">
              <w:rPr>
                <w:sz w:val="28"/>
                <w:szCs w:val="28"/>
              </w:rPr>
              <w:t xml:space="preserve"> </w:t>
            </w:r>
            <w:r w:rsidR="00397AA8" w:rsidRPr="00BD14B4">
              <w:rPr>
                <w:sz w:val="28"/>
                <w:szCs w:val="28"/>
              </w:rPr>
              <w:t xml:space="preserve">un </w:t>
            </w:r>
            <w:r w:rsidRPr="00BD14B4">
              <w:rPr>
                <w:sz w:val="28"/>
                <w:szCs w:val="28"/>
              </w:rPr>
              <w:t xml:space="preserve">tiesas izdevumus 30 386,52 </w:t>
            </w:r>
            <w:r w:rsidRPr="00BD14B4">
              <w:rPr>
                <w:i/>
                <w:sz w:val="28"/>
                <w:szCs w:val="28"/>
              </w:rPr>
              <w:t>euro</w:t>
            </w:r>
            <w:r w:rsidRPr="00BD14B4">
              <w:rPr>
                <w:sz w:val="28"/>
                <w:szCs w:val="28"/>
              </w:rPr>
              <w:t xml:space="preserve">, pavisam kopā 652 335,71 </w:t>
            </w:r>
            <w:r w:rsidRPr="00BD14B4">
              <w:rPr>
                <w:i/>
                <w:sz w:val="28"/>
                <w:szCs w:val="28"/>
              </w:rPr>
              <w:t>euro</w:t>
            </w:r>
            <w:r w:rsidRPr="00BD14B4">
              <w:rPr>
                <w:sz w:val="28"/>
                <w:szCs w:val="28"/>
              </w:rPr>
              <w:t>.</w:t>
            </w:r>
          </w:p>
          <w:p w:rsidR="00054C3E" w:rsidRDefault="00397AA8" w:rsidP="00827037">
            <w:pPr>
              <w:pStyle w:val="naisf"/>
              <w:spacing w:before="0" w:after="0"/>
              <w:ind w:firstLine="0"/>
              <w:rPr>
                <w:sz w:val="28"/>
                <w:szCs w:val="28"/>
              </w:rPr>
            </w:pPr>
            <w:r w:rsidRPr="00F45F59">
              <w:rPr>
                <w:sz w:val="28"/>
                <w:szCs w:val="28"/>
              </w:rPr>
              <w:t xml:space="preserve">Papildus minētajam </w:t>
            </w:r>
            <w:r w:rsidR="005076C5">
              <w:rPr>
                <w:sz w:val="28"/>
                <w:szCs w:val="28"/>
              </w:rPr>
              <w:t xml:space="preserve">no Kultūras ministrijas </w:t>
            </w:r>
            <w:r w:rsidRPr="00F45F59">
              <w:rPr>
                <w:sz w:val="28"/>
                <w:szCs w:val="28"/>
              </w:rPr>
              <w:t>nolemts piedzīt valsts labā ar lietas izs</w:t>
            </w:r>
            <w:r w:rsidR="00096A61">
              <w:rPr>
                <w:sz w:val="28"/>
                <w:szCs w:val="28"/>
              </w:rPr>
              <w:t xml:space="preserve">katīšanu saistītos izdevumus </w:t>
            </w:r>
            <w:r w:rsidR="00E31261" w:rsidRPr="00096A61">
              <w:rPr>
                <w:sz w:val="28"/>
                <w:szCs w:val="28"/>
              </w:rPr>
              <w:t xml:space="preserve">16,75 </w:t>
            </w:r>
            <w:r w:rsidRPr="00F45F59">
              <w:rPr>
                <w:i/>
                <w:sz w:val="28"/>
                <w:szCs w:val="28"/>
              </w:rPr>
              <w:t>euro</w:t>
            </w:r>
            <w:r w:rsidRPr="00F45F59">
              <w:rPr>
                <w:sz w:val="28"/>
                <w:szCs w:val="28"/>
              </w:rPr>
              <w:t>.</w:t>
            </w:r>
          </w:p>
          <w:p w:rsidR="00113999" w:rsidRDefault="00397AA8" w:rsidP="00827037">
            <w:pPr>
              <w:pStyle w:val="naisf"/>
              <w:spacing w:before="0" w:after="0"/>
              <w:ind w:firstLine="0"/>
              <w:rPr>
                <w:sz w:val="28"/>
                <w:szCs w:val="28"/>
              </w:rPr>
            </w:pPr>
            <w:r w:rsidRPr="00F45F59">
              <w:rPr>
                <w:sz w:val="28"/>
                <w:szCs w:val="28"/>
              </w:rPr>
              <w:t xml:space="preserve">Prasība lietā celta par izdevumu piedziņu, kas </w:t>
            </w:r>
            <w:r w:rsidR="00054C3E">
              <w:rPr>
                <w:sz w:val="28"/>
                <w:szCs w:val="28"/>
              </w:rPr>
              <w:t>Kapitālsabiedrībai</w:t>
            </w:r>
            <w:r w:rsidRPr="00F45F59">
              <w:rPr>
                <w:sz w:val="28"/>
                <w:szCs w:val="28"/>
              </w:rPr>
              <w:t xml:space="preserve"> radušies saistībā ar 2006.gada 28.aprīļa starp </w:t>
            </w:r>
            <w:r w:rsidR="00054C3E">
              <w:rPr>
                <w:sz w:val="28"/>
                <w:szCs w:val="28"/>
              </w:rPr>
              <w:t>Kapitālsabiedrību</w:t>
            </w:r>
            <w:r w:rsidRPr="00F45F59">
              <w:rPr>
                <w:sz w:val="28"/>
                <w:szCs w:val="28"/>
              </w:rPr>
              <w:t xml:space="preserve"> un valsts aģentūru</w:t>
            </w:r>
            <w:r w:rsidR="00096A61">
              <w:rPr>
                <w:sz w:val="28"/>
                <w:szCs w:val="28"/>
              </w:rPr>
              <w:t xml:space="preserve"> </w:t>
            </w:r>
            <w:r w:rsidRPr="00F45F59">
              <w:rPr>
                <w:sz w:val="28"/>
                <w:szCs w:val="28"/>
              </w:rPr>
              <w:t xml:space="preserve">„Jaunie „Trīs brāļi”” </w:t>
            </w:r>
            <w:r w:rsidR="00096A61">
              <w:rPr>
                <w:sz w:val="28"/>
                <w:szCs w:val="28"/>
              </w:rPr>
              <w:t xml:space="preserve">noslēgtās </w:t>
            </w:r>
            <w:r w:rsidRPr="00F45F59">
              <w:rPr>
                <w:sz w:val="28"/>
                <w:szCs w:val="28"/>
              </w:rPr>
              <w:t xml:space="preserve">vienošanās </w:t>
            </w:r>
            <w:proofErr w:type="spellStart"/>
            <w:r w:rsidRPr="00F45F59">
              <w:rPr>
                <w:sz w:val="28"/>
                <w:szCs w:val="28"/>
              </w:rPr>
              <w:t>Nr.JTB</w:t>
            </w:r>
            <w:proofErr w:type="spellEnd"/>
            <w:r w:rsidRPr="00F45F59">
              <w:rPr>
                <w:sz w:val="28"/>
                <w:szCs w:val="28"/>
              </w:rPr>
              <w:t>/1-6/47 izpildi.</w:t>
            </w:r>
            <w:r w:rsidR="00113999">
              <w:rPr>
                <w:sz w:val="28"/>
                <w:szCs w:val="28"/>
              </w:rPr>
              <w:t xml:space="preserve"> </w:t>
            </w:r>
          </w:p>
          <w:p w:rsidR="00397AA8" w:rsidRPr="00F45F59" w:rsidRDefault="00397AA8" w:rsidP="00827037">
            <w:pPr>
              <w:pStyle w:val="naisf"/>
              <w:spacing w:before="0" w:after="0"/>
              <w:ind w:firstLine="0"/>
              <w:rPr>
                <w:sz w:val="28"/>
                <w:szCs w:val="28"/>
              </w:rPr>
            </w:pPr>
            <w:r w:rsidRPr="00F45F59">
              <w:rPr>
                <w:sz w:val="28"/>
                <w:szCs w:val="28"/>
              </w:rPr>
              <w:t xml:space="preserve">Ņemot vērā, ka Kultūras ministrijai 2017.gadā valsts budžetā šādam mērķim finanšu līdzekļi </w:t>
            </w:r>
            <w:r w:rsidRPr="00F45F59">
              <w:rPr>
                <w:sz w:val="28"/>
                <w:szCs w:val="28"/>
              </w:rPr>
              <w:lastRenderedPageBreak/>
              <w:t>nav paredzēti, ir nepieciešams papildu finansējums iepriekš minētā sprieduma izpildei.</w:t>
            </w:r>
          </w:p>
          <w:p w:rsidR="00397AA8" w:rsidRDefault="00324739" w:rsidP="00F45F59">
            <w:pPr>
              <w:pStyle w:val="naisf"/>
              <w:spacing w:before="0" w:after="0"/>
              <w:ind w:firstLine="0"/>
              <w:rPr>
                <w:sz w:val="28"/>
                <w:szCs w:val="28"/>
              </w:rPr>
            </w:pPr>
            <w:r>
              <w:rPr>
                <w:sz w:val="28"/>
                <w:szCs w:val="28"/>
              </w:rPr>
              <w:t>P</w:t>
            </w:r>
            <w:r w:rsidR="00397AA8" w:rsidRPr="00F45F59">
              <w:rPr>
                <w:sz w:val="28"/>
                <w:szCs w:val="28"/>
              </w:rPr>
              <w:t>rojekts paredz Finanšu ministrijai no valsts budžeta programmas 02.00.00 „Līdzekļi neparedzētiem gadījumiem” piešķirt Kultūras</w:t>
            </w:r>
            <w:r w:rsidR="00F45F59">
              <w:rPr>
                <w:sz w:val="28"/>
                <w:szCs w:val="28"/>
              </w:rPr>
              <w:t xml:space="preserve"> </w:t>
            </w:r>
            <w:r w:rsidR="00F45F59" w:rsidRPr="00BD14B4">
              <w:rPr>
                <w:sz w:val="28"/>
                <w:szCs w:val="28"/>
              </w:rPr>
              <w:t xml:space="preserve">ministrijai </w:t>
            </w:r>
            <w:r w:rsidR="005076C5" w:rsidRPr="00096A61">
              <w:rPr>
                <w:sz w:val="28"/>
                <w:szCs w:val="28"/>
              </w:rPr>
              <w:t>652 </w:t>
            </w:r>
            <w:r w:rsidR="00C77E75">
              <w:rPr>
                <w:sz w:val="28"/>
                <w:szCs w:val="28"/>
              </w:rPr>
              <w:t>335</w:t>
            </w:r>
            <w:r w:rsidR="005076C5" w:rsidRPr="00096A61">
              <w:rPr>
                <w:sz w:val="28"/>
                <w:szCs w:val="28"/>
              </w:rPr>
              <w:t>,</w:t>
            </w:r>
            <w:r w:rsidR="00C77E75">
              <w:rPr>
                <w:sz w:val="28"/>
                <w:szCs w:val="28"/>
              </w:rPr>
              <w:t>71</w:t>
            </w:r>
            <w:r w:rsidR="005076C5" w:rsidRPr="00096A61">
              <w:rPr>
                <w:sz w:val="28"/>
                <w:szCs w:val="28"/>
              </w:rPr>
              <w:t> </w:t>
            </w:r>
            <w:r w:rsidR="00397AA8" w:rsidRPr="00F45F59">
              <w:rPr>
                <w:i/>
                <w:sz w:val="28"/>
                <w:szCs w:val="28"/>
              </w:rPr>
              <w:t>euro</w:t>
            </w:r>
            <w:r w:rsidR="00397AA8" w:rsidRPr="00F45F59">
              <w:rPr>
                <w:sz w:val="28"/>
                <w:szCs w:val="28"/>
              </w:rPr>
              <w:t>, lai izpildītu Latvijas Republikas Augstākās tiesas Civillietu tiesas palātas 2016.gada 6.decembra spriedumu lietā Nr.C04425110.</w:t>
            </w:r>
          </w:p>
          <w:p w:rsidR="00567090" w:rsidRPr="002054C8" w:rsidRDefault="00567090" w:rsidP="00F45F59">
            <w:pPr>
              <w:pStyle w:val="naisf"/>
              <w:spacing w:before="0" w:after="0"/>
              <w:ind w:firstLine="0"/>
              <w:rPr>
                <w:sz w:val="28"/>
                <w:szCs w:val="28"/>
              </w:rPr>
            </w:pPr>
            <w:r>
              <w:rPr>
                <w:sz w:val="28"/>
                <w:szCs w:val="28"/>
              </w:rPr>
              <w:t>Atbilstoši iepriekš minētajam spriedumam Kultūras ministrijai dots 10 dienu termiņš no sprieduma spēkā stāšanās dienas sprieduma labprātīgai izpildei, lai neiestātos spriedumā prasītājai noteiktās tiesības par laiku līdz sprieduma izpildei (izsoles noslēguma dienai) saņemt no Kultūras ministrijas likumiskos sešus procentus gadā.</w:t>
            </w:r>
          </w:p>
        </w:tc>
      </w:tr>
      <w:tr w:rsidR="0010719C" w:rsidRPr="00823A95" w:rsidTr="0010719C">
        <w:trPr>
          <w:trHeight w:val="476"/>
        </w:trPr>
        <w:tc>
          <w:tcPr>
            <w:tcW w:w="386" w:type="pct"/>
          </w:tcPr>
          <w:p w:rsidR="0010719C" w:rsidRPr="00823A95" w:rsidRDefault="0010719C" w:rsidP="0010719C">
            <w:pPr>
              <w:pStyle w:val="naiskr"/>
              <w:spacing w:before="0" w:after="0"/>
              <w:jc w:val="center"/>
              <w:rPr>
                <w:sz w:val="28"/>
                <w:szCs w:val="28"/>
              </w:rPr>
            </w:pPr>
            <w:r w:rsidRPr="00823A95">
              <w:rPr>
                <w:sz w:val="28"/>
                <w:szCs w:val="28"/>
              </w:rPr>
              <w:lastRenderedPageBreak/>
              <w:t>3.</w:t>
            </w:r>
          </w:p>
        </w:tc>
        <w:tc>
          <w:tcPr>
            <w:tcW w:w="1696" w:type="pct"/>
          </w:tcPr>
          <w:p w:rsidR="0010719C" w:rsidRPr="00823A95" w:rsidRDefault="0010719C" w:rsidP="0010719C">
            <w:pPr>
              <w:pStyle w:val="naiskr"/>
              <w:spacing w:before="0" w:after="0"/>
              <w:ind w:left="57"/>
              <w:rPr>
                <w:sz w:val="28"/>
                <w:szCs w:val="28"/>
              </w:rPr>
            </w:pPr>
            <w:r w:rsidRPr="00823A95">
              <w:rPr>
                <w:sz w:val="28"/>
                <w:szCs w:val="28"/>
              </w:rPr>
              <w:t>Projekta izstrādē iesaistītās institūcijas</w:t>
            </w:r>
          </w:p>
        </w:tc>
        <w:tc>
          <w:tcPr>
            <w:tcW w:w="2918" w:type="pct"/>
          </w:tcPr>
          <w:p w:rsidR="0010719C" w:rsidRPr="00823A95" w:rsidRDefault="0010719C" w:rsidP="0010719C">
            <w:pPr>
              <w:pStyle w:val="naisf"/>
              <w:ind w:firstLine="0"/>
              <w:rPr>
                <w:bCs/>
                <w:sz w:val="28"/>
                <w:szCs w:val="28"/>
              </w:rPr>
            </w:pPr>
            <w:r w:rsidRPr="00823A95">
              <w:rPr>
                <w:sz w:val="28"/>
                <w:szCs w:val="28"/>
              </w:rPr>
              <w:t xml:space="preserve"> Kultūras ministrija.</w:t>
            </w:r>
          </w:p>
        </w:tc>
      </w:tr>
      <w:tr w:rsidR="0010719C" w:rsidRPr="00823A95" w:rsidTr="003224C2">
        <w:trPr>
          <w:trHeight w:val="274"/>
        </w:trPr>
        <w:tc>
          <w:tcPr>
            <w:tcW w:w="386" w:type="pct"/>
          </w:tcPr>
          <w:p w:rsidR="0010719C" w:rsidRPr="00823A95" w:rsidRDefault="0010719C" w:rsidP="0010719C">
            <w:pPr>
              <w:pStyle w:val="naiskr"/>
              <w:spacing w:before="0" w:after="0"/>
              <w:jc w:val="center"/>
              <w:rPr>
                <w:sz w:val="28"/>
                <w:szCs w:val="28"/>
              </w:rPr>
            </w:pPr>
            <w:r w:rsidRPr="00823A95">
              <w:rPr>
                <w:sz w:val="28"/>
                <w:szCs w:val="28"/>
              </w:rPr>
              <w:t>4.</w:t>
            </w:r>
          </w:p>
        </w:tc>
        <w:tc>
          <w:tcPr>
            <w:tcW w:w="1696" w:type="pct"/>
          </w:tcPr>
          <w:p w:rsidR="0010719C" w:rsidRPr="00823A95" w:rsidRDefault="0010719C" w:rsidP="0010719C">
            <w:pPr>
              <w:pStyle w:val="naiskr"/>
              <w:spacing w:before="0" w:after="0"/>
              <w:ind w:left="57"/>
              <w:rPr>
                <w:sz w:val="28"/>
                <w:szCs w:val="28"/>
              </w:rPr>
            </w:pPr>
            <w:r w:rsidRPr="00823A95">
              <w:rPr>
                <w:sz w:val="28"/>
                <w:szCs w:val="28"/>
              </w:rPr>
              <w:t>Cita informācija</w:t>
            </w:r>
          </w:p>
        </w:tc>
        <w:tc>
          <w:tcPr>
            <w:tcW w:w="2918" w:type="pct"/>
          </w:tcPr>
          <w:p w:rsidR="0010719C" w:rsidRPr="00823A95" w:rsidRDefault="0010719C" w:rsidP="0010719C">
            <w:pPr>
              <w:pStyle w:val="naiskr"/>
              <w:spacing w:before="0" w:after="0"/>
              <w:rPr>
                <w:sz w:val="28"/>
                <w:szCs w:val="28"/>
              </w:rPr>
            </w:pPr>
            <w:r w:rsidRPr="00823A95">
              <w:rPr>
                <w:sz w:val="28"/>
                <w:szCs w:val="28"/>
              </w:rPr>
              <w:t xml:space="preserve"> Nav</w:t>
            </w:r>
          </w:p>
        </w:tc>
      </w:tr>
    </w:tbl>
    <w:p w:rsidR="00E703A4" w:rsidRDefault="00E703A4" w:rsidP="00E703A4">
      <w:pPr>
        <w:pStyle w:val="naisf"/>
        <w:spacing w:before="0" w:after="0"/>
        <w:ind w:firstLine="0"/>
        <w:rPr>
          <w:sz w:val="28"/>
          <w:szCs w:val="28"/>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1398"/>
        <w:gridCol w:w="1557"/>
        <w:gridCol w:w="1487"/>
        <w:gridCol w:w="1391"/>
        <w:gridCol w:w="1466"/>
      </w:tblGrid>
      <w:tr w:rsidR="00A718B8" w:rsidRPr="003224C2" w:rsidTr="00BA6916">
        <w:trPr>
          <w:jc w:val="center"/>
        </w:trPr>
        <w:tc>
          <w:tcPr>
            <w:tcW w:w="5000" w:type="pct"/>
            <w:gridSpan w:val="6"/>
            <w:vAlign w:val="center"/>
          </w:tcPr>
          <w:p w:rsidR="00A718B8" w:rsidRPr="003224C2" w:rsidRDefault="00A718B8" w:rsidP="00BA6916">
            <w:pPr>
              <w:pStyle w:val="naisf"/>
              <w:spacing w:before="0" w:after="0"/>
              <w:ind w:firstLine="0"/>
              <w:jc w:val="center"/>
              <w:rPr>
                <w:b/>
                <w:sz w:val="28"/>
                <w:szCs w:val="28"/>
              </w:rPr>
            </w:pPr>
            <w:r w:rsidRPr="003224C2">
              <w:rPr>
                <w:b/>
                <w:sz w:val="28"/>
                <w:szCs w:val="28"/>
              </w:rPr>
              <w:t>III. Tiesību akta projekta ietekme uz valsts budžetu un pašvaldību budžetiem</w:t>
            </w:r>
          </w:p>
        </w:tc>
      </w:tr>
      <w:tr w:rsidR="00A718B8" w:rsidRPr="003224C2" w:rsidTr="00BA6916">
        <w:trPr>
          <w:jc w:val="center"/>
        </w:trPr>
        <w:tc>
          <w:tcPr>
            <w:tcW w:w="1058" w:type="pct"/>
            <w:vMerge w:val="restart"/>
            <w:vAlign w:val="center"/>
          </w:tcPr>
          <w:p w:rsidR="00A718B8" w:rsidRPr="003224C2" w:rsidRDefault="00A718B8" w:rsidP="00BA6916">
            <w:pPr>
              <w:pStyle w:val="naisf"/>
              <w:spacing w:before="0" w:after="0"/>
              <w:ind w:left="114" w:hanging="114"/>
              <w:jc w:val="center"/>
              <w:rPr>
                <w:b/>
                <w:sz w:val="28"/>
                <w:szCs w:val="28"/>
              </w:rPr>
            </w:pPr>
            <w:r w:rsidRPr="003224C2">
              <w:rPr>
                <w:b/>
                <w:sz w:val="28"/>
                <w:szCs w:val="28"/>
              </w:rPr>
              <w:t>Rādītāji</w:t>
            </w:r>
          </w:p>
        </w:tc>
        <w:tc>
          <w:tcPr>
            <w:tcW w:w="1596" w:type="pct"/>
            <w:gridSpan w:val="2"/>
            <w:vMerge w:val="restart"/>
            <w:vAlign w:val="center"/>
          </w:tcPr>
          <w:p w:rsidR="00A718B8" w:rsidRPr="003224C2" w:rsidRDefault="00A718B8" w:rsidP="00BA6916">
            <w:pPr>
              <w:pStyle w:val="naisf"/>
              <w:spacing w:before="0" w:after="0"/>
              <w:ind w:firstLine="0"/>
              <w:jc w:val="center"/>
              <w:rPr>
                <w:b/>
                <w:sz w:val="28"/>
                <w:szCs w:val="28"/>
              </w:rPr>
            </w:pPr>
            <w:r w:rsidRPr="00770E09">
              <w:rPr>
                <w:b/>
                <w:sz w:val="28"/>
                <w:szCs w:val="28"/>
              </w:rPr>
              <w:t>2017.gads</w:t>
            </w:r>
          </w:p>
        </w:tc>
        <w:tc>
          <w:tcPr>
            <w:tcW w:w="2346" w:type="pct"/>
            <w:gridSpan w:val="3"/>
            <w:vAlign w:val="center"/>
          </w:tcPr>
          <w:p w:rsidR="00A718B8" w:rsidRPr="003224C2" w:rsidRDefault="00A718B8" w:rsidP="00BA6916">
            <w:pPr>
              <w:pStyle w:val="naisf"/>
              <w:spacing w:before="0" w:after="0"/>
              <w:ind w:firstLine="0"/>
              <w:jc w:val="center"/>
              <w:rPr>
                <w:b/>
                <w:i/>
                <w:sz w:val="28"/>
                <w:szCs w:val="28"/>
              </w:rPr>
            </w:pPr>
            <w:r w:rsidRPr="00770E09">
              <w:rPr>
                <w:sz w:val="28"/>
                <w:szCs w:val="28"/>
              </w:rPr>
              <w:t>Turpmākie trīs gadi (</w:t>
            </w:r>
            <w:r w:rsidRPr="00770E09">
              <w:rPr>
                <w:i/>
                <w:sz w:val="28"/>
                <w:szCs w:val="28"/>
              </w:rPr>
              <w:t>euro</w:t>
            </w:r>
            <w:r w:rsidRPr="00770E09">
              <w:rPr>
                <w:sz w:val="28"/>
                <w:szCs w:val="28"/>
              </w:rPr>
              <w:t>)</w:t>
            </w:r>
          </w:p>
        </w:tc>
      </w:tr>
      <w:tr w:rsidR="00A718B8" w:rsidRPr="003224C2" w:rsidTr="00BA6916">
        <w:trPr>
          <w:jc w:val="center"/>
        </w:trPr>
        <w:tc>
          <w:tcPr>
            <w:tcW w:w="1058" w:type="pct"/>
            <w:vMerge/>
            <w:vAlign w:val="center"/>
          </w:tcPr>
          <w:p w:rsidR="00A718B8" w:rsidRPr="003224C2" w:rsidRDefault="00A718B8" w:rsidP="00BA6916">
            <w:pPr>
              <w:pStyle w:val="naisf"/>
              <w:spacing w:before="0" w:after="0"/>
              <w:ind w:firstLine="0"/>
              <w:jc w:val="center"/>
              <w:rPr>
                <w:b/>
                <w:i/>
                <w:sz w:val="28"/>
                <w:szCs w:val="28"/>
              </w:rPr>
            </w:pPr>
          </w:p>
        </w:tc>
        <w:tc>
          <w:tcPr>
            <w:tcW w:w="1596" w:type="pct"/>
            <w:gridSpan w:val="2"/>
            <w:vMerge/>
            <w:vAlign w:val="center"/>
          </w:tcPr>
          <w:p w:rsidR="00A718B8" w:rsidRPr="003224C2" w:rsidRDefault="00A718B8" w:rsidP="00BA6916">
            <w:pPr>
              <w:pStyle w:val="naisf"/>
              <w:spacing w:before="0" w:after="0"/>
              <w:ind w:firstLine="0"/>
              <w:jc w:val="center"/>
              <w:rPr>
                <w:b/>
                <w:i/>
                <w:sz w:val="28"/>
                <w:szCs w:val="28"/>
              </w:rPr>
            </w:pPr>
          </w:p>
        </w:tc>
        <w:tc>
          <w:tcPr>
            <w:tcW w:w="803" w:type="pct"/>
            <w:vAlign w:val="center"/>
          </w:tcPr>
          <w:p w:rsidR="00A718B8" w:rsidRPr="003224C2" w:rsidRDefault="00A718B8" w:rsidP="00BA6916">
            <w:pPr>
              <w:pStyle w:val="naisf"/>
              <w:spacing w:before="0" w:after="0"/>
              <w:ind w:firstLine="0"/>
              <w:jc w:val="center"/>
              <w:rPr>
                <w:b/>
                <w:i/>
                <w:sz w:val="28"/>
                <w:szCs w:val="28"/>
              </w:rPr>
            </w:pPr>
            <w:r w:rsidRPr="00731C8D">
              <w:rPr>
                <w:b/>
                <w:bCs/>
                <w:sz w:val="28"/>
                <w:szCs w:val="28"/>
              </w:rPr>
              <w:t>2018.gads</w:t>
            </w:r>
          </w:p>
        </w:tc>
        <w:tc>
          <w:tcPr>
            <w:tcW w:w="751" w:type="pct"/>
            <w:vAlign w:val="center"/>
          </w:tcPr>
          <w:p w:rsidR="00A718B8" w:rsidRPr="003224C2" w:rsidRDefault="00A718B8" w:rsidP="00BA6916">
            <w:pPr>
              <w:pStyle w:val="naisf"/>
              <w:spacing w:before="0" w:after="0"/>
              <w:ind w:firstLine="0"/>
              <w:jc w:val="center"/>
              <w:rPr>
                <w:b/>
                <w:i/>
                <w:sz w:val="28"/>
                <w:szCs w:val="28"/>
              </w:rPr>
            </w:pPr>
            <w:r w:rsidRPr="00731C8D">
              <w:rPr>
                <w:b/>
                <w:bCs/>
                <w:sz w:val="28"/>
                <w:szCs w:val="28"/>
              </w:rPr>
              <w:t>2019.gads</w:t>
            </w:r>
          </w:p>
        </w:tc>
        <w:tc>
          <w:tcPr>
            <w:tcW w:w="792" w:type="pct"/>
            <w:vAlign w:val="center"/>
          </w:tcPr>
          <w:p w:rsidR="00A718B8" w:rsidRPr="003224C2" w:rsidRDefault="00A718B8" w:rsidP="00BA6916">
            <w:pPr>
              <w:pStyle w:val="naisf"/>
              <w:spacing w:before="0" w:after="0"/>
              <w:ind w:firstLine="0"/>
              <w:jc w:val="center"/>
              <w:rPr>
                <w:b/>
                <w:i/>
                <w:sz w:val="28"/>
                <w:szCs w:val="28"/>
              </w:rPr>
            </w:pPr>
            <w:r w:rsidRPr="00731C8D">
              <w:rPr>
                <w:b/>
                <w:bCs/>
                <w:sz w:val="28"/>
                <w:szCs w:val="28"/>
              </w:rPr>
              <w:t>2020.gads</w:t>
            </w:r>
          </w:p>
        </w:tc>
      </w:tr>
      <w:tr w:rsidR="00A718B8" w:rsidRPr="003224C2" w:rsidTr="00BA6916">
        <w:trPr>
          <w:jc w:val="center"/>
        </w:trPr>
        <w:tc>
          <w:tcPr>
            <w:tcW w:w="1058" w:type="pct"/>
            <w:vMerge/>
            <w:vAlign w:val="center"/>
          </w:tcPr>
          <w:p w:rsidR="00A718B8" w:rsidRPr="003224C2" w:rsidRDefault="00A718B8" w:rsidP="00BA6916">
            <w:pPr>
              <w:pStyle w:val="naisf"/>
              <w:spacing w:before="0" w:after="0"/>
              <w:ind w:firstLine="0"/>
              <w:jc w:val="center"/>
              <w:rPr>
                <w:b/>
                <w:i/>
                <w:sz w:val="28"/>
                <w:szCs w:val="28"/>
              </w:rPr>
            </w:pPr>
          </w:p>
        </w:tc>
        <w:tc>
          <w:tcPr>
            <w:tcW w:w="755" w:type="pct"/>
            <w:vAlign w:val="center"/>
          </w:tcPr>
          <w:p w:rsidR="00A718B8" w:rsidRPr="003224C2" w:rsidRDefault="00A718B8" w:rsidP="00BA6916">
            <w:pPr>
              <w:pStyle w:val="naisf"/>
              <w:spacing w:before="0" w:after="0"/>
              <w:ind w:firstLine="0"/>
              <w:jc w:val="center"/>
              <w:rPr>
                <w:b/>
                <w:i/>
                <w:sz w:val="28"/>
                <w:szCs w:val="28"/>
              </w:rPr>
            </w:pPr>
            <w:r w:rsidRPr="00770E09">
              <w:rPr>
                <w:sz w:val="28"/>
                <w:szCs w:val="28"/>
              </w:rPr>
              <w:t>Saskaņā ar valsts budžetu kārtējam gadam</w:t>
            </w:r>
          </w:p>
        </w:tc>
        <w:tc>
          <w:tcPr>
            <w:tcW w:w="840" w:type="pct"/>
            <w:vAlign w:val="center"/>
          </w:tcPr>
          <w:p w:rsidR="00A718B8" w:rsidRPr="003224C2" w:rsidRDefault="00A718B8" w:rsidP="00BA6916">
            <w:pPr>
              <w:pStyle w:val="naisf"/>
              <w:spacing w:before="0" w:after="0"/>
              <w:ind w:firstLine="0"/>
              <w:jc w:val="center"/>
              <w:rPr>
                <w:b/>
                <w:i/>
                <w:sz w:val="28"/>
                <w:szCs w:val="28"/>
              </w:rPr>
            </w:pPr>
            <w:r w:rsidRPr="00770E09">
              <w:rPr>
                <w:sz w:val="28"/>
                <w:szCs w:val="28"/>
              </w:rPr>
              <w:t>Izmaiņas kārtējā gadā, salīdzinot ar budžetu kārtējam gadam</w:t>
            </w:r>
          </w:p>
        </w:tc>
        <w:tc>
          <w:tcPr>
            <w:tcW w:w="803" w:type="pct"/>
            <w:vAlign w:val="center"/>
          </w:tcPr>
          <w:p w:rsidR="00A718B8" w:rsidRPr="003224C2" w:rsidRDefault="00A718B8" w:rsidP="00BA6916">
            <w:pPr>
              <w:pStyle w:val="naisf"/>
              <w:spacing w:before="0" w:after="0"/>
              <w:ind w:firstLine="0"/>
              <w:jc w:val="center"/>
              <w:rPr>
                <w:b/>
                <w:i/>
                <w:sz w:val="28"/>
                <w:szCs w:val="28"/>
              </w:rPr>
            </w:pPr>
            <w:r w:rsidRPr="00770E09">
              <w:rPr>
                <w:sz w:val="28"/>
                <w:szCs w:val="28"/>
              </w:rPr>
              <w:t>Izmaiņas, salīdzinot ar kārtējo (2017) gadu</w:t>
            </w:r>
          </w:p>
        </w:tc>
        <w:tc>
          <w:tcPr>
            <w:tcW w:w="751" w:type="pct"/>
            <w:vAlign w:val="center"/>
          </w:tcPr>
          <w:p w:rsidR="00A718B8" w:rsidRPr="003224C2" w:rsidRDefault="00A718B8" w:rsidP="00BA6916">
            <w:pPr>
              <w:pStyle w:val="naisf"/>
              <w:spacing w:before="0" w:after="0"/>
              <w:ind w:firstLine="0"/>
              <w:jc w:val="center"/>
              <w:rPr>
                <w:b/>
                <w:i/>
                <w:sz w:val="28"/>
                <w:szCs w:val="28"/>
              </w:rPr>
            </w:pPr>
            <w:r w:rsidRPr="00770E09">
              <w:rPr>
                <w:sz w:val="28"/>
                <w:szCs w:val="28"/>
              </w:rPr>
              <w:t>Izmaiņas, salīdzinot ar kārtējo (2017) gadu</w:t>
            </w:r>
          </w:p>
        </w:tc>
        <w:tc>
          <w:tcPr>
            <w:tcW w:w="792" w:type="pct"/>
            <w:vAlign w:val="center"/>
          </w:tcPr>
          <w:p w:rsidR="00A718B8" w:rsidRPr="003224C2" w:rsidRDefault="00A718B8" w:rsidP="00BA6916">
            <w:pPr>
              <w:pStyle w:val="naisf"/>
              <w:spacing w:before="0" w:after="0"/>
              <w:ind w:firstLine="0"/>
              <w:jc w:val="center"/>
              <w:rPr>
                <w:b/>
                <w:i/>
                <w:sz w:val="28"/>
                <w:szCs w:val="28"/>
              </w:rPr>
            </w:pPr>
            <w:r w:rsidRPr="00770E09">
              <w:rPr>
                <w:sz w:val="28"/>
                <w:szCs w:val="28"/>
              </w:rPr>
              <w:t>Izmaiņas, salīdzinot ar kārtējo (2017) gadu</w:t>
            </w:r>
          </w:p>
        </w:tc>
      </w:tr>
      <w:tr w:rsidR="00A718B8" w:rsidRPr="003224C2" w:rsidTr="00BA6916">
        <w:trPr>
          <w:jc w:val="center"/>
        </w:trPr>
        <w:tc>
          <w:tcPr>
            <w:tcW w:w="1058" w:type="pct"/>
            <w:vAlign w:val="center"/>
          </w:tcPr>
          <w:p w:rsidR="00A718B8" w:rsidRPr="003224C2" w:rsidRDefault="00A718B8" w:rsidP="00BA6916">
            <w:pPr>
              <w:pStyle w:val="naisf"/>
              <w:spacing w:before="0" w:after="0"/>
              <w:ind w:firstLine="0"/>
              <w:jc w:val="center"/>
              <w:rPr>
                <w:bCs/>
                <w:sz w:val="28"/>
                <w:szCs w:val="28"/>
              </w:rPr>
            </w:pPr>
            <w:r w:rsidRPr="00770E09">
              <w:rPr>
                <w:bCs/>
                <w:sz w:val="28"/>
                <w:szCs w:val="28"/>
              </w:rPr>
              <w:t>1</w:t>
            </w:r>
          </w:p>
        </w:tc>
        <w:tc>
          <w:tcPr>
            <w:tcW w:w="755" w:type="pct"/>
            <w:vAlign w:val="center"/>
          </w:tcPr>
          <w:p w:rsidR="00A718B8" w:rsidRPr="003224C2" w:rsidRDefault="00A718B8" w:rsidP="00BA6916">
            <w:pPr>
              <w:pStyle w:val="naisf"/>
              <w:spacing w:before="0" w:after="0"/>
              <w:ind w:firstLine="0"/>
              <w:jc w:val="center"/>
              <w:rPr>
                <w:bCs/>
                <w:sz w:val="28"/>
                <w:szCs w:val="28"/>
              </w:rPr>
            </w:pPr>
            <w:r w:rsidRPr="00770E09">
              <w:rPr>
                <w:bCs/>
                <w:sz w:val="28"/>
                <w:szCs w:val="28"/>
              </w:rPr>
              <w:t>2</w:t>
            </w:r>
          </w:p>
        </w:tc>
        <w:tc>
          <w:tcPr>
            <w:tcW w:w="840" w:type="pct"/>
            <w:vAlign w:val="center"/>
          </w:tcPr>
          <w:p w:rsidR="00A718B8" w:rsidRPr="003224C2" w:rsidRDefault="00A718B8" w:rsidP="00BA6916">
            <w:pPr>
              <w:pStyle w:val="naisf"/>
              <w:spacing w:before="0" w:after="0"/>
              <w:ind w:firstLine="0"/>
              <w:jc w:val="center"/>
              <w:rPr>
                <w:bCs/>
                <w:sz w:val="28"/>
                <w:szCs w:val="28"/>
              </w:rPr>
            </w:pPr>
            <w:r w:rsidRPr="00770E09">
              <w:rPr>
                <w:bCs/>
                <w:sz w:val="28"/>
                <w:szCs w:val="28"/>
              </w:rPr>
              <w:t>3</w:t>
            </w:r>
          </w:p>
        </w:tc>
        <w:tc>
          <w:tcPr>
            <w:tcW w:w="803" w:type="pct"/>
            <w:vAlign w:val="center"/>
          </w:tcPr>
          <w:p w:rsidR="00A718B8" w:rsidRPr="003224C2" w:rsidRDefault="00A718B8" w:rsidP="00BA6916">
            <w:pPr>
              <w:pStyle w:val="naisf"/>
              <w:spacing w:before="0" w:after="0"/>
              <w:ind w:firstLine="0"/>
              <w:jc w:val="center"/>
              <w:rPr>
                <w:bCs/>
                <w:sz w:val="28"/>
                <w:szCs w:val="28"/>
              </w:rPr>
            </w:pPr>
            <w:r w:rsidRPr="00770E09">
              <w:rPr>
                <w:bCs/>
                <w:sz w:val="28"/>
                <w:szCs w:val="28"/>
              </w:rPr>
              <w:t>4</w:t>
            </w:r>
          </w:p>
        </w:tc>
        <w:tc>
          <w:tcPr>
            <w:tcW w:w="751" w:type="pct"/>
            <w:vAlign w:val="center"/>
          </w:tcPr>
          <w:p w:rsidR="00A718B8" w:rsidRPr="003224C2" w:rsidRDefault="00A718B8" w:rsidP="00BA6916">
            <w:pPr>
              <w:pStyle w:val="naisf"/>
              <w:spacing w:before="0" w:after="0"/>
              <w:ind w:firstLine="0"/>
              <w:jc w:val="center"/>
              <w:rPr>
                <w:bCs/>
                <w:sz w:val="28"/>
                <w:szCs w:val="28"/>
              </w:rPr>
            </w:pPr>
            <w:r w:rsidRPr="00770E09">
              <w:rPr>
                <w:bCs/>
                <w:sz w:val="28"/>
                <w:szCs w:val="28"/>
              </w:rPr>
              <w:t>5</w:t>
            </w:r>
          </w:p>
        </w:tc>
        <w:tc>
          <w:tcPr>
            <w:tcW w:w="792" w:type="pct"/>
            <w:vAlign w:val="center"/>
          </w:tcPr>
          <w:p w:rsidR="00A718B8" w:rsidRPr="003224C2" w:rsidRDefault="00A718B8" w:rsidP="00BA6916">
            <w:pPr>
              <w:pStyle w:val="naisf"/>
              <w:spacing w:before="0" w:after="0"/>
              <w:rPr>
                <w:bCs/>
                <w:sz w:val="28"/>
                <w:szCs w:val="28"/>
              </w:rPr>
            </w:pPr>
            <w:r w:rsidRPr="00770E09">
              <w:rPr>
                <w:bCs/>
                <w:sz w:val="28"/>
                <w:szCs w:val="28"/>
              </w:rPr>
              <w:t>6</w:t>
            </w:r>
          </w:p>
        </w:tc>
      </w:tr>
      <w:tr w:rsidR="00A718B8" w:rsidRPr="003224C2" w:rsidTr="00BA6916">
        <w:trPr>
          <w:jc w:val="center"/>
        </w:trPr>
        <w:tc>
          <w:tcPr>
            <w:tcW w:w="1058" w:type="pct"/>
          </w:tcPr>
          <w:p w:rsidR="00A718B8" w:rsidRPr="003224C2" w:rsidRDefault="00A718B8" w:rsidP="00BA6916">
            <w:pPr>
              <w:pStyle w:val="naisf"/>
              <w:spacing w:before="0" w:after="0"/>
              <w:ind w:firstLine="0"/>
              <w:jc w:val="left"/>
              <w:rPr>
                <w:i/>
                <w:sz w:val="28"/>
                <w:szCs w:val="28"/>
              </w:rPr>
            </w:pPr>
            <w:r w:rsidRPr="003224C2">
              <w:rPr>
                <w:sz w:val="28"/>
                <w:szCs w:val="28"/>
              </w:rPr>
              <w:t>1. Budžeta ieņēmumi:</w:t>
            </w:r>
          </w:p>
        </w:tc>
        <w:tc>
          <w:tcPr>
            <w:tcW w:w="755" w:type="pct"/>
          </w:tcPr>
          <w:p w:rsidR="00A718B8" w:rsidRPr="003224C2" w:rsidRDefault="00A718B8" w:rsidP="00BA6916">
            <w:pPr>
              <w:pStyle w:val="naisf"/>
              <w:spacing w:before="0" w:after="0"/>
              <w:ind w:firstLine="0"/>
              <w:jc w:val="center"/>
              <w:rPr>
                <w:sz w:val="28"/>
                <w:szCs w:val="28"/>
              </w:rPr>
            </w:pPr>
            <w:r>
              <w:rPr>
                <w:sz w:val="28"/>
                <w:szCs w:val="28"/>
              </w:rPr>
              <w:t>830 766</w:t>
            </w:r>
          </w:p>
        </w:tc>
        <w:tc>
          <w:tcPr>
            <w:tcW w:w="840"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pStyle w:val="naisf"/>
              <w:spacing w:before="0" w:after="0"/>
              <w:ind w:firstLine="0"/>
              <w:jc w:val="left"/>
              <w:rPr>
                <w:i/>
                <w:sz w:val="28"/>
                <w:szCs w:val="28"/>
              </w:rPr>
            </w:pPr>
            <w:r w:rsidRPr="003224C2">
              <w:rPr>
                <w:sz w:val="28"/>
                <w:szCs w:val="28"/>
              </w:rPr>
              <w:t>1.1. valsts pamatbudžets, tai skaitā ieņēmumi no maksas pakalpojumiem un citi pašu ieņēmumi</w:t>
            </w:r>
          </w:p>
        </w:tc>
        <w:tc>
          <w:tcPr>
            <w:tcW w:w="755" w:type="pct"/>
          </w:tcPr>
          <w:p w:rsidR="00A718B8" w:rsidRPr="003224C2" w:rsidRDefault="00A718B8" w:rsidP="00BA6916">
            <w:pPr>
              <w:pStyle w:val="naisf"/>
              <w:spacing w:before="0" w:after="0"/>
              <w:ind w:firstLine="0"/>
              <w:jc w:val="center"/>
              <w:rPr>
                <w:sz w:val="28"/>
                <w:szCs w:val="28"/>
              </w:rPr>
            </w:pPr>
            <w:r>
              <w:rPr>
                <w:sz w:val="28"/>
                <w:szCs w:val="28"/>
              </w:rPr>
              <w:t>830 766</w:t>
            </w:r>
          </w:p>
        </w:tc>
        <w:tc>
          <w:tcPr>
            <w:tcW w:w="840"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pStyle w:val="naisf"/>
              <w:spacing w:before="0" w:after="0"/>
              <w:ind w:firstLine="0"/>
              <w:jc w:val="left"/>
              <w:rPr>
                <w:i/>
                <w:sz w:val="28"/>
                <w:szCs w:val="28"/>
              </w:rPr>
            </w:pPr>
            <w:r w:rsidRPr="003224C2">
              <w:rPr>
                <w:sz w:val="28"/>
                <w:szCs w:val="28"/>
              </w:rPr>
              <w:lastRenderedPageBreak/>
              <w:t>1.2. valsts speciālais budžets</w:t>
            </w:r>
          </w:p>
        </w:tc>
        <w:tc>
          <w:tcPr>
            <w:tcW w:w="755"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40"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pStyle w:val="naisf"/>
              <w:spacing w:before="0" w:after="0"/>
              <w:ind w:firstLine="0"/>
              <w:jc w:val="left"/>
              <w:rPr>
                <w:i/>
                <w:sz w:val="28"/>
                <w:szCs w:val="28"/>
              </w:rPr>
            </w:pPr>
            <w:r w:rsidRPr="003224C2">
              <w:rPr>
                <w:sz w:val="28"/>
                <w:szCs w:val="28"/>
              </w:rPr>
              <w:t>1.3. pašvaldību budžets</w:t>
            </w:r>
          </w:p>
        </w:tc>
        <w:tc>
          <w:tcPr>
            <w:tcW w:w="755"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40"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rPr>
                <w:sz w:val="28"/>
                <w:szCs w:val="28"/>
              </w:rPr>
            </w:pPr>
            <w:r w:rsidRPr="003224C2">
              <w:rPr>
                <w:sz w:val="28"/>
                <w:szCs w:val="28"/>
              </w:rPr>
              <w:t>2. Budžeta izdevumi:</w:t>
            </w:r>
          </w:p>
        </w:tc>
        <w:tc>
          <w:tcPr>
            <w:tcW w:w="755" w:type="pct"/>
          </w:tcPr>
          <w:p w:rsidR="00A718B8" w:rsidRPr="003224C2" w:rsidRDefault="00A718B8" w:rsidP="00BA6916">
            <w:pPr>
              <w:pStyle w:val="naisf"/>
              <w:spacing w:before="0" w:after="0"/>
              <w:ind w:firstLine="0"/>
              <w:jc w:val="center"/>
              <w:rPr>
                <w:sz w:val="28"/>
                <w:szCs w:val="28"/>
              </w:rPr>
            </w:pPr>
            <w:r>
              <w:rPr>
                <w:sz w:val="28"/>
                <w:szCs w:val="28"/>
              </w:rPr>
              <w:t>830 766</w:t>
            </w:r>
          </w:p>
        </w:tc>
        <w:tc>
          <w:tcPr>
            <w:tcW w:w="840" w:type="pct"/>
          </w:tcPr>
          <w:p w:rsidR="00A718B8" w:rsidRPr="003224C2" w:rsidRDefault="00A718B8" w:rsidP="00C77E75">
            <w:pPr>
              <w:pStyle w:val="naisf"/>
              <w:spacing w:before="0" w:after="0"/>
              <w:ind w:firstLine="0"/>
              <w:jc w:val="center"/>
              <w:rPr>
                <w:sz w:val="28"/>
                <w:szCs w:val="28"/>
              </w:rPr>
            </w:pPr>
            <w:r w:rsidRPr="00BD14B4">
              <w:rPr>
                <w:sz w:val="28"/>
                <w:szCs w:val="28"/>
              </w:rPr>
              <w:t>652</w:t>
            </w:r>
            <w:r>
              <w:rPr>
                <w:sz w:val="28"/>
                <w:szCs w:val="28"/>
              </w:rPr>
              <w:t> </w:t>
            </w:r>
            <w:r w:rsidR="00C77E75">
              <w:rPr>
                <w:sz w:val="28"/>
                <w:szCs w:val="28"/>
              </w:rPr>
              <w:t>336</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rPr>
                <w:sz w:val="28"/>
                <w:szCs w:val="28"/>
              </w:rPr>
            </w:pPr>
            <w:r w:rsidRPr="003224C2">
              <w:rPr>
                <w:sz w:val="28"/>
                <w:szCs w:val="28"/>
              </w:rPr>
              <w:t>2.1. valsts pamatbudžets</w:t>
            </w:r>
          </w:p>
        </w:tc>
        <w:tc>
          <w:tcPr>
            <w:tcW w:w="755" w:type="pct"/>
          </w:tcPr>
          <w:p w:rsidR="00A718B8" w:rsidRPr="003224C2" w:rsidRDefault="00A718B8" w:rsidP="00BA6916">
            <w:pPr>
              <w:pStyle w:val="naisf"/>
              <w:spacing w:before="0" w:after="0"/>
              <w:ind w:firstLine="0"/>
              <w:jc w:val="center"/>
              <w:rPr>
                <w:sz w:val="28"/>
                <w:szCs w:val="28"/>
              </w:rPr>
            </w:pPr>
            <w:r>
              <w:rPr>
                <w:sz w:val="28"/>
                <w:szCs w:val="28"/>
              </w:rPr>
              <w:t>830 766</w:t>
            </w:r>
          </w:p>
        </w:tc>
        <w:tc>
          <w:tcPr>
            <w:tcW w:w="840" w:type="pct"/>
          </w:tcPr>
          <w:p w:rsidR="00A718B8" w:rsidRPr="003224C2" w:rsidRDefault="00A718B8" w:rsidP="00C77E75">
            <w:pPr>
              <w:pStyle w:val="naisf"/>
              <w:spacing w:before="0" w:after="0"/>
              <w:ind w:firstLine="0"/>
              <w:jc w:val="center"/>
              <w:rPr>
                <w:b/>
                <w:sz w:val="28"/>
                <w:szCs w:val="28"/>
              </w:rPr>
            </w:pPr>
            <w:r w:rsidRPr="00BD14B4">
              <w:rPr>
                <w:sz w:val="28"/>
                <w:szCs w:val="28"/>
              </w:rPr>
              <w:t>652</w:t>
            </w:r>
            <w:r>
              <w:rPr>
                <w:sz w:val="28"/>
                <w:szCs w:val="28"/>
              </w:rPr>
              <w:t> </w:t>
            </w:r>
            <w:r w:rsidR="00C77E75">
              <w:rPr>
                <w:sz w:val="28"/>
                <w:szCs w:val="28"/>
              </w:rPr>
              <w:t>336</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rPr>
                <w:sz w:val="28"/>
                <w:szCs w:val="28"/>
              </w:rPr>
            </w:pPr>
            <w:r w:rsidRPr="003224C2">
              <w:rPr>
                <w:sz w:val="28"/>
                <w:szCs w:val="28"/>
              </w:rPr>
              <w:t>2.2. valsts speciālais budžets</w:t>
            </w:r>
          </w:p>
        </w:tc>
        <w:tc>
          <w:tcPr>
            <w:tcW w:w="755"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40"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rPr>
                <w:sz w:val="28"/>
                <w:szCs w:val="28"/>
              </w:rPr>
            </w:pPr>
            <w:r w:rsidRPr="003224C2">
              <w:rPr>
                <w:sz w:val="28"/>
                <w:szCs w:val="28"/>
              </w:rPr>
              <w:t xml:space="preserve">2.3. pašvaldību budžets </w:t>
            </w:r>
          </w:p>
        </w:tc>
        <w:tc>
          <w:tcPr>
            <w:tcW w:w="755"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40"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rPr>
                <w:sz w:val="28"/>
                <w:szCs w:val="28"/>
              </w:rPr>
            </w:pPr>
            <w:r w:rsidRPr="003224C2">
              <w:rPr>
                <w:sz w:val="28"/>
                <w:szCs w:val="28"/>
              </w:rPr>
              <w:t>3. Finansiālā ietekme:</w:t>
            </w:r>
          </w:p>
        </w:tc>
        <w:tc>
          <w:tcPr>
            <w:tcW w:w="755" w:type="pct"/>
            <w:shd w:val="clear" w:color="auto" w:fill="auto"/>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40" w:type="pct"/>
          </w:tcPr>
          <w:p w:rsidR="00A718B8" w:rsidRPr="003224C2" w:rsidRDefault="00A718B8" w:rsidP="00C77E75">
            <w:pPr>
              <w:pStyle w:val="naisf"/>
              <w:spacing w:before="0" w:after="0"/>
              <w:ind w:firstLine="0"/>
              <w:jc w:val="center"/>
              <w:rPr>
                <w:sz w:val="28"/>
                <w:szCs w:val="28"/>
              </w:rPr>
            </w:pPr>
            <w:r w:rsidRPr="003224C2">
              <w:rPr>
                <w:sz w:val="28"/>
                <w:szCs w:val="28"/>
              </w:rPr>
              <w:t>-</w:t>
            </w:r>
            <w:r w:rsidRPr="00BD14B4">
              <w:rPr>
                <w:sz w:val="28"/>
                <w:szCs w:val="28"/>
              </w:rPr>
              <w:t>652</w:t>
            </w:r>
            <w:r>
              <w:rPr>
                <w:sz w:val="28"/>
                <w:szCs w:val="28"/>
              </w:rPr>
              <w:t> </w:t>
            </w:r>
            <w:r w:rsidR="00C77E75">
              <w:rPr>
                <w:sz w:val="28"/>
                <w:szCs w:val="28"/>
              </w:rPr>
              <w:t>336</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rPr>
                <w:sz w:val="28"/>
                <w:szCs w:val="28"/>
              </w:rPr>
            </w:pPr>
            <w:r w:rsidRPr="003224C2">
              <w:rPr>
                <w:sz w:val="28"/>
                <w:szCs w:val="28"/>
              </w:rPr>
              <w:t>3.1. valsts pamatbudžets</w:t>
            </w:r>
          </w:p>
        </w:tc>
        <w:tc>
          <w:tcPr>
            <w:tcW w:w="755" w:type="pct"/>
            <w:shd w:val="clear" w:color="auto" w:fill="auto"/>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40" w:type="pct"/>
          </w:tcPr>
          <w:p w:rsidR="00A718B8" w:rsidRPr="003224C2" w:rsidRDefault="00A718B8" w:rsidP="00C77E75">
            <w:pPr>
              <w:pStyle w:val="naisf"/>
              <w:spacing w:before="0" w:after="0"/>
              <w:ind w:firstLine="0"/>
              <w:jc w:val="center"/>
              <w:rPr>
                <w:sz w:val="28"/>
                <w:szCs w:val="28"/>
              </w:rPr>
            </w:pPr>
            <w:r w:rsidRPr="003224C2">
              <w:rPr>
                <w:sz w:val="28"/>
                <w:szCs w:val="28"/>
              </w:rPr>
              <w:t>-</w:t>
            </w:r>
            <w:r w:rsidRPr="00BD14B4">
              <w:rPr>
                <w:sz w:val="28"/>
                <w:szCs w:val="28"/>
              </w:rPr>
              <w:t>652</w:t>
            </w:r>
            <w:r>
              <w:rPr>
                <w:sz w:val="28"/>
                <w:szCs w:val="28"/>
              </w:rPr>
              <w:t> </w:t>
            </w:r>
            <w:r w:rsidR="00C77E75">
              <w:rPr>
                <w:sz w:val="28"/>
                <w:szCs w:val="28"/>
              </w:rPr>
              <w:t>336</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rPr>
                <w:sz w:val="28"/>
                <w:szCs w:val="28"/>
              </w:rPr>
            </w:pPr>
            <w:r w:rsidRPr="003224C2">
              <w:rPr>
                <w:sz w:val="28"/>
                <w:szCs w:val="28"/>
              </w:rPr>
              <w:t>3.2. speciālais budžets</w:t>
            </w:r>
          </w:p>
        </w:tc>
        <w:tc>
          <w:tcPr>
            <w:tcW w:w="755" w:type="pct"/>
            <w:shd w:val="clear" w:color="auto" w:fill="auto"/>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40"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rPr>
                <w:sz w:val="28"/>
                <w:szCs w:val="28"/>
              </w:rPr>
            </w:pPr>
            <w:r w:rsidRPr="003224C2">
              <w:rPr>
                <w:sz w:val="28"/>
                <w:szCs w:val="28"/>
              </w:rPr>
              <w:t xml:space="preserve">3.3. pašvaldību budžets </w:t>
            </w:r>
          </w:p>
        </w:tc>
        <w:tc>
          <w:tcPr>
            <w:tcW w:w="755" w:type="pct"/>
            <w:shd w:val="clear" w:color="auto" w:fill="auto"/>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40"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rPr>
                <w:sz w:val="28"/>
                <w:szCs w:val="28"/>
              </w:rPr>
            </w:pPr>
            <w:r w:rsidRPr="003224C2">
              <w:rPr>
                <w:sz w:val="28"/>
                <w:szCs w:val="28"/>
              </w:rPr>
              <w:t>4. Finanšu līdzekļi papildu izde</w:t>
            </w:r>
            <w:r w:rsidRPr="003224C2">
              <w:rPr>
                <w:sz w:val="28"/>
                <w:szCs w:val="28"/>
              </w:rPr>
              <w:softHyphen/>
              <w:t>vumu finansēšanai (kompensējošu izdevumu samazinājumu norāda ar "+" zīmi)</w:t>
            </w:r>
          </w:p>
        </w:tc>
        <w:tc>
          <w:tcPr>
            <w:tcW w:w="755" w:type="pct"/>
          </w:tcPr>
          <w:p w:rsidR="00A718B8" w:rsidRPr="003224C2" w:rsidRDefault="00A718B8" w:rsidP="00BA6916">
            <w:pPr>
              <w:pStyle w:val="naisf"/>
              <w:spacing w:before="0" w:after="0"/>
              <w:ind w:firstLine="0"/>
              <w:jc w:val="center"/>
              <w:rPr>
                <w:i/>
                <w:sz w:val="28"/>
                <w:szCs w:val="28"/>
              </w:rPr>
            </w:pPr>
            <w:r w:rsidRPr="003224C2">
              <w:rPr>
                <w:sz w:val="28"/>
                <w:szCs w:val="28"/>
              </w:rPr>
              <w:t>X</w:t>
            </w:r>
          </w:p>
        </w:tc>
        <w:tc>
          <w:tcPr>
            <w:tcW w:w="840" w:type="pct"/>
          </w:tcPr>
          <w:p w:rsidR="00A718B8" w:rsidRPr="003224C2" w:rsidRDefault="00A718B8" w:rsidP="00C77E75">
            <w:pPr>
              <w:pStyle w:val="naisf"/>
              <w:spacing w:before="0" w:after="0"/>
              <w:ind w:firstLine="0"/>
              <w:jc w:val="center"/>
              <w:rPr>
                <w:sz w:val="28"/>
                <w:szCs w:val="28"/>
              </w:rPr>
            </w:pPr>
            <w:r w:rsidRPr="00BD14B4">
              <w:rPr>
                <w:sz w:val="28"/>
                <w:szCs w:val="28"/>
              </w:rPr>
              <w:t>652</w:t>
            </w:r>
            <w:r>
              <w:rPr>
                <w:sz w:val="28"/>
                <w:szCs w:val="28"/>
              </w:rPr>
              <w:t> </w:t>
            </w:r>
            <w:r w:rsidR="00C77E75">
              <w:rPr>
                <w:sz w:val="28"/>
                <w:szCs w:val="28"/>
              </w:rPr>
              <w:t>336</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rPr>
                <w:sz w:val="28"/>
                <w:szCs w:val="28"/>
              </w:rPr>
            </w:pPr>
            <w:r w:rsidRPr="003224C2">
              <w:rPr>
                <w:sz w:val="28"/>
                <w:szCs w:val="28"/>
              </w:rPr>
              <w:t>5. Precizēta finansiālā ietekme:</w:t>
            </w:r>
          </w:p>
        </w:tc>
        <w:tc>
          <w:tcPr>
            <w:tcW w:w="755" w:type="pct"/>
            <w:vMerge w:val="restart"/>
          </w:tcPr>
          <w:p w:rsidR="00A718B8" w:rsidRPr="003224C2" w:rsidRDefault="00A718B8" w:rsidP="00BA6916">
            <w:pPr>
              <w:pStyle w:val="naisf"/>
              <w:spacing w:before="0" w:after="0"/>
              <w:ind w:firstLine="0"/>
              <w:jc w:val="center"/>
              <w:rPr>
                <w:i/>
                <w:sz w:val="28"/>
                <w:szCs w:val="28"/>
              </w:rPr>
            </w:pPr>
            <w:r w:rsidRPr="003224C2">
              <w:rPr>
                <w:sz w:val="28"/>
                <w:szCs w:val="28"/>
              </w:rPr>
              <w:t>X</w:t>
            </w:r>
          </w:p>
        </w:tc>
        <w:tc>
          <w:tcPr>
            <w:tcW w:w="840"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Pr>
          <w:p w:rsidR="00A718B8" w:rsidRPr="003224C2" w:rsidRDefault="00A718B8" w:rsidP="00BA6916">
            <w:pPr>
              <w:rPr>
                <w:sz w:val="28"/>
                <w:szCs w:val="28"/>
              </w:rPr>
            </w:pPr>
            <w:r w:rsidRPr="003224C2">
              <w:rPr>
                <w:sz w:val="28"/>
                <w:szCs w:val="28"/>
              </w:rPr>
              <w:t>5.1. valsts pamatbudžets</w:t>
            </w:r>
          </w:p>
        </w:tc>
        <w:tc>
          <w:tcPr>
            <w:tcW w:w="755" w:type="pct"/>
            <w:vMerge/>
            <w:vAlign w:val="center"/>
          </w:tcPr>
          <w:p w:rsidR="00A718B8" w:rsidRPr="003224C2" w:rsidRDefault="00A718B8" w:rsidP="00BA6916">
            <w:pPr>
              <w:pStyle w:val="naisf"/>
              <w:spacing w:before="0" w:after="0"/>
              <w:ind w:firstLine="0"/>
              <w:jc w:val="center"/>
              <w:rPr>
                <w:i/>
                <w:sz w:val="28"/>
                <w:szCs w:val="28"/>
              </w:rPr>
            </w:pPr>
          </w:p>
        </w:tc>
        <w:tc>
          <w:tcPr>
            <w:tcW w:w="840"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Borders>
              <w:bottom w:val="single" w:sz="4" w:space="0" w:color="auto"/>
            </w:tcBorders>
          </w:tcPr>
          <w:p w:rsidR="00A718B8" w:rsidRPr="003224C2" w:rsidRDefault="00A718B8" w:rsidP="00BA6916">
            <w:pPr>
              <w:rPr>
                <w:sz w:val="28"/>
                <w:szCs w:val="28"/>
              </w:rPr>
            </w:pPr>
            <w:r w:rsidRPr="003224C2">
              <w:rPr>
                <w:sz w:val="28"/>
                <w:szCs w:val="28"/>
              </w:rPr>
              <w:t>5.2. speciālais budžets</w:t>
            </w:r>
          </w:p>
        </w:tc>
        <w:tc>
          <w:tcPr>
            <w:tcW w:w="755" w:type="pct"/>
            <w:vMerge/>
            <w:tcBorders>
              <w:bottom w:val="single" w:sz="4" w:space="0" w:color="auto"/>
            </w:tcBorders>
            <w:vAlign w:val="center"/>
          </w:tcPr>
          <w:p w:rsidR="00A718B8" w:rsidRPr="003224C2" w:rsidRDefault="00A718B8" w:rsidP="00BA6916">
            <w:pPr>
              <w:pStyle w:val="naisf"/>
              <w:spacing w:before="0" w:after="0"/>
              <w:ind w:firstLine="0"/>
              <w:jc w:val="center"/>
              <w:rPr>
                <w:i/>
                <w:sz w:val="28"/>
                <w:szCs w:val="28"/>
              </w:rPr>
            </w:pPr>
          </w:p>
        </w:tc>
        <w:tc>
          <w:tcPr>
            <w:tcW w:w="840" w:type="pct"/>
            <w:tcBorders>
              <w:bottom w:val="single" w:sz="4" w:space="0" w:color="auto"/>
            </w:tcBorders>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Borders>
              <w:bottom w:val="single" w:sz="4" w:space="0" w:color="auto"/>
            </w:tcBorders>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Borders>
              <w:bottom w:val="single" w:sz="4" w:space="0" w:color="auto"/>
            </w:tcBorders>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Borders>
              <w:bottom w:val="single" w:sz="4" w:space="0" w:color="auto"/>
            </w:tcBorders>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jc w:val="center"/>
        </w:trPr>
        <w:tc>
          <w:tcPr>
            <w:tcW w:w="1058" w:type="pct"/>
            <w:tcBorders>
              <w:top w:val="single" w:sz="4" w:space="0" w:color="auto"/>
              <w:left w:val="single" w:sz="4" w:space="0" w:color="auto"/>
              <w:bottom w:val="single" w:sz="4" w:space="0" w:color="auto"/>
              <w:right w:val="single" w:sz="4" w:space="0" w:color="auto"/>
            </w:tcBorders>
          </w:tcPr>
          <w:p w:rsidR="00A718B8" w:rsidRPr="003224C2" w:rsidRDefault="00A718B8" w:rsidP="00BA6916">
            <w:pPr>
              <w:rPr>
                <w:sz w:val="28"/>
                <w:szCs w:val="28"/>
              </w:rPr>
            </w:pPr>
            <w:r w:rsidRPr="003224C2">
              <w:rPr>
                <w:sz w:val="28"/>
                <w:szCs w:val="28"/>
              </w:rPr>
              <w:t xml:space="preserve">5.3. pašvaldību budžets </w:t>
            </w:r>
          </w:p>
        </w:tc>
        <w:tc>
          <w:tcPr>
            <w:tcW w:w="755" w:type="pct"/>
            <w:vMerge/>
            <w:tcBorders>
              <w:top w:val="single" w:sz="4" w:space="0" w:color="auto"/>
              <w:left w:val="single" w:sz="4" w:space="0" w:color="auto"/>
              <w:bottom w:val="single" w:sz="4" w:space="0" w:color="auto"/>
              <w:right w:val="single" w:sz="4" w:space="0" w:color="auto"/>
            </w:tcBorders>
            <w:vAlign w:val="center"/>
          </w:tcPr>
          <w:p w:rsidR="00A718B8" w:rsidRPr="003224C2" w:rsidRDefault="00A718B8" w:rsidP="00BA6916">
            <w:pPr>
              <w:pStyle w:val="naisf"/>
              <w:spacing w:before="0" w:after="0"/>
              <w:ind w:firstLine="0"/>
              <w:jc w:val="center"/>
              <w:rPr>
                <w:i/>
                <w:sz w:val="28"/>
                <w:szCs w:val="28"/>
              </w:rPr>
            </w:pPr>
          </w:p>
        </w:tc>
        <w:tc>
          <w:tcPr>
            <w:tcW w:w="840" w:type="pct"/>
            <w:tcBorders>
              <w:top w:val="single" w:sz="4" w:space="0" w:color="auto"/>
              <w:left w:val="single" w:sz="4" w:space="0" w:color="auto"/>
              <w:bottom w:val="single" w:sz="4" w:space="0" w:color="auto"/>
              <w:right w:val="single" w:sz="4" w:space="0" w:color="auto"/>
            </w:tcBorders>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803" w:type="pct"/>
            <w:tcBorders>
              <w:top w:val="single" w:sz="4" w:space="0" w:color="auto"/>
              <w:left w:val="single" w:sz="4" w:space="0" w:color="auto"/>
              <w:bottom w:val="single" w:sz="4" w:space="0" w:color="auto"/>
              <w:right w:val="single" w:sz="4" w:space="0" w:color="auto"/>
            </w:tcBorders>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51" w:type="pct"/>
            <w:tcBorders>
              <w:top w:val="single" w:sz="4" w:space="0" w:color="auto"/>
              <w:left w:val="single" w:sz="4" w:space="0" w:color="auto"/>
              <w:bottom w:val="single" w:sz="4" w:space="0" w:color="auto"/>
              <w:right w:val="single" w:sz="4" w:space="0" w:color="auto"/>
            </w:tcBorders>
          </w:tcPr>
          <w:p w:rsidR="00A718B8" w:rsidRPr="003224C2" w:rsidRDefault="00A718B8" w:rsidP="00BA6916">
            <w:pPr>
              <w:pStyle w:val="naisf"/>
              <w:spacing w:before="0" w:after="0"/>
              <w:ind w:firstLine="0"/>
              <w:jc w:val="center"/>
              <w:rPr>
                <w:sz w:val="28"/>
                <w:szCs w:val="28"/>
              </w:rPr>
            </w:pPr>
            <w:r w:rsidRPr="003224C2">
              <w:rPr>
                <w:sz w:val="28"/>
                <w:szCs w:val="28"/>
              </w:rPr>
              <w:t>0</w:t>
            </w:r>
          </w:p>
        </w:tc>
        <w:tc>
          <w:tcPr>
            <w:tcW w:w="792" w:type="pct"/>
            <w:tcBorders>
              <w:top w:val="single" w:sz="4" w:space="0" w:color="auto"/>
              <w:left w:val="single" w:sz="4" w:space="0" w:color="auto"/>
              <w:bottom w:val="single" w:sz="4" w:space="0" w:color="auto"/>
              <w:right w:val="single" w:sz="4" w:space="0" w:color="auto"/>
            </w:tcBorders>
          </w:tcPr>
          <w:p w:rsidR="00A718B8" w:rsidRPr="003224C2" w:rsidRDefault="00A718B8" w:rsidP="00BA6916">
            <w:pPr>
              <w:pStyle w:val="naisf"/>
              <w:spacing w:before="0" w:after="0"/>
              <w:ind w:firstLine="0"/>
              <w:jc w:val="center"/>
              <w:rPr>
                <w:sz w:val="28"/>
                <w:szCs w:val="28"/>
              </w:rPr>
            </w:pPr>
            <w:r w:rsidRPr="003224C2">
              <w:rPr>
                <w:sz w:val="28"/>
                <w:szCs w:val="28"/>
              </w:rPr>
              <w:t>0</w:t>
            </w:r>
          </w:p>
        </w:tc>
      </w:tr>
      <w:tr w:rsidR="00A718B8" w:rsidRPr="003224C2" w:rsidTr="00BA6916">
        <w:trPr>
          <w:trHeight w:val="707"/>
          <w:jc w:val="center"/>
        </w:trPr>
        <w:tc>
          <w:tcPr>
            <w:tcW w:w="1058" w:type="pct"/>
            <w:tcBorders>
              <w:top w:val="single" w:sz="4" w:space="0" w:color="auto"/>
              <w:left w:val="single" w:sz="4" w:space="0" w:color="auto"/>
              <w:bottom w:val="single" w:sz="4" w:space="0" w:color="auto"/>
              <w:right w:val="single" w:sz="4" w:space="0" w:color="auto"/>
            </w:tcBorders>
          </w:tcPr>
          <w:p w:rsidR="00A718B8" w:rsidRPr="003224C2" w:rsidRDefault="00A718B8" w:rsidP="00BA6916">
            <w:pPr>
              <w:rPr>
                <w:sz w:val="28"/>
                <w:szCs w:val="28"/>
              </w:rPr>
            </w:pPr>
            <w:r w:rsidRPr="003224C2">
              <w:rPr>
                <w:sz w:val="28"/>
                <w:szCs w:val="28"/>
              </w:rPr>
              <w:t xml:space="preserve">6. Detalizēts ieņēmumu un </w:t>
            </w:r>
            <w:r w:rsidRPr="003224C2">
              <w:rPr>
                <w:sz w:val="28"/>
                <w:szCs w:val="28"/>
              </w:rPr>
              <w:lastRenderedPageBreak/>
              <w:t>izdevu</w:t>
            </w:r>
            <w:r w:rsidRPr="003224C2">
              <w:rPr>
                <w:sz w:val="28"/>
                <w:szCs w:val="28"/>
              </w:rPr>
              <w:softHyphen/>
              <w:t>mu aprēķins (ja nepieciešams, detalizētu ieņēmumu un izdevumu aprēķinu var pievienot anotācijas pielikumā):</w:t>
            </w:r>
          </w:p>
        </w:tc>
        <w:tc>
          <w:tcPr>
            <w:tcW w:w="3942" w:type="pct"/>
            <w:gridSpan w:val="5"/>
            <w:vMerge w:val="restart"/>
            <w:tcBorders>
              <w:top w:val="single" w:sz="4" w:space="0" w:color="auto"/>
              <w:left w:val="single" w:sz="4" w:space="0" w:color="auto"/>
              <w:bottom w:val="single" w:sz="4" w:space="0" w:color="auto"/>
              <w:right w:val="single" w:sz="4" w:space="0" w:color="auto"/>
            </w:tcBorders>
          </w:tcPr>
          <w:p w:rsidR="00A718B8" w:rsidRDefault="00324739" w:rsidP="00BA6916">
            <w:pPr>
              <w:pStyle w:val="tv213"/>
              <w:spacing w:before="0" w:beforeAutospacing="0" w:after="0" w:afterAutospacing="0"/>
              <w:jc w:val="both"/>
              <w:rPr>
                <w:sz w:val="28"/>
                <w:szCs w:val="28"/>
              </w:rPr>
            </w:pPr>
            <w:r>
              <w:rPr>
                <w:sz w:val="28"/>
                <w:szCs w:val="28"/>
              </w:rPr>
              <w:lastRenderedPageBreak/>
              <w:t>P</w:t>
            </w:r>
            <w:r w:rsidR="00A718B8">
              <w:rPr>
                <w:sz w:val="28"/>
                <w:szCs w:val="28"/>
              </w:rPr>
              <w:t xml:space="preserve">rojekts paredz piešķirt finansējumu </w:t>
            </w:r>
            <w:r w:rsidR="00A718B8" w:rsidRPr="00BD14B4">
              <w:rPr>
                <w:sz w:val="28"/>
                <w:szCs w:val="28"/>
              </w:rPr>
              <w:t>652 335,71</w:t>
            </w:r>
            <w:r w:rsidR="00A718B8" w:rsidRPr="00F45F59">
              <w:rPr>
                <w:sz w:val="28"/>
                <w:szCs w:val="28"/>
              </w:rPr>
              <w:t> </w:t>
            </w:r>
            <w:proofErr w:type="spellStart"/>
            <w:r w:rsidR="00A718B8" w:rsidRPr="003F123B">
              <w:rPr>
                <w:i/>
                <w:sz w:val="28"/>
                <w:szCs w:val="28"/>
              </w:rPr>
              <w:t>euro</w:t>
            </w:r>
            <w:proofErr w:type="spellEnd"/>
            <w:r w:rsidR="00A718B8">
              <w:rPr>
                <w:i/>
                <w:sz w:val="28"/>
                <w:szCs w:val="28"/>
              </w:rPr>
              <w:t xml:space="preserve"> </w:t>
            </w:r>
            <w:r w:rsidR="00A718B8" w:rsidRPr="003F123B">
              <w:rPr>
                <w:sz w:val="28"/>
                <w:szCs w:val="28"/>
              </w:rPr>
              <w:t xml:space="preserve">apmērā </w:t>
            </w:r>
            <w:r w:rsidR="00A718B8">
              <w:rPr>
                <w:sz w:val="28"/>
                <w:szCs w:val="28"/>
              </w:rPr>
              <w:t>(6510 EKK „</w:t>
            </w:r>
            <w:r w:rsidR="00A718B8" w:rsidRPr="003F123B">
              <w:rPr>
                <w:sz w:val="28"/>
                <w:szCs w:val="28"/>
              </w:rPr>
              <w:t xml:space="preserve">Kompensācijas, kuras izmaksā personām, </w:t>
            </w:r>
            <w:r w:rsidR="00A718B8" w:rsidRPr="003F123B">
              <w:rPr>
                <w:sz w:val="28"/>
                <w:szCs w:val="28"/>
              </w:rPr>
              <w:lastRenderedPageBreak/>
              <w:t>pamatojoties uz Latvijas tiesu nolēmumiem”)</w:t>
            </w:r>
            <w:r w:rsidR="00A718B8">
              <w:rPr>
                <w:sz w:val="28"/>
                <w:szCs w:val="28"/>
              </w:rPr>
              <w:t xml:space="preserve"> Latvijas Republikas Augstākās tiesas Civillietu tiesas palātas 2016.gada 6.decembra spriedumu civillietā Nr.C04425110.</w:t>
            </w:r>
          </w:p>
          <w:p w:rsidR="00A718B8" w:rsidRPr="00096A61" w:rsidRDefault="00A718B8" w:rsidP="00BA6916">
            <w:pPr>
              <w:jc w:val="both"/>
              <w:rPr>
                <w:sz w:val="28"/>
                <w:szCs w:val="28"/>
              </w:rPr>
            </w:pPr>
            <w:r w:rsidRPr="00096A61">
              <w:rPr>
                <w:sz w:val="28"/>
                <w:szCs w:val="28"/>
                <w:lang w:eastAsia="lv-LV"/>
              </w:rPr>
              <w:t>Nepieciešamā</w:t>
            </w:r>
            <w:r w:rsidRPr="00096A61">
              <w:rPr>
                <w:sz w:val="28"/>
                <w:szCs w:val="28"/>
              </w:rPr>
              <w:t xml:space="preserve"> finansējuma aprēķins:</w:t>
            </w:r>
          </w:p>
          <w:p w:rsidR="00A718B8" w:rsidRPr="00096A61" w:rsidRDefault="00A718B8" w:rsidP="00A718B8">
            <w:pPr>
              <w:pStyle w:val="Sarakstarindkopa"/>
              <w:numPr>
                <w:ilvl w:val="0"/>
                <w:numId w:val="4"/>
              </w:numPr>
              <w:overflowPunct/>
              <w:autoSpaceDE/>
              <w:autoSpaceDN/>
              <w:adjustRightInd/>
              <w:spacing w:after="0"/>
              <w:ind w:left="0"/>
              <w:textAlignment w:val="auto"/>
              <w:rPr>
                <w:sz w:val="28"/>
                <w:szCs w:val="28"/>
              </w:rPr>
            </w:pPr>
            <w:r w:rsidRPr="00096A61">
              <w:rPr>
                <w:sz w:val="28"/>
                <w:szCs w:val="28"/>
              </w:rPr>
              <w:t xml:space="preserve">Kompensācija </w:t>
            </w:r>
            <w:r>
              <w:rPr>
                <w:sz w:val="28"/>
                <w:szCs w:val="28"/>
              </w:rPr>
              <w:t>621 949,19</w:t>
            </w:r>
            <w:r w:rsidRPr="00096A61">
              <w:rPr>
                <w:sz w:val="28"/>
                <w:szCs w:val="28"/>
              </w:rPr>
              <w:t> </w:t>
            </w:r>
            <w:r w:rsidRPr="00096A61">
              <w:rPr>
                <w:i/>
                <w:sz w:val="28"/>
                <w:szCs w:val="28"/>
              </w:rPr>
              <w:t>euro</w:t>
            </w:r>
            <w:r w:rsidRPr="00096A61">
              <w:rPr>
                <w:sz w:val="28"/>
                <w:szCs w:val="28"/>
              </w:rPr>
              <w:t>;</w:t>
            </w:r>
          </w:p>
          <w:p w:rsidR="00A718B8" w:rsidRPr="00096A61" w:rsidRDefault="00A718B8" w:rsidP="00A718B8">
            <w:pPr>
              <w:pStyle w:val="Sarakstarindkopa"/>
              <w:numPr>
                <w:ilvl w:val="0"/>
                <w:numId w:val="4"/>
              </w:numPr>
              <w:overflowPunct/>
              <w:autoSpaceDE/>
              <w:autoSpaceDN/>
              <w:adjustRightInd/>
              <w:spacing w:after="0"/>
              <w:ind w:left="0"/>
              <w:textAlignment w:val="auto"/>
              <w:rPr>
                <w:sz w:val="28"/>
                <w:szCs w:val="28"/>
              </w:rPr>
            </w:pPr>
            <w:r w:rsidRPr="00096A61">
              <w:rPr>
                <w:sz w:val="28"/>
                <w:szCs w:val="28"/>
              </w:rPr>
              <w:t xml:space="preserve">Prasītājas tiesas izdevumi 30 386,52 </w:t>
            </w:r>
            <w:r w:rsidRPr="00096A61">
              <w:rPr>
                <w:i/>
                <w:sz w:val="28"/>
                <w:szCs w:val="28"/>
              </w:rPr>
              <w:t>euro</w:t>
            </w:r>
            <w:r w:rsidRPr="00096A61">
              <w:rPr>
                <w:sz w:val="28"/>
                <w:szCs w:val="28"/>
              </w:rPr>
              <w:t>;</w:t>
            </w:r>
          </w:p>
          <w:p w:rsidR="00A718B8" w:rsidRPr="00F45F59" w:rsidRDefault="00A718B8" w:rsidP="00BA6916">
            <w:pPr>
              <w:jc w:val="both"/>
              <w:rPr>
                <w:i/>
                <w:sz w:val="28"/>
                <w:szCs w:val="28"/>
              </w:rPr>
            </w:pPr>
            <w:r w:rsidRPr="00096A61">
              <w:rPr>
                <w:sz w:val="28"/>
                <w:szCs w:val="28"/>
              </w:rPr>
              <w:t>KOPĀ: 652 3</w:t>
            </w:r>
            <w:r w:rsidR="00C77E75">
              <w:rPr>
                <w:sz w:val="28"/>
                <w:szCs w:val="28"/>
              </w:rPr>
              <w:t>35</w:t>
            </w:r>
            <w:r w:rsidRPr="00096A61">
              <w:rPr>
                <w:sz w:val="28"/>
                <w:szCs w:val="28"/>
              </w:rPr>
              <w:t>,</w:t>
            </w:r>
            <w:r w:rsidR="00C77E75">
              <w:rPr>
                <w:sz w:val="28"/>
                <w:szCs w:val="28"/>
              </w:rPr>
              <w:t>71</w:t>
            </w:r>
            <w:r w:rsidRPr="00096A61">
              <w:rPr>
                <w:sz w:val="28"/>
                <w:szCs w:val="28"/>
              </w:rPr>
              <w:t> </w:t>
            </w:r>
            <w:r w:rsidRPr="00096A61">
              <w:rPr>
                <w:i/>
                <w:sz w:val="28"/>
                <w:szCs w:val="28"/>
              </w:rPr>
              <w:t>euro.</w:t>
            </w:r>
          </w:p>
          <w:p w:rsidR="00A718B8" w:rsidRDefault="00A718B8" w:rsidP="00C77E75">
            <w:pPr>
              <w:pStyle w:val="tv213"/>
              <w:spacing w:before="0" w:beforeAutospacing="0" w:after="0" w:afterAutospacing="0"/>
              <w:jc w:val="both"/>
              <w:rPr>
                <w:sz w:val="28"/>
                <w:szCs w:val="28"/>
              </w:rPr>
            </w:pPr>
            <w:r w:rsidRPr="00F45F59">
              <w:rPr>
                <w:sz w:val="28"/>
                <w:szCs w:val="28"/>
              </w:rPr>
              <w:t>Ņemot vērā, ka valsts budžeta programmās finanšu līdzekļi tiek sadalīti veselos skaitļos, ievērojot Finanšu ministrijas ieteikumu, no vals</w:t>
            </w:r>
            <w:r>
              <w:rPr>
                <w:sz w:val="28"/>
                <w:szCs w:val="28"/>
              </w:rPr>
              <w:t>ts budžeta programmas 02.00.00 „</w:t>
            </w:r>
            <w:r w:rsidRPr="00F45F59">
              <w:rPr>
                <w:sz w:val="28"/>
                <w:szCs w:val="28"/>
              </w:rPr>
              <w:t xml:space="preserve">Līdzekļi neparedzētiem gadījumiem” tiek lūgts piešķirt finansējumu </w:t>
            </w:r>
            <w:r w:rsidRPr="00BD14B4">
              <w:rPr>
                <w:sz w:val="28"/>
                <w:szCs w:val="28"/>
              </w:rPr>
              <w:t>652</w:t>
            </w:r>
            <w:r>
              <w:rPr>
                <w:sz w:val="28"/>
                <w:szCs w:val="28"/>
              </w:rPr>
              <w:t> 3</w:t>
            </w:r>
            <w:r w:rsidR="00C77E75">
              <w:rPr>
                <w:sz w:val="28"/>
                <w:szCs w:val="28"/>
              </w:rPr>
              <w:t>36</w:t>
            </w:r>
            <w:r>
              <w:rPr>
                <w:sz w:val="28"/>
                <w:szCs w:val="28"/>
              </w:rPr>
              <w:t> </w:t>
            </w:r>
            <w:r w:rsidRPr="00F45F59">
              <w:rPr>
                <w:i/>
                <w:sz w:val="28"/>
                <w:szCs w:val="28"/>
              </w:rPr>
              <w:t xml:space="preserve">euro </w:t>
            </w:r>
            <w:r w:rsidRPr="00F45F59">
              <w:rPr>
                <w:sz w:val="28"/>
                <w:szCs w:val="28"/>
              </w:rPr>
              <w:t>apmērā.</w:t>
            </w:r>
          </w:p>
        </w:tc>
      </w:tr>
      <w:tr w:rsidR="00A718B8" w:rsidRPr="003224C2" w:rsidTr="00BA6916">
        <w:trPr>
          <w:jc w:val="center"/>
        </w:trPr>
        <w:tc>
          <w:tcPr>
            <w:tcW w:w="1058" w:type="pct"/>
            <w:tcBorders>
              <w:top w:val="single" w:sz="4" w:space="0" w:color="auto"/>
              <w:left w:val="single" w:sz="4" w:space="0" w:color="auto"/>
              <w:bottom w:val="single" w:sz="4" w:space="0" w:color="auto"/>
              <w:right w:val="single" w:sz="4" w:space="0" w:color="auto"/>
            </w:tcBorders>
          </w:tcPr>
          <w:p w:rsidR="00A718B8" w:rsidRPr="003224C2" w:rsidRDefault="00A718B8" w:rsidP="00BA6916">
            <w:pPr>
              <w:rPr>
                <w:sz w:val="28"/>
                <w:szCs w:val="28"/>
              </w:rPr>
            </w:pPr>
            <w:r w:rsidRPr="003224C2">
              <w:rPr>
                <w:sz w:val="28"/>
                <w:szCs w:val="28"/>
              </w:rPr>
              <w:lastRenderedPageBreak/>
              <w:t>6.1. detalizēts ieņēmumu aprēķins</w:t>
            </w:r>
          </w:p>
        </w:tc>
        <w:tc>
          <w:tcPr>
            <w:tcW w:w="3942" w:type="pct"/>
            <w:gridSpan w:val="5"/>
            <w:vMerge/>
            <w:tcBorders>
              <w:top w:val="single" w:sz="4" w:space="0" w:color="auto"/>
              <w:left w:val="single" w:sz="4" w:space="0" w:color="auto"/>
              <w:bottom w:val="single" w:sz="4" w:space="0" w:color="auto"/>
              <w:right w:val="single" w:sz="4" w:space="0" w:color="auto"/>
            </w:tcBorders>
          </w:tcPr>
          <w:p w:rsidR="00A718B8" w:rsidRPr="003224C2" w:rsidRDefault="00A718B8" w:rsidP="00BA6916">
            <w:pPr>
              <w:pStyle w:val="naisf"/>
              <w:spacing w:before="0" w:after="0"/>
              <w:ind w:firstLine="0"/>
              <w:rPr>
                <w:b/>
                <w:i/>
                <w:sz w:val="28"/>
                <w:szCs w:val="28"/>
              </w:rPr>
            </w:pPr>
          </w:p>
        </w:tc>
      </w:tr>
      <w:tr w:rsidR="00A718B8" w:rsidRPr="003224C2" w:rsidTr="00BA6916">
        <w:trPr>
          <w:jc w:val="center"/>
        </w:trPr>
        <w:tc>
          <w:tcPr>
            <w:tcW w:w="1058" w:type="pct"/>
            <w:tcBorders>
              <w:top w:val="single" w:sz="4" w:space="0" w:color="auto"/>
              <w:left w:val="single" w:sz="4" w:space="0" w:color="auto"/>
              <w:bottom w:val="single" w:sz="4" w:space="0" w:color="auto"/>
              <w:right w:val="single" w:sz="4" w:space="0" w:color="auto"/>
            </w:tcBorders>
          </w:tcPr>
          <w:p w:rsidR="00A718B8" w:rsidRPr="003224C2" w:rsidRDefault="00A718B8" w:rsidP="00BA6916">
            <w:pPr>
              <w:rPr>
                <w:sz w:val="28"/>
                <w:szCs w:val="28"/>
              </w:rPr>
            </w:pPr>
            <w:r w:rsidRPr="003224C2">
              <w:rPr>
                <w:sz w:val="28"/>
                <w:szCs w:val="28"/>
              </w:rPr>
              <w:t>6.2. detalizēts izdevumu aprēķins</w:t>
            </w:r>
          </w:p>
        </w:tc>
        <w:tc>
          <w:tcPr>
            <w:tcW w:w="3942" w:type="pct"/>
            <w:gridSpan w:val="5"/>
            <w:vMerge/>
            <w:tcBorders>
              <w:top w:val="single" w:sz="4" w:space="0" w:color="auto"/>
              <w:left w:val="single" w:sz="4" w:space="0" w:color="auto"/>
              <w:bottom w:val="single" w:sz="4" w:space="0" w:color="auto"/>
              <w:right w:val="single" w:sz="4" w:space="0" w:color="auto"/>
            </w:tcBorders>
          </w:tcPr>
          <w:p w:rsidR="00A718B8" w:rsidRPr="003224C2" w:rsidRDefault="00A718B8" w:rsidP="00BA6916">
            <w:pPr>
              <w:pStyle w:val="naisf"/>
              <w:spacing w:before="0" w:after="0"/>
              <w:ind w:firstLine="0"/>
              <w:rPr>
                <w:b/>
                <w:i/>
                <w:sz w:val="28"/>
                <w:szCs w:val="28"/>
              </w:rPr>
            </w:pPr>
          </w:p>
        </w:tc>
      </w:tr>
      <w:tr w:rsidR="00A718B8" w:rsidRPr="003224C2" w:rsidTr="00BA6916">
        <w:trPr>
          <w:jc w:val="center"/>
        </w:trPr>
        <w:tc>
          <w:tcPr>
            <w:tcW w:w="1058" w:type="pct"/>
            <w:tcBorders>
              <w:top w:val="single" w:sz="4" w:space="0" w:color="auto"/>
              <w:left w:val="single" w:sz="4" w:space="0" w:color="auto"/>
              <w:bottom w:val="single" w:sz="4" w:space="0" w:color="auto"/>
              <w:right w:val="single" w:sz="4" w:space="0" w:color="auto"/>
            </w:tcBorders>
          </w:tcPr>
          <w:p w:rsidR="00A718B8" w:rsidRPr="003224C2" w:rsidRDefault="00A718B8" w:rsidP="00BA6916">
            <w:pPr>
              <w:tabs>
                <w:tab w:val="left" w:pos="5940"/>
              </w:tabs>
              <w:rPr>
                <w:sz w:val="28"/>
                <w:szCs w:val="28"/>
              </w:rPr>
            </w:pPr>
            <w:r w:rsidRPr="003224C2">
              <w:rPr>
                <w:sz w:val="28"/>
                <w:szCs w:val="28"/>
              </w:rPr>
              <w:t>7. Cita informācija</w:t>
            </w:r>
          </w:p>
        </w:tc>
        <w:tc>
          <w:tcPr>
            <w:tcW w:w="3942" w:type="pct"/>
            <w:gridSpan w:val="5"/>
            <w:tcBorders>
              <w:top w:val="single" w:sz="4" w:space="0" w:color="auto"/>
              <w:left w:val="single" w:sz="4" w:space="0" w:color="auto"/>
              <w:bottom w:val="single" w:sz="4" w:space="0" w:color="auto"/>
              <w:right w:val="single" w:sz="4" w:space="0" w:color="auto"/>
            </w:tcBorders>
          </w:tcPr>
          <w:p w:rsidR="00A718B8" w:rsidRPr="003224C2" w:rsidRDefault="00A718B8" w:rsidP="00BA6916">
            <w:pPr>
              <w:pStyle w:val="ParastaisWeb"/>
              <w:tabs>
                <w:tab w:val="left" w:pos="223"/>
              </w:tabs>
              <w:spacing w:before="0" w:beforeAutospacing="0" w:after="120" w:afterAutospacing="0"/>
              <w:jc w:val="both"/>
              <w:rPr>
                <w:sz w:val="28"/>
                <w:szCs w:val="28"/>
              </w:rPr>
            </w:pPr>
            <w:r>
              <w:rPr>
                <w:sz w:val="28"/>
                <w:szCs w:val="28"/>
              </w:rPr>
              <w:t>Nav.</w:t>
            </w:r>
          </w:p>
        </w:tc>
      </w:tr>
    </w:tbl>
    <w:p w:rsidR="00A718B8" w:rsidRPr="00823A95" w:rsidRDefault="00A718B8" w:rsidP="00E703A4">
      <w:pPr>
        <w:pStyle w:val="naisf"/>
        <w:spacing w:before="0" w:after="0"/>
        <w:ind w:firstLine="0"/>
        <w:rPr>
          <w:sz w:val="28"/>
          <w:szCs w:val="28"/>
        </w:rPr>
      </w:pPr>
    </w:p>
    <w:tbl>
      <w:tblPr>
        <w:tblW w:w="506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58"/>
        <w:gridCol w:w="3647"/>
        <w:gridCol w:w="4846"/>
      </w:tblGrid>
      <w:tr w:rsidR="00E703A4" w:rsidRPr="00823A95" w:rsidTr="001F29CF">
        <w:tc>
          <w:tcPr>
            <w:tcW w:w="5000" w:type="pct"/>
            <w:gridSpan w:val="3"/>
            <w:tcBorders>
              <w:top w:val="single" w:sz="4" w:space="0" w:color="auto"/>
            </w:tcBorders>
          </w:tcPr>
          <w:p w:rsidR="00E703A4" w:rsidRPr="00823A95" w:rsidRDefault="00E703A4" w:rsidP="001F29CF">
            <w:pPr>
              <w:pStyle w:val="naisnod"/>
              <w:spacing w:before="0" w:after="0"/>
              <w:ind w:left="-28" w:right="57"/>
              <w:rPr>
                <w:sz w:val="28"/>
                <w:szCs w:val="28"/>
              </w:rPr>
            </w:pPr>
            <w:r w:rsidRPr="00823A95">
              <w:rPr>
                <w:sz w:val="28"/>
                <w:szCs w:val="28"/>
              </w:rPr>
              <w:t>VII. Tiesību akta projekta izpildes nodrošināšana un tās ietekme uz institūcijām</w:t>
            </w:r>
          </w:p>
        </w:tc>
      </w:tr>
      <w:tr w:rsidR="00E703A4" w:rsidRPr="00823A95" w:rsidTr="001F29CF">
        <w:trPr>
          <w:trHeight w:val="427"/>
        </w:trPr>
        <w:tc>
          <w:tcPr>
            <w:tcW w:w="410" w:type="pct"/>
          </w:tcPr>
          <w:p w:rsidR="00E703A4" w:rsidRPr="00823A95" w:rsidRDefault="00E703A4" w:rsidP="00061628">
            <w:pPr>
              <w:pStyle w:val="naisnod"/>
              <w:spacing w:before="0" w:after="0"/>
              <w:ind w:left="57" w:right="57"/>
              <w:rPr>
                <w:b w:val="0"/>
                <w:sz w:val="28"/>
                <w:szCs w:val="28"/>
              </w:rPr>
            </w:pPr>
            <w:r w:rsidRPr="00823A95">
              <w:rPr>
                <w:b w:val="0"/>
                <w:sz w:val="28"/>
                <w:szCs w:val="28"/>
              </w:rPr>
              <w:t>1.</w:t>
            </w:r>
          </w:p>
        </w:tc>
        <w:tc>
          <w:tcPr>
            <w:tcW w:w="1971" w:type="pct"/>
          </w:tcPr>
          <w:p w:rsidR="00E703A4" w:rsidRPr="00823A95" w:rsidRDefault="00E703A4" w:rsidP="00061628">
            <w:pPr>
              <w:pStyle w:val="naisf"/>
              <w:spacing w:before="0" w:after="0"/>
              <w:ind w:left="57" w:right="57" w:firstLine="0"/>
              <w:jc w:val="left"/>
              <w:rPr>
                <w:sz w:val="28"/>
                <w:szCs w:val="28"/>
              </w:rPr>
            </w:pPr>
            <w:r w:rsidRPr="00823A95">
              <w:rPr>
                <w:sz w:val="28"/>
                <w:szCs w:val="28"/>
              </w:rPr>
              <w:t xml:space="preserve">Projekta izpildē iesaistītās institūcijas </w:t>
            </w:r>
          </w:p>
        </w:tc>
        <w:tc>
          <w:tcPr>
            <w:tcW w:w="2619" w:type="pct"/>
          </w:tcPr>
          <w:p w:rsidR="00E703A4" w:rsidRPr="00823A95" w:rsidRDefault="00E703A4" w:rsidP="003F123B">
            <w:pPr>
              <w:spacing w:before="75" w:after="75"/>
              <w:jc w:val="both"/>
              <w:rPr>
                <w:sz w:val="28"/>
                <w:szCs w:val="28"/>
              </w:rPr>
            </w:pPr>
            <w:r w:rsidRPr="00823A95">
              <w:rPr>
                <w:color w:val="000000"/>
                <w:sz w:val="28"/>
                <w:szCs w:val="28"/>
              </w:rPr>
              <w:t>Kultūras ministrija</w:t>
            </w:r>
            <w:r w:rsidR="003F123B">
              <w:rPr>
                <w:color w:val="000000"/>
                <w:sz w:val="28"/>
                <w:szCs w:val="28"/>
              </w:rPr>
              <w:t>.</w:t>
            </w:r>
          </w:p>
        </w:tc>
      </w:tr>
      <w:tr w:rsidR="00E703A4" w:rsidRPr="00823A95" w:rsidTr="001F29CF">
        <w:trPr>
          <w:trHeight w:val="463"/>
        </w:trPr>
        <w:tc>
          <w:tcPr>
            <w:tcW w:w="410" w:type="pct"/>
          </w:tcPr>
          <w:p w:rsidR="00E703A4" w:rsidRPr="00823A95" w:rsidRDefault="00E703A4" w:rsidP="00061628">
            <w:pPr>
              <w:pStyle w:val="naisnod"/>
              <w:spacing w:before="0" w:after="0"/>
              <w:ind w:left="57" w:right="57"/>
              <w:rPr>
                <w:b w:val="0"/>
                <w:sz w:val="28"/>
                <w:szCs w:val="28"/>
              </w:rPr>
            </w:pPr>
            <w:r w:rsidRPr="00823A95">
              <w:rPr>
                <w:b w:val="0"/>
                <w:sz w:val="28"/>
                <w:szCs w:val="28"/>
              </w:rPr>
              <w:t>2.</w:t>
            </w:r>
          </w:p>
        </w:tc>
        <w:tc>
          <w:tcPr>
            <w:tcW w:w="1971" w:type="pct"/>
          </w:tcPr>
          <w:p w:rsidR="00E703A4" w:rsidRPr="00823A95" w:rsidRDefault="00E703A4" w:rsidP="00061628">
            <w:pPr>
              <w:pStyle w:val="naisf"/>
              <w:spacing w:before="0" w:after="0"/>
              <w:ind w:left="57" w:right="57" w:firstLine="0"/>
              <w:jc w:val="left"/>
              <w:rPr>
                <w:sz w:val="28"/>
                <w:szCs w:val="28"/>
              </w:rPr>
            </w:pPr>
            <w:r w:rsidRPr="00823A95">
              <w:rPr>
                <w:sz w:val="28"/>
                <w:szCs w:val="28"/>
              </w:rPr>
              <w:t>Projekta izpildes ietekme uz pārvaldes funkcijām un institucionālo struktūru.</w:t>
            </w:r>
          </w:p>
          <w:p w:rsidR="00E703A4" w:rsidRPr="00823A95" w:rsidRDefault="00E703A4" w:rsidP="00061628">
            <w:pPr>
              <w:pStyle w:val="naisf"/>
              <w:spacing w:before="0" w:after="0"/>
              <w:ind w:left="57" w:right="57" w:firstLine="0"/>
              <w:jc w:val="left"/>
              <w:rPr>
                <w:sz w:val="28"/>
                <w:szCs w:val="28"/>
              </w:rPr>
            </w:pPr>
          </w:p>
          <w:p w:rsidR="00E703A4" w:rsidRPr="00823A95" w:rsidRDefault="00E703A4" w:rsidP="00061628">
            <w:pPr>
              <w:pStyle w:val="naisf"/>
              <w:spacing w:before="0" w:after="0"/>
              <w:ind w:left="57" w:right="57" w:firstLine="0"/>
              <w:jc w:val="left"/>
              <w:rPr>
                <w:sz w:val="28"/>
                <w:szCs w:val="28"/>
              </w:rPr>
            </w:pPr>
            <w:r w:rsidRPr="00823A95">
              <w:rPr>
                <w:sz w:val="28"/>
                <w:szCs w:val="28"/>
              </w:rPr>
              <w:t>Jaunu institūciju izveide, esošu institūciju likvidācija vai reorganizācija, to ietekme uz institūcijas cilvēkresursiem</w:t>
            </w:r>
          </w:p>
        </w:tc>
        <w:tc>
          <w:tcPr>
            <w:tcW w:w="2619" w:type="pct"/>
          </w:tcPr>
          <w:p w:rsidR="00E703A4" w:rsidRPr="00823A95" w:rsidRDefault="00E703A4" w:rsidP="00061628">
            <w:pPr>
              <w:jc w:val="both"/>
              <w:rPr>
                <w:sz w:val="28"/>
                <w:szCs w:val="28"/>
              </w:rPr>
            </w:pPr>
            <w:r w:rsidRPr="00823A95">
              <w:rPr>
                <w:sz w:val="28"/>
                <w:szCs w:val="28"/>
              </w:rPr>
              <w:t xml:space="preserve"> Projekts šo jomu neskar.</w:t>
            </w:r>
          </w:p>
        </w:tc>
      </w:tr>
      <w:tr w:rsidR="00E703A4" w:rsidRPr="00823A95" w:rsidTr="001F29CF">
        <w:trPr>
          <w:trHeight w:val="476"/>
        </w:trPr>
        <w:tc>
          <w:tcPr>
            <w:tcW w:w="410" w:type="pct"/>
          </w:tcPr>
          <w:p w:rsidR="00E703A4" w:rsidRPr="00823A95" w:rsidRDefault="00E703A4" w:rsidP="00061628">
            <w:pPr>
              <w:pStyle w:val="naiskr"/>
              <w:spacing w:before="0" w:after="0"/>
              <w:ind w:left="57" w:right="57"/>
              <w:jc w:val="center"/>
              <w:rPr>
                <w:sz w:val="28"/>
                <w:szCs w:val="28"/>
              </w:rPr>
            </w:pPr>
            <w:r w:rsidRPr="00823A95">
              <w:rPr>
                <w:sz w:val="28"/>
                <w:szCs w:val="28"/>
              </w:rPr>
              <w:t>3.</w:t>
            </w:r>
          </w:p>
        </w:tc>
        <w:tc>
          <w:tcPr>
            <w:tcW w:w="1971" w:type="pct"/>
          </w:tcPr>
          <w:p w:rsidR="00E703A4" w:rsidRPr="00823A95" w:rsidRDefault="00E703A4" w:rsidP="00061628">
            <w:pPr>
              <w:pStyle w:val="naiskr"/>
              <w:spacing w:before="0" w:after="0"/>
              <w:ind w:left="57" w:right="57"/>
              <w:rPr>
                <w:sz w:val="28"/>
                <w:szCs w:val="28"/>
              </w:rPr>
            </w:pPr>
            <w:r w:rsidRPr="00823A95">
              <w:rPr>
                <w:sz w:val="28"/>
                <w:szCs w:val="28"/>
              </w:rPr>
              <w:t>Cita informācija</w:t>
            </w:r>
          </w:p>
        </w:tc>
        <w:tc>
          <w:tcPr>
            <w:tcW w:w="2619" w:type="pct"/>
          </w:tcPr>
          <w:p w:rsidR="00E703A4" w:rsidRPr="00823A95" w:rsidRDefault="00E703A4" w:rsidP="00061628">
            <w:pPr>
              <w:spacing w:before="75" w:after="75"/>
              <w:rPr>
                <w:sz w:val="28"/>
                <w:szCs w:val="28"/>
              </w:rPr>
            </w:pPr>
            <w:r w:rsidRPr="00823A95">
              <w:rPr>
                <w:sz w:val="28"/>
                <w:szCs w:val="28"/>
              </w:rPr>
              <w:t> Nav</w:t>
            </w:r>
          </w:p>
        </w:tc>
      </w:tr>
    </w:tbl>
    <w:p w:rsidR="00E703A4" w:rsidRDefault="00E703A4" w:rsidP="00E703A4">
      <w:pPr>
        <w:tabs>
          <w:tab w:val="left" w:pos="6804"/>
        </w:tabs>
        <w:jc w:val="both"/>
        <w:rPr>
          <w:sz w:val="28"/>
          <w:szCs w:val="28"/>
        </w:rPr>
      </w:pPr>
    </w:p>
    <w:p w:rsidR="003F123B" w:rsidRDefault="003F123B" w:rsidP="003F123B">
      <w:pPr>
        <w:ind w:left="284"/>
        <w:outlineLvl w:val="0"/>
        <w:rPr>
          <w:i/>
          <w:iCs/>
          <w:sz w:val="28"/>
          <w:szCs w:val="28"/>
        </w:rPr>
      </w:pPr>
      <w:r w:rsidRPr="00823A95">
        <w:rPr>
          <w:i/>
          <w:iCs/>
          <w:sz w:val="28"/>
          <w:szCs w:val="28"/>
        </w:rPr>
        <w:t xml:space="preserve">Anotācijas II, IV, V un VI sadaļa – Projekts šīs jomas neskar. </w:t>
      </w:r>
    </w:p>
    <w:p w:rsidR="00E703A4" w:rsidRPr="00823A95" w:rsidRDefault="00E703A4" w:rsidP="00E703A4">
      <w:pPr>
        <w:tabs>
          <w:tab w:val="left" w:pos="6804"/>
        </w:tabs>
        <w:jc w:val="both"/>
        <w:rPr>
          <w:sz w:val="28"/>
          <w:szCs w:val="28"/>
        </w:rPr>
      </w:pPr>
    </w:p>
    <w:p w:rsidR="00BA6916" w:rsidRDefault="004316B1" w:rsidP="00BA6916">
      <w:pPr>
        <w:ind w:left="284"/>
        <w:rPr>
          <w:color w:val="000000"/>
          <w:sz w:val="28"/>
          <w:szCs w:val="28"/>
        </w:rPr>
      </w:pPr>
      <w:r>
        <w:rPr>
          <w:color w:val="000000"/>
          <w:sz w:val="28"/>
          <w:szCs w:val="28"/>
        </w:rPr>
        <w:t>Kultūras ministre</w:t>
      </w:r>
      <w:r w:rsidR="00BA6916">
        <w:rPr>
          <w:color w:val="000000"/>
          <w:sz w:val="28"/>
          <w:szCs w:val="28"/>
        </w:rPr>
        <w:tab/>
      </w:r>
      <w:r w:rsidR="00BA6916">
        <w:rPr>
          <w:color w:val="000000"/>
          <w:sz w:val="28"/>
          <w:szCs w:val="28"/>
        </w:rPr>
        <w:tab/>
      </w:r>
      <w:r w:rsidR="00BA6916">
        <w:rPr>
          <w:color w:val="000000"/>
          <w:sz w:val="28"/>
          <w:szCs w:val="28"/>
        </w:rPr>
        <w:tab/>
      </w:r>
      <w:r w:rsidR="00BA6916">
        <w:rPr>
          <w:color w:val="000000"/>
          <w:sz w:val="28"/>
          <w:szCs w:val="28"/>
        </w:rPr>
        <w:tab/>
      </w:r>
      <w:r w:rsidR="00BA6916">
        <w:rPr>
          <w:color w:val="000000"/>
          <w:sz w:val="28"/>
          <w:szCs w:val="28"/>
        </w:rPr>
        <w:tab/>
      </w:r>
      <w:r w:rsidR="00BA6916">
        <w:rPr>
          <w:color w:val="000000"/>
          <w:sz w:val="28"/>
          <w:szCs w:val="28"/>
        </w:rPr>
        <w:tab/>
      </w:r>
      <w:r>
        <w:rPr>
          <w:color w:val="000000"/>
          <w:sz w:val="28"/>
          <w:szCs w:val="28"/>
        </w:rPr>
        <w:t>D.Melbārde</w:t>
      </w:r>
    </w:p>
    <w:p w:rsidR="00E703A4" w:rsidRPr="00823A95" w:rsidRDefault="00E703A4" w:rsidP="00E703A4">
      <w:pPr>
        <w:tabs>
          <w:tab w:val="left" w:pos="6804"/>
        </w:tabs>
        <w:ind w:left="284"/>
        <w:jc w:val="both"/>
        <w:rPr>
          <w:sz w:val="28"/>
          <w:szCs w:val="28"/>
        </w:rPr>
      </w:pPr>
    </w:p>
    <w:p w:rsidR="00E703A4" w:rsidRPr="00823A95" w:rsidRDefault="00A703A1" w:rsidP="00E703A4">
      <w:pPr>
        <w:ind w:left="284"/>
        <w:rPr>
          <w:sz w:val="28"/>
          <w:szCs w:val="28"/>
        </w:rPr>
      </w:pPr>
      <w:r>
        <w:rPr>
          <w:sz w:val="28"/>
          <w:szCs w:val="28"/>
        </w:rPr>
        <w:t>Vīza: Valsts sekretārs</w:t>
      </w:r>
      <w:r w:rsidR="007421F9">
        <w:rPr>
          <w:sz w:val="28"/>
          <w:szCs w:val="28"/>
        </w:rPr>
        <w:tab/>
      </w:r>
      <w:r w:rsidR="007421F9">
        <w:rPr>
          <w:sz w:val="28"/>
          <w:szCs w:val="28"/>
        </w:rPr>
        <w:tab/>
      </w:r>
      <w:r w:rsidR="007421F9">
        <w:rPr>
          <w:sz w:val="28"/>
          <w:szCs w:val="28"/>
        </w:rPr>
        <w:tab/>
      </w:r>
      <w:r w:rsidR="007421F9">
        <w:rPr>
          <w:sz w:val="28"/>
          <w:szCs w:val="28"/>
        </w:rPr>
        <w:tab/>
      </w:r>
      <w:r w:rsidR="007421F9">
        <w:rPr>
          <w:sz w:val="28"/>
          <w:szCs w:val="28"/>
        </w:rPr>
        <w:tab/>
      </w:r>
      <w:r>
        <w:rPr>
          <w:sz w:val="28"/>
          <w:szCs w:val="28"/>
        </w:rPr>
        <w:tab/>
        <w:t>S.Voldiņš</w:t>
      </w:r>
    </w:p>
    <w:p w:rsidR="00E703A4" w:rsidRPr="00823A95" w:rsidRDefault="00E703A4" w:rsidP="00E703A4">
      <w:pPr>
        <w:pStyle w:val="ParastaisWeb"/>
        <w:spacing w:before="0" w:beforeAutospacing="0" w:after="0" w:afterAutospacing="0"/>
        <w:rPr>
          <w:sz w:val="22"/>
          <w:szCs w:val="22"/>
        </w:rPr>
      </w:pPr>
    </w:p>
    <w:p w:rsidR="00FA0D1E" w:rsidRPr="00F45F59" w:rsidRDefault="00F45F59" w:rsidP="00E703A4">
      <w:pPr>
        <w:rPr>
          <w:sz w:val="20"/>
          <w:szCs w:val="20"/>
        </w:rPr>
      </w:pPr>
      <w:bookmarkStart w:id="2" w:name="OLE_LINK13"/>
      <w:bookmarkStart w:id="3" w:name="OLE_LINK14"/>
      <w:r w:rsidRPr="00F45F59">
        <w:rPr>
          <w:sz w:val="20"/>
          <w:szCs w:val="20"/>
        </w:rPr>
        <w:t>Šumeiko 67330282</w:t>
      </w:r>
    </w:p>
    <w:p w:rsidR="00F45F59" w:rsidRPr="00F45F59" w:rsidRDefault="000E2C03" w:rsidP="00E703A4">
      <w:pPr>
        <w:rPr>
          <w:sz w:val="20"/>
          <w:szCs w:val="20"/>
        </w:rPr>
      </w:pPr>
      <w:hyperlink r:id="rId8" w:history="1">
        <w:r w:rsidR="00F45F59" w:rsidRPr="00105E41">
          <w:rPr>
            <w:rStyle w:val="Hipersaite"/>
            <w:sz w:val="20"/>
            <w:szCs w:val="20"/>
          </w:rPr>
          <w:t>Juris.Sumeiko@km.gov.lv</w:t>
        </w:r>
      </w:hyperlink>
    </w:p>
    <w:p w:rsidR="00E703A4" w:rsidRPr="00F45F59" w:rsidRDefault="00F45F59" w:rsidP="00E703A4">
      <w:pPr>
        <w:rPr>
          <w:sz w:val="20"/>
          <w:szCs w:val="20"/>
        </w:rPr>
      </w:pPr>
      <w:r w:rsidRPr="00F45F59">
        <w:rPr>
          <w:sz w:val="20"/>
          <w:szCs w:val="20"/>
        </w:rPr>
        <w:t>Beriņa</w:t>
      </w:r>
      <w:r w:rsidR="00770E09" w:rsidRPr="00F45F59">
        <w:rPr>
          <w:sz w:val="20"/>
          <w:szCs w:val="20"/>
        </w:rPr>
        <w:t xml:space="preserve"> 67330</w:t>
      </w:r>
      <w:r w:rsidRPr="00F45F59">
        <w:rPr>
          <w:sz w:val="20"/>
          <w:szCs w:val="20"/>
        </w:rPr>
        <w:t>215</w:t>
      </w:r>
    </w:p>
    <w:p w:rsidR="00061628" w:rsidRPr="00F45F59" w:rsidRDefault="000E2C03" w:rsidP="00A865E0">
      <w:pPr>
        <w:tabs>
          <w:tab w:val="left" w:pos="7425"/>
        </w:tabs>
        <w:rPr>
          <w:sz w:val="20"/>
          <w:szCs w:val="20"/>
        </w:rPr>
      </w:pPr>
      <w:hyperlink r:id="rId9" w:history="1">
        <w:r w:rsidR="00F45F59" w:rsidRPr="00F45F59">
          <w:rPr>
            <w:rStyle w:val="Hipersaite"/>
            <w:sz w:val="20"/>
            <w:szCs w:val="20"/>
          </w:rPr>
          <w:t>Anete.Berina@km.gov.lv</w:t>
        </w:r>
      </w:hyperlink>
      <w:bookmarkEnd w:id="2"/>
      <w:bookmarkEnd w:id="3"/>
      <w:r w:rsidR="00770E09" w:rsidRPr="00F45F59">
        <w:rPr>
          <w:sz w:val="20"/>
          <w:szCs w:val="20"/>
        </w:rPr>
        <w:t xml:space="preserve"> </w:t>
      </w:r>
    </w:p>
    <w:sectPr w:rsidR="00061628" w:rsidRPr="00F45F59" w:rsidSect="00207A8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916" w:rsidRDefault="00BA6916" w:rsidP="00207A8F">
      <w:r>
        <w:separator/>
      </w:r>
    </w:p>
  </w:endnote>
  <w:endnote w:type="continuationSeparator" w:id="0">
    <w:p w:rsidR="00BA6916" w:rsidRDefault="00BA6916" w:rsidP="00207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3E" w:rsidRDefault="007A063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16" w:rsidRPr="00F45F59" w:rsidRDefault="00BA6916" w:rsidP="00F45F59">
    <w:pPr>
      <w:rPr>
        <w:sz w:val="20"/>
        <w:szCs w:val="20"/>
      </w:rPr>
    </w:pPr>
    <w:r w:rsidRPr="00207A8F">
      <w:rPr>
        <w:sz w:val="20"/>
        <w:szCs w:val="20"/>
      </w:rPr>
      <w:t>KMAnot_</w:t>
    </w:r>
    <w:r w:rsidR="004316B1">
      <w:rPr>
        <w:sz w:val="20"/>
        <w:szCs w:val="20"/>
      </w:rPr>
      <w:t>30</w:t>
    </w:r>
    <w:r>
      <w:rPr>
        <w:sz w:val="20"/>
        <w:szCs w:val="20"/>
      </w:rPr>
      <w:t>0617_LNG_JAU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16" w:rsidRDefault="00BA6916">
    <w:pPr>
      <w:rPr>
        <w:sz w:val="20"/>
        <w:szCs w:val="20"/>
      </w:rPr>
    </w:pPr>
    <w:r w:rsidRPr="00207A8F">
      <w:rPr>
        <w:sz w:val="20"/>
        <w:szCs w:val="20"/>
      </w:rPr>
      <w:t>KMAnot_</w:t>
    </w:r>
    <w:r w:rsidR="004316B1">
      <w:rPr>
        <w:sz w:val="20"/>
        <w:szCs w:val="20"/>
      </w:rPr>
      <w:t>30</w:t>
    </w:r>
    <w:r>
      <w:rPr>
        <w:sz w:val="20"/>
        <w:szCs w:val="20"/>
      </w:rPr>
      <w:t>0617_LNG_JAU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916" w:rsidRDefault="00BA6916" w:rsidP="00207A8F">
      <w:r>
        <w:separator/>
      </w:r>
    </w:p>
  </w:footnote>
  <w:footnote w:type="continuationSeparator" w:id="0">
    <w:p w:rsidR="00BA6916" w:rsidRDefault="00BA6916" w:rsidP="00207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3E" w:rsidRDefault="007A063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7150"/>
      <w:docPartObj>
        <w:docPartGallery w:val="Page Numbers (Top of Page)"/>
        <w:docPartUnique/>
      </w:docPartObj>
    </w:sdtPr>
    <w:sdtContent>
      <w:p w:rsidR="00BA6916" w:rsidRDefault="000E2C03">
        <w:pPr>
          <w:pStyle w:val="Galvene"/>
          <w:jc w:val="center"/>
        </w:pPr>
        <w:fldSimple w:instr=" PAGE   \* MERGEFORMAT ">
          <w:r w:rsidR="00773843">
            <w:rPr>
              <w:noProof/>
            </w:rPr>
            <w:t>4</w:t>
          </w:r>
        </w:fldSimple>
      </w:p>
    </w:sdtContent>
  </w:sdt>
  <w:p w:rsidR="00BA6916" w:rsidRDefault="00BA6916" w:rsidP="00B85C73">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3E" w:rsidRDefault="007A063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12A4"/>
    <w:multiLevelType w:val="hybridMultilevel"/>
    <w:tmpl w:val="D3B20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51F55A12"/>
    <w:multiLevelType w:val="hybridMultilevel"/>
    <w:tmpl w:val="6B84091A"/>
    <w:lvl w:ilvl="0" w:tplc="A0A8F3D2">
      <w:start w:val="349"/>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03A4"/>
    <w:rsid w:val="00054C3E"/>
    <w:rsid w:val="00061628"/>
    <w:rsid w:val="00066A82"/>
    <w:rsid w:val="00095ED3"/>
    <w:rsid w:val="00096A61"/>
    <w:rsid w:val="000C124D"/>
    <w:rsid w:val="000C6555"/>
    <w:rsid w:val="000E2C03"/>
    <w:rsid w:val="0010632C"/>
    <w:rsid w:val="0010719C"/>
    <w:rsid w:val="00113999"/>
    <w:rsid w:val="00115811"/>
    <w:rsid w:val="00132DC9"/>
    <w:rsid w:val="00141D48"/>
    <w:rsid w:val="00195F0C"/>
    <w:rsid w:val="001B0698"/>
    <w:rsid w:val="001C0295"/>
    <w:rsid w:val="001F29CF"/>
    <w:rsid w:val="002054C8"/>
    <w:rsid w:val="00207A8F"/>
    <w:rsid w:val="002652FC"/>
    <w:rsid w:val="00266F5F"/>
    <w:rsid w:val="002D63CB"/>
    <w:rsid w:val="003224C2"/>
    <w:rsid w:val="00324739"/>
    <w:rsid w:val="00336331"/>
    <w:rsid w:val="0034511D"/>
    <w:rsid w:val="00375F94"/>
    <w:rsid w:val="00384381"/>
    <w:rsid w:val="00397AA8"/>
    <w:rsid w:val="003D1836"/>
    <w:rsid w:val="003E4666"/>
    <w:rsid w:val="003F123B"/>
    <w:rsid w:val="004316B1"/>
    <w:rsid w:val="004349F0"/>
    <w:rsid w:val="00447E1C"/>
    <w:rsid w:val="0045095B"/>
    <w:rsid w:val="00453F46"/>
    <w:rsid w:val="0046318B"/>
    <w:rsid w:val="00467419"/>
    <w:rsid w:val="004815F4"/>
    <w:rsid w:val="004941C1"/>
    <w:rsid w:val="004C359F"/>
    <w:rsid w:val="004E5982"/>
    <w:rsid w:val="005076C5"/>
    <w:rsid w:val="0054111F"/>
    <w:rsid w:val="00567090"/>
    <w:rsid w:val="00577D1D"/>
    <w:rsid w:val="005A4126"/>
    <w:rsid w:val="005F7D4A"/>
    <w:rsid w:val="00615FB6"/>
    <w:rsid w:val="00654962"/>
    <w:rsid w:val="006628C4"/>
    <w:rsid w:val="00667EB7"/>
    <w:rsid w:val="00677C16"/>
    <w:rsid w:val="00685AA6"/>
    <w:rsid w:val="006B3658"/>
    <w:rsid w:val="00712389"/>
    <w:rsid w:val="00731C8D"/>
    <w:rsid w:val="007408D8"/>
    <w:rsid w:val="007421F9"/>
    <w:rsid w:val="00770E09"/>
    <w:rsid w:val="00773843"/>
    <w:rsid w:val="00797B69"/>
    <w:rsid w:val="007A063E"/>
    <w:rsid w:val="007D3FCE"/>
    <w:rsid w:val="007D7F64"/>
    <w:rsid w:val="007F55AC"/>
    <w:rsid w:val="00814BCD"/>
    <w:rsid w:val="00827037"/>
    <w:rsid w:val="008365CD"/>
    <w:rsid w:val="008B169E"/>
    <w:rsid w:val="008C327D"/>
    <w:rsid w:val="008C74FF"/>
    <w:rsid w:val="0090741D"/>
    <w:rsid w:val="00930456"/>
    <w:rsid w:val="0093472E"/>
    <w:rsid w:val="009C52CF"/>
    <w:rsid w:val="009D78E0"/>
    <w:rsid w:val="009E7772"/>
    <w:rsid w:val="009F32E6"/>
    <w:rsid w:val="00A362B4"/>
    <w:rsid w:val="00A703A1"/>
    <w:rsid w:val="00A718B8"/>
    <w:rsid w:val="00A865E0"/>
    <w:rsid w:val="00A97F0E"/>
    <w:rsid w:val="00AB1E42"/>
    <w:rsid w:val="00AF3A87"/>
    <w:rsid w:val="00B85C73"/>
    <w:rsid w:val="00BA6916"/>
    <w:rsid w:val="00BD14B4"/>
    <w:rsid w:val="00BF1EF7"/>
    <w:rsid w:val="00C164F3"/>
    <w:rsid w:val="00C77E75"/>
    <w:rsid w:val="00CC24CA"/>
    <w:rsid w:val="00CE3346"/>
    <w:rsid w:val="00CF2290"/>
    <w:rsid w:val="00D00A92"/>
    <w:rsid w:val="00D21C42"/>
    <w:rsid w:val="00D63EC9"/>
    <w:rsid w:val="00D7115E"/>
    <w:rsid w:val="00E00AAC"/>
    <w:rsid w:val="00E25DAC"/>
    <w:rsid w:val="00E31261"/>
    <w:rsid w:val="00E40BB6"/>
    <w:rsid w:val="00E44085"/>
    <w:rsid w:val="00E703A4"/>
    <w:rsid w:val="00E8678A"/>
    <w:rsid w:val="00EA4690"/>
    <w:rsid w:val="00EA5CEA"/>
    <w:rsid w:val="00EB2B43"/>
    <w:rsid w:val="00EC05DB"/>
    <w:rsid w:val="00ED5FE6"/>
    <w:rsid w:val="00F45F59"/>
    <w:rsid w:val="00F9131A"/>
    <w:rsid w:val="00F92E14"/>
    <w:rsid w:val="00FA0D1E"/>
    <w:rsid w:val="00FB0CE1"/>
    <w:rsid w:val="00FC6E0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703A4"/>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ais"/>
    <w:rsid w:val="00E703A4"/>
    <w:pPr>
      <w:spacing w:before="75" w:after="75"/>
    </w:pPr>
    <w:rPr>
      <w:rFonts w:eastAsia="Calibri"/>
      <w:lang w:eastAsia="lv-LV"/>
    </w:rPr>
  </w:style>
  <w:style w:type="character" w:styleId="Hipersaite">
    <w:name w:val="Hyperlink"/>
    <w:basedOn w:val="Noklusjumarindkopasfonts"/>
    <w:rsid w:val="00E703A4"/>
    <w:rPr>
      <w:color w:val="0000FF"/>
      <w:u w:val="single"/>
    </w:rPr>
  </w:style>
  <w:style w:type="paragraph" w:customStyle="1" w:styleId="naisf">
    <w:name w:val="naisf"/>
    <w:basedOn w:val="Parastais"/>
    <w:rsid w:val="00E703A4"/>
    <w:pPr>
      <w:spacing w:before="75" w:after="75"/>
      <w:ind w:firstLine="375"/>
      <w:jc w:val="both"/>
    </w:pPr>
    <w:rPr>
      <w:lang w:eastAsia="lv-LV"/>
    </w:rPr>
  </w:style>
  <w:style w:type="character" w:styleId="Komentraatsauce">
    <w:name w:val="annotation reference"/>
    <w:basedOn w:val="Noklusjumarindkopasfonts"/>
    <w:uiPriority w:val="99"/>
    <w:semiHidden/>
    <w:unhideWhenUsed/>
    <w:rsid w:val="00E703A4"/>
    <w:rPr>
      <w:sz w:val="16"/>
      <w:szCs w:val="16"/>
    </w:rPr>
  </w:style>
  <w:style w:type="paragraph" w:styleId="Komentrateksts">
    <w:name w:val="annotation text"/>
    <w:basedOn w:val="Parastais"/>
    <w:link w:val="KomentratekstsRakstz"/>
    <w:uiPriority w:val="99"/>
    <w:semiHidden/>
    <w:unhideWhenUsed/>
    <w:rsid w:val="00E703A4"/>
    <w:rPr>
      <w:sz w:val="20"/>
      <w:szCs w:val="20"/>
    </w:rPr>
  </w:style>
  <w:style w:type="character" w:customStyle="1" w:styleId="KomentratekstsRakstz">
    <w:name w:val="Komentāra teksts Rakstz."/>
    <w:basedOn w:val="Noklusjumarindkopasfonts"/>
    <w:link w:val="Komentrateksts"/>
    <w:uiPriority w:val="99"/>
    <w:semiHidden/>
    <w:rsid w:val="00E703A4"/>
    <w:rPr>
      <w:rFonts w:ascii="Times New Roman" w:eastAsia="Times New Roman" w:hAnsi="Times New Roman" w:cs="Times New Roman"/>
      <w:sz w:val="20"/>
      <w:szCs w:val="20"/>
    </w:rPr>
  </w:style>
  <w:style w:type="paragraph" w:styleId="Sarakstarindkopa">
    <w:name w:val="List Paragraph"/>
    <w:aliases w:val="2,List Paragraph"/>
    <w:basedOn w:val="Parastais"/>
    <w:link w:val="SarakstarindkopaRakstz"/>
    <w:uiPriority w:val="34"/>
    <w:qFormat/>
    <w:rsid w:val="00E703A4"/>
    <w:pPr>
      <w:overflowPunct w:val="0"/>
      <w:autoSpaceDE w:val="0"/>
      <w:autoSpaceDN w:val="0"/>
      <w:adjustRightInd w:val="0"/>
      <w:spacing w:after="120"/>
      <w:ind w:left="720" w:firstLine="720"/>
      <w:contextualSpacing/>
      <w:jc w:val="both"/>
      <w:textAlignment w:val="baseline"/>
    </w:pPr>
    <w:rPr>
      <w:szCs w:val="20"/>
      <w:lang w:eastAsia="lv-LV"/>
    </w:rPr>
  </w:style>
  <w:style w:type="character" w:customStyle="1" w:styleId="SarakstarindkopaRakstz">
    <w:name w:val="Saraksta rindkopa Rakstz."/>
    <w:aliases w:val="2 Rakstz.,List Paragraph Rakstz."/>
    <w:link w:val="Sarakstarindkopa"/>
    <w:uiPriority w:val="34"/>
    <w:locked/>
    <w:rsid w:val="00E703A4"/>
    <w:rPr>
      <w:rFonts w:ascii="Times New Roman" w:eastAsia="Times New Roman" w:hAnsi="Times New Roman" w:cs="Times New Roman"/>
      <w:sz w:val="24"/>
      <w:szCs w:val="20"/>
      <w:lang w:eastAsia="lv-LV"/>
    </w:rPr>
  </w:style>
  <w:style w:type="paragraph" w:styleId="ParastaisWeb">
    <w:name w:val="Normal (Web)"/>
    <w:basedOn w:val="Parastais"/>
    <w:link w:val="ParastaisWebRakstz"/>
    <w:uiPriority w:val="99"/>
    <w:rsid w:val="00E703A4"/>
    <w:pPr>
      <w:spacing w:before="100" w:beforeAutospacing="1" w:after="100" w:afterAutospacing="1"/>
    </w:pPr>
    <w:rPr>
      <w:lang w:eastAsia="lv-LV"/>
    </w:rPr>
  </w:style>
  <w:style w:type="character" w:customStyle="1" w:styleId="ParastaisWebRakstz">
    <w:name w:val="Parastais (Web) Rakstz."/>
    <w:basedOn w:val="Noklusjumarindkopasfonts"/>
    <w:link w:val="ParastaisWeb"/>
    <w:uiPriority w:val="99"/>
    <w:rsid w:val="00E703A4"/>
    <w:rPr>
      <w:rFonts w:ascii="Times New Roman" w:eastAsia="Times New Roman" w:hAnsi="Times New Roman" w:cs="Times New Roman"/>
      <w:sz w:val="24"/>
      <w:szCs w:val="24"/>
      <w:lang w:eastAsia="lv-LV"/>
    </w:rPr>
  </w:style>
  <w:style w:type="paragraph" w:customStyle="1" w:styleId="naisnod">
    <w:name w:val="naisnod"/>
    <w:basedOn w:val="Parastais"/>
    <w:rsid w:val="00E703A4"/>
    <w:pPr>
      <w:spacing w:before="150" w:after="150"/>
      <w:jc w:val="center"/>
    </w:pPr>
    <w:rPr>
      <w:b/>
      <w:bCs/>
      <w:lang w:eastAsia="lv-LV"/>
    </w:rPr>
  </w:style>
  <w:style w:type="paragraph" w:customStyle="1" w:styleId="tv213">
    <w:name w:val="tv213"/>
    <w:basedOn w:val="Parastais"/>
    <w:rsid w:val="00E703A4"/>
    <w:pPr>
      <w:spacing w:before="100" w:beforeAutospacing="1" w:after="100" w:afterAutospacing="1"/>
    </w:pPr>
    <w:rPr>
      <w:lang w:eastAsia="lv-LV"/>
    </w:rPr>
  </w:style>
  <w:style w:type="character" w:customStyle="1" w:styleId="BodytextItalic">
    <w:name w:val="Body text + Italic"/>
    <w:rsid w:val="00E703A4"/>
    <w:rPr>
      <w:rFonts w:ascii="Times New Roman" w:eastAsia="Times New Roman" w:hAnsi="Times New Roman" w:cs="Times New Roman"/>
      <w:b w:val="0"/>
      <w:bCs w:val="0"/>
      <w:i/>
      <w:iCs/>
      <w:smallCaps w:val="0"/>
      <w:strike w:val="0"/>
      <w:spacing w:val="0"/>
      <w:sz w:val="22"/>
      <w:szCs w:val="22"/>
    </w:rPr>
  </w:style>
  <w:style w:type="paragraph" w:styleId="Balonteksts">
    <w:name w:val="Balloon Text"/>
    <w:basedOn w:val="Parastais"/>
    <w:link w:val="BalontekstsRakstz"/>
    <w:semiHidden/>
    <w:unhideWhenUsed/>
    <w:rsid w:val="00E703A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03A4"/>
    <w:rPr>
      <w:rFonts w:ascii="Tahoma" w:eastAsia="Times New Roman" w:hAnsi="Tahoma" w:cs="Tahoma"/>
      <w:sz w:val="16"/>
      <w:szCs w:val="16"/>
    </w:rPr>
  </w:style>
  <w:style w:type="paragraph" w:styleId="Komentratma">
    <w:name w:val="annotation subject"/>
    <w:basedOn w:val="Komentrateksts"/>
    <w:next w:val="Komentrateksts"/>
    <w:link w:val="KomentratmaRakstz"/>
    <w:uiPriority w:val="99"/>
    <w:semiHidden/>
    <w:unhideWhenUsed/>
    <w:rsid w:val="00A865E0"/>
    <w:rPr>
      <w:b/>
      <w:bCs/>
    </w:rPr>
  </w:style>
  <w:style w:type="character" w:customStyle="1" w:styleId="KomentratmaRakstz">
    <w:name w:val="Komentāra tēma Rakstz."/>
    <w:basedOn w:val="KomentratekstsRakstz"/>
    <w:link w:val="Komentratma"/>
    <w:uiPriority w:val="99"/>
    <w:semiHidden/>
    <w:rsid w:val="00A865E0"/>
    <w:rPr>
      <w:b/>
      <w:bCs/>
    </w:rPr>
  </w:style>
  <w:style w:type="paragraph" w:styleId="Galvene">
    <w:name w:val="header"/>
    <w:basedOn w:val="Parastais"/>
    <w:link w:val="GalveneRakstz"/>
    <w:uiPriority w:val="99"/>
    <w:unhideWhenUsed/>
    <w:rsid w:val="00207A8F"/>
    <w:pPr>
      <w:tabs>
        <w:tab w:val="center" w:pos="4153"/>
        <w:tab w:val="right" w:pos="8306"/>
      </w:tabs>
    </w:pPr>
  </w:style>
  <w:style w:type="character" w:customStyle="1" w:styleId="GalveneRakstz">
    <w:name w:val="Galvene Rakstz."/>
    <w:basedOn w:val="Noklusjumarindkopasfonts"/>
    <w:link w:val="Galvene"/>
    <w:uiPriority w:val="99"/>
    <w:rsid w:val="00207A8F"/>
    <w:rPr>
      <w:rFonts w:ascii="Times New Roman" w:eastAsia="Times New Roman" w:hAnsi="Times New Roman" w:cs="Times New Roman"/>
      <w:sz w:val="24"/>
      <w:szCs w:val="24"/>
    </w:rPr>
  </w:style>
  <w:style w:type="paragraph" w:styleId="Kjene">
    <w:name w:val="footer"/>
    <w:basedOn w:val="Parastais"/>
    <w:link w:val="KjeneRakstz"/>
    <w:uiPriority w:val="99"/>
    <w:semiHidden/>
    <w:unhideWhenUsed/>
    <w:rsid w:val="00207A8F"/>
    <w:pPr>
      <w:tabs>
        <w:tab w:val="center" w:pos="4153"/>
        <w:tab w:val="right" w:pos="8306"/>
      </w:tabs>
    </w:pPr>
  </w:style>
  <w:style w:type="character" w:customStyle="1" w:styleId="KjeneRakstz">
    <w:name w:val="Kājene Rakstz."/>
    <w:basedOn w:val="Noklusjumarindkopasfonts"/>
    <w:link w:val="Kjene"/>
    <w:uiPriority w:val="99"/>
    <w:semiHidden/>
    <w:rsid w:val="00207A8F"/>
    <w:rPr>
      <w:rFonts w:ascii="Times New Roman" w:eastAsia="Times New Roman" w:hAnsi="Times New Roman" w:cs="Times New Roman"/>
      <w:sz w:val="24"/>
      <w:szCs w:val="24"/>
    </w:rPr>
  </w:style>
  <w:style w:type="paragraph" w:styleId="Prskatjums">
    <w:name w:val="Revision"/>
    <w:hidden/>
    <w:uiPriority w:val="99"/>
    <w:semiHidden/>
    <w:rsid w:val="00B85C7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9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ete.Berina@k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05097-908A-49B9-8DF8-C91351D1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3529</Words>
  <Characters>2012</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02.00.00 "Līdzekļi neparedzētiem gadījumiem"" sākotnējās ietekmes novērtējuma ziņojums (anotācija)</dc:title>
  <dc:subject>Anotācija</dc:subject>
  <dc:creator>Juris Šumeiko, Anete Beriņa</dc:creator>
  <cp:keywords>KMAnot_300617_LNG_JAU</cp:keywords>
  <dc:description>Šumeiko 67330282
Juris.Sumeiko@km.gov.lv
Beriņa 67330215
Anete.Berina@km.gov.lv</dc:description>
  <cp:lastModifiedBy>Dzintra Rozīte</cp:lastModifiedBy>
  <cp:revision>6</cp:revision>
  <cp:lastPrinted>2017-07-03T07:05:00Z</cp:lastPrinted>
  <dcterms:created xsi:type="dcterms:W3CDTF">2017-06-29T06:46:00Z</dcterms:created>
  <dcterms:modified xsi:type="dcterms:W3CDTF">2017-07-06T08:54:00Z</dcterms:modified>
</cp:coreProperties>
</file>