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266D" w14:textId="2E6D2903" w:rsidR="00F01B97" w:rsidRDefault="008A7B89" w:rsidP="00F01B97">
      <w:pPr>
        <w:pStyle w:val="naiskr"/>
        <w:tabs>
          <w:tab w:val="left" w:pos="283"/>
        </w:tabs>
        <w:spacing w:before="0" w:after="0"/>
        <w:jc w:val="center"/>
        <w:rPr>
          <w:b/>
        </w:rPr>
      </w:pPr>
      <w:r w:rsidRPr="00F01B97">
        <w:rPr>
          <w:b/>
        </w:rPr>
        <w:t>Ministru kabineta noteikumu projekt</w:t>
      </w:r>
      <w:r w:rsidR="00D93105">
        <w:rPr>
          <w:b/>
        </w:rPr>
        <w:t>u:</w:t>
      </w:r>
    </w:p>
    <w:p w14:paraId="4060392B" w14:textId="59B41295" w:rsidR="006B20FF" w:rsidRPr="006B20FF" w:rsidRDefault="006B20FF" w:rsidP="006B20FF">
      <w:pPr>
        <w:ind w:firstLine="720"/>
        <w:jc w:val="center"/>
        <w:rPr>
          <w:b/>
        </w:rPr>
      </w:pPr>
      <w:r w:rsidRPr="006B20FF">
        <w:rPr>
          <w:b/>
        </w:rPr>
        <w:t>“Braukšanas maksas atvieglojumu noteikumi”</w:t>
      </w:r>
      <w:r w:rsidR="0048400B">
        <w:rPr>
          <w:b/>
        </w:rPr>
        <w:t>,</w:t>
      </w:r>
    </w:p>
    <w:p w14:paraId="28C4E9E6" w14:textId="77777777" w:rsidR="00F01B97" w:rsidRPr="00F01B97" w:rsidRDefault="00F01B97" w:rsidP="00F01B97">
      <w:pPr>
        <w:pStyle w:val="naiskr"/>
        <w:tabs>
          <w:tab w:val="left" w:pos="283"/>
        </w:tabs>
        <w:spacing w:before="0" w:after="0"/>
        <w:jc w:val="center"/>
        <w:rPr>
          <w:b/>
        </w:rPr>
      </w:pPr>
      <w:r w:rsidRPr="00F01B97">
        <w:rPr>
          <w:b/>
        </w:rPr>
        <w:t>„Grozījumi Ministru kabineta 2015.</w:t>
      </w:r>
      <w:r w:rsidR="00B9390D">
        <w:rPr>
          <w:b/>
        </w:rPr>
        <w:t xml:space="preserve"> </w:t>
      </w:r>
      <w:r w:rsidRPr="00F01B97">
        <w:rPr>
          <w:b/>
        </w:rPr>
        <w:t>gada 28.</w:t>
      </w:r>
      <w:r w:rsidR="00B9390D">
        <w:rPr>
          <w:b/>
        </w:rPr>
        <w:t xml:space="preserve"> </w:t>
      </w:r>
      <w:r w:rsidRPr="00F01B97">
        <w:rPr>
          <w:b/>
        </w:rPr>
        <w:t>jūlija noteikumos Nr.</w:t>
      </w:r>
      <w:r w:rsidR="00B9390D">
        <w:rPr>
          <w:b/>
        </w:rPr>
        <w:t xml:space="preserve"> </w:t>
      </w:r>
      <w:r w:rsidRPr="00F01B97">
        <w:rPr>
          <w:b/>
        </w:rPr>
        <w:t>435 „Kārtība, kādā nosaka un kompensē ar sabiedriskā transporta pakalpojumu sniegšanu saistītos zaudējumus un izdevumus un nosaka sabiedriskā transporta pakalpojuma tarifu””</w:t>
      </w:r>
      <w:r>
        <w:rPr>
          <w:b/>
        </w:rPr>
        <w:t xml:space="preserve"> un</w:t>
      </w:r>
    </w:p>
    <w:p w14:paraId="568745C2" w14:textId="230CEE35" w:rsidR="006B20FF" w:rsidRDefault="00F01B97" w:rsidP="00F01B97">
      <w:pPr>
        <w:pStyle w:val="naiskr"/>
        <w:tabs>
          <w:tab w:val="left" w:pos="283"/>
        </w:tabs>
        <w:spacing w:before="0" w:after="0"/>
        <w:jc w:val="center"/>
        <w:rPr>
          <w:b/>
        </w:rPr>
      </w:pPr>
      <w:r w:rsidRPr="00F01B97">
        <w:rPr>
          <w:b/>
        </w:rPr>
        <w:t xml:space="preserve">„Grozījumi Ministru </w:t>
      </w:r>
      <w:r w:rsidR="007B3E5C">
        <w:rPr>
          <w:b/>
        </w:rPr>
        <w:t xml:space="preserve">kabineta </w:t>
      </w:r>
      <w:r w:rsidRPr="00F01B97">
        <w:rPr>
          <w:b/>
        </w:rPr>
        <w:t>2012.</w:t>
      </w:r>
      <w:r w:rsidR="00B9390D">
        <w:rPr>
          <w:b/>
        </w:rPr>
        <w:t xml:space="preserve"> </w:t>
      </w:r>
      <w:r w:rsidRPr="00F01B97">
        <w:rPr>
          <w:b/>
        </w:rPr>
        <w:t>gada 28.</w:t>
      </w:r>
      <w:r w:rsidR="00B9390D">
        <w:rPr>
          <w:b/>
        </w:rPr>
        <w:t xml:space="preserve"> </w:t>
      </w:r>
      <w:r w:rsidRPr="00F01B97">
        <w:rPr>
          <w:b/>
        </w:rPr>
        <w:t>maija noteikumos Nr.</w:t>
      </w:r>
      <w:r w:rsidR="00B9390D">
        <w:rPr>
          <w:b/>
        </w:rPr>
        <w:t xml:space="preserve"> </w:t>
      </w:r>
      <w:r w:rsidRPr="00F01B97">
        <w:rPr>
          <w:b/>
        </w:rPr>
        <w:t>599 „Sabiedriskā transporta pakalpojumu sniegšanas un izmantošanas kārtība</w:t>
      </w:r>
      <w:r w:rsidR="007B3E5C">
        <w:rPr>
          <w:b/>
        </w:rPr>
        <w:t>´</w:t>
      </w:r>
      <w:r w:rsidRPr="00F01B97">
        <w:rPr>
          <w:b/>
        </w:rPr>
        <w:t>”</w:t>
      </w:r>
      <w:r>
        <w:rPr>
          <w:b/>
        </w:rPr>
        <w:t xml:space="preserve"> </w:t>
      </w:r>
    </w:p>
    <w:p w14:paraId="254DF665" w14:textId="4CD30583" w:rsidR="008C5649" w:rsidRPr="00F01B97" w:rsidRDefault="00F01B97" w:rsidP="00F01B97">
      <w:pPr>
        <w:pStyle w:val="naiskr"/>
        <w:tabs>
          <w:tab w:val="left" w:pos="283"/>
        </w:tabs>
        <w:spacing w:before="0" w:after="0"/>
        <w:jc w:val="center"/>
        <w:rPr>
          <w:b/>
        </w:rPr>
      </w:pPr>
      <w:r>
        <w:rPr>
          <w:b/>
        </w:rPr>
        <w:t xml:space="preserve">sākotnējās </w:t>
      </w:r>
      <w:r w:rsidR="008A7B89" w:rsidRPr="00F01B97">
        <w:rPr>
          <w:b/>
        </w:rPr>
        <w:t xml:space="preserve">ietekmes </w:t>
      </w:r>
      <w:r>
        <w:rPr>
          <w:b/>
        </w:rPr>
        <w:t xml:space="preserve">apvienotais </w:t>
      </w:r>
      <w:r w:rsidR="008A7B89" w:rsidRPr="00F01B97">
        <w:rPr>
          <w:b/>
        </w:rPr>
        <w:t xml:space="preserve">novērtējuma </w:t>
      </w:r>
      <w:smartTag w:uri="schemas-tilde-lv/tildestengine" w:element="veidnes">
        <w:smartTagPr>
          <w:attr w:name="text" w:val="ziņojums"/>
          <w:attr w:name="baseform" w:val="ziņojums"/>
          <w:attr w:name="id" w:val="-1"/>
        </w:smartTagPr>
        <w:r w:rsidR="008A7B89" w:rsidRPr="00F01B97">
          <w:rPr>
            <w:b/>
          </w:rPr>
          <w:t>ziņojums</w:t>
        </w:r>
      </w:smartTag>
      <w:r w:rsidR="008A7B89" w:rsidRPr="00F01B97">
        <w:rPr>
          <w:b/>
        </w:rPr>
        <w:t xml:space="preserve"> (anotācija)</w:t>
      </w:r>
    </w:p>
    <w:p w14:paraId="3AF2525D" w14:textId="77777777" w:rsidR="00506F1D" w:rsidRPr="00883DA1" w:rsidRDefault="00506F1D" w:rsidP="00A25063">
      <w:pPr>
        <w:pStyle w:val="naislab"/>
        <w:spacing w:before="0" w:after="0"/>
        <w:jc w:val="center"/>
        <w:rPr>
          <w:b/>
        </w:rPr>
      </w:pPr>
    </w:p>
    <w:tbl>
      <w:tblPr>
        <w:tblpPr w:leftFromText="180" w:rightFromText="180" w:vertAnchor="text" w:horzAnchor="margin" w:tblpX="-294"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0"/>
        <w:gridCol w:w="2268"/>
        <w:gridCol w:w="6878"/>
      </w:tblGrid>
      <w:tr w:rsidR="009A0027" w:rsidRPr="00883DA1" w14:paraId="4A70F393" w14:textId="77777777" w:rsidTr="00D05ADD">
        <w:tc>
          <w:tcPr>
            <w:tcW w:w="9776" w:type="dxa"/>
            <w:gridSpan w:val="3"/>
            <w:vAlign w:val="center"/>
          </w:tcPr>
          <w:p w14:paraId="7D4E932C" w14:textId="77777777" w:rsidR="00852042" w:rsidRPr="00883DA1" w:rsidRDefault="00852042" w:rsidP="00C6424E">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14:paraId="57DE8EB1" w14:textId="77777777" w:rsidTr="00D05ADD">
        <w:trPr>
          <w:trHeight w:val="267"/>
        </w:trPr>
        <w:tc>
          <w:tcPr>
            <w:tcW w:w="630" w:type="dxa"/>
          </w:tcPr>
          <w:p w14:paraId="6A3D1A27" w14:textId="77777777" w:rsidR="00262E2B" w:rsidRPr="00883DA1" w:rsidRDefault="00262E2B" w:rsidP="00C6424E">
            <w:pPr>
              <w:pStyle w:val="naiskr"/>
              <w:spacing w:before="0" w:after="0"/>
              <w:jc w:val="center"/>
            </w:pPr>
            <w:r w:rsidRPr="00883DA1">
              <w:t>1.</w:t>
            </w:r>
          </w:p>
        </w:tc>
        <w:tc>
          <w:tcPr>
            <w:tcW w:w="2268" w:type="dxa"/>
          </w:tcPr>
          <w:p w14:paraId="45213C82" w14:textId="77777777" w:rsidR="00262E2B" w:rsidRPr="00883DA1" w:rsidRDefault="002D7F54" w:rsidP="00C6424E">
            <w:pPr>
              <w:pStyle w:val="naiskr"/>
              <w:spacing w:before="0" w:after="0"/>
            </w:pPr>
            <w:r w:rsidRPr="00883DA1">
              <w:t>Pamatojums</w:t>
            </w:r>
          </w:p>
        </w:tc>
        <w:tc>
          <w:tcPr>
            <w:tcW w:w="6878" w:type="dxa"/>
          </w:tcPr>
          <w:p w14:paraId="271B281C" w14:textId="77777777" w:rsidR="006B61F9" w:rsidRPr="00883DA1" w:rsidRDefault="00296451" w:rsidP="00C6424E">
            <w:pPr>
              <w:jc w:val="both"/>
            </w:pPr>
            <w:r>
              <w:t>Ministru kabineta 2017.</w:t>
            </w:r>
            <w:r w:rsidR="00B9390D">
              <w:t xml:space="preserve"> </w:t>
            </w:r>
            <w:r>
              <w:t>gada 28.</w:t>
            </w:r>
            <w:r w:rsidR="00B9390D">
              <w:t xml:space="preserve"> </w:t>
            </w:r>
            <w:r>
              <w:t xml:space="preserve">februāra sēdes </w:t>
            </w:r>
            <w:proofErr w:type="spellStart"/>
            <w:r>
              <w:t>proktollēmuma</w:t>
            </w:r>
            <w:proofErr w:type="spellEnd"/>
            <w:r>
              <w:t xml:space="preserve"> (prot</w:t>
            </w:r>
            <w:r w:rsidR="00E905DD">
              <w:t>.</w:t>
            </w:r>
            <w:r w:rsidR="00B9390D">
              <w:t xml:space="preserve"> </w:t>
            </w:r>
            <w:r>
              <w:t>10 29.</w:t>
            </w:r>
            <w:r w:rsidR="00B9390D">
              <w:t xml:space="preserve"> </w:t>
            </w:r>
            <w:r w:rsidRPr="00296451">
              <w:rPr>
                <w:bCs/>
              </w:rPr>
              <w:t>§</w:t>
            </w:r>
            <w:r>
              <w:rPr>
                <w:bCs/>
              </w:rPr>
              <w:t>)</w:t>
            </w:r>
            <w:r>
              <w:t xml:space="preserve"> 2.</w:t>
            </w:r>
            <w:r w:rsidR="00B9390D">
              <w:t xml:space="preserve"> </w:t>
            </w:r>
            <w:r w:rsidRPr="00733D74">
              <w:t>punkt</w:t>
            </w:r>
            <w:r w:rsidR="00A24259" w:rsidRPr="00733D74">
              <w:t>s</w:t>
            </w:r>
            <w:r w:rsidRPr="00733D74">
              <w:t xml:space="preserve">, </w:t>
            </w:r>
            <w:r w:rsidR="006B61F9" w:rsidRPr="00733D74">
              <w:t xml:space="preserve">Ministru </w:t>
            </w:r>
            <w:r w:rsidR="00B20C5F" w:rsidRPr="00733D74">
              <w:t xml:space="preserve">kabineta </w:t>
            </w:r>
            <w:r w:rsidR="006B61F9" w:rsidRPr="00733D74">
              <w:t>201</w:t>
            </w:r>
            <w:r w:rsidR="00B20C5F" w:rsidRPr="00733D74">
              <w:t>7</w:t>
            </w:r>
            <w:r w:rsidR="006B61F9" w:rsidRPr="00733D74">
              <w:t>.</w:t>
            </w:r>
            <w:r w:rsidR="00B9390D">
              <w:t xml:space="preserve"> </w:t>
            </w:r>
            <w:r w:rsidR="006B61F9" w:rsidRPr="00733D74">
              <w:t>gada</w:t>
            </w:r>
            <w:r w:rsidR="00E218E6" w:rsidRPr="00733D74">
              <w:t xml:space="preserve"> </w:t>
            </w:r>
            <w:r w:rsidR="00A24259" w:rsidRPr="00733D74">
              <w:t>4</w:t>
            </w:r>
            <w:r w:rsidR="006B61F9" w:rsidRPr="00733D74">
              <w:t>.</w:t>
            </w:r>
            <w:r w:rsidR="00B9390D">
              <w:t xml:space="preserve"> </w:t>
            </w:r>
            <w:r w:rsidR="00B20C5F" w:rsidRPr="00733D74">
              <w:t>aprīļa</w:t>
            </w:r>
            <w:r w:rsidR="006B61F9" w:rsidRPr="00733D74">
              <w:t xml:space="preserve"> </w:t>
            </w:r>
            <w:r w:rsidR="00B20C5F" w:rsidRPr="00733D74">
              <w:t xml:space="preserve">sēdes </w:t>
            </w:r>
            <w:proofErr w:type="spellStart"/>
            <w:r w:rsidR="00B20C5F" w:rsidRPr="00733D74">
              <w:t>proktol</w:t>
            </w:r>
            <w:r w:rsidRPr="00733D74">
              <w:t>lēmum</w:t>
            </w:r>
            <w:r w:rsidR="00A24259" w:rsidRPr="00733D74">
              <w:t>a</w:t>
            </w:r>
            <w:proofErr w:type="spellEnd"/>
            <w:r w:rsidRPr="00733D74">
              <w:t xml:space="preserve"> (prot.</w:t>
            </w:r>
            <w:r w:rsidR="00B9390D">
              <w:t xml:space="preserve"> </w:t>
            </w:r>
            <w:r w:rsidR="00A24259" w:rsidRPr="00733D74">
              <w:t>18</w:t>
            </w:r>
            <w:r w:rsidRPr="00733D74">
              <w:t xml:space="preserve"> </w:t>
            </w:r>
            <w:r w:rsidR="00A24259" w:rsidRPr="00733D74">
              <w:t>43.</w:t>
            </w:r>
            <w:r w:rsidR="00B9390D">
              <w:t xml:space="preserve"> </w:t>
            </w:r>
            <w:r w:rsidRPr="00733D74">
              <w:rPr>
                <w:bCs/>
              </w:rPr>
              <w:t>§)</w:t>
            </w:r>
            <w:r>
              <w:rPr>
                <w:bCs/>
              </w:rPr>
              <w:t xml:space="preserve"> </w:t>
            </w:r>
            <w:r w:rsidR="000670D6">
              <w:rPr>
                <w:bCs/>
              </w:rPr>
              <w:t>6.</w:t>
            </w:r>
            <w:r w:rsidR="00B9390D">
              <w:rPr>
                <w:bCs/>
              </w:rPr>
              <w:t xml:space="preserve"> </w:t>
            </w:r>
            <w:r w:rsidR="000670D6">
              <w:rPr>
                <w:bCs/>
              </w:rPr>
              <w:t>punkt</w:t>
            </w:r>
            <w:r w:rsidR="00A24259">
              <w:rPr>
                <w:bCs/>
              </w:rPr>
              <w:t>s</w:t>
            </w:r>
            <w:r w:rsidR="000670D6">
              <w:rPr>
                <w:bCs/>
              </w:rPr>
              <w:t xml:space="preserve"> un </w:t>
            </w:r>
            <w:r w:rsidR="00665683" w:rsidRPr="004728D4">
              <w:t>Sabiedriskā transporta pakalpojumu likuma 14.</w:t>
            </w:r>
            <w:r w:rsidR="00B9390D">
              <w:t xml:space="preserve"> </w:t>
            </w:r>
            <w:r w:rsidR="00665683" w:rsidRPr="004728D4">
              <w:t xml:space="preserve">panta </w:t>
            </w:r>
            <w:r w:rsidR="00EA4241" w:rsidRPr="004728D4">
              <w:t>otr</w:t>
            </w:r>
            <w:r w:rsidR="00F01B97">
              <w:t>ā</w:t>
            </w:r>
            <w:r w:rsidR="00EA4241" w:rsidRPr="004728D4">
              <w:t xml:space="preserve"> daļ</w:t>
            </w:r>
            <w:r w:rsidR="00F01B97">
              <w:t>a</w:t>
            </w:r>
            <w:r w:rsidR="00665683" w:rsidRPr="004728D4">
              <w:t>.</w:t>
            </w:r>
          </w:p>
        </w:tc>
      </w:tr>
      <w:tr w:rsidR="00883DA1" w:rsidRPr="000670D6" w14:paraId="0B8CB0D9" w14:textId="77777777" w:rsidTr="00D05ADD">
        <w:trPr>
          <w:trHeight w:val="1975"/>
        </w:trPr>
        <w:tc>
          <w:tcPr>
            <w:tcW w:w="630" w:type="dxa"/>
          </w:tcPr>
          <w:p w14:paraId="1014F1F2" w14:textId="77777777" w:rsidR="005A6EF3" w:rsidRPr="00883DA1" w:rsidRDefault="005A6EF3" w:rsidP="00C6424E">
            <w:pPr>
              <w:pStyle w:val="naiskr"/>
              <w:spacing w:before="0" w:after="0"/>
              <w:jc w:val="center"/>
            </w:pPr>
            <w:r w:rsidRPr="00883DA1">
              <w:t>2.</w:t>
            </w:r>
          </w:p>
        </w:tc>
        <w:tc>
          <w:tcPr>
            <w:tcW w:w="2268" w:type="dxa"/>
          </w:tcPr>
          <w:p w14:paraId="0E929BFF" w14:textId="77777777" w:rsidR="005A6EF3" w:rsidRPr="00883DA1" w:rsidRDefault="005A6EF3" w:rsidP="00C6424E">
            <w:pPr>
              <w:pStyle w:val="naiskr"/>
              <w:spacing w:before="0" w:after="0"/>
            </w:pPr>
            <w:r w:rsidRPr="00883DA1">
              <w:t>Pašreizējā situācija un problēmas, kuru risināšanai tiesību akta projekts izstrādāts, tiesiskā regulējuma mērķis un būtība</w:t>
            </w:r>
          </w:p>
        </w:tc>
        <w:tc>
          <w:tcPr>
            <w:tcW w:w="6878" w:type="dxa"/>
          </w:tcPr>
          <w:p w14:paraId="29773944" w14:textId="4F9BE754" w:rsidR="0058410E" w:rsidRPr="00572113" w:rsidRDefault="00A24259" w:rsidP="00C6424E">
            <w:pPr>
              <w:pStyle w:val="NormalWeb"/>
              <w:shd w:val="clear" w:color="auto" w:fill="FFFFFF"/>
              <w:spacing w:before="0" w:beforeAutospacing="0" w:after="0" w:afterAutospacing="0"/>
              <w:jc w:val="both"/>
              <w:rPr>
                <w:rFonts w:ascii="Times New Roman" w:hAnsi="Times New Roman" w:cs="Times New Roman"/>
                <w:lang w:val="lv-LV"/>
              </w:rPr>
            </w:pPr>
            <w:r w:rsidRPr="00572113">
              <w:rPr>
                <w:rFonts w:ascii="Times New Roman" w:eastAsia="Times New Roman" w:hAnsi="Times New Roman" w:cs="Times New Roman"/>
                <w:bCs/>
                <w:lang w:val="lv-LV" w:eastAsia="lv-LV"/>
              </w:rPr>
              <w:t xml:space="preserve">     </w:t>
            </w:r>
            <w:r w:rsidR="00A46316">
              <w:rPr>
                <w:rFonts w:ascii="Times New Roman" w:eastAsia="Times New Roman" w:hAnsi="Times New Roman" w:cs="Times New Roman"/>
                <w:bCs/>
                <w:lang w:val="lv-LV" w:eastAsia="lv-LV"/>
              </w:rPr>
              <w:t xml:space="preserve">Pašlaik </w:t>
            </w:r>
            <w:r w:rsidR="00062373" w:rsidRPr="00572113">
              <w:rPr>
                <w:rFonts w:ascii="Times New Roman" w:eastAsia="Times New Roman" w:hAnsi="Times New Roman" w:cs="Times New Roman"/>
                <w:bCs/>
                <w:lang w:val="lv-LV" w:eastAsia="lv-LV"/>
              </w:rPr>
              <w:t xml:space="preserve">Ministru kabineta </w:t>
            </w:r>
            <w:r w:rsidR="00062373" w:rsidRPr="00572113">
              <w:rPr>
                <w:rFonts w:ascii="Times New Roman" w:hAnsi="Times New Roman" w:cs="Times New Roman"/>
                <w:lang w:val="lv-LV"/>
              </w:rPr>
              <w:t>2015.</w:t>
            </w:r>
            <w:r w:rsidR="00B9390D">
              <w:rPr>
                <w:rFonts w:ascii="Times New Roman" w:hAnsi="Times New Roman" w:cs="Times New Roman"/>
                <w:lang w:val="lv-LV"/>
              </w:rPr>
              <w:t xml:space="preserve"> </w:t>
            </w:r>
            <w:r w:rsidR="00062373" w:rsidRPr="00572113">
              <w:rPr>
                <w:rFonts w:ascii="Times New Roman" w:hAnsi="Times New Roman" w:cs="Times New Roman"/>
                <w:lang w:val="lv-LV"/>
              </w:rPr>
              <w:t>gada 31.</w:t>
            </w:r>
            <w:r w:rsidR="00B9390D">
              <w:rPr>
                <w:rFonts w:ascii="Times New Roman" w:hAnsi="Times New Roman" w:cs="Times New Roman"/>
                <w:lang w:val="lv-LV"/>
              </w:rPr>
              <w:t xml:space="preserve"> </w:t>
            </w:r>
            <w:r w:rsidR="00062373" w:rsidRPr="00572113">
              <w:rPr>
                <w:rFonts w:ascii="Times New Roman" w:hAnsi="Times New Roman" w:cs="Times New Roman"/>
                <w:lang w:val="lv-LV"/>
              </w:rPr>
              <w:t>marta noteikumu Nr.</w:t>
            </w:r>
            <w:r w:rsidR="00B9390D">
              <w:rPr>
                <w:rFonts w:ascii="Times New Roman" w:hAnsi="Times New Roman" w:cs="Times New Roman"/>
                <w:lang w:val="lv-LV"/>
              </w:rPr>
              <w:t xml:space="preserve"> </w:t>
            </w:r>
            <w:r w:rsidR="00062373" w:rsidRPr="00572113">
              <w:rPr>
                <w:rFonts w:ascii="Times New Roman" w:hAnsi="Times New Roman" w:cs="Times New Roman"/>
                <w:lang w:val="lv-LV"/>
              </w:rPr>
              <w:t>153 “Noteikumi par pasažieru kategorijām, kuras ir tiesīgas izmantot braukšanas maksas atvieglojumus maršrutu tīkla maršrutos”</w:t>
            </w:r>
            <w:r w:rsidR="0058410E" w:rsidRPr="00572113">
              <w:rPr>
                <w:rFonts w:ascii="Times New Roman" w:hAnsi="Times New Roman" w:cs="Times New Roman"/>
                <w:lang w:val="lv-LV"/>
              </w:rPr>
              <w:t xml:space="preserve"> (turpmāk – MK noteikumi Nr.</w:t>
            </w:r>
            <w:r w:rsidR="00B9390D">
              <w:rPr>
                <w:rFonts w:ascii="Times New Roman" w:hAnsi="Times New Roman" w:cs="Times New Roman"/>
                <w:lang w:val="lv-LV"/>
              </w:rPr>
              <w:t xml:space="preserve"> </w:t>
            </w:r>
            <w:r w:rsidR="0058410E" w:rsidRPr="00572113">
              <w:rPr>
                <w:rFonts w:ascii="Times New Roman" w:hAnsi="Times New Roman" w:cs="Times New Roman"/>
                <w:lang w:val="lv-LV"/>
              </w:rPr>
              <w:t>153)</w:t>
            </w:r>
            <w:r w:rsidR="00062373" w:rsidRPr="00572113">
              <w:rPr>
                <w:rFonts w:ascii="Times New Roman" w:hAnsi="Times New Roman" w:cs="Times New Roman"/>
                <w:lang w:val="lv-LV"/>
              </w:rPr>
              <w:t xml:space="preserve"> 30.</w:t>
            </w:r>
            <w:r w:rsidR="00B9390D">
              <w:rPr>
                <w:rFonts w:ascii="Times New Roman" w:hAnsi="Times New Roman" w:cs="Times New Roman"/>
                <w:lang w:val="lv-LV"/>
              </w:rPr>
              <w:t xml:space="preserve"> </w:t>
            </w:r>
            <w:r w:rsidR="00062373" w:rsidRPr="00572113">
              <w:rPr>
                <w:rFonts w:ascii="Times New Roman" w:hAnsi="Times New Roman" w:cs="Times New Roman"/>
                <w:lang w:val="lv-LV"/>
              </w:rPr>
              <w:t>punktā noteiktie pārejas noteikumi paredz, ka līdz 2017.gada 1</w:t>
            </w:r>
            <w:r w:rsidR="00B9390D">
              <w:rPr>
                <w:rFonts w:ascii="Times New Roman" w:hAnsi="Times New Roman" w:cs="Times New Roman"/>
                <w:lang w:val="lv-LV"/>
              </w:rPr>
              <w:t xml:space="preserve"> </w:t>
            </w:r>
            <w:r w:rsidR="00062373" w:rsidRPr="00572113">
              <w:rPr>
                <w:rFonts w:ascii="Times New Roman" w:hAnsi="Times New Roman" w:cs="Times New Roman"/>
                <w:lang w:val="lv-LV"/>
              </w:rPr>
              <w:t xml:space="preserve">.jūlijam </w:t>
            </w:r>
            <w:r w:rsidR="00062373" w:rsidRPr="00572113">
              <w:rPr>
                <w:rFonts w:ascii="Times New Roman" w:eastAsia="Times New Roman" w:hAnsi="Times New Roman" w:cs="Times New Roman"/>
                <w:bCs/>
                <w:lang w:val="lv-LV" w:eastAsia="lv-LV"/>
              </w:rPr>
              <w:t>personām, kurām valsts noteikusi braukšanas maksas atvieglojumus, braukšanas biļetes tiek izsniegtas, uzrādot attiecīgai kategorijai atbilstošu apliecību. Minēto pasažieru uzskaite sabiedriskajā transportā tiek organizēta, izsniedzot tiem braukšanas tiesības apliecinošu dokumentu – biļeti, kurai ir piemērota 100% atlaide, bet sākot no 2017.</w:t>
            </w:r>
            <w:r w:rsidR="00B9390D">
              <w:rPr>
                <w:rFonts w:ascii="Times New Roman" w:eastAsia="Times New Roman" w:hAnsi="Times New Roman" w:cs="Times New Roman"/>
                <w:bCs/>
                <w:lang w:val="lv-LV" w:eastAsia="lv-LV"/>
              </w:rPr>
              <w:t xml:space="preserve"> </w:t>
            </w:r>
            <w:r w:rsidR="00062373" w:rsidRPr="00572113">
              <w:rPr>
                <w:rFonts w:ascii="Times New Roman" w:eastAsia="Times New Roman" w:hAnsi="Times New Roman" w:cs="Times New Roman"/>
                <w:bCs/>
                <w:lang w:val="lv-LV" w:eastAsia="lv-LV"/>
              </w:rPr>
              <w:t>gada 1.</w:t>
            </w:r>
            <w:r w:rsidR="00B9390D">
              <w:rPr>
                <w:rFonts w:ascii="Times New Roman" w:eastAsia="Times New Roman" w:hAnsi="Times New Roman" w:cs="Times New Roman"/>
                <w:bCs/>
                <w:lang w:val="lv-LV" w:eastAsia="lv-LV"/>
              </w:rPr>
              <w:t xml:space="preserve"> </w:t>
            </w:r>
            <w:r w:rsidR="00062373" w:rsidRPr="00572113">
              <w:rPr>
                <w:rFonts w:ascii="Times New Roman" w:eastAsia="Times New Roman" w:hAnsi="Times New Roman" w:cs="Times New Roman"/>
                <w:bCs/>
                <w:lang w:val="lv-LV" w:eastAsia="lv-LV"/>
              </w:rPr>
              <w:t>jūlija atvieglojumu saņēmējiem būs iespēja</w:t>
            </w:r>
            <w:r w:rsidR="0058410E" w:rsidRPr="00572113">
              <w:rPr>
                <w:rFonts w:ascii="Times New Roman" w:eastAsia="Times New Roman" w:hAnsi="Times New Roman" w:cs="Times New Roman"/>
                <w:bCs/>
                <w:lang w:val="lv-LV" w:eastAsia="lv-LV"/>
              </w:rPr>
              <w:t xml:space="preserve"> </w:t>
            </w:r>
            <w:r w:rsidR="004F5A34" w:rsidRPr="00572113">
              <w:rPr>
                <w:rFonts w:ascii="Times New Roman" w:eastAsia="Times New Roman" w:hAnsi="Times New Roman" w:cs="Times New Roman"/>
                <w:bCs/>
                <w:lang w:val="lv-LV" w:eastAsia="lv-LV"/>
              </w:rPr>
              <w:t>izmantot bez maksas sabiedrisko transportu tikai</w:t>
            </w:r>
            <w:r w:rsidR="0058410E" w:rsidRPr="00572113">
              <w:rPr>
                <w:rFonts w:ascii="Times New Roman" w:eastAsia="Times New Roman" w:hAnsi="Times New Roman" w:cs="Times New Roman"/>
                <w:bCs/>
                <w:lang w:val="lv-LV" w:eastAsia="lv-LV"/>
              </w:rPr>
              <w:t>,</w:t>
            </w:r>
            <w:r w:rsidR="004F5A34" w:rsidRPr="00572113">
              <w:rPr>
                <w:rFonts w:ascii="Times New Roman" w:eastAsia="Times New Roman" w:hAnsi="Times New Roman" w:cs="Times New Roman"/>
                <w:bCs/>
                <w:lang w:val="lv-LV" w:eastAsia="lv-LV"/>
              </w:rPr>
              <w:t xml:space="preserve"> veicot vienlaicīgu </w:t>
            </w:r>
            <w:proofErr w:type="spellStart"/>
            <w:r w:rsidR="004F5A34" w:rsidRPr="00572113">
              <w:rPr>
                <w:rFonts w:ascii="Times New Roman" w:eastAsia="Times New Roman" w:hAnsi="Times New Roman" w:cs="Times New Roman"/>
                <w:bCs/>
                <w:lang w:val="lv-LV" w:eastAsia="lv-LV"/>
              </w:rPr>
              <w:t>elektornisku</w:t>
            </w:r>
            <w:proofErr w:type="spellEnd"/>
            <w:r w:rsidR="004F5A34" w:rsidRPr="00572113">
              <w:rPr>
                <w:rFonts w:ascii="Times New Roman" w:eastAsia="Times New Roman" w:hAnsi="Times New Roman" w:cs="Times New Roman"/>
                <w:bCs/>
                <w:lang w:val="lv-LV" w:eastAsia="lv-LV"/>
              </w:rPr>
              <w:t xml:space="preserve"> identifikāciju un apmaksu par braucienu ar norēķinu iestādes izsniegtu norēķinu līdzekli.</w:t>
            </w:r>
            <w:r w:rsidRPr="00572113">
              <w:rPr>
                <w:rFonts w:ascii="Times New Roman" w:eastAsia="Times New Roman" w:hAnsi="Times New Roman" w:cs="Times New Roman"/>
                <w:bCs/>
                <w:lang w:val="lv-LV" w:eastAsia="lv-LV"/>
              </w:rPr>
              <w:t xml:space="preserve"> </w:t>
            </w:r>
            <w:r w:rsidR="00062373" w:rsidRPr="00572113">
              <w:rPr>
                <w:rFonts w:ascii="Times New Roman" w:hAnsi="Times New Roman" w:cs="Times New Roman"/>
                <w:lang w:val="lv-LV"/>
              </w:rPr>
              <w:t xml:space="preserve"> </w:t>
            </w:r>
          </w:p>
          <w:p w14:paraId="5DDC9EF2" w14:textId="39913052" w:rsidR="004F5A34" w:rsidRPr="00572113" w:rsidRDefault="00A24259" w:rsidP="00C6424E">
            <w:pPr>
              <w:jc w:val="both"/>
            </w:pPr>
            <w:r w:rsidRPr="00572113">
              <w:t xml:space="preserve">    </w:t>
            </w:r>
            <w:r w:rsidR="004F5A34" w:rsidRPr="00572113">
              <w:t xml:space="preserve">Satiksmes ministrijas sagatavotajā </w:t>
            </w:r>
            <w:r w:rsidR="004F5A34" w:rsidRPr="00572113">
              <w:rPr>
                <w:bCs/>
              </w:rPr>
              <w:t xml:space="preserve">informatīvajā ziņojumā “Par </w:t>
            </w:r>
            <w:r w:rsidR="004F5A34" w:rsidRPr="00572113">
              <w:t>Ministru kabineta 2015.</w:t>
            </w:r>
            <w:r w:rsidR="00B9390D">
              <w:t xml:space="preserve"> </w:t>
            </w:r>
            <w:r w:rsidR="004F5A34" w:rsidRPr="00572113">
              <w:t>gada 31</w:t>
            </w:r>
            <w:r w:rsidR="00B9390D">
              <w:t xml:space="preserve"> </w:t>
            </w:r>
            <w:r w:rsidR="004F5A34" w:rsidRPr="00572113">
              <w:t>.marta noteikumu Nr.</w:t>
            </w:r>
            <w:r w:rsidR="00B9390D">
              <w:t xml:space="preserve"> </w:t>
            </w:r>
            <w:r w:rsidR="004F5A34" w:rsidRPr="00572113">
              <w:t>153 “Noteikumi par pasažieru kategorijām, kuras ir tiesīgas izmantot braukšanas maksas atvieglojumus maršrutu tīkla maršrutos” ieviešanu”</w:t>
            </w:r>
            <w:r w:rsidR="00A46316">
              <w:t xml:space="preserve"> (turpmāk – Satiksmes ministrijas informatīvais ziņojums)</w:t>
            </w:r>
            <w:r w:rsidR="004F5A34" w:rsidRPr="00572113">
              <w:t xml:space="preserve">, kuru </w:t>
            </w:r>
            <w:r w:rsidR="00296451" w:rsidRPr="00572113">
              <w:t>Ministru kabinet</w:t>
            </w:r>
            <w:r w:rsidR="004F5A34" w:rsidRPr="00572113">
              <w:t xml:space="preserve">s pieņēma </w:t>
            </w:r>
            <w:r w:rsidR="00296451" w:rsidRPr="00572113">
              <w:t>2017.</w:t>
            </w:r>
            <w:r w:rsidR="00B9390D">
              <w:t xml:space="preserve"> </w:t>
            </w:r>
            <w:r w:rsidR="00296451" w:rsidRPr="00572113">
              <w:t xml:space="preserve">gada </w:t>
            </w:r>
            <w:r w:rsidR="00D05C2C" w:rsidRPr="00572113">
              <w:t>4</w:t>
            </w:r>
            <w:r w:rsidR="00296451" w:rsidRPr="00572113">
              <w:t>.</w:t>
            </w:r>
            <w:r w:rsidR="00B9390D">
              <w:t xml:space="preserve"> </w:t>
            </w:r>
            <w:r w:rsidR="00296451" w:rsidRPr="00572113">
              <w:t>aprī</w:t>
            </w:r>
            <w:r w:rsidR="004F5A34" w:rsidRPr="00572113">
              <w:t>lī</w:t>
            </w:r>
            <w:r w:rsidR="0058410E" w:rsidRPr="00572113">
              <w:t xml:space="preserve"> (</w:t>
            </w:r>
            <w:r w:rsidR="00296451" w:rsidRPr="00572113">
              <w:t xml:space="preserve">sēdes </w:t>
            </w:r>
            <w:proofErr w:type="spellStart"/>
            <w:r w:rsidR="00296451" w:rsidRPr="00572113">
              <w:t>proktollēmums</w:t>
            </w:r>
            <w:proofErr w:type="spellEnd"/>
            <w:r w:rsidR="00296451" w:rsidRPr="00572113">
              <w:t xml:space="preserve"> prot.</w:t>
            </w:r>
            <w:r w:rsidR="00B9390D">
              <w:t xml:space="preserve"> </w:t>
            </w:r>
            <w:r w:rsidR="00D05C2C" w:rsidRPr="00572113">
              <w:t>18</w:t>
            </w:r>
            <w:r w:rsidR="00296451" w:rsidRPr="00572113">
              <w:t xml:space="preserve"> </w:t>
            </w:r>
            <w:r w:rsidR="00D05C2C" w:rsidRPr="00572113">
              <w:t>43.</w:t>
            </w:r>
            <w:r w:rsidR="00B9390D">
              <w:t xml:space="preserve"> </w:t>
            </w:r>
            <w:r w:rsidR="00296451" w:rsidRPr="00572113">
              <w:t xml:space="preserve">  </w:t>
            </w:r>
            <w:r w:rsidR="00296451" w:rsidRPr="00572113">
              <w:rPr>
                <w:bCs/>
              </w:rPr>
              <w:t>§ 1.</w:t>
            </w:r>
            <w:r w:rsidR="00B9390D">
              <w:rPr>
                <w:bCs/>
              </w:rPr>
              <w:t xml:space="preserve"> </w:t>
            </w:r>
            <w:r w:rsidR="004F5A34" w:rsidRPr="00572113">
              <w:rPr>
                <w:bCs/>
              </w:rPr>
              <w:t>punkts)</w:t>
            </w:r>
            <w:r w:rsidR="0058410E" w:rsidRPr="00572113">
              <w:rPr>
                <w:bCs/>
              </w:rPr>
              <w:t>,</w:t>
            </w:r>
            <w:r w:rsidR="004F5A34" w:rsidRPr="00572113">
              <w:rPr>
                <w:bCs/>
              </w:rPr>
              <w:t xml:space="preserve"> tika secināts, ka šobrīd spēkā esošā  </w:t>
            </w:r>
            <w:r w:rsidR="00296451" w:rsidRPr="00572113">
              <w:rPr>
                <w:bCs/>
              </w:rPr>
              <w:t xml:space="preserve"> </w:t>
            </w:r>
            <w:r w:rsidR="0058410E" w:rsidRPr="00572113">
              <w:rPr>
                <w:bCs/>
              </w:rPr>
              <w:t xml:space="preserve">MK </w:t>
            </w:r>
            <w:r w:rsidR="004F5A34" w:rsidRPr="00572113">
              <w:rPr>
                <w:bCs/>
              </w:rPr>
              <w:t xml:space="preserve">noteikumu </w:t>
            </w:r>
            <w:r w:rsidR="0058410E" w:rsidRPr="00572113">
              <w:rPr>
                <w:bCs/>
              </w:rPr>
              <w:t>N</w:t>
            </w:r>
            <w:r w:rsidR="004F5A34" w:rsidRPr="00572113">
              <w:rPr>
                <w:bCs/>
              </w:rPr>
              <w:t>r.</w:t>
            </w:r>
            <w:r w:rsidR="00B9390D">
              <w:rPr>
                <w:bCs/>
              </w:rPr>
              <w:t xml:space="preserve"> </w:t>
            </w:r>
            <w:r w:rsidR="004F5A34" w:rsidRPr="00572113">
              <w:rPr>
                <w:bCs/>
              </w:rPr>
              <w:t>153 redakcija nav ieviešama</w:t>
            </w:r>
            <w:r w:rsidR="00D05C2C" w:rsidRPr="00572113">
              <w:rPr>
                <w:bCs/>
              </w:rPr>
              <w:t xml:space="preserve">.  </w:t>
            </w:r>
          </w:p>
          <w:p w14:paraId="73CAA16C" w14:textId="3CF3598F" w:rsidR="00733D74" w:rsidRPr="00572113" w:rsidRDefault="00A24259" w:rsidP="00C6424E">
            <w:pPr>
              <w:autoSpaceDN w:val="0"/>
              <w:ind w:right="89"/>
              <w:contextualSpacing/>
              <w:jc w:val="both"/>
              <w:textAlignment w:val="baseline"/>
            </w:pPr>
            <w:r w:rsidRPr="00572113">
              <w:t xml:space="preserve">    </w:t>
            </w:r>
            <w:r w:rsidR="00733D74" w:rsidRPr="00572113">
              <w:t>Izstrādājot MK noteikumu Nr.</w:t>
            </w:r>
            <w:r w:rsidR="00B9390D">
              <w:t xml:space="preserve"> </w:t>
            </w:r>
            <w:r w:rsidR="00733D74" w:rsidRPr="00572113">
              <w:t xml:space="preserve">153 ieviešanas risinājumu tika secināts, ka </w:t>
            </w:r>
            <w:r w:rsidR="00D05C2C" w:rsidRPr="00572113">
              <w:t xml:space="preserve"> braukšanas maksas atvieglojumu saņēmēju elektroniskās uzskaites sistēmas risinājums veidojas pārāk </w:t>
            </w:r>
            <w:r w:rsidR="00733D74" w:rsidRPr="00572113">
              <w:t>komplicēt</w:t>
            </w:r>
            <w:r w:rsidR="00D05C2C" w:rsidRPr="00572113">
              <w:t>s</w:t>
            </w:r>
            <w:r w:rsidR="00733D74" w:rsidRPr="00572113">
              <w:t xml:space="preserve"> </w:t>
            </w:r>
            <w:r w:rsidR="0058410E" w:rsidRPr="00572113">
              <w:t xml:space="preserve">no tehniskā, finansiālā  un administratīvā viedokļa, </w:t>
            </w:r>
            <w:r w:rsidR="00381F1F">
              <w:t>tam</w:t>
            </w:r>
            <w:r w:rsidR="00733D74" w:rsidRPr="00572113">
              <w:t xml:space="preserve"> </w:t>
            </w:r>
            <w:r w:rsidR="0058410E" w:rsidRPr="00572113">
              <w:t xml:space="preserve">nepieciešams samērā liels ieviešanas termiņš  un papildus finansējums </w:t>
            </w:r>
            <w:r w:rsidR="00381F1F">
              <w:t xml:space="preserve">sistēmu </w:t>
            </w:r>
            <w:r w:rsidR="0058410E" w:rsidRPr="00572113">
              <w:t>izstrādei un ieviešanai normatīvajos aktos noteikto procedūru (t.</w:t>
            </w:r>
            <w:r w:rsidR="00B9390D">
              <w:t xml:space="preserve"> </w:t>
            </w:r>
            <w:r w:rsidR="0058410E" w:rsidRPr="00572113">
              <w:t>sk. iepirkuma procedūru) veikšanai</w:t>
            </w:r>
            <w:r w:rsidR="00733D74" w:rsidRPr="00572113">
              <w:t>, turkl</w:t>
            </w:r>
            <w:r w:rsidR="00D05C2C" w:rsidRPr="00572113">
              <w:t>āt Finanšu</w:t>
            </w:r>
            <w:r w:rsidR="00733D74" w:rsidRPr="00572113">
              <w:t xml:space="preserve"> ministrija vērsa uzmanību, ka sistēmas izveidei nepieciešam</w:t>
            </w:r>
            <w:r w:rsidR="00476CAE">
              <w:t>ie</w:t>
            </w:r>
            <w:r w:rsidR="00733D74" w:rsidRPr="00572113">
              <w:t xml:space="preserve"> valsts budžeta līdzekļi 2017.</w:t>
            </w:r>
            <w:r w:rsidR="00B9390D">
              <w:t xml:space="preserve"> </w:t>
            </w:r>
            <w:r w:rsidR="00733D74" w:rsidRPr="00572113">
              <w:t xml:space="preserve">gadā nav pieejami, savukārt </w:t>
            </w:r>
            <w:r w:rsidR="00381F1F">
              <w:t xml:space="preserve">līdzekļu piešķiršanai </w:t>
            </w:r>
            <w:r w:rsidR="00476CAE">
              <w:t xml:space="preserve"> sistēmas veidošanai </w:t>
            </w:r>
            <w:r w:rsidR="00733D74" w:rsidRPr="00572113">
              <w:t>2018.</w:t>
            </w:r>
            <w:r w:rsidR="00B9390D">
              <w:t xml:space="preserve"> </w:t>
            </w:r>
            <w:r w:rsidR="00733D74" w:rsidRPr="00572113">
              <w:t>gadā piekrīt</w:t>
            </w:r>
            <w:r w:rsidR="00B9390D">
              <w:t xml:space="preserve"> </w:t>
            </w:r>
            <w:r w:rsidR="00733D74" w:rsidRPr="00572113">
              <w:t>tikai</w:t>
            </w:r>
            <w:r w:rsidR="00B9390D">
              <w:t>,</w:t>
            </w:r>
            <w:r w:rsidR="00733D74" w:rsidRPr="00572113">
              <w:t xml:space="preserve"> ievērojot valsts budžeta finansiālās iespējas. Taču bez nepieciešamā finansējuma sistēmu izveidot nevar, savukārt </w:t>
            </w:r>
            <w:r w:rsidR="00733D74" w:rsidRPr="00572113">
              <w:lastRenderedPageBreak/>
              <w:t>neuzsākot tās izstrādi jau 2017.</w:t>
            </w:r>
            <w:r w:rsidR="00B9390D">
              <w:t xml:space="preserve"> </w:t>
            </w:r>
            <w:r w:rsidR="00733D74" w:rsidRPr="00572113">
              <w:t>gadā, nav iespējams iekļauties plānotajā sistēmas izveides termiņā (22 mēneši).</w:t>
            </w:r>
            <w:r w:rsidR="00733D74" w:rsidRPr="00572113">
              <w:rPr>
                <w:color w:val="000000" w:themeColor="text1"/>
              </w:rPr>
              <w:t xml:space="preserve"> </w:t>
            </w:r>
          </w:p>
          <w:p w14:paraId="3F9FA193" w14:textId="58EADAEA" w:rsidR="0058410E" w:rsidRPr="00572113" w:rsidRDefault="0058410E" w:rsidP="00C6424E">
            <w:pPr>
              <w:autoSpaceDN w:val="0"/>
              <w:ind w:right="89"/>
              <w:contextualSpacing/>
              <w:jc w:val="both"/>
              <w:textAlignment w:val="baseline"/>
            </w:pPr>
            <w:r w:rsidRPr="00572113">
              <w:rPr>
                <w:rFonts w:eastAsiaTheme="minorHAnsi"/>
              </w:rPr>
              <w:t>S</w:t>
            </w:r>
            <w:r w:rsidRPr="00572113">
              <w:t>askaņošanas procesā iesaistītās  institūcijas izteica būtiskus ar sistēmas ieviešanu saistītus  nosacījumus</w:t>
            </w:r>
            <w:r w:rsidR="00A24259" w:rsidRPr="00572113">
              <w:t xml:space="preserve"> un</w:t>
            </w:r>
            <w:r w:rsidR="00476CAE">
              <w:t>,</w:t>
            </w:r>
            <w:r w:rsidR="00A24259" w:rsidRPr="00572113">
              <w:t xml:space="preserve"> p</w:t>
            </w:r>
            <w:r w:rsidRPr="00572113">
              <w:t xml:space="preserve">amatojoties uz iepriekš minētajiem secinājumiem, tika piedāvāts braukšanas maksas atvieglojumu saņēmēju elektroniskās uzskaites sistēmas ieviešanu realizēt pakāpeniski pa </w:t>
            </w:r>
            <w:r w:rsidR="00A46316">
              <w:t xml:space="preserve">šādiem </w:t>
            </w:r>
            <w:r w:rsidRPr="00572113">
              <w:t>posmiem:</w:t>
            </w:r>
          </w:p>
          <w:p w14:paraId="6A064942" w14:textId="5367003B" w:rsidR="0058410E" w:rsidRPr="00572113" w:rsidRDefault="0058410E" w:rsidP="00C6424E">
            <w:pPr>
              <w:ind w:left="166"/>
              <w:jc w:val="both"/>
            </w:pPr>
            <w:r w:rsidRPr="00572113">
              <w:t>1)</w:t>
            </w:r>
            <w:r w:rsidR="00072642" w:rsidRPr="00572113">
              <w:t xml:space="preserve"> Satiksmes ministrija (Autotransporta direkcija) i</w:t>
            </w:r>
            <w:r w:rsidRPr="00572113">
              <w:t>zveido nepieciešamo valsts informācijas sistēmu</w:t>
            </w:r>
            <w:r w:rsidR="00B9390D">
              <w:t>,</w:t>
            </w:r>
            <w:r w:rsidRPr="00572113">
              <w:t xml:space="preserve"> nodrošinot iespēju kontrolējošām iestādēm pārliecināties par pasažieru uzrādīto apliecību derīgumu, kā arī uzsāk bezskaidras naudas norēķinu ieviešanu transportlīdzekļos, kur tas ir ekonomiski pamatoti</w:t>
            </w:r>
            <w:r w:rsidR="00A46316">
              <w:t>;</w:t>
            </w:r>
            <w:r w:rsidRPr="00572113">
              <w:t xml:space="preserve"> </w:t>
            </w:r>
          </w:p>
          <w:p w14:paraId="0E356669" w14:textId="3180B65E" w:rsidR="0058410E" w:rsidRPr="00572113" w:rsidRDefault="0058410E" w:rsidP="00C6424E">
            <w:pPr>
              <w:ind w:left="166"/>
              <w:jc w:val="both"/>
            </w:pPr>
            <w:r w:rsidRPr="00572113">
              <w:t xml:space="preserve">2) </w:t>
            </w:r>
            <w:r w:rsidR="00A46316">
              <w:t>s</w:t>
            </w:r>
            <w:r w:rsidRPr="00572113">
              <w:t>adarbībā ar iesaistītajām ministrijām turpināt darbu pie braukšanas maksas atvieglojumu vienotas sistēmas izveides, kas būtu ieviešama pārvadājumos pēc 2021.</w:t>
            </w:r>
            <w:r w:rsidR="00B9390D">
              <w:t xml:space="preserve"> </w:t>
            </w:r>
            <w:r w:rsidRPr="00572113">
              <w:t>gada;</w:t>
            </w:r>
          </w:p>
          <w:p w14:paraId="31A6802B" w14:textId="326D4073" w:rsidR="0058410E" w:rsidRPr="00572113" w:rsidRDefault="0058410E" w:rsidP="00C6424E">
            <w:pPr>
              <w:pStyle w:val="NoSpacing"/>
              <w:ind w:left="166"/>
              <w:jc w:val="both"/>
              <w:rPr>
                <w:rFonts w:ascii="Times New Roman" w:hAnsi="Times New Roman"/>
                <w:sz w:val="24"/>
                <w:szCs w:val="24"/>
              </w:rPr>
            </w:pPr>
            <w:r w:rsidRPr="00572113">
              <w:rPr>
                <w:rFonts w:ascii="Times New Roman" w:hAnsi="Times New Roman"/>
                <w:sz w:val="24"/>
                <w:szCs w:val="24"/>
              </w:rPr>
              <w:t xml:space="preserve">3) </w:t>
            </w:r>
            <w:r w:rsidR="00A46316">
              <w:rPr>
                <w:rFonts w:ascii="Times New Roman" w:hAnsi="Times New Roman"/>
                <w:sz w:val="24"/>
                <w:szCs w:val="24"/>
              </w:rPr>
              <w:t>p</w:t>
            </w:r>
            <w:r w:rsidRPr="00572113">
              <w:rPr>
                <w:rFonts w:ascii="Times New Roman" w:hAnsi="Times New Roman"/>
                <w:sz w:val="24"/>
                <w:szCs w:val="24"/>
              </w:rPr>
              <w:t>asažieriem ar braukšanas maksas atvieglojumiem līdz 2021.</w:t>
            </w:r>
            <w:r w:rsidR="00B9390D">
              <w:rPr>
                <w:rFonts w:ascii="Times New Roman" w:hAnsi="Times New Roman"/>
                <w:sz w:val="24"/>
                <w:szCs w:val="24"/>
              </w:rPr>
              <w:t xml:space="preserve"> </w:t>
            </w:r>
            <w:r w:rsidRPr="00572113">
              <w:rPr>
                <w:rFonts w:ascii="Times New Roman" w:hAnsi="Times New Roman"/>
                <w:sz w:val="24"/>
                <w:szCs w:val="24"/>
              </w:rPr>
              <w:t xml:space="preserve">gadam </w:t>
            </w:r>
            <w:r w:rsidR="00072642" w:rsidRPr="00572113">
              <w:rPr>
                <w:rFonts w:ascii="Times New Roman" w:hAnsi="Times New Roman"/>
                <w:sz w:val="24"/>
                <w:szCs w:val="24"/>
              </w:rPr>
              <w:t>ne</w:t>
            </w:r>
            <w:r w:rsidRPr="00572113">
              <w:rPr>
                <w:rFonts w:ascii="Times New Roman" w:hAnsi="Times New Roman"/>
                <w:sz w:val="24"/>
                <w:szCs w:val="24"/>
              </w:rPr>
              <w:t>mainīt pašreizēj</w:t>
            </w:r>
            <w:r w:rsidR="00476CAE">
              <w:rPr>
                <w:rFonts w:ascii="Times New Roman" w:hAnsi="Times New Roman"/>
                <w:sz w:val="24"/>
                <w:szCs w:val="24"/>
              </w:rPr>
              <w:t>o</w:t>
            </w:r>
            <w:r w:rsidRPr="00572113">
              <w:rPr>
                <w:rFonts w:ascii="Times New Roman" w:hAnsi="Times New Roman"/>
                <w:sz w:val="24"/>
                <w:szCs w:val="24"/>
              </w:rPr>
              <w:t xml:space="preserve"> atvieglojumu saņemšanas kārtīb</w:t>
            </w:r>
            <w:r w:rsidR="00476CAE">
              <w:rPr>
                <w:rFonts w:ascii="Times New Roman" w:hAnsi="Times New Roman"/>
                <w:sz w:val="24"/>
                <w:szCs w:val="24"/>
              </w:rPr>
              <w:t>u</w:t>
            </w:r>
            <w:r w:rsidRPr="00572113">
              <w:rPr>
                <w:rFonts w:ascii="Times New Roman" w:hAnsi="Times New Roman"/>
                <w:sz w:val="24"/>
                <w:szCs w:val="24"/>
              </w:rPr>
              <w:t xml:space="preserve"> transportlīdzekļos</w:t>
            </w:r>
            <w:r w:rsidR="00072642" w:rsidRPr="00572113">
              <w:rPr>
                <w:rFonts w:ascii="Times New Roman" w:hAnsi="Times New Roman"/>
                <w:sz w:val="24"/>
                <w:szCs w:val="24"/>
              </w:rPr>
              <w:t>.</w:t>
            </w:r>
            <w:r w:rsidRPr="00572113">
              <w:rPr>
                <w:rFonts w:ascii="Times New Roman" w:hAnsi="Times New Roman"/>
                <w:sz w:val="24"/>
                <w:szCs w:val="24"/>
              </w:rPr>
              <w:t xml:space="preserve"> </w:t>
            </w:r>
          </w:p>
          <w:p w14:paraId="5B8FCA09" w14:textId="244E42BD" w:rsidR="0058410E" w:rsidRPr="00572113" w:rsidRDefault="00A24259" w:rsidP="00C6424E">
            <w:pPr>
              <w:ind w:right="89"/>
              <w:jc w:val="both"/>
              <w:rPr>
                <w:bCs/>
              </w:rPr>
            </w:pPr>
            <w:r w:rsidRPr="00572113">
              <w:t xml:space="preserve">   </w:t>
            </w:r>
            <w:r w:rsidR="0058410E" w:rsidRPr="00572113">
              <w:t>Saskaņā ar Ministru kabineta 2017.</w:t>
            </w:r>
            <w:r w:rsidR="00B9390D">
              <w:t xml:space="preserve"> </w:t>
            </w:r>
            <w:r w:rsidR="0058410E" w:rsidRPr="00572113">
              <w:t xml:space="preserve">gada </w:t>
            </w:r>
            <w:r w:rsidRPr="00572113">
              <w:t>4</w:t>
            </w:r>
            <w:r w:rsidR="0058410E" w:rsidRPr="00572113">
              <w:t>.</w:t>
            </w:r>
            <w:r w:rsidR="00B9390D">
              <w:t xml:space="preserve"> </w:t>
            </w:r>
            <w:r w:rsidR="0058410E" w:rsidRPr="00572113">
              <w:t xml:space="preserve">aprīļa sēdes </w:t>
            </w:r>
            <w:proofErr w:type="spellStart"/>
            <w:r w:rsidR="0058410E" w:rsidRPr="00572113">
              <w:t>proktollēmuma</w:t>
            </w:r>
            <w:proofErr w:type="spellEnd"/>
            <w:r w:rsidR="0058410E" w:rsidRPr="00572113">
              <w:t xml:space="preserve"> (prot.</w:t>
            </w:r>
            <w:r w:rsidR="00B9390D">
              <w:t xml:space="preserve"> </w:t>
            </w:r>
            <w:r w:rsidRPr="00572113">
              <w:t>18</w:t>
            </w:r>
            <w:r w:rsidR="0058410E" w:rsidRPr="00572113">
              <w:t xml:space="preserve"> </w:t>
            </w:r>
            <w:r w:rsidRPr="00572113">
              <w:t>43.</w:t>
            </w:r>
            <w:r w:rsidR="00B9390D">
              <w:t xml:space="preserve"> </w:t>
            </w:r>
            <w:r w:rsidR="0058410E" w:rsidRPr="00572113">
              <w:rPr>
                <w:bCs/>
              </w:rPr>
              <w:t>§) 2.</w:t>
            </w:r>
            <w:r w:rsidR="00B9390D">
              <w:rPr>
                <w:bCs/>
              </w:rPr>
              <w:t xml:space="preserve"> </w:t>
            </w:r>
            <w:r w:rsidR="0058410E" w:rsidRPr="00572113">
              <w:rPr>
                <w:bCs/>
              </w:rPr>
              <w:t xml:space="preserve">punktu tika pieņemts </w:t>
            </w:r>
            <w:r w:rsidR="00A46316">
              <w:rPr>
                <w:bCs/>
              </w:rPr>
              <w:t xml:space="preserve">Satiksmes ministrijas </w:t>
            </w:r>
            <w:r w:rsidR="0058410E" w:rsidRPr="00572113">
              <w:rPr>
                <w:bCs/>
              </w:rPr>
              <w:t>info</w:t>
            </w:r>
            <w:r w:rsidR="00072642" w:rsidRPr="00572113">
              <w:rPr>
                <w:bCs/>
              </w:rPr>
              <w:t>r</w:t>
            </w:r>
            <w:r w:rsidR="0058410E" w:rsidRPr="00572113">
              <w:rPr>
                <w:bCs/>
              </w:rPr>
              <w:t xml:space="preserve">matīvajā ziņojumā piedāvātais </w:t>
            </w:r>
            <w:r w:rsidR="00296451" w:rsidRPr="00572113">
              <w:rPr>
                <w:bCs/>
              </w:rPr>
              <w:t xml:space="preserve"> risinājuma modeli</w:t>
            </w:r>
            <w:r w:rsidR="003C520C" w:rsidRPr="00572113">
              <w:rPr>
                <w:bCs/>
              </w:rPr>
              <w:t>s</w:t>
            </w:r>
            <w:r w:rsidR="00296451" w:rsidRPr="00572113">
              <w:rPr>
                <w:bCs/>
              </w:rPr>
              <w:t xml:space="preserve"> un dot</w:t>
            </w:r>
            <w:r w:rsidR="0058410E" w:rsidRPr="00572113">
              <w:rPr>
                <w:bCs/>
              </w:rPr>
              <w:t>s</w:t>
            </w:r>
            <w:r w:rsidR="00296451" w:rsidRPr="00572113">
              <w:rPr>
                <w:bCs/>
              </w:rPr>
              <w:t xml:space="preserve"> uzdevum</w:t>
            </w:r>
            <w:r w:rsidR="0058410E" w:rsidRPr="00572113">
              <w:rPr>
                <w:bCs/>
              </w:rPr>
              <w:t>s</w:t>
            </w:r>
            <w:r w:rsidR="00296451" w:rsidRPr="00572113">
              <w:rPr>
                <w:bCs/>
              </w:rPr>
              <w:t xml:space="preserve"> </w:t>
            </w:r>
            <w:r w:rsidR="00B9390D">
              <w:rPr>
                <w:bCs/>
              </w:rPr>
              <w:t xml:space="preserve">(REZ-UZD-252) </w:t>
            </w:r>
            <w:r w:rsidR="005A6EF3" w:rsidRPr="00572113">
              <w:rPr>
                <w:bCs/>
              </w:rPr>
              <w:t xml:space="preserve">Satiksmes ministrijai </w:t>
            </w:r>
            <w:r w:rsidR="00296451" w:rsidRPr="00572113">
              <w:rPr>
                <w:bCs/>
              </w:rPr>
              <w:t>līdz 2017.</w:t>
            </w:r>
            <w:r w:rsidR="00B9390D">
              <w:rPr>
                <w:bCs/>
              </w:rPr>
              <w:t xml:space="preserve"> </w:t>
            </w:r>
            <w:r w:rsidR="00296451" w:rsidRPr="00572113">
              <w:rPr>
                <w:bCs/>
              </w:rPr>
              <w:t>gada 30.</w:t>
            </w:r>
            <w:r w:rsidR="00B9390D">
              <w:rPr>
                <w:bCs/>
              </w:rPr>
              <w:t xml:space="preserve"> </w:t>
            </w:r>
            <w:r w:rsidR="00296451" w:rsidRPr="00572113">
              <w:rPr>
                <w:bCs/>
              </w:rPr>
              <w:t>jūnijam sagatavo</w:t>
            </w:r>
            <w:r w:rsidR="0058410E" w:rsidRPr="00572113">
              <w:rPr>
                <w:bCs/>
              </w:rPr>
              <w:t>t</w:t>
            </w:r>
            <w:r w:rsidR="00296451" w:rsidRPr="00572113">
              <w:rPr>
                <w:bCs/>
              </w:rPr>
              <w:t xml:space="preserve"> un noteiktā kārtībā iesnie</w:t>
            </w:r>
            <w:r w:rsidR="0058410E" w:rsidRPr="00572113">
              <w:rPr>
                <w:bCs/>
              </w:rPr>
              <w:t>gt</w:t>
            </w:r>
            <w:r w:rsidR="00296451" w:rsidRPr="00572113">
              <w:rPr>
                <w:bCs/>
              </w:rPr>
              <w:t xml:space="preserve"> Ministru kabinetā grozījumus </w:t>
            </w:r>
            <w:r w:rsidR="0058410E" w:rsidRPr="00572113">
              <w:rPr>
                <w:bCs/>
              </w:rPr>
              <w:t>MK noteikumos Nr.153 paredzot</w:t>
            </w:r>
            <w:r w:rsidR="00072642" w:rsidRPr="00572113">
              <w:rPr>
                <w:bCs/>
              </w:rPr>
              <w:t xml:space="preserve"> ka</w:t>
            </w:r>
            <w:r w:rsidR="0058410E" w:rsidRPr="00572113">
              <w:rPr>
                <w:bCs/>
              </w:rPr>
              <w:t xml:space="preserve">: </w:t>
            </w:r>
          </w:p>
          <w:p w14:paraId="3646A1FF" w14:textId="6590B577" w:rsidR="00296451" w:rsidRPr="00572113" w:rsidRDefault="00296451" w:rsidP="00C6424E">
            <w:pPr>
              <w:ind w:right="89"/>
              <w:jc w:val="both"/>
            </w:pPr>
            <w:r w:rsidRPr="00572113">
              <w:t>1)</w:t>
            </w:r>
            <w:r w:rsidR="0058410E" w:rsidRPr="00572113">
              <w:t xml:space="preserve"> </w:t>
            </w:r>
            <w:r w:rsidRPr="00572113">
              <w:t xml:space="preserve">valsts noteikto braukšanas maksas atvieglojumu saņēmēju elektroniska identifikācija reģionālās nozīmes maršrutos realizējama, izmantojot Satiksmes ministrijas noteiktajā braukšanas maksas atvieglojumu saņēmēju elektroniskās identifikācijas risinājumā </w:t>
            </w:r>
            <w:r w:rsidR="00A46316">
              <w:t xml:space="preserve">(jānosaka līdz 2019.gada 31.decembrim) </w:t>
            </w:r>
            <w:r w:rsidRPr="00572113">
              <w:t>paredzēto identifikācijas līdzekli sākot ar 2021.</w:t>
            </w:r>
            <w:r w:rsidR="00B9390D">
              <w:t xml:space="preserve"> </w:t>
            </w:r>
            <w:r w:rsidRPr="00572113">
              <w:t>gada 1.</w:t>
            </w:r>
            <w:r w:rsidR="00B9390D">
              <w:t xml:space="preserve"> </w:t>
            </w:r>
            <w:r w:rsidRPr="00572113">
              <w:t xml:space="preserve">janvāri; </w:t>
            </w:r>
          </w:p>
          <w:p w14:paraId="4EC18E99" w14:textId="77777777" w:rsidR="00296451" w:rsidRPr="00572113" w:rsidRDefault="00296451" w:rsidP="00C6424E">
            <w:pPr>
              <w:pStyle w:val="ListParagraph"/>
              <w:ind w:left="0" w:right="89"/>
              <w:contextualSpacing/>
              <w:jc w:val="both"/>
              <w:rPr>
                <w:lang w:val="lv-LV"/>
              </w:rPr>
            </w:pPr>
            <w:r w:rsidRPr="00572113">
              <w:rPr>
                <w:lang w:val="lv-LV"/>
              </w:rPr>
              <w:t>2)</w:t>
            </w:r>
            <w:r w:rsidR="0058410E" w:rsidRPr="00572113">
              <w:rPr>
                <w:lang w:val="lv-LV"/>
              </w:rPr>
              <w:t xml:space="preserve"> </w:t>
            </w:r>
            <w:r w:rsidRPr="00572113">
              <w:rPr>
                <w:lang w:val="lv-LV"/>
              </w:rPr>
              <w:t>pārejas periodā līdz 2020.gada 31.decembrim valsts noteikto braukšanas maksas atvieglojumu saņēmēju identifikācija reģionālās nozīmes maršrutos notiek, izmantojot personas attiecīgo statusu pamatojošo dokumentu un pārvadātāja ieviestu nodokļu un citu maksājumu reģistrēšanas elektronisko ierīci vai iekārtu;</w:t>
            </w:r>
          </w:p>
          <w:p w14:paraId="7288710D" w14:textId="696300A8" w:rsidR="00296451" w:rsidRPr="00572113" w:rsidRDefault="00296451" w:rsidP="00C6424E">
            <w:pPr>
              <w:pStyle w:val="ListParagraph"/>
              <w:ind w:left="0" w:right="89"/>
              <w:contextualSpacing/>
              <w:jc w:val="both"/>
              <w:rPr>
                <w:lang w:val="lv-LV"/>
              </w:rPr>
            </w:pPr>
            <w:r w:rsidRPr="00572113">
              <w:rPr>
                <w:lang w:val="lv-LV"/>
              </w:rPr>
              <w:t>3)</w:t>
            </w:r>
            <w:r w:rsidR="0058410E" w:rsidRPr="00572113">
              <w:rPr>
                <w:lang w:val="lv-LV"/>
              </w:rPr>
              <w:t xml:space="preserve"> </w:t>
            </w:r>
            <w:r w:rsidR="00A46316">
              <w:rPr>
                <w:lang w:val="lv-LV"/>
              </w:rPr>
              <w:t>r</w:t>
            </w:r>
            <w:r w:rsidRPr="00572113">
              <w:rPr>
                <w:lang w:val="lv-LV"/>
              </w:rPr>
              <w:t>epublikas pilsētu pašvaldībām ir pienākums informāciju par valsts noteikta braukšanas maksas atvieglojuma saņēmēja statusu iegūt  braukšanas maksas atvieglojumu saņēmēju uzskaites  informācijas sistēmā, kā arī elektroniski tajā iesniegt informāciju par valsts noteikto braukšanas maksas atvieglojumu saņēmēju pārvadāšanu pilsētas nozīmes maršrutos. Republikas pilsētu pašvaldībām, kas nenodrošina elektronisku pasažieru braucienu uzskaiti, noteikt pārejas periodu attiecīgas sistēmas ieviešanai ne vēlāk kā līdz 2020.</w:t>
            </w:r>
            <w:r w:rsidR="00B9390D">
              <w:rPr>
                <w:lang w:val="lv-LV"/>
              </w:rPr>
              <w:t xml:space="preserve"> </w:t>
            </w:r>
            <w:r w:rsidRPr="00572113">
              <w:rPr>
                <w:lang w:val="lv-LV"/>
              </w:rPr>
              <w:t>gada 31.</w:t>
            </w:r>
            <w:r w:rsidR="00B9390D">
              <w:rPr>
                <w:lang w:val="lv-LV"/>
              </w:rPr>
              <w:t xml:space="preserve"> </w:t>
            </w:r>
            <w:r w:rsidRPr="00572113">
              <w:rPr>
                <w:lang w:val="lv-LV"/>
              </w:rPr>
              <w:t>decembrim.</w:t>
            </w:r>
            <w:bookmarkStart w:id="0" w:name="_GoBack"/>
            <w:bookmarkEnd w:id="0"/>
          </w:p>
          <w:p w14:paraId="6A9F81CF" w14:textId="1EED5A4A" w:rsidR="006B20FF" w:rsidRPr="006763B1" w:rsidRDefault="00733D74" w:rsidP="00B01B5B">
            <w:pPr>
              <w:jc w:val="both"/>
              <w:rPr>
                <w:sz w:val="22"/>
                <w:szCs w:val="22"/>
              </w:rPr>
            </w:pPr>
            <w:r w:rsidRPr="00572113">
              <w:rPr>
                <w:bCs/>
              </w:rPr>
              <w:t xml:space="preserve">   </w:t>
            </w:r>
            <w:r w:rsidR="00E16CF9" w:rsidRPr="00572113">
              <w:rPr>
                <w:bCs/>
              </w:rPr>
              <w:t>Ņemot vērā to, ka MK noteikumu Nr.</w:t>
            </w:r>
            <w:r w:rsidR="00B9390D">
              <w:rPr>
                <w:bCs/>
              </w:rPr>
              <w:t xml:space="preserve"> </w:t>
            </w:r>
            <w:r w:rsidR="00E16CF9" w:rsidRPr="00572113">
              <w:rPr>
                <w:bCs/>
              </w:rPr>
              <w:t>153 esoš</w:t>
            </w:r>
            <w:r w:rsidR="00881AD4" w:rsidRPr="00572113">
              <w:rPr>
                <w:bCs/>
              </w:rPr>
              <w:t xml:space="preserve">ā redakcijā veicamo grozījumu apjoms pārsniedz vairāk kā pusi no spēkā esošo noteikumu normu apjoma, </w:t>
            </w:r>
            <w:r w:rsidR="00E16CF9" w:rsidRPr="00572113">
              <w:rPr>
                <w:bCs/>
              </w:rPr>
              <w:t xml:space="preserve">Satiksmes ministrija ir sagatavojusi jaunu Ministru kabineta noteikumu </w:t>
            </w:r>
            <w:r w:rsidR="00A46316">
              <w:rPr>
                <w:bCs/>
              </w:rPr>
              <w:t xml:space="preserve">“Noteikumi par pasažieru kategorijām, kuras ir </w:t>
            </w:r>
            <w:r w:rsidR="00A46316">
              <w:rPr>
                <w:bCs/>
              </w:rPr>
              <w:lastRenderedPageBreak/>
              <w:t xml:space="preserve">tiesīgas izmantot braukšanas maksas atvieglojumus maršrutu tīkla maršrutos” </w:t>
            </w:r>
            <w:r w:rsidR="00E16CF9" w:rsidRPr="00572113">
              <w:rPr>
                <w:bCs/>
              </w:rPr>
              <w:t>redakciju</w:t>
            </w:r>
            <w:r w:rsidR="007877AC">
              <w:rPr>
                <w:bCs/>
              </w:rPr>
              <w:t xml:space="preserve"> (turpmāk - Noteikumu projekts</w:t>
            </w:r>
            <w:r w:rsidR="007877AC" w:rsidRPr="006763B1">
              <w:rPr>
                <w:bCs/>
              </w:rPr>
              <w:t>)</w:t>
            </w:r>
            <w:r w:rsidR="006B20FF" w:rsidRPr="006763B1">
              <w:rPr>
                <w:bCs/>
              </w:rPr>
              <w:t>, kā arī, ņemo</w:t>
            </w:r>
            <w:r w:rsidR="007F2F2D" w:rsidRPr="006763B1">
              <w:rPr>
                <w:bCs/>
              </w:rPr>
              <w:t>t</w:t>
            </w:r>
            <w:r w:rsidR="006B20FF" w:rsidRPr="006763B1">
              <w:rPr>
                <w:bCs/>
              </w:rPr>
              <w:t xml:space="preserve"> vērā  </w:t>
            </w:r>
            <w:r w:rsidR="006B20FF" w:rsidRPr="006763B1">
              <w:t xml:space="preserve">Valsts kancelejas </w:t>
            </w:r>
            <w:r w:rsidR="007F2F2D" w:rsidRPr="006763B1">
              <w:t>“</w:t>
            </w:r>
            <w:proofErr w:type="spellStart"/>
            <w:r w:rsidR="007F2F2D" w:rsidRPr="006763B1">
              <w:t>N</w:t>
            </w:r>
            <w:r w:rsidR="006B20FF" w:rsidRPr="006763B1">
              <w:t>normatīvo</w:t>
            </w:r>
            <w:proofErr w:type="spellEnd"/>
            <w:r w:rsidR="006B20FF" w:rsidRPr="006763B1">
              <w:t xml:space="preserve"> aktu izstrādes rokasgrāmatā</w:t>
            </w:r>
            <w:r w:rsidR="007F2F2D" w:rsidRPr="006763B1">
              <w:t>”</w:t>
            </w:r>
            <w:r w:rsidR="006B20FF" w:rsidRPr="006763B1">
              <w:t xml:space="preserve"> norādīto  ieteikumu, lai atvieglotu noteikumu ikdienas izmantošanu, nelietojot garās atsauces, Noteikumu  projektam ir </w:t>
            </w:r>
            <w:r w:rsidR="00B01B5B" w:rsidRPr="006763B1">
              <w:t>izveidots</w:t>
            </w:r>
            <w:r w:rsidR="006B20FF" w:rsidRPr="006763B1">
              <w:t xml:space="preserve"> nosaukums</w:t>
            </w:r>
            <w:r w:rsidR="007F2F2D" w:rsidRPr="006763B1">
              <w:t xml:space="preserve">, to saīsinot. </w:t>
            </w:r>
            <w:r w:rsidR="006B20FF" w:rsidRPr="006763B1">
              <w:t xml:space="preserve"> </w:t>
            </w:r>
          </w:p>
          <w:p w14:paraId="7765E805" w14:textId="589CD1A1" w:rsidR="00E16CF9" w:rsidRPr="00572113" w:rsidRDefault="00E16CF9" w:rsidP="00B01B5B">
            <w:pPr>
              <w:jc w:val="both"/>
              <w:rPr>
                <w:bCs/>
              </w:rPr>
            </w:pPr>
          </w:p>
          <w:p w14:paraId="0F688B98" w14:textId="0B7B63EF" w:rsidR="002144FE" w:rsidRDefault="003A052F" w:rsidP="00C6424E">
            <w:pPr>
              <w:shd w:val="clear" w:color="auto" w:fill="FFFFFF"/>
              <w:spacing w:line="293" w:lineRule="atLeast"/>
              <w:jc w:val="both"/>
              <w:rPr>
                <w:bCs/>
              </w:rPr>
            </w:pPr>
            <w:r w:rsidRPr="00572113">
              <w:rPr>
                <w:bCs/>
              </w:rPr>
              <w:t xml:space="preserve">    </w:t>
            </w:r>
            <w:r w:rsidR="00B9390D">
              <w:rPr>
                <w:bCs/>
              </w:rPr>
              <w:t xml:space="preserve">Atbilstoši </w:t>
            </w:r>
            <w:r w:rsidR="007877AC">
              <w:rPr>
                <w:bCs/>
              </w:rPr>
              <w:t>Ministru kabineta 2017.gada 4.aprīļa sēdē nolemtajam (</w:t>
            </w:r>
            <w:r w:rsidR="007877AC" w:rsidRPr="00572113">
              <w:t>prot.</w:t>
            </w:r>
            <w:r w:rsidR="007877AC">
              <w:t xml:space="preserve"> </w:t>
            </w:r>
            <w:r w:rsidR="007877AC" w:rsidRPr="00572113">
              <w:t xml:space="preserve">18 </w:t>
            </w:r>
            <w:r w:rsidR="007877AC" w:rsidRPr="00572113">
              <w:rPr>
                <w:bCs/>
              </w:rPr>
              <w:t>§</w:t>
            </w:r>
            <w:r w:rsidR="007877AC" w:rsidRPr="00572113">
              <w:t>43</w:t>
            </w:r>
            <w:r w:rsidR="007877AC">
              <w:t xml:space="preserve"> 6.2.apakšpunkts)</w:t>
            </w:r>
            <w:r w:rsidR="00B9390D">
              <w:rPr>
                <w:bCs/>
              </w:rPr>
              <w:t xml:space="preserve">, </w:t>
            </w:r>
            <w:r w:rsidR="002144FE">
              <w:rPr>
                <w:bCs/>
              </w:rPr>
              <w:t>Noteikumu projekts</w:t>
            </w:r>
            <w:r w:rsidR="00881AD4" w:rsidRPr="00572113">
              <w:rPr>
                <w:bCs/>
              </w:rPr>
              <w:t xml:space="preserve"> paredz</w:t>
            </w:r>
            <w:r w:rsidR="002144FE">
              <w:rPr>
                <w:bCs/>
              </w:rPr>
              <w:t>:</w:t>
            </w:r>
          </w:p>
          <w:p w14:paraId="1B830207" w14:textId="495407F1" w:rsidR="00B21A4A" w:rsidRPr="00572113" w:rsidRDefault="002144FE" w:rsidP="00C6424E">
            <w:pPr>
              <w:shd w:val="clear" w:color="auto" w:fill="FFFFFF"/>
              <w:spacing w:line="293" w:lineRule="atLeast"/>
              <w:jc w:val="both"/>
              <w:rPr>
                <w:bCs/>
              </w:rPr>
            </w:pPr>
            <w:r>
              <w:rPr>
                <w:bCs/>
              </w:rPr>
              <w:t>1)</w:t>
            </w:r>
            <w:r w:rsidR="00881AD4" w:rsidRPr="00572113">
              <w:rPr>
                <w:bCs/>
              </w:rPr>
              <w:t xml:space="preserve"> </w:t>
            </w:r>
            <w:r>
              <w:rPr>
                <w:bCs/>
              </w:rPr>
              <w:t xml:space="preserve">pārejas periodā </w:t>
            </w:r>
            <w:r w:rsidR="00881AD4" w:rsidRPr="00572113">
              <w:rPr>
                <w:bCs/>
              </w:rPr>
              <w:t>līdz 2021.</w:t>
            </w:r>
            <w:r w:rsidR="00B9390D">
              <w:rPr>
                <w:bCs/>
              </w:rPr>
              <w:t xml:space="preserve"> </w:t>
            </w:r>
            <w:r w:rsidR="00881AD4" w:rsidRPr="00572113">
              <w:rPr>
                <w:bCs/>
              </w:rPr>
              <w:t>gadam saglabāt šobrīd spēkā esošo kārtību, ka personām, kurām valsts noteikusi braukšanas maksas atvieglojumus, braukšanas biļetes tiek izsniegtas, uzrādot attiecīg</w:t>
            </w:r>
            <w:r w:rsidR="00B21A4A" w:rsidRPr="00572113">
              <w:rPr>
                <w:bCs/>
              </w:rPr>
              <w:t>ās</w:t>
            </w:r>
            <w:r w:rsidR="00881AD4" w:rsidRPr="00572113">
              <w:rPr>
                <w:bCs/>
              </w:rPr>
              <w:t xml:space="preserve"> kategorija</w:t>
            </w:r>
            <w:r w:rsidR="00B21A4A" w:rsidRPr="00572113">
              <w:rPr>
                <w:bCs/>
              </w:rPr>
              <w:t>s</w:t>
            </w:r>
            <w:r w:rsidR="00881AD4" w:rsidRPr="00572113">
              <w:rPr>
                <w:bCs/>
              </w:rPr>
              <w:t xml:space="preserve"> </w:t>
            </w:r>
            <w:r w:rsidR="00B21A4A" w:rsidRPr="00572113">
              <w:rPr>
                <w:bCs/>
              </w:rPr>
              <w:t xml:space="preserve">statusu </w:t>
            </w:r>
            <w:r w:rsidR="00881AD4" w:rsidRPr="00572113">
              <w:rPr>
                <w:bCs/>
              </w:rPr>
              <w:t>atbil</w:t>
            </w:r>
            <w:r w:rsidR="00B21A4A" w:rsidRPr="00572113">
              <w:rPr>
                <w:bCs/>
              </w:rPr>
              <w:t>s</w:t>
            </w:r>
            <w:r w:rsidR="00881AD4" w:rsidRPr="00572113">
              <w:rPr>
                <w:bCs/>
              </w:rPr>
              <w:t xml:space="preserve">tošu apliecību. Minēto pasažieru uzskaite sabiedriskajā transportā </w:t>
            </w:r>
            <w:r w:rsidR="00B21A4A" w:rsidRPr="00572113">
              <w:t>tiek veikta, izmantojot personas attiecīgo statusu apliecinošu dokumentu un pārvadātāja ieviestu nodokļu un citu maksājumu reģistrēšanas elektronisko ierīci vai iekārtu, kas nodrošina attiecīgas biļetes izdruku</w:t>
            </w:r>
            <w:r w:rsidR="00381F1F">
              <w:t xml:space="preserve"> atbilstoši normatīvajiem aktiem par nodokļu un citu maksājumu reģistrēšanas elektronisko ierīču un iekārtu lietošanu</w:t>
            </w:r>
            <w:r>
              <w:t>;</w:t>
            </w:r>
            <w:r w:rsidR="00B21A4A" w:rsidRPr="00572113">
              <w:t xml:space="preserve">  </w:t>
            </w:r>
          </w:p>
          <w:p w14:paraId="2A7574F0" w14:textId="2D513206" w:rsidR="002144FE" w:rsidRDefault="00BA5EA4" w:rsidP="00C6424E">
            <w:pPr>
              <w:shd w:val="clear" w:color="auto" w:fill="FFFFFF"/>
              <w:spacing w:line="293" w:lineRule="atLeast"/>
              <w:jc w:val="both"/>
              <w:rPr>
                <w:lang w:val="en-US"/>
              </w:rPr>
            </w:pPr>
            <w:r>
              <w:rPr>
                <w:bCs/>
              </w:rPr>
              <w:t xml:space="preserve">   </w:t>
            </w:r>
            <w:r w:rsidR="002144FE">
              <w:rPr>
                <w:bCs/>
              </w:rPr>
              <w:t xml:space="preserve">2) </w:t>
            </w:r>
            <w:proofErr w:type="spellStart"/>
            <w:r w:rsidR="003C520C" w:rsidRPr="00BA5EA4">
              <w:rPr>
                <w:bCs/>
                <w:lang w:val="en-US"/>
              </w:rPr>
              <w:t>ņemot</w:t>
            </w:r>
            <w:proofErr w:type="spellEnd"/>
            <w:r w:rsidR="003C520C" w:rsidRPr="00BA5EA4">
              <w:rPr>
                <w:bCs/>
                <w:lang w:val="en-US"/>
              </w:rPr>
              <w:t xml:space="preserve"> </w:t>
            </w:r>
            <w:proofErr w:type="spellStart"/>
            <w:r w:rsidR="003C520C" w:rsidRPr="00BA5EA4">
              <w:rPr>
                <w:bCs/>
                <w:lang w:val="en-US"/>
              </w:rPr>
              <w:t>vērā</w:t>
            </w:r>
            <w:proofErr w:type="spellEnd"/>
            <w:r w:rsidR="003C520C" w:rsidRPr="00BA5EA4">
              <w:rPr>
                <w:bCs/>
                <w:lang w:val="en-US"/>
              </w:rPr>
              <w:t xml:space="preserve"> </w:t>
            </w:r>
            <w:proofErr w:type="spellStart"/>
            <w:r w:rsidR="003C520C" w:rsidRPr="00BA5EA4">
              <w:rPr>
                <w:lang w:val="en-US"/>
              </w:rPr>
              <w:t>Ministru</w:t>
            </w:r>
            <w:proofErr w:type="spellEnd"/>
            <w:r w:rsidR="003C520C" w:rsidRPr="00BA5EA4">
              <w:rPr>
                <w:lang w:val="en-US"/>
              </w:rPr>
              <w:t xml:space="preserve"> </w:t>
            </w:r>
            <w:proofErr w:type="spellStart"/>
            <w:r w:rsidR="003C520C" w:rsidRPr="00BA5EA4">
              <w:rPr>
                <w:lang w:val="en-US"/>
              </w:rPr>
              <w:t>kabineta</w:t>
            </w:r>
            <w:proofErr w:type="spellEnd"/>
            <w:r w:rsidR="003C520C" w:rsidRPr="00BA5EA4">
              <w:rPr>
                <w:lang w:val="en-US"/>
              </w:rPr>
              <w:t xml:space="preserve"> 2017.gada 28.</w:t>
            </w:r>
            <w:r>
              <w:rPr>
                <w:lang w:val="en-US"/>
              </w:rPr>
              <w:t xml:space="preserve"> </w:t>
            </w:r>
            <w:proofErr w:type="spellStart"/>
            <w:r w:rsidR="003C520C" w:rsidRPr="00BA5EA4">
              <w:rPr>
                <w:lang w:val="en-US"/>
              </w:rPr>
              <w:t>februāra</w:t>
            </w:r>
            <w:proofErr w:type="spellEnd"/>
            <w:r w:rsidR="003C520C" w:rsidRPr="00BA5EA4">
              <w:rPr>
                <w:lang w:val="en-US"/>
              </w:rPr>
              <w:t xml:space="preserve"> </w:t>
            </w:r>
            <w:proofErr w:type="spellStart"/>
            <w:r w:rsidR="003C520C" w:rsidRPr="00BA5EA4">
              <w:rPr>
                <w:lang w:val="en-US"/>
              </w:rPr>
              <w:t>sēd</w:t>
            </w:r>
            <w:r>
              <w:rPr>
                <w:lang w:val="en-US"/>
              </w:rPr>
              <w:t>ē</w:t>
            </w:r>
            <w:proofErr w:type="spellEnd"/>
            <w:r>
              <w:rPr>
                <w:lang w:val="en-US"/>
              </w:rPr>
              <w:t xml:space="preserve"> </w:t>
            </w:r>
            <w:proofErr w:type="spellStart"/>
            <w:r>
              <w:rPr>
                <w:lang w:val="en-US"/>
              </w:rPr>
              <w:t>nolemto</w:t>
            </w:r>
            <w:proofErr w:type="spellEnd"/>
            <w:r>
              <w:rPr>
                <w:lang w:val="en-US"/>
              </w:rPr>
              <w:t xml:space="preserve"> (</w:t>
            </w:r>
            <w:proofErr w:type="spellStart"/>
            <w:r>
              <w:rPr>
                <w:lang w:val="en-US"/>
              </w:rPr>
              <w:t>pr</w:t>
            </w:r>
            <w:r w:rsidR="003C520C" w:rsidRPr="00BA5EA4">
              <w:rPr>
                <w:lang w:val="en-US"/>
              </w:rPr>
              <w:t>ot.</w:t>
            </w:r>
            <w:proofErr w:type="spellEnd"/>
            <w:r>
              <w:rPr>
                <w:lang w:val="en-US"/>
              </w:rPr>
              <w:t xml:space="preserve"> </w:t>
            </w:r>
            <w:r w:rsidR="003C520C" w:rsidRPr="00BA5EA4">
              <w:rPr>
                <w:lang w:val="en-US"/>
              </w:rPr>
              <w:t>10 29.</w:t>
            </w:r>
            <w:r>
              <w:rPr>
                <w:lang w:val="en-US"/>
              </w:rPr>
              <w:t xml:space="preserve"> </w:t>
            </w:r>
            <w:r w:rsidR="003C520C" w:rsidRPr="00BA5EA4">
              <w:rPr>
                <w:bCs/>
                <w:lang w:val="en-US"/>
              </w:rPr>
              <w:t>§)</w:t>
            </w:r>
            <w:r>
              <w:rPr>
                <w:bCs/>
                <w:lang w:val="en-US"/>
              </w:rPr>
              <w:t xml:space="preserve"> </w:t>
            </w:r>
            <w:proofErr w:type="spellStart"/>
            <w:r>
              <w:rPr>
                <w:bCs/>
                <w:lang w:val="en-US"/>
              </w:rPr>
              <w:t>proktollēmuma</w:t>
            </w:r>
            <w:proofErr w:type="spellEnd"/>
            <w:r>
              <w:rPr>
                <w:bCs/>
                <w:lang w:val="en-US"/>
              </w:rPr>
              <w:t xml:space="preserve"> 2.punkts</w:t>
            </w:r>
            <w:r w:rsidR="003C520C" w:rsidRPr="00BA5EA4">
              <w:rPr>
                <w:lang w:val="en-US"/>
              </w:rPr>
              <w:t xml:space="preserve">, </w:t>
            </w:r>
            <w:proofErr w:type="spellStart"/>
            <w:r w:rsidR="003C520C" w:rsidRPr="00BA5EA4">
              <w:rPr>
                <w:lang w:val="en-US"/>
              </w:rPr>
              <w:t>ar</w:t>
            </w:r>
            <w:proofErr w:type="spellEnd"/>
            <w:r w:rsidR="003C520C" w:rsidRPr="00BA5EA4">
              <w:rPr>
                <w:lang w:val="en-US"/>
              </w:rPr>
              <w:t xml:space="preserve"> </w:t>
            </w:r>
            <w:proofErr w:type="spellStart"/>
            <w:r w:rsidR="003C520C" w:rsidRPr="00BA5EA4">
              <w:rPr>
                <w:lang w:val="en-US"/>
              </w:rPr>
              <w:t>kuru</w:t>
            </w:r>
            <w:proofErr w:type="spellEnd"/>
            <w:r w:rsidR="003C520C" w:rsidRPr="00BA5EA4">
              <w:rPr>
                <w:lang w:val="en-US"/>
              </w:rPr>
              <w:t xml:space="preserve"> </w:t>
            </w:r>
            <w:proofErr w:type="spellStart"/>
            <w:r w:rsidR="003C520C" w:rsidRPr="00BA5EA4">
              <w:rPr>
                <w:lang w:val="en-US"/>
              </w:rPr>
              <w:t>Satiksmes</w:t>
            </w:r>
            <w:proofErr w:type="spellEnd"/>
            <w:r w:rsidR="003C520C" w:rsidRPr="00BA5EA4">
              <w:rPr>
                <w:lang w:val="en-US"/>
              </w:rPr>
              <w:t xml:space="preserve"> </w:t>
            </w:r>
            <w:proofErr w:type="spellStart"/>
            <w:r w:rsidR="003C520C" w:rsidRPr="00BA5EA4">
              <w:rPr>
                <w:lang w:val="en-US"/>
              </w:rPr>
              <w:t>ministrijai</w:t>
            </w:r>
            <w:proofErr w:type="spellEnd"/>
            <w:r w:rsidR="003C520C" w:rsidRPr="00BA5EA4">
              <w:rPr>
                <w:lang w:val="en-US"/>
              </w:rPr>
              <w:t xml:space="preserve"> </w:t>
            </w:r>
            <w:proofErr w:type="spellStart"/>
            <w:r w:rsidR="003C520C" w:rsidRPr="00BA5EA4">
              <w:rPr>
                <w:lang w:val="en-US"/>
              </w:rPr>
              <w:t>uzdots</w:t>
            </w:r>
            <w:proofErr w:type="spellEnd"/>
            <w:r w:rsidR="003C520C" w:rsidRPr="00BA5EA4">
              <w:rPr>
                <w:lang w:val="en-US"/>
              </w:rPr>
              <w:t xml:space="preserve"> </w:t>
            </w:r>
            <w:proofErr w:type="spellStart"/>
            <w:r w:rsidR="003C520C" w:rsidRPr="00BA5EA4">
              <w:rPr>
                <w:lang w:val="en-US"/>
              </w:rPr>
              <w:t>sagatavot</w:t>
            </w:r>
            <w:proofErr w:type="spellEnd"/>
            <w:r w:rsidR="003C520C" w:rsidRPr="00BA5EA4">
              <w:rPr>
                <w:lang w:val="en-US"/>
              </w:rPr>
              <w:t xml:space="preserve"> un </w:t>
            </w:r>
            <w:proofErr w:type="spellStart"/>
            <w:r w:rsidR="003C520C" w:rsidRPr="00BA5EA4">
              <w:rPr>
                <w:lang w:val="en-US"/>
              </w:rPr>
              <w:t>līdz</w:t>
            </w:r>
            <w:proofErr w:type="spellEnd"/>
            <w:r w:rsidR="003C520C" w:rsidRPr="00BA5EA4">
              <w:rPr>
                <w:lang w:val="en-US"/>
              </w:rPr>
              <w:t xml:space="preserve"> 2017.</w:t>
            </w:r>
            <w:r>
              <w:rPr>
                <w:lang w:val="en-US"/>
              </w:rPr>
              <w:t xml:space="preserve"> </w:t>
            </w:r>
            <w:proofErr w:type="spellStart"/>
            <w:r w:rsidR="003C520C" w:rsidRPr="00BA5EA4">
              <w:rPr>
                <w:lang w:val="en-US"/>
              </w:rPr>
              <w:t>gada</w:t>
            </w:r>
            <w:proofErr w:type="spellEnd"/>
            <w:r w:rsidR="003C520C" w:rsidRPr="00BA5EA4">
              <w:rPr>
                <w:lang w:val="en-US"/>
              </w:rPr>
              <w:t xml:space="preserve"> 1.</w:t>
            </w:r>
            <w:r>
              <w:rPr>
                <w:lang w:val="en-US"/>
              </w:rPr>
              <w:t xml:space="preserve"> </w:t>
            </w:r>
            <w:proofErr w:type="spellStart"/>
            <w:r w:rsidR="003C520C" w:rsidRPr="00BA5EA4">
              <w:rPr>
                <w:lang w:val="en-US"/>
              </w:rPr>
              <w:t>jūnijam</w:t>
            </w:r>
            <w:proofErr w:type="spellEnd"/>
            <w:r w:rsidR="003C520C" w:rsidRPr="00BA5EA4">
              <w:rPr>
                <w:lang w:val="en-US"/>
              </w:rPr>
              <w:t xml:space="preserve"> </w:t>
            </w:r>
            <w:proofErr w:type="spellStart"/>
            <w:r w:rsidR="003C520C" w:rsidRPr="00BA5EA4">
              <w:rPr>
                <w:lang w:val="en-US"/>
              </w:rPr>
              <w:t>iesniegt</w:t>
            </w:r>
            <w:proofErr w:type="spellEnd"/>
            <w:r w:rsidR="003C520C" w:rsidRPr="00BA5EA4">
              <w:rPr>
                <w:lang w:val="en-US"/>
              </w:rPr>
              <w:t xml:space="preserve"> </w:t>
            </w:r>
            <w:proofErr w:type="spellStart"/>
            <w:r w:rsidR="003C520C" w:rsidRPr="00BA5EA4">
              <w:rPr>
                <w:lang w:val="en-US"/>
              </w:rPr>
              <w:t>izskatīšanai</w:t>
            </w:r>
            <w:proofErr w:type="spellEnd"/>
            <w:r w:rsidR="003C520C" w:rsidRPr="00BA5EA4">
              <w:rPr>
                <w:lang w:val="en-US"/>
              </w:rPr>
              <w:t xml:space="preserve"> </w:t>
            </w:r>
            <w:proofErr w:type="spellStart"/>
            <w:r w:rsidR="003C520C" w:rsidRPr="00BA5EA4">
              <w:rPr>
                <w:lang w:val="en-US"/>
              </w:rPr>
              <w:t>Ministru</w:t>
            </w:r>
            <w:proofErr w:type="spellEnd"/>
            <w:r w:rsidR="003C520C" w:rsidRPr="00BA5EA4">
              <w:rPr>
                <w:lang w:val="en-US"/>
              </w:rPr>
              <w:t xml:space="preserve"> </w:t>
            </w:r>
            <w:proofErr w:type="spellStart"/>
            <w:r w:rsidR="003C520C" w:rsidRPr="00BA5EA4">
              <w:rPr>
                <w:lang w:val="en-US"/>
              </w:rPr>
              <w:t>kabinetā</w:t>
            </w:r>
            <w:proofErr w:type="spellEnd"/>
            <w:r w:rsidR="003C520C" w:rsidRPr="00BA5EA4">
              <w:rPr>
                <w:lang w:val="en-US"/>
              </w:rPr>
              <w:t xml:space="preserve"> </w:t>
            </w:r>
            <w:proofErr w:type="spellStart"/>
            <w:r w:rsidR="003C520C" w:rsidRPr="00BA5EA4">
              <w:rPr>
                <w:lang w:val="en-US"/>
              </w:rPr>
              <w:t>kā</w:t>
            </w:r>
            <w:proofErr w:type="spellEnd"/>
            <w:r w:rsidR="003C520C" w:rsidRPr="00BA5EA4">
              <w:rPr>
                <w:lang w:val="en-US"/>
              </w:rPr>
              <w:t xml:space="preserve"> </w:t>
            </w:r>
            <w:proofErr w:type="spellStart"/>
            <w:r w:rsidR="003C520C" w:rsidRPr="00BA5EA4">
              <w:rPr>
                <w:lang w:val="en-US"/>
              </w:rPr>
              <w:t>Ministru</w:t>
            </w:r>
            <w:proofErr w:type="spellEnd"/>
            <w:r w:rsidR="003C520C" w:rsidRPr="00BA5EA4">
              <w:rPr>
                <w:lang w:val="en-US"/>
              </w:rPr>
              <w:t xml:space="preserve"> </w:t>
            </w:r>
            <w:proofErr w:type="spellStart"/>
            <w:r w:rsidR="003C520C" w:rsidRPr="00BA5EA4">
              <w:rPr>
                <w:lang w:val="en-US"/>
              </w:rPr>
              <w:t>kabineta</w:t>
            </w:r>
            <w:proofErr w:type="spellEnd"/>
            <w:r w:rsidR="003C520C" w:rsidRPr="00BA5EA4">
              <w:rPr>
                <w:lang w:val="en-US"/>
              </w:rPr>
              <w:t xml:space="preserve"> </w:t>
            </w:r>
            <w:proofErr w:type="spellStart"/>
            <w:r w:rsidR="003C520C" w:rsidRPr="00BA5EA4">
              <w:rPr>
                <w:lang w:val="en-US"/>
              </w:rPr>
              <w:t>lietu</w:t>
            </w:r>
            <w:proofErr w:type="spellEnd"/>
            <w:r w:rsidR="003C520C" w:rsidRPr="00BA5EA4">
              <w:rPr>
                <w:lang w:val="en-US"/>
              </w:rPr>
              <w:t xml:space="preserve"> </w:t>
            </w:r>
            <w:proofErr w:type="spellStart"/>
            <w:r w:rsidR="003C520C" w:rsidRPr="00BA5EA4">
              <w:rPr>
                <w:lang w:val="en-US"/>
              </w:rPr>
              <w:t>tiesību</w:t>
            </w:r>
            <w:proofErr w:type="spellEnd"/>
            <w:r w:rsidR="003C520C" w:rsidRPr="00BA5EA4">
              <w:rPr>
                <w:lang w:val="en-US"/>
              </w:rPr>
              <w:t xml:space="preserve"> </w:t>
            </w:r>
            <w:proofErr w:type="spellStart"/>
            <w:r w:rsidR="003C520C" w:rsidRPr="00BA5EA4">
              <w:rPr>
                <w:lang w:val="en-US"/>
              </w:rPr>
              <w:t>akta</w:t>
            </w:r>
            <w:proofErr w:type="spellEnd"/>
            <w:r w:rsidR="003C520C" w:rsidRPr="00BA5EA4">
              <w:rPr>
                <w:lang w:val="en-US"/>
              </w:rPr>
              <w:t xml:space="preserve"> </w:t>
            </w:r>
            <w:proofErr w:type="spellStart"/>
            <w:r w:rsidR="003C520C" w:rsidRPr="00BA5EA4">
              <w:rPr>
                <w:lang w:val="en-US"/>
              </w:rPr>
              <w:t>projektu</w:t>
            </w:r>
            <w:proofErr w:type="spellEnd"/>
            <w:r w:rsidR="003C520C" w:rsidRPr="00BA5EA4">
              <w:rPr>
                <w:lang w:val="en-US"/>
              </w:rPr>
              <w:t xml:space="preserve"> par </w:t>
            </w:r>
            <w:proofErr w:type="spellStart"/>
            <w:r w:rsidR="003C520C" w:rsidRPr="00BA5EA4">
              <w:rPr>
                <w:lang w:val="en-US"/>
              </w:rPr>
              <w:t>grozījumiem</w:t>
            </w:r>
            <w:proofErr w:type="spellEnd"/>
            <w:r w:rsidR="003C520C" w:rsidRPr="00BA5EA4">
              <w:rPr>
                <w:lang w:val="en-US"/>
              </w:rPr>
              <w:t xml:space="preserve"> MK </w:t>
            </w:r>
            <w:proofErr w:type="spellStart"/>
            <w:r w:rsidR="003C520C" w:rsidRPr="00BA5EA4">
              <w:rPr>
                <w:lang w:val="en-US"/>
              </w:rPr>
              <w:t>noteikumos</w:t>
            </w:r>
            <w:proofErr w:type="spellEnd"/>
            <w:r w:rsidR="003C520C" w:rsidRPr="00BA5EA4">
              <w:rPr>
                <w:lang w:val="en-US"/>
              </w:rPr>
              <w:t xml:space="preserve"> </w:t>
            </w:r>
            <w:proofErr w:type="spellStart"/>
            <w:r w:rsidR="003C520C" w:rsidRPr="00BA5EA4">
              <w:rPr>
                <w:lang w:val="en-US"/>
              </w:rPr>
              <w:t>Nr</w:t>
            </w:r>
            <w:proofErr w:type="spellEnd"/>
            <w:r w:rsidR="003C520C" w:rsidRPr="00BA5EA4">
              <w:rPr>
                <w:lang w:val="en-US"/>
              </w:rPr>
              <w:t>.</w:t>
            </w:r>
            <w:r>
              <w:rPr>
                <w:lang w:val="en-US"/>
              </w:rPr>
              <w:t xml:space="preserve"> </w:t>
            </w:r>
            <w:r w:rsidR="003C520C" w:rsidRPr="00BA5EA4">
              <w:rPr>
                <w:lang w:val="en-US"/>
              </w:rPr>
              <w:t xml:space="preserve">153, </w:t>
            </w:r>
            <w:proofErr w:type="spellStart"/>
            <w:r w:rsidR="00AF5CAC" w:rsidRPr="00BA5EA4">
              <w:rPr>
                <w:lang w:val="en-US"/>
              </w:rPr>
              <w:t>n</w:t>
            </w:r>
            <w:r w:rsidR="003C520C" w:rsidRPr="00BA5EA4">
              <w:rPr>
                <w:lang w:val="en-US"/>
              </w:rPr>
              <w:t>oteikumos</w:t>
            </w:r>
            <w:proofErr w:type="spellEnd"/>
            <w:r w:rsidR="00AF5CAC" w:rsidRPr="00BA5EA4">
              <w:rPr>
                <w:lang w:val="en-US"/>
              </w:rPr>
              <w:t xml:space="preserve"> </w:t>
            </w:r>
            <w:proofErr w:type="spellStart"/>
            <w:r w:rsidR="00AF5CAC" w:rsidRPr="00BA5EA4">
              <w:rPr>
                <w:lang w:val="en-US"/>
              </w:rPr>
              <w:t>ietverta</w:t>
            </w:r>
            <w:proofErr w:type="spellEnd"/>
            <w:r w:rsidR="00AF5CAC" w:rsidRPr="00BA5EA4">
              <w:rPr>
                <w:lang w:val="en-US"/>
              </w:rPr>
              <w:t xml:space="preserve"> </w:t>
            </w:r>
            <w:proofErr w:type="spellStart"/>
            <w:r w:rsidR="00AF5CAC" w:rsidRPr="00BA5EA4">
              <w:rPr>
                <w:lang w:val="en-US"/>
              </w:rPr>
              <w:t>jaun</w:t>
            </w:r>
            <w:r w:rsidR="00072642" w:rsidRPr="00BA5EA4">
              <w:rPr>
                <w:lang w:val="en-US"/>
              </w:rPr>
              <w:t>a</w:t>
            </w:r>
            <w:proofErr w:type="spellEnd"/>
            <w:r w:rsidR="00AF5CAC" w:rsidRPr="00BA5EA4">
              <w:rPr>
                <w:lang w:val="en-US"/>
              </w:rPr>
              <w:t xml:space="preserve"> </w:t>
            </w:r>
            <w:proofErr w:type="spellStart"/>
            <w:r w:rsidR="00AF5CAC" w:rsidRPr="00BA5EA4">
              <w:rPr>
                <w:lang w:val="en-US"/>
              </w:rPr>
              <w:t>braukšanas</w:t>
            </w:r>
            <w:proofErr w:type="spellEnd"/>
            <w:r w:rsidR="00AF5CAC" w:rsidRPr="00BA5EA4">
              <w:rPr>
                <w:lang w:val="en-US"/>
              </w:rPr>
              <w:t xml:space="preserve"> </w:t>
            </w:r>
            <w:proofErr w:type="spellStart"/>
            <w:r w:rsidR="00AF5CAC" w:rsidRPr="00BA5EA4">
              <w:rPr>
                <w:lang w:val="en-US"/>
              </w:rPr>
              <w:t>maksas</w:t>
            </w:r>
            <w:proofErr w:type="spellEnd"/>
            <w:r w:rsidR="00AF5CAC" w:rsidRPr="00BA5EA4">
              <w:rPr>
                <w:lang w:val="en-US"/>
              </w:rPr>
              <w:t xml:space="preserve"> </w:t>
            </w:r>
            <w:proofErr w:type="spellStart"/>
            <w:r w:rsidR="00AF5CAC" w:rsidRPr="00BA5EA4">
              <w:rPr>
                <w:lang w:val="en-US"/>
              </w:rPr>
              <w:t>atvieglojumu</w:t>
            </w:r>
            <w:proofErr w:type="spellEnd"/>
            <w:r w:rsidR="00AF5CAC" w:rsidRPr="00BA5EA4">
              <w:rPr>
                <w:lang w:val="en-US"/>
              </w:rPr>
              <w:t xml:space="preserve"> </w:t>
            </w:r>
            <w:proofErr w:type="spellStart"/>
            <w:r w:rsidR="00AF5CAC" w:rsidRPr="00BA5EA4">
              <w:rPr>
                <w:lang w:val="en-US"/>
              </w:rPr>
              <w:t>saņēmēju</w:t>
            </w:r>
            <w:proofErr w:type="spellEnd"/>
            <w:r w:rsidR="00AF5CAC" w:rsidRPr="00BA5EA4">
              <w:rPr>
                <w:lang w:val="en-US"/>
              </w:rPr>
              <w:t xml:space="preserve"> </w:t>
            </w:r>
            <w:proofErr w:type="spellStart"/>
            <w:r w:rsidR="00AF5CAC" w:rsidRPr="00BA5EA4">
              <w:rPr>
                <w:lang w:val="en-US"/>
              </w:rPr>
              <w:t>kategorij</w:t>
            </w:r>
            <w:r w:rsidR="00072642" w:rsidRPr="00BA5EA4">
              <w:rPr>
                <w:lang w:val="en-US"/>
              </w:rPr>
              <w:t>a</w:t>
            </w:r>
            <w:proofErr w:type="spellEnd"/>
            <w:r w:rsidR="00AF5CAC" w:rsidRPr="00BA5EA4">
              <w:rPr>
                <w:lang w:val="en-US"/>
              </w:rPr>
              <w:t xml:space="preserve"> "</w:t>
            </w:r>
            <w:proofErr w:type="spellStart"/>
            <w:r w:rsidR="00AF5CAC" w:rsidRPr="00BA5EA4">
              <w:rPr>
                <w:lang w:val="en-US"/>
              </w:rPr>
              <w:t>daudzbērnu</w:t>
            </w:r>
            <w:proofErr w:type="spellEnd"/>
            <w:r w:rsidR="00AF5CAC" w:rsidRPr="00BA5EA4">
              <w:rPr>
                <w:lang w:val="en-US"/>
              </w:rPr>
              <w:t xml:space="preserve"> </w:t>
            </w:r>
            <w:proofErr w:type="spellStart"/>
            <w:r w:rsidR="00AF5CAC" w:rsidRPr="00BA5EA4">
              <w:rPr>
                <w:lang w:val="en-US"/>
              </w:rPr>
              <w:t>ģimenes</w:t>
            </w:r>
            <w:proofErr w:type="spellEnd"/>
            <w:r w:rsidR="00AF5CAC" w:rsidRPr="00BA5EA4">
              <w:rPr>
                <w:lang w:val="en-US"/>
              </w:rPr>
              <w:t xml:space="preserve"> </w:t>
            </w:r>
            <w:proofErr w:type="spellStart"/>
            <w:r w:rsidR="00AF5CAC" w:rsidRPr="00BA5EA4">
              <w:rPr>
                <w:lang w:val="en-US"/>
              </w:rPr>
              <w:t>locekļi</w:t>
            </w:r>
            <w:proofErr w:type="spellEnd"/>
            <w:r w:rsidR="00AF5CAC" w:rsidRPr="00BA5EA4">
              <w:rPr>
                <w:lang w:val="en-US"/>
              </w:rPr>
              <w:t xml:space="preserve">". </w:t>
            </w:r>
            <w:proofErr w:type="spellStart"/>
            <w:r w:rsidR="00AF5CAC" w:rsidRPr="00BA5EA4">
              <w:rPr>
                <w:lang w:val="en-US"/>
              </w:rPr>
              <w:t>P</w:t>
            </w:r>
            <w:r w:rsidR="003C520C" w:rsidRPr="00BA5EA4">
              <w:rPr>
                <w:lang w:val="en-US"/>
              </w:rPr>
              <w:t>aredzēts</w:t>
            </w:r>
            <w:proofErr w:type="spellEnd"/>
            <w:r w:rsidR="003C520C" w:rsidRPr="00BA5EA4">
              <w:rPr>
                <w:lang w:val="en-US"/>
              </w:rPr>
              <w:t xml:space="preserve">, </w:t>
            </w:r>
            <w:proofErr w:type="spellStart"/>
            <w:r w:rsidR="003C520C" w:rsidRPr="00BA5EA4">
              <w:rPr>
                <w:lang w:val="en-US"/>
              </w:rPr>
              <w:t>ka</w:t>
            </w:r>
            <w:proofErr w:type="spellEnd"/>
            <w:r w:rsidR="003C520C" w:rsidRPr="00BA5EA4">
              <w:rPr>
                <w:lang w:val="en-US"/>
              </w:rPr>
              <w:t xml:space="preserve"> </w:t>
            </w:r>
            <w:proofErr w:type="spellStart"/>
            <w:r w:rsidR="003C520C" w:rsidRPr="00BA5EA4">
              <w:rPr>
                <w:lang w:val="en-US"/>
              </w:rPr>
              <w:t>daudzbērnu</w:t>
            </w:r>
            <w:proofErr w:type="spellEnd"/>
            <w:r w:rsidR="003C520C" w:rsidRPr="00BA5EA4">
              <w:rPr>
                <w:lang w:val="en-US"/>
              </w:rPr>
              <w:t xml:space="preserve"> </w:t>
            </w:r>
            <w:proofErr w:type="spellStart"/>
            <w:r w:rsidR="003C520C" w:rsidRPr="00BA5EA4">
              <w:rPr>
                <w:lang w:val="en-US"/>
              </w:rPr>
              <w:t>ģimenes</w:t>
            </w:r>
            <w:proofErr w:type="spellEnd"/>
            <w:r w:rsidR="003C520C" w:rsidRPr="00BA5EA4">
              <w:rPr>
                <w:lang w:val="en-US"/>
              </w:rPr>
              <w:t xml:space="preserve"> </w:t>
            </w:r>
            <w:proofErr w:type="spellStart"/>
            <w:r w:rsidR="003C520C" w:rsidRPr="00BA5EA4">
              <w:rPr>
                <w:lang w:val="en-US"/>
              </w:rPr>
              <w:t>locekļiem</w:t>
            </w:r>
            <w:proofErr w:type="spellEnd"/>
            <w:r w:rsidR="003C520C" w:rsidRPr="00BA5EA4">
              <w:rPr>
                <w:lang w:val="en-US"/>
              </w:rPr>
              <w:t xml:space="preserve"> </w:t>
            </w:r>
            <w:proofErr w:type="spellStart"/>
            <w:r w:rsidR="003C520C" w:rsidRPr="00BA5EA4">
              <w:rPr>
                <w:lang w:val="en-US"/>
              </w:rPr>
              <w:t>noteiktā</w:t>
            </w:r>
            <w:proofErr w:type="spellEnd"/>
            <w:r w:rsidR="003C520C" w:rsidRPr="00BA5EA4">
              <w:rPr>
                <w:lang w:val="en-US"/>
              </w:rPr>
              <w:t xml:space="preserve"> </w:t>
            </w:r>
            <w:proofErr w:type="spellStart"/>
            <w:r w:rsidR="003C520C" w:rsidRPr="00BA5EA4">
              <w:rPr>
                <w:lang w:val="en-US"/>
              </w:rPr>
              <w:t>kārtībā</w:t>
            </w:r>
            <w:proofErr w:type="spellEnd"/>
            <w:r w:rsidR="003C520C" w:rsidRPr="00BA5EA4">
              <w:rPr>
                <w:lang w:val="en-US"/>
              </w:rPr>
              <w:t xml:space="preserve"> </w:t>
            </w:r>
            <w:proofErr w:type="spellStart"/>
            <w:r w:rsidR="003C520C" w:rsidRPr="00BA5EA4">
              <w:rPr>
                <w:lang w:val="en-US"/>
              </w:rPr>
              <w:t>būs</w:t>
            </w:r>
            <w:proofErr w:type="spellEnd"/>
            <w:r w:rsidR="003C520C" w:rsidRPr="00BA5EA4">
              <w:rPr>
                <w:lang w:val="en-US"/>
              </w:rPr>
              <w:t xml:space="preserve"> </w:t>
            </w:r>
            <w:proofErr w:type="spellStart"/>
            <w:r w:rsidR="003C520C" w:rsidRPr="00BA5EA4">
              <w:rPr>
                <w:lang w:val="en-US"/>
              </w:rPr>
              <w:t>tiesības</w:t>
            </w:r>
            <w:proofErr w:type="spellEnd"/>
            <w:r w:rsidR="003C520C" w:rsidRPr="00BA5EA4">
              <w:rPr>
                <w:lang w:val="en-US"/>
              </w:rPr>
              <w:t xml:space="preserve"> </w:t>
            </w:r>
            <w:proofErr w:type="spellStart"/>
            <w:r w:rsidR="003C520C" w:rsidRPr="00BA5EA4">
              <w:rPr>
                <w:lang w:val="en-US"/>
              </w:rPr>
              <w:t>saņemt</w:t>
            </w:r>
            <w:proofErr w:type="spellEnd"/>
            <w:r w:rsidR="003C520C" w:rsidRPr="00BA5EA4">
              <w:rPr>
                <w:lang w:val="en-US"/>
              </w:rPr>
              <w:t xml:space="preserve"> </w:t>
            </w:r>
            <w:proofErr w:type="spellStart"/>
            <w:r w:rsidR="00476CAE">
              <w:rPr>
                <w:lang w:val="en-US"/>
              </w:rPr>
              <w:t>braukšanas</w:t>
            </w:r>
            <w:proofErr w:type="spellEnd"/>
            <w:r w:rsidR="00476CAE">
              <w:rPr>
                <w:lang w:val="en-US"/>
              </w:rPr>
              <w:t xml:space="preserve"> </w:t>
            </w:r>
            <w:proofErr w:type="spellStart"/>
            <w:r w:rsidR="00476CAE">
              <w:rPr>
                <w:lang w:val="en-US"/>
              </w:rPr>
              <w:t>maksas</w:t>
            </w:r>
            <w:proofErr w:type="spellEnd"/>
            <w:r w:rsidR="00476CAE">
              <w:rPr>
                <w:lang w:val="en-US"/>
              </w:rPr>
              <w:t xml:space="preserve"> </w:t>
            </w:r>
            <w:proofErr w:type="spellStart"/>
            <w:r w:rsidR="00476CAE">
              <w:rPr>
                <w:lang w:val="en-US"/>
              </w:rPr>
              <w:t>atvieglojumu</w:t>
            </w:r>
            <w:proofErr w:type="spellEnd"/>
            <w:r w:rsidR="003C520C" w:rsidRPr="00BA5EA4">
              <w:rPr>
                <w:lang w:val="en-US"/>
              </w:rPr>
              <w:t xml:space="preserve"> 25% </w:t>
            </w:r>
            <w:proofErr w:type="spellStart"/>
            <w:r w:rsidR="003C520C" w:rsidRPr="00BA5EA4">
              <w:rPr>
                <w:lang w:val="en-US"/>
              </w:rPr>
              <w:t>apmērā</w:t>
            </w:r>
            <w:proofErr w:type="spellEnd"/>
            <w:r w:rsidR="003C520C" w:rsidRPr="00BA5EA4">
              <w:rPr>
                <w:lang w:val="en-US"/>
              </w:rPr>
              <w:t xml:space="preserve"> </w:t>
            </w:r>
            <w:r w:rsidR="00476CAE">
              <w:rPr>
                <w:lang w:val="en-US"/>
              </w:rPr>
              <w:t>no</w:t>
            </w:r>
            <w:r w:rsidR="003C520C" w:rsidRPr="00BA5EA4">
              <w:rPr>
                <w:lang w:val="en-US"/>
              </w:rPr>
              <w:t xml:space="preserve"> </w:t>
            </w:r>
            <w:proofErr w:type="spellStart"/>
            <w:r w:rsidR="003C520C" w:rsidRPr="00BA5EA4">
              <w:rPr>
                <w:lang w:val="en-US"/>
              </w:rPr>
              <w:t>braukšanas</w:t>
            </w:r>
            <w:proofErr w:type="spellEnd"/>
            <w:r w:rsidR="003C520C" w:rsidRPr="00BA5EA4">
              <w:rPr>
                <w:lang w:val="en-US"/>
              </w:rPr>
              <w:t xml:space="preserve"> </w:t>
            </w:r>
            <w:proofErr w:type="spellStart"/>
            <w:r w:rsidR="003C520C" w:rsidRPr="00BA5EA4">
              <w:rPr>
                <w:lang w:val="en-US"/>
              </w:rPr>
              <w:t>izdevumiem</w:t>
            </w:r>
            <w:proofErr w:type="spellEnd"/>
            <w:r w:rsidR="003C520C" w:rsidRPr="00BA5EA4">
              <w:rPr>
                <w:lang w:val="en-US"/>
              </w:rPr>
              <w:t xml:space="preserve">, </w:t>
            </w:r>
            <w:proofErr w:type="spellStart"/>
            <w:r w:rsidR="003C520C" w:rsidRPr="00BA5EA4">
              <w:rPr>
                <w:lang w:val="en-US"/>
              </w:rPr>
              <w:t>izmantojot</w:t>
            </w:r>
            <w:proofErr w:type="spellEnd"/>
            <w:r w:rsidR="003C520C" w:rsidRPr="00BA5EA4">
              <w:rPr>
                <w:lang w:val="en-US"/>
              </w:rPr>
              <w:t xml:space="preserve"> </w:t>
            </w:r>
            <w:proofErr w:type="spellStart"/>
            <w:r w:rsidR="003C520C" w:rsidRPr="00BA5EA4">
              <w:rPr>
                <w:lang w:val="en-US"/>
              </w:rPr>
              <w:t>sabiedrisko</w:t>
            </w:r>
            <w:proofErr w:type="spellEnd"/>
            <w:r w:rsidR="003C520C" w:rsidRPr="00BA5EA4">
              <w:rPr>
                <w:lang w:val="en-US"/>
              </w:rPr>
              <w:t xml:space="preserve"> </w:t>
            </w:r>
            <w:proofErr w:type="spellStart"/>
            <w:r w:rsidR="003C520C" w:rsidRPr="00BA5EA4">
              <w:rPr>
                <w:lang w:val="en-US"/>
              </w:rPr>
              <w:t>transportu</w:t>
            </w:r>
            <w:proofErr w:type="spellEnd"/>
            <w:r w:rsidR="003C520C" w:rsidRPr="00BA5EA4">
              <w:rPr>
                <w:lang w:val="en-US"/>
              </w:rPr>
              <w:t xml:space="preserve"> </w:t>
            </w:r>
            <w:proofErr w:type="spellStart"/>
            <w:r w:rsidR="003C520C" w:rsidRPr="00BA5EA4">
              <w:rPr>
                <w:lang w:val="en-US"/>
              </w:rPr>
              <w:t>reģionālās</w:t>
            </w:r>
            <w:proofErr w:type="spellEnd"/>
            <w:r w:rsidR="003C520C" w:rsidRPr="00BA5EA4">
              <w:rPr>
                <w:lang w:val="en-US"/>
              </w:rPr>
              <w:t xml:space="preserve"> </w:t>
            </w:r>
            <w:proofErr w:type="spellStart"/>
            <w:r w:rsidR="003C520C" w:rsidRPr="00BA5EA4">
              <w:rPr>
                <w:lang w:val="en-US"/>
              </w:rPr>
              <w:t>nozīmes</w:t>
            </w:r>
            <w:proofErr w:type="spellEnd"/>
            <w:r w:rsidR="003C520C" w:rsidRPr="00BA5EA4">
              <w:rPr>
                <w:lang w:val="en-US"/>
              </w:rPr>
              <w:t xml:space="preserve"> </w:t>
            </w:r>
            <w:proofErr w:type="spellStart"/>
            <w:r w:rsidR="003C520C" w:rsidRPr="00BA5EA4">
              <w:rPr>
                <w:lang w:val="en-US"/>
              </w:rPr>
              <w:t>maršrutu</w:t>
            </w:r>
            <w:proofErr w:type="spellEnd"/>
            <w:r w:rsidR="003C520C" w:rsidRPr="00BA5EA4">
              <w:rPr>
                <w:lang w:val="en-US"/>
              </w:rPr>
              <w:t xml:space="preserve"> </w:t>
            </w:r>
            <w:proofErr w:type="spellStart"/>
            <w:r w:rsidR="003C520C" w:rsidRPr="00BA5EA4">
              <w:rPr>
                <w:lang w:val="en-US"/>
              </w:rPr>
              <w:t>tīkla</w:t>
            </w:r>
            <w:proofErr w:type="spellEnd"/>
            <w:r w:rsidR="003C520C" w:rsidRPr="00BA5EA4">
              <w:rPr>
                <w:lang w:val="en-US"/>
              </w:rPr>
              <w:t xml:space="preserve"> </w:t>
            </w:r>
            <w:proofErr w:type="spellStart"/>
            <w:r w:rsidR="003C520C" w:rsidRPr="00BA5EA4">
              <w:rPr>
                <w:lang w:val="en-US"/>
              </w:rPr>
              <w:t>maršrutos</w:t>
            </w:r>
            <w:proofErr w:type="spellEnd"/>
            <w:r w:rsidR="003C520C" w:rsidRPr="00BA5EA4">
              <w:rPr>
                <w:lang w:val="en-US"/>
              </w:rPr>
              <w:t xml:space="preserve"> no 2017.</w:t>
            </w:r>
            <w:r>
              <w:rPr>
                <w:lang w:val="en-US"/>
              </w:rPr>
              <w:t xml:space="preserve"> </w:t>
            </w:r>
            <w:proofErr w:type="spellStart"/>
            <w:r w:rsidR="003C520C" w:rsidRPr="00BA5EA4">
              <w:rPr>
                <w:lang w:val="en-US"/>
              </w:rPr>
              <w:t>gada</w:t>
            </w:r>
            <w:proofErr w:type="spellEnd"/>
            <w:r w:rsidR="003C520C" w:rsidRPr="00BA5EA4">
              <w:rPr>
                <w:lang w:val="en-US"/>
              </w:rPr>
              <w:t xml:space="preserve"> 1.</w:t>
            </w:r>
            <w:r>
              <w:rPr>
                <w:lang w:val="en-US"/>
              </w:rPr>
              <w:t xml:space="preserve"> </w:t>
            </w:r>
            <w:proofErr w:type="spellStart"/>
            <w:r w:rsidR="00B01B5B">
              <w:rPr>
                <w:lang w:val="en-US"/>
              </w:rPr>
              <w:t>j</w:t>
            </w:r>
            <w:r w:rsidR="00476CAE">
              <w:rPr>
                <w:lang w:val="en-US"/>
              </w:rPr>
              <w:t>ūlija</w:t>
            </w:r>
            <w:proofErr w:type="spellEnd"/>
            <w:r w:rsidR="00476CAE">
              <w:rPr>
                <w:lang w:val="en-US"/>
              </w:rPr>
              <w:t>.</w:t>
            </w:r>
            <w:r w:rsidR="003C520C" w:rsidRPr="00BA5EA4">
              <w:rPr>
                <w:lang w:val="en-US"/>
              </w:rPr>
              <w:t xml:space="preserve"> </w:t>
            </w:r>
            <w:proofErr w:type="spellStart"/>
            <w:r w:rsidR="00476CAE">
              <w:rPr>
                <w:bCs/>
                <w:lang w:val="en-US"/>
              </w:rPr>
              <w:t>B</w:t>
            </w:r>
            <w:r w:rsidR="003C520C" w:rsidRPr="00BA5EA4">
              <w:rPr>
                <w:bCs/>
                <w:lang w:val="en-US"/>
              </w:rPr>
              <w:t>raukšanas</w:t>
            </w:r>
            <w:proofErr w:type="spellEnd"/>
            <w:r w:rsidR="003C520C" w:rsidRPr="00BA5EA4">
              <w:rPr>
                <w:bCs/>
                <w:lang w:val="en-US"/>
              </w:rPr>
              <w:t xml:space="preserve"> </w:t>
            </w:r>
            <w:proofErr w:type="spellStart"/>
            <w:r w:rsidR="003C520C" w:rsidRPr="00BA5EA4">
              <w:rPr>
                <w:bCs/>
                <w:lang w:val="en-US"/>
              </w:rPr>
              <w:t>biļetes</w:t>
            </w:r>
            <w:proofErr w:type="spellEnd"/>
            <w:r w:rsidR="003C520C" w:rsidRPr="00BA5EA4">
              <w:rPr>
                <w:bCs/>
                <w:lang w:val="en-US"/>
              </w:rPr>
              <w:t xml:space="preserve"> </w:t>
            </w:r>
            <w:proofErr w:type="spellStart"/>
            <w:r w:rsidR="003C520C" w:rsidRPr="00BA5EA4">
              <w:rPr>
                <w:bCs/>
                <w:lang w:val="en-US"/>
              </w:rPr>
              <w:t>tik</w:t>
            </w:r>
            <w:r w:rsidR="00476CAE">
              <w:rPr>
                <w:bCs/>
                <w:lang w:val="en-US"/>
              </w:rPr>
              <w:t>s</w:t>
            </w:r>
            <w:proofErr w:type="spellEnd"/>
            <w:r w:rsidR="003C520C" w:rsidRPr="00BA5EA4">
              <w:rPr>
                <w:bCs/>
                <w:lang w:val="en-US"/>
              </w:rPr>
              <w:t xml:space="preserve"> </w:t>
            </w:r>
            <w:proofErr w:type="spellStart"/>
            <w:r w:rsidR="003C520C" w:rsidRPr="00BA5EA4">
              <w:rPr>
                <w:bCs/>
                <w:lang w:val="en-US"/>
              </w:rPr>
              <w:t>izsniegtas</w:t>
            </w:r>
            <w:proofErr w:type="spellEnd"/>
            <w:r w:rsidR="003C520C" w:rsidRPr="00BA5EA4">
              <w:rPr>
                <w:bCs/>
                <w:lang w:val="en-US"/>
              </w:rPr>
              <w:t xml:space="preserve">, </w:t>
            </w:r>
            <w:proofErr w:type="spellStart"/>
            <w:r w:rsidR="003C520C" w:rsidRPr="00BA5EA4">
              <w:rPr>
                <w:bCs/>
                <w:lang w:val="en-US"/>
              </w:rPr>
              <w:t>uzrādot</w:t>
            </w:r>
            <w:proofErr w:type="spellEnd"/>
            <w:r w:rsidR="003C520C" w:rsidRPr="00BA5EA4">
              <w:rPr>
                <w:bCs/>
                <w:lang w:val="en-US"/>
              </w:rPr>
              <w:t xml:space="preserve"> </w:t>
            </w:r>
            <w:proofErr w:type="spellStart"/>
            <w:r w:rsidR="003C520C" w:rsidRPr="00BA5EA4">
              <w:rPr>
                <w:lang w:val="en-US"/>
              </w:rPr>
              <w:t>valsts</w:t>
            </w:r>
            <w:proofErr w:type="spellEnd"/>
            <w:r w:rsidR="003C520C" w:rsidRPr="00BA5EA4">
              <w:rPr>
                <w:lang w:val="en-US"/>
              </w:rPr>
              <w:t xml:space="preserve"> </w:t>
            </w:r>
            <w:proofErr w:type="spellStart"/>
            <w:r w:rsidR="003C520C" w:rsidRPr="00BA5EA4">
              <w:rPr>
                <w:lang w:val="en-US"/>
              </w:rPr>
              <w:t>īstenoto</w:t>
            </w:r>
            <w:proofErr w:type="spellEnd"/>
            <w:r w:rsidR="003C520C" w:rsidRPr="00BA5EA4">
              <w:rPr>
                <w:lang w:val="en-US"/>
              </w:rPr>
              <w:t xml:space="preserve"> </w:t>
            </w:r>
            <w:proofErr w:type="spellStart"/>
            <w:r w:rsidR="003C520C" w:rsidRPr="00BA5EA4">
              <w:rPr>
                <w:lang w:val="en-US"/>
              </w:rPr>
              <w:t>atbalsta</w:t>
            </w:r>
            <w:proofErr w:type="spellEnd"/>
            <w:r w:rsidR="003C520C" w:rsidRPr="00BA5EA4">
              <w:rPr>
                <w:lang w:val="en-US"/>
              </w:rPr>
              <w:t xml:space="preserve"> </w:t>
            </w:r>
            <w:proofErr w:type="spellStart"/>
            <w:r w:rsidR="003C520C" w:rsidRPr="00BA5EA4">
              <w:rPr>
                <w:lang w:val="en-US"/>
              </w:rPr>
              <w:t>programmu</w:t>
            </w:r>
            <w:proofErr w:type="spellEnd"/>
            <w:r w:rsidR="003C520C" w:rsidRPr="00BA5EA4">
              <w:rPr>
                <w:lang w:val="en-US"/>
              </w:rPr>
              <w:t xml:space="preserve"> “</w:t>
            </w:r>
            <w:proofErr w:type="spellStart"/>
            <w:r w:rsidR="003C520C" w:rsidRPr="00BA5EA4">
              <w:rPr>
                <w:lang w:val="en-US"/>
              </w:rPr>
              <w:t>Latvijas</w:t>
            </w:r>
            <w:proofErr w:type="spellEnd"/>
            <w:r w:rsidR="003C520C" w:rsidRPr="00BA5EA4">
              <w:rPr>
                <w:lang w:val="en-US"/>
              </w:rPr>
              <w:t xml:space="preserve"> </w:t>
            </w:r>
            <w:proofErr w:type="spellStart"/>
            <w:r w:rsidR="003C520C" w:rsidRPr="00BA5EA4">
              <w:rPr>
                <w:lang w:val="en-US"/>
              </w:rPr>
              <w:t>Goda</w:t>
            </w:r>
            <w:proofErr w:type="spellEnd"/>
            <w:r w:rsidR="003C520C" w:rsidRPr="00BA5EA4">
              <w:rPr>
                <w:lang w:val="en-US"/>
              </w:rPr>
              <w:t xml:space="preserve"> </w:t>
            </w:r>
            <w:proofErr w:type="spellStart"/>
            <w:r w:rsidR="003C520C" w:rsidRPr="00BA5EA4">
              <w:rPr>
                <w:lang w:val="en-US"/>
              </w:rPr>
              <w:t>ģimenes</w:t>
            </w:r>
            <w:proofErr w:type="spellEnd"/>
            <w:r w:rsidR="003C520C" w:rsidRPr="00BA5EA4">
              <w:rPr>
                <w:lang w:val="en-US"/>
              </w:rPr>
              <w:t xml:space="preserve"> </w:t>
            </w:r>
            <w:proofErr w:type="spellStart"/>
            <w:r w:rsidR="003C520C" w:rsidRPr="00BA5EA4">
              <w:rPr>
                <w:lang w:val="en-US"/>
              </w:rPr>
              <w:t>apliecība</w:t>
            </w:r>
            <w:proofErr w:type="spellEnd"/>
            <w:r w:rsidR="003C520C" w:rsidRPr="00BA5EA4">
              <w:rPr>
                <w:lang w:val="en-US"/>
              </w:rPr>
              <w:t xml:space="preserve"> “3+ </w:t>
            </w:r>
            <w:proofErr w:type="spellStart"/>
            <w:r w:rsidR="003C520C" w:rsidRPr="00BA5EA4">
              <w:rPr>
                <w:lang w:val="en-US"/>
              </w:rPr>
              <w:t>Ģimenes</w:t>
            </w:r>
            <w:proofErr w:type="spellEnd"/>
            <w:r w:rsidR="003C520C" w:rsidRPr="00BA5EA4">
              <w:rPr>
                <w:lang w:val="en-US"/>
              </w:rPr>
              <w:t xml:space="preserve"> </w:t>
            </w:r>
            <w:proofErr w:type="spellStart"/>
            <w:r w:rsidR="003C520C" w:rsidRPr="00BA5EA4">
              <w:rPr>
                <w:lang w:val="en-US"/>
              </w:rPr>
              <w:t>karti</w:t>
            </w:r>
            <w:proofErr w:type="spellEnd"/>
            <w:r w:rsidR="00AF5CAC" w:rsidRPr="00BA5EA4">
              <w:rPr>
                <w:lang w:val="en-US"/>
              </w:rPr>
              <w:t>”</w:t>
            </w:r>
            <w:r w:rsidR="002144FE">
              <w:rPr>
                <w:lang w:val="en-US"/>
              </w:rPr>
              <w:t>;</w:t>
            </w:r>
          </w:p>
          <w:p w14:paraId="5BFF5697" w14:textId="31C8BBC5" w:rsidR="00D925C5" w:rsidRDefault="0099289B" w:rsidP="006763B1">
            <w:pPr>
              <w:pStyle w:val="tv213"/>
              <w:jc w:val="both"/>
            </w:pPr>
            <w:r>
              <w:t xml:space="preserve">    </w:t>
            </w:r>
            <w:r w:rsidR="0068163E" w:rsidRPr="0099289B">
              <w:t xml:space="preserve"> Noteikumu proje</w:t>
            </w:r>
            <w:r w:rsidR="0068163E">
              <w:t>k</w:t>
            </w:r>
            <w:r w:rsidR="0068163E" w:rsidRPr="0099289B">
              <w:t>tā precizēt</w:t>
            </w:r>
            <w:r w:rsidR="00595A93">
              <w:t>a norma, kas noteica braukšanas maksas atvieglojumu pirmsskolas vecuma bērniem. Tiesību piemērotāj</w:t>
            </w:r>
            <w:r w:rsidR="00780DD8">
              <w:t>iem</w:t>
            </w:r>
            <w:r w:rsidR="00595A93">
              <w:t xml:space="preserve"> bieži nācās </w:t>
            </w:r>
            <w:proofErr w:type="spellStart"/>
            <w:r w:rsidR="00595A93">
              <w:t>sakarties</w:t>
            </w:r>
            <w:proofErr w:type="spellEnd"/>
            <w:r w:rsidR="00595A93">
              <w:t xml:space="preserve"> ar normas piemērošanas gr</w:t>
            </w:r>
            <w:r w:rsidR="00780DD8">
              <w:t>ū</w:t>
            </w:r>
            <w:r w:rsidR="00595A93">
              <w:t>tībām, jo neviens normatīvais akts nereglamentēja, kas ir pirmsskolas vecuma bērns. Tas izriet no izglītības jomu reglamentējošiem normatīvajiem aktiem (Vispārējās izglīt</w:t>
            </w:r>
            <w:r w:rsidR="00D925C5">
              <w:t>ības likums)</w:t>
            </w:r>
            <w:r w:rsidR="00595A93">
              <w:t xml:space="preserve">, kas nosaka, ka </w:t>
            </w:r>
            <w:r w:rsidR="00D925C5">
              <w:t xml:space="preserve">pirmsskolas izglītības programmu apgūst bērni līdz 7 gadu vecumam un atkarībā no veselības stāvokļa un psiholoģiskās sagatavotības pirmsskolas izglītības programmas apguvi var pagarināt vai saīsināt par vienu gadu saskaņā ar vecāku vēlmēm un ģimenes ārsta vai psihologa atzinumu (20.panta otrā daļa). Savukārt 32.panta otrā un trešā daļa nosaka, ka pamatizglītības ieguvi bērns sāk tajā kalendārajā gadā, kurā izglītojamajam aprit 7 gadi, bet atkarībā no veselības stāvokļa un </w:t>
            </w:r>
            <w:r w:rsidR="00D925C5">
              <w:lastRenderedPageBreak/>
              <w:t>psiholoģiskās sagatavotības izglītojamais var sākt pamatizglītības ieguvi vienu gadu agrāk vai vēlāk saskaņā ar vecāku vēlmēm un ģimenes ārsta atzinumu vai psihologa atzinumu. No regulējuma izriet, ka par pirmsskolas vecuma bērnu var tikt uzskatīts bērns vecumā no 6 – 8 gadiem. Ņemot to vērā, noteikum</w:t>
            </w:r>
            <w:r w:rsidR="00780DD8">
              <w:t>u</w:t>
            </w:r>
            <w:r w:rsidR="00D925C5">
              <w:t xml:space="preserve"> projekta 2.1.apakšpinktā ir noteikts, ka braukšanas maksas atvieglojumi sabiedriskajā transportā pienākas </w:t>
            </w:r>
            <w:r w:rsidR="00D925C5" w:rsidRPr="00D925C5">
              <w:t>bērni</w:t>
            </w:r>
            <w:r w:rsidR="00D925C5">
              <w:t>em</w:t>
            </w:r>
            <w:r w:rsidR="00D925C5" w:rsidRPr="00D925C5">
              <w:t>, kas saskaņā ar Vispārējās izglītības likumu nav uzsākuši pamatizglītības apguvi  (turpmāk - pirmsskolas vecuma bērni)</w:t>
            </w:r>
            <w:r w:rsidR="00D925C5">
              <w:t>, tādējādi speciālo transporta jomas regulējumu</w:t>
            </w:r>
            <w:r w:rsidR="00780DD8">
              <w:t xml:space="preserve"> </w:t>
            </w:r>
            <w:r w:rsidR="00D925C5">
              <w:t xml:space="preserve"> sasaistot ar vispārējām izglītības jomu regulējošām tiesību normām. Šī braukšanas maksas atvieglojuma piemērošana primāri ir atkarīga no apstākļa – vai bērns ir vai nav uzsācis skolas gaitas</w:t>
            </w:r>
            <w:r w:rsidR="00780DD8">
              <w:t>.</w:t>
            </w:r>
            <w:r w:rsidR="00D925C5">
              <w:t xml:space="preserve"> </w:t>
            </w:r>
          </w:p>
          <w:p w14:paraId="7C8CA55D" w14:textId="3065D185" w:rsidR="00B21A4A" w:rsidRPr="00BA5EA4" w:rsidRDefault="00BA5EA4" w:rsidP="00C6424E">
            <w:pPr>
              <w:jc w:val="both"/>
            </w:pPr>
            <w:r>
              <w:t xml:space="preserve">     </w:t>
            </w:r>
            <w:r w:rsidR="00AA4FA2" w:rsidRPr="00BA5EA4">
              <w:t xml:space="preserve">Atbilstoši </w:t>
            </w:r>
            <w:r w:rsidR="002144FE">
              <w:t>Ministru kabineta 2017.gada 4.aprīļa sēdes lēmumam</w:t>
            </w:r>
            <w:r w:rsidR="006B20FF">
              <w:t xml:space="preserve"> </w:t>
            </w:r>
            <w:r w:rsidR="006B20FF">
              <w:rPr>
                <w:bCs/>
              </w:rPr>
              <w:t>(</w:t>
            </w:r>
            <w:r w:rsidR="006B20FF" w:rsidRPr="00572113">
              <w:t>prot.</w:t>
            </w:r>
            <w:r w:rsidR="006B20FF">
              <w:t xml:space="preserve"> </w:t>
            </w:r>
            <w:r w:rsidR="006B20FF" w:rsidRPr="00572113">
              <w:t>18</w:t>
            </w:r>
            <w:r w:rsidR="006763B1">
              <w:t xml:space="preserve"> </w:t>
            </w:r>
            <w:r w:rsidR="006B20FF" w:rsidRPr="00572113">
              <w:t xml:space="preserve"> 43</w:t>
            </w:r>
            <w:r w:rsidR="006763B1" w:rsidRPr="00572113">
              <w:rPr>
                <w:bCs/>
              </w:rPr>
              <w:t>§</w:t>
            </w:r>
            <w:r w:rsidR="006763B1">
              <w:rPr>
                <w:bCs/>
              </w:rPr>
              <w:t>)</w:t>
            </w:r>
            <w:r w:rsidR="006763B1">
              <w:t>.</w:t>
            </w:r>
            <w:r w:rsidR="006B20FF">
              <w:t xml:space="preserve"> 6.2.apakšpunkts</w:t>
            </w:r>
            <w:r w:rsidR="006B20FF">
              <w:rPr>
                <w:bCs/>
              </w:rPr>
              <w:t xml:space="preserve">, </w:t>
            </w:r>
            <w:r w:rsidR="002144FE">
              <w:t xml:space="preserve"> </w:t>
            </w:r>
            <w:r w:rsidR="006763B1">
              <w:t>n</w:t>
            </w:r>
            <w:r w:rsidR="002144FE">
              <w:t xml:space="preserve">oteikumu projektā </w:t>
            </w:r>
            <w:r w:rsidR="00AA4FA2" w:rsidRPr="00BA5EA4">
              <w:t xml:space="preserve">ir noteikts pārejas periods līdz </w:t>
            </w:r>
            <w:r w:rsidR="003C520C" w:rsidRPr="00BA5EA4">
              <w:t>2020.</w:t>
            </w:r>
            <w:r>
              <w:t xml:space="preserve"> </w:t>
            </w:r>
            <w:r w:rsidR="003C520C" w:rsidRPr="00BA5EA4">
              <w:t>gada 31.</w:t>
            </w:r>
            <w:r>
              <w:t xml:space="preserve"> </w:t>
            </w:r>
            <w:r w:rsidR="003C520C" w:rsidRPr="00BA5EA4">
              <w:t>decembrim</w:t>
            </w:r>
            <w:r w:rsidR="00733D74" w:rsidRPr="00BA5EA4">
              <w:t>,</w:t>
            </w:r>
            <w:r w:rsidR="00AA4FA2" w:rsidRPr="00BA5EA4">
              <w:t xml:space="preserve"> lai Autotransporta direkcija</w:t>
            </w:r>
            <w:r w:rsidR="00C21C37">
              <w:t xml:space="preserve"> un attiecīg</w:t>
            </w:r>
            <w:r w:rsidR="00476CAE">
              <w:t>ie</w:t>
            </w:r>
            <w:r w:rsidR="00C21C37">
              <w:t xml:space="preserve"> </w:t>
            </w:r>
            <w:r w:rsidR="00AA4FA2" w:rsidRPr="00BA5EA4">
              <w:t xml:space="preserve"> pakalpojum</w:t>
            </w:r>
            <w:r w:rsidR="00C21C37">
              <w:t>u</w:t>
            </w:r>
            <w:r w:rsidR="00AA4FA2" w:rsidRPr="00BA5EA4">
              <w:t xml:space="preserve"> sniedzēji gan no valsts, gan uzņēmēju pus</w:t>
            </w:r>
            <w:r w:rsidR="00C21C37">
              <w:t>ē</w:t>
            </w:r>
            <w:r w:rsidR="00AA4FA2" w:rsidRPr="00BA5EA4">
              <w:t xml:space="preserve"> spētu veikt </w:t>
            </w:r>
            <w:r w:rsidR="00C21C37">
              <w:t xml:space="preserve">nepieciešamās darbības braukšanas maksas </w:t>
            </w:r>
            <w:r w:rsidR="00AA4FA2" w:rsidRPr="00BA5EA4">
              <w:t>atvieglojumu administrēšanas sistēm</w:t>
            </w:r>
            <w:r w:rsidR="00C21C37">
              <w:t>as ieviešanai un tiktu</w:t>
            </w:r>
            <w:r w:rsidR="00AA4FA2" w:rsidRPr="00BA5EA4">
              <w:t xml:space="preserve"> nodrošināt</w:t>
            </w:r>
            <w:r w:rsidR="00C21C37">
              <w:t>a</w:t>
            </w:r>
            <w:r w:rsidR="00AA4FA2" w:rsidRPr="00BA5EA4">
              <w:t xml:space="preserve"> personu, kurām </w:t>
            </w:r>
            <w:proofErr w:type="spellStart"/>
            <w:r w:rsidR="00AA4FA2" w:rsidRPr="00BA5EA4">
              <w:t>pienākās</w:t>
            </w:r>
            <w:proofErr w:type="spellEnd"/>
            <w:r w:rsidR="00AA4FA2" w:rsidRPr="00BA5EA4">
              <w:t xml:space="preserve"> braukšanas maksas atvieglojumi</w:t>
            </w:r>
            <w:r w:rsidR="00C21C37">
              <w:t>,</w:t>
            </w:r>
            <w:r w:rsidR="00AA4FA2" w:rsidRPr="00BA5EA4">
              <w:t xml:space="preserve"> informēšan</w:t>
            </w:r>
            <w:r w:rsidR="00C21C37">
              <w:t>a</w:t>
            </w:r>
            <w:r w:rsidR="00AA4FA2" w:rsidRPr="00BA5EA4">
              <w:t xml:space="preserve"> par plānotajām izmaiņām</w:t>
            </w:r>
            <w:r w:rsidR="00C21C37">
              <w:t>, kas paredzēs</w:t>
            </w:r>
            <w:r w:rsidR="00B21A4A" w:rsidRPr="00BA5EA4">
              <w:t xml:space="preserve"> no 2021.gada  ieviest valsts noteikto braukšanas maksas atvieglojumu saņēmēju elektronisk</w:t>
            </w:r>
            <w:r w:rsidR="00C21C37">
              <w:t>u</w:t>
            </w:r>
            <w:r w:rsidR="00B21A4A" w:rsidRPr="00BA5EA4">
              <w:t xml:space="preserve"> </w:t>
            </w:r>
            <w:proofErr w:type="spellStart"/>
            <w:r w:rsidR="00B21A4A" w:rsidRPr="00BA5EA4">
              <w:t>identifikāci</w:t>
            </w:r>
            <w:r w:rsidR="00C21C37">
              <w:t>u</w:t>
            </w:r>
            <w:proofErr w:type="spellEnd"/>
            <w:r w:rsidR="00C21C37">
              <w:t xml:space="preserve"> ar</w:t>
            </w:r>
            <w:r w:rsidR="00B21A4A" w:rsidRPr="00BA5EA4">
              <w:t xml:space="preserve"> Satiksmes ministrijas noteiktajā braukšanas maksas atvieglojumu saņēmēju elektroniskās identifikācijas risinājumā</w:t>
            </w:r>
            <w:r w:rsidR="00C21C37">
              <w:t xml:space="preserve"> paredzēto identifikācijas līdzekli</w:t>
            </w:r>
            <w:r w:rsidR="002144FE">
              <w:t xml:space="preserve">, kas atbilstoši minētās Ministru kabineta sēdes </w:t>
            </w:r>
            <w:proofErr w:type="spellStart"/>
            <w:r w:rsidR="006A28B5">
              <w:t>protokollēmuma</w:t>
            </w:r>
            <w:proofErr w:type="spellEnd"/>
            <w:r w:rsidR="006A28B5">
              <w:t xml:space="preserve"> 4.punktam jānosaka līdz 2019.gada 31.decembrim</w:t>
            </w:r>
            <w:r w:rsidR="00B21A4A" w:rsidRPr="00BA5EA4">
              <w:t xml:space="preserve">. </w:t>
            </w:r>
          </w:p>
          <w:p w14:paraId="3AB0E077" w14:textId="20D58358" w:rsidR="00E3642A" w:rsidRPr="00572113" w:rsidRDefault="00BA5EA4" w:rsidP="00C6424E">
            <w:pPr>
              <w:jc w:val="both"/>
            </w:pPr>
            <w:r>
              <w:t xml:space="preserve">   </w:t>
            </w:r>
            <w:r w:rsidR="00E3642A" w:rsidRPr="00572113">
              <w:t xml:space="preserve">Lai īstenotu šos pasākumus, </w:t>
            </w:r>
            <w:r>
              <w:t xml:space="preserve">ar MK uzdevumu (REZ-UZD-250)  </w:t>
            </w:r>
            <w:r w:rsidR="00E3642A" w:rsidRPr="00572113">
              <w:t>Autotransporta direkcijai uzdots piešķirtā valsts finansējuma apmērā līdz 2018.</w:t>
            </w:r>
            <w:r>
              <w:t xml:space="preserve"> </w:t>
            </w:r>
            <w:r w:rsidR="00E3642A" w:rsidRPr="00572113">
              <w:t>gada 1.</w:t>
            </w:r>
            <w:r>
              <w:t xml:space="preserve"> </w:t>
            </w:r>
            <w:r w:rsidR="00E3642A" w:rsidRPr="00572113">
              <w:t>jūlijam izveido</w:t>
            </w:r>
            <w:r w:rsidR="006A28B5">
              <w:t>t</w:t>
            </w:r>
            <w:r w:rsidR="00E3642A" w:rsidRPr="00572113">
              <w:t xml:space="preserve"> valsts informācijas sistēmu (datu bāzi) ar kuru tiek nodrošināts:</w:t>
            </w:r>
          </w:p>
          <w:p w14:paraId="2E9FFC7D" w14:textId="15E0AA9B" w:rsidR="00E3642A" w:rsidRPr="00572113" w:rsidRDefault="00E3642A" w:rsidP="00C6424E">
            <w:pPr>
              <w:pStyle w:val="NoSpacing"/>
              <w:jc w:val="both"/>
              <w:rPr>
                <w:rFonts w:ascii="Times New Roman" w:hAnsi="Times New Roman"/>
                <w:sz w:val="24"/>
                <w:szCs w:val="24"/>
              </w:rPr>
            </w:pPr>
            <w:r w:rsidRPr="00572113">
              <w:rPr>
                <w:rFonts w:ascii="Times New Roman" w:hAnsi="Times New Roman"/>
                <w:sz w:val="24"/>
                <w:szCs w:val="24"/>
              </w:rPr>
              <w:t>1) personu, kurām valsts apmaksā braucienus, datu, kas saņemti no V</w:t>
            </w:r>
            <w:r w:rsidR="006A28B5">
              <w:rPr>
                <w:rFonts w:ascii="Times New Roman" w:hAnsi="Times New Roman"/>
                <w:sz w:val="24"/>
                <w:szCs w:val="24"/>
              </w:rPr>
              <w:t>eselības un darbspēju ārstu valsts komisijas</w:t>
            </w:r>
            <w:r w:rsidRPr="00572113">
              <w:rPr>
                <w:rFonts w:ascii="Times New Roman" w:hAnsi="Times New Roman"/>
                <w:sz w:val="24"/>
                <w:szCs w:val="24"/>
              </w:rPr>
              <w:t>, V</w:t>
            </w:r>
            <w:r w:rsidR="006A28B5">
              <w:rPr>
                <w:rFonts w:ascii="Times New Roman" w:hAnsi="Times New Roman"/>
                <w:sz w:val="24"/>
                <w:szCs w:val="24"/>
              </w:rPr>
              <w:t>alsts bērnu tiesību aizsardzības inspekcijas</w:t>
            </w:r>
            <w:r w:rsidRPr="00572113">
              <w:rPr>
                <w:rFonts w:ascii="Times New Roman" w:hAnsi="Times New Roman"/>
                <w:sz w:val="24"/>
                <w:szCs w:val="24"/>
              </w:rPr>
              <w:t>, Sabiedrības integrācijas fonda un P</w:t>
            </w:r>
            <w:r w:rsidR="006A28B5">
              <w:rPr>
                <w:rFonts w:ascii="Times New Roman" w:hAnsi="Times New Roman"/>
                <w:sz w:val="24"/>
                <w:szCs w:val="24"/>
              </w:rPr>
              <w:t>ilsonības un migrācijas lietu pārvaldes</w:t>
            </w:r>
            <w:r w:rsidRPr="00572113">
              <w:rPr>
                <w:rFonts w:ascii="Times New Roman" w:hAnsi="Times New Roman"/>
                <w:sz w:val="24"/>
                <w:szCs w:val="24"/>
              </w:rPr>
              <w:t>, apstrādei. Sistēmā tiktu nodrošināta informācija par personu, kurām pienākas valsts noteiktie braukšanas maksas atvieglojumi, aktuālo statusu un šo informāciju varētu izmantot arī republikas nozīmes pilsētu pašvaldības;</w:t>
            </w:r>
          </w:p>
          <w:p w14:paraId="4AA61749" w14:textId="77777777" w:rsidR="00E3642A" w:rsidRPr="00572113" w:rsidRDefault="00E3642A" w:rsidP="00C6424E">
            <w:pPr>
              <w:pStyle w:val="NoSpacing"/>
              <w:jc w:val="both"/>
              <w:rPr>
                <w:rFonts w:ascii="Times New Roman" w:hAnsi="Times New Roman"/>
                <w:sz w:val="24"/>
                <w:szCs w:val="24"/>
              </w:rPr>
            </w:pPr>
            <w:r w:rsidRPr="00572113">
              <w:rPr>
                <w:rFonts w:ascii="Times New Roman" w:hAnsi="Times New Roman"/>
                <w:sz w:val="24"/>
                <w:szCs w:val="24"/>
              </w:rPr>
              <w:t xml:space="preserve">2) braukšanas maksas atvieglojumu saņēmēju kontroles nodrošināšanai.  Izmantojot šo sistēmu, jau no 2018. gada tiktu nodrošināta aktuālo apliecību kontrole ne tikai reģionālajos maršrutos, bet arī pilsētas nozīmes maršrutos, radot iespēju kontrolējošajām iestādēm un pilsētu maršrutu pasūtītājiem elektroniski pārliecināties vai personas statusa apliecība ir derīga, kā arī veikt datu analīzi. </w:t>
            </w:r>
          </w:p>
          <w:p w14:paraId="60D8171F" w14:textId="77777777" w:rsidR="00E3642A" w:rsidRPr="00572113" w:rsidRDefault="00D05C2C" w:rsidP="00C6424E">
            <w:pPr>
              <w:jc w:val="both"/>
            </w:pPr>
            <w:r w:rsidRPr="00572113">
              <w:t xml:space="preserve">   </w:t>
            </w:r>
            <w:r w:rsidR="00E3642A" w:rsidRPr="00572113">
              <w:t>Savukārt procesa nodrošināšanai a</w:t>
            </w:r>
            <w:r w:rsidR="00733D74" w:rsidRPr="00572113">
              <w:t>tbilstoši Ministru kabineta 2017.</w:t>
            </w:r>
            <w:r w:rsidR="005421BF">
              <w:t xml:space="preserve"> </w:t>
            </w:r>
            <w:r w:rsidR="00733D74" w:rsidRPr="00572113">
              <w:t>gada 4.</w:t>
            </w:r>
            <w:r w:rsidR="005421BF">
              <w:t xml:space="preserve"> </w:t>
            </w:r>
            <w:r w:rsidR="00733D74" w:rsidRPr="00572113">
              <w:t xml:space="preserve">aprīļa sēdes </w:t>
            </w:r>
            <w:proofErr w:type="spellStart"/>
            <w:r w:rsidR="00733D74" w:rsidRPr="00572113">
              <w:t>proktollēmuma</w:t>
            </w:r>
            <w:proofErr w:type="spellEnd"/>
            <w:r w:rsidR="00733D74" w:rsidRPr="00572113">
              <w:t xml:space="preserve"> (prot.</w:t>
            </w:r>
            <w:r w:rsidR="005421BF">
              <w:t xml:space="preserve"> </w:t>
            </w:r>
            <w:r w:rsidR="00733D74" w:rsidRPr="00572113">
              <w:t>18 43.</w:t>
            </w:r>
            <w:r w:rsidR="005421BF">
              <w:t xml:space="preserve"> </w:t>
            </w:r>
            <w:r w:rsidR="00733D74" w:rsidRPr="00572113">
              <w:rPr>
                <w:bCs/>
              </w:rPr>
              <w:t>§) 5.</w:t>
            </w:r>
            <w:r w:rsidR="005421BF">
              <w:rPr>
                <w:bCs/>
              </w:rPr>
              <w:t xml:space="preserve"> </w:t>
            </w:r>
            <w:r w:rsidR="00733D74" w:rsidRPr="00572113">
              <w:rPr>
                <w:bCs/>
              </w:rPr>
              <w:t>1.</w:t>
            </w:r>
            <w:r w:rsidR="005421BF">
              <w:rPr>
                <w:bCs/>
              </w:rPr>
              <w:t xml:space="preserve"> apakš</w:t>
            </w:r>
            <w:r w:rsidR="00733D74" w:rsidRPr="00572113">
              <w:rPr>
                <w:bCs/>
              </w:rPr>
              <w:t>punktam</w:t>
            </w:r>
            <w:r w:rsidR="00BA5EA4">
              <w:rPr>
                <w:bCs/>
              </w:rPr>
              <w:t xml:space="preserve"> (REZ-UZD-251)</w:t>
            </w:r>
            <w:r w:rsidR="00B21A4A" w:rsidRPr="00572113">
              <w:rPr>
                <w:bCs/>
              </w:rPr>
              <w:t xml:space="preserve"> Satiksmes ministrija</w:t>
            </w:r>
            <w:r w:rsidR="00BA5EA4">
              <w:rPr>
                <w:bCs/>
              </w:rPr>
              <w:t>,</w:t>
            </w:r>
            <w:r w:rsidR="00B21A4A" w:rsidRPr="00572113">
              <w:rPr>
                <w:bCs/>
              </w:rPr>
              <w:t xml:space="preserve"> </w:t>
            </w:r>
            <w:r w:rsidR="00BA5EA4" w:rsidRPr="00572113">
              <w:t xml:space="preserve"> lai nodrošinātu normatīvajos aktos noteiktos uzdevumus braukšanas maksas atvieglojumu </w:t>
            </w:r>
            <w:r w:rsidR="00BA5EA4" w:rsidRPr="00572113">
              <w:lastRenderedPageBreak/>
              <w:t>administrēšan</w:t>
            </w:r>
            <w:r w:rsidR="00BA5EA4">
              <w:t>u</w:t>
            </w:r>
            <w:r w:rsidR="00BA5EA4" w:rsidRPr="00572113">
              <w:t xml:space="preserve"> </w:t>
            </w:r>
            <w:r w:rsidR="00E3642A" w:rsidRPr="00572113">
              <w:rPr>
                <w:bCs/>
              </w:rPr>
              <w:t>ir saga</w:t>
            </w:r>
            <w:r w:rsidR="00B21A4A" w:rsidRPr="00572113">
              <w:rPr>
                <w:bCs/>
              </w:rPr>
              <w:t>tavo</w:t>
            </w:r>
            <w:r w:rsidR="00E3642A" w:rsidRPr="00572113">
              <w:rPr>
                <w:bCs/>
              </w:rPr>
              <w:t xml:space="preserve">jusi </w:t>
            </w:r>
            <w:r w:rsidR="00B21A4A" w:rsidRPr="00572113">
              <w:rPr>
                <w:bCs/>
              </w:rPr>
              <w:t xml:space="preserve">grozījumus </w:t>
            </w:r>
            <w:r w:rsidR="0092660B" w:rsidRPr="00572113">
              <w:t>Sabiedriskā transporta pakalpojumu likumā</w:t>
            </w:r>
            <w:r w:rsidR="00B21A4A" w:rsidRPr="00572113">
              <w:t xml:space="preserve">, paredzot </w:t>
            </w:r>
            <w:r w:rsidR="0092660B" w:rsidRPr="00572113">
              <w:t>tiesības Autotransporta direkcija</w:t>
            </w:r>
            <w:r w:rsidR="00AF5CAC" w:rsidRPr="00572113">
              <w:t>i</w:t>
            </w:r>
            <w:r w:rsidR="0092660B" w:rsidRPr="00572113">
              <w:t xml:space="preserve"> izveido</w:t>
            </w:r>
            <w:r w:rsidR="00AF5CAC" w:rsidRPr="00572113">
              <w:t>t</w:t>
            </w:r>
            <w:r w:rsidR="0092660B" w:rsidRPr="00572113">
              <w:t xml:space="preserve"> un uztur</w:t>
            </w:r>
            <w:r w:rsidR="00AF5CAC" w:rsidRPr="00572113">
              <w:t>ēt</w:t>
            </w:r>
            <w:r w:rsidR="0092660B" w:rsidRPr="00572113">
              <w:t xml:space="preserve"> valsts noteikto braukšanas maksas atvieglojumu saņē</w:t>
            </w:r>
            <w:r w:rsidR="00AF5CAC" w:rsidRPr="00572113">
              <w:t xml:space="preserve">mēju informācijas sistēmu, kurā tā </w:t>
            </w:r>
            <w:r w:rsidR="0092660B" w:rsidRPr="00572113">
              <w:t>kā pārzinis apstrādā tādus personas datus no Veselības un darbspēju ekspertīzes ārstu valsts komisijas, Valsts bērnu tiesību aizsardzības inspekcijas, Sabiedrības integrācijas fonda un Pilsonības un migrācijas lietu pārvaldes, kas apliecina personas tiesības izmantot braukšanas maksas atvieglojumus, kā arī apkopo informāciju par personu braukšanas maksas atvieglojumu izmantošanai aktuālajiem identifikācijas līdzekļiem.</w:t>
            </w:r>
            <w:r w:rsidR="00DA2F27" w:rsidRPr="00572113">
              <w:t xml:space="preserve"> </w:t>
            </w:r>
          </w:p>
          <w:p w14:paraId="6DA93DA9" w14:textId="6E503855" w:rsidR="00381F1F" w:rsidRPr="00BB7D22" w:rsidRDefault="00E3642A" w:rsidP="00381F1F">
            <w:pPr>
              <w:jc w:val="both"/>
            </w:pPr>
            <w:r w:rsidRPr="00572113">
              <w:t xml:space="preserve">    </w:t>
            </w:r>
            <w:r w:rsidR="00381F1F">
              <w:t xml:space="preserve">    P</w:t>
            </w:r>
            <w:r w:rsidR="00381F1F" w:rsidRPr="00BB7D22">
              <w:t>ašlaik elektroniskā pasažieru uzskaite nodrošināta Rīgā</w:t>
            </w:r>
            <w:r w:rsidR="00381F1F">
              <w:t xml:space="preserve">, </w:t>
            </w:r>
            <w:r w:rsidR="00381F1F" w:rsidRPr="00BB7D22">
              <w:t>Jelgavā</w:t>
            </w:r>
            <w:r w:rsidR="00381F1F">
              <w:t xml:space="preserve"> un Rēzeknē</w:t>
            </w:r>
            <w:r w:rsidR="00381F1F" w:rsidRPr="00BB7D22">
              <w:t xml:space="preserve">, tuvākajā </w:t>
            </w:r>
            <w:r w:rsidR="00476CAE">
              <w:t xml:space="preserve">laikā </w:t>
            </w:r>
            <w:r w:rsidR="00381F1F">
              <w:t xml:space="preserve">šādu uzskaiti </w:t>
            </w:r>
            <w:r w:rsidR="00381F1F" w:rsidRPr="00BB7D22">
              <w:t>plānots ieviest arī Jūrmalā un Daugavpilī.</w:t>
            </w:r>
            <w:r w:rsidR="00381F1F">
              <w:t xml:space="preserve"> Jānorāda, ka tikai Rīgas pilsētas uzskaites sistēmā pašlaik tiek veikta personu ar valsts noteiktiem braukšanas maksas atvieglojumiem, braucienu elektroniska uzskaite un identifikācija, tādējādi nodrošinot 43% braucienu uzskaiti no kopējā pasažieru ar </w:t>
            </w:r>
            <w:proofErr w:type="spellStart"/>
            <w:r w:rsidR="00381F1F">
              <w:t>baraukšanas</w:t>
            </w:r>
            <w:proofErr w:type="spellEnd"/>
            <w:r w:rsidR="00381F1F">
              <w:t xml:space="preserve"> maksas atvieglojumiem, veikto braucienu kopskaita.   </w:t>
            </w:r>
            <w:r w:rsidR="00381F1F" w:rsidRPr="00BB7D22">
              <w:t xml:space="preserve">  Pāreja</w:t>
            </w:r>
            <w:r w:rsidR="00381F1F">
              <w:t>s</w:t>
            </w:r>
            <w:r w:rsidR="00381F1F" w:rsidRPr="00BB7D22">
              <w:t xml:space="preserve"> noteikumi</w:t>
            </w:r>
            <w:r w:rsidR="00780DD8">
              <w:t>,</w:t>
            </w:r>
            <w:r w:rsidR="00381F1F" w:rsidRPr="00BB7D22">
              <w:t xml:space="preserve"> </w:t>
            </w:r>
            <w:r w:rsidR="00364B3D">
              <w:t>atbilstoši Ministru kabineta 2017.</w:t>
            </w:r>
            <w:r w:rsidR="006763B1">
              <w:t xml:space="preserve"> </w:t>
            </w:r>
            <w:r w:rsidR="00364B3D">
              <w:t>gada 4.</w:t>
            </w:r>
            <w:r w:rsidR="006763B1">
              <w:t xml:space="preserve"> </w:t>
            </w:r>
            <w:r w:rsidR="00364B3D">
              <w:t xml:space="preserve">aprīļa sēdē nolemtajam, </w:t>
            </w:r>
            <w:r w:rsidR="00381F1F" w:rsidRPr="00BB7D22">
              <w:t>paredz Republikas pilsētu pašvaldībām, kas pilsētas nozīmes maršrutos nenodrošina pasažieru ar braukšanas maksas atvieglojumiem elektronisku braucienu uzskaiti, noteikt pārejas periodu attiecīgas sistēmas ieviešanai ne vēlāk kā līdz 2020.</w:t>
            </w:r>
            <w:r w:rsidR="006763B1">
              <w:t xml:space="preserve"> </w:t>
            </w:r>
            <w:r w:rsidR="00381F1F" w:rsidRPr="00BB7D22">
              <w:t>gada 31.</w:t>
            </w:r>
            <w:r w:rsidR="006763B1">
              <w:t xml:space="preserve"> </w:t>
            </w:r>
            <w:r w:rsidR="00381F1F" w:rsidRPr="00BB7D22">
              <w:t>decembrim.</w:t>
            </w:r>
          </w:p>
          <w:p w14:paraId="468036E2" w14:textId="71C6F536" w:rsidR="00E3642A" w:rsidRPr="00572113" w:rsidRDefault="00381F1F" w:rsidP="006B20FF">
            <w:pPr>
              <w:jc w:val="both"/>
            </w:pPr>
            <w:r>
              <w:t>S</w:t>
            </w:r>
            <w:r w:rsidRPr="00903172">
              <w:t>ākot no 2014.</w:t>
            </w:r>
            <w:r w:rsidR="006763B1">
              <w:t xml:space="preserve"> </w:t>
            </w:r>
            <w:r w:rsidRPr="00903172">
              <w:t>gada izveidots vienotas reģionālo (starppilsētu un vietējās nozīmes) maršrutu tīkla pārzināšanas un vienotas pakalpojuma organizēšanas modelis šajā tīklā un Autotransporta direkcija  ir pārņēmusi visas saistības no plānošanas reģioniem</w:t>
            </w:r>
            <w:r>
              <w:t>. Š</w:t>
            </w:r>
            <w:r w:rsidRPr="00903172">
              <w:t>obrīd spēkā esoš</w:t>
            </w:r>
            <w:r>
              <w:t>o</w:t>
            </w:r>
            <w:r w:rsidRPr="00903172">
              <w:t xml:space="preserve"> </w:t>
            </w:r>
            <w:r>
              <w:t xml:space="preserve">sabiedriskā transporta pakalpojumu pasūtījumu </w:t>
            </w:r>
            <w:r w:rsidRPr="00903172">
              <w:t>līgum</w:t>
            </w:r>
            <w:r>
              <w:t>u</w:t>
            </w:r>
            <w:r w:rsidRPr="00903172">
              <w:t xml:space="preserve"> </w:t>
            </w:r>
            <w:r w:rsidR="006B20FF">
              <w:t>lielā daļ</w:t>
            </w:r>
            <w:r w:rsidR="006763B1">
              <w:t>ā</w:t>
            </w:r>
            <w:r w:rsidR="006B20FF">
              <w:t xml:space="preserve"> </w:t>
            </w:r>
            <w:r>
              <w:t xml:space="preserve">termiņš  </w:t>
            </w:r>
            <w:r w:rsidRPr="00903172">
              <w:t>beidzas 2020.</w:t>
            </w:r>
            <w:r w:rsidR="006763B1">
              <w:t xml:space="preserve"> </w:t>
            </w:r>
            <w:r>
              <w:t>gada 31.</w:t>
            </w:r>
            <w:r w:rsidR="006763B1">
              <w:t xml:space="preserve"> </w:t>
            </w:r>
            <w:r>
              <w:t>decembrī.</w:t>
            </w:r>
            <w:r w:rsidR="00120351" w:rsidRPr="00572113">
              <w:t xml:space="preserve">  </w:t>
            </w:r>
          </w:p>
          <w:p w14:paraId="3FC64FDF" w14:textId="5F89BBCE" w:rsidR="003B2A0F" w:rsidRPr="00572113" w:rsidRDefault="005421BF" w:rsidP="00C6424E">
            <w:pPr>
              <w:shd w:val="clear" w:color="auto" w:fill="FFFFFF"/>
              <w:spacing w:line="293" w:lineRule="atLeast"/>
              <w:jc w:val="both"/>
            </w:pPr>
            <w:r>
              <w:t xml:space="preserve">    </w:t>
            </w:r>
            <w:r w:rsidR="00E3642A" w:rsidRPr="00572113">
              <w:t>Ņemto vērā to, ka n</w:t>
            </w:r>
            <w:r w:rsidR="00120351" w:rsidRPr="00572113">
              <w:t>o 2021.</w:t>
            </w:r>
            <w:r>
              <w:t xml:space="preserve"> </w:t>
            </w:r>
            <w:r w:rsidR="00120351" w:rsidRPr="00572113">
              <w:t>gada 1.</w:t>
            </w:r>
            <w:r>
              <w:t xml:space="preserve"> </w:t>
            </w:r>
            <w:r w:rsidR="00120351" w:rsidRPr="00572113">
              <w:t xml:space="preserve">janvāra plānots visā </w:t>
            </w:r>
            <w:r w:rsidR="00C21C37">
              <w:t xml:space="preserve">reģionālās nozīmes </w:t>
            </w:r>
            <w:r w:rsidR="00120351" w:rsidRPr="00572113">
              <w:t xml:space="preserve">maršrutu tīklā </w:t>
            </w:r>
            <w:r w:rsidR="00C21C37">
              <w:t xml:space="preserve">pārvadātājiem </w:t>
            </w:r>
            <w:r w:rsidR="00120351" w:rsidRPr="00572113">
              <w:t>izvirzīt vienotas</w:t>
            </w:r>
            <w:r w:rsidR="00C21C37">
              <w:t xml:space="preserve"> un</w:t>
            </w:r>
            <w:r w:rsidR="00120351" w:rsidRPr="00572113">
              <w:t xml:space="preserve"> augstākas </w:t>
            </w:r>
            <w:r w:rsidR="00C21C37">
              <w:t xml:space="preserve">pakalpojumu sniegšanas </w:t>
            </w:r>
            <w:r w:rsidR="00120351" w:rsidRPr="00572113">
              <w:t>kvalitātes prasības</w:t>
            </w:r>
            <w:r w:rsidR="00C21C37">
              <w:t xml:space="preserve">, tai skaitā prasības </w:t>
            </w:r>
            <w:r w:rsidR="00D47DCE" w:rsidRPr="00572113">
              <w:t xml:space="preserve"> pasažieru </w:t>
            </w:r>
            <w:r w:rsidR="00C21C37">
              <w:t xml:space="preserve">ar braukšanas maksas atvieglojumiem </w:t>
            </w:r>
            <w:r w:rsidR="00D47DCE" w:rsidRPr="00572113">
              <w:t>elektronisk</w:t>
            </w:r>
            <w:r w:rsidR="00C21C37">
              <w:t>ai</w:t>
            </w:r>
            <w:r w:rsidR="00D47DCE" w:rsidRPr="00572113">
              <w:t xml:space="preserve"> identifikācij</w:t>
            </w:r>
            <w:r w:rsidR="00C21C37">
              <w:t>ai, tad ar noteikumu projektu</w:t>
            </w:r>
            <w:r w:rsidR="008675FB">
              <w:t>,</w:t>
            </w:r>
            <w:r w:rsidR="00C21C37">
              <w:t xml:space="preserve"> </w:t>
            </w:r>
            <w:r w:rsidR="00D47DCE" w:rsidRPr="00572113">
              <w:t xml:space="preserve">nosakot </w:t>
            </w:r>
            <w:r w:rsidR="00FE7CD3" w:rsidRPr="00572113">
              <w:t xml:space="preserve">pārejas periodu </w:t>
            </w:r>
            <w:r w:rsidR="00D47DCE" w:rsidRPr="00572113">
              <w:t>līdz 2020.</w:t>
            </w:r>
            <w:r>
              <w:t xml:space="preserve"> </w:t>
            </w:r>
            <w:r w:rsidR="00D47DCE" w:rsidRPr="00572113">
              <w:t>gada 31.</w:t>
            </w:r>
            <w:r>
              <w:t xml:space="preserve"> </w:t>
            </w:r>
            <w:r w:rsidR="00D47DCE" w:rsidRPr="00572113">
              <w:t xml:space="preserve">decembrim </w:t>
            </w:r>
            <w:r w:rsidR="00C21C37">
              <w:t xml:space="preserve">elektroniskās identificēšanas nodrošināšanai, </w:t>
            </w:r>
            <w:r w:rsidR="00FE7CD3" w:rsidRPr="00572113">
              <w:t xml:space="preserve">netiek palielināts </w:t>
            </w:r>
            <w:r w:rsidR="00D47DCE" w:rsidRPr="00572113">
              <w:t xml:space="preserve">finansiālais un </w:t>
            </w:r>
            <w:r w:rsidR="00FE7CD3" w:rsidRPr="00572113">
              <w:t>administratīvais slogs</w:t>
            </w:r>
            <w:r w:rsidR="008278BB">
              <w:t>, jo</w:t>
            </w:r>
            <w:r w:rsidR="00FE7CD3" w:rsidRPr="00572113">
              <w:t xml:space="preserve"> pārv</w:t>
            </w:r>
            <w:r w:rsidR="00D47DCE" w:rsidRPr="00572113">
              <w:t>a</w:t>
            </w:r>
            <w:r w:rsidR="00FE7CD3" w:rsidRPr="00572113">
              <w:t>dātājiem</w:t>
            </w:r>
            <w:r w:rsidR="00D47DCE" w:rsidRPr="00572113">
              <w:t xml:space="preserve"> esošo līgumu ietvarā</w:t>
            </w:r>
            <w:r w:rsidR="008675FB">
              <w:t xml:space="preserve"> </w:t>
            </w:r>
            <w:r w:rsidR="008278BB">
              <w:t xml:space="preserve">nebūs nepieciešams </w:t>
            </w:r>
            <w:r w:rsidR="008675FB">
              <w:t>papildus</w:t>
            </w:r>
            <w:r w:rsidR="00D47DCE" w:rsidRPr="00572113">
              <w:t xml:space="preserve"> ieguld</w:t>
            </w:r>
            <w:r w:rsidR="008278BB">
              <w:t>ī</w:t>
            </w:r>
            <w:r w:rsidR="00D47DCE" w:rsidRPr="00572113">
              <w:t>t līdzekļus speciālu iekārtu uzstādīšanā (POS-terminālu) vai esošo iekārtu pielāgošanai</w:t>
            </w:r>
            <w:r w:rsidR="00E3642A" w:rsidRPr="00572113">
              <w:t xml:space="preserve"> personu elektroniskās identifikācija</w:t>
            </w:r>
            <w:r>
              <w:t>s nodro</w:t>
            </w:r>
            <w:r w:rsidR="00C36A47">
              <w:t>ši</w:t>
            </w:r>
            <w:r>
              <w:t>nāšanai</w:t>
            </w:r>
            <w:r w:rsidR="00C36A47">
              <w:t>, kas valstij būtu jākompensē  atbilstoši Ministru kabineta 2015.</w:t>
            </w:r>
            <w:r w:rsidR="006763B1">
              <w:t xml:space="preserve"> </w:t>
            </w:r>
            <w:r w:rsidR="00C36A47">
              <w:t>gada 28.</w:t>
            </w:r>
            <w:r w:rsidR="006763B1">
              <w:t xml:space="preserve"> </w:t>
            </w:r>
            <w:r w:rsidR="00C36A47">
              <w:t>jūlija noteikumiem Nr.</w:t>
            </w:r>
            <w:r w:rsidR="006763B1">
              <w:t xml:space="preserve"> </w:t>
            </w:r>
            <w:r w:rsidR="00C36A47">
              <w:t>435 “Kārtība, kādā nosaka un kompensē ar sabiedriskā transporta pakalpojumu sniegšanu saistītos zaudējumus un izdevumus un nosaka sabiedriskā transporta pakalpojuma tarifu” .</w:t>
            </w:r>
            <w:r w:rsidR="00D47DCE" w:rsidRPr="00572113">
              <w:t xml:space="preserve">. </w:t>
            </w:r>
          </w:p>
          <w:p w14:paraId="2E163FE4" w14:textId="6AEE8D2D" w:rsidR="00C36A47" w:rsidRDefault="003A052F" w:rsidP="00C6424E">
            <w:pPr>
              <w:shd w:val="clear" w:color="auto" w:fill="FFFFFF"/>
              <w:spacing w:line="293" w:lineRule="atLeast"/>
              <w:jc w:val="both"/>
            </w:pPr>
            <w:r w:rsidRPr="00572113">
              <w:t xml:space="preserve">     </w:t>
            </w:r>
            <w:r w:rsidR="007C67D3">
              <w:t>Izdodot MK noteikumus Nr.</w:t>
            </w:r>
            <w:r w:rsidR="006763B1">
              <w:t xml:space="preserve"> </w:t>
            </w:r>
            <w:r w:rsidR="007C67D3">
              <w:t xml:space="preserve">153 tika attiecīgi precizētas normas </w:t>
            </w:r>
            <w:r w:rsidR="002B1357" w:rsidRPr="00572113">
              <w:t xml:space="preserve">saistītajos </w:t>
            </w:r>
            <w:r w:rsidRPr="00572113">
              <w:t>Ministru kabineta 2015.</w:t>
            </w:r>
            <w:r w:rsidR="006763B1">
              <w:t xml:space="preserve"> </w:t>
            </w:r>
            <w:r w:rsidRPr="00572113">
              <w:t>gada 28.</w:t>
            </w:r>
            <w:r w:rsidR="006763B1">
              <w:t xml:space="preserve"> </w:t>
            </w:r>
            <w:r w:rsidRPr="00572113">
              <w:t>jūlija noteikumos Nr.</w:t>
            </w:r>
            <w:r w:rsidR="006763B1">
              <w:t xml:space="preserve"> </w:t>
            </w:r>
            <w:r w:rsidRPr="00572113">
              <w:t xml:space="preserve">435 </w:t>
            </w:r>
            <w:r w:rsidRPr="00572113">
              <w:lastRenderedPageBreak/>
              <w:t>„Kārtība, kādā nosaka un kompensē ar sabiedriskā transporta pakalpojumu sniegšanu saistītos zaudējumus un izdevumus un nosaka sabiedriskā transporta pakalpojuma tarifu”” (tu</w:t>
            </w:r>
            <w:r w:rsidR="00D22DBC" w:rsidRPr="00572113">
              <w:t>r</w:t>
            </w:r>
            <w:r w:rsidRPr="00572113">
              <w:t>pmāk – MK noteikumi Nr.</w:t>
            </w:r>
            <w:r w:rsidR="006763B1">
              <w:t xml:space="preserve"> </w:t>
            </w:r>
            <w:r w:rsidRPr="00572113">
              <w:t>435)</w:t>
            </w:r>
            <w:r w:rsidR="00C36A47">
              <w:t xml:space="preserve">, kā arī </w:t>
            </w:r>
            <w:r w:rsidR="00C36A47" w:rsidRPr="00572113">
              <w:t xml:space="preserve"> Ministru kab</w:t>
            </w:r>
            <w:r w:rsidR="00C36A47">
              <w:t>ineta</w:t>
            </w:r>
            <w:r w:rsidR="00C36A47" w:rsidRPr="00572113">
              <w:t xml:space="preserve"> 2012.</w:t>
            </w:r>
            <w:r w:rsidR="00C36A47">
              <w:t xml:space="preserve"> </w:t>
            </w:r>
            <w:r w:rsidR="00C36A47" w:rsidRPr="00572113">
              <w:t>gada 28.</w:t>
            </w:r>
            <w:r w:rsidR="00C36A47">
              <w:t xml:space="preserve"> </w:t>
            </w:r>
            <w:r w:rsidR="00C36A47" w:rsidRPr="00572113">
              <w:t>maija noteikumos Nr.</w:t>
            </w:r>
            <w:r w:rsidR="00C36A47">
              <w:t xml:space="preserve"> </w:t>
            </w:r>
            <w:r w:rsidR="00C36A47" w:rsidRPr="00572113">
              <w:t>599 “Sabiedriskā transporta pakalpojumu snie</w:t>
            </w:r>
            <w:r w:rsidR="00C36A47">
              <w:t>gšanas un izmantošanas kārtība” (turpmāk – MK noteikumi Nr.</w:t>
            </w:r>
            <w:r w:rsidR="006763B1">
              <w:t xml:space="preserve"> </w:t>
            </w:r>
            <w:r w:rsidR="00C36A47">
              <w:t>599</w:t>
            </w:r>
            <w:r w:rsidR="007C67D3">
              <w:t>).</w:t>
            </w:r>
            <w:r w:rsidR="007C67D3" w:rsidRPr="00572113">
              <w:t xml:space="preserve"> </w:t>
            </w:r>
            <w:r w:rsidR="007C67D3">
              <w:t>Līdz ar to sa</w:t>
            </w:r>
            <w:r w:rsidR="007C67D3" w:rsidRPr="00572113">
              <w:t xml:space="preserve">istībā ar </w:t>
            </w:r>
            <w:r w:rsidR="007C67D3">
              <w:t>N</w:t>
            </w:r>
            <w:r w:rsidR="007C67D3" w:rsidRPr="00572113">
              <w:t xml:space="preserve">oteikumu projektu, ar kuru tiek paredzēts noteikt pasažieru kategorijas, kuras ir tiesīgas izmantot braukšanas maksas atvieglojumus maršrutu tīkla maršrutos, nepieciešami </w:t>
            </w:r>
            <w:r w:rsidR="007C67D3">
              <w:t xml:space="preserve">attiecīgi </w:t>
            </w:r>
            <w:r w:rsidR="007C67D3" w:rsidRPr="00572113">
              <w:t>grozījumi</w:t>
            </w:r>
            <w:r w:rsidR="007C67D3">
              <w:t xml:space="preserve"> MK noteikumos Nr.</w:t>
            </w:r>
            <w:r w:rsidR="006763B1">
              <w:t xml:space="preserve"> </w:t>
            </w:r>
            <w:r w:rsidR="007C67D3">
              <w:t>435 un MK noteikumos Nr.</w:t>
            </w:r>
            <w:r w:rsidR="006763B1">
              <w:t xml:space="preserve"> </w:t>
            </w:r>
            <w:r w:rsidR="007C67D3">
              <w:t xml:space="preserve">599. </w:t>
            </w:r>
          </w:p>
          <w:p w14:paraId="35F2FAB3" w14:textId="386BDC0F" w:rsidR="003A052F" w:rsidRPr="00572113" w:rsidRDefault="00C36A47" w:rsidP="00C6424E">
            <w:pPr>
              <w:shd w:val="clear" w:color="auto" w:fill="FFFFFF"/>
              <w:spacing w:line="293" w:lineRule="atLeast"/>
              <w:jc w:val="both"/>
            </w:pPr>
            <w:r>
              <w:t>MK noteikum</w:t>
            </w:r>
            <w:r w:rsidR="007C67D3">
              <w:t>os</w:t>
            </w:r>
            <w:r>
              <w:t xml:space="preserve"> Nr.</w:t>
            </w:r>
            <w:r w:rsidR="006763B1">
              <w:t xml:space="preserve"> </w:t>
            </w:r>
            <w:r>
              <w:t xml:space="preserve">435 </w:t>
            </w:r>
            <w:r w:rsidR="002B1357" w:rsidRPr="00572113">
              <w:t>no</w:t>
            </w:r>
            <w:r w:rsidR="007C67D3">
              <w:t xml:space="preserve">teikta ar </w:t>
            </w:r>
            <w:r w:rsidR="008675FB">
              <w:t>sa</w:t>
            </w:r>
            <w:r w:rsidR="007C67D3">
              <w:t xml:space="preserve">biedriskā transporta pakalpojumu sniegšanu saistīto zaudējumu kompensēšanas kārtība, </w:t>
            </w:r>
            <w:r>
              <w:t xml:space="preserve">tai skaitā </w:t>
            </w:r>
            <w:r w:rsidR="002B1357" w:rsidRPr="00572113">
              <w:t>par tādu pasažieru pārvadāšanu, kuriem saskaņā ar  MK noteikumiem Nr.</w:t>
            </w:r>
            <w:r w:rsidR="003B3491">
              <w:t xml:space="preserve"> </w:t>
            </w:r>
            <w:r w:rsidR="002B1357" w:rsidRPr="00572113">
              <w:t xml:space="preserve">153  ir noteikti braukšanas maksas atvieglojumi. </w:t>
            </w:r>
          </w:p>
          <w:p w14:paraId="458872F4" w14:textId="786CF978" w:rsidR="002B1357" w:rsidRPr="00572113" w:rsidRDefault="002B1357" w:rsidP="00C6424E">
            <w:pPr>
              <w:shd w:val="clear" w:color="auto" w:fill="FFFFFF"/>
              <w:ind w:left="21" w:firstLine="426"/>
              <w:jc w:val="both"/>
            </w:pPr>
            <w:r w:rsidRPr="00572113">
              <w:t>2017.</w:t>
            </w:r>
            <w:r w:rsidR="003B3491">
              <w:t xml:space="preserve"> </w:t>
            </w:r>
            <w:r w:rsidRPr="00572113">
              <w:t>gada 14.</w:t>
            </w:r>
            <w:r w:rsidR="003B3491">
              <w:t xml:space="preserve"> </w:t>
            </w:r>
            <w:r w:rsidRPr="00572113">
              <w:t>februārī Ministru kab</w:t>
            </w:r>
            <w:r w:rsidR="003B3491">
              <w:t>i</w:t>
            </w:r>
            <w:r w:rsidRPr="00572113">
              <w:t>nets ar noteikumiem Nr.</w:t>
            </w:r>
            <w:r w:rsidR="003B3491">
              <w:t xml:space="preserve"> </w:t>
            </w:r>
            <w:r w:rsidRPr="00572113">
              <w:t>88 apstiprināja grozījumus noteikumos Nr.</w:t>
            </w:r>
            <w:r w:rsidR="003B3491">
              <w:t xml:space="preserve"> </w:t>
            </w:r>
            <w:r w:rsidRPr="00572113">
              <w:t>435, papildinot tos ar 104.</w:t>
            </w:r>
            <w:r w:rsidR="003B3491">
              <w:t xml:space="preserve"> </w:t>
            </w:r>
            <w:r w:rsidRPr="00572113">
              <w:t xml:space="preserve">punktu, kurā noteikts, ka noteikumu </w:t>
            </w:r>
            <w:r w:rsidR="00E8510D">
              <w:t xml:space="preserve">prasības attiecībā par personu ar braukšanas maksas atvieglojumiem kompensēšanas un uzskaites kārtību (noteikumu </w:t>
            </w:r>
            <w:r w:rsidRPr="00572113">
              <w:t>2.</w:t>
            </w:r>
            <w:r w:rsidR="003B3491">
              <w:t xml:space="preserve"> </w:t>
            </w:r>
            <w:r w:rsidRPr="00572113">
              <w:t>5.</w:t>
            </w:r>
            <w:r w:rsidR="003B3491">
              <w:t xml:space="preserve"> </w:t>
            </w:r>
            <w:r w:rsidRPr="00572113">
              <w:t xml:space="preserve"> un 6.</w:t>
            </w:r>
            <w:r w:rsidR="003B3491">
              <w:t xml:space="preserve"> </w:t>
            </w:r>
            <w:r w:rsidRPr="00572113">
              <w:t>5. apakšpunkts, 9.</w:t>
            </w:r>
            <w:r w:rsidR="003B3491">
              <w:t xml:space="preserve"> </w:t>
            </w:r>
            <w:r w:rsidRPr="00572113">
              <w:rPr>
                <w:vertAlign w:val="superscript"/>
              </w:rPr>
              <w:t>1</w:t>
            </w:r>
            <w:r w:rsidRPr="00572113">
              <w:t xml:space="preserve"> punkts un 5. pielikuma 13. aile</w:t>
            </w:r>
            <w:r w:rsidR="00E8510D">
              <w:t>)</w:t>
            </w:r>
            <w:r w:rsidRPr="00572113">
              <w:t xml:space="preserve"> ir spēkā līdz 2017. gada 30. jūnijam. Noteikumu 104.</w:t>
            </w:r>
            <w:r w:rsidR="003B3491">
              <w:t xml:space="preserve"> </w:t>
            </w:r>
            <w:r w:rsidRPr="00572113">
              <w:t xml:space="preserve">punktā noteiktais termiņš bija </w:t>
            </w:r>
            <w:r w:rsidR="00E8510D">
              <w:t xml:space="preserve">noteikts atbilstoši </w:t>
            </w:r>
            <w:r w:rsidRPr="00572113">
              <w:t>MK noteikumu  Nr.</w:t>
            </w:r>
            <w:r w:rsidR="003B3491">
              <w:t xml:space="preserve"> </w:t>
            </w:r>
            <w:r w:rsidRPr="00572113">
              <w:t>153</w:t>
            </w:r>
            <w:r w:rsidR="00E8510D">
              <w:t xml:space="preserve"> plānotajam i</w:t>
            </w:r>
            <w:r w:rsidRPr="00572113">
              <w:t>eviešanas termiņ</w:t>
            </w:r>
            <w:r w:rsidR="00E8510D">
              <w:t xml:space="preserve">am - </w:t>
            </w:r>
            <w:r w:rsidRPr="00572113">
              <w:t>2017.</w:t>
            </w:r>
            <w:r w:rsidR="003B3491">
              <w:t xml:space="preserve"> </w:t>
            </w:r>
            <w:r w:rsidRPr="00572113">
              <w:t>gada 1.</w:t>
            </w:r>
            <w:r w:rsidR="003B3491">
              <w:t xml:space="preserve"> </w:t>
            </w:r>
            <w:r w:rsidRPr="00572113">
              <w:t>jūlijs</w:t>
            </w:r>
            <w:r w:rsidR="003B3491">
              <w:t xml:space="preserve">. </w:t>
            </w:r>
            <w:r w:rsidR="00D22DBC" w:rsidRPr="00572113">
              <w:t xml:space="preserve"> </w:t>
            </w:r>
            <w:r w:rsidR="003B3491">
              <w:t>Ņemto vērā Ministru kab</w:t>
            </w:r>
            <w:r w:rsidR="00E8510D">
              <w:t>i</w:t>
            </w:r>
            <w:r w:rsidR="003B3491">
              <w:t>net</w:t>
            </w:r>
            <w:r w:rsidR="00E8510D">
              <w:t>a 2017.gada 4.aprīļa sēd</w:t>
            </w:r>
            <w:r w:rsidR="008675FB">
              <w:t>es</w:t>
            </w:r>
            <w:r w:rsidR="00E8510D">
              <w:t xml:space="preserve"> lēmum</w:t>
            </w:r>
            <w:r w:rsidR="008675FB">
              <w:t>ā</w:t>
            </w:r>
            <w:r w:rsidR="003B3491">
              <w:t xml:space="preserve"> atbalstīto </w:t>
            </w:r>
            <w:r w:rsidR="00D22DBC" w:rsidRPr="00572113">
              <w:t xml:space="preserve">braukšanas maksas ieviešanas </w:t>
            </w:r>
            <w:r w:rsidR="003B3491">
              <w:t xml:space="preserve">elektroniskās uzskaites pakāpenisko </w:t>
            </w:r>
            <w:r w:rsidR="00D22DBC" w:rsidRPr="00572113">
              <w:t>risinājumu un tā ieviešanai paredzēto</w:t>
            </w:r>
            <w:r w:rsidR="00E8510D">
              <w:t>s</w:t>
            </w:r>
            <w:r w:rsidR="00D22DBC" w:rsidRPr="00572113">
              <w:t xml:space="preserve"> noteikumus, </w:t>
            </w:r>
            <w:r w:rsidR="00E8510D">
              <w:t xml:space="preserve">MK noteikumu Nr.435 grozījumu </w:t>
            </w:r>
            <w:r w:rsidR="00D22DBC" w:rsidRPr="00572113">
              <w:t>projektā paredzēts svītrot 104.</w:t>
            </w:r>
            <w:r w:rsidR="003B3491">
              <w:t xml:space="preserve"> </w:t>
            </w:r>
            <w:r w:rsidR="00D22DBC" w:rsidRPr="00572113">
              <w:t>punktu, atceļot noteikumu 2.5. un 6.5. apakšpunkt</w:t>
            </w:r>
            <w:r w:rsidR="00E8510D">
              <w:t>u</w:t>
            </w:r>
            <w:r w:rsidR="00D22DBC" w:rsidRPr="00572113">
              <w:t>s, 9.</w:t>
            </w:r>
            <w:r w:rsidR="003B3491">
              <w:t xml:space="preserve"> </w:t>
            </w:r>
            <w:r w:rsidR="00D22DBC" w:rsidRPr="00572113">
              <w:rPr>
                <w:vertAlign w:val="superscript"/>
              </w:rPr>
              <w:t>1</w:t>
            </w:r>
            <w:r w:rsidR="00D22DBC" w:rsidRPr="00572113">
              <w:t xml:space="preserve"> punkt</w:t>
            </w:r>
            <w:r w:rsidR="00E8510D">
              <w:t>u</w:t>
            </w:r>
            <w:r w:rsidR="00D22DBC" w:rsidRPr="00572113">
              <w:t xml:space="preserve"> un 5. pielikuma 13. </w:t>
            </w:r>
            <w:r w:rsidR="00E8510D" w:rsidRPr="00572113">
              <w:t>aile</w:t>
            </w:r>
            <w:r w:rsidR="00E8510D">
              <w:t xml:space="preserve">s </w:t>
            </w:r>
            <w:r w:rsidR="00D22DBC" w:rsidRPr="00572113">
              <w:t xml:space="preserve">darbības termiņa ierobežojumu. </w:t>
            </w:r>
          </w:p>
          <w:p w14:paraId="1EAED0E3" w14:textId="1FF9D1E7" w:rsidR="003B3491" w:rsidRDefault="003B3491" w:rsidP="00C6424E">
            <w:pPr>
              <w:spacing w:after="160" w:line="256" w:lineRule="auto"/>
              <w:ind w:left="21"/>
              <w:jc w:val="both"/>
            </w:pPr>
            <w:r>
              <w:t xml:space="preserve">     </w:t>
            </w:r>
            <w:r w:rsidR="00E8510D">
              <w:t xml:space="preserve">Bez minētā MK noteikumu Nr.435 grozījumu projektā precizētas  </w:t>
            </w:r>
            <w:r w:rsidR="00D051FD">
              <w:t xml:space="preserve">nepieciešamās </w:t>
            </w:r>
            <w:r w:rsidR="00E8510D">
              <w:t>normas atbilstoši</w:t>
            </w:r>
            <w:r>
              <w:t xml:space="preserve"> </w:t>
            </w:r>
            <w:r w:rsidR="00E8510D">
              <w:t>Satiksmes ministrijas i</w:t>
            </w:r>
            <w:r w:rsidR="00D22DBC" w:rsidRPr="00572113">
              <w:t>nf</w:t>
            </w:r>
            <w:r w:rsidR="002E36E9" w:rsidRPr="00572113">
              <w:t>or</w:t>
            </w:r>
            <w:r w:rsidR="00D22DBC" w:rsidRPr="00572113">
              <w:t>matīv</w:t>
            </w:r>
            <w:r>
              <w:t xml:space="preserve">ajā </w:t>
            </w:r>
            <w:r w:rsidR="00D22DBC" w:rsidRPr="00572113">
              <w:t>ziņojum</w:t>
            </w:r>
            <w:r>
              <w:t>ā</w:t>
            </w:r>
            <w:r w:rsidR="00D22DBC" w:rsidRPr="00572113">
              <w:t xml:space="preserve"> iekļaut</w:t>
            </w:r>
            <w:r w:rsidR="00E8510D">
              <w:t>ajam</w:t>
            </w:r>
            <w:r w:rsidR="00D22DBC" w:rsidRPr="00572113">
              <w:t xml:space="preserve"> </w:t>
            </w:r>
            <w:r w:rsidR="002B1357" w:rsidRPr="00572113">
              <w:t xml:space="preserve">Finanšu ministrijas </w:t>
            </w:r>
            <w:r w:rsidR="00D22DBC" w:rsidRPr="00572113">
              <w:t>atzinum</w:t>
            </w:r>
            <w:r w:rsidR="00E8510D">
              <w:t>am</w:t>
            </w:r>
            <w:r w:rsidR="00D22DBC" w:rsidRPr="00572113">
              <w:t xml:space="preserve"> </w:t>
            </w:r>
            <w:r w:rsidR="002B1357" w:rsidRPr="00572113">
              <w:t xml:space="preserve">par </w:t>
            </w:r>
            <w:r w:rsidR="00E8510D">
              <w:t>p</w:t>
            </w:r>
            <w:r w:rsidR="002B1357" w:rsidRPr="00572113">
              <w:t xml:space="preserve">ievienotās vērtības nodokļa piemērošanu pasažieru pārvadājumiem ar valsts noteiktajiem 100% braukšanas maksas atvieglojumiem, </w:t>
            </w:r>
            <w:r>
              <w:t xml:space="preserve">attiecīgi </w:t>
            </w:r>
            <w:r w:rsidR="00D22DBC" w:rsidRPr="00572113">
              <w:t>groz</w:t>
            </w:r>
            <w:r w:rsidR="00E8510D">
              <w:t>ot</w:t>
            </w:r>
            <w:r w:rsidR="00D22DBC" w:rsidRPr="00572113">
              <w:t xml:space="preserve"> </w:t>
            </w:r>
            <w:r w:rsidR="002B1357" w:rsidRPr="00572113">
              <w:t xml:space="preserve">noteikumu </w:t>
            </w:r>
            <w:r w:rsidR="002E36E9" w:rsidRPr="00572113">
              <w:t>4.</w:t>
            </w:r>
            <w:r>
              <w:t xml:space="preserve"> </w:t>
            </w:r>
            <w:r w:rsidR="002B1357" w:rsidRPr="00572113">
              <w:t>pielikum</w:t>
            </w:r>
            <w:r w:rsidR="00E8510D">
              <w:t>u</w:t>
            </w:r>
            <w:r w:rsidR="002B1357" w:rsidRPr="00572113">
              <w:t xml:space="preserve"> </w:t>
            </w:r>
            <w:r w:rsidR="00D22DBC" w:rsidRPr="00572113">
              <w:t>“Info</w:t>
            </w:r>
            <w:r w:rsidR="002E36E9" w:rsidRPr="00572113">
              <w:t>r</w:t>
            </w:r>
            <w:r w:rsidR="00D22DBC" w:rsidRPr="00572113">
              <w:t xml:space="preserve">mācija par pasažieru </w:t>
            </w:r>
            <w:proofErr w:type="spellStart"/>
            <w:r w:rsidR="00D22DBC" w:rsidRPr="00572113">
              <w:t>pāravdāšanu</w:t>
            </w:r>
            <w:proofErr w:type="spellEnd"/>
            <w:r w:rsidR="00D22DBC" w:rsidRPr="00572113">
              <w:t xml:space="preserve"> un braukšanas maksas atvieglojumiem”, papildinot ar aili  “G” – pievienotās vērtības nodoklis par “F ailē” norādīto nesaņemto ieņēmumu daļu,</w:t>
            </w:r>
            <w:r>
              <w:t xml:space="preserve"> un</w:t>
            </w:r>
            <w:r w:rsidR="00D22DBC" w:rsidRPr="00572113">
              <w:t xml:space="preserve"> attiecīgi precizējot veidlapas redakciju</w:t>
            </w:r>
            <w:r>
              <w:t xml:space="preserve">. </w:t>
            </w:r>
            <w:r w:rsidR="00D051FD">
              <w:t>Šīs normas spēkā stāšanās paredzēta ar 2018.gada 1.janvāri.</w:t>
            </w:r>
          </w:p>
          <w:p w14:paraId="33904A90" w14:textId="0B208E2C" w:rsidR="003B3491" w:rsidRDefault="003B3491" w:rsidP="00C6424E">
            <w:pPr>
              <w:spacing w:after="160" w:line="256" w:lineRule="auto"/>
              <w:ind w:left="21"/>
              <w:jc w:val="both"/>
            </w:pPr>
            <w:r>
              <w:t xml:space="preserve"> Papildus </w:t>
            </w:r>
            <w:r w:rsidR="00D051FD">
              <w:t xml:space="preserve">MK noteikumu Nr.435 projektā </w:t>
            </w:r>
            <w:r>
              <w:t xml:space="preserve">tiek </w:t>
            </w:r>
            <w:r w:rsidR="002E36E9" w:rsidRPr="00572113">
              <w:t>precizēta 5.</w:t>
            </w:r>
            <w:r>
              <w:t xml:space="preserve"> </w:t>
            </w:r>
            <w:r w:rsidR="002E36E9" w:rsidRPr="00572113">
              <w:t>pielikuma “Informācija par zaudējumiem maršrutos, kuriem vairāk nekā 30% no kopējā maršruta garuma ir ārpus pilsētas administratīvās teritorijas” 13.</w:t>
            </w:r>
            <w:r>
              <w:t xml:space="preserve"> </w:t>
            </w:r>
            <w:r w:rsidR="002E36E9" w:rsidRPr="00572113">
              <w:t>ailes nosaukums “Zaudējumi par personu ar invaliditāti pārvadāšanu (EUR) tabulā un tabulas aizpildīšanas paskaidrojumā</w:t>
            </w:r>
            <w:r w:rsidR="000D0905" w:rsidRPr="00572113">
              <w:t>, atbilstoši Likuma par invaliditāti lietotajam terminam.</w:t>
            </w:r>
            <w:r>
              <w:t xml:space="preserve"> </w:t>
            </w:r>
          </w:p>
          <w:p w14:paraId="4BD4AA37" w14:textId="06305116" w:rsidR="007C67D3" w:rsidRDefault="007C67D3" w:rsidP="00C6424E">
            <w:pPr>
              <w:spacing w:after="160" w:line="256" w:lineRule="auto"/>
              <w:ind w:left="21"/>
              <w:jc w:val="both"/>
            </w:pPr>
            <w:r>
              <w:lastRenderedPageBreak/>
              <w:t xml:space="preserve">Saistītā normatīvā akta – MK noteikumu Nr.599 grozījumu projektā paredzēts svītrot vai precizēt normas, kas atbilstoši </w:t>
            </w:r>
            <w:r w:rsidR="003B3491">
              <w:t>MK noteikumi</w:t>
            </w:r>
            <w:r>
              <w:t>em</w:t>
            </w:r>
            <w:r w:rsidR="003B3491">
              <w:t xml:space="preserve"> Nr. 153 paredzēja no 2017. gada 1.jūlija personu, kuriem </w:t>
            </w:r>
            <w:proofErr w:type="spellStart"/>
            <w:r w:rsidR="003B3491">
              <w:t>pienākās</w:t>
            </w:r>
            <w:proofErr w:type="spellEnd"/>
            <w:r w:rsidR="003B3491">
              <w:t xml:space="preserve"> valsts noteiktie atvieglojumi identifikācijai</w:t>
            </w:r>
            <w:r>
              <w:t>,</w:t>
            </w:r>
            <w:r w:rsidR="003B3491">
              <w:t xml:space="preserve"> lietot norēķinu līdzekli,</w:t>
            </w:r>
            <w:r>
              <w:t xml:space="preserve"> </w:t>
            </w:r>
            <w:r w:rsidR="003B3491">
              <w:t>bet minētā tiesību norma netiks ieviesta</w:t>
            </w:r>
            <w:r w:rsidR="00D92209" w:rsidRPr="00572113">
              <w:t>.</w:t>
            </w:r>
            <w:r w:rsidR="003B3491">
              <w:t xml:space="preserve"> </w:t>
            </w:r>
            <w:r>
              <w:t>Tiek paredzēts, ka personām savas tiesības izmantot braukšanas maksas atvieglojumu tā pat kā pašlaik būs jāapliecina, uzrādot attiecīgu statusu apliecinošu apliecību (dokumentu, kas noteikts noteikumos par pasažieru kategorijām ,kurām noteikti braukšanas maksas atvieglojumi).</w:t>
            </w:r>
          </w:p>
          <w:p w14:paraId="7CD3EAEA" w14:textId="6416EEF5" w:rsidR="007C67D3" w:rsidRDefault="007C67D3" w:rsidP="000F0541">
            <w:pPr>
              <w:spacing w:after="160" w:line="256" w:lineRule="auto"/>
              <w:ind w:left="21"/>
              <w:jc w:val="both"/>
            </w:pPr>
            <w:r>
              <w:t xml:space="preserve">Papildus MK noteikumu Nr.599 grozījumu projektā </w:t>
            </w:r>
            <w:r w:rsidR="00FD595C">
              <w:t xml:space="preserve">redakcionāli </w:t>
            </w:r>
            <w:r>
              <w:t>tiek precizēti:</w:t>
            </w:r>
          </w:p>
          <w:p w14:paraId="68D67D00" w14:textId="10F92D3D" w:rsidR="00FD595C" w:rsidRDefault="009D2F8A" w:rsidP="00C6424E">
            <w:pPr>
              <w:spacing w:after="160" w:line="256" w:lineRule="auto"/>
              <w:ind w:left="21"/>
              <w:jc w:val="both"/>
            </w:pPr>
            <w:r>
              <w:t>1</w:t>
            </w:r>
            <w:r w:rsidR="007C67D3">
              <w:t xml:space="preserve">) </w:t>
            </w:r>
            <w:r>
              <w:t xml:space="preserve">personalizēto </w:t>
            </w:r>
            <w:r w:rsidR="007C67D3">
              <w:t>abonementa biļešu noformēšanas kārtība</w:t>
            </w:r>
            <w:r>
              <w:t>, kas neparedzēs obligātu personas fotogrāfiju</w:t>
            </w:r>
            <w:r w:rsidR="00FD595C">
              <w:t>;</w:t>
            </w:r>
          </w:p>
          <w:p w14:paraId="418955B2" w14:textId="33384EE7" w:rsidR="003B3491" w:rsidRDefault="009D2F8A" w:rsidP="00C6424E">
            <w:pPr>
              <w:spacing w:after="160" w:line="256" w:lineRule="auto"/>
              <w:ind w:left="21"/>
              <w:jc w:val="both"/>
            </w:pPr>
            <w:r>
              <w:t>2</w:t>
            </w:r>
            <w:r w:rsidR="00FD595C">
              <w:t xml:space="preserve">) </w:t>
            </w:r>
            <w:r w:rsidR="00BA58D5">
              <w:t xml:space="preserve"> elektronisko biļešu veidi (piemēram, biļetes mobilajos telefonos)</w:t>
            </w:r>
            <w:r w:rsidR="008675FB">
              <w:t>.</w:t>
            </w:r>
          </w:p>
          <w:p w14:paraId="3CAE735E" w14:textId="77777777" w:rsidR="000D0905" w:rsidRPr="00572113" w:rsidRDefault="000D0905" w:rsidP="006B20FF">
            <w:pPr>
              <w:widowControl w:val="0"/>
              <w:tabs>
                <w:tab w:val="left" w:pos="0"/>
                <w:tab w:val="left" w:pos="1134"/>
              </w:tabs>
              <w:jc w:val="both"/>
            </w:pPr>
          </w:p>
        </w:tc>
      </w:tr>
      <w:tr w:rsidR="005A6EF3" w:rsidRPr="00883DA1" w14:paraId="22708225" w14:textId="77777777" w:rsidTr="00D05ADD">
        <w:trPr>
          <w:trHeight w:val="953"/>
        </w:trPr>
        <w:tc>
          <w:tcPr>
            <w:tcW w:w="630" w:type="dxa"/>
          </w:tcPr>
          <w:p w14:paraId="2F692430" w14:textId="68E7FD54" w:rsidR="005A6EF3" w:rsidRPr="00883DA1" w:rsidRDefault="005A6EF3" w:rsidP="00C6424E">
            <w:pPr>
              <w:pStyle w:val="naiskr"/>
              <w:spacing w:before="0" w:after="0"/>
              <w:jc w:val="center"/>
            </w:pPr>
            <w:r w:rsidRPr="00883DA1">
              <w:lastRenderedPageBreak/>
              <w:t>3.</w:t>
            </w:r>
          </w:p>
        </w:tc>
        <w:tc>
          <w:tcPr>
            <w:tcW w:w="2268" w:type="dxa"/>
          </w:tcPr>
          <w:p w14:paraId="6F9E177B" w14:textId="77777777" w:rsidR="005A6EF3" w:rsidRPr="00883DA1" w:rsidRDefault="005A6EF3" w:rsidP="00C6424E">
            <w:pPr>
              <w:pStyle w:val="naiskr"/>
              <w:spacing w:before="0" w:after="0"/>
            </w:pPr>
            <w:r w:rsidRPr="00883DA1">
              <w:t>Projekta izstrādē iesaistītās institūcijas</w:t>
            </w:r>
          </w:p>
        </w:tc>
        <w:tc>
          <w:tcPr>
            <w:tcW w:w="6878" w:type="dxa"/>
          </w:tcPr>
          <w:p w14:paraId="1EF7C5EB" w14:textId="77777777" w:rsidR="005A6EF3" w:rsidRPr="00883DA1" w:rsidRDefault="005A6EF3" w:rsidP="00C6424E">
            <w:pPr>
              <w:pStyle w:val="naiskr"/>
              <w:spacing w:before="0" w:after="0"/>
              <w:jc w:val="both"/>
            </w:pPr>
            <w:r w:rsidRPr="00883DA1">
              <w:t>Satiksmes ministrija,</w:t>
            </w:r>
            <w:r w:rsidR="006A62B2">
              <w:t xml:space="preserve"> </w:t>
            </w:r>
            <w:r w:rsidR="006A62B2" w:rsidRPr="00883DA1">
              <w:t xml:space="preserve"> Finanšu ministrija</w:t>
            </w:r>
            <w:r w:rsidR="006A62B2">
              <w:t xml:space="preserve">, Labklājības ministrija, </w:t>
            </w:r>
            <w:r w:rsidRPr="00883DA1">
              <w:t xml:space="preserve">Vides aizsardzības un reģionālās attīstības ministrija, </w:t>
            </w:r>
            <w:proofErr w:type="spellStart"/>
            <w:r w:rsidR="006A62B2">
              <w:t>Iekšlietu</w:t>
            </w:r>
            <w:proofErr w:type="spellEnd"/>
            <w:r w:rsidR="006A62B2">
              <w:t xml:space="preserve"> ministrija, </w:t>
            </w:r>
            <w:proofErr w:type="spellStart"/>
            <w:r w:rsidR="006A62B2">
              <w:t>Pārresoru</w:t>
            </w:r>
            <w:proofErr w:type="spellEnd"/>
            <w:r w:rsidR="006A62B2">
              <w:t xml:space="preserve"> koordinācijas centrs, Latvijas Pašvaldību savienība, </w:t>
            </w:r>
            <w:r w:rsidR="00072642">
              <w:t xml:space="preserve">Latvijas Pasažieru </w:t>
            </w:r>
            <w:proofErr w:type="spellStart"/>
            <w:r w:rsidR="00072642">
              <w:t>pāradvātāju</w:t>
            </w:r>
            <w:proofErr w:type="spellEnd"/>
            <w:r w:rsidR="00072642">
              <w:t xml:space="preserve"> asociācija, </w:t>
            </w:r>
            <w:r w:rsidR="006A62B2">
              <w:t>VISA “Autotransporta direkcija”.</w:t>
            </w:r>
          </w:p>
        </w:tc>
      </w:tr>
      <w:tr w:rsidR="005A6EF3" w:rsidRPr="00883DA1" w14:paraId="6C6464DA" w14:textId="77777777" w:rsidTr="00D05ADD">
        <w:tc>
          <w:tcPr>
            <w:tcW w:w="630" w:type="dxa"/>
          </w:tcPr>
          <w:p w14:paraId="513D7AA4" w14:textId="77777777" w:rsidR="005A6EF3" w:rsidRPr="00883DA1" w:rsidRDefault="005A6EF3" w:rsidP="00C6424E">
            <w:pPr>
              <w:pStyle w:val="naiskr"/>
              <w:spacing w:before="0" w:after="0"/>
              <w:jc w:val="center"/>
            </w:pPr>
            <w:r w:rsidRPr="00883DA1">
              <w:t>4.</w:t>
            </w:r>
          </w:p>
        </w:tc>
        <w:tc>
          <w:tcPr>
            <w:tcW w:w="2268" w:type="dxa"/>
          </w:tcPr>
          <w:p w14:paraId="3E96BE12" w14:textId="77777777" w:rsidR="005A6EF3" w:rsidRPr="00883DA1" w:rsidRDefault="005A6EF3" w:rsidP="00C6424E">
            <w:pPr>
              <w:pStyle w:val="naiskr"/>
              <w:spacing w:before="0" w:after="0"/>
            </w:pPr>
            <w:r w:rsidRPr="00883DA1">
              <w:t>Cita informācija</w:t>
            </w:r>
          </w:p>
        </w:tc>
        <w:tc>
          <w:tcPr>
            <w:tcW w:w="6878" w:type="dxa"/>
          </w:tcPr>
          <w:p w14:paraId="38067FDF" w14:textId="77777777" w:rsidR="005A6EF3" w:rsidRPr="00883DA1" w:rsidRDefault="005A6EF3" w:rsidP="00C6424E">
            <w:pPr>
              <w:pStyle w:val="naiskr"/>
              <w:spacing w:before="0" w:after="0"/>
              <w:jc w:val="both"/>
            </w:pPr>
            <w:r w:rsidRPr="00883DA1">
              <w:t>Nav.</w:t>
            </w:r>
          </w:p>
        </w:tc>
      </w:tr>
    </w:tbl>
    <w:p w14:paraId="627DED0A" w14:textId="77777777" w:rsidR="00852042" w:rsidRPr="00883DA1" w:rsidRDefault="00852042" w:rsidP="00A25063">
      <w:pPr>
        <w:pStyle w:val="naisf"/>
        <w:spacing w:before="0" w:after="0"/>
        <w:ind w:firstLine="0"/>
      </w:pPr>
    </w:p>
    <w:p w14:paraId="13FB7D90" w14:textId="77777777" w:rsidR="009D4EF6" w:rsidRPr="00883DA1" w:rsidRDefault="009D4EF6" w:rsidP="00A25063">
      <w:pPr>
        <w:pStyle w:val="naisf"/>
        <w:spacing w:before="0" w:after="0"/>
        <w:ind w:firstLine="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1821"/>
        <w:gridCol w:w="7393"/>
      </w:tblGrid>
      <w:tr w:rsidR="009A0027" w:rsidRPr="00883DA1" w14:paraId="2FC0FAB2" w14:textId="77777777" w:rsidTr="00E3642A">
        <w:trPr>
          <w:jc w:val="center"/>
        </w:trPr>
        <w:tc>
          <w:tcPr>
            <w:tcW w:w="9776" w:type="dxa"/>
            <w:gridSpan w:val="3"/>
          </w:tcPr>
          <w:p w14:paraId="320CCA7D" w14:textId="77777777"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14:paraId="793F9CEB" w14:textId="77777777" w:rsidTr="00E3642A">
        <w:trPr>
          <w:jc w:val="center"/>
        </w:trPr>
        <w:tc>
          <w:tcPr>
            <w:tcW w:w="562" w:type="dxa"/>
          </w:tcPr>
          <w:p w14:paraId="195E5DFA" w14:textId="77777777" w:rsidR="00906989" w:rsidRPr="00883DA1" w:rsidRDefault="00906989" w:rsidP="00A25063">
            <w:pPr>
              <w:pStyle w:val="naiskr"/>
              <w:tabs>
                <w:tab w:val="left" w:pos="2628"/>
              </w:tabs>
              <w:spacing w:before="0" w:after="0"/>
              <w:jc w:val="center"/>
              <w:rPr>
                <w:iCs/>
              </w:rPr>
            </w:pPr>
            <w:r w:rsidRPr="00883DA1">
              <w:rPr>
                <w:iCs/>
              </w:rPr>
              <w:t>1.</w:t>
            </w:r>
          </w:p>
        </w:tc>
        <w:tc>
          <w:tcPr>
            <w:tcW w:w="1821" w:type="dxa"/>
          </w:tcPr>
          <w:p w14:paraId="5447F518" w14:textId="77777777" w:rsidR="00906989" w:rsidRPr="00883DA1" w:rsidRDefault="00906989" w:rsidP="00A25063">
            <w:pPr>
              <w:pStyle w:val="naiskr"/>
              <w:spacing w:before="0" w:after="0"/>
              <w:rPr>
                <w:iCs/>
              </w:rPr>
            </w:pPr>
            <w:r w:rsidRPr="00883DA1">
              <w:t xml:space="preserve">Sabiedrības </w:t>
            </w:r>
            <w:proofErr w:type="spellStart"/>
            <w:r w:rsidRPr="00883DA1">
              <w:t>mērķgrupas</w:t>
            </w:r>
            <w:proofErr w:type="spellEnd"/>
            <w:r w:rsidRPr="00883DA1">
              <w:t>, kuras tiesiskais regulējums ietekmē vai varētu ietekmēt</w:t>
            </w:r>
          </w:p>
        </w:tc>
        <w:tc>
          <w:tcPr>
            <w:tcW w:w="7393" w:type="dxa"/>
          </w:tcPr>
          <w:p w14:paraId="6792792D" w14:textId="44075E04" w:rsidR="002E3ABF" w:rsidRPr="006A62B2" w:rsidRDefault="00932431" w:rsidP="00072642">
            <w:pPr>
              <w:jc w:val="both"/>
            </w:pPr>
            <w:r w:rsidRPr="00883DA1">
              <w:t>T</w:t>
            </w:r>
            <w:r w:rsidR="003E493E" w:rsidRPr="00883DA1">
              <w:t xml:space="preserve">iesiskais regulējums tiešā veidā ietekmē </w:t>
            </w:r>
            <w:r w:rsidR="003C06BD" w:rsidRPr="00883DA1">
              <w:t>S</w:t>
            </w:r>
            <w:r w:rsidR="003E493E" w:rsidRPr="00883DA1">
              <w:t>atiksmes ministriju</w:t>
            </w:r>
            <w:r w:rsidR="006849F5" w:rsidRPr="003E2D3F">
              <w:t xml:space="preserve"> </w:t>
            </w:r>
            <w:r w:rsidR="006849F5" w:rsidRPr="006849F5">
              <w:t>(VSIA „Autotransporta direkciju)</w:t>
            </w:r>
            <w:r w:rsidR="003C06BD" w:rsidRPr="006849F5">
              <w:t>, Labklāj</w:t>
            </w:r>
            <w:r w:rsidR="003E493E" w:rsidRPr="006849F5">
              <w:t>ības ministriju</w:t>
            </w:r>
            <w:r w:rsidR="006849F5" w:rsidRPr="006849F5">
              <w:t xml:space="preserve"> (Veselības un darbspēju ekspertīzes ārstu valsts komisiju, Valsts bērnu tiesību aizsardzības inspekciju)</w:t>
            </w:r>
            <w:r w:rsidR="003C06BD" w:rsidRPr="006849F5">
              <w:t xml:space="preserve">, </w:t>
            </w:r>
            <w:proofErr w:type="spellStart"/>
            <w:r w:rsidR="003C06BD" w:rsidRPr="006849F5">
              <w:t>Iekšlietu</w:t>
            </w:r>
            <w:proofErr w:type="spellEnd"/>
            <w:r w:rsidR="003C06BD" w:rsidRPr="006849F5">
              <w:t xml:space="preserve"> ministrij</w:t>
            </w:r>
            <w:r w:rsidR="003E493E" w:rsidRPr="006849F5">
              <w:t>u</w:t>
            </w:r>
            <w:r w:rsidR="006849F5" w:rsidRPr="006849F5">
              <w:t xml:space="preserve"> (Pilsonības un migrācijas lietu pārvaldi)</w:t>
            </w:r>
            <w:r w:rsidR="004907B8" w:rsidRPr="006849F5">
              <w:t>,</w:t>
            </w:r>
            <w:r w:rsidR="00BA58D5">
              <w:t xml:space="preserve"> </w:t>
            </w:r>
            <w:proofErr w:type="spellStart"/>
            <w:r w:rsidR="00BA58D5">
              <w:t>Pārresoru</w:t>
            </w:r>
            <w:proofErr w:type="spellEnd"/>
            <w:r w:rsidR="00BA58D5">
              <w:t xml:space="preserve"> koordinācijas centru (Sabiedrības integrācijas fondu),</w:t>
            </w:r>
            <w:r w:rsidR="004907B8" w:rsidRPr="006849F5">
              <w:t xml:space="preserve"> sabiedriskā transporta pakalpojumu sniedz</w:t>
            </w:r>
            <w:r w:rsidR="003E493E" w:rsidRPr="006849F5">
              <w:t>ējus</w:t>
            </w:r>
            <w:r w:rsidR="00587093">
              <w:t>.</w:t>
            </w:r>
            <w:r w:rsidR="006A62B2">
              <w:t xml:space="preserve"> P</w:t>
            </w:r>
            <w:r w:rsidR="006A62B2" w:rsidRPr="00883DA1">
              <w:t>ašvaldības, kuras kompensē attiecīgo kategoriju pasažieriem (vispārizglītojošo iestāžu izglītojamiem) transporta pakalpojumus</w:t>
            </w:r>
            <w:r w:rsidR="006A62B2">
              <w:t xml:space="preserve"> un Republikas nozīmes pil</w:t>
            </w:r>
            <w:r w:rsidR="00072642">
              <w:t>s</w:t>
            </w:r>
            <w:r w:rsidR="006A62B2">
              <w:t>ētu pašvaldības, kuras ir sabiedriskā transporta pakalpojumu pasūtītājas.</w:t>
            </w:r>
          </w:p>
        </w:tc>
      </w:tr>
      <w:tr w:rsidR="000123E4" w:rsidRPr="00C844DE" w14:paraId="5CF58E5F" w14:textId="77777777" w:rsidTr="00E3642A">
        <w:trPr>
          <w:jc w:val="center"/>
        </w:trPr>
        <w:tc>
          <w:tcPr>
            <w:tcW w:w="562" w:type="dxa"/>
          </w:tcPr>
          <w:p w14:paraId="1873E0F4" w14:textId="77777777" w:rsidR="00906989" w:rsidRPr="00C844DE" w:rsidRDefault="00906989" w:rsidP="00A25063">
            <w:pPr>
              <w:pStyle w:val="naiskr"/>
              <w:tabs>
                <w:tab w:val="left" w:pos="2628"/>
              </w:tabs>
              <w:spacing w:before="0" w:after="0"/>
              <w:jc w:val="center"/>
              <w:rPr>
                <w:iCs/>
              </w:rPr>
            </w:pPr>
            <w:r w:rsidRPr="00C844DE">
              <w:rPr>
                <w:iCs/>
              </w:rPr>
              <w:t>2.</w:t>
            </w:r>
          </w:p>
        </w:tc>
        <w:tc>
          <w:tcPr>
            <w:tcW w:w="1821" w:type="dxa"/>
          </w:tcPr>
          <w:p w14:paraId="3089B49A" w14:textId="77777777" w:rsidR="00906989" w:rsidRPr="00C844DE" w:rsidRDefault="00906989" w:rsidP="00A25063">
            <w:pPr>
              <w:pStyle w:val="naiskr"/>
              <w:spacing w:before="0" w:after="0"/>
            </w:pPr>
            <w:r w:rsidRPr="00C844DE">
              <w:t>Tiesiskā regulējuma ietekme uz tautsaimniecību un administratīvo slogu</w:t>
            </w:r>
          </w:p>
        </w:tc>
        <w:tc>
          <w:tcPr>
            <w:tcW w:w="7393" w:type="dxa"/>
          </w:tcPr>
          <w:p w14:paraId="2DE2481F" w14:textId="71B7AAED" w:rsidR="000E435E" w:rsidRPr="00C844DE" w:rsidRDefault="00CD1DE9" w:rsidP="00E0148C">
            <w:pPr>
              <w:jc w:val="both"/>
            </w:pPr>
            <w:r w:rsidRPr="00C844DE">
              <w:t xml:space="preserve">Ar tiesisko regulējumu tiks ieviests jauns papildu braukšanas maksas atvieglojumu veids, kas ļaus </w:t>
            </w:r>
            <w:proofErr w:type="spellStart"/>
            <w:r w:rsidRPr="00C844DE">
              <w:t>daudzbērnu</w:t>
            </w:r>
            <w:proofErr w:type="spellEnd"/>
            <w:r w:rsidRPr="00C844DE">
              <w:t xml:space="preserve"> </w:t>
            </w:r>
            <w:proofErr w:type="spellStart"/>
            <w:r w:rsidRPr="00C844DE">
              <w:t>ģimes</w:t>
            </w:r>
            <w:proofErr w:type="spellEnd"/>
            <w:r w:rsidRPr="00C844DE">
              <w:t xml:space="preserve"> locekļiem samazināt savus ikdienas izdevumus</w:t>
            </w:r>
            <w:r w:rsidR="00B77F46" w:rsidRPr="00C844DE">
              <w:t>, radot iespēju pārvietoties reģionālās nozīmes sabiedriskajā transportā ar 25% braukšanas maksas atvieglojumu.</w:t>
            </w:r>
            <w:r w:rsidRPr="00C844DE">
              <w:t xml:space="preserve"> </w:t>
            </w:r>
            <w:r w:rsidR="003B76A1" w:rsidRPr="00C844DE">
              <w:t xml:space="preserve">Tiesiskais regulējums noteiks termiņus Satiksmes ministrijai un republikas nozīmes pašvaldībām braukšanas maksas atvieglojumu saņēmēju uzskaites pilnveidošanai, kā arī zaudējumu kompensēšanai piešķirto valsts budžeta līdzekļu izlietojuma pamatošanai. Tiesiskais regulējums palielinās administratīvo slogu </w:t>
            </w:r>
            <w:bookmarkStart w:id="1" w:name="OLE_LINK1"/>
            <w:bookmarkStart w:id="2" w:name="OLE_LINK2"/>
            <w:r w:rsidR="003B76A1" w:rsidRPr="00C844DE">
              <w:t>pilsētas nozīmes maršrutu pasažieriem ar braukšanas maksas atvieglojumiem</w:t>
            </w:r>
            <w:bookmarkEnd w:id="1"/>
            <w:bookmarkEnd w:id="2"/>
            <w:r w:rsidR="003B76A1" w:rsidRPr="00C844DE">
              <w:t>, jo būs jāizpilda pašva</w:t>
            </w:r>
            <w:r w:rsidR="00AB684D">
              <w:t>l</w:t>
            </w:r>
            <w:r w:rsidR="003B76A1" w:rsidRPr="00C844DE">
              <w:t xml:space="preserve">dību noteiktās prasības saistībā ar pašvaldībās ieviešamo elektronisko braucienu uzskaites sistēmu </w:t>
            </w:r>
            <w:r w:rsidR="003B76A1" w:rsidRPr="00C844DE">
              <w:lastRenderedPageBreak/>
              <w:t xml:space="preserve">(attiecīgu elektronisko identifikācijas līdzekļu izmantošana) to administratīvajās teritorijās (pilsētas nozīmes maršrutos). </w:t>
            </w:r>
            <w:r w:rsidR="00F65447" w:rsidRPr="00C844DE">
              <w:t>Republikas pilsētu pašvaldībām, kuras nav ieviesušas pasažieru ar braukšanas maksas atvieglojumiem elektronisku braucienu uzskaiti</w:t>
            </w:r>
            <w:r w:rsidR="005C4008" w:rsidRPr="00C844DE">
              <w:t xml:space="preserve">, būs nepieciešams </w:t>
            </w:r>
            <w:r w:rsidR="00F65447" w:rsidRPr="00C844DE">
              <w:t>pilsētas nozīmes maršrutos</w:t>
            </w:r>
            <w:r w:rsidR="005C4008" w:rsidRPr="00C844DE">
              <w:t xml:space="preserve"> ieviest</w:t>
            </w:r>
            <w:r w:rsidR="0068163E" w:rsidRPr="00C844DE">
              <w:t xml:space="preserve"> </w:t>
            </w:r>
            <w:r w:rsidR="003B76A1" w:rsidRPr="00C844DE">
              <w:t xml:space="preserve">elektronisku braucienu uzskaites sistēmu </w:t>
            </w:r>
            <w:r w:rsidR="0068163E" w:rsidRPr="00C844DE">
              <w:t xml:space="preserve"> līdz 2020.gada 31.decembrim</w:t>
            </w:r>
            <w:r w:rsidR="00CD38A4">
              <w:t>.</w:t>
            </w:r>
            <w:r w:rsidR="003B76A1" w:rsidRPr="00C844DE">
              <w:t>Bez minētā tiesiskais regulējums paredz sakārto</w:t>
            </w:r>
            <w:r w:rsidRPr="00C844DE">
              <w:t>t</w:t>
            </w:r>
            <w:r w:rsidR="003B76A1" w:rsidRPr="00C844DE">
              <w:t xml:space="preserve"> Pievienotās vērtības nodok</w:t>
            </w:r>
            <w:r w:rsidRPr="00C844DE">
              <w:t>ļa aprēķināšanu un uzskaiti braucieniem ar braukšanas maksas atvieglojumiem, kas radīs papildu nodokļa ieņēmumus budžetā</w:t>
            </w:r>
            <w:r w:rsidR="00CD38A4">
              <w:t>.</w:t>
            </w:r>
          </w:p>
        </w:tc>
      </w:tr>
      <w:tr w:rsidR="00CD38A4" w:rsidRPr="00CD38A4" w14:paraId="30079128" w14:textId="77777777" w:rsidTr="00CD38A4">
        <w:trPr>
          <w:jc w:val="center"/>
        </w:trPr>
        <w:tc>
          <w:tcPr>
            <w:tcW w:w="562" w:type="dxa"/>
            <w:shd w:val="clear" w:color="auto" w:fill="auto"/>
          </w:tcPr>
          <w:p w14:paraId="5363CCCB" w14:textId="77777777" w:rsidR="00906989" w:rsidRPr="00CD38A4" w:rsidRDefault="00906989" w:rsidP="00A25063">
            <w:pPr>
              <w:pStyle w:val="naiskr"/>
              <w:tabs>
                <w:tab w:val="left" w:pos="2628"/>
              </w:tabs>
              <w:spacing w:before="0" w:after="0"/>
              <w:jc w:val="center"/>
              <w:rPr>
                <w:iCs/>
              </w:rPr>
            </w:pPr>
            <w:r w:rsidRPr="00CD38A4">
              <w:rPr>
                <w:iCs/>
              </w:rPr>
              <w:lastRenderedPageBreak/>
              <w:t>3.</w:t>
            </w:r>
          </w:p>
        </w:tc>
        <w:tc>
          <w:tcPr>
            <w:tcW w:w="1821" w:type="dxa"/>
            <w:shd w:val="clear" w:color="auto" w:fill="auto"/>
          </w:tcPr>
          <w:p w14:paraId="36B4725F" w14:textId="77777777" w:rsidR="00906989" w:rsidRPr="00CD38A4" w:rsidRDefault="00906989" w:rsidP="00A25063">
            <w:pPr>
              <w:pStyle w:val="naiskr"/>
              <w:tabs>
                <w:tab w:val="left" w:pos="2628"/>
              </w:tabs>
              <w:spacing w:before="0" w:after="0"/>
              <w:rPr>
                <w:iCs/>
              </w:rPr>
            </w:pPr>
            <w:r w:rsidRPr="00CD38A4">
              <w:t>Administratīvo izmaksu monetārs novērtējums</w:t>
            </w:r>
          </w:p>
        </w:tc>
        <w:tc>
          <w:tcPr>
            <w:tcW w:w="7393" w:type="dxa"/>
            <w:shd w:val="clear" w:color="auto" w:fill="auto"/>
          </w:tcPr>
          <w:p w14:paraId="5CE2490A" w14:textId="142B75E7" w:rsidR="00CD1DE9" w:rsidRPr="00CD38A4" w:rsidRDefault="005C4008" w:rsidP="00F65447">
            <w:pPr>
              <w:jc w:val="both"/>
            </w:pPr>
            <w:bookmarkStart w:id="3" w:name="p25"/>
            <w:bookmarkStart w:id="4" w:name="p-468670"/>
            <w:bookmarkEnd w:id="3"/>
            <w:bookmarkEnd w:id="4"/>
            <w:r w:rsidRPr="00CD38A4">
              <w:t>Iespējamais administratīvā sloga palielinājums pilsētas nozīmes maršrutu pasažieriem ar braukšanas maksas atvieglojumiem nepārsniegs 200 EUR gadā</w:t>
            </w:r>
            <w:r w:rsidR="00CD38A4">
              <w:t>.</w:t>
            </w:r>
          </w:p>
          <w:p w14:paraId="43946C32" w14:textId="0F377077" w:rsidR="00906989" w:rsidRPr="00CD38A4" w:rsidRDefault="00906989" w:rsidP="00F65447">
            <w:pPr>
              <w:jc w:val="both"/>
              <w:rPr>
                <w:iCs/>
              </w:rPr>
            </w:pPr>
          </w:p>
        </w:tc>
      </w:tr>
      <w:tr w:rsidR="00906989" w:rsidRPr="00883DA1" w14:paraId="7FD0927D" w14:textId="77777777" w:rsidTr="00E3642A">
        <w:trPr>
          <w:jc w:val="center"/>
        </w:trPr>
        <w:tc>
          <w:tcPr>
            <w:tcW w:w="562" w:type="dxa"/>
          </w:tcPr>
          <w:p w14:paraId="2D5880F3" w14:textId="275D9ED0" w:rsidR="00906989" w:rsidRPr="00883DA1" w:rsidRDefault="005B1AD1" w:rsidP="00A25063">
            <w:pPr>
              <w:pStyle w:val="naiskr"/>
              <w:tabs>
                <w:tab w:val="left" w:pos="2628"/>
              </w:tabs>
              <w:spacing w:before="0" w:after="0"/>
              <w:jc w:val="center"/>
              <w:rPr>
                <w:iCs/>
              </w:rPr>
            </w:pPr>
            <w:r>
              <w:rPr>
                <w:iCs/>
              </w:rPr>
              <w:t>4</w:t>
            </w:r>
            <w:r w:rsidR="00906989" w:rsidRPr="00883DA1">
              <w:rPr>
                <w:iCs/>
              </w:rPr>
              <w:t>.</w:t>
            </w:r>
          </w:p>
        </w:tc>
        <w:tc>
          <w:tcPr>
            <w:tcW w:w="1821" w:type="dxa"/>
          </w:tcPr>
          <w:p w14:paraId="3757C6D1" w14:textId="77777777" w:rsidR="00906989" w:rsidRPr="00883DA1" w:rsidRDefault="00906989" w:rsidP="00A25063">
            <w:pPr>
              <w:pStyle w:val="naiskr"/>
              <w:tabs>
                <w:tab w:val="left" w:pos="2628"/>
              </w:tabs>
              <w:spacing w:before="0" w:after="0"/>
            </w:pPr>
            <w:r w:rsidRPr="00883DA1">
              <w:t>Cita informācija</w:t>
            </w:r>
          </w:p>
        </w:tc>
        <w:tc>
          <w:tcPr>
            <w:tcW w:w="7393" w:type="dxa"/>
          </w:tcPr>
          <w:p w14:paraId="3D72FFEA" w14:textId="18B4BCBE" w:rsidR="00906989" w:rsidRPr="00F314F5" w:rsidRDefault="005C4008" w:rsidP="00F314F5">
            <w:pPr>
              <w:jc w:val="both"/>
            </w:pPr>
            <w:r w:rsidRPr="00F314F5">
              <w:t xml:space="preserve">Atsevišķām republikas pilsētu pašvaldībām, kuras nav ieviesušas pasažieru ar braukšanas maksas atvieglojumiem elektronisku braucienu uzskaiti pilsētas nozīmes maršrutos, iespējams, ka palielināsies administratīvais slogs elektronisku braucienu uzskaites sistēmu ieviešanai līdz 2020.gada 31.decembrim, kā arī būs jārod attiecīgi līdzekļi pārvadātāju ar sistēmas ieviešanu saistīto izdevumu </w:t>
            </w:r>
            <w:proofErr w:type="spellStart"/>
            <w:r w:rsidRPr="00F314F5">
              <w:t>kompensēšani</w:t>
            </w:r>
            <w:proofErr w:type="spellEnd"/>
            <w:r w:rsidRPr="00F314F5">
              <w:t xml:space="preserve"> no pašvaldību budžeta, kas būs atkarīgi no pašvaldības izvēlētā sistēmas risinājuma.</w:t>
            </w:r>
          </w:p>
        </w:tc>
      </w:tr>
    </w:tbl>
    <w:p w14:paraId="7F90C77B" w14:textId="77777777" w:rsidR="00A67B6A" w:rsidRPr="00883DA1" w:rsidRDefault="00A67B6A" w:rsidP="00A25063">
      <w:pPr>
        <w:pStyle w:val="naisf"/>
        <w:spacing w:before="0" w:after="0"/>
        <w:ind w:firstLine="0"/>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92"/>
        <w:gridCol w:w="1264"/>
        <w:gridCol w:w="1102"/>
        <w:gridCol w:w="1275"/>
        <w:gridCol w:w="1250"/>
        <w:gridCol w:w="1258"/>
      </w:tblGrid>
      <w:tr w:rsidR="00834DA0" w:rsidRPr="00883DA1" w14:paraId="2667F57D" w14:textId="77777777" w:rsidTr="00A67B6A">
        <w:tc>
          <w:tcPr>
            <w:tcW w:w="5000" w:type="pct"/>
            <w:gridSpan w:val="6"/>
            <w:tcBorders>
              <w:top w:val="outset" w:sz="6" w:space="0" w:color="000000"/>
              <w:left w:val="outset" w:sz="6" w:space="0" w:color="000000"/>
              <w:bottom w:val="outset" w:sz="6" w:space="0" w:color="000000"/>
              <w:right w:val="outset" w:sz="6" w:space="0" w:color="000000"/>
            </w:tcBorders>
          </w:tcPr>
          <w:p w14:paraId="7041C679" w14:textId="77777777" w:rsidR="00834DA0" w:rsidRPr="00883DA1" w:rsidRDefault="00834DA0" w:rsidP="00724502">
            <w:pPr>
              <w:spacing w:before="100" w:beforeAutospacing="1" w:after="100" w:afterAutospacing="1"/>
              <w:jc w:val="center"/>
              <w:rPr>
                <w:b/>
                <w:bCs/>
              </w:rPr>
            </w:pPr>
            <w:r w:rsidRPr="00CB67C8">
              <w:rPr>
                <w:b/>
                <w:bCs/>
              </w:rPr>
              <w:t>III. Tiesību akta projekta ietekme uz valsts budžetu un pašvaldību budžetiem</w:t>
            </w:r>
          </w:p>
        </w:tc>
      </w:tr>
      <w:tr w:rsidR="00834DA0" w:rsidRPr="00883DA1" w14:paraId="17108FC1" w14:textId="77777777" w:rsidTr="005E760C">
        <w:tc>
          <w:tcPr>
            <w:tcW w:w="1876" w:type="pct"/>
            <w:vMerge w:val="restart"/>
            <w:tcBorders>
              <w:top w:val="outset" w:sz="6" w:space="0" w:color="000000"/>
              <w:left w:val="outset" w:sz="6" w:space="0" w:color="000000"/>
              <w:bottom w:val="outset" w:sz="6" w:space="0" w:color="000000"/>
              <w:right w:val="outset" w:sz="6" w:space="0" w:color="000000"/>
            </w:tcBorders>
            <w:vAlign w:val="center"/>
          </w:tcPr>
          <w:p w14:paraId="7D4174AE" w14:textId="77777777" w:rsidR="00834DA0" w:rsidRPr="00883DA1" w:rsidRDefault="00834DA0" w:rsidP="00724502">
            <w:pPr>
              <w:spacing w:before="100" w:beforeAutospacing="1" w:after="100" w:afterAutospacing="1"/>
              <w:jc w:val="center"/>
              <w:rPr>
                <w:b/>
                <w:bCs/>
              </w:rPr>
            </w:pPr>
            <w:r w:rsidRPr="00883DA1">
              <w:rPr>
                <w:b/>
                <w:bCs/>
              </w:rPr>
              <w:t>Rādītāji</w:t>
            </w:r>
          </w:p>
        </w:tc>
        <w:tc>
          <w:tcPr>
            <w:tcW w:w="1202"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32620DC" w14:textId="77777777" w:rsidR="00834DA0" w:rsidRPr="00883DA1" w:rsidRDefault="00834DA0" w:rsidP="00072642">
            <w:pPr>
              <w:spacing w:before="100" w:beforeAutospacing="1" w:after="100" w:afterAutospacing="1"/>
              <w:jc w:val="center"/>
              <w:rPr>
                <w:b/>
                <w:bCs/>
              </w:rPr>
            </w:pPr>
            <w:r w:rsidRPr="00883DA1">
              <w:rPr>
                <w:b/>
                <w:bCs/>
              </w:rPr>
              <w:t>201</w:t>
            </w:r>
            <w:r w:rsidR="00072642">
              <w:rPr>
                <w:b/>
                <w:bCs/>
              </w:rPr>
              <w:t>7</w:t>
            </w:r>
            <w:r w:rsidRPr="00883DA1">
              <w:rPr>
                <w:b/>
                <w:bCs/>
              </w:rPr>
              <w:t>.gads</w:t>
            </w:r>
          </w:p>
        </w:tc>
        <w:tc>
          <w:tcPr>
            <w:tcW w:w="1922" w:type="pct"/>
            <w:gridSpan w:val="3"/>
            <w:tcBorders>
              <w:top w:val="outset" w:sz="6" w:space="0" w:color="000000"/>
              <w:left w:val="outset" w:sz="6" w:space="0" w:color="000000"/>
              <w:bottom w:val="outset" w:sz="6" w:space="0" w:color="000000"/>
              <w:right w:val="outset" w:sz="6" w:space="0" w:color="000000"/>
            </w:tcBorders>
            <w:vAlign w:val="center"/>
          </w:tcPr>
          <w:p w14:paraId="78C77641" w14:textId="77777777" w:rsidR="00834DA0" w:rsidRPr="00883DA1" w:rsidRDefault="00193868" w:rsidP="00F9397B">
            <w:pPr>
              <w:spacing w:before="100" w:beforeAutospacing="1" w:after="100" w:afterAutospacing="1"/>
              <w:jc w:val="center"/>
            </w:pPr>
            <w:r w:rsidRPr="00883DA1">
              <w:t>Turpmākie trīs gadi (Eiro</w:t>
            </w:r>
            <w:r w:rsidR="00834DA0" w:rsidRPr="00883DA1">
              <w:t>)</w:t>
            </w:r>
          </w:p>
        </w:tc>
      </w:tr>
      <w:tr w:rsidR="00A67B6A" w:rsidRPr="00883DA1" w14:paraId="19F95D16" w14:textId="77777777" w:rsidTr="005E760C">
        <w:tc>
          <w:tcPr>
            <w:tcW w:w="1876" w:type="pct"/>
            <w:vMerge/>
            <w:tcBorders>
              <w:top w:val="outset" w:sz="6" w:space="0" w:color="000000"/>
              <w:left w:val="outset" w:sz="6" w:space="0" w:color="000000"/>
              <w:bottom w:val="outset" w:sz="6" w:space="0" w:color="000000"/>
              <w:right w:val="outset" w:sz="6" w:space="0" w:color="000000"/>
            </w:tcBorders>
            <w:vAlign w:val="center"/>
          </w:tcPr>
          <w:p w14:paraId="7167A791" w14:textId="77777777" w:rsidR="00834DA0" w:rsidRPr="00883DA1" w:rsidRDefault="00834DA0" w:rsidP="00724502">
            <w:pPr>
              <w:rPr>
                <w:b/>
                <w:bCs/>
              </w:rPr>
            </w:pPr>
          </w:p>
        </w:tc>
        <w:tc>
          <w:tcPr>
            <w:tcW w:w="1202" w:type="pct"/>
            <w:gridSpan w:val="2"/>
            <w:vMerge/>
            <w:tcBorders>
              <w:top w:val="outset" w:sz="6" w:space="0" w:color="000000"/>
              <w:left w:val="outset" w:sz="6" w:space="0" w:color="000000"/>
              <w:bottom w:val="outset" w:sz="6" w:space="0" w:color="000000"/>
              <w:right w:val="outset" w:sz="6" w:space="0" w:color="000000"/>
            </w:tcBorders>
            <w:vAlign w:val="center"/>
          </w:tcPr>
          <w:p w14:paraId="30945851" w14:textId="77777777" w:rsidR="00834DA0" w:rsidRPr="00883DA1" w:rsidRDefault="00834DA0" w:rsidP="00724502">
            <w:pPr>
              <w:rPr>
                <w:b/>
                <w:bCs/>
              </w:rPr>
            </w:pPr>
          </w:p>
        </w:tc>
        <w:tc>
          <w:tcPr>
            <w:tcW w:w="648" w:type="pct"/>
            <w:tcBorders>
              <w:top w:val="outset" w:sz="6" w:space="0" w:color="000000"/>
              <w:left w:val="outset" w:sz="6" w:space="0" w:color="000000"/>
              <w:bottom w:val="outset" w:sz="6" w:space="0" w:color="000000"/>
              <w:right w:val="outset" w:sz="6" w:space="0" w:color="000000"/>
            </w:tcBorders>
            <w:vAlign w:val="center"/>
          </w:tcPr>
          <w:p w14:paraId="460CF1F8" w14:textId="77777777" w:rsidR="00834DA0" w:rsidRPr="00883DA1" w:rsidRDefault="00834DA0" w:rsidP="00072642">
            <w:pPr>
              <w:spacing w:before="100" w:beforeAutospacing="1" w:after="100" w:afterAutospacing="1"/>
              <w:jc w:val="center"/>
              <w:rPr>
                <w:b/>
                <w:bCs/>
              </w:rPr>
            </w:pPr>
            <w:r w:rsidRPr="00883DA1">
              <w:rPr>
                <w:b/>
                <w:bCs/>
              </w:rPr>
              <w:t>201</w:t>
            </w:r>
            <w:r w:rsidR="00072642">
              <w:rPr>
                <w:b/>
                <w:bCs/>
              </w:rPr>
              <w:t>8</w:t>
            </w:r>
          </w:p>
        </w:tc>
        <w:tc>
          <w:tcPr>
            <w:tcW w:w="635" w:type="pct"/>
            <w:tcBorders>
              <w:top w:val="outset" w:sz="6" w:space="0" w:color="000000"/>
              <w:left w:val="outset" w:sz="6" w:space="0" w:color="000000"/>
              <w:bottom w:val="outset" w:sz="6" w:space="0" w:color="000000"/>
              <w:right w:val="outset" w:sz="6" w:space="0" w:color="000000"/>
            </w:tcBorders>
            <w:vAlign w:val="center"/>
          </w:tcPr>
          <w:p w14:paraId="79AB8910" w14:textId="77777777" w:rsidR="00834DA0" w:rsidRPr="00883DA1" w:rsidRDefault="00834DA0" w:rsidP="00072642">
            <w:pPr>
              <w:spacing w:before="100" w:beforeAutospacing="1" w:after="100" w:afterAutospacing="1"/>
              <w:jc w:val="center"/>
              <w:rPr>
                <w:b/>
                <w:bCs/>
              </w:rPr>
            </w:pPr>
            <w:r w:rsidRPr="00883DA1">
              <w:rPr>
                <w:b/>
                <w:bCs/>
              </w:rPr>
              <w:t>201</w:t>
            </w:r>
            <w:r w:rsidR="00072642">
              <w:rPr>
                <w:b/>
                <w:bCs/>
              </w:rPr>
              <w:t>9</w:t>
            </w:r>
          </w:p>
        </w:tc>
        <w:tc>
          <w:tcPr>
            <w:tcW w:w="639" w:type="pct"/>
            <w:tcBorders>
              <w:top w:val="outset" w:sz="6" w:space="0" w:color="000000"/>
              <w:left w:val="outset" w:sz="6" w:space="0" w:color="000000"/>
              <w:bottom w:val="outset" w:sz="6" w:space="0" w:color="000000"/>
              <w:right w:val="outset" w:sz="6" w:space="0" w:color="000000"/>
            </w:tcBorders>
            <w:vAlign w:val="center"/>
          </w:tcPr>
          <w:p w14:paraId="44B62013" w14:textId="77777777" w:rsidR="00834DA0" w:rsidRPr="00883DA1" w:rsidRDefault="00834DA0" w:rsidP="00072642">
            <w:pPr>
              <w:spacing w:before="100" w:beforeAutospacing="1" w:after="100" w:afterAutospacing="1"/>
              <w:jc w:val="center"/>
              <w:rPr>
                <w:b/>
                <w:bCs/>
              </w:rPr>
            </w:pPr>
            <w:r w:rsidRPr="00883DA1">
              <w:rPr>
                <w:b/>
                <w:bCs/>
              </w:rPr>
              <w:t>20</w:t>
            </w:r>
            <w:r w:rsidR="00072642">
              <w:rPr>
                <w:b/>
                <w:bCs/>
              </w:rPr>
              <w:t>20</w:t>
            </w:r>
          </w:p>
        </w:tc>
      </w:tr>
      <w:tr w:rsidR="00A67B6A" w:rsidRPr="00883DA1" w14:paraId="32D248AE" w14:textId="77777777" w:rsidTr="005E760C">
        <w:tc>
          <w:tcPr>
            <w:tcW w:w="1876" w:type="pct"/>
            <w:vMerge/>
            <w:tcBorders>
              <w:top w:val="outset" w:sz="6" w:space="0" w:color="000000"/>
              <w:left w:val="outset" w:sz="6" w:space="0" w:color="000000"/>
              <w:bottom w:val="outset" w:sz="6" w:space="0" w:color="000000"/>
              <w:right w:val="outset" w:sz="6" w:space="0" w:color="000000"/>
            </w:tcBorders>
            <w:vAlign w:val="center"/>
          </w:tcPr>
          <w:p w14:paraId="0E74C2DA" w14:textId="77777777" w:rsidR="00834DA0" w:rsidRPr="00883DA1" w:rsidRDefault="00834DA0" w:rsidP="00724502">
            <w:pPr>
              <w:rPr>
                <w:b/>
                <w:bCs/>
              </w:rPr>
            </w:pPr>
          </w:p>
        </w:tc>
        <w:tc>
          <w:tcPr>
            <w:tcW w:w="642" w:type="pct"/>
            <w:tcBorders>
              <w:top w:val="outset" w:sz="6" w:space="0" w:color="000000"/>
              <w:left w:val="outset" w:sz="6" w:space="0" w:color="000000"/>
              <w:bottom w:val="outset" w:sz="6" w:space="0" w:color="000000"/>
              <w:right w:val="outset" w:sz="6" w:space="0" w:color="000000"/>
            </w:tcBorders>
            <w:vAlign w:val="center"/>
          </w:tcPr>
          <w:p w14:paraId="3063DEF7" w14:textId="77777777" w:rsidR="00834DA0" w:rsidRPr="00883DA1" w:rsidRDefault="00834DA0" w:rsidP="00724502">
            <w:pPr>
              <w:spacing w:before="100" w:beforeAutospacing="1" w:after="100" w:afterAutospacing="1"/>
              <w:jc w:val="center"/>
            </w:pPr>
            <w:r w:rsidRPr="00883DA1">
              <w:t>saskaņā ar valsts budžetu kārtējam gadam</w:t>
            </w:r>
          </w:p>
        </w:tc>
        <w:tc>
          <w:tcPr>
            <w:tcW w:w="560" w:type="pct"/>
            <w:tcBorders>
              <w:top w:val="outset" w:sz="6" w:space="0" w:color="000000"/>
              <w:left w:val="outset" w:sz="6" w:space="0" w:color="000000"/>
              <w:bottom w:val="outset" w:sz="6" w:space="0" w:color="000000"/>
              <w:right w:val="outset" w:sz="6" w:space="0" w:color="000000"/>
            </w:tcBorders>
            <w:vAlign w:val="center"/>
          </w:tcPr>
          <w:p w14:paraId="026D854C" w14:textId="77777777" w:rsidR="00834DA0" w:rsidRPr="00883DA1" w:rsidRDefault="00834DA0" w:rsidP="00724502">
            <w:pPr>
              <w:spacing w:before="100" w:beforeAutospacing="1" w:after="100" w:afterAutospacing="1"/>
              <w:jc w:val="center"/>
            </w:pPr>
            <w:r w:rsidRPr="00883DA1">
              <w:t>izmaiņas kārtējā gadā, salīdzinot ar budžetu kārtējam gadam</w:t>
            </w:r>
          </w:p>
        </w:tc>
        <w:tc>
          <w:tcPr>
            <w:tcW w:w="648" w:type="pct"/>
            <w:tcBorders>
              <w:top w:val="outset" w:sz="6" w:space="0" w:color="000000"/>
              <w:left w:val="outset" w:sz="6" w:space="0" w:color="000000"/>
              <w:bottom w:val="outset" w:sz="6" w:space="0" w:color="000000"/>
              <w:right w:val="outset" w:sz="6" w:space="0" w:color="000000"/>
            </w:tcBorders>
            <w:vAlign w:val="center"/>
          </w:tcPr>
          <w:p w14:paraId="3E9F66BD" w14:textId="77777777" w:rsidR="00834DA0" w:rsidRPr="00883DA1" w:rsidRDefault="00834DA0" w:rsidP="00724502">
            <w:pPr>
              <w:spacing w:before="100" w:beforeAutospacing="1" w:after="100" w:afterAutospacing="1"/>
              <w:jc w:val="center"/>
            </w:pPr>
            <w:r w:rsidRPr="00883DA1">
              <w:t>izmaiņas, salīdzinot ar kārtējo (n) gadu</w:t>
            </w:r>
          </w:p>
        </w:tc>
        <w:tc>
          <w:tcPr>
            <w:tcW w:w="635" w:type="pct"/>
            <w:tcBorders>
              <w:top w:val="outset" w:sz="6" w:space="0" w:color="000000"/>
              <w:left w:val="outset" w:sz="6" w:space="0" w:color="000000"/>
              <w:bottom w:val="outset" w:sz="6" w:space="0" w:color="000000"/>
              <w:right w:val="outset" w:sz="6" w:space="0" w:color="000000"/>
            </w:tcBorders>
            <w:vAlign w:val="center"/>
          </w:tcPr>
          <w:p w14:paraId="04352800" w14:textId="77777777" w:rsidR="00834DA0" w:rsidRPr="00883DA1" w:rsidRDefault="00834DA0" w:rsidP="00724502">
            <w:pPr>
              <w:spacing w:before="100" w:beforeAutospacing="1" w:after="100" w:afterAutospacing="1"/>
              <w:jc w:val="center"/>
            </w:pPr>
            <w:r w:rsidRPr="00883DA1">
              <w:t>izmaiņas, salīdzinot ar kārtējo (n) gadu</w:t>
            </w:r>
          </w:p>
        </w:tc>
        <w:tc>
          <w:tcPr>
            <w:tcW w:w="639" w:type="pct"/>
            <w:tcBorders>
              <w:top w:val="outset" w:sz="6" w:space="0" w:color="000000"/>
              <w:left w:val="outset" w:sz="6" w:space="0" w:color="000000"/>
              <w:bottom w:val="outset" w:sz="6" w:space="0" w:color="000000"/>
              <w:right w:val="outset" w:sz="6" w:space="0" w:color="000000"/>
            </w:tcBorders>
            <w:vAlign w:val="center"/>
          </w:tcPr>
          <w:p w14:paraId="064C291F" w14:textId="77777777" w:rsidR="00834DA0" w:rsidRPr="00883DA1" w:rsidRDefault="00834DA0" w:rsidP="00724502">
            <w:pPr>
              <w:spacing w:before="100" w:beforeAutospacing="1" w:after="100" w:afterAutospacing="1"/>
              <w:jc w:val="center"/>
            </w:pPr>
            <w:r w:rsidRPr="00883DA1">
              <w:t>izmaiņas, salīdzinot ar kārtējo (n) gadu</w:t>
            </w:r>
          </w:p>
        </w:tc>
      </w:tr>
      <w:tr w:rsidR="00A67B6A" w:rsidRPr="00883DA1" w14:paraId="58AD2FAF" w14:textId="77777777" w:rsidTr="005E760C">
        <w:tc>
          <w:tcPr>
            <w:tcW w:w="1876" w:type="pct"/>
            <w:tcBorders>
              <w:top w:val="outset" w:sz="6" w:space="0" w:color="000000"/>
              <w:left w:val="outset" w:sz="6" w:space="0" w:color="000000"/>
              <w:bottom w:val="outset" w:sz="6" w:space="0" w:color="000000"/>
              <w:right w:val="outset" w:sz="6" w:space="0" w:color="000000"/>
            </w:tcBorders>
            <w:vAlign w:val="center"/>
          </w:tcPr>
          <w:p w14:paraId="483AFA73" w14:textId="77777777" w:rsidR="00834DA0" w:rsidRPr="00883DA1" w:rsidRDefault="00834DA0" w:rsidP="00724502">
            <w:pPr>
              <w:spacing w:before="100" w:beforeAutospacing="1" w:after="100" w:afterAutospacing="1"/>
              <w:jc w:val="center"/>
            </w:pPr>
            <w:r w:rsidRPr="00883DA1">
              <w:t>1</w:t>
            </w:r>
          </w:p>
        </w:tc>
        <w:tc>
          <w:tcPr>
            <w:tcW w:w="642" w:type="pct"/>
            <w:tcBorders>
              <w:top w:val="outset" w:sz="6" w:space="0" w:color="000000"/>
              <w:left w:val="outset" w:sz="6" w:space="0" w:color="000000"/>
              <w:bottom w:val="outset" w:sz="6" w:space="0" w:color="000000"/>
              <w:right w:val="outset" w:sz="6" w:space="0" w:color="000000"/>
            </w:tcBorders>
            <w:vAlign w:val="center"/>
          </w:tcPr>
          <w:p w14:paraId="19A6F34F" w14:textId="77777777" w:rsidR="00834DA0" w:rsidRPr="00883DA1" w:rsidRDefault="00834DA0" w:rsidP="00724502">
            <w:pPr>
              <w:spacing w:before="100" w:beforeAutospacing="1" w:after="100" w:afterAutospacing="1"/>
              <w:jc w:val="center"/>
            </w:pPr>
            <w:r w:rsidRPr="00883DA1">
              <w:t>2</w:t>
            </w:r>
          </w:p>
        </w:tc>
        <w:tc>
          <w:tcPr>
            <w:tcW w:w="560" w:type="pct"/>
            <w:tcBorders>
              <w:top w:val="outset" w:sz="6" w:space="0" w:color="000000"/>
              <w:left w:val="outset" w:sz="6" w:space="0" w:color="000000"/>
              <w:bottom w:val="outset" w:sz="6" w:space="0" w:color="000000"/>
              <w:right w:val="outset" w:sz="6" w:space="0" w:color="000000"/>
            </w:tcBorders>
            <w:vAlign w:val="center"/>
          </w:tcPr>
          <w:p w14:paraId="34D0D5E5" w14:textId="77777777" w:rsidR="00834DA0" w:rsidRPr="00883DA1" w:rsidRDefault="00834DA0" w:rsidP="00724502">
            <w:pPr>
              <w:spacing w:before="100" w:beforeAutospacing="1" w:after="100" w:afterAutospacing="1"/>
              <w:jc w:val="center"/>
            </w:pPr>
            <w:r w:rsidRPr="00883DA1">
              <w:t>3</w:t>
            </w:r>
          </w:p>
        </w:tc>
        <w:tc>
          <w:tcPr>
            <w:tcW w:w="648" w:type="pct"/>
            <w:tcBorders>
              <w:top w:val="outset" w:sz="6" w:space="0" w:color="000000"/>
              <w:left w:val="outset" w:sz="6" w:space="0" w:color="000000"/>
              <w:bottom w:val="outset" w:sz="6" w:space="0" w:color="000000"/>
              <w:right w:val="outset" w:sz="6" w:space="0" w:color="000000"/>
            </w:tcBorders>
            <w:vAlign w:val="center"/>
          </w:tcPr>
          <w:p w14:paraId="4AAA94DF" w14:textId="77777777" w:rsidR="00834DA0" w:rsidRPr="00883DA1" w:rsidRDefault="00834DA0" w:rsidP="00724502">
            <w:pPr>
              <w:spacing w:before="100" w:beforeAutospacing="1" w:after="100" w:afterAutospacing="1"/>
              <w:jc w:val="center"/>
            </w:pPr>
            <w:r w:rsidRPr="00883DA1">
              <w:t>4</w:t>
            </w:r>
          </w:p>
        </w:tc>
        <w:tc>
          <w:tcPr>
            <w:tcW w:w="635" w:type="pct"/>
            <w:tcBorders>
              <w:top w:val="outset" w:sz="6" w:space="0" w:color="000000"/>
              <w:left w:val="outset" w:sz="6" w:space="0" w:color="000000"/>
              <w:bottom w:val="outset" w:sz="6" w:space="0" w:color="000000"/>
              <w:right w:val="outset" w:sz="6" w:space="0" w:color="000000"/>
            </w:tcBorders>
            <w:vAlign w:val="center"/>
          </w:tcPr>
          <w:p w14:paraId="0D1E1152" w14:textId="77777777" w:rsidR="00834DA0" w:rsidRPr="00883DA1" w:rsidRDefault="00834DA0" w:rsidP="00724502">
            <w:pPr>
              <w:spacing w:before="100" w:beforeAutospacing="1" w:after="100" w:afterAutospacing="1"/>
              <w:jc w:val="center"/>
            </w:pPr>
            <w:r w:rsidRPr="00883DA1">
              <w:t>5</w:t>
            </w:r>
          </w:p>
        </w:tc>
        <w:tc>
          <w:tcPr>
            <w:tcW w:w="639" w:type="pct"/>
            <w:tcBorders>
              <w:top w:val="outset" w:sz="6" w:space="0" w:color="000000"/>
              <w:left w:val="outset" w:sz="6" w:space="0" w:color="000000"/>
              <w:bottom w:val="outset" w:sz="6" w:space="0" w:color="000000"/>
              <w:right w:val="outset" w:sz="6" w:space="0" w:color="000000"/>
            </w:tcBorders>
            <w:vAlign w:val="center"/>
          </w:tcPr>
          <w:p w14:paraId="558B3641" w14:textId="77777777" w:rsidR="00834DA0" w:rsidRPr="00883DA1" w:rsidRDefault="00834DA0" w:rsidP="00724502">
            <w:pPr>
              <w:spacing w:before="100" w:beforeAutospacing="1" w:after="100" w:afterAutospacing="1"/>
              <w:jc w:val="center"/>
            </w:pPr>
            <w:r w:rsidRPr="00883DA1">
              <w:t>6</w:t>
            </w:r>
          </w:p>
        </w:tc>
      </w:tr>
      <w:tr w:rsidR="00A67B6A" w:rsidRPr="00883DA1" w14:paraId="4DED673A"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070B1EC6" w14:textId="77777777" w:rsidR="00834DA0" w:rsidRPr="00883DA1" w:rsidRDefault="00834DA0" w:rsidP="00724502">
            <w:pPr>
              <w:spacing w:before="100" w:beforeAutospacing="1" w:after="100" w:afterAutospacing="1"/>
            </w:pPr>
            <w:r w:rsidRPr="00883DA1">
              <w:t>1. Budžeta ieņēmumi:</w:t>
            </w:r>
          </w:p>
        </w:tc>
        <w:tc>
          <w:tcPr>
            <w:tcW w:w="642" w:type="pct"/>
            <w:tcBorders>
              <w:top w:val="outset" w:sz="6" w:space="0" w:color="000000"/>
              <w:left w:val="outset" w:sz="6" w:space="0" w:color="000000"/>
              <w:bottom w:val="single" w:sz="4" w:space="0" w:color="auto"/>
              <w:right w:val="outset" w:sz="6" w:space="0" w:color="000000"/>
            </w:tcBorders>
            <w:vAlign w:val="center"/>
          </w:tcPr>
          <w:p w14:paraId="50A84F5F" w14:textId="77777777" w:rsidR="00834DA0" w:rsidRPr="00883DA1" w:rsidRDefault="00A63203" w:rsidP="00724502">
            <w:pPr>
              <w:jc w:val="center"/>
            </w:pPr>
            <w:r>
              <w:t>–</w:t>
            </w:r>
          </w:p>
        </w:tc>
        <w:tc>
          <w:tcPr>
            <w:tcW w:w="560" w:type="pct"/>
            <w:tcBorders>
              <w:top w:val="outset" w:sz="6" w:space="0" w:color="000000"/>
              <w:left w:val="outset" w:sz="6" w:space="0" w:color="000000"/>
              <w:bottom w:val="single" w:sz="4" w:space="0" w:color="auto"/>
              <w:right w:val="outset" w:sz="6" w:space="0" w:color="000000"/>
            </w:tcBorders>
            <w:vAlign w:val="center"/>
          </w:tcPr>
          <w:p w14:paraId="63F9C740" w14:textId="77777777" w:rsidR="00834DA0" w:rsidRPr="00883DA1" w:rsidRDefault="00A63203" w:rsidP="00724502">
            <w:pPr>
              <w:jc w:val="center"/>
            </w:pPr>
            <w:r>
              <w:t>–</w:t>
            </w:r>
          </w:p>
        </w:tc>
        <w:tc>
          <w:tcPr>
            <w:tcW w:w="648" w:type="pct"/>
            <w:tcBorders>
              <w:top w:val="outset" w:sz="6" w:space="0" w:color="000000"/>
              <w:left w:val="outset" w:sz="6" w:space="0" w:color="000000"/>
              <w:bottom w:val="single" w:sz="4" w:space="0" w:color="auto"/>
              <w:right w:val="outset" w:sz="6" w:space="0" w:color="000000"/>
            </w:tcBorders>
            <w:vAlign w:val="center"/>
          </w:tcPr>
          <w:p w14:paraId="005DD6FE" w14:textId="77777777" w:rsidR="00834DA0" w:rsidRPr="00883DA1" w:rsidRDefault="00A63203" w:rsidP="00724502">
            <w:pPr>
              <w:jc w:val="center"/>
            </w:pPr>
            <w:r>
              <w:t>0</w:t>
            </w:r>
          </w:p>
        </w:tc>
        <w:tc>
          <w:tcPr>
            <w:tcW w:w="635" w:type="pct"/>
            <w:tcBorders>
              <w:top w:val="outset" w:sz="6" w:space="0" w:color="000000"/>
              <w:left w:val="outset" w:sz="6" w:space="0" w:color="000000"/>
              <w:bottom w:val="single" w:sz="4" w:space="0" w:color="auto"/>
              <w:right w:val="outset" w:sz="6" w:space="0" w:color="000000"/>
            </w:tcBorders>
            <w:vAlign w:val="center"/>
          </w:tcPr>
          <w:p w14:paraId="2B0D819A" w14:textId="77777777" w:rsidR="00834DA0" w:rsidRPr="00883DA1" w:rsidRDefault="00A63203" w:rsidP="00724502">
            <w:pPr>
              <w:jc w:val="center"/>
            </w:pPr>
            <w:r>
              <w:t>0</w:t>
            </w:r>
          </w:p>
        </w:tc>
        <w:tc>
          <w:tcPr>
            <w:tcW w:w="639" w:type="pct"/>
            <w:tcBorders>
              <w:top w:val="outset" w:sz="6" w:space="0" w:color="000000"/>
              <w:left w:val="outset" w:sz="6" w:space="0" w:color="000000"/>
              <w:bottom w:val="single" w:sz="4" w:space="0" w:color="auto"/>
              <w:right w:val="outset" w:sz="6" w:space="0" w:color="000000"/>
            </w:tcBorders>
            <w:vAlign w:val="center"/>
          </w:tcPr>
          <w:p w14:paraId="4031B4AF" w14:textId="77777777" w:rsidR="00834DA0" w:rsidRPr="00883DA1" w:rsidRDefault="00A63203" w:rsidP="00724502">
            <w:pPr>
              <w:jc w:val="center"/>
            </w:pPr>
            <w:r>
              <w:t>0</w:t>
            </w:r>
          </w:p>
        </w:tc>
      </w:tr>
      <w:tr w:rsidR="00946934" w:rsidRPr="00883DA1" w14:paraId="4E51319A" w14:textId="77777777" w:rsidTr="005E760C">
        <w:trPr>
          <w:trHeight w:val="275"/>
        </w:trPr>
        <w:tc>
          <w:tcPr>
            <w:tcW w:w="1876" w:type="pct"/>
            <w:tcBorders>
              <w:top w:val="single" w:sz="4" w:space="0" w:color="auto"/>
              <w:left w:val="outset" w:sz="6" w:space="0" w:color="000000"/>
              <w:bottom w:val="single" w:sz="4" w:space="0" w:color="auto"/>
              <w:right w:val="outset" w:sz="6" w:space="0" w:color="000000"/>
            </w:tcBorders>
          </w:tcPr>
          <w:p w14:paraId="279E0B1E" w14:textId="77777777" w:rsidR="00946934" w:rsidRPr="00883DA1" w:rsidRDefault="00946934" w:rsidP="00946934">
            <w:pPr>
              <w:spacing w:before="100" w:beforeAutospacing="1" w:after="100" w:afterAutospacing="1"/>
            </w:pPr>
            <w:r w:rsidRPr="00883DA1">
              <w:t>1.1. Valsts pamatbudžets, tai skaitā ieņēmumi no maksas pakalpojumiem un citi pašu ieņēmumi</w:t>
            </w:r>
          </w:p>
        </w:tc>
        <w:tc>
          <w:tcPr>
            <w:tcW w:w="642" w:type="pct"/>
            <w:tcBorders>
              <w:top w:val="single" w:sz="4" w:space="0" w:color="auto"/>
              <w:left w:val="outset" w:sz="6" w:space="0" w:color="000000"/>
              <w:bottom w:val="single" w:sz="4" w:space="0" w:color="auto"/>
              <w:right w:val="outset" w:sz="6" w:space="0" w:color="000000"/>
            </w:tcBorders>
            <w:vAlign w:val="center"/>
          </w:tcPr>
          <w:p w14:paraId="751D38B7" w14:textId="7C10F768" w:rsidR="00946934" w:rsidRPr="00883DA1" w:rsidRDefault="00946934" w:rsidP="00946934">
            <w:pPr>
              <w:jc w:val="center"/>
            </w:pPr>
            <w:r>
              <w:t>19 410 633</w:t>
            </w:r>
          </w:p>
        </w:tc>
        <w:tc>
          <w:tcPr>
            <w:tcW w:w="560" w:type="pct"/>
            <w:tcBorders>
              <w:top w:val="single" w:sz="4" w:space="0" w:color="auto"/>
              <w:left w:val="outset" w:sz="6" w:space="0" w:color="000000"/>
              <w:bottom w:val="single" w:sz="4" w:space="0" w:color="auto"/>
              <w:right w:val="outset" w:sz="6" w:space="0" w:color="000000"/>
            </w:tcBorders>
            <w:vAlign w:val="center"/>
          </w:tcPr>
          <w:p w14:paraId="7D15B4DF" w14:textId="77777777" w:rsidR="00946934" w:rsidRPr="00883DA1" w:rsidRDefault="00946934" w:rsidP="00946934">
            <w:pPr>
              <w:jc w:val="center"/>
            </w:pPr>
            <w:r>
              <w:t>–</w:t>
            </w:r>
          </w:p>
        </w:tc>
        <w:tc>
          <w:tcPr>
            <w:tcW w:w="648" w:type="pct"/>
            <w:tcBorders>
              <w:top w:val="single" w:sz="4" w:space="0" w:color="auto"/>
              <w:left w:val="outset" w:sz="6" w:space="0" w:color="000000"/>
              <w:bottom w:val="single" w:sz="4" w:space="0" w:color="auto"/>
              <w:right w:val="outset" w:sz="6" w:space="0" w:color="000000"/>
            </w:tcBorders>
            <w:vAlign w:val="center"/>
          </w:tcPr>
          <w:p w14:paraId="44C8BA89" w14:textId="189D40E4" w:rsidR="00946934" w:rsidRPr="00883DA1" w:rsidRDefault="00946934" w:rsidP="00946934">
            <w:pPr>
              <w:jc w:val="center"/>
            </w:pPr>
            <w:r>
              <w:t>4 383 000</w:t>
            </w:r>
          </w:p>
        </w:tc>
        <w:tc>
          <w:tcPr>
            <w:tcW w:w="635" w:type="pct"/>
            <w:tcBorders>
              <w:top w:val="single" w:sz="4" w:space="0" w:color="auto"/>
              <w:left w:val="outset" w:sz="6" w:space="0" w:color="000000"/>
              <w:bottom w:val="single" w:sz="4" w:space="0" w:color="auto"/>
              <w:right w:val="outset" w:sz="6" w:space="0" w:color="000000"/>
            </w:tcBorders>
            <w:vAlign w:val="center"/>
          </w:tcPr>
          <w:p w14:paraId="63A8E66B" w14:textId="6C815E6E" w:rsidR="00946934" w:rsidRPr="00883DA1" w:rsidRDefault="00946934" w:rsidP="00946934">
            <w:pPr>
              <w:jc w:val="center"/>
            </w:pPr>
            <w:r>
              <w:t>4 383 000</w:t>
            </w:r>
          </w:p>
        </w:tc>
        <w:tc>
          <w:tcPr>
            <w:tcW w:w="639" w:type="pct"/>
            <w:tcBorders>
              <w:top w:val="single" w:sz="4" w:space="0" w:color="auto"/>
              <w:left w:val="outset" w:sz="6" w:space="0" w:color="000000"/>
              <w:bottom w:val="single" w:sz="4" w:space="0" w:color="auto"/>
              <w:right w:val="outset" w:sz="6" w:space="0" w:color="000000"/>
            </w:tcBorders>
            <w:vAlign w:val="center"/>
          </w:tcPr>
          <w:p w14:paraId="619C901A" w14:textId="2997891D" w:rsidR="00946934" w:rsidRPr="00883DA1" w:rsidRDefault="00946934" w:rsidP="00946934">
            <w:pPr>
              <w:jc w:val="center"/>
            </w:pPr>
            <w:r>
              <w:t>4 383 000</w:t>
            </w:r>
          </w:p>
        </w:tc>
      </w:tr>
      <w:tr w:rsidR="00A63203" w:rsidRPr="00883DA1" w14:paraId="69D9542C" w14:textId="77777777" w:rsidTr="005E760C">
        <w:trPr>
          <w:trHeight w:val="326"/>
        </w:trPr>
        <w:tc>
          <w:tcPr>
            <w:tcW w:w="1876" w:type="pct"/>
            <w:tcBorders>
              <w:top w:val="single" w:sz="4" w:space="0" w:color="auto"/>
              <w:left w:val="outset" w:sz="6" w:space="0" w:color="000000"/>
              <w:bottom w:val="single" w:sz="4" w:space="0" w:color="auto"/>
              <w:right w:val="outset" w:sz="6" w:space="0" w:color="000000"/>
            </w:tcBorders>
          </w:tcPr>
          <w:p w14:paraId="1BE8B9F6" w14:textId="77777777" w:rsidR="00A63203" w:rsidRPr="00883DA1" w:rsidRDefault="00A63203" w:rsidP="00724502">
            <w:pPr>
              <w:spacing w:before="100" w:beforeAutospacing="1" w:after="100" w:afterAutospacing="1"/>
            </w:pPr>
            <w:r>
              <w:t>1.2. valsts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4A32E41D" w14:textId="77777777" w:rsidR="00A63203" w:rsidRPr="00883DA1" w:rsidRDefault="00A63203" w:rsidP="00724502">
            <w:pPr>
              <w:jc w:val="center"/>
            </w:pPr>
          </w:p>
        </w:tc>
        <w:tc>
          <w:tcPr>
            <w:tcW w:w="560" w:type="pct"/>
            <w:tcBorders>
              <w:top w:val="single" w:sz="4" w:space="0" w:color="auto"/>
              <w:left w:val="outset" w:sz="6" w:space="0" w:color="000000"/>
              <w:bottom w:val="single" w:sz="4" w:space="0" w:color="auto"/>
              <w:right w:val="outset" w:sz="6" w:space="0" w:color="000000"/>
            </w:tcBorders>
            <w:vAlign w:val="center"/>
          </w:tcPr>
          <w:p w14:paraId="1D660CE5" w14:textId="77777777" w:rsidR="00A63203" w:rsidRPr="00883DA1" w:rsidRDefault="00A63203" w:rsidP="00724502">
            <w:pPr>
              <w:jc w:val="center"/>
            </w:pPr>
          </w:p>
        </w:tc>
        <w:tc>
          <w:tcPr>
            <w:tcW w:w="648" w:type="pct"/>
            <w:tcBorders>
              <w:top w:val="single" w:sz="4" w:space="0" w:color="auto"/>
              <w:left w:val="outset" w:sz="6" w:space="0" w:color="000000"/>
              <w:bottom w:val="single" w:sz="4" w:space="0" w:color="auto"/>
              <w:right w:val="outset" w:sz="6" w:space="0" w:color="000000"/>
            </w:tcBorders>
            <w:vAlign w:val="center"/>
          </w:tcPr>
          <w:p w14:paraId="6F09774B" w14:textId="77777777" w:rsidR="00A63203" w:rsidRPr="00883DA1" w:rsidRDefault="00A63203" w:rsidP="00724502">
            <w:pPr>
              <w:jc w:val="center"/>
            </w:pPr>
          </w:p>
        </w:tc>
        <w:tc>
          <w:tcPr>
            <w:tcW w:w="635" w:type="pct"/>
            <w:tcBorders>
              <w:top w:val="single" w:sz="4" w:space="0" w:color="auto"/>
              <w:left w:val="outset" w:sz="6" w:space="0" w:color="000000"/>
              <w:bottom w:val="single" w:sz="4" w:space="0" w:color="auto"/>
              <w:right w:val="outset" w:sz="6" w:space="0" w:color="000000"/>
            </w:tcBorders>
            <w:vAlign w:val="center"/>
          </w:tcPr>
          <w:p w14:paraId="59326ABC" w14:textId="77777777"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7E359D1D" w14:textId="77777777" w:rsidR="00A63203" w:rsidRPr="00883DA1" w:rsidRDefault="00A63203" w:rsidP="00724502">
            <w:pPr>
              <w:jc w:val="center"/>
            </w:pPr>
          </w:p>
        </w:tc>
      </w:tr>
      <w:tr w:rsidR="00A63203" w:rsidRPr="00883DA1" w14:paraId="2582C224" w14:textId="77777777" w:rsidTr="005E760C">
        <w:trPr>
          <w:trHeight w:val="275"/>
        </w:trPr>
        <w:tc>
          <w:tcPr>
            <w:tcW w:w="1876" w:type="pct"/>
            <w:tcBorders>
              <w:top w:val="single" w:sz="4" w:space="0" w:color="auto"/>
              <w:left w:val="outset" w:sz="6" w:space="0" w:color="000000"/>
              <w:bottom w:val="single" w:sz="4" w:space="0" w:color="auto"/>
              <w:right w:val="outset" w:sz="6" w:space="0" w:color="000000"/>
            </w:tcBorders>
          </w:tcPr>
          <w:p w14:paraId="517F18E4" w14:textId="77777777" w:rsidR="00A63203" w:rsidRPr="00883DA1" w:rsidRDefault="00A63203" w:rsidP="00724502">
            <w:pPr>
              <w:spacing w:before="100" w:beforeAutospacing="1" w:after="100" w:afterAutospacing="1"/>
            </w:pPr>
            <w:r>
              <w:t>1.3. pašvaldību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13EAB4CD" w14:textId="77777777" w:rsidR="00A63203" w:rsidRPr="00883DA1" w:rsidRDefault="00A63203" w:rsidP="00724502">
            <w:pPr>
              <w:jc w:val="center"/>
            </w:pPr>
          </w:p>
        </w:tc>
        <w:tc>
          <w:tcPr>
            <w:tcW w:w="560" w:type="pct"/>
            <w:tcBorders>
              <w:top w:val="single" w:sz="4" w:space="0" w:color="auto"/>
              <w:left w:val="outset" w:sz="6" w:space="0" w:color="000000"/>
              <w:bottom w:val="single" w:sz="4" w:space="0" w:color="auto"/>
              <w:right w:val="outset" w:sz="6" w:space="0" w:color="000000"/>
            </w:tcBorders>
            <w:vAlign w:val="center"/>
          </w:tcPr>
          <w:p w14:paraId="2E26EB60" w14:textId="77777777" w:rsidR="00A63203" w:rsidRPr="00883DA1" w:rsidRDefault="00A63203" w:rsidP="00724502">
            <w:pPr>
              <w:jc w:val="center"/>
            </w:pPr>
          </w:p>
        </w:tc>
        <w:tc>
          <w:tcPr>
            <w:tcW w:w="648" w:type="pct"/>
            <w:tcBorders>
              <w:top w:val="single" w:sz="4" w:space="0" w:color="auto"/>
              <w:left w:val="outset" w:sz="6" w:space="0" w:color="000000"/>
              <w:bottom w:val="single" w:sz="4" w:space="0" w:color="auto"/>
              <w:right w:val="outset" w:sz="6" w:space="0" w:color="000000"/>
            </w:tcBorders>
            <w:vAlign w:val="center"/>
          </w:tcPr>
          <w:p w14:paraId="26207F9E" w14:textId="77777777" w:rsidR="00A63203" w:rsidRPr="00883DA1" w:rsidRDefault="00A63203" w:rsidP="00724502">
            <w:pPr>
              <w:jc w:val="center"/>
            </w:pPr>
          </w:p>
        </w:tc>
        <w:tc>
          <w:tcPr>
            <w:tcW w:w="635" w:type="pct"/>
            <w:tcBorders>
              <w:top w:val="single" w:sz="4" w:space="0" w:color="auto"/>
              <w:left w:val="outset" w:sz="6" w:space="0" w:color="000000"/>
              <w:bottom w:val="single" w:sz="4" w:space="0" w:color="auto"/>
              <w:right w:val="outset" w:sz="6" w:space="0" w:color="000000"/>
            </w:tcBorders>
            <w:vAlign w:val="center"/>
          </w:tcPr>
          <w:p w14:paraId="47CC9DA6" w14:textId="77777777"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0FC8CD90" w14:textId="77777777" w:rsidR="00A63203" w:rsidRPr="00883DA1" w:rsidRDefault="00A63203" w:rsidP="00724502">
            <w:pPr>
              <w:jc w:val="center"/>
            </w:pPr>
          </w:p>
        </w:tc>
      </w:tr>
      <w:tr w:rsidR="00A63203" w:rsidRPr="00883DA1" w14:paraId="4D427C97" w14:textId="77777777" w:rsidTr="005E760C">
        <w:tc>
          <w:tcPr>
            <w:tcW w:w="1876" w:type="pct"/>
            <w:tcBorders>
              <w:top w:val="single" w:sz="4" w:space="0" w:color="auto"/>
              <w:left w:val="single" w:sz="4" w:space="0" w:color="auto"/>
              <w:bottom w:val="single" w:sz="4" w:space="0" w:color="auto"/>
              <w:right w:val="single" w:sz="4" w:space="0" w:color="auto"/>
            </w:tcBorders>
          </w:tcPr>
          <w:p w14:paraId="245E94BB" w14:textId="77777777" w:rsidR="00A63203" w:rsidRPr="00883DA1" w:rsidRDefault="00A63203" w:rsidP="00724502">
            <w:pPr>
              <w:spacing w:before="100" w:beforeAutospacing="1" w:after="100" w:afterAutospacing="1"/>
            </w:pPr>
            <w:r w:rsidRPr="00883DA1">
              <w:t>2. Budžeta izdevumi:</w:t>
            </w:r>
          </w:p>
        </w:tc>
        <w:tc>
          <w:tcPr>
            <w:tcW w:w="642" w:type="pct"/>
            <w:tcBorders>
              <w:top w:val="single" w:sz="4" w:space="0" w:color="auto"/>
              <w:left w:val="single" w:sz="4" w:space="0" w:color="auto"/>
              <w:bottom w:val="single" w:sz="4" w:space="0" w:color="auto"/>
              <w:right w:val="single" w:sz="4" w:space="0" w:color="auto"/>
            </w:tcBorders>
            <w:vAlign w:val="center"/>
          </w:tcPr>
          <w:p w14:paraId="5B7C7F82" w14:textId="4662DB7D" w:rsidR="00A63203" w:rsidRPr="00883DA1" w:rsidRDefault="00A63203" w:rsidP="000F0541">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14:paraId="52347332" w14:textId="77777777" w:rsidR="00A63203" w:rsidRPr="00883DA1" w:rsidRDefault="00A63203" w:rsidP="00724502">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14:paraId="41341E41" w14:textId="4A566493" w:rsidR="00A63203" w:rsidRPr="005C138A" w:rsidRDefault="00A63203" w:rsidP="00CE2631">
            <w:pPr>
              <w:jc w:val="center"/>
            </w:pPr>
          </w:p>
        </w:tc>
        <w:tc>
          <w:tcPr>
            <w:tcW w:w="635" w:type="pct"/>
            <w:tcBorders>
              <w:top w:val="single" w:sz="4" w:space="0" w:color="auto"/>
              <w:left w:val="single" w:sz="4" w:space="0" w:color="auto"/>
              <w:bottom w:val="single" w:sz="4" w:space="0" w:color="auto"/>
              <w:right w:val="single" w:sz="4" w:space="0" w:color="auto"/>
            </w:tcBorders>
            <w:vAlign w:val="center"/>
          </w:tcPr>
          <w:p w14:paraId="07797C55" w14:textId="77777777" w:rsidR="00A63203" w:rsidRPr="00883DA1" w:rsidRDefault="00A63203" w:rsidP="00AA51C5">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5AA37EC0" w14:textId="77777777" w:rsidR="00A63203" w:rsidRPr="00883DA1" w:rsidRDefault="00A63203" w:rsidP="00AA51C5">
            <w:pPr>
              <w:jc w:val="center"/>
            </w:pPr>
          </w:p>
        </w:tc>
      </w:tr>
      <w:tr w:rsidR="00946934" w:rsidRPr="00883DA1" w14:paraId="02642E5A" w14:textId="77777777" w:rsidTr="00E97B4C">
        <w:trPr>
          <w:trHeight w:val="241"/>
        </w:trPr>
        <w:tc>
          <w:tcPr>
            <w:tcW w:w="1876" w:type="pct"/>
            <w:tcBorders>
              <w:top w:val="single" w:sz="4" w:space="0" w:color="auto"/>
              <w:left w:val="single" w:sz="4" w:space="0" w:color="auto"/>
              <w:bottom w:val="single" w:sz="4" w:space="0" w:color="auto"/>
              <w:right w:val="single" w:sz="4" w:space="0" w:color="auto"/>
            </w:tcBorders>
          </w:tcPr>
          <w:p w14:paraId="0AB29BD4" w14:textId="77777777" w:rsidR="00946934" w:rsidRPr="00883DA1" w:rsidRDefault="00946934" w:rsidP="00946934">
            <w:pPr>
              <w:spacing w:before="100" w:beforeAutospacing="1" w:after="100" w:afterAutospacing="1"/>
            </w:pPr>
            <w:r w:rsidRPr="00883DA1">
              <w:t>2.1. valsts pamatbudžets</w:t>
            </w:r>
          </w:p>
        </w:tc>
        <w:tc>
          <w:tcPr>
            <w:tcW w:w="642" w:type="pct"/>
            <w:tcBorders>
              <w:top w:val="single" w:sz="4" w:space="0" w:color="auto"/>
              <w:left w:val="single" w:sz="4" w:space="0" w:color="auto"/>
              <w:bottom w:val="single" w:sz="4" w:space="0" w:color="auto"/>
              <w:right w:val="single" w:sz="4" w:space="0" w:color="auto"/>
            </w:tcBorders>
            <w:vAlign w:val="center"/>
          </w:tcPr>
          <w:p w14:paraId="0110C7DF" w14:textId="70E9DC19" w:rsidR="00946934" w:rsidRPr="00883DA1" w:rsidRDefault="00946934" w:rsidP="00946934">
            <w:pPr>
              <w:spacing w:line="360" w:lineRule="auto"/>
              <w:jc w:val="center"/>
            </w:pPr>
            <w:r>
              <w:t>19 410 633</w:t>
            </w:r>
          </w:p>
        </w:tc>
        <w:tc>
          <w:tcPr>
            <w:tcW w:w="560" w:type="pct"/>
            <w:tcBorders>
              <w:top w:val="single" w:sz="4" w:space="0" w:color="auto"/>
              <w:left w:val="single" w:sz="4" w:space="0" w:color="auto"/>
              <w:bottom w:val="single" w:sz="4" w:space="0" w:color="auto"/>
              <w:right w:val="single" w:sz="4" w:space="0" w:color="auto"/>
            </w:tcBorders>
            <w:vAlign w:val="center"/>
          </w:tcPr>
          <w:p w14:paraId="7BD05DCC" w14:textId="77777777" w:rsidR="00946934" w:rsidRPr="00883DA1" w:rsidRDefault="00946934" w:rsidP="00946934">
            <w:pPr>
              <w:spacing w:line="360" w:lineRule="auto"/>
              <w:jc w:val="center"/>
            </w:pPr>
            <w:r>
              <w:t>–</w:t>
            </w:r>
          </w:p>
        </w:tc>
        <w:tc>
          <w:tcPr>
            <w:tcW w:w="648" w:type="pct"/>
            <w:tcBorders>
              <w:top w:val="single" w:sz="4" w:space="0" w:color="auto"/>
              <w:left w:val="single" w:sz="4" w:space="0" w:color="auto"/>
              <w:bottom w:val="single" w:sz="4" w:space="0" w:color="auto"/>
              <w:right w:val="single" w:sz="4" w:space="0" w:color="auto"/>
            </w:tcBorders>
          </w:tcPr>
          <w:p w14:paraId="03AB4643" w14:textId="35268A45" w:rsidR="00946934" w:rsidRPr="00F815B3" w:rsidRDefault="00946934" w:rsidP="00946934">
            <w:r>
              <w:t xml:space="preserve"> 4 383 000</w:t>
            </w:r>
          </w:p>
        </w:tc>
        <w:tc>
          <w:tcPr>
            <w:tcW w:w="635" w:type="pct"/>
            <w:tcBorders>
              <w:top w:val="single" w:sz="4" w:space="0" w:color="auto"/>
              <w:left w:val="single" w:sz="4" w:space="0" w:color="auto"/>
              <w:bottom w:val="single" w:sz="4" w:space="0" w:color="auto"/>
              <w:right w:val="single" w:sz="4" w:space="0" w:color="auto"/>
            </w:tcBorders>
            <w:vAlign w:val="center"/>
          </w:tcPr>
          <w:p w14:paraId="5CB32D9D" w14:textId="28CF6B86" w:rsidR="00946934" w:rsidRPr="00F815B3" w:rsidRDefault="00946934" w:rsidP="00946934">
            <w:r>
              <w:t>4 383 000</w:t>
            </w:r>
          </w:p>
        </w:tc>
        <w:tc>
          <w:tcPr>
            <w:tcW w:w="639" w:type="pct"/>
            <w:tcBorders>
              <w:top w:val="single" w:sz="4" w:space="0" w:color="auto"/>
              <w:left w:val="single" w:sz="4" w:space="0" w:color="auto"/>
              <w:bottom w:val="single" w:sz="4" w:space="0" w:color="auto"/>
              <w:right w:val="single" w:sz="4" w:space="0" w:color="auto"/>
            </w:tcBorders>
            <w:vAlign w:val="center"/>
          </w:tcPr>
          <w:p w14:paraId="60E9BF7E" w14:textId="5959AF1A" w:rsidR="00946934" w:rsidRPr="00F815B3" w:rsidRDefault="00946934" w:rsidP="00946934">
            <w:r>
              <w:t>4 383 000</w:t>
            </w:r>
          </w:p>
        </w:tc>
      </w:tr>
      <w:tr w:rsidR="00072642" w:rsidRPr="00883DA1" w14:paraId="6E23939E" w14:textId="77777777" w:rsidTr="005E760C">
        <w:tc>
          <w:tcPr>
            <w:tcW w:w="1876" w:type="pct"/>
            <w:tcBorders>
              <w:top w:val="single" w:sz="4" w:space="0" w:color="auto"/>
              <w:left w:val="single" w:sz="4" w:space="0" w:color="auto"/>
              <w:bottom w:val="single" w:sz="4" w:space="0" w:color="auto"/>
              <w:right w:val="single" w:sz="4" w:space="0" w:color="auto"/>
            </w:tcBorders>
          </w:tcPr>
          <w:p w14:paraId="5852E38C" w14:textId="77777777" w:rsidR="00072642" w:rsidRPr="00883DA1" w:rsidRDefault="00072642" w:rsidP="00072642">
            <w:pPr>
              <w:spacing w:before="100" w:beforeAutospacing="1" w:after="100" w:afterAutospacing="1"/>
            </w:pPr>
            <w:r w:rsidRPr="00883DA1">
              <w:t>2.2. valsts speciālais budžets</w:t>
            </w:r>
          </w:p>
        </w:tc>
        <w:tc>
          <w:tcPr>
            <w:tcW w:w="642" w:type="pct"/>
            <w:tcBorders>
              <w:top w:val="single" w:sz="4" w:space="0" w:color="auto"/>
              <w:left w:val="single" w:sz="4" w:space="0" w:color="auto"/>
              <w:bottom w:val="single" w:sz="4" w:space="0" w:color="auto"/>
              <w:right w:val="single" w:sz="4" w:space="0" w:color="auto"/>
            </w:tcBorders>
            <w:vAlign w:val="center"/>
          </w:tcPr>
          <w:p w14:paraId="7EF05C2E" w14:textId="77777777" w:rsidR="00072642" w:rsidRPr="00883DA1" w:rsidRDefault="00072642" w:rsidP="00072642">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14:paraId="660D5E40" w14:textId="77777777" w:rsidR="00072642" w:rsidRPr="00883DA1" w:rsidRDefault="00072642" w:rsidP="00072642">
            <w:pPr>
              <w:jc w:val="center"/>
            </w:pPr>
          </w:p>
        </w:tc>
        <w:tc>
          <w:tcPr>
            <w:tcW w:w="648" w:type="pct"/>
            <w:tcBorders>
              <w:top w:val="single" w:sz="4" w:space="0" w:color="auto"/>
              <w:left w:val="single" w:sz="4" w:space="0" w:color="auto"/>
              <w:bottom w:val="single" w:sz="4" w:space="0" w:color="auto"/>
              <w:right w:val="single" w:sz="4" w:space="0" w:color="auto"/>
            </w:tcBorders>
            <w:vAlign w:val="center"/>
          </w:tcPr>
          <w:p w14:paraId="29E59BBC" w14:textId="77777777" w:rsidR="00072642" w:rsidRPr="00883DA1" w:rsidRDefault="00072642" w:rsidP="00072642">
            <w:pPr>
              <w:jc w:val="center"/>
            </w:pPr>
          </w:p>
        </w:tc>
        <w:tc>
          <w:tcPr>
            <w:tcW w:w="635" w:type="pct"/>
            <w:tcBorders>
              <w:top w:val="single" w:sz="4" w:space="0" w:color="auto"/>
              <w:left w:val="single" w:sz="4" w:space="0" w:color="auto"/>
              <w:bottom w:val="single" w:sz="4" w:space="0" w:color="auto"/>
              <w:right w:val="single" w:sz="4" w:space="0" w:color="auto"/>
            </w:tcBorders>
            <w:vAlign w:val="center"/>
          </w:tcPr>
          <w:p w14:paraId="68945702" w14:textId="77777777" w:rsidR="00072642" w:rsidRPr="00883DA1" w:rsidRDefault="00072642" w:rsidP="0007264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1DDACE28" w14:textId="77777777" w:rsidR="00072642" w:rsidRPr="00883DA1" w:rsidRDefault="00072642" w:rsidP="00072642">
            <w:pPr>
              <w:jc w:val="center"/>
            </w:pPr>
          </w:p>
        </w:tc>
      </w:tr>
      <w:tr w:rsidR="005E760C" w:rsidRPr="00883DA1" w14:paraId="56003351" w14:textId="77777777" w:rsidTr="005E760C">
        <w:tc>
          <w:tcPr>
            <w:tcW w:w="1876" w:type="pct"/>
            <w:tcBorders>
              <w:top w:val="single" w:sz="4" w:space="0" w:color="auto"/>
              <w:left w:val="single" w:sz="4" w:space="0" w:color="auto"/>
              <w:bottom w:val="single" w:sz="4" w:space="0" w:color="auto"/>
              <w:right w:val="single" w:sz="4" w:space="0" w:color="auto"/>
            </w:tcBorders>
          </w:tcPr>
          <w:p w14:paraId="65E3125A" w14:textId="77777777" w:rsidR="005E760C" w:rsidRPr="00883DA1" w:rsidRDefault="005E760C" w:rsidP="005E760C">
            <w:pPr>
              <w:spacing w:before="100" w:beforeAutospacing="1" w:after="100" w:afterAutospacing="1"/>
            </w:pPr>
            <w:r w:rsidRPr="00883DA1">
              <w:t>2.3. pašvaldību budžets</w:t>
            </w:r>
          </w:p>
        </w:tc>
        <w:tc>
          <w:tcPr>
            <w:tcW w:w="642" w:type="pct"/>
            <w:tcBorders>
              <w:top w:val="single" w:sz="4" w:space="0" w:color="auto"/>
              <w:left w:val="single" w:sz="4" w:space="0" w:color="auto"/>
              <w:bottom w:val="single" w:sz="4" w:space="0" w:color="auto"/>
              <w:right w:val="single" w:sz="4" w:space="0" w:color="auto"/>
            </w:tcBorders>
            <w:vAlign w:val="center"/>
          </w:tcPr>
          <w:p w14:paraId="5343ED92" w14:textId="2403BA52" w:rsidR="005E760C" w:rsidRPr="00883DA1" w:rsidRDefault="009D2F8A" w:rsidP="005E760C">
            <w:pPr>
              <w:spacing w:line="360" w:lineRule="auto"/>
              <w:jc w:val="center"/>
            </w:pPr>
            <w:r>
              <w:t>-</w:t>
            </w:r>
          </w:p>
        </w:tc>
        <w:tc>
          <w:tcPr>
            <w:tcW w:w="560" w:type="pct"/>
            <w:tcBorders>
              <w:top w:val="single" w:sz="4" w:space="0" w:color="auto"/>
              <w:left w:val="single" w:sz="4" w:space="0" w:color="auto"/>
              <w:bottom w:val="single" w:sz="4" w:space="0" w:color="auto"/>
              <w:right w:val="single" w:sz="4" w:space="0" w:color="auto"/>
            </w:tcBorders>
            <w:vAlign w:val="center"/>
          </w:tcPr>
          <w:p w14:paraId="6FFDE2F0" w14:textId="77777777" w:rsidR="005E760C" w:rsidRPr="00883DA1" w:rsidRDefault="005E760C" w:rsidP="005E760C">
            <w:pPr>
              <w:jc w:val="center"/>
            </w:pPr>
          </w:p>
        </w:tc>
        <w:tc>
          <w:tcPr>
            <w:tcW w:w="648" w:type="pct"/>
            <w:tcBorders>
              <w:top w:val="single" w:sz="4" w:space="0" w:color="auto"/>
              <w:left w:val="single" w:sz="4" w:space="0" w:color="auto"/>
              <w:bottom w:val="single" w:sz="4" w:space="0" w:color="auto"/>
              <w:right w:val="single" w:sz="4" w:space="0" w:color="auto"/>
            </w:tcBorders>
            <w:vAlign w:val="center"/>
          </w:tcPr>
          <w:p w14:paraId="79F7F66A" w14:textId="502CE079" w:rsidR="005E760C" w:rsidRPr="000B0228" w:rsidRDefault="005E760C" w:rsidP="005E760C">
            <w:pPr>
              <w:jc w:val="center"/>
              <w:rPr>
                <w:i/>
              </w:rPr>
            </w:pPr>
            <w:r w:rsidRPr="005E760C">
              <w:rPr>
                <w:bCs/>
              </w:rPr>
              <w:t>10 654 039</w:t>
            </w:r>
          </w:p>
        </w:tc>
        <w:tc>
          <w:tcPr>
            <w:tcW w:w="635" w:type="pct"/>
            <w:tcBorders>
              <w:top w:val="single" w:sz="4" w:space="0" w:color="auto"/>
              <w:left w:val="single" w:sz="4" w:space="0" w:color="auto"/>
              <w:bottom w:val="single" w:sz="4" w:space="0" w:color="auto"/>
              <w:right w:val="single" w:sz="4" w:space="0" w:color="auto"/>
            </w:tcBorders>
          </w:tcPr>
          <w:p w14:paraId="38B529A2" w14:textId="0E5EB0AF" w:rsidR="005E760C" w:rsidRPr="000B0228" w:rsidRDefault="005E760C" w:rsidP="005E760C">
            <w:pPr>
              <w:jc w:val="center"/>
              <w:rPr>
                <w:i/>
              </w:rPr>
            </w:pPr>
            <w:r w:rsidRPr="00830E37">
              <w:rPr>
                <w:bCs/>
              </w:rPr>
              <w:t>10 654 039</w:t>
            </w:r>
          </w:p>
        </w:tc>
        <w:tc>
          <w:tcPr>
            <w:tcW w:w="639" w:type="pct"/>
            <w:tcBorders>
              <w:top w:val="single" w:sz="4" w:space="0" w:color="auto"/>
              <w:left w:val="single" w:sz="4" w:space="0" w:color="auto"/>
              <w:bottom w:val="single" w:sz="4" w:space="0" w:color="auto"/>
              <w:right w:val="single" w:sz="4" w:space="0" w:color="auto"/>
            </w:tcBorders>
          </w:tcPr>
          <w:p w14:paraId="190AFFB3" w14:textId="61ACD4F5" w:rsidR="005E760C" w:rsidRPr="000B0228" w:rsidRDefault="005E760C" w:rsidP="005E760C">
            <w:pPr>
              <w:jc w:val="center"/>
              <w:rPr>
                <w:i/>
              </w:rPr>
            </w:pPr>
            <w:r w:rsidRPr="00830E37">
              <w:rPr>
                <w:bCs/>
              </w:rPr>
              <w:t>10 654 039</w:t>
            </w:r>
          </w:p>
        </w:tc>
      </w:tr>
      <w:tr w:rsidR="00072642" w:rsidRPr="00883DA1" w14:paraId="4747E0EA" w14:textId="77777777" w:rsidTr="005E760C">
        <w:tc>
          <w:tcPr>
            <w:tcW w:w="1876" w:type="pct"/>
            <w:tcBorders>
              <w:top w:val="single" w:sz="4" w:space="0" w:color="auto"/>
              <w:left w:val="outset" w:sz="6" w:space="0" w:color="000000"/>
              <w:bottom w:val="outset" w:sz="6" w:space="0" w:color="000000"/>
              <w:right w:val="outset" w:sz="6" w:space="0" w:color="000000"/>
            </w:tcBorders>
          </w:tcPr>
          <w:p w14:paraId="60BD9A97" w14:textId="77777777" w:rsidR="00072642" w:rsidRPr="00883DA1" w:rsidRDefault="00072642" w:rsidP="00072642">
            <w:pPr>
              <w:spacing w:before="100" w:beforeAutospacing="1" w:after="100" w:afterAutospacing="1"/>
            </w:pPr>
            <w:r w:rsidRPr="00883DA1">
              <w:t>3. Finansiālā ietekme:</w:t>
            </w:r>
          </w:p>
        </w:tc>
        <w:tc>
          <w:tcPr>
            <w:tcW w:w="642" w:type="pct"/>
            <w:tcBorders>
              <w:top w:val="single" w:sz="4" w:space="0" w:color="auto"/>
              <w:left w:val="outset" w:sz="6" w:space="0" w:color="000000"/>
              <w:bottom w:val="single" w:sz="4" w:space="0" w:color="auto"/>
              <w:right w:val="outset" w:sz="6" w:space="0" w:color="000000"/>
            </w:tcBorders>
            <w:vAlign w:val="center"/>
          </w:tcPr>
          <w:p w14:paraId="64E08FD5" w14:textId="77777777" w:rsidR="00072642" w:rsidRPr="00883DA1" w:rsidRDefault="00072642" w:rsidP="00072642">
            <w:pPr>
              <w:jc w:val="center"/>
            </w:pPr>
            <w:r>
              <w:t>–</w:t>
            </w:r>
          </w:p>
        </w:tc>
        <w:tc>
          <w:tcPr>
            <w:tcW w:w="560" w:type="pct"/>
            <w:tcBorders>
              <w:top w:val="single" w:sz="4" w:space="0" w:color="auto"/>
              <w:left w:val="outset" w:sz="6" w:space="0" w:color="000000"/>
              <w:bottom w:val="single" w:sz="4" w:space="0" w:color="auto"/>
              <w:right w:val="outset" w:sz="6" w:space="0" w:color="000000"/>
            </w:tcBorders>
            <w:vAlign w:val="center"/>
          </w:tcPr>
          <w:p w14:paraId="15FADDAF" w14:textId="77777777" w:rsidR="00072642" w:rsidRPr="00883DA1" w:rsidRDefault="00072642" w:rsidP="00072642">
            <w:pPr>
              <w:jc w:val="center"/>
            </w:pPr>
            <w:r>
              <w:t>–</w:t>
            </w:r>
          </w:p>
        </w:tc>
        <w:tc>
          <w:tcPr>
            <w:tcW w:w="648" w:type="pct"/>
            <w:tcBorders>
              <w:top w:val="single" w:sz="4" w:space="0" w:color="auto"/>
              <w:left w:val="outset" w:sz="6" w:space="0" w:color="000000"/>
              <w:bottom w:val="single" w:sz="4" w:space="0" w:color="auto"/>
              <w:right w:val="outset" w:sz="6" w:space="0" w:color="000000"/>
            </w:tcBorders>
            <w:vAlign w:val="center"/>
          </w:tcPr>
          <w:p w14:paraId="54174D5A" w14:textId="77777777" w:rsidR="00072642" w:rsidRPr="00883DA1" w:rsidRDefault="00072642" w:rsidP="00072642">
            <w:pPr>
              <w:jc w:val="center"/>
            </w:pPr>
          </w:p>
        </w:tc>
        <w:tc>
          <w:tcPr>
            <w:tcW w:w="635" w:type="pct"/>
            <w:tcBorders>
              <w:top w:val="single" w:sz="4" w:space="0" w:color="auto"/>
              <w:left w:val="outset" w:sz="6" w:space="0" w:color="000000"/>
              <w:bottom w:val="single" w:sz="4" w:space="0" w:color="auto"/>
              <w:right w:val="outset" w:sz="6" w:space="0" w:color="000000"/>
            </w:tcBorders>
            <w:vAlign w:val="center"/>
          </w:tcPr>
          <w:p w14:paraId="1CFF5A2D" w14:textId="77777777" w:rsidR="00072642" w:rsidRPr="00883DA1" w:rsidRDefault="00072642" w:rsidP="0007264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0B333A15" w14:textId="77777777" w:rsidR="00072642" w:rsidRPr="00883DA1" w:rsidRDefault="00072642" w:rsidP="00072642">
            <w:pPr>
              <w:jc w:val="center"/>
            </w:pPr>
          </w:p>
        </w:tc>
      </w:tr>
      <w:tr w:rsidR="005E760C" w:rsidRPr="00883DA1" w14:paraId="648FEE14"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2B8C4E12" w14:textId="77777777" w:rsidR="005E760C" w:rsidRPr="00883DA1" w:rsidRDefault="005E760C" w:rsidP="005E760C">
            <w:pPr>
              <w:spacing w:before="100" w:beforeAutospacing="1" w:after="100" w:afterAutospacing="1"/>
            </w:pPr>
            <w:r w:rsidRPr="00883DA1">
              <w:lastRenderedPageBreak/>
              <w:t>3.1.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409BD2F1" w14:textId="0F693133" w:rsidR="005E760C" w:rsidRPr="00883DA1" w:rsidRDefault="00946934" w:rsidP="005E760C">
            <w:pPr>
              <w:jc w:val="center"/>
            </w:pPr>
            <w:r>
              <w:t>-</w:t>
            </w:r>
          </w:p>
        </w:tc>
        <w:tc>
          <w:tcPr>
            <w:tcW w:w="560" w:type="pct"/>
            <w:tcBorders>
              <w:top w:val="single" w:sz="4" w:space="0" w:color="auto"/>
              <w:left w:val="outset" w:sz="6" w:space="0" w:color="000000"/>
              <w:bottom w:val="single" w:sz="4" w:space="0" w:color="auto"/>
              <w:right w:val="outset" w:sz="6" w:space="0" w:color="000000"/>
            </w:tcBorders>
            <w:vAlign w:val="center"/>
          </w:tcPr>
          <w:p w14:paraId="34F84F8D" w14:textId="77777777" w:rsidR="005E760C" w:rsidRPr="00883DA1" w:rsidRDefault="005E760C" w:rsidP="005E760C">
            <w:pPr>
              <w:jc w:val="center"/>
              <w:rPr>
                <w:highlight w:val="yellow"/>
              </w:rPr>
            </w:pPr>
            <w:r>
              <w:t>–</w:t>
            </w:r>
          </w:p>
        </w:tc>
        <w:tc>
          <w:tcPr>
            <w:tcW w:w="648" w:type="pct"/>
            <w:tcBorders>
              <w:top w:val="single" w:sz="4" w:space="0" w:color="auto"/>
              <w:left w:val="outset" w:sz="6" w:space="0" w:color="000000"/>
              <w:bottom w:val="single" w:sz="4" w:space="0" w:color="auto"/>
              <w:right w:val="outset" w:sz="6" w:space="0" w:color="000000"/>
            </w:tcBorders>
            <w:vAlign w:val="center"/>
          </w:tcPr>
          <w:p w14:paraId="3510B28F" w14:textId="4B354F02" w:rsidR="005E760C" w:rsidRPr="00883DA1" w:rsidRDefault="00946934" w:rsidP="005E760C">
            <w:pPr>
              <w:jc w:val="center"/>
            </w:pPr>
            <w:r>
              <w:t>-</w:t>
            </w:r>
          </w:p>
        </w:tc>
        <w:tc>
          <w:tcPr>
            <w:tcW w:w="635" w:type="pct"/>
            <w:tcBorders>
              <w:top w:val="single" w:sz="4" w:space="0" w:color="auto"/>
              <w:left w:val="outset" w:sz="6" w:space="0" w:color="000000"/>
              <w:bottom w:val="single" w:sz="4" w:space="0" w:color="auto"/>
              <w:right w:val="outset" w:sz="6" w:space="0" w:color="000000"/>
            </w:tcBorders>
            <w:vAlign w:val="center"/>
          </w:tcPr>
          <w:p w14:paraId="5C9EE5B9" w14:textId="53B45E85" w:rsidR="005E760C" w:rsidRPr="00883DA1" w:rsidRDefault="00946934" w:rsidP="005E760C">
            <w:pPr>
              <w:jc w:val="center"/>
            </w:pPr>
            <w:r>
              <w:t>-</w:t>
            </w:r>
          </w:p>
        </w:tc>
        <w:tc>
          <w:tcPr>
            <w:tcW w:w="639" w:type="pct"/>
            <w:tcBorders>
              <w:top w:val="single" w:sz="4" w:space="0" w:color="auto"/>
              <w:left w:val="outset" w:sz="6" w:space="0" w:color="000000"/>
              <w:bottom w:val="single" w:sz="4" w:space="0" w:color="auto"/>
              <w:right w:val="outset" w:sz="6" w:space="0" w:color="000000"/>
            </w:tcBorders>
            <w:vAlign w:val="center"/>
          </w:tcPr>
          <w:p w14:paraId="56DFD8E0" w14:textId="51529847" w:rsidR="005E760C" w:rsidRPr="00883DA1" w:rsidRDefault="00946934" w:rsidP="005E760C">
            <w:pPr>
              <w:jc w:val="center"/>
            </w:pPr>
            <w:r>
              <w:t>-</w:t>
            </w:r>
          </w:p>
        </w:tc>
      </w:tr>
      <w:tr w:rsidR="00072642" w:rsidRPr="00883DA1" w14:paraId="60A207D6"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00AD53E7" w14:textId="77777777" w:rsidR="00072642" w:rsidRPr="00883DA1" w:rsidRDefault="00072642" w:rsidP="00072642">
            <w:pPr>
              <w:spacing w:before="100" w:beforeAutospacing="1" w:after="100" w:afterAutospacing="1"/>
            </w:pPr>
            <w:r w:rsidRPr="00883DA1">
              <w:t>3.2.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14788835" w14:textId="77777777" w:rsidR="00072642" w:rsidRPr="00883DA1" w:rsidRDefault="00072642" w:rsidP="00072642">
            <w:pPr>
              <w:jc w:val="center"/>
            </w:pPr>
          </w:p>
        </w:tc>
        <w:tc>
          <w:tcPr>
            <w:tcW w:w="560" w:type="pct"/>
            <w:tcBorders>
              <w:top w:val="single" w:sz="4" w:space="0" w:color="auto"/>
              <w:left w:val="outset" w:sz="6" w:space="0" w:color="000000"/>
              <w:bottom w:val="single" w:sz="4" w:space="0" w:color="auto"/>
              <w:right w:val="outset" w:sz="6" w:space="0" w:color="000000"/>
            </w:tcBorders>
            <w:vAlign w:val="center"/>
          </w:tcPr>
          <w:p w14:paraId="6F0E1113" w14:textId="77777777" w:rsidR="00072642" w:rsidRPr="00883DA1" w:rsidRDefault="00072642" w:rsidP="00072642">
            <w:pPr>
              <w:jc w:val="center"/>
            </w:pPr>
          </w:p>
        </w:tc>
        <w:tc>
          <w:tcPr>
            <w:tcW w:w="648" w:type="pct"/>
            <w:tcBorders>
              <w:top w:val="single" w:sz="4" w:space="0" w:color="auto"/>
              <w:left w:val="outset" w:sz="6" w:space="0" w:color="000000"/>
              <w:bottom w:val="single" w:sz="4" w:space="0" w:color="auto"/>
              <w:right w:val="outset" w:sz="6" w:space="0" w:color="000000"/>
            </w:tcBorders>
            <w:vAlign w:val="center"/>
          </w:tcPr>
          <w:p w14:paraId="09B1F79C" w14:textId="77777777" w:rsidR="00072642" w:rsidRPr="00883DA1" w:rsidRDefault="00072642" w:rsidP="00072642">
            <w:pPr>
              <w:jc w:val="center"/>
            </w:pPr>
          </w:p>
        </w:tc>
        <w:tc>
          <w:tcPr>
            <w:tcW w:w="635" w:type="pct"/>
            <w:tcBorders>
              <w:top w:val="single" w:sz="4" w:space="0" w:color="auto"/>
              <w:left w:val="outset" w:sz="6" w:space="0" w:color="000000"/>
              <w:bottom w:val="single" w:sz="4" w:space="0" w:color="auto"/>
              <w:right w:val="outset" w:sz="6" w:space="0" w:color="000000"/>
            </w:tcBorders>
            <w:vAlign w:val="center"/>
          </w:tcPr>
          <w:p w14:paraId="0B74D48C" w14:textId="77777777" w:rsidR="00072642" w:rsidRPr="00883DA1" w:rsidRDefault="00072642" w:rsidP="0007264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1C0AAD2B" w14:textId="77777777" w:rsidR="00072642" w:rsidRPr="00883DA1" w:rsidRDefault="00072642" w:rsidP="00072642">
            <w:pPr>
              <w:jc w:val="center"/>
            </w:pPr>
          </w:p>
        </w:tc>
      </w:tr>
      <w:tr w:rsidR="005E760C" w:rsidRPr="00883DA1" w14:paraId="70198C75"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431385F1" w14:textId="77777777" w:rsidR="005E760C" w:rsidRPr="00883DA1" w:rsidRDefault="005E760C" w:rsidP="005E760C">
            <w:pPr>
              <w:spacing w:before="100" w:beforeAutospacing="1" w:after="100" w:afterAutospacing="1"/>
            </w:pPr>
            <w:r w:rsidRPr="00883DA1">
              <w:t>3.3.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14:paraId="5F06494A" w14:textId="3B62B639" w:rsidR="005E760C" w:rsidRPr="00883DA1" w:rsidRDefault="009D2F8A" w:rsidP="005E760C">
            <w:pPr>
              <w:spacing w:line="360" w:lineRule="auto"/>
              <w:jc w:val="center"/>
            </w:pPr>
            <w:r>
              <w:t>-</w:t>
            </w:r>
          </w:p>
        </w:tc>
        <w:tc>
          <w:tcPr>
            <w:tcW w:w="560" w:type="pct"/>
            <w:tcBorders>
              <w:top w:val="single" w:sz="4" w:space="0" w:color="auto"/>
              <w:left w:val="outset" w:sz="6" w:space="0" w:color="000000"/>
              <w:bottom w:val="outset" w:sz="6" w:space="0" w:color="000000"/>
              <w:right w:val="outset" w:sz="6" w:space="0" w:color="000000"/>
            </w:tcBorders>
            <w:vAlign w:val="center"/>
          </w:tcPr>
          <w:p w14:paraId="0F367474" w14:textId="77777777" w:rsidR="005E760C" w:rsidRPr="00883DA1" w:rsidRDefault="005E760C" w:rsidP="005E760C">
            <w:pPr>
              <w:jc w:val="center"/>
            </w:pPr>
          </w:p>
        </w:tc>
        <w:tc>
          <w:tcPr>
            <w:tcW w:w="648" w:type="pct"/>
            <w:tcBorders>
              <w:top w:val="single" w:sz="4" w:space="0" w:color="auto"/>
              <w:left w:val="outset" w:sz="6" w:space="0" w:color="000000"/>
              <w:bottom w:val="outset" w:sz="6" w:space="0" w:color="000000"/>
              <w:right w:val="outset" w:sz="6" w:space="0" w:color="000000"/>
            </w:tcBorders>
            <w:vAlign w:val="center"/>
          </w:tcPr>
          <w:p w14:paraId="371E2E14" w14:textId="25062259" w:rsidR="005E760C" w:rsidRPr="00883DA1" w:rsidRDefault="00946934" w:rsidP="005E760C">
            <w:pPr>
              <w:jc w:val="center"/>
            </w:pPr>
            <w:r>
              <w:rPr>
                <w:bCs/>
              </w:rPr>
              <w:t>-</w:t>
            </w:r>
            <w:r w:rsidR="005E760C" w:rsidRPr="005E760C">
              <w:rPr>
                <w:bCs/>
              </w:rPr>
              <w:t>10 654 039</w:t>
            </w:r>
          </w:p>
        </w:tc>
        <w:tc>
          <w:tcPr>
            <w:tcW w:w="635" w:type="pct"/>
            <w:tcBorders>
              <w:top w:val="single" w:sz="4" w:space="0" w:color="auto"/>
              <w:left w:val="outset" w:sz="6" w:space="0" w:color="000000"/>
              <w:bottom w:val="outset" w:sz="6" w:space="0" w:color="000000"/>
              <w:right w:val="outset" w:sz="6" w:space="0" w:color="000000"/>
            </w:tcBorders>
          </w:tcPr>
          <w:p w14:paraId="1BDA87FD" w14:textId="7D49DF49" w:rsidR="005E760C" w:rsidRPr="00883DA1" w:rsidRDefault="00946934" w:rsidP="005E760C">
            <w:pPr>
              <w:jc w:val="center"/>
            </w:pPr>
            <w:r>
              <w:rPr>
                <w:bCs/>
              </w:rPr>
              <w:t>-</w:t>
            </w:r>
            <w:r w:rsidR="005E760C" w:rsidRPr="00661639">
              <w:rPr>
                <w:bCs/>
              </w:rPr>
              <w:t>10 654 039</w:t>
            </w:r>
          </w:p>
        </w:tc>
        <w:tc>
          <w:tcPr>
            <w:tcW w:w="639" w:type="pct"/>
            <w:tcBorders>
              <w:top w:val="single" w:sz="4" w:space="0" w:color="auto"/>
              <w:left w:val="outset" w:sz="6" w:space="0" w:color="000000"/>
              <w:bottom w:val="outset" w:sz="6" w:space="0" w:color="000000"/>
              <w:right w:val="outset" w:sz="6" w:space="0" w:color="000000"/>
            </w:tcBorders>
          </w:tcPr>
          <w:p w14:paraId="299FBCC5" w14:textId="3ED6CBBE" w:rsidR="005E760C" w:rsidRPr="00883DA1" w:rsidRDefault="00946934" w:rsidP="005E760C">
            <w:pPr>
              <w:jc w:val="center"/>
            </w:pPr>
            <w:r>
              <w:rPr>
                <w:bCs/>
              </w:rPr>
              <w:t>-</w:t>
            </w:r>
            <w:r w:rsidR="005E760C" w:rsidRPr="00661639">
              <w:rPr>
                <w:bCs/>
              </w:rPr>
              <w:t>10 654 039</w:t>
            </w:r>
          </w:p>
        </w:tc>
      </w:tr>
      <w:tr w:rsidR="005E760C" w:rsidRPr="00883DA1" w14:paraId="040C9E9B" w14:textId="77777777" w:rsidTr="005E760C">
        <w:trPr>
          <w:trHeight w:val="1400"/>
        </w:trPr>
        <w:tc>
          <w:tcPr>
            <w:tcW w:w="1876" w:type="pct"/>
            <w:tcBorders>
              <w:top w:val="outset" w:sz="6" w:space="0" w:color="000000"/>
              <w:left w:val="outset" w:sz="6" w:space="0" w:color="000000"/>
              <w:bottom w:val="outset" w:sz="6" w:space="0" w:color="000000"/>
              <w:right w:val="outset" w:sz="6" w:space="0" w:color="000000"/>
            </w:tcBorders>
          </w:tcPr>
          <w:p w14:paraId="1F2E5BDE" w14:textId="77777777" w:rsidR="005E760C" w:rsidRPr="00883DA1" w:rsidRDefault="005E760C" w:rsidP="005E760C">
            <w:pPr>
              <w:spacing w:before="100" w:beforeAutospacing="1" w:after="100" w:afterAutospacing="1"/>
            </w:pPr>
            <w:r w:rsidRPr="00883DA1">
              <w:t>4. Finanšu līdzekļi papildu izde</w:t>
            </w:r>
            <w:r w:rsidRPr="00883DA1">
              <w:softHyphen/>
              <w:t>vumu finansēšanai (kompensējošu izdevumu samazinājumu norāda ar "+" zīmi)</w:t>
            </w:r>
          </w:p>
        </w:tc>
        <w:tc>
          <w:tcPr>
            <w:tcW w:w="642" w:type="pct"/>
            <w:tcBorders>
              <w:top w:val="outset" w:sz="6" w:space="0" w:color="000000"/>
              <w:left w:val="outset" w:sz="6" w:space="0" w:color="000000"/>
              <w:bottom w:val="outset" w:sz="6" w:space="0" w:color="000000"/>
              <w:right w:val="outset" w:sz="6" w:space="0" w:color="000000"/>
            </w:tcBorders>
            <w:vAlign w:val="center"/>
          </w:tcPr>
          <w:p w14:paraId="508714C3" w14:textId="77777777" w:rsidR="005E760C" w:rsidRPr="00883DA1" w:rsidRDefault="005E760C" w:rsidP="005E760C">
            <w:pPr>
              <w:spacing w:line="360" w:lineRule="auto"/>
              <w:jc w:val="center"/>
            </w:pPr>
            <w:r>
              <w:t>X</w:t>
            </w:r>
          </w:p>
        </w:tc>
        <w:tc>
          <w:tcPr>
            <w:tcW w:w="560" w:type="pct"/>
            <w:tcBorders>
              <w:top w:val="outset" w:sz="6" w:space="0" w:color="000000"/>
              <w:left w:val="outset" w:sz="6" w:space="0" w:color="000000"/>
              <w:right w:val="outset" w:sz="6" w:space="0" w:color="000000"/>
            </w:tcBorders>
            <w:vAlign w:val="center"/>
          </w:tcPr>
          <w:p w14:paraId="693450C2" w14:textId="77777777" w:rsidR="005E760C" w:rsidRPr="00883DA1" w:rsidRDefault="005E760C" w:rsidP="005E760C">
            <w:pPr>
              <w:spacing w:line="360" w:lineRule="auto"/>
              <w:jc w:val="center"/>
            </w:pPr>
            <w:r>
              <w:t>–</w:t>
            </w:r>
          </w:p>
        </w:tc>
        <w:tc>
          <w:tcPr>
            <w:tcW w:w="648" w:type="pct"/>
            <w:tcBorders>
              <w:top w:val="outset" w:sz="6" w:space="0" w:color="000000"/>
              <w:left w:val="outset" w:sz="6" w:space="0" w:color="000000"/>
              <w:right w:val="outset" w:sz="6" w:space="0" w:color="000000"/>
            </w:tcBorders>
            <w:vAlign w:val="center"/>
          </w:tcPr>
          <w:p w14:paraId="170B0D1A" w14:textId="77777777" w:rsidR="005E760C" w:rsidRPr="006766C8" w:rsidRDefault="005E760C" w:rsidP="005E760C">
            <w:pPr>
              <w:jc w:val="center"/>
            </w:pPr>
            <w:r w:rsidRPr="006766C8">
              <w:t>0</w:t>
            </w:r>
          </w:p>
        </w:tc>
        <w:tc>
          <w:tcPr>
            <w:tcW w:w="635" w:type="pct"/>
            <w:tcBorders>
              <w:top w:val="outset" w:sz="6" w:space="0" w:color="000000"/>
              <w:left w:val="outset" w:sz="6" w:space="0" w:color="000000"/>
              <w:right w:val="outset" w:sz="6" w:space="0" w:color="000000"/>
            </w:tcBorders>
            <w:vAlign w:val="center"/>
          </w:tcPr>
          <w:p w14:paraId="1E026422" w14:textId="77777777" w:rsidR="005E760C" w:rsidRPr="006766C8" w:rsidRDefault="005E760C" w:rsidP="005E760C">
            <w:pPr>
              <w:jc w:val="center"/>
            </w:pPr>
            <w:r w:rsidRPr="006766C8">
              <w:t>0</w:t>
            </w:r>
          </w:p>
        </w:tc>
        <w:tc>
          <w:tcPr>
            <w:tcW w:w="639" w:type="pct"/>
            <w:tcBorders>
              <w:top w:val="outset" w:sz="6" w:space="0" w:color="000000"/>
              <w:left w:val="outset" w:sz="6" w:space="0" w:color="000000"/>
              <w:right w:val="outset" w:sz="6" w:space="0" w:color="000000"/>
            </w:tcBorders>
            <w:vAlign w:val="center"/>
          </w:tcPr>
          <w:p w14:paraId="5CC81CFB" w14:textId="77777777" w:rsidR="005E760C" w:rsidRPr="006766C8" w:rsidRDefault="005E760C" w:rsidP="005E760C">
            <w:pPr>
              <w:jc w:val="center"/>
            </w:pPr>
            <w:r w:rsidRPr="006766C8">
              <w:t>0</w:t>
            </w:r>
          </w:p>
        </w:tc>
      </w:tr>
      <w:tr w:rsidR="005E760C" w:rsidRPr="00883DA1" w14:paraId="4EF01B0B"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732D567B" w14:textId="77777777" w:rsidR="005E760C" w:rsidRPr="00883DA1" w:rsidRDefault="005E760C" w:rsidP="005E760C">
            <w:pPr>
              <w:spacing w:before="100" w:beforeAutospacing="1" w:after="100" w:afterAutospacing="1"/>
            </w:pPr>
            <w:r w:rsidRPr="00883DA1">
              <w:t>5. Precizēta finansiālā ietekme:</w:t>
            </w:r>
          </w:p>
        </w:tc>
        <w:tc>
          <w:tcPr>
            <w:tcW w:w="642" w:type="pct"/>
            <w:tcBorders>
              <w:top w:val="outset" w:sz="6" w:space="0" w:color="000000"/>
              <w:left w:val="outset" w:sz="6" w:space="0" w:color="000000"/>
              <w:bottom w:val="single" w:sz="4" w:space="0" w:color="auto"/>
              <w:right w:val="outset" w:sz="6" w:space="0" w:color="000000"/>
            </w:tcBorders>
            <w:vAlign w:val="center"/>
          </w:tcPr>
          <w:p w14:paraId="2D5B930A" w14:textId="77777777" w:rsidR="005E760C" w:rsidRPr="00883DA1" w:rsidRDefault="005E760C" w:rsidP="005E760C">
            <w:pPr>
              <w:jc w:val="center"/>
            </w:pPr>
            <w:r>
              <w:t>–</w:t>
            </w:r>
          </w:p>
        </w:tc>
        <w:tc>
          <w:tcPr>
            <w:tcW w:w="560" w:type="pct"/>
            <w:tcBorders>
              <w:top w:val="outset" w:sz="6" w:space="0" w:color="000000"/>
              <w:left w:val="outset" w:sz="6" w:space="0" w:color="000000"/>
              <w:bottom w:val="single" w:sz="4" w:space="0" w:color="auto"/>
              <w:right w:val="outset" w:sz="6" w:space="0" w:color="000000"/>
            </w:tcBorders>
            <w:vAlign w:val="center"/>
          </w:tcPr>
          <w:p w14:paraId="2D249EE8" w14:textId="77777777" w:rsidR="005E760C" w:rsidRPr="00883DA1" w:rsidRDefault="005E760C" w:rsidP="005E760C">
            <w:pPr>
              <w:jc w:val="center"/>
            </w:pPr>
            <w:r>
              <w:t>–</w:t>
            </w:r>
          </w:p>
        </w:tc>
        <w:tc>
          <w:tcPr>
            <w:tcW w:w="648" w:type="pct"/>
            <w:tcBorders>
              <w:top w:val="outset" w:sz="6" w:space="0" w:color="000000"/>
              <w:left w:val="outset" w:sz="6" w:space="0" w:color="000000"/>
              <w:bottom w:val="single" w:sz="4" w:space="0" w:color="auto"/>
              <w:right w:val="outset" w:sz="6" w:space="0" w:color="000000"/>
            </w:tcBorders>
            <w:vAlign w:val="center"/>
          </w:tcPr>
          <w:p w14:paraId="70F0ED90" w14:textId="77777777" w:rsidR="005E760C" w:rsidRPr="006766C8" w:rsidRDefault="005E760C" w:rsidP="005E760C">
            <w:pPr>
              <w:jc w:val="center"/>
            </w:pPr>
          </w:p>
        </w:tc>
        <w:tc>
          <w:tcPr>
            <w:tcW w:w="635" w:type="pct"/>
            <w:tcBorders>
              <w:top w:val="outset" w:sz="6" w:space="0" w:color="000000"/>
              <w:left w:val="outset" w:sz="6" w:space="0" w:color="000000"/>
              <w:bottom w:val="single" w:sz="4" w:space="0" w:color="auto"/>
              <w:right w:val="outset" w:sz="6" w:space="0" w:color="000000"/>
            </w:tcBorders>
            <w:vAlign w:val="center"/>
          </w:tcPr>
          <w:p w14:paraId="65D6B1DC" w14:textId="77777777" w:rsidR="005E760C" w:rsidRPr="006766C8" w:rsidRDefault="005E760C" w:rsidP="005E760C">
            <w:pPr>
              <w:jc w:val="center"/>
            </w:pPr>
          </w:p>
        </w:tc>
        <w:tc>
          <w:tcPr>
            <w:tcW w:w="639" w:type="pct"/>
            <w:tcBorders>
              <w:top w:val="outset" w:sz="6" w:space="0" w:color="000000"/>
              <w:left w:val="outset" w:sz="6" w:space="0" w:color="000000"/>
              <w:bottom w:val="single" w:sz="4" w:space="0" w:color="auto"/>
              <w:right w:val="outset" w:sz="6" w:space="0" w:color="000000"/>
            </w:tcBorders>
            <w:vAlign w:val="center"/>
          </w:tcPr>
          <w:p w14:paraId="78722B32" w14:textId="77777777" w:rsidR="005E760C" w:rsidRPr="006766C8" w:rsidRDefault="005E760C" w:rsidP="005E760C">
            <w:pPr>
              <w:jc w:val="center"/>
            </w:pPr>
          </w:p>
        </w:tc>
      </w:tr>
      <w:tr w:rsidR="005E760C" w:rsidRPr="00883DA1" w14:paraId="235AA672"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6C4A54D4" w14:textId="77777777" w:rsidR="005E760C" w:rsidRPr="00883DA1" w:rsidRDefault="005E760C" w:rsidP="005E760C">
            <w:pPr>
              <w:spacing w:before="100" w:beforeAutospacing="1" w:after="100" w:afterAutospacing="1"/>
            </w:pPr>
            <w:r w:rsidRPr="00883DA1">
              <w:t>5.1.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7AA52F11" w14:textId="77777777" w:rsidR="005E760C" w:rsidRPr="00883DA1" w:rsidRDefault="005E760C" w:rsidP="005E760C">
            <w:pPr>
              <w:jc w:val="center"/>
            </w:pPr>
            <w:r>
              <w:t>–</w:t>
            </w:r>
          </w:p>
        </w:tc>
        <w:tc>
          <w:tcPr>
            <w:tcW w:w="560" w:type="pct"/>
            <w:tcBorders>
              <w:top w:val="single" w:sz="4" w:space="0" w:color="auto"/>
              <w:left w:val="outset" w:sz="6" w:space="0" w:color="000000"/>
              <w:bottom w:val="single" w:sz="4" w:space="0" w:color="auto"/>
              <w:right w:val="outset" w:sz="6" w:space="0" w:color="000000"/>
            </w:tcBorders>
            <w:vAlign w:val="center"/>
          </w:tcPr>
          <w:p w14:paraId="2E0B884D" w14:textId="77777777" w:rsidR="005E760C" w:rsidRPr="00883DA1" w:rsidRDefault="005E760C" w:rsidP="005E760C">
            <w:pPr>
              <w:jc w:val="center"/>
            </w:pPr>
            <w:r>
              <w:t>–</w:t>
            </w:r>
          </w:p>
        </w:tc>
        <w:tc>
          <w:tcPr>
            <w:tcW w:w="648" w:type="pct"/>
            <w:tcBorders>
              <w:top w:val="single" w:sz="4" w:space="0" w:color="auto"/>
              <w:left w:val="outset" w:sz="6" w:space="0" w:color="000000"/>
              <w:bottom w:val="single" w:sz="4" w:space="0" w:color="auto"/>
              <w:right w:val="outset" w:sz="6" w:space="0" w:color="000000"/>
            </w:tcBorders>
            <w:vAlign w:val="center"/>
          </w:tcPr>
          <w:p w14:paraId="0B78C5D2" w14:textId="77777777" w:rsidR="005E760C" w:rsidRDefault="005E760C" w:rsidP="005E760C">
            <w:pPr>
              <w:jc w:val="center"/>
            </w:pPr>
          </w:p>
        </w:tc>
        <w:tc>
          <w:tcPr>
            <w:tcW w:w="635" w:type="pct"/>
            <w:tcBorders>
              <w:top w:val="single" w:sz="4" w:space="0" w:color="auto"/>
              <w:left w:val="outset" w:sz="6" w:space="0" w:color="000000"/>
              <w:bottom w:val="single" w:sz="4" w:space="0" w:color="auto"/>
              <w:right w:val="outset" w:sz="6" w:space="0" w:color="000000"/>
            </w:tcBorders>
            <w:vAlign w:val="center"/>
          </w:tcPr>
          <w:p w14:paraId="3349C695" w14:textId="77777777" w:rsidR="005E760C" w:rsidRPr="00883DA1" w:rsidRDefault="005E760C" w:rsidP="005E760C">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30540BEF" w14:textId="77777777" w:rsidR="005E760C" w:rsidRPr="00883DA1" w:rsidRDefault="005E760C" w:rsidP="005E760C">
            <w:pPr>
              <w:jc w:val="center"/>
            </w:pPr>
          </w:p>
        </w:tc>
      </w:tr>
      <w:tr w:rsidR="005E760C" w:rsidRPr="00883DA1" w14:paraId="2E1982CF"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67B015FD" w14:textId="77777777" w:rsidR="005E760C" w:rsidRPr="00883DA1" w:rsidRDefault="005E760C" w:rsidP="005E760C">
            <w:pPr>
              <w:spacing w:before="100" w:beforeAutospacing="1" w:after="100" w:afterAutospacing="1"/>
            </w:pPr>
            <w:r w:rsidRPr="00883DA1">
              <w:t>5.2.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69487C0D" w14:textId="77777777" w:rsidR="005E760C" w:rsidRPr="00883DA1" w:rsidRDefault="005E760C" w:rsidP="005E760C">
            <w:pPr>
              <w:jc w:val="center"/>
            </w:pPr>
          </w:p>
        </w:tc>
        <w:tc>
          <w:tcPr>
            <w:tcW w:w="560" w:type="pct"/>
            <w:tcBorders>
              <w:top w:val="single" w:sz="4" w:space="0" w:color="auto"/>
              <w:left w:val="outset" w:sz="6" w:space="0" w:color="000000"/>
              <w:bottom w:val="single" w:sz="4" w:space="0" w:color="auto"/>
              <w:right w:val="outset" w:sz="6" w:space="0" w:color="000000"/>
            </w:tcBorders>
            <w:vAlign w:val="center"/>
          </w:tcPr>
          <w:p w14:paraId="1CCBE334" w14:textId="77777777" w:rsidR="005E760C" w:rsidRPr="00883DA1" w:rsidRDefault="005E760C" w:rsidP="005E760C">
            <w:pPr>
              <w:jc w:val="center"/>
            </w:pPr>
          </w:p>
        </w:tc>
        <w:tc>
          <w:tcPr>
            <w:tcW w:w="648" w:type="pct"/>
            <w:tcBorders>
              <w:top w:val="single" w:sz="4" w:space="0" w:color="auto"/>
              <w:left w:val="outset" w:sz="6" w:space="0" w:color="000000"/>
              <w:bottom w:val="single" w:sz="4" w:space="0" w:color="auto"/>
              <w:right w:val="outset" w:sz="6" w:space="0" w:color="000000"/>
            </w:tcBorders>
            <w:vAlign w:val="center"/>
          </w:tcPr>
          <w:p w14:paraId="54D80B9E" w14:textId="77777777" w:rsidR="005E760C" w:rsidRPr="00883DA1" w:rsidRDefault="005E760C" w:rsidP="005E760C">
            <w:pPr>
              <w:jc w:val="center"/>
            </w:pPr>
          </w:p>
        </w:tc>
        <w:tc>
          <w:tcPr>
            <w:tcW w:w="635" w:type="pct"/>
            <w:tcBorders>
              <w:top w:val="single" w:sz="4" w:space="0" w:color="auto"/>
              <w:left w:val="outset" w:sz="6" w:space="0" w:color="000000"/>
              <w:bottom w:val="single" w:sz="4" w:space="0" w:color="auto"/>
              <w:right w:val="outset" w:sz="6" w:space="0" w:color="000000"/>
            </w:tcBorders>
            <w:vAlign w:val="center"/>
          </w:tcPr>
          <w:p w14:paraId="7F42A268" w14:textId="77777777" w:rsidR="005E760C" w:rsidRPr="00883DA1" w:rsidRDefault="005E760C" w:rsidP="005E760C">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3A5D7335" w14:textId="77777777" w:rsidR="005E760C" w:rsidRPr="00883DA1" w:rsidRDefault="005E760C" w:rsidP="005E760C">
            <w:pPr>
              <w:jc w:val="center"/>
            </w:pPr>
          </w:p>
        </w:tc>
      </w:tr>
      <w:tr w:rsidR="005E760C" w:rsidRPr="00883DA1" w14:paraId="38D7D358" w14:textId="77777777" w:rsidTr="005E760C">
        <w:tc>
          <w:tcPr>
            <w:tcW w:w="1876" w:type="pct"/>
            <w:tcBorders>
              <w:top w:val="outset" w:sz="6" w:space="0" w:color="000000"/>
              <w:left w:val="outset" w:sz="6" w:space="0" w:color="000000"/>
              <w:bottom w:val="outset" w:sz="6" w:space="0" w:color="000000"/>
              <w:right w:val="outset" w:sz="6" w:space="0" w:color="000000"/>
            </w:tcBorders>
          </w:tcPr>
          <w:p w14:paraId="23BC0EC6" w14:textId="77777777" w:rsidR="005E760C" w:rsidRPr="00883DA1" w:rsidRDefault="005E760C" w:rsidP="005E760C">
            <w:pPr>
              <w:spacing w:before="100" w:beforeAutospacing="1" w:after="100" w:afterAutospacing="1"/>
            </w:pPr>
            <w:r w:rsidRPr="00883DA1">
              <w:t>5.3.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14:paraId="008F9807" w14:textId="77777777" w:rsidR="005E760C" w:rsidRPr="00883DA1" w:rsidRDefault="005E760C" w:rsidP="005E760C">
            <w:pPr>
              <w:jc w:val="center"/>
            </w:pPr>
          </w:p>
        </w:tc>
        <w:tc>
          <w:tcPr>
            <w:tcW w:w="560" w:type="pct"/>
            <w:tcBorders>
              <w:top w:val="single" w:sz="4" w:space="0" w:color="auto"/>
              <w:left w:val="outset" w:sz="6" w:space="0" w:color="000000"/>
              <w:bottom w:val="outset" w:sz="6" w:space="0" w:color="000000"/>
              <w:right w:val="outset" w:sz="6" w:space="0" w:color="000000"/>
            </w:tcBorders>
            <w:vAlign w:val="center"/>
          </w:tcPr>
          <w:p w14:paraId="1FC7ECB5" w14:textId="77777777" w:rsidR="005E760C" w:rsidRPr="00883DA1" w:rsidRDefault="005E760C" w:rsidP="005E760C">
            <w:pPr>
              <w:jc w:val="center"/>
            </w:pPr>
          </w:p>
        </w:tc>
        <w:tc>
          <w:tcPr>
            <w:tcW w:w="648" w:type="pct"/>
            <w:tcBorders>
              <w:top w:val="single" w:sz="4" w:space="0" w:color="auto"/>
              <w:left w:val="outset" w:sz="6" w:space="0" w:color="000000"/>
              <w:bottom w:val="outset" w:sz="6" w:space="0" w:color="000000"/>
              <w:right w:val="outset" w:sz="6" w:space="0" w:color="000000"/>
            </w:tcBorders>
            <w:vAlign w:val="center"/>
          </w:tcPr>
          <w:p w14:paraId="53D09D04" w14:textId="77777777" w:rsidR="005E760C" w:rsidRPr="00883DA1" w:rsidRDefault="005E760C" w:rsidP="005E760C">
            <w:pPr>
              <w:jc w:val="center"/>
            </w:pPr>
          </w:p>
        </w:tc>
        <w:tc>
          <w:tcPr>
            <w:tcW w:w="635" w:type="pct"/>
            <w:tcBorders>
              <w:top w:val="single" w:sz="4" w:space="0" w:color="auto"/>
              <w:left w:val="outset" w:sz="6" w:space="0" w:color="000000"/>
              <w:bottom w:val="outset" w:sz="6" w:space="0" w:color="000000"/>
              <w:right w:val="outset" w:sz="6" w:space="0" w:color="000000"/>
            </w:tcBorders>
            <w:vAlign w:val="center"/>
          </w:tcPr>
          <w:p w14:paraId="05248FD1" w14:textId="77777777" w:rsidR="005E760C" w:rsidRPr="00883DA1" w:rsidRDefault="005E760C" w:rsidP="005E760C">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14:paraId="66ADE930" w14:textId="77777777" w:rsidR="005E760C" w:rsidRPr="00883DA1" w:rsidRDefault="005E760C" w:rsidP="005E760C">
            <w:pPr>
              <w:jc w:val="center"/>
            </w:pPr>
          </w:p>
        </w:tc>
      </w:tr>
      <w:tr w:rsidR="005E760C" w:rsidRPr="00883DA1" w14:paraId="1A22C3E2"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4AD3A8F1" w14:textId="77777777" w:rsidR="005E760C" w:rsidRPr="00883DA1" w:rsidRDefault="005E760C" w:rsidP="005E760C">
            <w:pPr>
              <w:spacing w:before="100" w:beforeAutospacing="1" w:after="100" w:afterAutospacing="1"/>
            </w:pPr>
            <w:r w:rsidRPr="00883DA1">
              <w:t>6. Detalizēts ieņēmumu un izdevu</w:t>
            </w:r>
            <w:r w:rsidRPr="00883DA1">
              <w:softHyphen/>
              <w:t>mu aprēķins (ja nepieciešams, detalizētu ieņēmumu un izdevumu aprēķinu var pievienot anotācijas pielikumā):</w:t>
            </w:r>
          </w:p>
        </w:tc>
        <w:tc>
          <w:tcPr>
            <w:tcW w:w="3124" w:type="pct"/>
            <w:gridSpan w:val="5"/>
            <w:vMerge w:val="restart"/>
            <w:tcBorders>
              <w:top w:val="outset" w:sz="6" w:space="0" w:color="000000"/>
              <w:left w:val="outset" w:sz="6" w:space="0" w:color="000000"/>
              <w:bottom w:val="outset" w:sz="6" w:space="0" w:color="000000"/>
              <w:right w:val="outset" w:sz="6" w:space="0" w:color="000000"/>
            </w:tcBorders>
            <w:vAlign w:val="center"/>
          </w:tcPr>
          <w:p w14:paraId="3504F474" w14:textId="77777777" w:rsidR="005E760C" w:rsidRPr="00883DA1" w:rsidRDefault="005E760C" w:rsidP="005E760C">
            <w:pPr>
              <w:jc w:val="both"/>
            </w:pPr>
          </w:p>
        </w:tc>
      </w:tr>
      <w:tr w:rsidR="005E760C" w:rsidRPr="00883DA1" w14:paraId="22EF3778"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42C1825A" w14:textId="77777777" w:rsidR="005E760C" w:rsidRPr="00883DA1" w:rsidRDefault="005E760C" w:rsidP="005E760C">
            <w:pPr>
              <w:spacing w:before="100" w:beforeAutospacing="1" w:after="100" w:afterAutospacing="1"/>
            </w:pP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14:paraId="14B29AF4" w14:textId="77777777" w:rsidR="005E760C" w:rsidRDefault="005E760C" w:rsidP="005E760C">
            <w:pPr>
              <w:ind w:firstLine="62"/>
              <w:jc w:val="both"/>
            </w:pPr>
          </w:p>
        </w:tc>
      </w:tr>
      <w:tr w:rsidR="005E760C" w:rsidRPr="00883DA1" w14:paraId="25385DD6"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4E2FAC3E" w14:textId="77777777" w:rsidR="005E760C" w:rsidRPr="00883DA1" w:rsidRDefault="005E760C" w:rsidP="005E760C">
            <w:pPr>
              <w:spacing w:before="100" w:beforeAutospacing="1" w:after="100" w:afterAutospacing="1"/>
            </w:pPr>
            <w:r w:rsidRPr="00883DA1">
              <w:t>6.1. detalizēts ieņēmumu aprēķins</w:t>
            </w: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14:paraId="15EFA277" w14:textId="77777777" w:rsidR="005E760C" w:rsidRPr="00883DA1" w:rsidRDefault="005E760C" w:rsidP="005E760C"/>
        </w:tc>
      </w:tr>
      <w:tr w:rsidR="005E760C" w:rsidRPr="00883DA1" w14:paraId="1E3333F5" w14:textId="77777777" w:rsidTr="006766C8">
        <w:tc>
          <w:tcPr>
            <w:tcW w:w="1876" w:type="pct"/>
            <w:tcBorders>
              <w:top w:val="outset" w:sz="6" w:space="0" w:color="000000"/>
              <w:left w:val="outset" w:sz="6" w:space="0" w:color="000000"/>
              <w:bottom w:val="single" w:sz="4" w:space="0" w:color="auto"/>
              <w:right w:val="outset" w:sz="6" w:space="0" w:color="000000"/>
            </w:tcBorders>
          </w:tcPr>
          <w:p w14:paraId="7E74B3D4" w14:textId="77777777" w:rsidR="005E760C" w:rsidRPr="00883DA1" w:rsidRDefault="005E760C" w:rsidP="005E760C">
            <w:pPr>
              <w:spacing w:before="100" w:beforeAutospacing="1" w:after="100" w:afterAutospacing="1"/>
            </w:pPr>
            <w:r w:rsidRPr="00883DA1">
              <w:t>6.2. detalizēts izdevumu aprēķins</w:t>
            </w:r>
          </w:p>
        </w:tc>
        <w:tc>
          <w:tcPr>
            <w:tcW w:w="3124" w:type="pct"/>
            <w:gridSpan w:val="5"/>
            <w:vMerge/>
            <w:tcBorders>
              <w:top w:val="outset" w:sz="6" w:space="0" w:color="000000"/>
              <w:left w:val="outset" w:sz="6" w:space="0" w:color="000000"/>
              <w:bottom w:val="single" w:sz="4" w:space="0" w:color="auto"/>
              <w:right w:val="outset" w:sz="6" w:space="0" w:color="000000"/>
            </w:tcBorders>
            <w:vAlign w:val="center"/>
          </w:tcPr>
          <w:p w14:paraId="5E23CB18" w14:textId="77777777" w:rsidR="005E760C" w:rsidRPr="00883DA1" w:rsidRDefault="005E760C" w:rsidP="005E760C"/>
        </w:tc>
      </w:tr>
      <w:tr w:rsidR="005E760C" w:rsidRPr="0086357E" w14:paraId="624BF1E1" w14:textId="77777777" w:rsidTr="006766C8">
        <w:tc>
          <w:tcPr>
            <w:tcW w:w="1876" w:type="pct"/>
            <w:tcBorders>
              <w:top w:val="single" w:sz="4" w:space="0" w:color="auto"/>
              <w:left w:val="single" w:sz="4" w:space="0" w:color="auto"/>
              <w:bottom w:val="single" w:sz="4" w:space="0" w:color="auto"/>
              <w:right w:val="single" w:sz="4" w:space="0" w:color="auto"/>
            </w:tcBorders>
          </w:tcPr>
          <w:p w14:paraId="2D5D087C" w14:textId="77777777" w:rsidR="005E760C" w:rsidRPr="00946934" w:rsidRDefault="005E760C" w:rsidP="005E760C">
            <w:pPr>
              <w:spacing w:before="100" w:beforeAutospacing="1" w:after="100" w:afterAutospacing="1"/>
            </w:pPr>
            <w:r w:rsidRPr="00946934">
              <w:t>7. Cita informācija</w:t>
            </w:r>
          </w:p>
        </w:tc>
        <w:tc>
          <w:tcPr>
            <w:tcW w:w="3124" w:type="pct"/>
            <w:gridSpan w:val="5"/>
            <w:tcBorders>
              <w:top w:val="single" w:sz="4" w:space="0" w:color="auto"/>
              <w:left w:val="single" w:sz="4" w:space="0" w:color="auto"/>
              <w:bottom w:val="single" w:sz="4" w:space="0" w:color="auto"/>
              <w:right w:val="single" w:sz="4" w:space="0" w:color="auto"/>
            </w:tcBorders>
          </w:tcPr>
          <w:p w14:paraId="62D159B0" w14:textId="77777777" w:rsidR="005E760C" w:rsidRPr="00946934" w:rsidRDefault="005E760C" w:rsidP="005E760C">
            <w:pPr>
              <w:ind w:right="140" w:firstLine="158"/>
              <w:jc w:val="both"/>
            </w:pPr>
            <w:r w:rsidRPr="00946934">
              <w:t xml:space="preserve">Pēc 2016.gada 12 mēnešu faktiskajiem datiem nepieciešamais PVN apmērs pasažieru , kuriem pienākas braukšanas maksas atvieglojumi pārvadāšanai ir 2 683 000 </w:t>
            </w:r>
            <w:proofErr w:type="spellStart"/>
            <w:r w:rsidRPr="00946934">
              <w:t>euro</w:t>
            </w:r>
            <w:proofErr w:type="spellEnd"/>
            <w:r w:rsidRPr="00946934">
              <w:t xml:space="preserve"> gadā.</w:t>
            </w:r>
          </w:p>
          <w:p w14:paraId="7309A869" w14:textId="77777777" w:rsidR="005E760C" w:rsidRPr="00946934" w:rsidRDefault="005E760C" w:rsidP="005E760C">
            <w:pPr>
              <w:ind w:right="140" w:firstLine="158"/>
              <w:jc w:val="both"/>
            </w:pPr>
            <w:r w:rsidRPr="00946934">
              <w:t xml:space="preserve">Satiksmes ministrijai nepieciešams sagatavot un iesniegt Finanšu ministrijā fiskāli neitrālus priekšlikumus par valsts budžeta ieņēmumu palielināšanu no pievienotās vērtības nodokļa budžeta </w:t>
            </w:r>
            <w:proofErr w:type="spellStart"/>
            <w:r w:rsidRPr="00946934">
              <w:t>prohrammā</w:t>
            </w:r>
            <w:proofErr w:type="spellEnd"/>
            <w:r w:rsidRPr="00946934">
              <w:t xml:space="preserve"> 31.00.00 “</w:t>
            </w:r>
            <w:proofErr w:type="spellStart"/>
            <w:r w:rsidRPr="00946934">
              <w:t>Sabiedriskias</w:t>
            </w:r>
            <w:proofErr w:type="spellEnd"/>
            <w:r w:rsidRPr="00946934">
              <w:t xml:space="preserve"> transports, apakšprogrammā 31.07.00 "Dotācijas sabiedriskā transporta pakalpojumu sniedzējiem ar braukšanas maksas atvieglojumiem saistīto zaudējumu segšanai"), kas aprēķināms par pasažieru pārvadājuma pakalpojuma sniegšanu Ministru kabineta 2015.gada 31.marta noteikumos Nr.153 "Noteikumi par pasažieru kategorijām, kuras ir tiesīgas izmantot braukšanas maksas atvieglojumus maršrutu tīkla maršrutos" paredzētajām pasažieru kategorijām, lai nodrošinātu izmaksājamo kompensācijas apmēru, attiecīgi palielinot Satiksmes ministrijas finansējumu bāzes izdevumiem programmā 31.00.00 "Sabiedriskais transports" (apakšprogramma 31.07.00 "Dotācijas sabiedriskā transporta pakalpojumu sniedzējiem ar braukšanas maksas atvieglojumiem saistīto zaudējumu segšanai") 2018.gadam un turpmākajiem gadiem.</w:t>
            </w:r>
          </w:p>
          <w:p w14:paraId="651B45A7" w14:textId="30D8867F" w:rsidR="005E760C" w:rsidRPr="0086357E" w:rsidRDefault="005E760C" w:rsidP="005E760C">
            <w:pPr>
              <w:ind w:right="140" w:firstLine="158"/>
              <w:jc w:val="both"/>
              <w:rPr>
                <w:u w:val="single"/>
              </w:rPr>
            </w:pPr>
            <w:r w:rsidRPr="00946934">
              <w:t xml:space="preserve">Saistībā ar pievienotās vērtības nodokļa aprēķināšanas un uzskaites kārtības precizēšanu, republikas nozīmes pilsētu </w:t>
            </w:r>
            <w:r w:rsidRPr="00946934">
              <w:lastRenderedPageBreak/>
              <w:t xml:space="preserve">pašvaldībām, kas zaudējumu kompensāciju aprēķinos neietver pievienotās vērtības nodokli, palielināsies pārvadātājiem kompensējamo zaudējumu apmērs, jo par pievienotās vērtības nodokļa daļu (12%) palielināsies pārvadātāju nesaņemto ieņēmumu par attiecīgo kategoriju pasažieru pārvadāšanu, summa. Pēc 2016.gada 12 mēnešu faktiskajiem datiem nepieciešamais PVN apmērs pasažieru , kuriem pienākas braukšanas maksas atvieglojumi pārvadāšanai </w:t>
            </w:r>
            <w:proofErr w:type="spellStart"/>
            <w:r w:rsidRPr="00946934">
              <w:t>pašval’dibās</w:t>
            </w:r>
            <w:proofErr w:type="spellEnd"/>
            <w:r w:rsidRPr="00946934">
              <w:t xml:space="preserve"> sastāda </w:t>
            </w:r>
            <w:r w:rsidRPr="00946934">
              <w:rPr>
                <w:bCs/>
              </w:rPr>
              <w:t>10 654 039</w:t>
            </w:r>
            <w:r w:rsidRPr="00946934">
              <w:rPr>
                <w:b/>
              </w:rPr>
              <w:t xml:space="preserve"> </w:t>
            </w:r>
            <w:proofErr w:type="spellStart"/>
            <w:r w:rsidRPr="00946934">
              <w:rPr>
                <w:i/>
              </w:rPr>
              <w:t>euro</w:t>
            </w:r>
            <w:proofErr w:type="spellEnd"/>
            <w:r w:rsidRPr="00946934">
              <w:rPr>
                <w:i/>
              </w:rPr>
              <w:t xml:space="preserve"> </w:t>
            </w:r>
            <w:r w:rsidRPr="00946934">
              <w:t>gadā.</w:t>
            </w:r>
            <w:r w:rsidRPr="0086357E">
              <w:t xml:space="preserve"> </w:t>
            </w:r>
          </w:p>
        </w:tc>
      </w:tr>
    </w:tbl>
    <w:p w14:paraId="168B3941" w14:textId="77777777" w:rsidR="00747903" w:rsidRPr="0086357E" w:rsidRDefault="00747903"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86357E" w:rsidRPr="0086357E" w14:paraId="4CFA1427" w14:textId="77777777" w:rsidTr="00D36916">
        <w:trPr>
          <w:jc w:val="center"/>
        </w:trPr>
        <w:tc>
          <w:tcPr>
            <w:tcW w:w="9786" w:type="dxa"/>
            <w:gridSpan w:val="3"/>
          </w:tcPr>
          <w:p w14:paraId="76203765" w14:textId="77777777" w:rsidR="002C10A7" w:rsidRPr="0086357E" w:rsidRDefault="002C10A7" w:rsidP="001F46CC">
            <w:pPr>
              <w:pStyle w:val="naisnod"/>
              <w:spacing w:before="0" w:after="0"/>
            </w:pPr>
            <w:r w:rsidRPr="0086357E">
              <w:t>I</w:t>
            </w:r>
            <w:r w:rsidR="001F46CC" w:rsidRPr="0086357E">
              <w:t>V</w:t>
            </w:r>
            <w:r w:rsidRPr="0086357E">
              <w:t>. Tiesību akta projekta ietekme uz spēkā esošo tiesību normu sistēmu</w:t>
            </w:r>
          </w:p>
        </w:tc>
      </w:tr>
      <w:tr w:rsidR="0086357E" w:rsidRPr="0086357E" w14:paraId="0836AB8B" w14:textId="77777777" w:rsidTr="00C95F30">
        <w:trPr>
          <w:jc w:val="center"/>
        </w:trPr>
        <w:tc>
          <w:tcPr>
            <w:tcW w:w="694" w:type="dxa"/>
          </w:tcPr>
          <w:p w14:paraId="30E3FCC0" w14:textId="77777777" w:rsidR="002C10A7" w:rsidRPr="0086357E" w:rsidRDefault="002C10A7" w:rsidP="00A25063">
            <w:pPr>
              <w:pStyle w:val="naiskr"/>
              <w:tabs>
                <w:tab w:val="left" w:pos="2628"/>
              </w:tabs>
              <w:spacing w:before="0" w:after="0"/>
              <w:jc w:val="center"/>
              <w:rPr>
                <w:iCs/>
              </w:rPr>
            </w:pPr>
            <w:r w:rsidRPr="0086357E">
              <w:rPr>
                <w:iCs/>
              </w:rPr>
              <w:t>1.</w:t>
            </w:r>
          </w:p>
        </w:tc>
        <w:tc>
          <w:tcPr>
            <w:tcW w:w="3010" w:type="dxa"/>
          </w:tcPr>
          <w:p w14:paraId="356430C3" w14:textId="77777777" w:rsidR="002C10A7" w:rsidRPr="0086357E" w:rsidRDefault="002C10A7" w:rsidP="00A25063">
            <w:pPr>
              <w:pStyle w:val="naiskr"/>
              <w:tabs>
                <w:tab w:val="left" w:pos="2628"/>
              </w:tabs>
              <w:spacing w:before="0" w:after="0"/>
              <w:rPr>
                <w:iCs/>
              </w:rPr>
            </w:pPr>
            <w:r w:rsidRPr="0086357E">
              <w:t>Nepieciešamie saistītie tiesību aktu projekti</w:t>
            </w:r>
          </w:p>
        </w:tc>
        <w:tc>
          <w:tcPr>
            <w:tcW w:w="6082" w:type="dxa"/>
          </w:tcPr>
          <w:p w14:paraId="5FAF689A" w14:textId="6888A204" w:rsidR="00016E19" w:rsidRPr="0086357E" w:rsidRDefault="00906989" w:rsidP="00C844DE">
            <w:pPr>
              <w:jc w:val="both"/>
            </w:pPr>
            <w:r w:rsidRPr="0086357E">
              <w:t>MK noteikumu projekt</w:t>
            </w:r>
            <w:r w:rsidR="005B1AD1" w:rsidRPr="0086357E">
              <w:t>s</w:t>
            </w:r>
            <w:r w:rsidRPr="0086357E">
              <w:t xml:space="preserve"> </w:t>
            </w:r>
            <w:r w:rsidR="005B1AD1" w:rsidRPr="0086357E">
              <w:t xml:space="preserve">““Braukšanas maksas atvieglojumu noteikumi” </w:t>
            </w:r>
            <w:r w:rsidR="00EA4E0B" w:rsidRPr="0086357E">
              <w:t>tiek virzīti</w:t>
            </w:r>
            <w:r w:rsidR="005B1AD1" w:rsidRPr="0086357E">
              <w:t xml:space="preserve"> </w:t>
            </w:r>
            <w:r w:rsidRPr="0086357E">
              <w:t xml:space="preserve">vienlaicīgi ar </w:t>
            </w:r>
            <w:r w:rsidR="006849F5" w:rsidRPr="0086357E">
              <w:t>MK noteikumu projektu „G</w:t>
            </w:r>
            <w:r w:rsidRPr="0086357E">
              <w:t>rozījumi</w:t>
            </w:r>
            <w:r w:rsidR="006849F5" w:rsidRPr="0086357E">
              <w:t xml:space="preserve"> </w:t>
            </w:r>
            <w:r w:rsidR="00A228CD" w:rsidRPr="0086357E">
              <w:t xml:space="preserve">Ministru kabineta </w:t>
            </w:r>
            <w:r w:rsidR="006849F5" w:rsidRPr="0086357E">
              <w:t>201</w:t>
            </w:r>
            <w:r w:rsidR="00016E19" w:rsidRPr="0086357E">
              <w:t>5</w:t>
            </w:r>
            <w:r w:rsidR="006849F5" w:rsidRPr="0086357E">
              <w:t xml:space="preserve">.gada </w:t>
            </w:r>
            <w:r w:rsidR="00016E19" w:rsidRPr="0086357E">
              <w:t>28</w:t>
            </w:r>
            <w:r w:rsidR="006849F5" w:rsidRPr="0086357E">
              <w:t>.</w:t>
            </w:r>
            <w:r w:rsidR="00016E19" w:rsidRPr="0086357E">
              <w:t>jūlija</w:t>
            </w:r>
            <w:r w:rsidR="006849F5" w:rsidRPr="0086357E">
              <w:t xml:space="preserve"> </w:t>
            </w:r>
            <w:r w:rsidR="00A228CD" w:rsidRPr="0086357E">
              <w:t>noteikum</w:t>
            </w:r>
            <w:r w:rsidR="006849F5" w:rsidRPr="0086357E">
              <w:t>os</w:t>
            </w:r>
            <w:r w:rsidR="00A228CD" w:rsidRPr="0086357E">
              <w:t xml:space="preserve"> Nr.</w:t>
            </w:r>
            <w:r w:rsidR="00016E19" w:rsidRPr="0086357E">
              <w:t>435</w:t>
            </w:r>
            <w:r w:rsidR="00A228CD" w:rsidRPr="0086357E">
              <w:t xml:space="preserve"> „Kārtība, kādā nosaka un kompensē ar sabiedriskā transporta pakalpojumu sniegšanu saistītos zaudējumus un izdevumus un nosaka sabiedriskā transporta pakalpojuma tarifu”</w:t>
            </w:r>
            <w:r w:rsidR="006849F5" w:rsidRPr="0086357E">
              <w:t>”</w:t>
            </w:r>
            <w:r w:rsidR="00016E19" w:rsidRPr="0086357E">
              <w:t>;</w:t>
            </w:r>
            <w:r w:rsidR="006849F5" w:rsidRPr="0086357E">
              <w:t xml:space="preserve">   MK noteikumu projektu „Grozījumi Ministru </w:t>
            </w:r>
            <w:r w:rsidR="006D6CFB" w:rsidRPr="0086357E">
              <w:t>2012.gada 28.maija noteikumos Nr.599 „Sabiedriskā transporta pakalpojumu sniegšanas un izmantošanas kārtība”</w:t>
            </w:r>
            <w:r w:rsidR="006849F5" w:rsidRPr="0086357E">
              <w:t>”</w:t>
            </w:r>
            <w:r w:rsidR="00F01B97" w:rsidRPr="0086357E">
              <w:t>, kuriem ir pievienota apvienotā anotācija</w:t>
            </w:r>
            <w:r w:rsidR="001C6857" w:rsidRPr="0086357E">
              <w:t>.</w:t>
            </w:r>
          </w:p>
          <w:p w14:paraId="674CCBE3" w14:textId="77777777" w:rsidR="006849F5" w:rsidRPr="0086357E" w:rsidRDefault="006849F5" w:rsidP="00016E19">
            <w:pPr>
              <w:pStyle w:val="naiskr"/>
              <w:tabs>
                <w:tab w:val="left" w:pos="283"/>
              </w:tabs>
              <w:spacing w:before="0" w:after="0"/>
              <w:jc w:val="both"/>
              <w:rPr>
                <w:iCs/>
              </w:rPr>
            </w:pPr>
            <w:r w:rsidRPr="0086357E">
              <w:t>Vienlaikus ar izstrādāto MK noteikumu projekta pieņemšanu spēku zaudēs Ministru kabineta 20</w:t>
            </w:r>
            <w:r w:rsidR="00016E19" w:rsidRPr="0086357E">
              <w:t>15</w:t>
            </w:r>
            <w:r w:rsidRPr="0086357E">
              <w:t xml:space="preserve">. gada </w:t>
            </w:r>
            <w:r w:rsidR="00016E19" w:rsidRPr="0086357E">
              <w:t>31</w:t>
            </w:r>
            <w:r w:rsidRPr="0086357E">
              <w:t xml:space="preserve">. </w:t>
            </w:r>
            <w:r w:rsidR="00016E19" w:rsidRPr="0086357E">
              <w:t>marta</w:t>
            </w:r>
            <w:r w:rsidRPr="0086357E">
              <w:t xml:space="preserve"> noteikumus Nr.</w:t>
            </w:r>
            <w:r w:rsidR="00016E19" w:rsidRPr="0086357E">
              <w:t>153</w:t>
            </w:r>
            <w:r w:rsidRPr="0086357E">
              <w:t xml:space="preserve"> „</w:t>
            </w:r>
            <w:hyperlink r:id="rId12" w:tgtFrame="_blank" w:history="1">
              <w:r w:rsidRPr="0086357E">
                <w:t>Noteikumi par pasažieru kategorijām, kam ir tiesības izmantot braukšanas maksas atvieglojumus maršrutu tīkla maršrutos</w:t>
              </w:r>
            </w:hyperlink>
            <w:r w:rsidRPr="0086357E">
              <w:rPr>
                <w:sz w:val="28"/>
                <w:szCs w:val="28"/>
              </w:rPr>
              <w:t>”.</w:t>
            </w:r>
          </w:p>
        </w:tc>
      </w:tr>
      <w:tr w:rsidR="0086357E" w:rsidRPr="0086357E" w14:paraId="5A54F57C" w14:textId="77777777" w:rsidTr="00C95F30">
        <w:trPr>
          <w:jc w:val="center"/>
        </w:trPr>
        <w:tc>
          <w:tcPr>
            <w:tcW w:w="694" w:type="dxa"/>
          </w:tcPr>
          <w:p w14:paraId="345FB270" w14:textId="77777777" w:rsidR="00FE4973" w:rsidRPr="0086357E" w:rsidRDefault="00FE4973" w:rsidP="00A25063">
            <w:pPr>
              <w:pStyle w:val="naiskr"/>
              <w:tabs>
                <w:tab w:val="left" w:pos="2628"/>
              </w:tabs>
              <w:spacing w:before="0" w:after="0"/>
              <w:jc w:val="center"/>
              <w:rPr>
                <w:iCs/>
              </w:rPr>
            </w:pPr>
            <w:r w:rsidRPr="0086357E">
              <w:rPr>
                <w:iCs/>
              </w:rPr>
              <w:t>2.</w:t>
            </w:r>
          </w:p>
        </w:tc>
        <w:tc>
          <w:tcPr>
            <w:tcW w:w="3010" w:type="dxa"/>
          </w:tcPr>
          <w:p w14:paraId="564D3C57" w14:textId="77777777" w:rsidR="00FE4973" w:rsidRPr="0086357E" w:rsidRDefault="00FE4973" w:rsidP="00A25063">
            <w:pPr>
              <w:pStyle w:val="naiskr"/>
              <w:tabs>
                <w:tab w:val="left" w:pos="2628"/>
              </w:tabs>
              <w:spacing w:before="0" w:after="0"/>
              <w:jc w:val="both"/>
            </w:pPr>
            <w:r w:rsidRPr="0086357E">
              <w:t>Atbildīgā institūcija</w:t>
            </w:r>
          </w:p>
        </w:tc>
        <w:tc>
          <w:tcPr>
            <w:tcW w:w="6082" w:type="dxa"/>
          </w:tcPr>
          <w:p w14:paraId="6C10C4A6" w14:textId="77777777" w:rsidR="00FE4973" w:rsidRPr="0086357E" w:rsidRDefault="001C6857" w:rsidP="00A25063">
            <w:pPr>
              <w:pStyle w:val="naiskr"/>
              <w:spacing w:before="0" w:after="0"/>
            </w:pPr>
            <w:r w:rsidRPr="0086357E">
              <w:t>Satiksmes ministrija, VSIA “Autotransporta direkcija”</w:t>
            </w:r>
          </w:p>
        </w:tc>
      </w:tr>
      <w:tr w:rsidR="009A0027" w:rsidRPr="0086357E" w14:paraId="677A6044" w14:textId="77777777" w:rsidTr="00C95F30">
        <w:trPr>
          <w:jc w:val="center"/>
        </w:trPr>
        <w:tc>
          <w:tcPr>
            <w:tcW w:w="694" w:type="dxa"/>
          </w:tcPr>
          <w:p w14:paraId="085A8685" w14:textId="77777777" w:rsidR="002C10A7" w:rsidRPr="0086357E" w:rsidRDefault="00FE4973" w:rsidP="00A25063">
            <w:pPr>
              <w:pStyle w:val="naiskr"/>
              <w:tabs>
                <w:tab w:val="left" w:pos="2628"/>
              </w:tabs>
              <w:spacing w:before="0" w:after="0"/>
              <w:jc w:val="center"/>
              <w:rPr>
                <w:iCs/>
              </w:rPr>
            </w:pPr>
            <w:r w:rsidRPr="0086357E">
              <w:rPr>
                <w:iCs/>
              </w:rPr>
              <w:t>3</w:t>
            </w:r>
            <w:r w:rsidR="002C10A7" w:rsidRPr="0086357E">
              <w:rPr>
                <w:iCs/>
              </w:rPr>
              <w:t>.</w:t>
            </w:r>
          </w:p>
        </w:tc>
        <w:tc>
          <w:tcPr>
            <w:tcW w:w="3010" w:type="dxa"/>
          </w:tcPr>
          <w:p w14:paraId="13E74215" w14:textId="77777777" w:rsidR="002C10A7" w:rsidRPr="0086357E" w:rsidRDefault="002C10A7" w:rsidP="00A25063">
            <w:pPr>
              <w:pStyle w:val="naiskr"/>
              <w:tabs>
                <w:tab w:val="left" w:pos="2628"/>
              </w:tabs>
              <w:spacing w:before="0" w:after="0"/>
              <w:jc w:val="both"/>
              <w:rPr>
                <w:iCs/>
              </w:rPr>
            </w:pPr>
            <w:r w:rsidRPr="0086357E">
              <w:t>Cita informācija</w:t>
            </w:r>
          </w:p>
        </w:tc>
        <w:tc>
          <w:tcPr>
            <w:tcW w:w="6082" w:type="dxa"/>
          </w:tcPr>
          <w:p w14:paraId="29DEE816" w14:textId="77777777" w:rsidR="00974399" w:rsidRPr="0086357E" w:rsidRDefault="006849F5" w:rsidP="006849F5">
            <w:pPr>
              <w:pStyle w:val="naiskr"/>
              <w:tabs>
                <w:tab w:val="left" w:pos="2628"/>
              </w:tabs>
              <w:spacing w:before="0" w:after="0"/>
              <w:jc w:val="both"/>
              <w:rPr>
                <w:iCs/>
              </w:rPr>
            </w:pPr>
            <w:r w:rsidRPr="0086357E">
              <w:rPr>
                <w:iCs/>
              </w:rPr>
              <w:t>Nav</w:t>
            </w:r>
          </w:p>
        </w:tc>
      </w:tr>
    </w:tbl>
    <w:p w14:paraId="5CCC0D75" w14:textId="77777777" w:rsidR="00DB264F" w:rsidRPr="0086357E" w:rsidRDefault="00DB264F"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86357E" w:rsidRPr="0086357E" w14:paraId="2EFA1410" w14:textId="77777777" w:rsidTr="00D36916">
        <w:trPr>
          <w:jc w:val="center"/>
        </w:trPr>
        <w:tc>
          <w:tcPr>
            <w:tcW w:w="9786" w:type="dxa"/>
            <w:gridSpan w:val="3"/>
          </w:tcPr>
          <w:p w14:paraId="1B2D2BE8" w14:textId="77777777" w:rsidR="00FE4973" w:rsidRPr="0086357E" w:rsidRDefault="00FE4973" w:rsidP="00E218E6">
            <w:pPr>
              <w:pStyle w:val="naisnod"/>
              <w:spacing w:before="0" w:after="0"/>
            </w:pPr>
            <w:r w:rsidRPr="0086357E">
              <w:t xml:space="preserve">V. </w:t>
            </w:r>
            <w:r w:rsidRPr="0086357E">
              <w:rPr>
                <w:bCs w:val="0"/>
              </w:rPr>
              <w:t>Sabiedrības līdzdalība un komunikācijas aktivitātes</w:t>
            </w:r>
          </w:p>
        </w:tc>
      </w:tr>
      <w:tr w:rsidR="0086357E" w:rsidRPr="0086357E" w14:paraId="109BDBA2" w14:textId="77777777" w:rsidTr="00C95F30">
        <w:trPr>
          <w:jc w:val="center"/>
        </w:trPr>
        <w:tc>
          <w:tcPr>
            <w:tcW w:w="694" w:type="dxa"/>
          </w:tcPr>
          <w:p w14:paraId="4AE066CE" w14:textId="77777777" w:rsidR="00906989" w:rsidRPr="0086357E" w:rsidRDefault="00906989" w:rsidP="00A25063">
            <w:pPr>
              <w:pStyle w:val="naiskr"/>
              <w:tabs>
                <w:tab w:val="left" w:pos="2628"/>
              </w:tabs>
              <w:spacing w:before="0" w:after="0"/>
              <w:jc w:val="center"/>
              <w:rPr>
                <w:iCs/>
              </w:rPr>
            </w:pPr>
            <w:r w:rsidRPr="0086357E">
              <w:rPr>
                <w:iCs/>
              </w:rPr>
              <w:t>1.</w:t>
            </w:r>
          </w:p>
        </w:tc>
        <w:tc>
          <w:tcPr>
            <w:tcW w:w="3010" w:type="dxa"/>
          </w:tcPr>
          <w:p w14:paraId="1DD4C122" w14:textId="77777777" w:rsidR="00906989" w:rsidRPr="0086357E" w:rsidRDefault="00906989" w:rsidP="00A25063">
            <w:pPr>
              <w:pStyle w:val="naiskr"/>
              <w:tabs>
                <w:tab w:val="left" w:pos="2628"/>
              </w:tabs>
              <w:spacing w:before="0" w:after="0"/>
              <w:rPr>
                <w:iCs/>
              </w:rPr>
            </w:pPr>
            <w:r w:rsidRPr="0086357E">
              <w:t>Plānotās sabiedrības līdzdalības un komunikācijas aktivitātes saistībā ar projektu</w:t>
            </w:r>
          </w:p>
        </w:tc>
        <w:tc>
          <w:tcPr>
            <w:tcW w:w="6082" w:type="dxa"/>
          </w:tcPr>
          <w:p w14:paraId="0F1415FA" w14:textId="119175E9" w:rsidR="003864FE" w:rsidRPr="0086357E" w:rsidRDefault="00500CE8" w:rsidP="00500CE8">
            <w:pPr>
              <w:pStyle w:val="naiskr"/>
              <w:tabs>
                <w:tab w:val="left" w:pos="2628"/>
              </w:tabs>
              <w:spacing w:before="0" w:after="0"/>
              <w:jc w:val="both"/>
              <w:rPr>
                <w:iCs/>
              </w:rPr>
            </w:pPr>
            <w:r w:rsidRPr="0086357E">
              <w:rPr>
                <w:iCs/>
              </w:rPr>
              <w:t>Nav attiecināms</w:t>
            </w:r>
          </w:p>
        </w:tc>
      </w:tr>
      <w:tr w:rsidR="0086357E" w:rsidRPr="0086357E" w14:paraId="32C84256" w14:textId="77777777" w:rsidTr="00C95F30">
        <w:trPr>
          <w:jc w:val="center"/>
        </w:trPr>
        <w:tc>
          <w:tcPr>
            <w:tcW w:w="694" w:type="dxa"/>
          </w:tcPr>
          <w:p w14:paraId="46459817" w14:textId="77777777" w:rsidR="00906989" w:rsidRPr="0086357E" w:rsidRDefault="00906989" w:rsidP="00A25063">
            <w:pPr>
              <w:pStyle w:val="naiskr"/>
              <w:tabs>
                <w:tab w:val="left" w:pos="2628"/>
              </w:tabs>
              <w:spacing w:before="0" w:after="0"/>
              <w:jc w:val="center"/>
              <w:rPr>
                <w:iCs/>
              </w:rPr>
            </w:pPr>
            <w:r w:rsidRPr="0086357E">
              <w:rPr>
                <w:iCs/>
              </w:rPr>
              <w:t>2.</w:t>
            </w:r>
          </w:p>
        </w:tc>
        <w:tc>
          <w:tcPr>
            <w:tcW w:w="3010" w:type="dxa"/>
          </w:tcPr>
          <w:p w14:paraId="76E873B5" w14:textId="77777777" w:rsidR="00906989" w:rsidRPr="0086357E" w:rsidRDefault="00906989" w:rsidP="00A25063">
            <w:pPr>
              <w:pStyle w:val="naiskr"/>
              <w:tabs>
                <w:tab w:val="left" w:pos="2628"/>
              </w:tabs>
              <w:spacing w:before="0" w:after="0"/>
            </w:pPr>
            <w:r w:rsidRPr="0086357E">
              <w:t>Sabiedrības līdzdalība projekta izstrādē</w:t>
            </w:r>
          </w:p>
        </w:tc>
        <w:tc>
          <w:tcPr>
            <w:tcW w:w="6082" w:type="dxa"/>
          </w:tcPr>
          <w:p w14:paraId="4EABE049" w14:textId="5BCC2577" w:rsidR="00906989" w:rsidRPr="0086357E" w:rsidRDefault="00500CE8" w:rsidP="00F01B97">
            <w:pPr>
              <w:pStyle w:val="naiskr"/>
              <w:tabs>
                <w:tab w:val="left" w:pos="2628"/>
              </w:tabs>
              <w:spacing w:before="0" w:after="0"/>
              <w:jc w:val="both"/>
            </w:pPr>
            <w:r w:rsidRPr="0086357E">
              <w:t>Nav attiecināms</w:t>
            </w:r>
          </w:p>
        </w:tc>
      </w:tr>
      <w:tr w:rsidR="0086357E" w:rsidRPr="0086357E" w14:paraId="01571DE4" w14:textId="77777777" w:rsidTr="00C95F30">
        <w:trPr>
          <w:jc w:val="center"/>
        </w:trPr>
        <w:tc>
          <w:tcPr>
            <w:tcW w:w="694" w:type="dxa"/>
          </w:tcPr>
          <w:p w14:paraId="47A5B3B6" w14:textId="77777777" w:rsidR="00906989" w:rsidRPr="0086357E" w:rsidRDefault="00906989" w:rsidP="00A25063">
            <w:pPr>
              <w:pStyle w:val="naiskr"/>
              <w:tabs>
                <w:tab w:val="left" w:pos="2628"/>
              </w:tabs>
              <w:spacing w:before="0" w:after="0"/>
              <w:jc w:val="center"/>
              <w:rPr>
                <w:iCs/>
              </w:rPr>
            </w:pPr>
            <w:r w:rsidRPr="0086357E">
              <w:rPr>
                <w:iCs/>
              </w:rPr>
              <w:t>3.</w:t>
            </w:r>
          </w:p>
        </w:tc>
        <w:tc>
          <w:tcPr>
            <w:tcW w:w="3010" w:type="dxa"/>
          </w:tcPr>
          <w:p w14:paraId="3AEC181F" w14:textId="77777777" w:rsidR="00906989" w:rsidRPr="0086357E" w:rsidRDefault="00906989" w:rsidP="00A25063">
            <w:pPr>
              <w:pStyle w:val="naiskr"/>
              <w:tabs>
                <w:tab w:val="left" w:pos="2628"/>
              </w:tabs>
              <w:spacing w:before="0" w:after="0"/>
              <w:rPr>
                <w:iCs/>
              </w:rPr>
            </w:pPr>
            <w:r w:rsidRPr="0086357E">
              <w:t>Sabiedrības līdzdalības rezultāti</w:t>
            </w:r>
          </w:p>
        </w:tc>
        <w:tc>
          <w:tcPr>
            <w:tcW w:w="6082" w:type="dxa"/>
          </w:tcPr>
          <w:p w14:paraId="0E663049" w14:textId="20B0E7EF" w:rsidR="00906989" w:rsidRPr="0086357E" w:rsidRDefault="00500CE8" w:rsidP="001C6857">
            <w:pPr>
              <w:pStyle w:val="naiskr"/>
              <w:tabs>
                <w:tab w:val="left" w:pos="2628"/>
              </w:tabs>
              <w:spacing w:before="0" w:after="0"/>
              <w:jc w:val="both"/>
              <w:rPr>
                <w:iCs/>
              </w:rPr>
            </w:pPr>
            <w:r w:rsidRPr="0086357E">
              <w:rPr>
                <w:iCs/>
              </w:rPr>
              <w:t>Nav attiecināms</w:t>
            </w:r>
          </w:p>
        </w:tc>
      </w:tr>
      <w:tr w:rsidR="0086357E" w:rsidRPr="0086357E" w14:paraId="157F55C6" w14:textId="77777777" w:rsidTr="00C95F30">
        <w:trPr>
          <w:jc w:val="center"/>
        </w:trPr>
        <w:tc>
          <w:tcPr>
            <w:tcW w:w="694" w:type="dxa"/>
          </w:tcPr>
          <w:p w14:paraId="06225E3E" w14:textId="77777777" w:rsidR="00906989" w:rsidRPr="0086357E" w:rsidRDefault="00906989" w:rsidP="00A25063">
            <w:pPr>
              <w:pStyle w:val="naiskr"/>
              <w:tabs>
                <w:tab w:val="left" w:pos="2628"/>
              </w:tabs>
              <w:spacing w:before="0" w:after="0"/>
              <w:jc w:val="center"/>
              <w:rPr>
                <w:iCs/>
              </w:rPr>
            </w:pPr>
            <w:r w:rsidRPr="0086357E">
              <w:rPr>
                <w:iCs/>
              </w:rPr>
              <w:t>4.</w:t>
            </w:r>
          </w:p>
        </w:tc>
        <w:tc>
          <w:tcPr>
            <w:tcW w:w="3010" w:type="dxa"/>
          </w:tcPr>
          <w:p w14:paraId="6F861CA8" w14:textId="77777777" w:rsidR="00906989" w:rsidRPr="0086357E" w:rsidRDefault="00906989" w:rsidP="00A25063">
            <w:pPr>
              <w:pStyle w:val="naiskr"/>
              <w:tabs>
                <w:tab w:val="left" w:pos="2628"/>
              </w:tabs>
              <w:spacing w:before="0" w:after="0"/>
            </w:pPr>
            <w:r w:rsidRPr="0086357E">
              <w:t>Cita informācija</w:t>
            </w:r>
          </w:p>
        </w:tc>
        <w:tc>
          <w:tcPr>
            <w:tcW w:w="6082" w:type="dxa"/>
          </w:tcPr>
          <w:p w14:paraId="07063DD9" w14:textId="75532F30" w:rsidR="00906989" w:rsidRPr="0086357E" w:rsidRDefault="00F80B36" w:rsidP="00500CE8">
            <w:pPr>
              <w:jc w:val="both"/>
            </w:pPr>
            <w:r w:rsidRPr="0086357E">
              <w:t xml:space="preserve">    Satiksmes ministrijas informatīvā ziņojuma sagatavošanas un saskaņošanas procesā Satiksmes ministrija </w:t>
            </w:r>
            <w:r w:rsidR="00300268" w:rsidRPr="0086357E">
              <w:t xml:space="preserve">darba grupās </w:t>
            </w:r>
            <w:r w:rsidRPr="0086357E">
              <w:t xml:space="preserve">sadarbojās ar VSIA “Autotransporta direkcija”, Finanšu ministriju, </w:t>
            </w:r>
            <w:r w:rsidR="00300268" w:rsidRPr="0086357E">
              <w:t xml:space="preserve">Labklājības ministriju, Vides aizsardzības un reģionālās attīstības ministriju, Valsts kasi, </w:t>
            </w:r>
            <w:proofErr w:type="spellStart"/>
            <w:r w:rsidR="00300268" w:rsidRPr="0086357E">
              <w:t>Pārresoru</w:t>
            </w:r>
            <w:proofErr w:type="spellEnd"/>
            <w:r w:rsidR="00300268" w:rsidRPr="0086357E">
              <w:t xml:space="preserve"> koordinācijas centru, Pilsonības un migrāciju lietu pārvaldi,  </w:t>
            </w:r>
            <w:proofErr w:type="spellStart"/>
            <w:r w:rsidR="00300268" w:rsidRPr="0086357E">
              <w:t>Siebiedrības</w:t>
            </w:r>
            <w:proofErr w:type="spellEnd"/>
            <w:r w:rsidR="00300268" w:rsidRPr="0086357E">
              <w:t xml:space="preserve"> integrācijas fondu, Valsts bērnu tiesību aizsardzības inspekciju, Veselības un darbspēju ekspertīzes ārstu valsts komisiju, Valsts reģionālās attīstības aģentūru, Latvijas pašvaldību savienību, biedrību “Latvijas Pasažieru </w:t>
            </w:r>
            <w:r w:rsidR="00300268" w:rsidRPr="0086357E">
              <w:lastRenderedPageBreak/>
              <w:t>pārvadātāju asociācija”, biedrību “Latvijas politiski represēto apvienība”, biedrību “Latvijas komercbanku asociācija”, invalīdu un viņu draugu apvienību “APEIRONS”</w:t>
            </w:r>
            <w:r w:rsidRPr="0086357E">
              <w:t>, Latvijas Cilvēku ar īpašām vajadzībām sadarbības organizācij</w:t>
            </w:r>
            <w:r w:rsidR="00300268" w:rsidRPr="0086357E">
              <w:t>u</w:t>
            </w:r>
            <w:r w:rsidRPr="0086357E">
              <w:t xml:space="preserve"> SUSTENTO</w:t>
            </w:r>
            <w:r w:rsidR="00300268" w:rsidRPr="0086357E">
              <w:t>.</w:t>
            </w:r>
          </w:p>
        </w:tc>
      </w:tr>
    </w:tbl>
    <w:p w14:paraId="510A3949" w14:textId="616FBCBA" w:rsidR="004907B8" w:rsidRPr="00883DA1" w:rsidRDefault="004907B8" w:rsidP="004907B8">
      <w:pPr>
        <w:pStyle w:val="naisf"/>
        <w:spacing w:before="0" w:after="0"/>
        <w:ind w:firstLine="0"/>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14:paraId="31E49AEB" w14:textId="77777777"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14:paraId="104493BE" w14:textId="77777777" w:rsidR="004907B8" w:rsidRPr="00883DA1" w:rsidRDefault="004907B8" w:rsidP="00E218E6">
            <w:pPr>
              <w:pStyle w:val="naisnod"/>
              <w:spacing w:before="0" w:after="0"/>
            </w:pPr>
            <w:r w:rsidRPr="00883DA1">
              <w:t>V</w:t>
            </w:r>
            <w:r w:rsidR="001F46CC" w:rsidRPr="00883DA1">
              <w:t>I</w:t>
            </w:r>
            <w:r w:rsidRPr="00883DA1">
              <w:t>. Tiesību akta projekta izpildes nodrošināšana un tās ietekme uz institūcijām</w:t>
            </w:r>
          </w:p>
        </w:tc>
      </w:tr>
      <w:tr w:rsidR="004907B8" w:rsidRPr="00883DA1" w14:paraId="137C83CE"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17FA5F" w14:textId="77777777" w:rsidR="004907B8" w:rsidRPr="00883DA1" w:rsidRDefault="004907B8" w:rsidP="003F7D40">
            <w:pPr>
              <w:pStyle w:val="naisnod"/>
              <w:spacing w:before="0" w:after="0"/>
              <w:rPr>
                <w:b w:val="0"/>
              </w:rPr>
            </w:pPr>
            <w:r w:rsidRPr="00883DA1">
              <w:rPr>
                <w:b w:val="0"/>
              </w:rPr>
              <w:t>1.</w:t>
            </w:r>
          </w:p>
        </w:tc>
        <w:tc>
          <w:tcPr>
            <w:tcW w:w="3260" w:type="dxa"/>
            <w:tcBorders>
              <w:top w:val="single" w:sz="4" w:space="0" w:color="auto"/>
              <w:left w:val="single" w:sz="4" w:space="0" w:color="auto"/>
              <w:bottom w:val="single" w:sz="4" w:space="0" w:color="auto"/>
              <w:right w:val="single" w:sz="4" w:space="0" w:color="auto"/>
            </w:tcBorders>
          </w:tcPr>
          <w:p w14:paraId="74ECCF8C" w14:textId="77777777"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14:paraId="3BE3212D" w14:textId="4659C927" w:rsidR="004907B8" w:rsidRPr="00883DA1" w:rsidRDefault="004907B8" w:rsidP="00F80B36">
            <w:pPr>
              <w:pStyle w:val="naisnod"/>
              <w:spacing w:before="0" w:after="0"/>
              <w:jc w:val="both"/>
              <w:rPr>
                <w:b w:val="0"/>
              </w:rPr>
            </w:pPr>
            <w:r w:rsidRPr="00883DA1">
              <w:rPr>
                <w:b w:val="0"/>
              </w:rPr>
              <w:t xml:space="preserve">Satiksmes </w:t>
            </w:r>
            <w:r w:rsidRPr="006849F5">
              <w:rPr>
                <w:b w:val="0"/>
              </w:rPr>
              <w:t>ministrija</w:t>
            </w:r>
            <w:r w:rsidR="006849F5" w:rsidRPr="006849F5">
              <w:rPr>
                <w:b w:val="0"/>
              </w:rPr>
              <w:t xml:space="preserve"> (VSIA „Autotransporta direkcija)</w:t>
            </w:r>
            <w:r w:rsidRPr="006849F5">
              <w:rPr>
                <w:b w:val="0"/>
              </w:rPr>
              <w:t xml:space="preserve">, </w:t>
            </w:r>
            <w:r w:rsidR="00F01B97">
              <w:rPr>
                <w:b w:val="0"/>
              </w:rPr>
              <w:t xml:space="preserve"> </w:t>
            </w:r>
            <w:proofErr w:type="spellStart"/>
            <w:r w:rsidR="00F01B97">
              <w:rPr>
                <w:b w:val="0"/>
              </w:rPr>
              <w:t>Pārrsoru</w:t>
            </w:r>
            <w:proofErr w:type="spellEnd"/>
            <w:r w:rsidR="00F01B97">
              <w:rPr>
                <w:b w:val="0"/>
              </w:rPr>
              <w:t xml:space="preserve"> koordinācijas centrs (Sabiedrības integrācijas fonds)</w:t>
            </w:r>
            <w:r w:rsidR="00F80B36">
              <w:rPr>
                <w:b w:val="0"/>
              </w:rPr>
              <w:t>, Republikas nozīmes pilsētu pašvaldības</w:t>
            </w:r>
            <w:r w:rsidR="006849F5" w:rsidRPr="006849F5">
              <w:rPr>
                <w:b w:val="0"/>
              </w:rPr>
              <w:t>.</w:t>
            </w:r>
          </w:p>
        </w:tc>
      </w:tr>
      <w:tr w:rsidR="004907B8" w:rsidRPr="00883DA1" w14:paraId="5F34B025"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D9421D" w14:textId="77777777" w:rsidR="004907B8" w:rsidRPr="00883DA1" w:rsidRDefault="004907B8" w:rsidP="003F7D40">
            <w:pPr>
              <w:pStyle w:val="naisnod"/>
              <w:spacing w:before="0" w:after="0"/>
              <w:rPr>
                <w:b w:val="0"/>
              </w:rPr>
            </w:pPr>
            <w:r w:rsidRPr="00883DA1">
              <w:rPr>
                <w:b w:val="0"/>
              </w:rPr>
              <w:t>2.</w:t>
            </w:r>
          </w:p>
        </w:tc>
        <w:tc>
          <w:tcPr>
            <w:tcW w:w="3260" w:type="dxa"/>
            <w:tcBorders>
              <w:top w:val="single" w:sz="4" w:space="0" w:color="auto"/>
              <w:left w:val="single" w:sz="4" w:space="0" w:color="auto"/>
              <w:bottom w:val="single" w:sz="4" w:space="0" w:color="auto"/>
              <w:right w:val="single" w:sz="4" w:space="0" w:color="auto"/>
            </w:tcBorders>
          </w:tcPr>
          <w:p w14:paraId="6BCA28ED" w14:textId="77777777" w:rsidR="004907B8" w:rsidRPr="00883DA1" w:rsidRDefault="004907B8" w:rsidP="003F7D40">
            <w:r w:rsidRPr="00883DA1">
              <w:t>Projekta izpildes ietekme uz pārvaldes funkcijām un institucionālo struktūru.</w:t>
            </w:r>
          </w:p>
          <w:p w14:paraId="4590F67F" w14:textId="77777777" w:rsidR="004907B8" w:rsidRPr="00883DA1" w:rsidRDefault="004907B8" w:rsidP="003F7D40">
            <w:pPr>
              <w:pStyle w:val="naisnod"/>
              <w:spacing w:before="0" w:after="0"/>
              <w:jc w:val="left"/>
              <w:rPr>
                <w:b w:val="0"/>
              </w:rPr>
            </w:pPr>
            <w:r w:rsidRPr="00883DA1">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14:paraId="654D3D47" w14:textId="77777777" w:rsidR="004907B8" w:rsidRPr="00883DA1" w:rsidRDefault="004907B8" w:rsidP="001C6857">
            <w:pPr>
              <w:pStyle w:val="naisnod"/>
              <w:spacing w:before="0" w:after="0"/>
              <w:jc w:val="both"/>
              <w:rPr>
                <w:b w:val="0"/>
              </w:rPr>
            </w:pPr>
            <w:r w:rsidRPr="00883DA1">
              <w:rPr>
                <w:b w:val="0"/>
              </w:rPr>
              <w:t>Projekta izpilde tiks veikta institūciju esošo funkciju ietvaros</w:t>
            </w:r>
            <w:r w:rsidR="006849F5">
              <w:rPr>
                <w:b w:val="0"/>
              </w:rPr>
              <w:t>.</w:t>
            </w:r>
            <w:r w:rsidR="005E3735">
              <w:rPr>
                <w:b w:val="0"/>
              </w:rPr>
              <w:t xml:space="preserve"> </w:t>
            </w:r>
          </w:p>
        </w:tc>
      </w:tr>
      <w:tr w:rsidR="004907B8" w:rsidRPr="00883DA1" w14:paraId="28665ED2" w14:textId="77777777"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14:paraId="0356761A" w14:textId="77777777"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14:paraId="26FD842F" w14:textId="77777777"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14:paraId="66C4D683" w14:textId="77777777" w:rsidR="004907B8" w:rsidRPr="00883DA1" w:rsidRDefault="004907B8" w:rsidP="003F7D40">
            <w:pPr>
              <w:rPr>
                <w:bCs/>
              </w:rPr>
            </w:pPr>
            <w:r w:rsidRPr="00883DA1">
              <w:rPr>
                <w:bCs/>
              </w:rPr>
              <w:t>Nav</w:t>
            </w:r>
          </w:p>
        </w:tc>
      </w:tr>
    </w:tbl>
    <w:p w14:paraId="7A506219" w14:textId="77777777" w:rsidR="00B14D9F" w:rsidRPr="00883DA1" w:rsidRDefault="00B14D9F" w:rsidP="00A25063">
      <w:pPr>
        <w:tabs>
          <w:tab w:val="left" w:pos="6804"/>
        </w:tabs>
        <w:rPr>
          <w:rFonts w:eastAsia="Calibri"/>
        </w:rPr>
      </w:pPr>
    </w:p>
    <w:p w14:paraId="78D041AE" w14:textId="77777777" w:rsidR="00BF4B68" w:rsidRPr="001C6857" w:rsidRDefault="00BF4B68" w:rsidP="00A25063">
      <w:pPr>
        <w:tabs>
          <w:tab w:val="left" w:pos="6804"/>
        </w:tabs>
        <w:rPr>
          <w:rFonts w:eastAsia="Calibri"/>
        </w:rPr>
      </w:pPr>
    </w:p>
    <w:p w14:paraId="68749FED" w14:textId="77777777" w:rsidR="001C6857" w:rsidRPr="001C6857" w:rsidRDefault="001C6857" w:rsidP="001C6857"/>
    <w:p w14:paraId="5D2840B4" w14:textId="77777777" w:rsidR="001C6857" w:rsidRPr="001C6857" w:rsidRDefault="001C6857" w:rsidP="001C6857">
      <w:r w:rsidRPr="001C6857">
        <w:t xml:space="preserve">Iesniedzējs: </w:t>
      </w:r>
    </w:p>
    <w:p w14:paraId="6C473206" w14:textId="77777777" w:rsidR="001C6857" w:rsidRPr="001C6857" w:rsidRDefault="001C6857" w:rsidP="001C6857">
      <w:r w:rsidRPr="001C6857">
        <w:t>Satiksmes ministrs</w:t>
      </w:r>
      <w:r w:rsidRPr="001C6857">
        <w:tab/>
      </w:r>
      <w:r w:rsidRPr="001C6857">
        <w:tab/>
      </w:r>
      <w:r w:rsidRPr="001C6857">
        <w:tab/>
      </w:r>
      <w:r w:rsidRPr="001C6857">
        <w:tab/>
      </w:r>
      <w:r w:rsidRPr="001C6857">
        <w:tab/>
      </w:r>
      <w:r w:rsidRPr="001C6857">
        <w:tab/>
      </w:r>
      <w:r w:rsidRPr="001C6857">
        <w:tab/>
      </w:r>
      <w:r w:rsidRPr="001C6857">
        <w:tab/>
      </w:r>
      <w:r w:rsidRPr="001C6857">
        <w:tab/>
      </w:r>
      <w:proofErr w:type="spellStart"/>
      <w:r w:rsidRPr="001C6857">
        <w:t>U.Augulis</w:t>
      </w:r>
      <w:proofErr w:type="spellEnd"/>
    </w:p>
    <w:p w14:paraId="0256FAF5" w14:textId="77777777" w:rsidR="001C6857" w:rsidRPr="001C6857" w:rsidRDefault="001C6857" w:rsidP="001C6857"/>
    <w:p w14:paraId="5DE63656" w14:textId="77777777" w:rsidR="001C6857" w:rsidRPr="001C6857" w:rsidRDefault="001C6857" w:rsidP="001C6857">
      <w:r w:rsidRPr="001C6857">
        <w:t xml:space="preserve">Vīza: </w:t>
      </w:r>
    </w:p>
    <w:p w14:paraId="63BF56F6" w14:textId="77777777" w:rsidR="001C6857" w:rsidRPr="001C6857" w:rsidRDefault="001C6857" w:rsidP="001C6857">
      <w:r w:rsidRPr="001C6857">
        <w:t>Valsts sekretārs</w:t>
      </w:r>
      <w:r w:rsidRPr="001C6857">
        <w:tab/>
        <w:t xml:space="preserve">       </w:t>
      </w:r>
      <w:r w:rsidRPr="001C6857">
        <w:tab/>
      </w:r>
      <w:r w:rsidRPr="001C6857">
        <w:tab/>
      </w:r>
      <w:r w:rsidRPr="001C6857">
        <w:tab/>
      </w:r>
      <w:r w:rsidRPr="001C6857">
        <w:tab/>
      </w:r>
      <w:r w:rsidRPr="001C6857">
        <w:tab/>
      </w:r>
      <w:r w:rsidRPr="001C6857">
        <w:tab/>
      </w:r>
      <w:r w:rsidRPr="001C6857">
        <w:tab/>
      </w:r>
      <w:r w:rsidRPr="001C6857">
        <w:tab/>
      </w:r>
      <w:proofErr w:type="spellStart"/>
      <w:r w:rsidRPr="001C6857">
        <w:t>K.Ozoliņš</w:t>
      </w:r>
      <w:proofErr w:type="spellEnd"/>
    </w:p>
    <w:p w14:paraId="3E78046B" w14:textId="77777777" w:rsidR="001C6857" w:rsidRPr="001C6857" w:rsidRDefault="001C6857" w:rsidP="001C6857">
      <w:pPr>
        <w:pStyle w:val="Header"/>
      </w:pPr>
    </w:p>
    <w:p w14:paraId="1D4E49AD" w14:textId="77777777" w:rsidR="001C6857" w:rsidRPr="001C6857" w:rsidRDefault="001C6857" w:rsidP="001C6857">
      <w:pPr>
        <w:pStyle w:val="Header"/>
      </w:pPr>
    </w:p>
    <w:p w14:paraId="5F6D2C4A" w14:textId="41D15C14" w:rsidR="001C6857" w:rsidRPr="001C6857" w:rsidRDefault="000F0541" w:rsidP="001C6857">
      <w:pPr>
        <w:rPr>
          <w:sz w:val="20"/>
          <w:szCs w:val="20"/>
        </w:rPr>
      </w:pPr>
      <w:r>
        <w:rPr>
          <w:sz w:val="20"/>
          <w:szCs w:val="20"/>
        </w:rPr>
        <w:t>08</w:t>
      </w:r>
      <w:r w:rsidR="001C6857" w:rsidRPr="001C6857">
        <w:rPr>
          <w:sz w:val="20"/>
          <w:szCs w:val="20"/>
        </w:rPr>
        <w:t>.0</w:t>
      </w:r>
      <w:r>
        <w:rPr>
          <w:sz w:val="20"/>
          <w:szCs w:val="20"/>
        </w:rPr>
        <w:t>6</w:t>
      </w:r>
      <w:r w:rsidR="001C6857" w:rsidRPr="001C6857">
        <w:rPr>
          <w:sz w:val="20"/>
          <w:szCs w:val="20"/>
        </w:rPr>
        <w:t>.2017.</w:t>
      </w:r>
    </w:p>
    <w:p w14:paraId="7A4906CB" w14:textId="53EAFEE0" w:rsidR="001C6857" w:rsidRPr="001C6857" w:rsidRDefault="00D21F42" w:rsidP="001C6857">
      <w:pPr>
        <w:rPr>
          <w:sz w:val="20"/>
          <w:szCs w:val="20"/>
        </w:rPr>
      </w:pPr>
      <w:r w:rsidRPr="0076592B">
        <w:rPr>
          <w:sz w:val="20"/>
          <w:szCs w:val="20"/>
        </w:rPr>
        <w:t>3</w:t>
      </w:r>
      <w:r w:rsidR="000F0541">
        <w:rPr>
          <w:sz w:val="20"/>
          <w:szCs w:val="20"/>
        </w:rPr>
        <w:t>321</w:t>
      </w:r>
    </w:p>
    <w:p w14:paraId="5E9699DF" w14:textId="77777777" w:rsidR="001C6857" w:rsidRPr="001C6857" w:rsidRDefault="001C6857" w:rsidP="001C6857">
      <w:pPr>
        <w:rPr>
          <w:sz w:val="20"/>
          <w:szCs w:val="20"/>
          <w:lang w:val="de-DE"/>
        </w:rPr>
      </w:pPr>
      <w:proofErr w:type="spellStart"/>
      <w:r w:rsidRPr="001C6857">
        <w:rPr>
          <w:sz w:val="20"/>
          <w:szCs w:val="20"/>
          <w:lang w:val="de-DE"/>
        </w:rPr>
        <w:t>D.Ziemele</w:t>
      </w:r>
      <w:proofErr w:type="spellEnd"/>
      <w:r w:rsidRPr="001C6857">
        <w:rPr>
          <w:sz w:val="20"/>
          <w:szCs w:val="20"/>
          <w:lang w:val="de-DE"/>
        </w:rPr>
        <w:t>-Adricka 67028036</w:t>
      </w:r>
    </w:p>
    <w:p w14:paraId="6E4AD6C9" w14:textId="08BC0F2E" w:rsidR="0063787F" w:rsidRPr="001C6857" w:rsidRDefault="00C06310" w:rsidP="001C6857">
      <w:pPr>
        <w:rPr>
          <w:sz w:val="20"/>
          <w:szCs w:val="20"/>
          <w:lang w:val="de-DE"/>
        </w:rPr>
      </w:pPr>
      <w:hyperlink r:id="rId13" w:history="1">
        <w:r w:rsidR="001C6857" w:rsidRPr="001C6857">
          <w:rPr>
            <w:rStyle w:val="Hyperlink"/>
            <w:color w:val="auto"/>
            <w:sz w:val="20"/>
            <w:szCs w:val="20"/>
            <w:lang w:val="de-DE"/>
          </w:rPr>
          <w:t>dana.ziemele-adricka@sam.gov.lv</w:t>
        </w:r>
      </w:hyperlink>
    </w:p>
    <w:p w14:paraId="76C82984" w14:textId="77777777" w:rsidR="00EA5325" w:rsidRPr="001C6857" w:rsidRDefault="00EA5325" w:rsidP="00A25063">
      <w:pPr>
        <w:tabs>
          <w:tab w:val="left" w:pos="6804"/>
        </w:tabs>
        <w:rPr>
          <w:rFonts w:eastAsia="Calibri"/>
          <w:sz w:val="18"/>
          <w:szCs w:val="18"/>
          <w:lang w:val="de-DE"/>
        </w:rPr>
      </w:pPr>
    </w:p>
    <w:p w14:paraId="77ED98EC" w14:textId="4DDAFF35" w:rsidR="004F098F" w:rsidRDefault="0063787F" w:rsidP="00A25063">
      <w:pPr>
        <w:rPr>
          <w:noProof/>
          <w:sz w:val="20"/>
          <w:szCs w:val="20"/>
        </w:rPr>
      </w:pPr>
      <w:r>
        <w:rPr>
          <w:noProof/>
          <w:sz w:val="20"/>
          <w:szCs w:val="20"/>
        </w:rPr>
        <w:t>I.Brice 67502866</w:t>
      </w:r>
    </w:p>
    <w:p w14:paraId="657D695F" w14:textId="7174C2B2" w:rsidR="0063787F" w:rsidRDefault="00C06310" w:rsidP="00A25063">
      <w:pPr>
        <w:rPr>
          <w:noProof/>
          <w:sz w:val="20"/>
          <w:szCs w:val="20"/>
        </w:rPr>
      </w:pPr>
      <w:hyperlink r:id="rId14" w:history="1">
        <w:r w:rsidR="0063787F" w:rsidRPr="00BA0C7F">
          <w:rPr>
            <w:rStyle w:val="Hyperlink"/>
            <w:noProof/>
            <w:sz w:val="20"/>
            <w:szCs w:val="20"/>
          </w:rPr>
          <w:t>ilze.brice@atd.lv</w:t>
        </w:r>
      </w:hyperlink>
    </w:p>
    <w:p w14:paraId="56988A17" w14:textId="77777777" w:rsidR="0063787F" w:rsidRPr="001C6857" w:rsidRDefault="0063787F" w:rsidP="00A25063">
      <w:pPr>
        <w:rPr>
          <w:noProof/>
          <w:sz w:val="20"/>
          <w:szCs w:val="20"/>
        </w:rPr>
      </w:pPr>
    </w:p>
    <w:p w14:paraId="71108C31" w14:textId="77777777" w:rsidR="00BF4B68" w:rsidRPr="001C6857" w:rsidRDefault="00BF4B68" w:rsidP="00A25063">
      <w:pPr>
        <w:rPr>
          <w:noProof/>
          <w:sz w:val="20"/>
          <w:szCs w:val="20"/>
        </w:rPr>
      </w:pPr>
    </w:p>
    <w:p w14:paraId="22DF3AC0" w14:textId="77777777" w:rsidR="00BF4B68" w:rsidRPr="001C6857" w:rsidRDefault="00BF4B68" w:rsidP="00A25063">
      <w:pPr>
        <w:rPr>
          <w:noProof/>
          <w:sz w:val="20"/>
          <w:szCs w:val="20"/>
        </w:rPr>
      </w:pPr>
    </w:p>
    <w:sectPr w:rsidR="00BF4B68" w:rsidRPr="001C6857" w:rsidSect="00B14D9F">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34CA" w14:textId="77777777" w:rsidR="00E8510D" w:rsidRDefault="00E8510D">
      <w:r>
        <w:separator/>
      </w:r>
    </w:p>
  </w:endnote>
  <w:endnote w:type="continuationSeparator" w:id="0">
    <w:p w14:paraId="654E3207" w14:textId="77777777" w:rsidR="00E8510D" w:rsidRDefault="00E8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39F4" w14:textId="6B0C07CE" w:rsidR="00BC71C4" w:rsidRPr="00432D5B" w:rsidRDefault="00D93105" w:rsidP="005B1AD1">
    <w:pPr>
      <w:pStyle w:val="naiskr"/>
      <w:tabs>
        <w:tab w:val="left" w:pos="283"/>
      </w:tabs>
      <w:spacing w:before="0" w:after="0"/>
      <w:ind w:right="-427"/>
      <w:jc w:val="both"/>
      <w:rPr>
        <w:sz w:val="20"/>
        <w:szCs w:val="20"/>
      </w:rPr>
    </w:pPr>
    <w:r w:rsidRPr="00D93105">
      <w:rPr>
        <w:sz w:val="20"/>
        <w:szCs w:val="20"/>
      </w:rPr>
      <w:t>SAManot_</w:t>
    </w:r>
    <w:r w:rsidR="000F0541">
      <w:rPr>
        <w:sz w:val="20"/>
        <w:szCs w:val="20"/>
      </w:rPr>
      <w:t>08</w:t>
    </w:r>
    <w:r w:rsidRPr="00D93105">
      <w:rPr>
        <w:sz w:val="20"/>
        <w:szCs w:val="20"/>
      </w:rPr>
      <w:t>0</w:t>
    </w:r>
    <w:r w:rsidR="000F0541">
      <w:rPr>
        <w:sz w:val="20"/>
        <w:szCs w:val="20"/>
      </w:rPr>
      <w:t>6</w:t>
    </w:r>
    <w:r w:rsidRPr="00D93105">
      <w:rPr>
        <w:sz w:val="20"/>
        <w:szCs w:val="20"/>
      </w:rPr>
      <w:t>17_</w:t>
    </w:r>
    <w:r w:rsidR="000F0541">
      <w:rPr>
        <w:sz w:val="20"/>
        <w:szCs w:val="20"/>
      </w:rPr>
      <w:t>BMA</w:t>
    </w:r>
    <w:r w:rsidRPr="00D93105">
      <w:rPr>
        <w:sz w:val="20"/>
        <w:szCs w:val="20"/>
      </w:rPr>
      <w:t>_599_435</w:t>
    </w:r>
    <w:r w:rsidR="00BC71C4" w:rsidRPr="00A24259">
      <w:rPr>
        <w:sz w:val="20"/>
        <w:szCs w:val="20"/>
      </w:rPr>
      <w:t xml:space="preserve">; </w:t>
    </w:r>
    <w:r w:rsidR="00BC71C4" w:rsidRPr="00432D5B">
      <w:rPr>
        <w:sz w:val="20"/>
        <w:szCs w:val="20"/>
      </w:rPr>
      <w:t>Ministru kabineta noteikumu projektu</w:t>
    </w:r>
    <w:r>
      <w:rPr>
        <w:sz w:val="20"/>
        <w:szCs w:val="20"/>
      </w:rPr>
      <w:t>:</w:t>
    </w:r>
    <w:r w:rsidR="00BC71C4" w:rsidRPr="00432D5B">
      <w:rPr>
        <w:sz w:val="20"/>
        <w:szCs w:val="20"/>
      </w:rPr>
      <w:t xml:space="preserve"> “Braukšanas maksas atvieglojumu noteikumi” „Grozījumi Ministru kabineta 2015. gada 28. jūlija noteikumos Nr. 435 „Kārtība, kādā nosaka un kompensē ar sabiedriskā transporta pakalpojumu sniegšanu saistītos zaudējumus un izdevumus un nosaka sabiedriskā transporta pakalpojuma tarifu”” un „Grozījumi Ministru 2012. gada 28. maija noteikumos Nr. 599 „Sabiedriskā transporta pakalpojumu sniegšanas un izmantošanas kārtība””  sākotnējās ietekmes apvienotais novērtējuma </w:t>
    </w:r>
    <w:smartTag w:uri="schemas-tilde-lv/tildestengine" w:element="veidnes">
      <w:smartTagPr>
        <w:attr w:name="text" w:val="ziņojums"/>
        <w:attr w:name="baseform" w:val="ziņojums"/>
        <w:attr w:name="id" w:val="-1"/>
      </w:smartTagPr>
      <w:r w:rsidR="00BC71C4" w:rsidRPr="00432D5B">
        <w:rPr>
          <w:sz w:val="20"/>
          <w:szCs w:val="20"/>
        </w:rPr>
        <w:t>ziņojums</w:t>
      </w:r>
    </w:smartTag>
    <w:r w:rsidR="00BC71C4" w:rsidRPr="00432D5B">
      <w:rPr>
        <w:sz w:val="20"/>
        <w:szCs w:val="20"/>
      </w:rPr>
      <w:t xml:space="preserve"> (anotācija)</w:t>
    </w:r>
  </w:p>
  <w:p w14:paraId="1DD3E64C" w14:textId="77777777" w:rsidR="00E8510D" w:rsidRPr="00D805F0" w:rsidRDefault="00E8510D" w:rsidP="00BF4B68">
    <w:pPr>
      <w:widowControl w:val="0"/>
      <w:jc w:val="both"/>
      <w:outlineLv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ACF8" w14:textId="3F8D05A9" w:rsidR="00BC71C4" w:rsidRPr="00432D5B" w:rsidRDefault="00D93105" w:rsidP="005B1AD1">
    <w:pPr>
      <w:pStyle w:val="naiskr"/>
      <w:tabs>
        <w:tab w:val="left" w:pos="0"/>
      </w:tabs>
      <w:spacing w:before="0" w:after="0"/>
      <w:ind w:right="-427"/>
      <w:jc w:val="both"/>
      <w:rPr>
        <w:sz w:val="20"/>
        <w:szCs w:val="20"/>
      </w:rPr>
    </w:pPr>
    <w:r w:rsidRPr="00D93105">
      <w:rPr>
        <w:sz w:val="20"/>
        <w:szCs w:val="20"/>
      </w:rPr>
      <w:t>SAManot_</w:t>
    </w:r>
    <w:r w:rsidR="000F0541">
      <w:rPr>
        <w:sz w:val="20"/>
        <w:szCs w:val="20"/>
      </w:rPr>
      <w:t>08</w:t>
    </w:r>
    <w:r w:rsidRPr="00D93105">
      <w:rPr>
        <w:sz w:val="20"/>
        <w:szCs w:val="20"/>
      </w:rPr>
      <w:t>0</w:t>
    </w:r>
    <w:r w:rsidR="000F0541">
      <w:rPr>
        <w:sz w:val="20"/>
        <w:szCs w:val="20"/>
      </w:rPr>
      <w:t>6</w:t>
    </w:r>
    <w:r w:rsidRPr="00D93105">
      <w:rPr>
        <w:sz w:val="20"/>
        <w:szCs w:val="20"/>
      </w:rPr>
      <w:t>17_</w:t>
    </w:r>
    <w:r w:rsidR="000F0541">
      <w:rPr>
        <w:sz w:val="20"/>
        <w:szCs w:val="20"/>
      </w:rPr>
      <w:t>BMA</w:t>
    </w:r>
    <w:r w:rsidRPr="00D93105">
      <w:rPr>
        <w:sz w:val="20"/>
        <w:szCs w:val="20"/>
      </w:rPr>
      <w:t>_599_435</w:t>
    </w:r>
    <w:r w:rsidR="00E8510D" w:rsidRPr="00A24259">
      <w:rPr>
        <w:sz w:val="20"/>
        <w:szCs w:val="20"/>
      </w:rPr>
      <w:t xml:space="preserve">; </w:t>
    </w:r>
    <w:r w:rsidR="00BC71C4" w:rsidRPr="00432D5B">
      <w:rPr>
        <w:sz w:val="20"/>
        <w:szCs w:val="20"/>
      </w:rPr>
      <w:t>Ministru kabineta noteikumu projektu</w:t>
    </w:r>
    <w:r>
      <w:rPr>
        <w:sz w:val="20"/>
        <w:szCs w:val="20"/>
      </w:rPr>
      <w:t>:</w:t>
    </w:r>
    <w:r w:rsidR="00BC71C4" w:rsidRPr="00432D5B">
      <w:rPr>
        <w:sz w:val="20"/>
        <w:szCs w:val="20"/>
      </w:rPr>
      <w:t xml:space="preserve"> “Braukšanas maksas atvieglojumu noteikumi” „Grozījumi Ministru kabineta 2015. gada 28. jūlija noteikumos Nr. 435 „Kārtība, kādā nosaka un kompensē ar sabiedriskā transporta pakalpojumu sniegšanu saistītos zaudējumus un izdevumus un nosaka sabiedriskā transporta pakalpojuma tarifu”” un „Grozījumi Ministru 2012. gada 28. maija noteikumos Nr. 599 „Sabiedriskā transporta pakalpojumu sniegšanas un izmantošanas kārtība””  sākotnējās ietekmes apvienotais novērtējuma </w:t>
    </w:r>
    <w:smartTag w:uri="schemas-tilde-lv/tildestengine" w:element="veidnes">
      <w:smartTagPr>
        <w:attr w:name="text" w:val="ziņojums"/>
        <w:attr w:name="baseform" w:val="ziņojums"/>
        <w:attr w:name="id" w:val="-1"/>
      </w:smartTagPr>
      <w:r w:rsidR="00BC71C4" w:rsidRPr="00432D5B">
        <w:rPr>
          <w:sz w:val="20"/>
          <w:szCs w:val="20"/>
        </w:rPr>
        <w:t>ziņojums</w:t>
      </w:r>
    </w:smartTag>
    <w:r w:rsidR="00BC71C4" w:rsidRPr="00432D5B">
      <w:rPr>
        <w:sz w:val="20"/>
        <w:szCs w:val="20"/>
      </w:rPr>
      <w:t xml:space="preserve"> (anotācija)</w:t>
    </w:r>
  </w:p>
  <w:p w14:paraId="006480C2" w14:textId="58770D20" w:rsidR="00E8510D" w:rsidRPr="00A24259" w:rsidRDefault="00E8510D" w:rsidP="00A24259">
    <w:pPr>
      <w:widowControl w:val="0"/>
      <w:jc w:val="both"/>
      <w:outlineLvl w:val="0"/>
    </w:pPr>
  </w:p>
  <w:p w14:paraId="2AAC4056" w14:textId="77777777" w:rsidR="00E8510D" w:rsidRPr="00363EF3" w:rsidRDefault="00E8510D" w:rsidP="0036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0A38" w14:textId="77777777" w:rsidR="00E8510D" w:rsidRDefault="00E8510D">
      <w:r>
        <w:separator/>
      </w:r>
    </w:p>
  </w:footnote>
  <w:footnote w:type="continuationSeparator" w:id="0">
    <w:p w14:paraId="3A8FC5BB" w14:textId="77777777" w:rsidR="00E8510D" w:rsidRDefault="00E8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7388" w14:textId="77777777" w:rsidR="00E8510D" w:rsidRDefault="00E8510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E8510D" w:rsidRDefault="00E8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24254"/>
      <w:docPartObj>
        <w:docPartGallery w:val="Page Numbers (Top of Page)"/>
        <w:docPartUnique/>
      </w:docPartObj>
    </w:sdtPr>
    <w:sdtEndPr>
      <w:rPr>
        <w:noProof/>
      </w:rPr>
    </w:sdtEndPr>
    <w:sdtContent>
      <w:p w14:paraId="223C9BBA" w14:textId="6B7750A6" w:rsidR="00E8510D" w:rsidRDefault="00E8510D">
        <w:pPr>
          <w:pStyle w:val="Header"/>
          <w:jc w:val="center"/>
        </w:pPr>
        <w:r>
          <w:fldChar w:fldCharType="begin"/>
        </w:r>
        <w:r>
          <w:instrText xml:space="preserve"> PAGE   \* MERGEFORMAT </w:instrText>
        </w:r>
        <w:r>
          <w:fldChar w:fldCharType="separate"/>
        </w:r>
        <w:r w:rsidR="00C06310">
          <w:rPr>
            <w:noProof/>
          </w:rPr>
          <w:t>11</w:t>
        </w:r>
        <w:r>
          <w:rPr>
            <w:noProof/>
          </w:rPr>
          <w:fldChar w:fldCharType="end"/>
        </w:r>
      </w:p>
    </w:sdtContent>
  </w:sdt>
  <w:p w14:paraId="0A2EF3F5" w14:textId="77777777" w:rsidR="00E8510D" w:rsidRDefault="00E85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4F1E57"/>
    <w:multiLevelType w:val="hybridMultilevel"/>
    <w:tmpl w:val="29028C2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2"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9" w15:restartNumberingAfterBreak="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A54C54"/>
    <w:multiLevelType w:val="hybridMultilevel"/>
    <w:tmpl w:val="E5521D9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B7939"/>
    <w:multiLevelType w:val="hybridMultilevel"/>
    <w:tmpl w:val="97284560"/>
    <w:lvl w:ilvl="0" w:tplc="04260001">
      <w:start w:val="1"/>
      <w:numFmt w:val="bullet"/>
      <w:lvlText w:val=""/>
      <w:lvlJc w:val="left"/>
      <w:pPr>
        <w:ind w:left="1287" w:hanging="360"/>
      </w:pPr>
      <w:rPr>
        <w:rFonts w:ascii="Symbol" w:hAnsi="Symbol"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9"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DC1562"/>
    <w:multiLevelType w:val="hybridMultilevel"/>
    <w:tmpl w:val="413C1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6D2623"/>
    <w:multiLevelType w:val="hybridMultilevel"/>
    <w:tmpl w:val="0B368282"/>
    <w:lvl w:ilvl="0" w:tplc="130C3B16">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37" w15:restartNumberingAfterBreak="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1"/>
  </w:num>
  <w:num w:numId="3">
    <w:abstractNumId w:val="10"/>
  </w:num>
  <w:num w:numId="4">
    <w:abstractNumId w:val="6"/>
  </w:num>
  <w:num w:numId="5">
    <w:abstractNumId w:val="2"/>
  </w:num>
  <w:num w:numId="6">
    <w:abstractNumId w:val="26"/>
  </w:num>
  <w:num w:numId="7">
    <w:abstractNumId w:val="33"/>
  </w:num>
  <w:num w:numId="8">
    <w:abstractNumId w:val="20"/>
  </w:num>
  <w:num w:numId="9">
    <w:abstractNumId w:val="9"/>
  </w:num>
  <w:num w:numId="10">
    <w:abstractNumId w:val="21"/>
  </w:num>
  <w:num w:numId="11">
    <w:abstractNumId w:val="22"/>
  </w:num>
  <w:num w:numId="12">
    <w:abstractNumId w:val="27"/>
  </w:num>
  <w:num w:numId="13">
    <w:abstractNumId w:val="30"/>
  </w:num>
  <w:num w:numId="14">
    <w:abstractNumId w:val="0"/>
  </w:num>
  <w:num w:numId="15">
    <w:abstractNumId w:val="14"/>
  </w:num>
  <w:num w:numId="16">
    <w:abstractNumId w:val="15"/>
  </w:num>
  <w:num w:numId="17">
    <w:abstractNumId w:val="29"/>
  </w:num>
  <w:num w:numId="18">
    <w:abstractNumId w:val="1"/>
  </w:num>
  <w:num w:numId="19">
    <w:abstractNumId w:val="23"/>
  </w:num>
  <w:num w:numId="20">
    <w:abstractNumId w:val="24"/>
  </w:num>
  <w:num w:numId="21">
    <w:abstractNumId w:val="18"/>
  </w:num>
  <w:num w:numId="22">
    <w:abstractNumId w:val="3"/>
  </w:num>
  <w:num w:numId="23">
    <w:abstractNumId w:val="37"/>
  </w:num>
  <w:num w:numId="24">
    <w:abstractNumId w:val="11"/>
  </w:num>
  <w:num w:numId="25">
    <w:abstractNumId w:val="34"/>
  </w:num>
  <w:num w:numId="26">
    <w:abstractNumId w:val="18"/>
  </w:num>
  <w:num w:numId="27">
    <w:abstractNumId w:val="5"/>
  </w:num>
  <w:num w:numId="28">
    <w:abstractNumId w:val="4"/>
  </w:num>
  <w:num w:numId="29">
    <w:abstractNumId w:val="19"/>
  </w:num>
  <w:num w:numId="30">
    <w:abstractNumId w:val="8"/>
  </w:num>
  <w:num w:numId="31">
    <w:abstractNumId w:val="38"/>
  </w:num>
  <w:num w:numId="32">
    <w:abstractNumId w:val="17"/>
  </w:num>
  <w:num w:numId="33">
    <w:abstractNumId w:val="16"/>
  </w:num>
  <w:num w:numId="34">
    <w:abstractNumId w:val="32"/>
  </w:num>
  <w:num w:numId="35">
    <w:abstractNumId w:val="12"/>
  </w:num>
  <w:num w:numId="36">
    <w:abstractNumId w:val="35"/>
  </w:num>
  <w:num w:numId="37">
    <w:abstractNumId w:val="7"/>
  </w:num>
  <w:num w:numId="38">
    <w:abstractNumId w:val="25"/>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308F"/>
    <w:rsid w:val="00003517"/>
    <w:rsid w:val="00005687"/>
    <w:rsid w:val="0000641C"/>
    <w:rsid w:val="00011C00"/>
    <w:rsid w:val="00011D24"/>
    <w:rsid w:val="000123E4"/>
    <w:rsid w:val="00013FF4"/>
    <w:rsid w:val="00015213"/>
    <w:rsid w:val="0001682D"/>
    <w:rsid w:val="00016E19"/>
    <w:rsid w:val="00017BCC"/>
    <w:rsid w:val="00017EAF"/>
    <w:rsid w:val="00020FE1"/>
    <w:rsid w:val="000219F1"/>
    <w:rsid w:val="00022E13"/>
    <w:rsid w:val="0002627A"/>
    <w:rsid w:val="00027394"/>
    <w:rsid w:val="00027866"/>
    <w:rsid w:val="00027E49"/>
    <w:rsid w:val="00032388"/>
    <w:rsid w:val="000347CE"/>
    <w:rsid w:val="00035CE2"/>
    <w:rsid w:val="00035DDF"/>
    <w:rsid w:val="00044FC0"/>
    <w:rsid w:val="00053EE5"/>
    <w:rsid w:val="00053F1A"/>
    <w:rsid w:val="0005553B"/>
    <w:rsid w:val="000604D2"/>
    <w:rsid w:val="00061587"/>
    <w:rsid w:val="00062373"/>
    <w:rsid w:val="00065241"/>
    <w:rsid w:val="000670D6"/>
    <w:rsid w:val="000675A9"/>
    <w:rsid w:val="00067A2F"/>
    <w:rsid w:val="00070D7A"/>
    <w:rsid w:val="00072642"/>
    <w:rsid w:val="00074B12"/>
    <w:rsid w:val="000760DB"/>
    <w:rsid w:val="00080AD1"/>
    <w:rsid w:val="00083587"/>
    <w:rsid w:val="0009005E"/>
    <w:rsid w:val="00090BFB"/>
    <w:rsid w:val="00090DFB"/>
    <w:rsid w:val="0009223E"/>
    <w:rsid w:val="000941C5"/>
    <w:rsid w:val="000971F9"/>
    <w:rsid w:val="00097549"/>
    <w:rsid w:val="000A37F0"/>
    <w:rsid w:val="000A6451"/>
    <w:rsid w:val="000A75E5"/>
    <w:rsid w:val="000B0228"/>
    <w:rsid w:val="000B064E"/>
    <w:rsid w:val="000B0C7C"/>
    <w:rsid w:val="000B1F31"/>
    <w:rsid w:val="000B63CA"/>
    <w:rsid w:val="000B69CF"/>
    <w:rsid w:val="000B7357"/>
    <w:rsid w:val="000C1E30"/>
    <w:rsid w:val="000C299B"/>
    <w:rsid w:val="000C5F5A"/>
    <w:rsid w:val="000C6DD5"/>
    <w:rsid w:val="000C788D"/>
    <w:rsid w:val="000C790C"/>
    <w:rsid w:val="000D051B"/>
    <w:rsid w:val="000D0905"/>
    <w:rsid w:val="000D3AED"/>
    <w:rsid w:val="000D452C"/>
    <w:rsid w:val="000D5A7F"/>
    <w:rsid w:val="000E0375"/>
    <w:rsid w:val="000E0F36"/>
    <w:rsid w:val="000E435E"/>
    <w:rsid w:val="000E5FF6"/>
    <w:rsid w:val="000E7EE1"/>
    <w:rsid w:val="000F0541"/>
    <w:rsid w:val="000F061D"/>
    <w:rsid w:val="000F1982"/>
    <w:rsid w:val="000F4794"/>
    <w:rsid w:val="000F522F"/>
    <w:rsid w:val="00100EF9"/>
    <w:rsid w:val="001010FC"/>
    <w:rsid w:val="00102C2B"/>
    <w:rsid w:val="00105059"/>
    <w:rsid w:val="0010687E"/>
    <w:rsid w:val="001071C2"/>
    <w:rsid w:val="00107336"/>
    <w:rsid w:val="00115838"/>
    <w:rsid w:val="00117E30"/>
    <w:rsid w:val="00120351"/>
    <w:rsid w:val="00124F12"/>
    <w:rsid w:val="00126BAE"/>
    <w:rsid w:val="00126BC8"/>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8471C"/>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6AE4"/>
    <w:rsid w:val="001A7068"/>
    <w:rsid w:val="001A769D"/>
    <w:rsid w:val="001B01FD"/>
    <w:rsid w:val="001B4A71"/>
    <w:rsid w:val="001B595D"/>
    <w:rsid w:val="001C2E78"/>
    <w:rsid w:val="001C5B2B"/>
    <w:rsid w:val="001C612F"/>
    <w:rsid w:val="001C6857"/>
    <w:rsid w:val="001C77B5"/>
    <w:rsid w:val="001D166B"/>
    <w:rsid w:val="001D1780"/>
    <w:rsid w:val="001D1BF6"/>
    <w:rsid w:val="001D390F"/>
    <w:rsid w:val="001D5B54"/>
    <w:rsid w:val="001D79C3"/>
    <w:rsid w:val="001E1DBF"/>
    <w:rsid w:val="001E3070"/>
    <w:rsid w:val="001E4639"/>
    <w:rsid w:val="001E4A7D"/>
    <w:rsid w:val="001E79A5"/>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44FE"/>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6451"/>
    <w:rsid w:val="00297969"/>
    <w:rsid w:val="002A3E3E"/>
    <w:rsid w:val="002A50A8"/>
    <w:rsid w:val="002A7512"/>
    <w:rsid w:val="002B04AE"/>
    <w:rsid w:val="002B0982"/>
    <w:rsid w:val="002B10D4"/>
    <w:rsid w:val="002B1263"/>
    <w:rsid w:val="002B1357"/>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6E9"/>
    <w:rsid w:val="002E37E7"/>
    <w:rsid w:val="002E3ABF"/>
    <w:rsid w:val="002E3FF4"/>
    <w:rsid w:val="002E4126"/>
    <w:rsid w:val="002E559B"/>
    <w:rsid w:val="002F22AC"/>
    <w:rsid w:val="002F5B9B"/>
    <w:rsid w:val="002F5FDC"/>
    <w:rsid w:val="002F7078"/>
    <w:rsid w:val="002F759C"/>
    <w:rsid w:val="002F78C8"/>
    <w:rsid w:val="00300268"/>
    <w:rsid w:val="003006CA"/>
    <w:rsid w:val="00301CF3"/>
    <w:rsid w:val="0030288C"/>
    <w:rsid w:val="003032C1"/>
    <w:rsid w:val="00303F8C"/>
    <w:rsid w:val="003040EA"/>
    <w:rsid w:val="00304FC1"/>
    <w:rsid w:val="00306656"/>
    <w:rsid w:val="00312C59"/>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4B3D"/>
    <w:rsid w:val="003654F7"/>
    <w:rsid w:val="00370642"/>
    <w:rsid w:val="00375B25"/>
    <w:rsid w:val="003763D4"/>
    <w:rsid w:val="003807FF"/>
    <w:rsid w:val="0038132C"/>
    <w:rsid w:val="00381F1F"/>
    <w:rsid w:val="00384E2B"/>
    <w:rsid w:val="00386488"/>
    <w:rsid w:val="003864FE"/>
    <w:rsid w:val="00386DB2"/>
    <w:rsid w:val="003878A9"/>
    <w:rsid w:val="00390D8B"/>
    <w:rsid w:val="00391748"/>
    <w:rsid w:val="00394313"/>
    <w:rsid w:val="00396542"/>
    <w:rsid w:val="0039685B"/>
    <w:rsid w:val="003968DF"/>
    <w:rsid w:val="003A052F"/>
    <w:rsid w:val="003A0AA3"/>
    <w:rsid w:val="003A31A6"/>
    <w:rsid w:val="003A3C61"/>
    <w:rsid w:val="003A6A3C"/>
    <w:rsid w:val="003A7F0C"/>
    <w:rsid w:val="003A7F55"/>
    <w:rsid w:val="003A7F79"/>
    <w:rsid w:val="003B2A0F"/>
    <w:rsid w:val="003B3491"/>
    <w:rsid w:val="003B426E"/>
    <w:rsid w:val="003B6404"/>
    <w:rsid w:val="003B67A2"/>
    <w:rsid w:val="003B67D0"/>
    <w:rsid w:val="003B76A1"/>
    <w:rsid w:val="003B787E"/>
    <w:rsid w:val="003C06BD"/>
    <w:rsid w:val="003C35C6"/>
    <w:rsid w:val="003C449B"/>
    <w:rsid w:val="003C520C"/>
    <w:rsid w:val="003C6409"/>
    <w:rsid w:val="003D0DD4"/>
    <w:rsid w:val="003D1AA2"/>
    <w:rsid w:val="003D21FF"/>
    <w:rsid w:val="003D698A"/>
    <w:rsid w:val="003D770B"/>
    <w:rsid w:val="003D7FEA"/>
    <w:rsid w:val="003E493E"/>
    <w:rsid w:val="003F0112"/>
    <w:rsid w:val="003F071A"/>
    <w:rsid w:val="003F160B"/>
    <w:rsid w:val="003F1E50"/>
    <w:rsid w:val="003F4D77"/>
    <w:rsid w:val="003F7754"/>
    <w:rsid w:val="003F7D40"/>
    <w:rsid w:val="00400032"/>
    <w:rsid w:val="00400B5B"/>
    <w:rsid w:val="004056ED"/>
    <w:rsid w:val="00405A00"/>
    <w:rsid w:val="00410246"/>
    <w:rsid w:val="00412FA3"/>
    <w:rsid w:val="00413396"/>
    <w:rsid w:val="004179DE"/>
    <w:rsid w:val="004179F4"/>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AF2"/>
    <w:rsid w:val="00476CAE"/>
    <w:rsid w:val="004800F9"/>
    <w:rsid w:val="00481327"/>
    <w:rsid w:val="00483475"/>
    <w:rsid w:val="0048400B"/>
    <w:rsid w:val="00486B38"/>
    <w:rsid w:val="004907B8"/>
    <w:rsid w:val="0049134A"/>
    <w:rsid w:val="00491694"/>
    <w:rsid w:val="004918A5"/>
    <w:rsid w:val="0049345F"/>
    <w:rsid w:val="00493584"/>
    <w:rsid w:val="004A58CB"/>
    <w:rsid w:val="004B1795"/>
    <w:rsid w:val="004B4F59"/>
    <w:rsid w:val="004B56DD"/>
    <w:rsid w:val="004B5B0C"/>
    <w:rsid w:val="004C020F"/>
    <w:rsid w:val="004C1A63"/>
    <w:rsid w:val="004C1AFD"/>
    <w:rsid w:val="004C49D2"/>
    <w:rsid w:val="004C558B"/>
    <w:rsid w:val="004C7A0E"/>
    <w:rsid w:val="004D0231"/>
    <w:rsid w:val="004D492F"/>
    <w:rsid w:val="004D526B"/>
    <w:rsid w:val="004D564C"/>
    <w:rsid w:val="004D5C7F"/>
    <w:rsid w:val="004E2E8D"/>
    <w:rsid w:val="004E6B86"/>
    <w:rsid w:val="004E70A7"/>
    <w:rsid w:val="004F098F"/>
    <w:rsid w:val="004F1F88"/>
    <w:rsid w:val="004F304C"/>
    <w:rsid w:val="004F5A34"/>
    <w:rsid w:val="004F5F1B"/>
    <w:rsid w:val="004F67DF"/>
    <w:rsid w:val="005006EF"/>
    <w:rsid w:val="00500CE8"/>
    <w:rsid w:val="00502374"/>
    <w:rsid w:val="005026E7"/>
    <w:rsid w:val="005037C5"/>
    <w:rsid w:val="005046D4"/>
    <w:rsid w:val="005060A1"/>
    <w:rsid w:val="00506F1D"/>
    <w:rsid w:val="00507009"/>
    <w:rsid w:val="0051005B"/>
    <w:rsid w:val="00514A1C"/>
    <w:rsid w:val="005156F3"/>
    <w:rsid w:val="00515B9E"/>
    <w:rsid w:val="00516072"/>
    <w:rsid w:val="00517DFF"/>
    <w:rsid w:val="0052203C"/>
    <w:rsid w:val="00527517"/>
    <w:rsid w:val="00530649"/>
    <w:rsid w:val="0053070D"/>
    <w:rsid w:val="00531404"/>
    <w:rsid w:val="00531FC8"/>
    <w:rsid w:val="005332EC"/>
    <w:rsid w:val="00534418"/>
    <w:rsid w:val="005353AB"/>
    <w:rsid w:val="00535E98"/>
    <w:rsid w:val="005421BF"/>
    <w:rsid w:val="00542E6A"/>
    <w:rsid w:val="005450C6"/>
    <w:rsid w:val="00553AA3"/>
    <w:rsid w:val="005542A6"/>
    <w:rsid w:val="00554DE2"/>
    <w:rsid w:val="00554F08"/>
    <w:rsid w:val="00555391"/>
    <w:rsid w:val="005560BC"/>
    <w:rsid w:val="005573BE"/>
    <w:rsid w:val="00562633"/>
    <w:rsid w:val="00572113"/>
    <w:rsid w:val="00572700"/>
    <w:rsid w:val="005739B0"/>
    <w:rsid w:val="00576D97"/>
    <w:rsid w:val="00580468"/>
    <w:rsid w:val="00582231"/>
    <w:rsid w:val="00583F9F"/>
    <w:rsid w:val="0058410E"/>
    <w:rsid w:val="0058435B"/>
    <w:rsid w:val="0058603B"/>
    <w:rsid w:val="00587093"/>
    <w:rsid w:val="00587C30"/>
    <w:rsid w:val="0059431B"/>
    <w:rsid w:val="00595A93"/>
    <w:rsid w:val="005A38C3"/>
    <w:rsid w:val="005A39CC"/>
    <w:rsid w:val="005A44ED"/>
    <w:rsid w:val="005A6055"/>
    <w:rsid w:val="005A6EF3"/>
    <w:rsid w:val="005B0D8F"/>
    <w:rsid w:val="005B1AD1"/>
    <w:rsid w:val="005B4730"/>
    <w:rsid w:val="005B505C"/>
    <w:rsid w:val="005C0006"/>
    <w:rsid w:val="005C138A"/>
    <w:rsid w:val="005C4008"/>
    <w:rsid w:val="005D01D9"/>
    <w:rsid w:val="005D2C3C"/>
    <w:rsid w:val="005E05D7"/>
    <w:rsid w:val="005E12A5"/>
    <w:rsid w:val="005E3735"/>
    <w:rsid w:val="005E41E7"/>
    <w:rsid w:val="005E450F"/>
    <w:rsid w:val="005E760C"/>
    <w:rsid w:val="005F0C0D"/>
    <w:rsid w:val="005F126D"/>
    <w:rsid w:val="005F2B04"/>
    <w:rsid w:val="005F3D9B"/>
    <w:rsid w:val="005F5FD1"/>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87F"/>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3B1"/>
    <w:rsid w:val="006766C8"/>
    <w:rsid w:val="0068163E"/>
    <w:rsid w:val="006849F5"/>
    <w:rsid w:val="006863D2"/>
    <w:rsid w:val="00687763"/>
    <w:rsid w:val="0069161F"/>
    <w:rsid w:val="00692B0D"/>
    <w:rsid w:val="00692E1D"/>
    <w:rsid w:val="00693C78"/>
    <w:rsid w:val="00693E0E"/>
    <w:rsid w:val="00693FB6"/>
    <w:rsid w:val="00695BB7"/>
    <w:rsid w:val="00697088"/>
    <w:rsid w:val="006A038B"/>
    <w:rsid w:val="006A1AE3"/>
    <w:rsid w:val="006A28B5"/>
    <w:rsid w:val="006A62B2"/>
    <w:rsid w:val="006A73C1"/>
    <w:rsid w:val="006B042F"/>
    <w:rsid w:val="006B20FF"/>
    <w:rsid w:val="006B365D"/>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3D74"/>
    <w:rsid w:val="00734450"/>
    <w:rsid w:val="00734E33"/>
    <w:rsid w:val="00737B70"/>
    <w:rsid w:val="00741006"/>
    <w:rsid w:val="00745F67"/>
    <w:rsid w:val="00747903"/>
    <w:rsid w:val="0075039E"/>
    <w:rsid w:val="00750B0F"/>
    <w:rsid w:val="00752D9D"/>
    <w:rsid w:val="00754784"/>
    <w:rsid w:val="00756245"/>
    <w:rsid w:val="007579A0"/>
    <w:rsid w:val="00757C6E"/>
    <w:rsid w:val="00762BDA"/>
    <w:rsid w:val="00765346"/>
    <w:rsid w:val="0076592B"/>
    <w:rsid w:val="007666F9"/>
    <w:rsid w:val="00772BB0"/>
    <w:rsid w:val="007736F1"/>
    <w:rsid w:val="00774AE2"/>
    <w:rsid w:val="00777543"/>
    <w:rsid w:val="007805FD"/>
    <w:rsid w:val="00780DD8"/>
    <w:rsid w:val="00783474"/>
    <w:rsid w:val="007839BC"/>
    <w:rsid w:val="00784422"/>
    <w:rsid w:val="007877AC"/>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A77D2"/>
    <w:rsid w:val="007B2596"/>
    <w:rsid w:val="007B2CB6"/>
    <w:rsid w:val="007B3B54"/>
    <w:rsid w:val="007B3E5C"/>
    <w:rsid w:val="007B3FA0"/>
    <w:rsid w:val="007B4BC6"/>
    <w:rsid w:val="007C01F1"/>
    <w:rsid w:val="007C0F2C"/>
    <w:rsid w:val="007C2BCC"/>
    <w:rsid w:val="007C35B2"/>
    <w:rsid w:val="007C4EF0"/>
    <w:rsid w:val="007C67D3"/>
    <w:rsid w:val="007D099D"/>
    <w:rsid w:val="007D0D7E"/>
    <w:rsid w:val="007D39BA"/>
    <w:rsid w:val="007D7BA1"/>
    <w:rsid w:val="007E2664"/>
    <w:rsid w:val="007E3ABF"/>
    <w:rsid w:val="007E44C5"/>
    <w:rsid w:val="007E5BFA"/>
    <w:rsid w:val="007E6689"/>
    <w:rsid w:val="007E731C"/>
    <w:rsid w:val="007F0A03"/>
    <w:rsid w:val="007F2F05"/>
    <w:rsid w:val="007F2F2D"/>
    <w:rsid w:val="007F517A"/>
    <w:rsid w:val="007F63CB"/>
    <w:rsid w:val="007F7EAD"/>
    <w:rsid w:val="008042B2"/>
    <w:rsid w:val="00810040"/>
    <w:rsid w:val="00810A3A"/>
    <w:rsid w:val="00810B2F"/>
    <w:rsid w:val="0081257D"/>
    <w:rsid w:val="0081292B"/>
    <w:rsid w:val="00813AC1"/>
    <w:rsid w:val="0082007B"/>
    <w:rsid w:val="008201D2"/>
    <w:rsid w:val="0082023A"/>
    <w:rsid w:val="008215B8"/>
    <w:rsid w:val="00821A7A"/>
    <w:rsid w:val="008237B0"/>
    <w:rsid w:val="00823882"/>
    <w:rsid w:val="008253F8"/>
    <w:rsid w:val="00826B74"/>
    <w:rsid w:val="00826C67"/>
    <w:rsid w:val="00826F98"/>
    <w:rsid w:val="008278BB"/>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357E"/>
    <w:rsid w:val="0086587D"/>
    <w:rsid w:val="008675FB"/>
    <w:rsid w:val="00870547"/>
    <w:rsid w:val="00870D1A"/>
    <w:rsid w:val="00874BFD"/>
    <w:rsid w:val="0087510C"/>
    <w:rsid w:val="00877C39"/>
    <w:rsid w:val="00880C36"/>
    <w:rsid w:val="00881AD4"/>
    <w:rsid w:val="00881B32"/>
    <w:rsid w:val="00883DA1"/>
    <w:rsid w:val="00890442"/>
    <w:rsid w:val="00893E73"/>
    <w:rsid w:val="008968D2"/>
    <w:rsid w:val="0089738E"/>
    <w:rsid w:val="008A05B8"/>
    <w:rsid w:val="008A0753"/>
    <w:rsid w:val="008A7B89"/>
    <w:rsid w:val="008B38A7"/>
    <w:rsid w:val="008B4465"/>
    <w:rsid w:val="008B50FF"/>
    <w:rsid w:val="008B5FDB"/>
    <w:rsid w:val="008B6B16"/>
    <w:rsid w:val="008C2F07"/>
    <w:rsid w:val="008C3F78"/>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660B"/>
    <w:rsid w:val="009275AC"/>
    <w:rsid w:val="009309EB"/>
    <w:rsid w:val="00931AED"/>
    <w:rsid w:val="00932431"/>
    <w:rsid w:val="00937644"/>
    <w:rsid w:val="009428E7"/>
    <w:rsid w:val="00943042"/>
    <w:rsid w:val="00945766"/>
    <w:rsid w:val="00946934"/>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89B"/>
    <w:rsid w:val="00992E99"/>
    <w:rsid w:val="009934C5"/>
    <w:rsid w:val="009945B8"/>
    <w:rsid w:val="00994C0F"/>
    <w:rsid w:val="009A0027"/>
    <w:rsid w:val="009A0C48"/>
    <w:rsid w:val="009A33ED"/>
    <w:rsid w:val="009A7205"/>
    <w:rsid w:val="009B118C"/>
    <w:rsid w:val="009B22D7"/>
    <w:rsid w:val="009B2A92"/>
    <w:rsid w:val="009B4270"/>
    <w:rsid w:val="009B72ED"/>
    <w:rsid w:val="009C30E0"/>
    <w:rsid w:val="009C5659"/>
    <w:rsid w:val="009C6DEB"/>
    <w:rsid w:val="009D022D"/>
    <w:rsid w:val="009D27A6"/>
    <w:rsid w:val="009D2F8A"/>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D7D"/>
    <w:rsid w:val="00A00B9B"/>
    <w:rsid w:val="00A01B80"/>
    <w:rsid w:val="00A0461C"/>
    <w:rsid w:val="00A05E77"/>
    <w:rsid w:val="00A06077"/>
    <w:rsid w:val="00A06781"/>
    <w:rsid w:val="00A074C3"/>
    <w:rsid w:val="00A07E41"/>
    <w:rsid w:val="00A100ED"/>
    <w:rsid w:val="00A102CE"/>
    <w:rsid w:val="00A1367E"/>
    <w:rsid w:val="00A1509C"/>
    <w:rsid w:val="00A16653"/>
    <w:rsid w:val="00A228CD"/>
    <w:rsid w:val="00A238AE"/>
    <w:rsid w:val="00A24259"/>
    <w:rsid w:val="00A249B9"/>
    <w:rsid w:val="00A25063"/>
    <w:rsid w:val="00A26187"/>
    <w:rsid w:val="00A27177"/>
    <w:rsid w:val="00A31A9E"/>
    <w:rsid w:val="00A31F77"/>
    <w:rsid w:val="00A34260"/>
    <w:rsid w:val="00A370C8"/>
    <w:rsid w:val="00A43390"/>
    <w:rsid w:val="00A46316"/>
    <w:rsid w:val="00A4727A"/>
    <w:rsid w:val="00A513CA"/>
    <w:rsid w:val="00A5160D"/>
    <w:rsid w:val="00A523F9"/>
    <w:rsid w:val="00A549E0"/>
    <w:rsid w:val="00A5727C"/>
    <w:rsid w:val="00A6048E"/>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4FA2"/>
    <w:rsid w:val="00AA51C5"/>
    <w:rsid w:val="00AB2B1A"/>
    <w:rsid w:val="00AB397F"/>
    <w:rsid w:val="00AB54FD"/>
    <w:rsid w:val="00AB5832"/>
    <w:rsid w:val="00AB684D"/>
    <w:rsid w:val="00AC19C6"/>
    <w:rsid w:val="00AC5008"/>
    <w:rsid w:val="00AC51F2"/>
    <w:rsid w:val="00AC6CE0"/>
    <w:rsid w:val="00AD104F"/>
    <w:rsid w:val="00AD3269"/>
    <w:rsid w:val="00AD3936"/>
    <w:rsid w:val="00AD4425"/>
    <w:rsid w:val="00AD64BC"/>
    <w:rsid w:val="00AD6822"/>
    <w:rsid w:val="00AE0B4B"/>
    <w:rsid w:val="00AE0EAC"/>
    <w:rsid w:val="00AE5066"/>
    <w:rsid w:val="00AE5563"/>
    <w:rsid w:val="00AE5E24"/>
    <w:rsid w:val="00AE61B7"/>
    <w:rsid w:val="00AE6CBA"/>
    <w:rsid w:val="00AE79AD"/>
    <w:rsid w:val="00AF2549"/>
    <w:rsid w:val="00AF35E4"/>
    <w:rsid w:val="00AF5CAC"/>
    <w:rsid w:val="00AF5CDE"/>
    <w:rsid w:val="00AF6A09"/>
    <w:rsid w:val="00B01B5B"/>
    <w:rsid w:val="00B032F8"/>
    <w:rsid w:val="00B07B64"/>
    <w:rsid w:val="00B11A57"/>
    <w:rsid w:val="00B13AD1"/>
    <w:rsid w:val="00B13C8A"/>
    <w:rsid w:val="00B14D9F"/>
    <w:rsid w:val="00B1533C"/>
    <w:rsid w:val="00B162F5"/>
    <w:rsid w:val="00B17E83"/>
    <w:rsid w:val="00B20C5F"/>
    <w:rsid w:val="00B211C3"/>
    <w:rsid w:val="00B21A4A"/>
    <w:rsid w:val="00B2262C"/>
    <w:rsid w:val="00B248D6"/>
    <w:rsid w:val="00B25597"/>
    <w:rsid w:val="00B25658"/>
    <w:rsid w:val="00B267B9"/>
    <w:rsid w:val="00B33E09"/>
    <w:rsid w:val="00B3594E"/>
    <w:rsid w:val="00B40D37"/>
    <w:rsid w:val="00B41A9A"/>
    <w:rsid w:val="00B4248B"/>
    <w:rsid w:val="00B46534"/>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77F46"/>
    <w:rsid w:val="00B8426C"/>
    <w:rsid w:val="00B84642"/>
    <w:rsid w:val="00B85104"/>
    <w:rsid w:val="00B8611D"/>
    <w:rsid w:val="00B86462"/>
    <w:rsid w:val="00B866A4"/>
    <w:rsid w:val="00B9193F"/>
    <w:rsid w:val="00B91B8D"/>
    <w:rsid w:val="00B93597"/>
    <w:rsid w:val="00B9390D"/>
    <w:rsid w:val="00B94E90"/>
    <w:rsid w:val="00BA569A"/>
    <w:rsid w:val="00BA58D5"/>
    <w:rsid w:val="00BA5EA4"/>
    <w:rsid w:val="00BA64D3"/>
    <w:rsid w:val="00BA7CAD"/>
    <w:rsid w:val="00BB0A82"/>
    <w:rsid w:val="00BB6AAD"/>
    <w:rsid w:val="00BB7C94"/>
    <w:rsid w:val="00BB7D22"/>
    <w:rsid w:val="00BC0A9D"/>
    <w:rsid w:val="00BC33E2"/>
    <w:rsid w:val="00BC54D5"/>
    <w:rsid w:val="00BC71C4"/>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286"/>
    <w:rsid w:val="00BF43FE"/>
    <w:rsid w:val="00BF4B68"/>
    <w:rsid w:val="00BF5BC2"/>
    <w:rsid w:val="00BF75BE"/>
    <w:rsid w:val="00C06310"/>
    <w:rsid w:val="00C06794"/>
    <w:rsid w:val="00C10939"/>
    <w:rsid w:val="00C109F4"/>
    <w:rsid w:val="00C10EA6"/>
    <w:rsid w:val="00C1133D"/>
    <w:rsid w:val="00C143E5"/>
    <w:rsid w:val="00C16414"/>
    <w:rsid w:val="00C21C37"/>
    <w:rsid w:val="00C255EE"/>
    <w:rsid w:val="00C27A08"/>
    <w:rsid w:val="00C31312"/>
    <w:rsid w:val="00C31E36"/>
    <w:rsid w:val="00C31EE7"/>
    <w:rsid w:val="00C326C6"/>
    <w:rsid w:val="00C33ACD"/>
    <w:rsid w:val="00C35295"/>
    <w:rsid w:val="00C368D6"/>
    <w:rsid w:val="00C36A47"/>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6424E"/>
    <w:rsid w:val="00C656D5"/>
    <w:rsid w:val="00C67103"/>
    <w:rsid w:val="00C703F3"/>
    <w:rsid w:val="00C71BB9"/>
    <w:rsid w:val="00C736FB"/>
    <w:rsid w:val="00C74DEE"/>
    <w:rsid w:val="00C82A12"/>
    <w:rsid w:val="00C844DE"/>
    <w:rsid w:val="00C945FA"/>
    <w:rsid w:val="00C94C28"/>
    <w:rsid w:val="00C95F30"/>
    <w:rsid w:val="00C97FFE"/>
    <w:rsid w:val="00CA15AA"/>
    <w:rsid w:val="00CA2B59"/>
    <w:rsid w:val="00CA569B"/>
    <w:rsid w:val="00CA71A3"/>
    <w:rsid w:val="00CB0247"/>
    <w:rsid w:val="00CB0A64"/>
    <w:rsid w:val="00CB3440"/>
    <w:rsid w:val="00CB3FC2"/>
    <w:rsid w:val="00CB4084"/>
    <w:rsid w:val="00CB5188"/>
    <w:rsid w:val="00CB616A"/>
    <w:rsid w:val="00CB66F6"/>
    <w:rsid w:val="00CB67C8"/>
    <w:rsid w:val="00CB7479"/>
    <w:rsid w:val="00CC1692"/>
    <w:rsid w:val="00CC7AC4"/>
    <w:rsid w:val="00CD138B"/>
    <w:rsid w:val="00CD1DE9"/>
    <w:rsid w:val="00CD38A4"/>
    <w:rsid w:val="00CD3E31"/>
    <w:rsid w:val="00CD617D"/>
    <w:rsid w:val="00CD6C0B"/>
    <w:rsid w:val="00CD7117"/>
    <w:rsid w:val="00CD74A3"/>
    <w:rsid w:val="00CE0527"/>
    <w:rsid w:val="00CE1668"/>
    <w:rsid w:val="00CE1DEE"/>
    <w:rsid w:val="00CE2631"/>
    <w:rsid w:val="00CE27C5"/>
    <w:rsid w:val="00CE30D0"/>
    <w:rsid w:val="00CE50A6"/>
    <w:rsid w:val="00CE5B23"/>
    <w:rsid w:val="00CF573B"/>
    <w:rsid w:val="00CF65CE"/>
    <w:rsid w:val="00CF70AD"/>
    <w:rsid w:val="00CF7729"/>
    <w:rsid w:val="00CF7C93"/>
    <w:rsid w:val="00D00059"/>
    <w:rsid w:val="00D009CE"/>
    <w:rsid w:val="00D02F34"/>
    <w:rsid w:val="00D0487F"/>
    <w:rsid w:val="00D051FD"/>
    <w:rsid w:val="00D05ADD"/>
    <w:rsid w:val="00D05BA6"/>
    <w:rsid w:val="00D05C2C"/>
    <w:rsid w:val="00D07558"/>
    <w:rsid w:val="00D107FA"/>
    <w:rsid w:val="00D11555"/>
    <w:rsid w:val="00D115B5"/>
    <w:rsid w:val="00D12275"/>
    <w:rsid w:val="00D12766"/>
    <w:rsid w:val="00D12AB6"/>
    <w:rsid w:val="00D154E5"/>
    <w:rsid w:val="00D20E4E"/>
    <w:rsid w:val="00D20FF4"/>
    <w:rsid w:val="00D212D8"/>
    <w:rsid w:val="00D21F42"/>
    <w:rsid w:val="00D22B0E"/>
    <w:rsid w:val="00D22C26"/>
    <w:rsid w:val="00D22DBC"/>
    <w:rsid w:val="00D24D2C"/>
    <w:rsid w:val="00D34B3F"/>
    <w:rsid w:val="00D35881"/>
    <w:rsid w:val="00D36916"/>
    <w:rsid w:val="00D426A5"/>
    <w:rsid w:val="00D442BD"/>
    <w:rsid w:val="00D44A23"/>
    <w:rsid w:val="00D479AF"/>
    <w:rsid w:val="00D47DCE"/>
    <w:rsid w:val="00D47F67"/>
    <w:rsid w:val="00D512BD"/>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209"/>
    <w:rsid w:val="00D925C5"/>
    <w:rsid w:val="00D92E2F"/>
    <w:rsid w:val="00D93105"/>
    <w:rsid w:val="00D93B58"/>
    <w:rsid w:val="00D9438B"/>
    <w:rsid w:val="00DA2241"/>
    <w:rsid w:val="00DA2F27"/>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3E7"/>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148C"/>
    <w:rsid w:val="00E02ABF"/>
    <w:rsid w:val="00E0557E"/>
    <w:rsid w:val="00E1023A"/>
    <w:rsid w:val="00E14995"/>
    <w:rsid w:val="00E1642A"/>
    <w:rsid w:val="00E166B0"/>
    <w:rsid w:val="00E16CF9"/>
    <w:rsid w:val="00E179CD"/>
    <w:rsid w:val="00E20341"/>
    <w:rsid w:val="00E20769"/>
    <w:rsid w:val="00E20F2C"/>
    <w:rsid w:val="00E218E6"/>
    <w:rsid w:val="00E23250"/>
    <w:rsid w:val="00E23E8D"/>
    <w:rsid w:val="00E246E3"/>
    <w:rsid w:val="00E252F3"/>
    <w:rsid w:val="00E253EB"/>
    <w:rsid w:val="00E30E9F"/>
    <w:rsid w:val="00E311A3"/>
    <w:rsid w:val="00E3642A"/>
    <w:rsid w:val="00E37F98"/>
    <w:rsid w:val="00E409BA"/>
    <w:rsid w:val="00E41CDE"/>
    <w:rsid w:val="00E462E7"/>
    <w:rsid w:val="00E46559"/>
    <w:rsid w:val="00E5022C"/>
    <w:rsid w:val="00E62175"/>
    <w:rsid w:val="00E6670C"/>
    <w:rsid w:val="00E7437E"/>
    <w:rsid w:val="00E744B2"/>
    <w:rsid w:val="00E776E8"/>
    <w:rsid w:val="00E83AD7"/>
    <w:rsid w:val="00E8510D"/>
    <w:rsid w:val="00E86AD5"/>
    <w:rsid w:val="00E905DD"/>
    <w:rsid w:val="00E92C1F"/>
    <w:rsid w:val="00E94DA1"/>
    <w:rsid w:val="00E95D4B"/>
    <w:rsid w:val="00E96E3C"/>
    <w:rsid w:val="00EA20DE"/>
    <w:rsid w:val="00EA3187"/>
    <w:rsid w:val="00EA4241"/>
    <w:rsid w:val="00EA4E0B"/>
    <w:rsid w:val="00EA5176"/>
    <w:rsid w:val="00EA5325"/>
    <w:rsid w:val="00EA6728"/>
    <w:rsid w:val="00EA688A"/>
    <w:rsid w:val="00EA6D0E"/>
    <w:rsid w:val="00EA6E89"/>
    <w:rsid w:val="00EA76B8"/>
    <w:rsid w:val="00EB0D3C"/>
    <w:rsid w:val="00EB199F"/>
    <w:rsid w:val="00EB4F0F"/>
    <w:rsid w:val="00EC23F7"/>
    <w:rsid w:val="00EC3D88"/>
    <w:rsid w:val="00EC4684"/>
    <w:rsid w:val="00EC4BD8"/>
    <w:rsid w:val="00EC63EB"/>
    <w:rsid w:val="00ED23A9"/>
    <w:rsid w:val="00ED25EB"/>
    <w:rsid w:val="00ED3684"/>
    <w:rsid w:val="00ED412F"/>
    <w:rsid w:val="00EE20B3"/>
    <w:rsid w:val="00EE403C"/>
    <w:rsid w:val="00EE60CA"/>
    <w:rsid w:val="00EF0186"/>
    <w:rsid w:val="00EF0B43"/>
    <w:rsid w:val="00EF0E3C"/>
    <w:rsid w:val="00EF36B2"/>
    <w:rsid w:val="00EF3CB9"/>
    <w:rsid w:val="00EF5800"/>
    <w:rsid w:val="00EF5887"/>
    <w:rsid w:val="00EF77F9"/>
    <w:rsid w:val="00F01B97"/>
    <w:rsid w:val="00F068C5"/>
    <w:rsid w:val="00F1231C"/>
    <w:rsid w:val="00F1246B"/>
    <w:rsid w:val="00F143FE"/>
    <w:rsid w:val="00F16CC4"/>
    <w:rsid w:val="00F17432"/>
    <w:rsid w:val="00F17B35"/>
    <w:rsid w:val="00F201EC"/>
    <w:rsid w:val="00F208A9"/>
    <w:rsid w:val="00F2102F"/>
    <w:rsid w:val="00F22360"/>
    <w:rsid w:val="00F22CAF"/>
    <w:rsid w:val="00F22DB9"/>
    <w:rsid w:val="00F23DB4"/>
    <w:rsid w:val="00F314F5"/>
    <w:rsid w:val="00F31A26"/>
    <w:rsid w:val="00F328FE"/>
    <w:rsid w:val="00F37796"/>
    <w:rsid w:val="00F41D75"/>
    <w:rsid w:val="00F4459C"/>
    <w:rsid w:val="00F44E34"/>
    <w:rsid w:val="00F508C7"/>
    <w:rsid w:val="00F5139D"/>
    <w:rsid w:val="00F5498A"/>
    <w:rsid w:val="00F55314"/>
    <w:rsid w:val="00F55977"/>
    <w:rsid w:val="00F62F43"/>
    <w:rsid w:val="00F63DAC"/>
    <w:rsid w:val="00F64A42"/>
    <w:rsid w:val="00F65447"/>
    <w:rsid w:val="00F6677F"/>
    <w:rsid w:val="00F66DA3"/>
    <w:rsid w:val="00F71B07"/>
    <w:rsid w:val="00F7454F"/>
    <w:rsid w:val="00F745ED"/>
    <w:rsid w:val="00F74C18"/>
    <w:rsid w:val="00F77511"/>
    <w:rsid w:val="00F77988"/>
    <w:rsid w:val="00F77F48"/>
    <w:rsid w:val="00F80B36"/>
    <w:rsid w:val="00F82FD3"/>
    <w:rsid w:val="00F83D68"/>
    <w:rsid w:val="00F846BB"/>
    <w:rsid w:val="00F86CC1"/>
    <w:rsid w:val="00F86E2F"/>
    <w:rsid w:val="00F873D3"/>
    <w:rsid w:val="00F932CC"/>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3D85"/>
    <w:rsid w:val="00FD4D57"/>
    <w:rsid w:val="00FD501C"/>
    <w:rsid w:val="00FD5301"/>
    <w:rsid w:val="00FD595C"/>
    <w:rsid w:val="00FE2265"/>
    <w:rsid w:val="00FE4973"/>
    <w:rsid w:val="00FE4B5F"/>
    <w:rsid w:val="00FE5A2C"/>
    <w:rsid w:val="00FE6FA7"/>
    <w:rsid w:val="00FE7CD3"/>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2769"/>
    <o:shapelayout v:ext="edit">
      <o:idmap v:ext="edit" data="1"/>
    </o:shapelayout>
  </w:shapeDefaults>
  <w:decimalSymbol w:val="."/>
  <w:listSeparator w:val=";"/>
  <w14:docId w14:val="29956DB3"/>
  <w15:docId w15:val="{EBCA47F1-E2E3-4DE1-A888-889D2ED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uiPriority w:val="99"/>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a.ziemele-adricka@sa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kumi.lv/doc.php?id=1944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lze.brice@at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DDDCC67E-0AFD-4574-BB20-E1C86079BCCD}">
  <ds:schemaRefs>
    <ds:schemaRef ds:uri="http://schemas.openxmlformats.org/package/2006/metadata/core-properties"/>
    <ds:schemaRef ds:uri="http://purl.org/dc/dcmitype/"/>
    <ds:schemaRef ds:uri="2e5bb04e-596e-45bd-9003-43ca78b1ba16"/>
    <ds:schemaRef ds:uri="http://schemas.microsoft.com/office/2006/metadata/properties"/>
    <ds:schemaRef ds:uri="http://purl.org/dc/elements/1.1/"/>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5.xml><?xml version="1.0" encoding="utf-8"?>
<ds:datastoreItem xmlns:ds="http://schemas.openxmlformats.org/officeDocument/2006/customXml" ds:itemID="{227B7216-5519-4DB7-878A-5E3A1C2C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3324</Words>
  <Characters>24692</Characters>
  <Application>Microsoft Office Word</Application>
  <DocSecurity>0</DocSecurity>
  <Lines>205</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“Braukšanas maksas atvieglojumu noteikumi” „Grozījumi Ministru kabineta 2015. gada 28. jūlija noteikumos Nr. 435 „Kārtība, kādā nosaka un kompensē ar sabiedriskā transporta pakalpojumu sniegšanu saistītos zaudējumus un</vt:lpstr>
      <vt:lpstr>Likumprojekta „Grozījumi Gada pārskatu likumā"</vt:lpstr>
    </vt:vector>
  </TitlesOfParts>
  <Manager>Māra Čakste</Manager>
  <Company>Valsts kase</Company>
  <LinksUpToDate>false</LinksUpToDate>
  <CharactersWithSpaces>27961</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“Braukšanas maksas atvieglojumu noteikumi” „Grozījumi Ministru kabineta 2015. gada 28. jūlija noteikumos Nr. 435 „Kārtība, kādā nosaka un kompensē ar sabiedriskā transporta pakalpojumu sniegšanu saistītos zaudējumus un izdevumus un nosaka sabiedriskā transporta pakalpojuma tarifu”” un „Grozījumi Ministru 2012. gada 28. maija noteikumos Nr. 599 „Sabiedriskā transporta pakalpojumu sniegšanas un izmantošanas kārtība””  sākotnējās ietekmes apvienotais novērtējuma ziņojums (anotācija)</dc:title>
  <dc:subject>Anotācija</dc:subject>
  <dc:creator>Dana.Ziemele-Adricka@sam.gov.lv</dc:creator>
  <cp:lastModifiedBy>Dana Ziemele Adricka</cp:lastModifiedBy>
  <cp:revision>13</cp:revision>
  <cp:lastPrinted>2017-06-08T08:10:00Z</cp:lastPrinted>
  <dcterms:created xsi:type="dcterms:W3CDTF">2017-06-07T08:45:00Z</dcterms:created>
  <dcterms:modified xsi:type="dcterms:W3CDTF">2017-06-08T08:11:00Z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