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6032B" w14:textId="07CB4D87" w:rsidR="00AC11C3" w:rsidRPr="000111DC" w:rsidRDefault="007B607C" w:rsidP="007B607C">
      <w:pPr>
        <w:spacing w:after="0"/>
        <w:jc w:val="center"/>
        <w:rPr>
          <w:rFonts w:cs="Times New Roman"/>
          <w:szCs w:val="28"/>
        </w:rPr>
      </w:pPr>
      <w:r w:rsidRPr="007B607C">
        <w:rPr>
          <w:rFonts w:cs="Times New Roman"/>
          <w:szCs w:val="28"/>
        </w:rPr>
        <w:t>LATVIJAS REPUBLIKAS MINISTRU KABINETS</w:t>
      </w:r>
    </w:p>
    <w:p w14:paraId="6E3460BC" w14:textId="77777777" w:rsidR="00AC11C3" w:rsidRPr="000111DC" w:rsidRDefault="00AC11C3" w:rsidP="00AC11C3">
      <w:pPr>
        <w:spacing w:after="0"/>
        <w:jc w:val="both"/>
        <w:rPr>
          <w:rFonts w:cs="Times New Roman"/>
          <w:szCs w:val="28"/>
        </w:rPr>
      </w:pPr>
    </w:p>
    <w:p w14:paraId="6A6FFD83" w14:textId="77777777" w:rsidR="005A2C63" w:rsidRPr="000111DC" w:rsidRDefault="005A2C63" w:rsidP="00AC11C3">
      <w:pPr>
        <w:spacing w:after="0"/>
        <w:jc w:val="both"/>
        <w:rPr>
          <w:rFonts w:eastAsia="Calibri" w:cs="Times New Roman"/>
          <w:szCs w:val="28"/>
          <w:lang w:eastAsia="lv-LV"/>
        </w:rPr>
      </w:pPr>
    </w:p>
    <w:p w14:paraId="655D761C" w14:textId="1F6F0161" w:rsidR="00AC11C3" w:rsidRPr="0091371D" w:rsidRDefault="00943695" w:rsidP="00AC11C3">
      <w:pPr>
        <w:tabs>
          <w:tab w:val="left" w:pos="6804"/>
        </w:tabs>
        <w:spacing w:after="0"/>
        <w:rPr>
          <w:rFonts w:cs="Times New Roman"/>
          <w:sz w:val="24"/>
          <w:szCs w:val="24"/>
        </w:rPr>
      </w:pPr>
      <w:r w:rsidRPr="0091371D">
        <w:rPr>
          <w:rFonts w:cs="Times New Roman"/>
          <w:sz w:val="24"/>
          <w:szCs w:val="24"/>
        </w:rPr>
        <w:t>2017</w:t>
      </w:r>
      <w:r w:rsidR="00AC11C3" w:rsidRPr="0091371D">
        <w:rPr>
          <w:rFonts w:cs="Times New Roman"/>
          <w:sz w:val="24"/>
          <w:szCs w:val="24"/>
        </w:rPr>
        <w:t xml:space="preserve">. gada            </w:t>
      </w:r>
      <w:r w:rsidR="00AC11C3" w:rsidRPr="0091371D">
        <w:rPr>
          <w:rFonts w:cs="Times New Roman"/>
          <w:sz w:val="24"/>
          <w:szCs w:val="24"/>
        </w:rPr>
        <w:tab/>
        <w:t>Noteikumi Nr.</w:t>
      </w:r>
    </w:p>
    <w:p w14:paraId="4D89031D" w14:textId="77777777" w:rsidR="00AC11C3" w:rsidRPr="0091371D" w:rsidRDefault="00AC11C3" w:rsidP="00AC11C3">
      <w:pPr>
        <w:tabs>
          <w:tab w:val="left" w:pos="6804"/>
        </w:tabs>
        <w:spacing w:after="0"/>
        <w:rPr>
          <w:rFonts w:cs="Times New Roman"/>
          <w:sz w:val="24"/>
          <w:szCs w:val="24"/>
        </w:rPr>
      </w:pPr>
      <w:r w:rsidRPr="0091371D">
        <w:rPr>
          <w:rFonts w:cs="Times New Roman"/>
          <w:sz w:val="24"/>
          <w:szCs w:val="24"/>
        </w:rPr>
        <w:t>Rīgā</w:t>
      </w:r>
      <w:r w:rsidRPr="0091371D">
        <w:rPr>
          <w:rFonts w:cs="Times New Roman"/>
          <w:sz w:val="24"/>
          <w:szCs w:val="24"/>
        </w:rPr>
        <w:tab/>
        <w:t>(prot. Nr.            . §)</w:t>
      </w:r>
    </w:p>
    <w:p w14:paraId="1C493B71" w14:textId="77777777" w:rsidR="00B521EC" w:rsidRPr="0091371D" w:rsidRDefault="00B521EC" w:rsidP="00AC11C3">
      <w:pPr>
        <w:spacing w:after="0"/>
        <w:jc w:val="both"/>
        <w:rPr>
          <w:rFonts w:eastAsia="Calibri" w:cs="Times New Roman"/>
          <w:sz w:val="24"/>
          <w:szCs w:val="24"/>
          <w:lang w:eastAsia="lv-LV"/>
        </w:rPr>
      </w:pPr>
    </w:p>
    <w:p w14:paraId="407A119A" w14:textId="48449D49" w:rsidR="00B521EC" w:rsidRDefault="00943695" w:rsidP="00AC11C3">
      <w:pPr>
        <w:spacing w:after="0"/>
        <w:jc w:val="center"/>
        <w:rPr>
          <w:rFonts w:eastAsia="Calibri" w:cs="Times New Roman"/>
          <w:b/>
          <w:sz w:val="24"/>
          <w:szCs w:val="24"/>
          <w:lang w:eastAsia="lv-LV"/>
        </w:rPr>
      </w:pPr>
      <w:r w:rsidRPr="0091371D">
        <w:rPr>
          <w:rFonts w:eastAsia="Calibri" w:cs="Times New Roman"/>
          <w:b/>
          <w:sz w:val="24"/>
          <w:szCs w:val="24"/>
          <w:lang w:eastAsia="lv-LV"/>
        </w:rPr>
        <w:t>Grozījumi Ministru kabineta 201</w:t>
      </w:r>
      <w:r w:rsidR="001B6234">
        <w:rPr>
          <w:rFonts w:eastAsia="Calibri" w:cs="Times New Roman"/>
          <w:b/>
          <w:sz w:val="24"/>
          <w:szCs w:val="24"/>
          <w:lang w:eastAsia="lv-LV"/>
        </w:rPr>
        <w:t>6</w:t>
      </w:r>
      <w:r w:rsidRPr="0091371D">
        <w:rPr>
          <w:rFonts w:eastAsia="Calibri" w:cs="Times New Roman"/>
          <w:b/>
          <w:sz w:val="24"/>
          <w:szCs w:val="24"/>
          <w:lang w:eastAsia="lv-LV"/>
        </w:rPr>
        <w:t xml:space="preserve">.gada </w:t>
      </w:r>
      <w:r w:rsidR="001B6234">
        <w:rPr>
          <w:rFonts w:eastAsia="Calibri" w:cs="Times New Roman"/>
          <w:b/>
          <w:sz w:val="24"/>
          <w:szCs w:val="24"/>
          <w:lang w:eastAsia="lv-LV"/>
        </w:rPr>
        <w:t>24</w:t>
      </w:r>
      <w:r w:rsidRPr="0091371D">
        <w:rPr>
          <w:rFonts w:eastAsia="Calibri" w:cs="Times New Roman"/>
          <w:b/>
          <w:sz w:val="24"/>
          <w:szCs w:val="24"/>
          <w:lang w:eastAsia="lv-LV"/>
        </w:rPr>
        <w:t>.</w:t>
      </w:r>
      <w:r w:rsidR="001B6234">
        <w:rPr>
          <w:rFonts w:eastAsia="Calibri" w:cs="Times New Roman"/>
          <w:b/>
          <w:sz w:val="24"/>
          <w:szCs w:val="24"/>
          <w:lang w:eastAsia="lv-LV"/>
        </w:rPr>
        <w:t>maija</w:t>
      </w:r>
      <w:r w:rsidRPr="0091371D">
        <w:rPr>
          <w:rFonts w:eastAsia="Calibri" w:cs="Times New Roman"/>
          <w:b/>
          <w:sz w:val="24"/>
          <w:szCs w:val="24"/>
          <w:lang w:eastAsia="lv-LV"/>
        </w:rPr>
        <w:t xml:space="preserve"> noteikumos Nr.</w:t>
      </w:r>
      <w:r w:rsidR="001B6234">
        <w:rPr>
          <w:rFonts w:eastAsia="Calibri" w:cs="Times New Roman"/>
          <w:b/>
          <w:sz w:val="24"/>
          <w:szCs w:val="24"/>
          <w:lang w:eastAsia="lv-LV"/>
        </w:rPr>
        <w:t xml:space="preserve">319 </w:t>
      </w:r>
      <w:r w:rsidR="001B6234" w:rsidRPr="001B6234">
        <w:rPr>
          <w:rFonts w:eastAsia="Calibri" w:cs="Times New Roman"/>
          <w:b/>
          <w:sz w:val="24"/>
          <w:szCs w:val="24"/>
          <w:lang w:eastAsia="lv-LV"/>
        </w:rPr>
        <w:t>"Darbības programmas "Izaugsme un nodarbinātība" 6.1.1. specifiskā atbalsta mērķa "Palielināt lielo ostu drošības līmeni un uzlabot transporta tīkla mobilitāti" īstenošanas noteikumi</w:t>
      </w:r>
      <w:r w:rsidR="00780A5B" w:rsidRPr="0091371D">
        <w:rPr>
          <w:rFonts w:eastAsia="Calibri" w:cs="Times New Roman"/>
          <w:b/>
          <w:sz w:val="24"/>
          <w:szCs w:val="24"/>
          <w:lang w:eastAsia="lv-LV"/>
        </w:rPr>
        <w:t>"</w:t>
      </w:r>
      <w:r w:rsidR="00B521EC" w:rsidRPr="0091371D">
        <w:rPr>
          <w:rFonts w:eastAsia="Calibri" w:cs="Times New Roman"/>
          <w:b/>
          <w:sz w:val="24"/>
          <w:szCs w:val="24"/>
          <w:lang w:eastAsia="lv-LV"/>
        </w:rPr>
        <w:t xml:space="preserve"> </w:t>
      </w:r>
    </w:p>
    <w:p w14:paraId="0B52C460" w14:textId="77777777" w:rsidR="00624389" w:rsidRPr="0091371D" w:rsidRDefault="00624389" w:rsidP="00AC11C3">
      <w:pPr>
        <w:spacing w:after="0"/>
        <w:jc w:val="center"/>
        <w:rPr>
          <w:rFonts w:eastAsia="Calibri" w:cs="Times New Roman"/>
          <w:b/>
          <w:sz w:val="24"/>
          <w:szCs w:val="24"/>
          <w:lang w:eastAsia="lv-LV"/>
        </w:rPr>
      </w:pPr>
    </w:p>
    <w:p w14:paraId="26021996" w14:textId="77777777" w:rsidR="00B521EC" w:rsidRPr="0091371D" w:rsidRDefault="00B521EC" w:rsidP="00AC11C3">
      <w:pPr>
        <w:spacing w:after="0"/>
        <w:jc w:val="both"/>
        <w:rPr>
          <w:rFonts w:eastAsia="Calibri" w:cs="Times New Roman"/>
          <w:sz w:val="24"/>
          <w:szCs w:val="24"/>
          <w:lang w:eastAsia="lv-LV"/>
        </w:rPr>
      </w:pPr>
    </w:p>
    <w:p w14:paraId="399C64C3" w14:textId="77777777" w:rsidR="00EE3F39" w:rsidRPr="0091371D" w:rsidRDefault="00B521EC" w:rsidP="00AC11C3">
      <w:pPr>
        <w:spacing w:after="0"/>
        <w:jc w:val="right"/>
        <w:rPr>
          <w:rFonts w:eastAsia="Calibri" w:cs="Times New Roman"/>
          <w:sz w:val="24"/>
          <w:szCs w:val="24"/>
          <w:lang w:eastAsia="lv-LV"/>
        </w:rPr>
      </w:pPr>
      <w:r w:rsidRPr="0091371D">
        <w:rPr>
          <w:rFonts w:eastAsia="Calibri" w:cs="Times New Roman"/>
          <w:sz w:val="24"/>
          <w:szCs w:val="24"/>
          <w:lang w:eastAsia="lv-LV"/>
        </w:rPr>
        <w:t xml:space="preserve">Izdoti saskaņā ar </w:t>
      </w:r>
    </w:p>
    <w:p w14:paraId="3FD25B71" w14:textId="77777777" w:rsidR="00AC11C3" w:rsidRPr="0091371D" w:rsidRDefault="00B521EC" w:rsidP="00AC11C3">
      <w:pPr>
        <w:spacing w:after="0"/>
        <w:jc w:val="right"/>
        <w:rPr>
          <w:rFonts w:eastAsia="Calibri" w:cs="Times New Roman"/>
          <w:sz w:val="24"/>
          <w:szCs w:val="24"/>
          <w:lang w:eastAsia="lv-LV"/>
        </w:rPr>
      </w:pPr>
      <w:r w:rsidRPr="0091371D">
        <w:rPr>
          <w:rFonts w:eastAsia="Calibri" w:cs="Times New Roman"/>
          <w:sz w:val="24"/>
          <w:szCs w:val="24"/>
          <w:lang w:eastAsia="lv-LV"/>
        </w:rPr>
        <w:t xml:space="preserve">Eiropas Savienības struktūrfondu un </w:t>
      </w:r>
    </w:p>
    <w:p w14:paraId="040AC649" w14:textId="77777777" w:rsidR="00AC11C3" w:rsidRPr="0091371D" w:rsidRDefault="00B521EC" w:rsidP="00AC11C3">
      <w:pPr>
        <w:spacing w:after="0"/>
        <w:jc w:val="right"/>
        <w:rPr>
          <w:rFonts w:eastAsia="Calibri" w:cs="Times New Roman"/>
          <w:sz w:val="24"/>
          <w:szCs w:val="24"/>
          <w:lang w:eastAsia="lv-LV"/>
        </w:rPr>
      </w:pPr>
      <w:r w:rsidRPr="0091371D">
        <w:rPr>
          <w:rFonts w:eastAsia="Calibri" w:cs="Times New Roman"/>
          <w:sz w:val="24"/>
          <w:szCs w:val="24"/>
          <w:lang w:eastAsia="lv-LV"/>
        </w:rPr>
        <w:t xml:space="preserve">Kohēzijas fonda 2014.–2020. gada </w:t>
      </w:r>
    </w:p>
    <w:p w14:paraId="2C6595E5" w14:textId="77777777" w:rsidR="00AC11C3" w:rsidRPr="0091371D" w:rsidRDefault="00B521EC" w:rsidP="00AC11C3">
      <w:pPr>
        <w:spacing w:after="0"/>
        <w:jc w:val="right"/>
        <w:rPr>
          <w:rFonts w:eastAsia="Calibri" w:cs="Times New Roman"/>
          <w:sz w:val="24"/>
          <w:szCs w:val="24"/>
          <w:lang w:eastAsia="lv-LV"/>
        </w:rPr>
      </w:pPr>
      <w:r w:rsidRPr="0091371D">
        <w:rPr>
          <w:rFonts w:eastAsia="Calibri" w:cs="Times New Roman"/>
          <w:sz w:val="24"/>
          <w:szCs w:val="24"/>
          <w:lang w:eastAsia="lv-LV"/>
        </w:rPr>
        <w:t xml:space="preserve">plānošanas perioda vadības likuma </w:t>
      </w:r>
    </w:p>
    <w:p w14:paraId="50342E95" w14:textId="77777777" w:rsidR="00B521EC" w:rsidRPr="0091371D" w:rsidRDefault="00B521EC" w:rsidP="00AC11C3">
      <w:pPr>
        <w:spacing w:after="0"/>
        <w:jc w:val="right"/>
        <w:rPr>
          <w:rFonts w:eastAsia="Calibri" w:cs="Times New Roman"/>
          <w:sz w:val="24"/>
          <w:szCs w:val="24"/>
          <w:lang w:eastAsia="lv-LV"/>
        </w:rPr>
      </w:pPr>
      <w:r w:rsidRPr="0091371D">
        <w:rPr>
          <w:rFonts w:eastAsia="Calibri" w:cs="Times New Roman"/>
          <w:sz w:val="24"/>
          <w:szCs w:val="24"/>
          <w:lang w:eastAsia="lv-LV"/>
        </w:rPr>
        <w:t xml:space="preserve">20. </w:t>
      </w:r>
      <w:r w:rsidR="00941113" w:rsidRPr="0091371D">
        <w:rPr>
          <w:rFonts w:eastAsia="Calibri" w:cs="Times New Roman"/>
          <w:sz w:val="24"/>
          <w:szCs w:val="24"/>
          <w:lang w:eastAsia="lv-LV"/>
        </w:rPr>
        <w:t>p</w:t>
      </w:r>
      <w:r w:rsidRPr="0091371D">
        <w:rPr>
          <w:rFonts w:eastAsia="Calibri" w:cs="Times New Roman"/>
          <w:sz w:val="24"/>
          <w:szCs w:val="24"/>
          <w:lang w:eastAsia="lv-LV"/>
        </w:rPr>
        <w:t>anta</w:t>
      </w:r>
      <w:r w:rsidR="00657424" w:rsidRPr="0091371D">
        <w:rPr>
          <w:rFonts w:eastAsia="Calibri" w:cs="Times New Roman"/>
          <w:sz w:val="24"/>
          <w:szCs w:val="24"/>
          <w:lang w:eastAsia="lv-LV"/>
        </w:rPr>
        <w:t xml:space="preserve"> 6. un</w:t>
      </w:r>
      <w:r w:rsidRPr="0091371D">
        <w:rPr>
          <w:rFonts w:eastAsia="Calibri" w:cs="Times New Roman"/>
          <w:sz w:val="24"/>
          <w:szCs w:val="24"/>
          <w:lang w:eastAsia="lv-LV"/>
        </w:rPr>
        <w:t xml:space="preserve"> 13. punktu</w:t>
      </w:r>
    </w:p>
    <w:p w14:paraId="3C7F93A8" w14:textId="77777777" w:rsidR="003B3483" w:rsidRPr="0091371D" w:rsidRDefault="003B3483" w:rsidP="003B3483">
      <w:pPr>
        <w:spacing w:after="0"/>
        <w:jc w:val="both"/>
        <w:rPr>
          <w:rFonts w:cs="Times New Roman"/>
          <w:sz w:val="24"/>
          <w:szCs w:val="24"/>
        </w:rPr>
      </w:pPr>
    </w:p>
    <w:p w14:paraId="2BA93437" w14:textId="77777777" w:rsidR="003B3483" w:rsidRPr="0091371D" w:rsidRDefault="003B3483" w:rsidP="003B3483">
      <w:pPr>
        <w:spacing w:after="0"/>
        <w:jc w:val="both"/>
        <w:rPr>
          <w:rFonts w:cs="Times New Roman"/>
          <w:sz w:val="24"/>
          <w:szCs w:val="24"/>
        </w:rPr>
      </w:pPr>
    </w:p>
    <w:p w14:paraId="5D65F65D" w14:textId="4A502E9E" w:rsidR="003B3483" w:rsidRPr="00C23B90" w:rsidRDefault="003B3483" w:rsidP="004D05D2">
      <w:pPr>
        <w:spacing w:after="0"/>
        <w:ind w:firstLine="360"/>
        <w:jc w:val="both"/>
        <w:rPr>
          <w:rFonts w:eastAsia="Calibri" w:cs="Times New Roman"/>
          <w:sz w:val="24"/>
          <w:szCs w:val="24"/>
          <w:lang w:eastAsia="lv-LV"/>
        </w:rPr>
      </w:pPr>
      <w:r w:rsidRPr="00C23B90">
        <w:rPr>
          <w:rFonts w:cs="Times New Roman"/>
          <w:sz w:val="24"/>
          <w:szCs w:val="24"/>
        </w:rPr>
        <w:t xml:space="preserve">Izdarīt </w:t>
      </w:r>
      <w:r w:rsidRPr="00C23B90">
        <w:rPr>
          <w:rFonts w:eastAsia="Calibri" w:cs="Times New Roman"/>
          <w:sz w:val="24"/>
          <w:szCs w:val="24"/>
          <w:lang w:eastAsia="lv-LV"/>
        </w:rPr>
        <w:t xml:space="preserve">Ministru kabineta </w:t>
      </w:r>
      <w:r w:rsidR="001B6234" w:rsidRPr="00C23B90">
        <w:rPr>
          <w:rFonts w:eastAsia="Calibri" w:cs="Times New Roman"/>
          <w:sz w:val="24"/>
          <w:szCs w:val="24"/>
          <w:lang w:eastAsia="lv-LV"/>
        </w:rPr>
        <w:t>2016.gada 24.maija noteikumos Nr.319 "Darbības programmas "Izaugsme un nodarbinātība" 6.1.1. specifiskā atbalsta mērķa "Palielināt lielo ostu drošības līmeni un uzlabot transporta tīkla mobilitāti" īstenošanas noteikumi" īstenošanas noteikumi</w:t>
      </w:r>
      <w:r w:rsidR="003536A5" w:rsidRPr="00C23B90">
        <w:rPr>
          <w:rFonts w:eastAsia="Calibri" w:cs="Times New Roman"/>
          <w:sz w:val="24"/>
          <w:szCs w:val="24"/>
          <w:lang w:eastAsia="lv-LV"/>
        </w:rPr>
        <w:t>"</w:t>
      </w:r>
      <w:r w:rsidRPr="00C23B90">
        <w:rPr>
          <w:rFonts w:eastAsia="Calibri" w:cs="Times New Roman"/>
          <w:sz w:val="24"/>
          <w:szCs w:val="24"/>
          <w:lang w:eastAsia="lv-LV"/>
        </w:rPr>
        <w:t xml:space="preserve"> šādus grozījumus (Latvijas Vēstnesis, </w:t>
      </w:r>
      <w:r w:rsidR="00C80475" w:rsidRPr="00C23B90">
        <w:rPr>
          <w:rFonts w:eastAsia="Calibri" w:cs="Times New Roman"/>
          <w:sz w:val="24"/>
          <w:szCs w:val="24"/>
          <w:lang w:eastAsia="lv-LV"/>
        </w:rPr>
        <w:t>201</w:t>
      </w:r>
      <w:r w:rsidR="001B6234" w:rsidRPr="00C23B90">
        <w:rPr>
          <w:rFonts w:eastAsia="Calibri" w:cs="Times New Roman"/>
          <w:sz w:val="24"/>
          <w:szCs w:val="24"/>
          <w:lang w:eastAsia="lv-LV"/>
        </w:rPr>
        <w:t>6</w:t>
      </w:r>
      <w:r w:rsidR="00554D5D" w:rsidRPr="00C23B90">
        <w:rPr>
          <w:rFonts w:eastAsia="Calibri" w:cs="Times New Roman"/>
          <w:sz w:val="24"/>
          <w:szCs w:val="24"/>
          <w:lang w:eastAsia="lv-LV"/>
        </w:rPr>
        <w:t xml:space="preserve">, </w:t>
      </w:r>
      <w:r w:rsidR="001B6234" w:rsidRPr="00C23B90">
        <w:rPr>
          <w:rFonts w:eastAsia="Calibri" w:cs="Times New Roman"/>
          <w:sz w:val="24"/>
          <w:szCs w:val="24"/>
          <w:lang w:eastAsia="lv-LV"/>
        </w:rPr>
        <w:t>104</w:t>
      </w:r>
      <w:r w:rsidR="00FC2090" w:rsidRPr="00C23B90">
        <w:rPr>
          <w:rFonts w:eastAsia="Calibri" w:cs="Times New Roman"/>
          <w:sz w:val="24"/>
          <w:szCs w:val="24"/>
          <w:lang w:eastAsia="lv-LV"/>
        </w:rPr>
        <w:t>.</w:t>
      </w:r>
      <w:r w:rsidR="00AB3117" w:rsidRPr="00C23B90">
        <w:rPr>
          <w:rFonts w:eastAsia="Calibri" w:cs="Times New Roman"/>
          <w:sz w:val="24"/>
          <w:szCs w:val="24"/>
          <w:lang w:eastAsia="lv-LV"/>
        </w:rPr>
        <w:t xml:space="preserve"> n</w:t>
      </w:r>
      <w:r w:rsidR="00554D5D" w:rsidRPr="00C23B90">
        <w:rPr>
          <w:rFonts w:eastAsia="Calibri" w:cs="Times New Roman"/>
          <w:sz w:val="24"/>
          <w:szCs w:val="24"/>
          <w:lang w:eastAsia="lv-LV"/>
        </w:rPr>
        <w:t>r.) šādus grozījumus:</w:t>
      </w:r>
    </w:p>
    <w:p w14:paraId="1318AFBB" w14:textId="7EBB967D" w:rsidR="00C821A3" w:rsidRPr="00C23B90" w:rsidRDefault="00C821A3" w:rsidP="00C821A3">
      <w:pPr>
        <w:pStyle w:val="ListParagraph"/>
        <w:numPr>
          <w:ilvl w:val="0"/>
          <w:numId w:val="35"/>
        </w:numPr>
        <w:spacing w:before="120" w:after="120"/>
        <w:ind w:left="714" w:hanging="357"/>
        <w:contextualSpacing w:val="0"/>
        <w:jc w:val="both"/>
        <w:rPr>
          <w:rFonts w:eastAsia="Calibri" w:cs="Times New Roman"/>
          <w:sz w:val="24"/>
          <w:szCs w:val="24"/>
          <w:lang w:eastAsia="lv-LV"/>
        </w:rPr>
      </w:pPr>
      <w:r w:rsidRPr="00C23B90">
        <w:rPr>
          <w:rFonts w:eastAsia="Calibri" w:cs="Times New Roman"/>
          <w:sz w:val="24"/>
          <w:szCs w:val="24"/>
          <w:lang w:eastAsia="lv-LV"/>
        </w:rPr>
        <w:t>Izteikt 8.punktu šādā redakcijā:</w:t>
      </w:r>
    </w:p>
    <w:p w14:paraId="7D892AD9" w14:textId="3D43A211" w:rsidR="00C821A3" w:rsidRPr="00C23B90" w:rsidRDefault="00C821A3" w:rsidP="005C512A">
      <w:pPr>
        <w:spacing w:before="120" w:after="120"/>
        <w:jc w:val="both"/>
        <w:rPr>
          <w:rFonts w:eastAsia="Calibri" w:cs="Times New Roman"/>
          <w:sz w:val="24"/>
          <w:szCs w:val="24"/>
          <w:lang w:eastAsia="lv-LV"/>
        </w:rPr>
      </w:pPr>
      <w:r w:rsidRPr="00C23B90">
        <w:rPr>
          <w:rFonts w:eastAsia="Calibri" w:cs="Times New Roman"/>
          <w:sz w:val="24"/>
          <w:szCs w:val="24"/>
          <w:lang w:eastAsia="lv-LV"/>
        </w:rPr>
        <w:t xml:space="preserve">“8. Maksimālais attiecināmais Kohēzijas fonda finansējuma apmērs ir 85% no projektam plānotā kopējā attiecināmā finansējuma </w:t>
      </w:r>
      <w:r w:rsidR="008E0B0B" w:rsidRPr="00C23B90">
        <w:rPr>
          <w:rFonts w:eastAsia="Calibri" w:cs="Times New Roman"/>
          <w:sz w:val="24"/>
          <w:szCs w:val="24"/>
          <w:lang w:eastAsia="lv-LV"/>
        </w:rPr>
        <w:t xml:space="preserve">darbībām, kas nav kvalificējams </w:t>
      </w:r>
      <w:r w:rsidRPr="00C23B90">
        <w:rPr>
          <w:rFonts w:eastAsia="Calibri" w:cs="Times New Roman"/>
          <w:sz w:val="24"/>
          <w:szCs w:val="24"/>
          <w:lang w:eastAsia="lv-LV"/>
        </w:rPr>
        <w:t xml:space="preserve">kā komercdarbības atbalsts.”  </w:t>
      </w:r>
    </w:p>
    <w:p w14:paraId="05D5EA8D" w14:textId="252EE51F" w:rsidR="006C1E19" w:rsidRPr="00C23B90" w:rsidRDefault="006C1E19" w:rsidP="006C1E19">
      <w:pPr>
        <w:pStyle w:val="ListParagraph"/>
        <w:numPr>
          <w:ilvl w:val="0"/>
          <w:numId w:val="35"/>
        </w:numPr>
        <w:spacing w:before="120" w:after="120"/>
        <w:ind w:left="714" w:hanging="357"/>
        <w:contextualSpacing w:val="0"/>
        <w:jc w:val="both"/>
        <w:rPr>
          <w:rFonts w:eastAsia="Calibri" w:cs="Times New Roman"/>
          <w:sz w:val="24"/>
          <w:szCs w:val="24"/>
          <w:lang w:eastAsia="lv-LV"/>
        </w:rPr>
      </w:pPr>
      <w:r w:rsidRPr="00C23B90">
        <w:rPr>
          <w:rFonts w:eastAsia="Calibri" w:cs="Times New Roman"/>
          <w:sz w:val="24"/>
          <w:szCs w:val="24"/>
          <w:lang w:eastAsia="lv-LV"/>
        </w:rPr>
        <w:t>Papildināt noteikumus ar 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punktu šādā redakcijā:</w:t>
      </w:r>
    </w:p>
    <w:p w14:paraId="359F0DD9" w14:textId="5A311A53" w:rsidR="003521F0" w:rsidRPr="00C23B90" w:rsidRDefault="005C512A" w:rsidP="006C1E19">
      <w:pPr>
        <w:spacing w:before="120" w:after="120"/>
        <w:jc w:val="both"/>
        <w:rPr>
          <w:rFonts w:eastAsia="Calibri" w:cs="Times New Roman"/>
          <w:sz w:val="24"/>
          <w:szCs w:val="24"/>
          <w:lang w:eastAsia="lv-LV"/>
        </w:rPr>
      </w:pPr>
      <w:r w:rsidRPr="00C23B90">
        <w:rPr>
          <w:rFonts w:eastAsia="Calibri" w:cs="Times New Roman"/>
          <w:sz w:val="24"/>
          <w:szCs w:val="24"/>
          <w:lang w:eastAsia="lv-LV"/>
        </w:rPr>
        <w:t>“</w:t>
      </w:r>
      <w:r w:rsidR="006C1E19" w:rsidRPr="00C23B90">
        <w:rPr>
          <w:rFonts w:eastAsia="Calibri" w:cs="Times New Roman"/>
          <w:sz w:val="24"/>
          <w:szCs w:val="24"/>
          <w:lang w:eastAsia="lv-LV"/>
        </w:rPr>
        <w:t>8.</w:t>
      </w:r>
      <w:r w:rsidR="006C1E19" w:rsidRPr="00C23B90">
        <w:rPr>
          <w:rFonts w:eastAsia="Calibri" w:cs="Times New Roman"/>
          <w:sz w:val="24"/>
          <w:szCs w:val="24"/>
          <w:vertAlign w:val="superscript"/>
          <w:lang w:eastAsia="lv-LV"/>
        </w:rPr>
        <w:t>1</w:t>
      </w:r>
      <w:r w:rsidR="006C1E19" w:rsidRPr="00C23B90">
        <w:rPr>
          <w:rFonts w:eastAsia="Calibri" w:cs="Times New Roman"/>
          <w:sz w:val="24"/>
          <w:szCs w:val="24"/>
          <w:lang w:eastAsia="lv-LV"/>
        </w:rPr>
        <w:t xml:space="preserve"> </w:t>
      </w:r>
      <w:r w:rsidR="003B7048" w:rsidRPr="00C23B90">
        <w:rPr>
          <w:rFonts w:eastAsia="Calibri" w:cs="Times New Roman"/>
          <w:sz w:val="24"/>
          <w:szCs w:val="24"/>
          <w:lang w:eastAsia="lv-LV"/>
        </w:rPr>
        <w:t>Atbalsta intensitāte, kas var būt atšķirīga dažādām projekta izmaksu pozīcijām, projekta iesniegumā norādītajai attiecināmaja</w:t>
      </w:r>
      <w:r w:rsidR="004815D1" w:rsidRPr="00C23B90">
        <w:rPr>
          <w:rFonts w:eastAsia="Calibri" w:cs="Times New Roman"/>
          <w:sz w:val="24"/>
          <w:szCs w:val="24"/>
          <w:lang w:eastAsia="lv-LV"/>
        </w:rPr>
        <w:t xml:space="preserve">i izmaksu pozīcijai nepārsniedz </w:t>
      </w:r>
      <w:r w:rsidR="003521F0" w:rsidRPr="00C23B90">
        <w:rPr>
          <w:rFonts w:cs="Times New Roman"/>
          <w:color w:val="000000"/>
          <w:sz w:val="24"/>
          <w:szCs w:val="24"/>
        </w:rPr>
        <w:t>starpību starp attiecināmajām izmaksām un pamatdarbības peļņu no ieguldījuma vai bagarēšanas. Pamatdarbības peļņu atskaita no attiecināmajām izmaksām iepriekš saskaņā ar pamatotām prognozēm vai izmanto atgūšanas mehānismu;</w:t>
      </w:r>
    </w:p>
    <w:p w14:paraId="06E55982" w14:textId="77777777" w:rsidR="005C0473" w:rsidRPr="00C23B90" w:rsidRDefault="008B4222" w:rsidP="006C1E19">
      <w:pPr>
        <w:spacing w:before="120" w:after="120"/>
        <w:jc w:val="both"/>
        <w:rPr>
          <w:rFonts w:eastAsia="Calibri" w:cs="Times New Roman"/>
          <w:sz w:val="24"/>
          <w:szCs w:val="24"/>
          <w:lang w:eastAsia="lv-LV"/>
        </w:rPr>
      </w:pPr>
      <w:r w:rsidRPr="00C23B90">
        <w:rPr>
          <w:rFonts w:eastAsia="Calibri" w:cs="Times New Roman"/>
          <w:sz w:val="24"/>
          <w:szCs w:val="24"/>
          <w:lang w:eastAsia="lv-LV"/>
        </w:rPr>
        <w:t>8.</w:t>
      </w:r>
      <w:r w:rsidRPr="00C23B90">
        <w:rPr>
          <w:rFonts w:eastAsia="Calibri" w:cs="Times New Roman"/>
          <w:sz w:val="24"/>
          <w:szCs w:val="24"/>
          <w:vertAlign w:val="superscript"/>
          <w:lang w:eastAsia="lv-LV"/>
        </w:rPr>
        <w:t>1</w:t>
      </w:r>
      <w:r w:rsidR="004815D1" w:rsidRPr="00C23B90">
        <w:rPr>
          <w:rFonts w:eastAsia="Calibri" w:cs="Times New Roman"/>
          <w:sz w:val="24"/>
          <w:szCs w:val="24"/>
          <w:lang w:eastAsia="lv-LV"/>
        </w:rPr>
        <w:t xml:space="preserve"> 1</w:t>
      </w:r>
      <w:r w:rsidRPr="00C23B90">
        <w:rPr>
          <w:rFonts w:eastAsia="Calibri" w:cs="Times New Roman"/>
          <w:sz w:val="24"/>
          <w:szCs w:val="24"/>
          <w:lang w:eastAsia="lv-LV"/>
        </w:rPr>
        <w:t xml:space="preserve">. </w:t>
      </w:r>
      <w:r w:rsidRPr="00C23B90">
        <w:rPr>
          <w:rFonts w:cs="Times New Roman"/>
          <w:sz w:val="24"/>
          <w:szCs w:val="24"/>
        </w:rPr>
        <w:t xml:space="preserve">Atbalsta intensitāte attiecībā uz katru ieguldījumu ostu infrastruktūru izbūvē, nomaiņā vai modernizācijā nepārsniedz: </w:t>
      </w:r>
    </w:p>
    <w:p w14:paraId="052D27BD" w14:textId="4A35A41A" w:rsidR="0064587F" w:rsidRPr="00C23B90" w:rsidRDefault="0064587F" w:rsidP="006C1E19">
      <w:pPr>
        <w:spacing w:before="120" w:after="120"/>
        <w:jc w:val="both"/>
        <w:rPr>
          <w:rFonts w:eastAsia="Calibri" w:cs="Times New Roman"/>
          <w:sz w:val="24"/>
          <w:szCs w:val="24"/>
          <w:lang w:eastAsia="lv-LV"/>
        </w:rPr>
      </w:pPr>
      <w:r w:rsidRPr="00C23B90">
        <w:rPr>
          <w:rFonts w:eastAsia="Calibri" w:cs="Times New Roman"/>
          <w:sz w:val="24"/>
          <w:szCs w:val="24"/>
          <w:lang w:eastAsia="lv-LV"/>
        </w:rPr>
        <w:t xml:space="preserve"> 8.</w:t>
      </w:r>
      <w:r w:rsidRPr="00C23B90">
        <w:rPr>
          <w:rFonts w:eastAsia="Calibri" w:cs="Times New Roman"/>
          <w:sz w:val="24"/>
          <w:szCs w:val="24"/>
          <w:vertAlign w:val="superscript"/>
          <w:lang w:eastAsia="lv-LV"/>
        </w:rPr>
        <w:t>1</w:t>
      </w:r>
      <w:r w:rsidR="004815D1" w:rsidRPr="00C23B90">
        <w:rPr>
          <w:rFonts w:eastAsia="Calibri" w:cs="Times New Roman"/>
          <w:sz w:val="24"/>
          <w:szCs w:val="24"/>
          <w:lang w:eastAsia="lv-LV"/>
        </w:rPr>
        <w:t xml:space="preserve"> 1</w:t>
      </w:r>
      <w:r w:rsidRPr="00C23B90">
        <w:rPr>
          <w:rFonts w:eastAsia="Calibri" w:cs="Times New Roman"/>
          <w:sz w:val="24"/>
          <w:szCs w:val="24"/>
          <w:lang w:eastAsia="lv-LV"/>
        </w:rPr>
        <w:t>.</w:t>
      </w:r>
      <w:r w:rsidR="003521F0" w:rsidRPr="00C23B90">
        <w:rPr>
          <w:rFonts w:eastAsia="Calibri" w:cs="Times New Roman"/>
          <w:sz w:val="24"/>
          <w:szCs w:val="24"/>
          <w:lang w:eastAsia="lv-LV"/>
        </w:rPr>
        <w:t>1.</w:t>
      </w:r>
      <w:r w:rsidRPr="00C23B90">
        <w:rPr>
          <w:rFonts w:eastAsia="Calibri" w:cs="Times New Roman"/>
          <w:sz w:val="24"/>
          <w:szCs w:val="24"/>
          <w:lang w:eastAsia="lv-LV"/>
        </w:rPr>
        <w:t xml:space="preserve"> </w:t>
      </w:r>
      <w:r w:rsidRPr="00C23B90">
        <w:rPr>
          <w:rFonts w:eastAsia="Times New Roman" w:cs="Times New Roman"/>
          <w:color w:val="000000"/>
          <w:sz w:val="24"/>
          <w:szCs w:val="24"/>
          <w:lang w:eastAsia="lv-LV"/>
        </w:rPr>
        <w:t>100 % no attiecināmām izmaksām, ja projekta kopējās attiecināmās izmaksas ir mazākas par EUR 20 miljoniem;</w:t>
      </w:r>
    </w:p>
    <w:p w14:paraId="00553CAB" w14:textId="1D29FBBC" w:rsidR="0064587F" w:rsidRPr="00C23B90" w:rsidRDefault="0064587F" w:rsidP="006C1E19">
      <w:pPr>
        <w:spacing w:before="120" w:after="120"/>
        <w:jc w:val="both"/>
        <w:rPr>
          <w:rFonts w:eastAsia="Times New Roman" w:cs="Times New Roman"/>
          <w:color w:val="000000"/>
          <w:sz w:val="24"/>
          <w:szCs w:val="24"/>
          <w:lang w:eastAsia="lv-LV"/>
        </w:rPr>
      </w:pPr>
      <w:r w:rsidRPr="00C23B90">
        <w:rPr>
          <w:rFonts w:eastAsia="Times New Roman" w:cs="Times New Roman"/>
          <w:color w:val="000000"/>
          <w:sz w:val="24"/>
          <w:szCs w:val="24"/>
          <w:lang w:eastAsia="lv-LV"/>
        </w:rPr>
        <w:t xml:space="preserve"> </w:t>
      </w:r>
      <w:r w:rsidRPr="00C23B90">
        <w:rPr>
          <w:rFonts w:eastAsia="Calibri" w:cs="Times New Roman"/>
          <w:sz w:val="24"/>
          <w:szCs w:val="24"/>
          <w:lang w:eastAsia="lv-LV"/>
        </w:rPr>
        <w:t>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w:t>
      </w:r>
      <w:r w:rsidR="004815D1" w:rsidRPr="00C23B90">
        <w:rPr>
          <w:rFonts w:eastAsia="Calibri" w:cs="Times New Roman"/>
          <w:sz w:val="24"/>
          <w:szCs w:val="24"/>
          <w:lang w:eastAsia="lv-LV"/>
        </w:rPr>
        <w:t>1</w:t>
      </w:r>
      <w:r w:rsidR="003521F0" w:rsidRPr="00C23B90">
        <w:rPr>
          <w:rFonts w:eastAsia="Calibri" w:cs="Times New Roman"/>
          <w:sz w:val="24"/>
          <w:szCs w:val="24"/>
          <w:lang w:eastAsia="lv-LV"/>
        </w:rPr>
        <w:t>.</w:t>
      </w:r>
      <w:r w:rsidRPr="00C23B90">
        <w:rPr>
          <w:rFonts w:eastAsia="Calibri" w:cs="Times New Roman"/>
          <w:sz w:val="24"/>
          <w:szCs w:val="24"/>
          <w:lang w:eastAsia="lv-LV"/>
        </w:rPr>
        <w:t>2.</w:t>
      </w:r>
      <w:r w:rsidRPr="00C23B90">
        <w:rPr>
          <w:rFonts w:eastAsia="Times New Roman" w:cs="Times New Roman"/>
          <w:color w:val="000000"/>
          <w:sz w:val="24"/>
          <w:szCs w:val="24"/>
          <w:lang w:eastAsia="lv-LV"/>
        </w:rPr>
        <w:t xml:space="preserve"> 80 % no attiecināmām izmaksām, ja projekta kopējās attiecināmās izmaksas pārsniedz EUR 20 miljonus, bet ir mazākas par EUR 50 miljoniem;</w:t>
      </w:r>
    </w:p>
    <w:p w14:paraId="061091DD" w14:textId="61C3FBFE" w:rsidR="003B7048" w:rsidRPr="00C23B90" w:rsidRDefault="0064587F" w:rsidP="003B7048">
      <w:pPr>
        <w:spacing w:before="120" w:after="120"/>
        <w:jc w:val="both"/>
        <w:rPr>
          <w:rFonts w:cs="Times New Roman"/>
          <w:sz w:val="24"/>
          <w:szCs w:val="24"/>
        </w:rPr>
      </w:pPr>
      <w:r w:rsidRPr="00C23B90">
        <w:rPr>
          <w:rFonts w:eastAsia="Times New Roman" w:cs="Times New Roman"/>
          <w:color w:val="000000"/>
          <w:sz w:val="24"/>
          <w:szCs w:val="24"/>
          <w:lang w:eastAsia="lv-LV"/>
        </w:rPr>
        <w:t xml:space="preserve"> </w:t>
      </w:r>
      <w:r w:rsidRPr="00C23B90">
        <w:rPr>
          <w:rFonts w:eastAsia="Calibri" w:cs="Times New Roman"/>
          <w:sz w:val="24"/>
          <w:szCs w:val="24"/>
          <w:lang w:eastAsia="lv-LV"/>
        </w:rPr>
        <w:t>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w:t>
      </w:r>
      <w:r w:rsidR="004815D1" w:rsidRPr="00C23B90">
        <w:rPr>
          <w:rFonts w:eastAsia="Calibri" w:cs="Times New Roman"/>
          <w:sz w:val="24"/>
          <w:szCs w:val="24"/>
          <w:lang w:eastAsia="lv-LV"/>
        </w:rPr>
        <w:t>1</w:t>
      </w:r>
      <w:r w:rsidR="003521F0" w:rsidRPr="00C23B90">
        <w:rPr>
          <w:rFonts w:eastAsia="Calibri" w:cs="Times New Roman"/>
          <w:sz w:val="24"/>
          <w:szCs w:val="24"/>
          <w:lang w:eastAsia="lv-LV"/>
        </w:rPr>
        <w:t>.</w:t>
      </w:r>
      <w:r w:rsidRPr="00C23B90">
        <w:rPr>
          <w:rFonts w:eastAsia="Calibri" w:cs="Times New Roman"/>
          <w:sz w:val="24"/>
          <w:szCs w:val="24"/>
          <w:lang w:eastAsia="lv-LV"/>
        </w:rPr>
        <w:t xml:space="preserve">3. </w:t>
      </w:r>
      <w:r w:rsidRPr="00C23B90">
        <w:rPr>
          <w:rFonts w:eastAsia="Times New Roman" w:cs="Times New Roman"/>
          <w:color w:val="000000"/>
          <w:sz w:val="24"/>
          <w:szCs w:val="24"/>
          <w:lang w:eastAsia="lv-LV"/>
        </w:rPr>
        <w:t xml:space="preserve">60 % no attiecināmām izmaksām, ja projekta kopējās attiecināmās izmaksas pārsniedz EUR 50 miljonus, bet ir mazākas par </w:t>
      </w:r>
      <w:r w:rsidR="00FC1DD1" w:rsidRPr="00C23B90">
        <w:rPr>
          <w:rFonts w:cs="Times New Roman"/>
          <w:sz w:val="24"/>
          <w:szCs w:val="24"/>
        </w:rPr>
        <w:t>EUR 130 miljoniem vienam projektam (vai EUR 150 miljoni vienam projektam jūras ostā, kas iekļauta pamattīkla koridora darba plānā, kurš minēts Eiropas Parlamenta un Padomes Regulas (ES) Nr. 1315/2013 47. pantā); attiecībā uz bagarēšanu projekts nozīmē visu bagarēšanu, ko veic viena kalendārā gada laikā;</w:t>
      </w:r>
    </w:p>
    <w:p w14:paraId="60919A0F" w14:textId="77B7859F" w:rsidR="00B33357" w:rsidRPr="00C23B90" w:rsidRDefault="00B33357" w:rsidP="003B7048">
      <w:pPr>
        <w:spacing w:before="120" w:after="120"/>
        <w:jc w:val="both"/>
        <w:rPr>
          <w:rFonts w:cs="Times New Roman"/>
          <w:sz w:val="24"/>
          <w:szCs w:val="24"/>
        </w:rPr>
      </w:pPr>
      <w:r w:rsidRPr="00C23B90">
        <w:rPr>
          <w:rFonts w:eastAsia="Calibri" w:cs="Times New Roman"/>
          <w:sz w:val="24"/>
          <w:szCs w:val="24"/>
          <w:lang w:eastAsia="lv-LV"/>
        </w:rPr>
        <w:t>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w:t>
      </w:r>
      <w:r w:rsidR="004815D1" w:rsidRPr="00C23B90">
        <w:rPr>
          <w:rFonts w:eastAsia="Calibri" w:cs="Times New Roman"/>
          <w:sz w:val="24"/>
          <w:szCs w:val="24"/>
          <w:lang w:eastAsia="lv-LV"/>
        </w:rPr>
        <w:t>1</w:t>
      </w:r>
      <w:r w:rsidRPr="00C23B90">
        <w:rPr>
          <w:rFonts w:eastAsia="Calibri" w:cs="Times New Roman"/>
          <w:sz w:val="24"/>
          <w:szCs w:val="24"/>
          <w:lang w:eastAsia="lv-LV"/>
        </w:rPr>
        <w:t xml:space="preserve">.4 </w:t>
      </w:r>
      <w:r w:rsidRPr="00C23B90">
        <w:rPr>
          <w:rFonts w:cs="Times New Roman"/>
          <w:sz w:val="24"/>
          <w:szCs w:val="24"/>
        </w:rPr>
        <w:t xml:space="preserve">Atbalsta intensitāte ieguldījumiem piekļuves infrastruktūras izbūvē, nomaiņā vai modernizācijā, bagarēšanā nepārsniedz 100 % no attiecināmajām izmaksām, un </w:t>
      </w:r>
      <w:r w:rsidRPr="00C23B90">
        <w:rPr>
          <w:rFonts w:eastAsia="Times New Roman" w:cs="Times New Roman"/>
          <w:sz w:val="24"/>
          <w:szCs w:val="24"/>
          <w:lang w:eastAsia="lv-LV"/>
        </w:rPr>
        <w:t xml:space="preserve">ir mazāka par </w:t>
      </w:r>
      <w:r w:rsidRPr="00C23B90">
        <w:rPr>
          <w:rFonts w:cs="Times New Roman"/>
          <w:sz w:val="24"/>
          <w:szCs w:val="24"/>
        </w:rPr>
        <w:t xml:space="preserve">EUR 130 miljoniem vienam projektam (vai EUR 150 miljoni vienam projektam jūras ostā, kas </w:t>
      </w:r>
      <w:r w:rsidRPr="00C23B90">
        <w:rPr>
          <w:rFonts w:cs="Times New Roman"/>
          <w:sz w:val="24"/>
          <w:szCs w:val="24"/>
        </w:rPr>
        <w:lastRenderedPageBreak/>
        <w:t>iekļauta pamattīkla koridora darba plānā, kurš minēts Eiropas Parlamenta un Padomes Regulas (ES) Nr. 1315/2013</w:t>
      </w:r>
      <w:r w:rsidR="006667B2" w:rsidRPr="00C23B90">
        <w:rPr>
          <w:rFonts w:cs="Times New Roman"/>
          <w:sz w:val="24"/>
          <w:szCs w:val="24"/>
        </w:rPr>
        <w:t xml:space="preserve"> </w:t>
      </w:r>
      <w:r w:rsidRPr="00C23B90">
        <w:rPr>
          <w:rFonts w:cs="Times New Roman"/>
          <w:sz w:val="24"/>
          <w:szCs w:val="24"/>
        </w:rPr>
        <w:t>47. pantā); attiecībā uz bagarēšanu projekts nozīmē visu bagarēšanu, ko veic viena kalendārā gada laikā;</w:t>
      </w:r>
    </w:p>
    <w:p w14:paraId="62B429D5" w14:textId="657C1DF7" w:rsidR="004815D1" w:rsidRPr="00C23B90" w:rsidRDefault="004815D1" w:rsidP="003B7048">
      <w:pPr>
        <w:spacing w:before="120" w:after="120"/>
        <w:jc w:val="both"/>
        <w:rPr>
          <w:rFonts w:cs="Times New Roman"/>
          <w:sz w:val="24"/>
          <w:szCs w:val="24"/>
        </w:rPr>
      </w:pPr>
      <w:r w:rsidRPr="00C23B90">
        <w:rPr>
          <w:rFonts w:cs="Times New Roman"/>
          <w:color w:val="000000"/>
          <w:sz w:val="24"/>
          <w:szCs w:val="24"/>
        </w:rPr>
        <w:t> </w:t>
      </w:r>
      <w:r w:rsidRPr="00C23B90">
        <w:rPr>
          <w:rFonts w:eastAsia="Calibri" w:cs="Times New Roman"/>
          <w:sz w:val="24"/>
          <w:szCs w:val="24"/>
          <w:lang w:eastAsia="lv-LV"/>
        </w:rPr>
        <w:t>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2.4. </w:t>
      </w:r>
      <w:r w:rsidRPr="00C23B90">
        <w:rPr>
          <w:rFonts w:cs="Times New Roman"/>
          <w:color w:val="000000"/>
          <w:sz w:val="24"/>
          <w:szCs w:val="24"/>
        </w:rPr>
        <w:t xml:space="preserve">Kā alternatīvu </w:t>
      </w:r>
      <w:r w:rsidRPr="00C23B90">
        <w:rPr>
          <w:rFonts w:eastAsia="Calibri" w:cs="Times New Roman"/>
          <w:sz w:val="24"/>
          <w:szCs w:val="24"/>
          <w:lang w:eastAsia="lv-LV"/>
        </w:rPr>
        <w:t>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w:t>
      </w:r>
      <w:r w:rsidR="005C512A" w:rsidRPr="00C23B90">
        <w:rPr>
          <w:rFonts w:cs="Times New Roman"/>
          <w:color w:val="000000"/>
          <w:sz w:val="24"/>
          <w:szCs w:val="24"/>
        </w:rPr>
        <w:t>un</w:t>
      </w:r>
      <w:r w:rsidRPr="00C23B90">
        <w:rPr>
          <w:rFonts w:eastAsia="Calibri" w:cs="Times New Roman"/>
          <w:sz w:val="24"/>
          <w:szCs w:val="24"/>
          <w:lang w:eastAsia="lv-LV"/>
        </w:rPr>
        <w:t xml:space="preserve"> 8.</w:t>
      </w:r>
      <w:r w:rsidRPr="00C23B90">
        <w:rPr>
          <w:rFonts w:eastAsia="Calibri" w:cs="Times New Roman"/>
          <w:sz w:val="24"/>
          <w:szCs w:val="24"/>
          <w:vertAlign w:val="superscript"/>
          <w:lang w:eastAsia="lv-LV"/>
        </w:rPr>
        <w:t>1</w:t>
      </w:r>
      <w:r w:rsidRPr="00C23B90">
        <w:rPr>
          <w:rFonts w:eastAsia="Calibri" w:cs="Times New Roman"/>
          <w:sz w:val="24"/>
          <w:szCs w:val="24"/>
          <w:lang w:eastAsia="lv-LV"/>
        </w:rPr>
        <w:t xml:space="preserve"> 1</w:t>
      </w:r>
      <w:r w:rsidR="005C512A" w:rsidRPr="00C23B90">
        <w:rPr>
          <w:rFonts w:cs="Times New Roman"/>
          <w:color w:val="000000"/>
          <w:sz w:val="24"/>
          <w:szCs w:val="24"/>
        </w:rPr>
        <w:t xml:space="preserve">. </w:t>
      </w:r>
      <w:r w:rsidRPr="00C23B90">
        <w:rPr>
          <w:rFonts w:cs="Times New Roman"/>
          <w:color w:val="000000"/>
          <w:sz w:val="24"/>
          <w:szCs w:val="24"/>
        </w:rPr>
        <w:t>punktā minētās metodes piemērošanai, ja atbalsts nepārsniedz EUR 5 miljonus, atbalsta maksimālo summu var noteikt 80 % apmērā no attiecināmajām izmaksām.</w:t>
      </w:r>
      <w:r w:rsidR="005C0473" w:rsidRPr="00C23B90">
        <w:rPr>
          <w:rFonts w:cs="Times New Roman"/>
          <w:color w:val="000000"/>
          <w:sz w:val="24"/>
          <w:szCs w:val="24"/>
        </w:rPr>
        <w:t>”</w:t>
      </w:r>
    </w:p>
    <w:p w14:paraId="7188124C" w14:textId="447C5056" w:rsidR="00F43F5D" w:rsidRPr="00C23B90" w:rsidRDefault="00F43F5D" w:rsidP="00173C69">
      <w:pPr>
        <w:pStyle w:val="ListParagraph"/>
        <w:numPr>
          <w:ilvl w:val="0"/>
          <w:numId w:val="35"/>
        </w:numPr>
        <w:spacing w:before="120" w:after="120"/>
        <w:jc w:val="both"/>
        <w:rPr>
          <w:rFonts w:eastAsia="Calibri" w:cs="Times New Roman"/>
          <w:sz w:val="24"/>
          <w:szCs w:val="24"/>
          <w:lang w:eastAsia="lv-LV"/>
        </w:rPr>
      </w:pPr>
      <w:r w:rsidRPr="00C23B90">
        <w:rPr>
          <w:rFonts w:eastAsia="Calibri" w:cs="Times New Roman"/>
          <w:sz w:val="24"/>
          <w:szCs w:val="24"/>
          <w:lang w:eastAsia="lv-LV"/>
        </w:rPr>
        <w:t>Papildināt noteikumus ar 13. punktu šādā redakcijā:</w:t>
      </w:r>
    </w:p>
    <w:p w14:paraId="535FCB66" w14:textId="5C08E396" w:rsidR="00F43F5D" w:rsidRPr="00C23B90" w:rsidRDefault="00F43F5D" w:rsidP="00F43F5D">
      <w:pPr>
        <w:spacing w:before="120" w:after="120"/>
        <w:jc w:val="both"/>
        <w:rPr>
          <w:rFonts w:eastAsia="Calibri" w:cs="Times New Roman"/>
          <w:sz w:val="24"/>
          <w:szCs w:val="24"/>
          <w:lang w:eastAsia="lv-LV"/>
        </w:rPr>
      </w:pPr>
      <w:r w:rsidRPr="00C23B90">
        <w:rPr>
          <w:rFonts w:eastAsia="Calibri" w:cs="Times New Roman"/>
          <w:sz w:val="24"/>
          <w:szCs w:val="24"/>
          <w:lang w:eastAsia="lv-LV"/>
        </w:rPr>
        <w:t xml:space="preserve"> </w:t>
      </w:r>
      <w:r w:rsidR="005C0473" w:rsidRPr="00C23B90">
        <w:rPr>
          <w:rFonts w:eastAsia="Calibri" w:cs="Times New Roman"/>
          <w:sz w:val="24"/>
          <w:szCs w:val="24"/>
          <w:lang w:eastAsia="lv-LV"/>
        </w:rPr>
        <w:t>“</w:t>
      </w:r>
      <w:r w:rsidRPr="00C23B90">
        <w:rPr>
          <w:rFonts w:eastAsia="Calibri" w:cs="Times New Roman"/>
          <w:sz w:val="24"/>
          <w:szCs w:val="24"/>
          <w:lang w:eastAsia="lv-LV"/>
        </w:rPr>
        <w:t xml:space="preserve">13. </w:t>
      </w:r>
      <w:r w:rsidR="00173C69" w:rsidRPr="00C23B90">
        <w:rPr>
          <w:rFonts w:cs="Times New Roman"/>
          <w:sz w:val="24"/>
          <w:szCs w:val="24"/>
        </w:rPr>
        <w:t xml:space="preserve">Atbalstītās ostas infrastruktūras pieejamību ieinteresētajiem lietotājiem nodrošina vienlīdzīgā un nediskriminējošā veidā atbilstoši tirgus nosacījumiem.” </w:t>
      </w:r>
    </w:p>
    <w:p w14:paraId="273E938C" w14:textId="5E9C92C3" w:rsidR="005E74CF" w:rsidRPr="00C23B90" w:rsidRDefault="005E74CF" w:rsidP="005E74CF">
      <w:pPr>
        <w:pStyle w:val="ListParagraph"/>
        <w:numPr>
          <w:ilvl w:val="0"/>
          <w:numId w:val="35"/>
        </w:numPr>
        <w:spacing w:before="120" w:after="120"/>
        <w:jc w:val="both"/>
        <w:rPr>
          <w:rFonts w:eastAsia="Calibri" w:cs="Times New Roman"/>
          <w:sz w:val="24"/>
          <w:szCs w:val="24"/>
          <w:lang w:eastAsia="lv-LV"/>
        </w:rPr>
      </w:pPr>
      <w:r w:rsidRPr="00C23B90">
        <w:rPr>
          <w:rFonts w:eastAsia="Calibri" w:cs="Times New Roman"/>
          <w:sz w:val="24"/>
          <w:szCs w:val="24"/>
          <w:lang w:eastAsia="lv-LV"/>
        </w:rPr>
        <w:t>Papildināt noteikumus ar 14.5. un 14.6. apakšpunktu šādā redakcijā:</w:t>
      </w:r>
    </w:p>
    <w:p w14:paraId="49B49C30" w14:textId="061724B5" w:rsidR="006C1E19" w:rsidRPr="00C23B90" w:rsidRDefault="005E74CF" w:rsidP="005C512A">
      <w:pPr>
        <w:spacing w:before="120" w:after="120"/>
        <w:jc w:val="both"/>
        <w:rPr>
          <w:rFonts w:cs="Times New Roman"/>
          <w:sz w:val="24"/>
          <w:szCs w:val="24"/>
        </w:rPr>
      </w:pPr>
      <w:r w:rsidRPr="00C23B90">
        <w:rPr>
          <w:rFonts w:cs="Times New Roman"/>
          <w:sz w:val="24"/>
          <w:szCs w:val="24"/>
        </w:rPr>
        <w:t>“ 14.5. kapitālsabiedrība ir saņēmusi glābšanas atbalstu un glābšanas atbalsta ietvaros saņemto aizdevumu nav atmaksājusi vai nav atsaukusi garantiju, vai ir saņēmusi pārstrukturēšanas atbalstu, un uz to joprojām attiecas pārstrukturēšanas plāns;</w:t>
      </w:r>
    </w:p>
    <w:p w14:paraId="34C16E77" w14:textId="6207981C" w:rsidR="00FC1DD1" w:rsidRPr="00C23B90" w:rsidRDefault="005E74CF" w:rsidP="005C512A">
      <w:pPr>
        <w:spacing w:before="120" w:after="120"/>
        <w:jc w:val="both"/>
        <w:rPr>
          <w:rFonts w:cs="Times New Roman"/>
          <w:sz w:val="24"/>
          <w:szCs w:val="24"/>
        </w:rPr>
      </w:pPr>
      <w:r w:rsidRPr="00C23B90">
        <w:rPr>
          <w:rFonts w:cs="Times New Roman"/>
          <w:sz w:val="24"/>
          <w:szCs w:val="24"/>
        </w:rPr>
        <w:t xml:space="preserve">14.6. uz projekta iesniedzēju attiecas neizpildīts līdzekļu atgūšanas rīkojums saskaņā ar iepriekšēju Eiropas Komisijas lēmumu, ar ko atbalsts atzīts par nelikumīgu un nesaderīgu ar iekšējo tirgu.” </w:t>
      </w:r>
    </w:p>
    <w:p w14:paraId="392E6AAB" w14:textId="0DBF2B88" w:rsidR="00FC1DD1" w:rsidRPr="00C23B90" w:rsidRDefault="00FC1DD1" w:rsidP="00FC1DD1">
      <w:pPr>
        <w:pStyle w:val="ListParagraph"/>
        <w:numPr>
          <w:ilvl w:val="0"/>
          <w:numId w:val="35"/>
        </w:numPr>
        <w:spacing w:before="120" w:after="120"/>
        <w:ind w:left="714" w:hanging="357"/>
        <w:contextualSpacing w:val="0"/>
        <w:jc w:val="both"/>
        <w:rPr>
          <w:rFonts w:eastAsia="Calibri" w:cs="Times New Roman"/>
          <w:sz w:val="24"/>
          <w:szCs w:val="24"/>
          <w:lang w:eastAsia="lv-LV"/>
        </w:rPr>
      </w:pPr>
      <w:r w:rsidRPr="00C23B90">
        <w:rPr>
          <w:rFonts w:eastAsia="Calibri" w:cs="Times New Roman"/>
          <w:sz w:val="24"/>
          <w:szCs w:val="24"/>
          <w:lang w:eastAsia="lv-LV"/>
        </w:rPr>
        <w:t>Izteikt 27.punktu šādā redakcijā:</w:t>
      </w:r>
    </w:p>
    <w:p w14:paraId="4607EEC3" w14:textId="7D2A704C" w:rsidR="00366164" w:rsidRPr="00C23B90" w:rsidRDefault="005C512A" w:rsidP="00366164">
      <w:pPr>
        <w:spacing w:before="120" w:after="120"/>
        <w:jc w:val="both"/>
        <w:rPr>
          <w:rFonts w:cs="Times New Roman"/>
          <w:sz w:val="24"/>
          <w:szCs w:val="24"/>
        </w:rPr>
      </w:pPr>
      <w:r w:rsidRPr="00C23B90">
        <w:rPr>
          <w:rFonts w:eastAsia="Calibri" w:cs="Times New Roman"/>
          <w:sz w:val="24"/>
          <w:szCs w:val="24"/>
          <w:lang w:eastAsia="lv-LV"/>
        </w:rPr>
        <w:t>“</w:t>
      </w:r>
      <w:r w:rsidR="00ED6126" w:rsidRPr="00C23B90">
        <w:rPr>
          <w:rFonts w:eastAsia="Calibri" w:cs="Times New Roman"/>
          <w:sz w:val="24"/>
          <w:szCs w:val="24"/>
          <w:lang w:eastAsia="lv-LV"/>
        </w:rPr>
        <w:t xml:space="preserve">27. </w:t>
      </w:r>
      <w:r w:rsidR="00F57470" w:rsidRPr="00C23B90">
        <w:rPr>
          <w:rFonts w:eastAsia="Calibri" w:cs="Times New Roman"/>
          <w:sz w:val="24"/>
          <w:szCs w:val="24"/>
          <w:lang w:eastAsia="lv-LV"/>
        </w:rPr>
        <w:t xml:space="preserve">Komercdarbības atbalsts tiek sniegts atbilstoši </w:t>
      </w:r>
      <w:r w:rsidR="00ED6126" w:rsidRPr="00C23B90">
        <w:rPr>
          <w:rFonts w:cs="Times New Roman"/>
          <w:sz w:val="24"/>
          <w:szCs w:val="24"/>
        </w:rPr>
        <w:t>Eiropas Komisijas 2014. gada 17. jūnija Regula</w:t>
      </w:r>
      <w:r w:rsidR="008E0B0B" w:rsidRPr="00C23B90">
        <w:rPr>
          <w:rFonts w:cs="Times New Roman"/>
          <w:sz w:val="24"/>
          <w:szCs w:val="24"/>
        </w:rPr>
        <w:t>s</w:t>
      </w:r>
      <w:r w:rsidR="00ED6126" w:rsidRPr="00C23B90">
        <w:rPr>
          <w:rFonts w:cs="Times New Roman"/>
          <w:sz w:val="24"/>
          <w:szCs w:val="24"/>
        </w:rPr>
        <w:t xml:space="preserve"> (ES) Nr. 651/2014, ar ko noteiktas atbalsta kategorijas atzīst par saderīgām ar iekšējo tirgu, piemērojot Līguma 107. un 108. pantu (Eiropas Savienības Oficiālais Vēstnesis, 2014. gada 26. jūnijs, Nr. L 187) (turpmāk – Regula Nr. 651/2014) </w:t>
      </w:r>
      <w:r w:rsidR="00366164" w:rsidRPr="00C23B90">
        <w:rPr>
          <w:rFonts w:cs="Times New Roman"/>
          <w:sz w:val="24"/>
          <w:szCs w:val="24"/>
        </w:rPr>
        <w:t xml:space="preserve">ar grozījumiem, kas ieviesti ar </w:t>
      </w:r>
      <w:r w:rsidR="00366164" w:rsidRPr="00C23B90">
        <w:rPr>
          <w:rFonts w:cs="Times New Roman"/>
          <w:bCs/>
          <w:sz w:val="24"/>
          <w:szCs w:val="24"/>
        </w:rPr>
        <w:t xml:space="preserve">Komisijas Regulas (ES) 2017/1084 (2017. gada 14. jūnijs), ar ko Regulu (ES) Nr. 651/2014 groza attiecībā uz atbalstu ostu un lidostu infrastruktūrai, paziņošanas robežvērtībām atbalstam kultūrai un kultūrvēsturiskā mantojuma saglabāšanai un atbalstam sporta un </w:t>
      </w:r>
      <w:proofErr w:type="spellStart"/>
      <w:r w:rsidR="00366164" w:rsidRPr="00C23B90">
        <w:rPr>
          <w:rFonts w:cs="Times New Roman"/>
          <w:bCs/>
          <w:sz w:val="24"/>
          <w:szCs w:val="24"/>
        </w:rPr>
        <w:t>multifunkcionālai</w:t>
      </w:r>
      <w:proofErr w:type="spellEnd"/>
      <w:r w:rsidR="00366164" w:rsidRPr="00C23B90">
        <w:rPr>
          <w:rFonts w:cs="Times New Roman"/>
          <w:bCs/>
          <w:sz w:val="24"/>
          <w:szCs w:val="24"/>
        </w:rPr>
        <w:t xml:space="preserve"> atpūtas infrastruktūrai un reģionālā darbības atbalsta shēmām tālākajos reģionos un ar ko Regulu (ES) Nr. 702/2014 groza attiecībā uz attiecināmo izmaksu aprēķinu (Dokuments attiecas uz EEZ)</w:t>
      </w:r>
      <w:r w:rsidR="00366164" w:rsidRPr="00C23B90">
        <w:rPr>
          <w:rFonts w:cs="Times New Roman"/>
          <w:sz w:val="24"/>
          <w:szCs w:val="24"/>
        </w:rPr>
        <w:t xml:space="preserve">  56b.panta nosacījumiem.</w:t>
      </w:r>
    </w:p>
    <w:p w14:paraId="654A987D" w14:textId="77777777" w:rsidR="005C512A" w:rsidRPr="00C23B90" w:rsidRDefault="00510F89" w:rsidP="005C512A">
      <w:pPr>
        <w:spacing w:before="120" w:after="120"/>
        <w:jc w:val="both"/>
        <w:rPr>
          <w:rFonts w:cs="Times New Roman"/>
          <w:sz w:val="24"/>
          <w:szCs w:val="24"/>
        </w:rPr>
      </w:pPr>
      <w:r w:rsidRPr="00C23B90">
        <w:rPr>
          <w:rFonts w:cs="Times New Roman"/>
          <w:sz w:val="24"/>
          <w:szCs w:val="24"/>
        </w:rPr>
        <w:t xml:space="preserve">27.1. </w:t>
      </w:r>
      <w:r w:rsidR="00366164" w:rsidRPr="00C23B90">
        <w:rPr>
          <w:rFonts w:eastAsia="Times New Roman" w:cs="Times New Roman"/>
          <w:sz w:val="24"/>
          <w:szCs w:val="24"/>
          <w:lang w:eastAsia="lv-LV"/>
        </w:rPr>
        <w:t>Valsts atbalstu komercdarbībai projekta iesni</w:t>
      </w:r>
      <w:r w:rsidRPr="00C23B90">
        <w:rPr>
          <w:rFonts w:eastAsia="Times New Roman" w:cs="Times New Roman"/>
          <w:sz w:val="24"/>
          <w:szCs w:val="24"/>
          <w:lang w:eastAsia="lv-LV"/>
        </w:rPr>
        <w:t xml:space="preserve">edzējam piešķir, ja </w:t>
      </w:r>
      <w:r w:rsidR="00CB00A2" w:rsidRPr="00C23B90">
        <w:rPr>
          <w:rFonts w:eastAsia="Times New Roman" w:cs="Times New Roman"/>
          <w:sz w:val="24"/>
          <w:szCs w:val="24"/>
          <w:lang w:eastAsia="lv-LV"/>
        </w:rPr>
        <w:t xml:space="preserve">ievēroti visi šajā </w:t>
      </w:r>
      <w:r w:rsidR="00B5431D" w:rsidRPr="00C23B90">
        <w:rPr>
          <w:rFonts w:eastAsia="Times New Roman" w:cs="Times New Roman"/>
          <w:sz w:val="24"/>
          <w:szCs w:val="24"/>
          <w:lang w:eastAsia="lv-LV"/>
        </w:rPr>
        <w:t>noteikumu projektā</w:t>
      </w:r>
      <w:r w:rsidRPr="00C23B90">
        <w:rPr>
          <w:rFonts w:eastAsia="Times New Roman" w:cs="Times New Roman"/>
          <w:sz w:val="24"/>
          <w:szCs w:val="24"/>
          <w:lang w:eastAsia="lv-LV"/>
        </w:rPr>
        <w:t xml:space="preserve"> minētie R</w:t>
      </w:r>
      <w:r w:rsidR="00366164" w:rsidRPr="00C23B90">
        <w:rPr>
          <w:rFonts w:eastAsia="Times New Roman" w:cs="Times New Roman"/>
          <w:sz w:val="24"/>
          <w:szCs w:val="24"/>
          <w:lang w:eastAsia="lv-LV"/>
        </w:rPr>
        <w:t xml:space="preserve">egulas Nr. </w:t>
      </w:r>
      <w:hyperlink r:id="rId11" w:tgtFrame="_blank" w:history="1">
        <w:r w:rsidR="00366164" w:rsidRPr="00C23B90">
          <w:rPr>
            <w:rFonts w:eastAsia="Times New Roman" w:cs="Times New Roman"/>
            <w:sz w:val="24"/>
            <w:szCs w:val="24"/>
            <w:lang w:eastAsia="lv-LV"/>
          </w:rPr>
          <w:t>651/2014</w:t>
        </w:r>
      </w:hyperlink>
      <w:r w:rsidR="00366164" w:rsidRPr="00C23B90">
        <w:rPr>
          <w:rFonts w:eastAsia="Times New Roman" w:cs="Times New Roman"/>
          <w:sz w:val="24"/>
          <w:szCs w:val="24"/>
          <w:lang w:eastAsia="lv-LV"/>
        </w:rPr>
        <w:t xml:space="preserve"> nosacījumi:</w:t>
      </w:r>
    </w:p>
    <w:p w14:paraId="08DCD04C" w14:textId="63CDB2A0" w:rsidR="00366164" w:rsidRPr="00C23B90" w:rsidRDefault="00510F89" w:rsidP="005C512A">
      <w:pPr>
        <w:spacing w:before="120" w:after="120"/>
        <w:jc w:val="both"/>
        <w:rPr>
          <w:rFonts w:cs="Times New Roman"/>
          <w:sz w:val="24"/>
          <w:szCs w:val="24"/>
        </w:rPr>
      </w:pPr>
      <w:r w:rsidRPr="00C23B90">
        <w:rPr>
          <w:rFonts w:eastAsia="Times New Roman" w:cs="Times New Roman"/>
          <w:sz w:val="24"/>
          <w:szCs w:val="24"/>
          <w:lang w:eastAsia="lv-LV"/>
        </w:rPr>
        <w:t>27.</w:t>
      </w:r>
      <w:r w:rsidR="00DF52FA" w:rsidRPr="00C23B90">
        <w:rPr>
          <w:rFonts w:eastAsia="Times New Roman" w:cs="Times New Roman"/>
          <w:sz w:val="24"/>
          <w:szCs w:val="24"/>
          <w:lang w:eastAsia="lv-LV"/>
        </w:rPr>
        <w:t>1</w:t>
      </w:r>
      <w:r w:rsidRPr="00C23B90">
        <w:rPr>
          <w:rFonts w:eastAsia="Times New Roman" w:cs="Times New Roman"/>
          <w:sz w:val="24"/>
          <w:szCs w:val="24"/>
          <w:lang w:eastAsia="lv-LV"/>
        </w:rPr>
        <w:t>.</w:t>
      </w:r>
      <w:r w:rsidR="00366164" w:rsidRPr="00C23B90">
        <w:rPr>
          <w:rFonts w:eastAsia="Times New Roman" w:cs="Times New Roman"/>
          <w:sz w:val="24"/>
          <w:szCs w:val="24"/>
          <w:lang w:eastAsia="lv-LV"/>
        </w:rPr>
        <w:t xml:space="preserve"> 1. panta 2. punkta "c" un "d" apakšpunkta nosacījumi par gadījumiem, kādos nepiemēro Komisijas regulu Nr. </w:t>
      </w:r>
      <w:hyperlink r:id="rId12" w:tgtFrame="_blank" w:history="1">
        <w:r w:rsidR="00366164" w:rsidRPr="00C23B90">
          <w:rPr>
            <w:rFonts w:eastAsia="Times New Roman" w:cs="Times New Roman"/>
            <w:sz w:val="24"/>
            <w:szCs w:val="24"/>
            <w:lang w:eastAsia="lv-LV"/>
          </w:rPr>
          <w:t>651/2014</w:t>
        </w:r>
      </w:hyperlink>
      <w:r w:rsidR="00366164" w:rsidRPr="00C23B90">
        <w:rPr>
          <w:rFonts w:eastAsia="Times New Roman" w:cs="Times New Roman"/>
          <w:sz w:val="24"/>
          <w:szCs w:val="24"/>
          <w:lang w:eastAsia="lv-LV"/>
        </w:rPr>
        <w:t>;</w:t>
      </w:r>
    </w:p>
    <w:p w14:paraId="1A2FBC38" w14:textId="39D672A2" w:rsidR="00366164" w:rsidRPr="00C23B90" w:rsidRDefault="00510F89" w:rsidP="005C512A">
      <w:pPr>
        <w:spacing w:after="0" w:line="360" w:lineRule="auto"/>
        <w:rPr>
          <w:rFonts w:eastAsia="Times New Roman" w:cs="Times New Roman"/>
          <w:sz w:val="24"/>
          <w:szCs w:val="24"/>
          <w:lang w:eastAsia="lv-LV"/>
        </w:rPr>
      </w:pPr>
      <w:r w:rsidRPr="00C23B90">
        <w:rPr>
          <w:rFonts w:eastAsia="Times New Roman" w:cs="Times New Roman"/>
          <w:sz w:val="24"/>
          <w:szCs w:val="24"/>
          <w:lang w:eastAsia="lv-LV"/>
        </w:rPr>
        <w:t>27.</w:t>
      </w:r>
      <w:r w:rsidR="00DF52FA" w:rsidRPr="00C23B90">
        <w:rPr>
          <w:rFonts w:eastAsia="Times New Roman" w:cs="Times New Roman"/>
          <w:sz w:val="24"/>
          <w:szCs w:val="24"/>
          <w:lang w:eastAsia="lv-LV"/>
        </w:rPr>
        <w:t>1.2</w:t>
      </w:r>
      <w:r w:rsidRPr="00C23B90">
        <w:rPr>
          <w:rFonts w:eastAsia="Times New Roman" w:cs="Times New Roman"/>
          <w:sz w:val="24"/>
          <w:szCs w:val="24"/>
          <w:lang w:eastAsia="lv-LV"/>
        </w:rPr>
        <w:t>.</w:t>
      </w:r>
      <w:r w:rsidR="00366164" w:rsidRPr="00C23B90">
        <w:rPr>
          <w:rFonts w:eastAsia="Times New Roman" w:cs="Times New Roman"/>
          <w:sz w:val="24"/>
          <w:szCs w:val="24"/>
          <w:lang w:eastAsia="lv-LV"/>
        </w:rPr>
        <w:t xml:space="preserve"> 1. panta 3. punkta nosacījumi par nozarēm, kurām nepiemēro Komisijas regulu Nr. </w:t>
      </w:r>
      <w:hyperlink r:id="rId13" w:tgtFrame="_blank" w:history="1">
        <w:r w:rsidR="00366164" w:rsidRPr="00C23B90">
          <w:rPr>
            <w:rFonts w:eastAsia="Times New Roman" w:cs="Times New Roman"/>
            <w:sz w:val="24"/>
            <w:szCs w:val="24"/>
            <w:lang w:eastAsia="lv-LV"/>
          </w:rPr>
          <w:t>651/2014</w:t>
        </w:r>
      </w:hyperlink>
      <w:r w:rsidR="00366164" w:rsidRPr="00C23B90">
        <w:rPr>
          <w:rFonts w:eastAsia="Times New Roman" w:cs="Times New Roman"/>
          <w:sz w:val="24"/>
          <w:szCs w:val="24"/>
          <w:lang w:eastAsia="lv-LV"/>
        </w:rPr>
        <w:t xml:space="preserve"> un kurām tiek nodrošināta izmaksu nošķiršana tādējādi, ka darbības izslēgtajās nozarēs negūst labumu no atbalsta, kas piešķirts saskaņā ar regulu Nr. </w:t>
      </w:r>
      <w:hyperlink r:id="rId14" w:tgtFrame="_blank" w:history="1">
        <w:r w:rsidR="00366164" w:rsidRPr="00C23B90">
          <w:rPr>
            <w:rFonts w:eastAsia="Times New Roman" w:cs="Times New Roman"/>
            <w:sz w:val="24"/>
            <w:szCs w:val="24"/>
            <w:lang w:eastAsia="lv-LV"/>
          </w:rPr>
          <w:t>651/2014</w:t>
        </w:r>
      </w:hyperlink>
      <w:r w:rsidR="00366164" w:rsidRPr="00C23B90">
        <w:rPr>
          <w:rFonts w:eastAsia="Times New Roman" w:cs="Times New Roman"/>
          <w:sz w:val="24"/>
          <w:szCs w:val="24"/>
          <w:lang w:eastAsia="lv-LV"/>
        </w:rPr>
        <w:t>;</w:t>
      </w:r>
    </w:p>
    <w:p w14:paraId="4E10A3AD" w14:textId="1CFE51F0" w:rsidR="00D012EC" w:rsidRPr="00C23B90" w:rsidRDefault="00DF52FA" w:rsidP="005C512A">
      <w:pPr>
        <w:spacing w:after="0" w:line="360" w:lineRule="auto"/>
        <w:rPr>
          <w:rFonts w:eastAsia="Times New Roman" w:cs="Times New Roman"/>
          <w:sz w:val="24"/>
          <w:szCs w:val="24"/>
          <w:lang w:eastAsia="lv-LV"/>
        </w:rPr>
      </w:pPr>
      <w:r w:rsidRPr="00C23B90">
        <w:rPr>
          <w:rFonts w:eastAsia="Times New Roman" w:cs="Times New Roman"/>
          <w:sz w:val="24"/>
          <w:szCs w:val="24"/>
          <w:lang w:eastAsia="lv-LV"/>
        </w:rPr>
        <w:t>27.1.3</w:t>
      </w:r>
      <w:r w:rsidR="00366164" w:rsidRPr="00C23B90">
        <w:rPr>
          <w:rFonts w:eastAsia="Times New Roman" w:cs="Times New Roman"/>
          <w:sz w:val="24"/>
          <w:szCs w:val="24"/>
          <w:lang w:eastAsia="lv-LV"/>
        </w:rPr>
        <w:t>. 1. panta 4. punkta "a" apakšpunkta nosacījumi, ka atb</w:t>
      </w:r>
      <w:r w:rsidR="00D012EC" w:rsidRPr="00C23B90">
        <w:rPr>
          <w:rFonts w:eastAsia="Times New Roman" w:cs="Times New Roman"/>
          <w:sz w:val="24"/>
          <w:szCs w:val="24"/>
          <w:lang w:eastAsia="lv-LV"/>
        </w:rPr>
        <w:t>alsts netiek sniegts saņēmējam,</w:t>
      </w:r>
      <w:r w:rsidR="00D012EC" w:rsidRPr="00C23B90">
        <w:rPr>
          <w:rFonts w:cs="Times New Roman"/>
          <w:color w:val="000000"/>
          <w:sz w:val="24"/>
          <w:szCs w:val="24"/>
        </w:rPr>
        <w:t xml:space="preserve"> </w:t>
      </w:r>
      <w:r w:rsidR="00D012EC" w:rsidRPr="00C23B90">
        <w:rPr>
          <w:rFonts w:cs="Times New Roman"/>
          <w:sz w:val="24"/>
          <w:szCs w:val="24"/>
        </w:rPr>
        <w:t>uz kuru attiecas neizpildīts līdzekļu atgūšanas rīkojums saskaņā ar iepriekšēju Komisijas lēmumu, ar ko atbalsts, kuru piešķīrusi tā pati dalībvalsts, atzīts par nelikumīgu un nesaderīgu ar iekšējo tirgu, izņemot atbalsta shēmas atsevišķu dabas katastrofu radīto zaudējumu atlīdzināšanai;”</w:t>
      </w:r>
    </w:p>
    <w:p w14:paraId="732707D8" w14:textId="0B3B550B" w:rsidR="00AD163A" w:rsidRPr="00C23B90" w:rsidRDefault="00DF52FA" w:rsidP="00D012EC">
      <w:pPr>
        <w:spacing w:after="0" w:line="360" w:lineRule="auto"/>
        <w:rPr>
          <w:rFonts w:eastAsia="Times New Roman" w:cs="Times New Roman"/>
          <w:sz w:val="24"/>
          <w:szCs w:val="24"/>
          <w:lang w:eastAsia="lv-LV"/>
        </w:rPr>
      </w:pPr>
      <w:r w:rsidRPr="00C23B90">
        <w:rPr>
          <w:rFonts w:eastAsia="Times New Roman" w:cs="Times New Roman"/>
          <w:sz w:val="24"/>
          <w:szCs w:val="24"/>
          <w:lang w:eastAsia="lv-LV"/>
        </w:rPr>
        <w:t>27.1.4</w:t>
      </w:r>
      <w:r w:rsidR="00366164" w:rsidRPr="00C23B90">
        <w:rPr>
          <w:rFonts w:eastAsia="Times New Roman" w:cs="Times New Roman"/>
          <w:sz w:val="24"/>
          <w:szCs w:val="24"/>
          <w:lang w:eastAsia="lv-LV"/>
        </w:rPr>
        <w:t>. 1. panta 5. punkta nosacījumi, ka atbalsta pasākums neietver Eiropas Savienības tiesību pārkāpumus;</w:t>
      </w:r>
    </w:p>
    <w:p w14:paraId="58191DAC" w14:textId="35F42B1F" w:rsidR="00366164" w:rsidRPr="00C23B90" w:rsidRDefault="00510F89" w:rsidP="005C0473">
      <w:pPr>
        <w:spacing w:after="0" w:line="360" w:lineRule="auto"/>
        <w:rPr>
          <w:rFonts w:eastAsia="Times New Roman" w:cs="Times New Roman"/>
          <w:sz w:val="24"/>
          <w:szCs w:val="24"/>
          <w:lang w:eastAsia="lv-LV"/>
        </w:rPr>
      </w:pPr>
      <w:r w:rsidRPr="00C23B90">
        <w:rPr>
          <w:rFonts w:eastAsia="Times New Roman" w:cs="Times New Roman"/>
          <w:sz w:val="24"/>
          <w:szCs w:val="24"/>
          <w:lang w:eastAsia="lv-LV"/>
        </w:rPr>
        <w:lastRenderedPageBreak/>
        <w:t>27.</w:t>
      </w:r>
      <w:r w:rsidR="00DF52FA" w:rsidRPr="00C23B90">
        <w:rPr>
          <w:rFonts w:eastAsia="Times New Roman" w:cs="Times New Roman"/>
          <w:sz w:val="24"/>
          <w:szCs w:val="24"/>
          <w:lang w:eastAsia="lv-LV"/>
        </w:rPr>
        <w:t>1.5.</w:t>
      </w:r>
      <w:r w:rsidR="00366164" w:rsidRPr="00C23B90">
        <w:rPr>
          <w:rFonts w:eastAsia="Times New Roman" w:cs="Times New Roman"/>
          <w:sz w:val="24"/>
          <w:szCs w:val="24"/>
          <w:lang w:eastAsia="lv-LV"/>
        </w:rPr>
        <w:t xml:space="preserve"> 4. panta 1. punkta "x" un "cc" apakšpunkta nosacījumi, ka individuālais atbalsts nepārsniedz šajos apakšpunktos note</w:t>
      </w:r>
      <w:r w:rsidR="00DF52FA" w:rsidRPr="00C23B90">
        <w:rPr>
          <w:rFonts w:eastAsia="Times New Roman" w:cs="Times New Roman"/>
          <w:sz w:val="24"/>
          <w:szCs w:val="24"/>
          <w:lang w:eastAsia="lv-LV"/>
        </w:rPr>
        <w:t>iktās paziņošanas robežvērtības.”</w:t>
      </w:r>
    </w:p>
    <w:p w14:paraId="37385AC0" w14:textId="360781DE" w:rsidR="00DF52FA" w:rsidRPr="00C23B90" w:rsidRDefault="00DF52FA" w:rsidP="00366164">
      <w:pPr>
        <w:spacing w:before="120" w:after="120"/>
        <w:jc w:val="both"/>
        <w:rPr>
          <w:rFonts w:cs="Times New Roman"/>
          <w:color w:val="000000" w:themeColor="text1"/>
          <w:sz w:val="24"/>
          <w:szCs w:val="24"/>
        </w:rPr>
      </w:pPr>
      <w:r w:rsidRPr="00C23B90">
        <w:rPr>
          <w:rFonts w:eastAsia="Times New Roman" w:cs="Times New Roman"/>
          <w:sz w:val="24"/>
          <w:szCs w:val="24"/>
          <w:lang w:eastAsia="lv-LV"/>
        </w:rPr>
        <w:t>27.1.6. Projekta iesniedzējs nevar pretendēt uz finansējum</w:t>
      </w:r>
      <w:r w:rsidR="001671FB" w:rsidRPr="00C23B90">
        <w:rPr>
          <w:rFonts w:eastAsia="Times New Roman" w:cs="Times New Roman"/>
          <w:sz w:val="24"/>
          <w:szCs w:val="24"/>
          <w:lang w:eastAsia="lv-LV"/>
        </w:rPr>
        <w:t xml:space="preserve"> un</w:t>
      </w:r>
      <w:r w:rsidRPr="00C23B90">
        <w:rPr>
          <w:rFonts w:eastAsia="Times New Roman" w:cs="Times New Roman"/>
          <w:sz w:val="24"/>
          <w:szCs w:val="24"/>
          <w:lang w:eastAsia="lv-LV"/>
        </w:rPr>
        <w:t xml:space="preserve">, ja tas atbilst grūtībās nonākuša komersanta statusam un uz to attiecas vismaz viena </w:t>
      </w:r>
      <w:r w:rsidR="001671FB" w:rsidRPr="00C23B90">
        <w:rPr>
          <w:rFonts w:eastAsia="Times New Roman" w:cs="Times New Roman"/>
          <w:sz w:val="24"/>
          <w:szCs w:val="24"/>
          <w:lang w:eastAsia="lv-LV"/>
        </w:rPr>
        <w:t>Regulas</w:t>
      </w:r>
      <w:r w:rsidRPr="00C23B90">
        <w:rPr>
          <w:rFonts w:eastAsia="Times New Roman" w:cs="Times New Roman"/>
          <w:sz w:val="24"/>
          <w:szCs w:val="24"/>
          <w:lang w:eastAsia="lv-LV"/>
        </w:rPr>
        <w:t xml:space="preserve"> Nr. </w:t>
      </w:r>
      <w:hyperlink r:id="rId15" w:tgtFrame="_blank" w:history="1">
        <w:r w:rsidRPr="00C23B90">
          <w:rPr>
            <w:rFonts w:eastAsia="Times New Roman" w:cs="Times New Roman"/>
            <w:sz w:val="24"/>
            <w:szCs w:val="24"/>
            <w:lang w:eastAsia="lv-LV"/>
          </w:rPr>
          <w:t>651/2014</w:t>
        </w:r>
      </w:hyperlink>
      <w:r w:rsidR="001671FB" w:rsidRPr="00C23B90">
        <w:rPr>
          <w:rFonts w:eastAsia="Times New Roman" w:cs="Times New Roman"/>
          <w:sz w:val="24"/>
          <w:szCs w:val="24"/>
          <w:lang w:eastAsia="lv-LV"/>
        </w:rPr>
        <w:t xml:space="preserve"> 2.panta 18.punktā minētā pazīme</w:t>
      </w:r>
      <w:r w:rsidR="001671FB" w:rsidRPr="00C23B90">
        <w:rPr>
          <w:rFonts w:eastAsia="Times New Roman" w:cs="Times New Roman"/>
          <w:color w:val="414142"/>
          <w:sz w:val="24"/>
          <w:szCs w:val="24"/>
          <w:lang w:eastAsia="lv-LV"/>
        </w:rPr>
        <w:t>.</w:t>
      </w:r>
    </w:p>
    <w:p w14:paraId="0CFB951F" w14:textId="2F8F7686" w:rsidR="00511A05" w:rsidRPr="00C23B90" w:rsidRDefault="00DF52FA" w:rsidP="00ED6126">
      <w:pPr>
        <w:spacing w:before="120" w:after="120"/>
        <w:jc w:val="both"/>
        <w:rPr>
          <w:rFonts w:cs="Times New Roman"/>
          <w:color w:val="000000" w:themeColor="text1"/>
          <w:sz w:val="24"/>
          <w:szCs w:val="24"/>
        </w:rPr>
      </w:pPr>
      <w:r w:rsidRPr="00C23B90">
        <w:rPr>
          <w:rFonts w:eastAsia="Calibri" w:cs="Times New Roman"/>
          <w:sz w:val="24"/>
          <w:szCs w:val="24"/>
          <w:lang w:eastAsia="lv-LV"/>
        </w:rPr>
        <w:t xml:space="preserve">27.2. </w:t>
      </w:r>
      <w:r w:rsidR="006F1A01" w:rsidRPr="00C23B90">
        <w:rPr>
          <w:rFonts w:eastAsia="Calibri" w:cs="Times New Roman"/>
          <w:sz w:val="24"/>
          <w:szCs w:val="24"/>
          <w:lang w:eastAsia="lv-LV"/>
        </w:rPr>
        <w:t>Š</w:t>
      </w:r>
      <w:r w:rsidR="00FC1DD1" w:rsidRPr="00C23B90">
        <w:rPr>
          <w:rFonts w:eastAsia="Calibri" w:cs="Times New Roman"/>
          <w:sz w:val="24"/>
          <w:szCs w:val="24"/>
          <w:lang w:eastAsia="lv-LV"/>
        </w:rPr>
        <w:t xml:space="preserve">o noteikumu 17. punktā minētās izmaksas ir attiecināmas </w:t>
      </w:r>
      <w:r w:rsidR="00B33357" w:rsidRPr="00C23B90">
        <w:rPr>
          <w:rFonts w:eastAsia="Calibri" w:cs="Times New Roman"/>
          <w:sz w:val="24"/>
          <w:szCs w:val="24"/>
          <w:lang w:eastAsia="lv-LV"/>
        </w:rPr>
        <w:t>un</w:t>
      </w:r>
      <w:r w:rsidR="00627421" w:rsidRPr="00C23B90">
        <w:rPr>
          <w:rFonts w:eastAsia="Calibri" w:cs="Times New Roman"/>
          <w:sz w:val="24"/>
          <w:szCs w:val="24"/>
          <w:lang w:eastAsia="lv-LV"/>
        </w:rPr>
        <w:t xml:space="preserve"> </w:t>
      </w:r>
      <w:r w:rsidR="00627421" w:rsidRPr="00C23B90">
        <w:rPr>
          <w:rFonts w:cs="Times New Roman"/>
          <w:sz w:val="24"/>
          <w:szCs w:val="24"/>
        </w:rPr>
        <w:t xml:space="preserve">pasākuma ietvaros darbu pie projekta var uzsākt pēc sadarbības </w:t>
      </w:r>
      <w:bookmarkStart w:id="0" w:name="_GoBack"/>
      <w:bookmarkEnd w:id="0"/>
      <w:r w:rsidR="00627421" w:rsidRPr="00C23B90">
        <w:rPr>
          <w:rFonts w:cs="Times New Roman"/>
          <w:sz w:val="24"/>
          <w:szCs w:val="24"/>
        </w:rPr>
        <w:t xml:space="preserve">iestādes un citu iestāžu lēmumu pieņemšanas par publiskā finansējuma piešķiršanu, tai skaitā snieguma rezerves </w:t>
      </w:r>
      <w:proofErr w:type="spellStart"/>
      <w:r w:rsidR="00627421" w:rsidRPr="00C23B90">
        <w:rPr>
          <w:rFonts w:cs="Times New Roman"/>
          <w:sz w:val="24"/>
          <w:szCs w:val="24"/>
        </w:rPr>
        <w:t>priekšfinansēšanu</w:t>
      </w:r>
      <w:proofErr w:type="spellEnd"/>
      <w:r w:rsidR="00627421" w:rsidRPr="00C23B90">
        <w:rPr>
          <w:rFonts w:cs="Times New Roman"/>
          <w:sz w:val="24"/>
          <w:szCs w:val="24"/>
        </w:rPr>
        <w:t>. Šo noteikumu izpratnē par darbu sākumu ir uzskatāmas darbības</w:t>
      </w:r>
      <w:r w:rsidR="00627421" w:rsidRPr="00C23B90">
        <w:rPr>
          <w:rFonts w:cs="Times New Roman"/>
          <w:color w:val="000000" w:themeColor="text1"/>
          <w:sz w:val="24"/>
          <w:szCs w:val="24"/>
        </w:rPr>
        <w:t>, kas atbilst</w:t>
      </w:r>
      <w:r w:rsidR="001B02CC" w:rsidRPr="00C23B90">
        <w:rPr>
          <w:rFonts w:cs="Times New Roman"/>
          <w:color w:val="000000" w:themeColor="text1"/>
          <w:sz w:val="24"/>
          <w:szCs w:val="24"/>
        </w:rPr>
        <w:t xml:space="preserve"> Regula</w:t>
      </w:r>
      <w:r w:rsidR="00ED6126" w:rsidRPr="00C23B90">
        <w:rPr>
          <w:rFonts w:cs="Times New Roman"/>
          <w:color w:val="000000" w:themeColor="text1"/>
          <w:sz w:val="24"/>
          <w:szCs w:val="24"/>
        </w:rPr>
        <w:t>s Nr. 651/2014</w:t>
      </w:r>
      <w:r w:rsidR="001B02CC" w:rsidRPr="00C23B90">
        <w:rPr>
          <w:rFonts w:cs="Times New Roman"/>
          <w:color w:val="000000" w:themeColor="text1"/>
          <w:sz w:val="24"/>
          <w:szCs w:val="24"/>
        </w:rPr>
        <w:t xml:space="preserve">  2. panta 23.apakšpunkta nosacījumiem</w:t>
      </w:r>
      <w:r w:rsidR="006F1A01" w:rsidRPr="00C23B90">
        <w:rPr>
          <w:rFonts w:cs="Times New Roman"/>
          <w:color w:val="000000" w:themeColor="text1"/>
          <w:sz w:val="24"/>
          <w:szCs w:val="24"/>
        </w:rPr>
        <w:t>.</w:t>
      </w:r>
      <w:r w:rsidR="00F2005C" w:rsidRPr="00C23B90">
        <w:rPr>
          <w:rFonts w:cs="Times New Roman"/>
          <w:color w:val="000000" w:themeColor="text1"/>
          <w:sz w:val="24"/>
          <w:szCs w:val="24"/>
        </w:rPr>
        <w:t xml:space="preserve">” </w:t>
      </w:r>
    </w:p>
    <w:p w14:paraId="5CD22B65" w14:textId="3339680C" w:rsidR="00FF07B0" w:rsidRPr="00C23B90" w:rsidRDefault="006361C8" w:rsidP="00733324">
      <w:pPr>
        <w:pStyle w:val="ListParagraph"/>
        <w:numPr>
          <w:ilvl w:val="0"/>
          <w:numId w:val="35"/>
        </w:numPr>
        <w:spacing w:after="160" w:line="256" w:lineRule="auto"/>
        <w:jc w:val="both"/>
        <w:rPr>
          <w:rFonts w:eastAsia="Calibri" w:cs="Times New Roman"/>
          <w:sz w:val="24"/>
          <w:szCs w:val="24"/>
          <w:lang w:eastAsia="lv-LV"/>
        </w:rPr>
      </w:pPr>
      <w:r w:rsidRPr="00C23B90">
        <w:rPr>
          <w:rFonts w:eastAsia="Calibri" w:cs="Times New Roman"/>
          <w:sz w:val="24"/>
          <w:szCs w:val="24"/>
          <w:lang w:eastAsia="lv-LV"/>
        </w:rPr>
        <w:t>Papildināt noteikumus ar 28.4</w:t>
      </w:r>
      <w:r w:rsidR="00FF07B0" w:rsidRPr="00C23B90">
        <w:rPr>
          <w:rFonts w:eastAsia="Calibri" w:cs="Times New Roman"/>
          <w:sz w:val="24"/>
          <w:szCs w:val="24"/>
          <w:lang w:eastAsia="lv-LV"/>
        </w:rPr>
        <w:t>. punktu šādā redakcijā:</w:t>
      </w:r>
    </w:p>
    <w:p w14:paraId="7832FF00" w14:textId="6F0AB8E8" w:rsidR="00FF07B0" w:rsidRPr="00C23B90" w:rsidRDefault="00FF07B0" w:rsidP="005C0473">
      <w:pPr>
        <w:spacing w:after="160" w:line="256" w:lineRule="auto"/>
        <w:jc w:val="both"/>
        <w:rPr>
          <w:rFonts w:cs="Times New Roman"/>
          <w:sz w:val="24"/>
          <w:szCs w:val="24"/>
        </w:rPr>
      </w:pPr>
      <w:r w:rsidRPr="00C23B90">
        <w:rPr>
          <w:rFonts w:eastAsia="Calibri" w:cs="Times New Roman"/>
          <w:sz w:val="24"/>
          <w:szCs w:val="24"/>
          <w:lang w:eastAsia="lv-LV"/>
        </w:rPr>
        <w:t>“</w:t>
      </w:r>
      <w:r w:rsidR="006361C8" w:rsidRPr="00C23B90">
        <w:rPr>
          <w:rFonts w:eastAsia="Calibri" w:cs="Times New Roman"/>
          <w:sz w:val="24"/>
          <w:szCs w:val="24"/>
          <w:lang w:eastAsia="lv-LV"/>
        </w:rPr>
        <w:t xml:space="preserve"> 28.4.</w:t>
      </w:r>
      <w:r w:rsidRPr="00C23B90">
        <w:rPr>
          <w:rFonts w:eastAsia="Calibri" w:cs="Times New Roman"/>
          <w:sz w:val="24"/>
          <w:szCs w:val="24"/>
          <w:lang w:eastAsia="lv-LV"/>
        </w:rPr>
        <w:t xml:space="preserve"> </w:t>
      </w:r>
      <w:r w:rsidR="00BC221D" w:rsidRPr="00C23B90">
        <w:rPr>
          <w:rFonts w:cs="Times New Roman"/>
          <w:sz w:val="24"/>
          <w:szCs w:val="24"/>
        </w:rPr>
        <w:t xml:space="preserve">Izmaksas, kuras attiecas uz ar transportu nesaistītām darbībām, tostarp rūpnieciskās ražošanas iekārtām, kas darbojas ostā, birojiem vai veikaliem, kā arī ostas būvēm un aprīkojumu, nav attiecināmas izmaksas.” </w:t>
      </w:r>
    </w:p>
    <w:p w14:paraId="4184B042" w14:textId="2C81396E" w:rsidR="00BC221D" w:rsidRPr="00C23B90" w:rsidRDefault="006361C8" w:rsidP="006361C8">
      <w:pPr>
        <w:pStyle w:val="ListParagraph"/>
        <w:numPr>
          <w:ilvl w:val="0"/>
          <w:numId w:val="35"/>
        </w:numPr>
        <w:spacing w:after="160" w:line="256" w:lineRule="auto"/>
        <w:jc w:val="both"/>
        <w:rPr>
          <w:rFonts w:cs="Times New Roman"/>
          <w:sz w:val="24"/>
          <w:szCs w:val="24"/>
        </w:rPr>
      </w:pPr>
      <w:r w:rsidRPr="00C23B90">
        <w:rPr>
          <w:rFonts w:eastAsia="Calibri" w:cs="Times New Roman"/>
          <w:sz w:val="24"/>
          <w:szCs w:val="24"/>
          <w:lang w:eastAsia="lv-LV"/>
        </w:rPr>
        <w:t>Papildināt noteikumus ar 29.11. punktu šādā redakcijā:</w:t>
      </w:r>
    </w:p>
    <w:p w14:paraId="7484EA21" w14:textId="5DBF7E8A" w:rsidR="006361C8" w:rsidRPr="00C23B90" w:rsidRDefault="005C0473" w:rsidP="00C51EDD">
      <w:pPr>
        <w:spacing w:after="160" w:line="256" w:lineRule="auto"/>
        <w:jc w:val="both"/>
        <w:rPr>
          <w:rFonts w:cs="Times New Roman"/>
          <w:sz w:val="24"/>
          <w:szCs w:val="24"/>
        </w:rPr>
      </w:pPr>
      <w:r w:rsidRPr="00C23B90">
        <w:rPr>
          <w:rFonts w:cs="Times New Roman"/>
          <w:sz w:val="24"/>
          <w:szCs w:val="24"/>
        </w:rPr>
        <w:t>“</w:t>
      </w:r>
      <w:r w:rsidR="006361C8" w:rsidRPr="00C23B90">
        <w:rPr>
          <w:rFonts w:cs="Times New Roman"/>
          <w:sz w:val="24"/>
          <w:szCs w:val="24"/>
        </w:rPr>
        <w:t xml:space="preserve">29.11. </w:t>
      </w:r>
      <w:r w:rsidR="00C51EDD" w:rsidRPr="00C23B90">
        <w:rPr>
          <w:rFonts w:cs="Times New Roman"/>
          <w:sz w:val="24"/>
          <w:szCs w:val="24"/>
        </w:rPr>
        <w:t xml:space="preserve">uztur detalizētu dokumentāciju ar informāciju un apliecinošajiem dokumentiem, kas nepieciešami, lai noteiktu, ka ir izpildīti Regulas Nr. 651/2014 12.pantā paredzētie nosacījumi. Šo dokumentāciju glabā 10 gadus, sākot no dienas, kad ir piešķirts </w:t>
      </w:r>
      <w:proofErr w:type="spellStart"/>
      <w:r w:rsidR="00C51EDD" w:rsidRPr="00C23B90">
        <w:rPr>
          <w:rFonts w:cs="Times New Roman"/>
          <w:i/>
          <w:iCs/>
          <w:sz w:val="24"/>
          <w:szCs w:val="24"/>
        </w:rPr>
        <w:t>ad</w:t>
      </w:r>
      <w:proofErr w:type="spellEnd"/>
      <w:r w:rsidR="00C51EDD" w:rsidRPr="00C23B90">
        <w:rPr>
          <w:rFonts w:cs="Times New Roman"/>
          <w:i/>
          <w:iCs/>
          <w:sz w:val="24"/>
          <w:szCs w:val="24"/>
        </w:rPr>
        <w:t xml:space="preserve"> </w:t>
      </w:r>
      <w:proofErr w:type="spellStart"/>
      <w:r w:rsidR="00C51EDD" w:rsidRPr="00C23B90">
        <w:rPr>
          <w:rFonts w:cs="Times New Roman"/>
          <w:i/>
          <w:iCs/>
          <w:sz w:val="24"/>
          <w:szCs w:val="24"/>
        </w:rPr>
        <w:t>hoc</w:t>
      </w:r>
      <w:proofErr w:type="spellEnd"/>
      <w:r w:rsidR="00C51EDD" w:rsidRPr="00C23B90">
        <w:rPr>
          <w:rFonts w:cs="Times New Roman"/>
          <w:i/>
          <w:iCs/>
          <w:sz w:val="24"/>
          <w:szCs w:val="24"/>
        </w:rPr>
        <w:t xml:space="preserve"> </w:t>
      </w:r>
      <w:r w:rsidR="00C51EDD" w:rsidRPr="00C23B90">
        <w:rPr>
          <w:rFonts w:cs="Times New Roman"/>
          <w:sz w:val="24"/>
          <w:szCs w:val="24"/>
        </w:rPr>
        <w:t>atbalsts vai kad ir piešķirts pēdējais atbalsts saskaņā ar shēmu.”</w:t>
      </w:r>
    </w:p>
    <w:p w14:paraId="22BE2AF0" w14:textId="17963B63" w:rsidR="00C51EDD" w:rsidRPr="00C23B90" w:rsidRDefault="00C51EDD" w:rsidP="008E0B0B">
      <w:pPr>
        <w:pStyle w:val="ListParagraph"/>
        <w:numPr>
          <w:ilvl w:val="0"/>
          <w:numId w:val="35"/>
        </w:numPr>
        <w:spacing w:after="160" w:line="256" w:lineRule="auto"/>
        <w:jc w:val="both"/>
        <w:rPr>
          <w:rFonts w:cs="Times New Roman"/>
          <w:sz w:val="24"/>
          <w:szCs w:val="24"/>
        </w:rPr>
      </w:pPr>
      <w:r w:rsidRPr="00C23B90">
        <w:rPr>
          <w:rFonts w:eastAsia="Calibri" w:cs="Times New Roman"/>
          <w:sz w:val="24"/>
          <w:szCs w:val="24"/>
          <w:lang w:eastAsia="lv-LV"/>
        </w:rPr>
        <w:t xml:space="preserve">Papildināt noteikumus ar </w:t>
      </w:r>
      <w:r w:rsidR="005C0473" w:rsidRPr="00C23B90">
        <w:rPr>
          <w:rFonts w:eastAsia="Calibri" w:cs="Times New Roman"/>
          <w:sz w:val="24"/>
          <w:szCs w:val="24"/>
          <w:lang w:eastAsia="lv-LV"/>
        </w:rPr>
        <w:t>29.12</w:t>
      </w:r>
      <w:r w:rsidRPr="00C23B90">
        <w:rPr>
          <w:rFonts w:eastAsia="Calibri" w:cs="Times New Roman"/>
          <w:sz w:val="24"/>
          <w:szCs w:val="24"/>
          <w:lang w:eastAsia="lv-LV"/>
        </w:rPr>
        <w:t>. punktu šādā redakcijā:</w:t>
      </w:r>
    </w:p>
    <w:p w14:paraId="5D7E2244" w14:textId="3821DF13" w:rsidR="008E0B0B" w:rsidRPr="00C23B90" w:rsidRDefault="005C0473" w:rsidP="00127D47">
      <w:pPr>
        <w:spacing w:after="160" w:line="256" w:lineRule="auto"/>
        <w:jc w:val="both"/>
        <w:rPr>
          <w:rFonts w:cs="Times New Roman"/>
          <w:sz w:val="24"/>
          <w:szCs w:val="24"/>
        </w:rPr>
      </w:pPr>
      <w:r w:rsidRPr="00C23B90">
        <w:rPr>
          <w:rFonts w:cs="Times New Roman"/>
          <w:sz w:val="24"/>
          <w:szCs w:val="24"/>
        </w:rPr>
        <w:t>“ 29.12</w:t>
      </w:r>
      <w:r w:rsidR="00C51EDD" w:rsidRPr="00C23B90">
        <w:rPr>
          <w:rFonts w:cs="Times New Roman"/>
          <w:sz w:val="24"/>
          <w:szCs w:val="24"/>
        </w:rPr>
        <w:t xml:space="preserve">. </w:t>
      </w:r>
      <w:r w:rsidR="00BC2AAA" w:rsidRPr="00C23B90">
        <w:rPr>
          <w:rFonts w:cs="Times New Roman"/>
          <w:sz w:val="24"/>
          <w:szCs w:val="24"/>
        </w:rPr>
        <w:t>Sadarbīb</w:t>
      </w:r>
      <w:r w:rsidR="0093782C" w:rsidRPr="00C23B90">
        <w:rPr>
          <w:rFonts w:cs="Times New Roman"/>
          <w:sz w:val="24"/>
          <w:szCs w:val="24"/>
        </w:rPr>
        <w:t>as iestāde nodrošina</w:t>
      </w:r>
      <w:r w:rsidR="008E0B0B" w:rsidRPr="00C23B90">
        <w:rPr>
          <w:rFonts w:cs="Times New Roman"/>
          <w:sz w:val="24"/>
          <w:szCs w:val="24"/>
        </w:rPr>
        <w:t xml:space="preserve"> komercdarbības atbalsta </w:t>
      </w:r>
      <w:r w:rsidR="002C56EC" w:rsidRPr="00C23B90">
        <w:rPr>
          <w:rFonts w:cs="Times New Roman"/>
          <w:sz w:val="24"/>
          <w:szCs w:val="24"/>
        </w:rPr>
        <w:t xml:space="preserve">atbilstību Regulas </w:t>
      </w:r>
      <w:r w:rsidR="00C63500" w:rsidRPr="00C23B90">
        <w:rPr>
          <w:rFonts w:cs="Times New Roman"/>
          <w:color w:val="000000" w:themeColor="text1"/>
          <w:sz w:val="24"/>
          <w:szCs w:val="24"/>
        </w:rPr>
        <w:t xml:space="preserve">Nr. 651/2014 </w:t>
      </w:r>
      <w:r w:rsidR="00C63500" w:rsidRPr="00C23B90">
        <w:rPr>
          <w:rFonts w:cs="Times New Roman"/>
          <w:sz w:val="24"/>
          <w:szCs w:val="24"/>
        </w:rPr>
        <w:t xml:space="preserve">56b.panta nosacījumiem, ievērojot Regulas </w:t>
      </w:r>
      <w:r w:rsidR="00C63500" w:rsidRPr="00C23B90">
        <w:rPr>
          <w:rFonts w:cs="Times New Roman"/>
          <w:color w:val="000000" w:themeColor="text1"/>
          <w:sz w:val="24"/>
          <w:szCs w:val="24"/>
        </w:rPr>
        <w:t>Nr. 651/2014</w:t>
      </w:r>
      <w:r w:rsidR="00C63500" w:rsidRPr="00C23B90">
        <w:rPr>
          <w:rFonts w:cs="Times New Roman"/>
          <w:sz w:val="24"/>
          <w:szCs w:val="24"/>
        </w:rPr>
        <w:t xml:space="preserve"> I nodaļas un 12.panta prasības. </w:t>
      </w:r>
      <w:r w:rsidR="004F21F7" w:rsidRPr="00C23B90">
        <w:rPr>
          <w:rFonts w:cs="Times New Roman"/>
          <w:sz w:val="24"/>
          <w:szCs w:val="24"/>
        </w:rPr>
        <w:t xml:space="preserve"> </w:t>
      </w:r>
    </w:p>
    <w:p w14:paraId="1F4A2D14" w14:textId="642AB999" w:rsidR="0091371D" w:rsidRPr="00C23B90" w:rsidRDefault="0091371D" w:rsidP="004F21F7">
      <w:pPr>
        <w:spacing w:after="0"/>
        <w:jc w:val="both"/>
        <w:rPr>
          <w:rFonts w:cs="Times New Roman"/>
          <w:sz w:val="24"/>
          <w:szCs w:val="24"/>
        </w:rPr>
      </w:pPr>
    </w:p>
    <w:p w14:paraId="7BC55EFA" w14:textId="2B0151EA" w:rsidR="00C562AC" w:rsidRPr="00C23B90" w:rsidRDefault="00C562AC" w:rsidP="00D822AC">
      <w:pPr>
        <w:tabs>
          <w:tab w:val="left" w:pos="6237"/>
          <w:tab w:val="left" w:pos="6663"/>
        </w:tabs>
        <w:spacing w:after="0"/>
        <w:rPr>
          <w:rFonts w:cs="Times New Roman"/>
          <w:sz w:val="24"/>
          <w:szCs w:val="24"/>
        </w:rPr>
      </w:pPr>
    </w:p>
    <w:p w14:paraId="39DC9087" w14:textId="09C45C93" w:rsidR="00AC11C3" w:rsidRPr="00C23B90" w:rsidRDefault="00AC11C3" w:rsidP="003329D4">
      <w:pPr>
        <w:tabs>
          <w:tab w:val="left" w:pos="6237"/>
          <w:tab w:val="left" w:pos="6663"/>
        </w:tabs>
        <w:spacing w:after="0"/>
        <w:ind w:firstLine="709"/>
        <w:rPr>
          <w:rFonts w:cs="Times New Roman"/>
          <w:sz w:val="24"/>
          <w:szCs w:val="24"/>
        </w:rPr>
      </w:pPr>
      <w:r w:rsidRPr="00C23B90">
        <w:rPr>
          <w:rFonts w:cs="Times New Roman"/>
          <w:sz w:val="24"/>
          <w:szCs w:val="24"/>
        </w:rPr>
        <w:t>Ministru prezidents</w:t>
      </w:r>
      <w:r w:rsidRPr="00C23B90">
        <w:rPr>
          <w:rFonts w:cs="Times New Roman"/>
          <w:sz w:val="24"/>
          <w:szCs w:val="24"/>
        </w:rPr>
        <w:tab/>
      </w:r>
      <w:proofErr w:type="spellStart"/>
      <w:r w:rsidR="007B607C" w:rsidRPr="00C23B90">
        <w:rPr>
          <w:rFonts w:cs="Times New Roman"/>
          <w:sz w:val="24"/>
          <w:szCs w:val="24"/>
        </w:rPr>
        <w:t>M.</w:t>
      </w:r>
      <w:r w:rsidRPr="00C23B90">
        <w:rPr>
          <w:rFonts w:cs="Times New Roman"/>
          <w:sz w:val="24"/>
          <w:szCs w:val="24"/>
        </w:rPr>
        <w:t>Kučinskis</w:t>
      </w:r>
      <w:proofErr w:type="spellEnd"/>
    </w:p>
    <w:p w14:paraId="5DA16734" w14:textId="77777777" w:rsidR="00AC11C3" w:rsidRPr="00C23B90" w:rsidRDefault="00AC11C3" w:rsidP="003329D4">
      <w:pPr>
        <w:tabs>
          <w:tab w:val="left" w:pos="4678"/>
        </w:tabs>
        <w:spacing w:after="0"/>
        <w:ind w:firstLine="709"/>
        <w:rPr>
          <w:rFonts w:cs="Times New Roman"/>
          <w:sz w:val="24"/>
          <w:szCs w:val="24"/>
        </w:rPr>
      </w:pPr>
    </w:p>
    <w:p w14:paraId="0BF11A9E" w14:textId="77777777" w:rsidR="001353AB" w:rsidRPr="00C23B90" w:rsidRDefault="001353AB" w:rsidP="003329D4">
      <w:pPr>
        <w:tabs>
          <w:tab w:val="left" w:pos="4678"/>
        </w:tabs>
        <w:spacing w:after="0"/>
        <w:ind w:firstLine="709"/>
        <w:rPr>
          <w:rFonts w:cs="Times New Roman"/>
          <w:sz w:val="24"/>
          <w:szCs w:val="24"/>
        </w:rPr>
      </w:pPr>
    </w:p>
    <w:p w14:paraId="65A87A4C" w14:textId="61D42C74" w:rsidR="00AC11C3" w:rsidRPr="00C23B90" w:rsidRDefault="00AC11C3" w:rsidP="003329D4">
      <w:pPr>
        <w:tabs>
          <w:tab w:val="left" w:pos="2552"/>
          <w:tab w:val="left" w:pos="2694"/>
          <w:tab w:val="left" w:pos="6237"/>
        </w:tabs>
        <w:spacing w:after="0"/>
        <w:ind w:firstLine="709"/>
        <w:rPr>
          <w:rFonts w:cs="Times New Roman"/>
          <w:sz w:val="24"/>
          <w:szCs w:val="24"/>
        </w:rPr>
      </w:pPr>
      <w:r w:rsidRPr="00C23B90">
        <w:rPr>
          <w:rFonts w:cs="Times New Roman"/>
          <w:sz w:val="24"/>
          <w:szCs w:val="24"/>
        </w:rPr>
        <w:t>Satiksmes ministrs</w:t>
      </w:r>
      <w:r w:rsidR="00FD55AC" w:rsidRPr="00C23B90">
        <w:rPr>
          <w:rFonts w:cs="Times New Roman"/>
          <w:sz w:val="24"/>
          <w:szCs w:val="24"/>
        </w:rPr>
        <w:tab/>
      </w:r>
      <w:r w:rsidR="00FD55AC" w:rsidRPr="00C23B90">
        <w:rPr>
          <w:rFonts w:cs="Times New Roman"/>
          <w:sz w:val="24"/>
          <w:szCs w:val="24"/>
        </w:rPr>
        <w:tab/>
      </w:r>
      <w:r w:rsidRPr="00C23B90">
        <w:rPr>
          <w:rFonts w:cs="Times New Roman"/>
          <w:sz w:val="24"/>
          <w:szCs w:val="24"/>
        </w:rPr>
        <w:tab/>
      </w:r>
      <w:proofErr w:type="spellStart"/>
      <w:r w:rsidR="007B607C" w:rsidRPr="00C23B90">
        <w:rPr>
          <w:rFonts w:cs="Times New Roman"/>
          <w:sz w:val="24"/>
          <w:szCs w:val="24"/>
        </w:rPr>
        <w:t>U.</w:t>
      </w:r>
      <w:r w:rsidRPr="00C23B90">
        <w:rPr>
          <w:rFonts w:cs="Times New Roman"/>
          <w:sz w:val="24"/>
          <w:szCs w:val="24"/>
        </w:rPr>
        <w:t>Augulis</w:t>
      </w:r>
      <w:proofErr w:type="spellEnd"/>
    </w:p>
    <w:p w14:paraId="0B68ADA6" w14:textId="77777777" w:rsidR="00780A5B" w:rsidRPr="00C23B90" w:rsidRDefault="00780A5B" w:rsidP="00780A5B">
      <w:pPr>
        <w:tabs>
          <w:tab w:val="left" w:pos="993"/>
        </w:tabs>
        <w:spacing w:after="0"/>
        <w:ind w:firstLine="709"/>
        <w:jc w:val="both"/>
        <w:rPr>
          <w:rFonts w:cs="Times New Roman"/>
          <w:bCs/>
          <w:sz w:val="24"/>
          <w:szCs w:val="24"/>
        </w:rPr>
      </w:pPr>
    </w:p>
    <w:p w14:paraId="7B3DFA15" w14:textId="77777777" w:rsidR="007B607C" w:rsidRPr="00C23B90" w:rsidRDefault="007B607C" w:rsidP="00780A5B">
      <w:pPr>
        <w:tabs>
          <w:tab w:val="left" w:pos="993"/>
        </w:tabs>
        <w:spacing w:after="0"/>
        <w:ind w:firstLine="709"/>
        <w:jc w:val="both"/>
        <w:rPr>
          <w:rFonts w:cs="Times New Roman"/>
          <w:bCs/>
          <w:sz w:val="24"/>
          <w:szCs w:val="24"/>
        </w:rPr>
      </w:pPr>
    </w:p>
    <w:p w14:paraId="3C05D4A8" w14:textId="584BE8B8" w:rsidR="007B607C" w:rsidRPr="00C23B90" w:rsidRDefault="007B607C" w:rsidP="007B607C">
      <w:pPr>
        <w:tabs>
          <w:tab w:val="left" w:pos="6237"/>
          <w:tab w:val="left" w:pos="6663"/>
        </w:tabs>
        <w:spacing w:after="0"/>
        <w:ind w:firstLine="709"/>
        <w:rPr>
          <w:rFonts w:cs="Times New Roman"/>
          <w:sz w:val="24"/>
          <w:szCs w:val="24"/>
        </w:rPr>
      </w:pPr>
      <w:r w:rsidRPr="00C23B90">
        <w:rPr>
          <w:rFonts w:cs="Times New Roman"/>
          <w:sz w:val="24"/>
          <w:szCs w:val="24"/>
        </w:rPr>
        <w:t>Iesniedzējs: Satiksmes ministrs</w:t>
      </w:r>
      <w:r w:rsidRPr="00C23B90">
        <w:rPr>
          <w:rFonts w:cs="Times New Roman"/>
          <w:sz w:val="24"/>
          <w:szCs w:val="24"/>
        </w:rPr>
        <w:tab/>
      </w:r>
      <w:proofErr w:type="spellStart"/>
      <w:r w:rsidRPr="00C23B90">
        <w:rPr>
          <w:rFonts w:cs="Times New Roman"/>
          <w:sz w:val="24"/>
          <w:szCs w:val="24"/>
        </w:rPr>
        <w:t>U.Augulis</w:t>
      </w:r>
      <w:proofErr w:type="spellEnd"/>
    </w:p>
    <w:p w14:paraId="1D475057" w14:textId="77777777" w:rsidR="007B607C" w:rsidRPr="00C23B90" w:rsidRDefault="007B607C" w:rsidP="007B607C">
      <w:pPr>
        <w:tabs>
          <w:tab w:val="left" w:pos="6237"/>
          <w:tab w:val="left" w:pos="6663"/>
        </w:tabs>
        <w:spacing w:after="0"/>
        <w:ind w:firstLine="709"/>
        <w:rPr>
          <w:rFonts w:cs="Times New Roman"/>
          <w:sz w:val="24"/>
          <w:szCs w:val="24"/>
        </w:rPr>
      </w:pPr>
    </w:p>
    <w:p w14:paraId="3B96DD97" w14:textId="77777777" w:rsidR="001353AB" w:rsidRPr="00C23B90" w:rsidRDefault="001353AB" w:rsidP="007B607C">
      <w:pPr>
        <w:tabs>
          <w:tab w:val="left" w:pos="6237"/>
          <w:tab w:val="left" w:pos="6663"/>
        </w:tabs>
        <w:spacing w:after="0"/>
        <w:ind w:firstLine="709"/>
        <w:rPr>
          <w:rFonts w:cs="Times New Roman"/>
          <w:sz w:val="24"/>
          <w:szCs w:val="24"/>
        </w:rPr>
      </w:pPr>
    </w:p>
    <w:p w14:paraId="49DA6C55" w14:textId="0BBE083D" w:rsidR="00780A5B" w:rsidRPr="00C23B90" w:rsidRDefault="007A6CB6" w:rsidP="007B607C">
      <w:pPr>
        <w:tabs>
          <w:tab w:val="left" w:pos="6237"/>
          <w:tab w:val="left" w:pos="6663"/>
        </w:tabs>
        <w:spacing w:after="0"/>
        <w:ind w:firstLine="709"/>
        <w:rPr>
          <w:rFonts w:cs="Times New Roman"/>
          <w:sz w:val="24"/>
          <w:szCs w:val="24"/>
        </w:rPr>
      </w:pPr>
      <w:r w:rsidRPr="00C23B90">
        <w:rPr>
          <w:rFonts w:cs="Times New Roman"/>
          <w:sz w:val="24"/>
          <w:szCs w:val="24"/>
        </w:rPr>
        <w:t>Vīza: Valsts sekretārs</w:t>
      </w:r>
      <w:r w:rsidR="007B607C" w:rsidRPr="00C23B90">
        <w:rPr>
          <w:rFonts w:cs="Times New Roman"/>
          <w:sz w:val="24"/>
          <w:szCs w:val="24"/>
        </w:rPr>
        <w:tab/>
      </w:r>
      <w:r w:rsidRPr="00C23B90">
        <w:rPr>
          <w:rFonts w:cs="Times New Roman"/>
          <w:sz w:val="24"/>
          <w:szCs w:val="24"/>
        </w:rPr>
        <w:t>K.Ozoliņš</w:t>
      </w:r>
    </w:p>
    <w:p w14:paraId="0BB84960" w14:textId="77777777" w:rsidR="007A6CB6" w:rsidRPr="00C23B90" w:rsidRDefault="007A6CB6" w:rsidP="007B607C">
      <w:pPr>
        <w:tabs>
          <w:tab w:val="left" w:pos="6237"/>
          <w:tab w:val="left" w:pos="6663"/>
        </w:tabs>
        <w:spacing w:after="0"/>
        <w:ind w:firstLine="709"/>
        <w:rPr>
          <w:rFonts w:cs="Times New Roman"/>
          <w:sz w:val="24"/>
          <w:szCs w:val="24"/>
        </w:rPr>
      </w:pPr>
    </w:p>
    <w:p w14:paraId="7BB01973" w14:textId="77777777" w:rsidR="0091371D" w:rsidRPr="00C23B90" w:rsidRDefault="0091371D" w:rsidP="0091371D">
      <w:pPr>
        <w:tabs>
          <w:tab w:val="left" w:pos="993"/>
        </w:tabs>
        <w:spacing w:after="0"/>
        <w:jc w:val="both"/>
        <w:rPr>
          <w:rFonts w:cs="Times New Roman"/>
          <w:bCs/>
          <w:sz w:val="24"/>
          <w:szCs w:val="24"/>
        </w:rPr>
      </w:pPr>
    </w:p>
    <w:p w14:paraId="2DCD5208" w14:textId="77777777" w:rsidR="0091371D" w:rsidRPr="00C23B90" w:rsidRDefault="0091371D" w:rsidP="0091371D">
      <w:pPr>
        <w:tabs>
          <w:tab w:val="left" w:pos="993"/>
        </w:tabs>
        <w:spacing w:after="0"/>
        <w:jc w:val="both"/>
        <w:rPr>
          <w:rFonts w:cs="Times New Roman"/>
          <w:bCs/>
          <w:sz w:val="24"/>
          <w:szCs w:val="24"/>
        </w:rPr>
      </w:pPr>
    </w:p>
    <w:p w14:paraId="5D3C35F1" w14:textId="77777777" w:rsidR="004D05D2" w:rsidRPr="00C23B90" w:rsidRDefault="004D05D2" w:rsidP="0091371D">
      <w:pPr>
        <w:tabs>
          <w:tab w:val="left" w:pos="993"/>
        </w:tabs>
        <w:spacing w:after="0"/>
        <w:jc w:val="both"/>
        <w:rPr>
          <w:rFonts w:cs="Times New Roman"/>
          <w:bCs/>
          <w:sz w:val="24"/>
          <w:szCs w:val="24"/>
        </w:rPr>
      </w:pPr>
    </w:p>
    <w:p w14:paraId="5DD9A470" w14:textId="77777777" w:rsidR="00C562AC" w:rsidRPr="00C23B90" w:rsidRDefault="00C562AC" w:rsidP="0091371D">
      <w:pPr>
        <w:tabs>
          <w:tab w:val="left" w:pos="993"/>
        </w:tabs>
        <w:spacing w:after="0"/>
        <w:jc w:val="both"/>
        <w:rPr>
          <w:rFonts w:cs="Times New Roman"/>
          <w:bCs/>
          <w:sz w:val="24"/>
          <w:szCs w:val="24"/>
        </w:rPr>
      </w:pPr>
    </w:p>
    <w:p w14:paraId="4D4149B6" w14:textId="5B84A703" w:rsidR="00C562AC" w:rsidRPr="00C23B90" w:rsidRDefault="00C562AC" w:rsidP="0091371D">
      <w:pPr>
        <w:tabs>
          <w:tab w:val="left" w:pos="993"/>
        </w:tabs>
        <w:spacing w:after="0"/>
        <w:jc w:val="both"/>
        <w:rPr>
          <w:rFonts w:cs="Times New Roman"/>
          <w:bCs/>
          <w:sz w:val="24"/>
          <w:szCs w:val="24"/>
        </w:rPr>
      </w:pPr>
    </w:p>
    <w:p w14:paraId="38578E39" w14:textId="3FA204F5" w:rsidR="00C562AC" w:rsidRDefault="00C562AC" w:rsidP="0091371D">
      <w:pPr>
        <w:tabs>
          <w:tab w:val="left" w:pos="993"/>
        </w:tabs>
        <w:spacing w:after="0"/>
        <w:jc w:val="both"/>
        <w:rPr>
          <w:rFonts w:cs="Times New Roman"/>
          <w:bCs/>
          <w:sz w:val="20"/>
          <w:szCs w:val="28"/>
        </w:rPr>
      </w:pPr>
    </w:p>
    <w:p w14:paraId="00C07D78" w14:textId="683FC128" w:rsidR="00936CB8" w:rsidRPr="005E0B10" w:rsidRDefault="006F1A01" w:rsidP="00936CB8">
      <w:pPr>
        <w:keepLines/>
        <w:widowControl w:val="0"/>
        <w:tabs>
          <w:tab w:val="right" w:pos="8222"/>
        </w:tabs>
        <w:spacing w:after="0" w:line="276" w:lineRule="auto"/>
        <w:jc w:val="both"/>
        <w:rPr>
          <w:rFonts w:cs="Times New Roman"/>
          <w:sz w:val="18"/>
          <w:szCs w:val="20"/>
        </w:rPr>
      </w:pPr>
      <w:r>
        <w:rPr>
          <w:rFonts w:cs="Times New Roman"/>
          <w:sz w:val="18"/>
          <w:szCs w:val="20"/>
        </w:rPr>
        <w:t>30.06.</w:t>
      </w:r>
      <w:r w:rsidR="00936CB8" w:rsidRPr="005E0B10">
        <w:rPr>
          <w:rFonts w:cs="Times New Roman"/>
          <w:sz w:val="18"/>
          <w:szCs w:val="20"/>
        </w:rPr>
        <w:t>2017.</w:t>
      </w:r>
    </w:p>
    <w:p w14:paraId="7BA5CE6B" w14:textId="1EE28E6A" w:rsidR="00936CB8" w:rsidRPr="005E0B10" w:rsidRDefault="00E36FA5" w:rsidP="00936CB8">
      <w:pPr>
        <w:keepLines/>
        <w:widowControl w:val="0"/>
        <w:tabs>
          <w:tab w:val="right" w:pos="8222"/>
        </w:tabs>
        <w:spacing w:after="0" w:line="276" w:lineRule="auto"/>
        <w:jc w:val="both"/>
        <w:rPr>
          <w:rFonts w:cs="Times New Roman"/>
          <w:sz w:val="18"/>
          <w:szCs w:val="20"/>
        </w:rPr>
      </w:pPr>
      <w:r>
        <w:rPr>
          <w:rFonts w:cs="Times New Roman"/>
          <w:sz w:val="18"/>
          <w:szCs w:val="20"/>
        </w:rPr>
        <w:t>981</w:t>
      </w:r>
    </w:p>
    <w:p w14:paraId="22ECCF31" w14:textId="6AD82C40" w:rsidR="00936CB8" w:rsidRPr="005E0B10" w:rsidRDefault="00D20912" w:rsidP="00936CB8">
      <w:pPr>
        <w:keepLines/>
        <w:widowControl w:val="0"/>
        <w:tabs>
          <w:tab w:val="right" w:pos="8222"/>
        </w:tabs>
        <w:spacing w:after="0" w:line="276" w:lineRule="auto"/>
        <w:jc w:val="both"/>
        <w:rPr>
          <w:rFonts w:cs="Times New Roman"/>
          <w:sz w:val="18"/>
          <w:szCs w:val="20"/>
        </w:rPr>
      </w:pPr>
      <w:proofErr w:type="spellStart"/>
      <w:r>
        <w:rPr>
          <w:rFonts w:cs="Times New Roman"/>
          <w:sz w:val="18"/>
          <w:szCs w:val="20"/>
        </w:rPr>
        <w:t>I.Cauna</w:t>
      </w:r>
      <w:proofErr w:type="spellEnd"/>
      <w:r>
        <w:rPr>
          <w:rFonts w:cs="Times New Roman"/>
          <w:sz w:val="18"/>
          <w:szCs w:val="20"/>
        </w:rPr>
        <w:t>, 67028221</w:t>
      </w:r>
    </w:p>
    <w:p w14:paraId="7E2175E2" w14:textId="6CB87205" w:rsidR="001A24DF" w:rsidRPr="00E36FA5" w:rsidRDefault="005B3D68" w:rsidP="00E36FA5">
      <w:pPr>
        <w:keepLines/>
        <w:widowControl w:val="0"/>
        <w:tabs>
          <w:tab w:val="right" w:pos="8222"/>
        </w:tabs>
        <w:spacing w:after="0" w:line="276" w:lineRule="auto"/>
        <w:jc w:val="both"/>
        <w:rPr>
          <w:rFonts w:cs="Times New Roman"/>
          <w:sz w:val="18"/>
          <w:szCs w:val="20"/>
        </w:rPr>
      </w:pPr>
      <w:hyperlink r:id="rId16" w:history="1">
        <w:r w:rsidR="008A0DA5" w:rsidRPr="0085174C">
          <w:rPr>
            <w:rStyle w:val="Hyperlink"/>
            <w:sz w:val="18"/>
            <w:szCs w:val="20"/>
          </w:rPr>
          <w:t>Ingrida.Cauna@sam.gov.lv</w:t>
        </w:r>
      </w:hyperlink>
    </w:p>
    <w:sectPr w:rsidR="001A24DF" w:rsidRPr="00E36FA5" w:rsidSect="00AC11C3">
      <w:headerReference w:type="default" r:id="rId17"/>
      <w:footerReference w:type="default" r:id="rId18"/>
      <w:headerReference w:type="first" r:id="rId19"/>
      <w:footerReference w:type="first" r:id="rId20"/>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71C5" w14:textId="77777777" w:rsidR="00CD2872" w:rsidRDefault="00CD2872">
      <w:pPr>
        <w:spacing w:after="0"/>
      </w:pPr>
      <w:r>
        <w:separator/>
      </w:r>
    </w:p>
  </w:endnote>
  <w:endnote w:type="continuationSeparator" w:id="0">
    <w:p w14:paraId="1F50A7A6" w14:textId="77777777" w:rsidR="00CD2872" w:rsidRDefault="00CD2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72E5" w14:textId="7C8446AF" w:rsidR="001E5689" w:rsidRPr="00C562AC" w:rsidRDefault="00C562AC" w:rsidP="00C562AC">
    <w:pPr>
      <w:pStyle w:val="Footer"/>
      <w:jc w:val="both"/>
    </w:pPr>
    <w:r>
      <w:rPr>
        <w:sz w:val="16"/>
        <w:szCs w:val="16"/>
      </w:rPr>
      <w:t>SMNot_</w:t>
    </w:r>
    <w:r w:rsidR="006F1A01">
      <w:rPr>
        <w:sz w:val="16"/>
        <w:szCs w:val="16"/>
      </w:rPr>
      <w:t>3006</w:t>
    </w:r>
    <w:r>
      <w:rPr>
        <w:sz w:val="16"/>
        <w:szCs w:val="16"/>
      </w:rPr>
      <w:t>17_6</w:t>
    </w:r>
    <w:r w:rsidRPr="00C562AC">
      <w:rPr>
        <w:sz w:val="16"/>
        <w:szCs w:val="16"/>
      </w:rPr>
      <w:t>11; 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654D" w14:textId="5622D7AB" w:rsidR="008A6AB4" w:rsidRPr="00A931E2" w:rsidRDefault="008C0CDE" w:rsidP="00936CB8">
    <w:pPr>
      <w:pStyle w:val="Footer"/>
      <w:jc w:val="both"/>
      <w:rPr>
        <w:sz w:val="16"/>
        <w:szCs w:val="16"/>
      </w:rPr>
    </w:pPr>
    <w:r>
      <w:rPr>
        <w:sz w:val="16"/>
        <w:szCs w:val="16"/>
      </w:rPr>
      <w:t>SMNot_</w:t>
    </w:r>
    <w:r w:rsidR="006F1A01">
      <w:rPr>
        <w:sz w:val="16"/>
        <w:szCs w:val="16"/>
      </w:rPr>
      <w:t>3006</w:t>
    </w:r>
    <w:r w:rsidR="00FC2090">
      <w:rPr>
        <w:sz w:val="16"/>
        <w:szCs w:val="16"/>
      </w:rPr>
      <w:t>17</w:t>
    </w:r>
    <w:r w:rsidR="009461B6">
      <w:rPr>
        <w:sz w:val="16"/>
        <w:szCs w:val="16"/>
      </w:rPr>
      <w:t>_</w:t>
    </w:r>
    <w:r w:rsidR="00C562AC">
      <w:rPr>
        <w:sz w:val="16"/>
        <w:szCs w:val="16"/>
      </w:rPr>
      <w:t>6</w:t>
    </w:r>
    <w:r w:rsidR="00FC2090">
      <w:rPr>
        <w:sz w:val="16"/>
        <w:szCs w:val="16"/>
      </w:rPr>
      <w:t>11</w:t>
    </w:r>
    <w:r w:rsidR="00936CB8">
      <w:rPr>
        <w:sz w:val="16"/>
        <w:szCs w:val="16"/>
      </w:rPr>
      <w:t xml:space="preserve">; </w:t>
    </w:r>
    <w:r w:rsidR="00C562AC" w:rsidRPr="00C562AC">
      <w:rPr>
        <w:sz w:val="16"/>
        <w:szCs w:val="16"/>
      </w:rPr>
      <w:t>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BE1B" w14:textId="77777777" w:rsidR="00CD2872" w:rsidRDefault="00CD2872">
      <w:pPr>
        <w:spacing w:after="0"/>
      </w:pPr>
      <w:r>
        <w:separator/>
      </w:r>
    </w:p>
  </w:footnote>
  <w:footnote w:type="continuationSeparator" w:id="0">
    <w:p w14:paraId="7738DF41" w14:textId="77777777" w:rsidR="00CD2872" w:rsidRDefault="00CD2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772C" w14:textId="717B7732" w:rsidR="00281B39" w:rsidRPr="00020D40" w:rsidRDefault="000E2E67" w:rsidP="00281B39">
    <w:pPr>
      <w:pStyle w:val="Header"/>
      <w:jc w:val="right"/>
      <w:rPr>
        <w:b/>
        <w:i/>
        <w:sz w:val="32"/>
      </w:rPr>
    </w:pPr>
    <w:r w:rsidRPr="001E5689">
      <w:rPr>
        <w:sz w:val="24"/>
        <w:szCs w:val="24"/>
      </w:rPr>
      <w:fldChar w:fldCharType="begin"/>
    </w:r>
    <w:r w:rsidRPr="001E5689">
      <w:rPr>
        <w:sz w:val="24"/>
        <w:szCs w:val="24"/>
      </w:rPr>
      <w:instrText xml:space="preserve"> PAGE   \* MERGEFORMAT </w:instrText>
    </w:r>
    <w:r w:rsidRPr="001E5689">
      <w:rPr>
        <w:sz w:val="24"/>
        <w:szCs w:val="24"/>
      </w:rPr>
      <w:fldChar w:fldCharType="separate"/>
    </w:r>
    <w:r w:rsidR="005B3D68">
      <w:rPr>
        <w:noProof/>
        <w:sz w:val="24"/>
        <w:szCs w:val="24"/>
      </w:rPr>
      <w:t>3</w:t>
    </w:r>
    <w:r w:rsidRPr="001E5689">
      <w:rPr>
        <w:noProof/>
        <w:sz w:val="24"/>
        <w:szCs w:val="24"/>
      </w:rPr>
      <w:fldChar w:fldCharType="end"/>
    </w:r>
    <w:r w:rsidR="00281B39">
      <w:rPr>
        <w:b/>
        <w:i/>
        <w:sz w:val="32"/>
      </w:rPr>
      <w:tab/>
    </w:r>
    <w:r w:rsidR="00281B39" w:rsidRPr="00020D40">
      <w:rPr>
        <w:b/>
        <w:i/>
        <w:sz w:val="32"/>
      </w:rPr>
      <w:t xml:space="preserve"> </w:t>
    </w:r>
  </w:p>
  <w:p w14:paraId="1CEEB6DE" w14:textId="77777777" w:rsidR="00BC0ECA" w:rsidRPr="001E5689" w:rsidRDefault="00BC0ECA" w:rsidP="00627971">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0769" w14:textId="672A1050" w:rsidR="00AC11C3" w:rsidRPr="007B607C" w:rsidRDefault="00780A5B" w:rsidP="00780A5B">
    <w:pPr>
      <w:pStyle w:val="Header"/>
      <w:jc w:val="right"/>
      <w:rPr>
        <w:sz w:val="32"/>
      </w:rPr>
    </w:pPr>
    <w:r w:rsidRPr="007B607C">
      <w:t>Projekts</w:t>
    </w:r>
    <w:r w:rsidR="00020D40" w:rsidRPr="007B607C">
      <w:t xml:space="preserve"> </w:t>
    </w:r>
  </w:p>
  <w:p w14:paraId="5D2DEDE2" w14:textId="77777777" w:rsidR="00AC11C3" w:rsidRDefault="00AC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51"/>
    <w:multiLevelType w:val="multilevel"/>
    <w:tmpl w:val="434E94D0"/>
    <w:lvl w:ilvl="0">
      <w:start w:val="1"/>
      <w:numFmt w:val="decimal"/>
      <w:lvlText w:val="%1."/>
      <w:lvlJc w:val="left"/>
      <w:pPr>
        <w:ind w:left="360" w:hanging="360"/>
      </w:pPr>
      <w:rPr>
        <w:rFonts w:ascii="Times New Roman" w:hAnsi="Times New Roman" w:cs="Times New Roman" w:hint="default"/>
        <w:b w:val="0"/>
        <w:color w:val="auto"/>
        <w:sz w:val="24"/>
        <w:lang w:val="x-none"/>
      </w:rPr>
    </w:lvl>
    <w:lvl w:ilvl="1">
      <w:start w:val="1"/>
      <w:numFmt w:val="decimal"/>
      <w:lvlText w:val="%1.%2."/>
      <w:lvlJc w:val="left"/>
      <w:pPr>
        <w:ind w:left="858"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B2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00017"/>
    <w:multiLevelType w:val="hybridMultilevel"/>
    <w:tmpl w:val="74881534"/>
    <w:lvl w:ilvl="0" w:tplc="9F3E895E">
      <w:start w:val="4"/>
      <w:numFmt w:val="decimal"/>
      <w:lvlText w:val="%1.2."/>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B73ED"/>
    <w:multiLevelType w:val="hybridMultilevel"/>
    <w:tmpl w:val="3938AB9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3214F1"/>
    <w:multiLevelType w:val="hybridMultilevel"/>
    <w:tmpl w:val="F716C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F87539"/>
    <w:multiLevelType w:val="hybridMultilevel"/>
    <w:tmpl w:val="EA3A5AD4"/>
    <w:lvl w:ilvl="0" w:tplc="C3B691E0">
      <w:start w:val="12"/>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472B7"/>
    <w:multiLevelType w:val="multilevel"/>
    <w:tmpl w:val="87A68A16"/>
    <w:lvl w:ilvl="0">
      <w:start w:val="1"/>
      <w:numFmt w:val="none"/>
      <w:lvlText w:val="20.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697272"/>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449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2096798"/>
    <w:multiLevelType w:val="hybridMultilevel"/>
    <w:tmpl w:val="9FE23630"/>
    <w:lvl w:ilvl="0" w:tplc="1C20583E">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021C10"/>
    <w:multiLevelType w:val="hybridMultilevel"/>
    <w:tmpl w:val="9698D2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6AE28FF"/>
    <w:multiLevelType w:val="hybridMultilevel"/>
    <w:tmpl w:val="F716C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547754"/>
    <w:multiLevelType w:val="multilevel"/>
    <w:tmpl w:val="A704DB7A"/>
    <w:lvl w:ilvl="0">
      <w:start w:val="1"/>
      <w:numFmt w:val="none"/>
      <w:lvlText w:val="1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5C09E5"/>
    <w:multiLevelType w:val="multilevel"/>
    <w:tmpl w:val="D390F11A"/>
    <w:lvl w:ilvl="0">
      <w:start w:val="1"/>
      <w:numFmt w:val="none"/>
      <w:lvlText w:val="20.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A91145"/>
    <w:multiLevelType w:val="multilevel"/>
    <w:tmpl w:val="FC108D80"/>
    <w:lvl w:ilvl="0">
      <w:start w:val="1"/>
      <w:numFmt w:val="decimal"/>
      <w:lvlText w:val="%1."/>
      <w:lvlJc w:val="left"/>
      <w:pPr>
        <w:ind w:left="502" w:hanging="360"/>
      </w:pPr>
    </w:lvl>
    <w:lvl w:ilvl="1">
      <w:start w:val="1"/>
      <w:numFmt w:val="decimal"/>
      <w:lvlText w:val="%1.%2."/>
      <w:lvlJc w:val="left"/>
      <w:pPr>
        <w:ind w:left="366" w:hanging="432"/>
      </w:pPr>
      <w:rPr>
        <w:sz w:val="28"/>
        <w:szCs w:val="28"/>
      </w:r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5" w15:restartNumberingAfterBreak="0">
    <w:nsid w:val="32180F63"/>
    <w:multiLevelType w:val="hybridMultilevel"/>
    <w:tmpl w:val="14F69496"/>
    <w:lvl w:ilvl="0" w:tplc="FF6C8C26">
      <w:start w:val="12"/>
      <w:numFmt w:val="decimal"/>
      <w:lvlText w:val="%1.4"/>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035149"/>
    <w:multiLevelType w:val="multilevel"/>
    <w:tmpl w:val="AF0876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233FD4"/>
    <w:multiLevelType w:val="multilevel"/>
    <w:tmpl w:val="38EAD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903A3B"/>
    <w:multiLevelType w:val="hybridMultilevel"/>
    <w:tmpl w:val="2C52C390"/>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4B1571"/>
    <w:multiLevelType w:val="hybridMultilevel"/>
    <w:tmpl w:val="8FA8AE3C"/>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5400C"/>
    <w:multiLevelType w:val="hybridMultilevel"/>
    <w:tmpl w:val="0CC8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721E0F"/>
    <w:multiLevelType w:val="hybridMultilevel"/>
    <w:tmpl w:val="0CC8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8C3C9F"/>
    <w:multiLevelType w:val="hybridMultilevel"/>
    <w:tmpl w:val="E38CF760"/>
    <w:lvl w:ilvl="0" w:tplc="D2D83E90">
      <w:start w:val="13"/>
      <w:numFmt w:val="decimal"/>
      <w:lvlText w:val="%1.2"/>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6183"/>
    <w:multiLevelType w:val="hybridMultilevel"/>
    <w:tmpl w:val="0F78ADB8"/>
    <w:lvl w:ilvl="0" w:tplc="7070DC3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6E3C49"/>
    <w:multiLevelType w:val="hybridMultilevel"/>
    <w:tmpl w:val="169CC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4B6947"/>
    <w:multiLevelType w:val="hybridMultilevel"/>
    <w:tmpl w:val="0C52FB66"/>
    <w:lvl w:ilvl="0" w:tplc="2B12D96C">
      <w:start w:val="2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535DEC"/>
    <w:multiLevelType w:val="hybridMultilevel"/>
    <w:tmpl w:val="00BEB6F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9" w15:restartNumberingAfterBreak="0">
    <w:nsid w:val="62CE3B71"/>
    <w:multiLevelType w:val="hybridMultilevel"/>
    <w:tmpl w:val="0CC8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EC2ECB"/>
    <w:multiLevelType w:val="multilevel"/>
    <w:tmpl w:val="5D96A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5E355E"/>
    <w:multiLevelType w:val="hybridMultilevel"/>
    <w:tmpl w:val="1974EA4E"/>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670484"/>
    <w:multiLevelType w:val="hybridMultilevel"/>
    <w:tmpl w:val="ED1CD7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F06EC9"/>
    <w:multiLevelType w:val="hybridMultilevel"/>
    <w:tmpl w:val="F1F87DEA"/>
    <w:lvl w:ilvl="0" w:tplc="CF8A6A42">
      <w:start w:val="12"/>
      <w:numFmt w:val="decimal"/>
      <w:lvlText w:val="%1.1"/>
      <w:lvlJc w:val="left"/>
      <w:pPr>
        <w:ind w:left="1211"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4" w15:restartNumberingAfterBreak="0">
    <w:nsid w:val="67922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7004BF"/>
    <w:multiLevelType w:val="hybridMultilevel"/>
    <w:tmpl w:val="9B78F83E"/>
    <w:lvl w:ilvl="0" w:tplc="9B64E1DE">
      <w:start w:val="12"/>
      <w:numFmt w:val="decimal"/>
      <w:lvlText w:val="%1.3"/>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D00704"/>
    <w:multiLevelType w:val="hybridMultilevel"/>
    <w:tmpl w:val="C24EDD74"/>
    <w:lvl w:ilvl="0" w:tplc="FC7CD954">
      <w:start w:val="13"/>
      <w:numFmt w:val="decimal"/>
      <w:lvlText w:val="%1.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7"/>
  </w:num>
  <w:num w:numId="3">
    <w:abstractNumId w:val="23"/>
  </w:num>
  <w:num w:numId="4">
    <w:abstractNumId w:val="36"/>
  </w:num>
  <w:num w:numId="5">
    <w:abstractNumId w:val="25"/>
  </w:num>
  <w:num w:numId="6">
    <w:abstractNumId w:val="26"/>
  </w:num>
  <w:num w:numId="7">
    <w:abstractNumId w:val="18"/>
  </w:num>
  <w:num w:numId="8">
    <w:abstractNumId w:val="2"/>
  </w:num>
  <w:num w:numId="9">
    <w:abstractNumId w:val="19"/>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34"/>
  </w:num>
  <w:num w:numId="16">
    <w:abstractNumId w:val="6"/>
  </w:num>
  <w:num w:numId="17">
    <w:abstractNumId w:val="1"/>
  </w:num>
  <w:num w:numId="18">
    <w:abstractNumId w:val="13"/>
  </w:num>
  <w:num w:numId="19">
    <w:abstractNumId w:val="30"/>
  </w:num>
  <w:num w:numId="20">
    <w:abstractNumId w:val="32"/>
  </w:num>
  <w:num w:numId="21">
    <w:abstractNumId w:val="10"/>
  </w:num>
  <w:num w:numId="22">
    <w:abstractNumId w:val="7"/>
  </w:num>
  <w:num w:numId="23">
    <w:abstractNumId w:val="28"/>
  </w:num>
  <w:num w:numId="24">
    <w:abstractNumId w:val="3"/>
  </w:num>
  <w:num w:numId="25">
    <w:abstractNumId w:val="27"/>
  </w:num>
  <w:num w:numId="26">
    <w:abstractNumId w:val="31"/>
  </w:num>
  <w:num w:numId="27">
    <w:abstractNumId w:val="33"/>
  </w:num>
  <w:num w:numId="28">
    <w:abstractNumId w:val="5"/>
  </w:num>
  <w:num w:numId="29">
    <w:abstractNumId w:val="35"/>
  </w:num>
  <w:num w:numId="30">
    <w:abstractNumId w:val="15"/>
  </w:num>
  <w:num w:numId="31">
    <w:abstractNumId w:val="38"/>
  </w:num>
  <w:num w:numId="32">
    <w:abstractNumId w:val="22"/>
  </w:num>
  <w:num w:numId="33">
    <w:abstractNumId w:val="24"/>
  </w:num>
  <w:num w:numId="34">
    <w:abstractNumId w:val="9"/>
  </w:num>
  <w:num w:numId="35">
    <w:abstractNumId w:val="20"/>
  </w:num>
  <w:num w:numId="36">
    <w:abstractNumId w:val="4"/>
  </w:num>
  <w:num w:numId="37">
    <w:abstractNumId w:val="1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EC"/>
    <w:rsid w:val="000111DC"/>
    <w:rsid w:val="00020D40"/>
    <w:rsid w:val="00021454"/>
    <w:rsid w:val="00023551"/>
    <w:rsid w:val="0002402F"/>
    <w:rsid w:val="00024C1D"/>
    <w:rsid w:val="00025B8D"/>
    <w:rsid w:val="0003463C"/>
    <w:rsid w:val="000457AE"/>
    <w:rsid w:val="000460A8"/>
    <w:rsid w:val="00046609"/>
    <w:rsid w:val="00046908"/>
    <w:rsid w:val="000502C6"/>
    <w:rsid w:val="00051865"/>
    <w:rsid w:val="00055DFC"/>
    <w:rsid w:val="00056DB7"/>
    <w:rsid w:val="000639ED"/>
    <w:rsid w:val="000641FC"/>
    <w:rsid w:val="000644A0"/>
    <w:rsid w:val="00064ACB"/>
    <w:rsid w:val="0007136B"/>
    <w:rsid w:val="00072195"/>
    <w:rsid w:val="0007457A"/>
    <w:rsid w:val="000A4B1B"/>
    <w:rsid w:val="000A5B7C"/>
    <w:rsid w:val="000C0AEE"/>
    <w:rsid w:val="000C1FBE"/>
    <w:rsid w:val="000C21EF"/>
    <w:rsid w:val="000C6D00"/>
    <w:rsid w:val="000D1BFE"/>
    <w:rsid w:val="000E083D"/>
    <w:rsid w:val="000E0FD5"/>
    <w:rsid w:val="000E2E67"/>
    <w:rsid w:val="000E4B21"/>
    <w:rsid w:val="000E7176"/>
    <w:rsid w:val="001007F8"/>
    <w:rsid w:val="00102B1F"/>
    <w:rsid w:val="00106CBE"/>
    <w:rsid w:val="00114917"/>
    <w:rsid w:val="0011610D"/>
    <w:rsid w:val="00117F3F"/>
    <w:rsid w:val="00127D47"/>
    <w:rsid w:val="001326BC"/>
    <w:rsid w:val="00134A20"/>
    <w:rsid w:val="001353AB"/>
    <w:rsid w:val="001353C5"/>
    <w:rsid w:val="001427FE"/>
    <w:rsid w:val="001432B7"/>
    <w:rsid w:val="00147D73"/>
    <w:rsid w:val="001520F4"/>
    <w:rsid w:val="0015380C"/>
    <w:rsid w:val="00153AAD"/>
    <w:rsid w:val="00153E92"/>
    <w:rsid w:val="00154D44"/>
    <w:rsid w:val="001556B7"/>
    <w:rsid w:val="001577E1"/>
    <w:rsid w:val="001628D2"/>
    <w:rsid w:val="001639BA"/>
    <w:rsid w:val="00164C59"/>
    <w:rsid w:val="001671FB"/>
    <w:rsid w:val="00172B60"/>
    <w:rsid w:val="00173C69"/>
    <w:rsid w:val="001808B8"/>
    <w:rsid w:val="00183B2E"/>
    <w:rsid w:val="001845D5"/>
    <w:rsid w:val="00184F43"/>
    <w:rsid w:val="001912BB"/>
    <w:rsid w:val="00191491"/>
    <w:rsid w:val="001A03B5"/>
    <w:rsid w:val="001A247F"/>
    <w:rsid w:val="001A24DF"/>
    <w:rsid w:val="001A7189"/>
    <w:rsid w:val="001B02CC"/>
    <w:rsid w:val="001B27A0"/>
    <w:rsid w:val="001B35C1"/>
    <w:rsid w:val="001B6234"/>
    <w:rsid w:val="001C0AA5"/>
    <w:rsid w:val="001C2846"/>
    <w:rsid w:val="001D5D10"/>
    <w:rsid w:val="001E1B22"/>
    <w:rsid w:val="001E2A70"/>
    <w:rsid w:val="001E2C08"/>
    <w:rsid w:val="001E5494"/>
    <w:rsid w:val="001E5689"/>
    <w:rsid w:val="001E71F6"/>
    <w:rsid w:val="001F006C"/>
    <w:rsid w:val="001F1BF2"/>
    <w:rsid w:val="001F64E1"/>
    <w:rsid w:val="00201A78"/>
    <w:rsid w:val="002048F1"/>
    <w:rsid w:val="00210CBD"/>
    <w:rsid w:val="0021385F"/>
    <w:rsid w:val="00216780"/>
    <w:rsid w:val="00216A77"/>
    <w:rsid w:val="0022761D"/>
    <w:rsid w:val="00237F54"/>
    <w:rsid w:val="00241438"/>
    <w:rsid w:val="00247E0A"/>
    <w:rsid w:val="00247F18"/>
    <w:rsid w:val="00256521"/>
    <w:rsid w:val="002566CD"/>
    <w:rsid w:val="002569BC"/>
    <w:rsid w:val="00256DEE"/>
    <w:rsid w:val="00260A2B"/>
    <w:rsid w:val="00264BDD"/>
    <w:rsid w:val="00281B39"/>
    <w:rsid w:val="00283FDD"/>
    <w:rsid w:val="00293768"/>
    <w:rsid w:val="00297564"/>
    <w:rsid w:val="00297DFE"/>
    <w:rsid w:val="002A30C9"/>
    <w:rsid w:val="002A3161"/>
    <w:rsid w:val="002B2EC5"/>
    <w:rsid w:val="002C2055"/>
    <w:rsid w:val="002C2BE5"/>
    <w:rsid w:val="002C300C"/>
    <w:rsid w:val="002C3FA2"/>
    <w:rsid w:val="002C56EC"/>
    <w:rsid w:val="002C78BF"/>
    <w:rsid w:val="002C7981"/>
    <w:rsid w:val="002D2D48"/>
    <w:rsid w:val="002E01F8"/>
    <w:rsid w:val="002E3472"/>
    <w:rsid w:val="002F1CA3"/>
    <w:rsid w:val="002F4DEE"/>
    <w:rsid w:val="002F4FC0"/>
    <w:rsid w:val="002F6CF6"/>
    <w:rsid w:val="00303D57"/>
    <w:rsid w:val="003176FC"/>
    <w:rsid w:val="00324236"/>
    <w:rsid w:val="003277D1"/>
    <w:rsid w:val="00327FD4"/>
    <w:rsid w:val="003329D4"/>
    <w:rsid w:val="003363DD"/>
    <w:rsid w:val="00337409"/>
    <w:rsid w:val="00344226"/>
    <w:rsid w:val="003521F0"/>
    <w:rsid w:val="003536A5"/>
    <w:rsid w:val="00355856"/>
    <w:rsid w:val="00357861"/>
    <w:rsid w:val="00365BA3"/>
    <w:rsid w:val="00365CCC"/>
    <w:rsid w:val="00366164"/>
    <w:rsid w:val="003707F2"/>
    <w:rsid w:val="00373A12"/>
    <w:rsid w:val="00374341"/>
    <w:rsid w:val="003849C1"/>
    <w:rsid w:val="003861DA"/>
    <w:rsid w:val="00397571"/>
    <w:rsid w:val="003A0987"/>
    <w:rsid w:val="003A0A14"/>
    <w:rsid w:val="003A6F63"/>
    <w:rsid w:val="003B0060"/>
    <w:rsid w:val="003B3483"/>
    <w:rsid w:val="003B7048"/>
    <w:rsid w:val="003C7633"/>
    <w:rsid w:val="003D0100"/>
    <w:rsid w:val="003D0429"/>
    <w:rsid w:val="003D133C"/>
    <w:rsid w:val="003F0CE7"/>
    <w:rsid w:val="003F5237"/>
    <w:rsid w:val="00401EB1"/>
    <w:rsid w:val="00404B1C"/>
    <w:rsid w:val="0040695A"/>
    <w:rsid w:val="00411861"/>
    <w:rsid w:val="00413468"/>
    <w:rsid w:val="004146AD"/>
    <w:rsid w:val="004201B8"/>
    <w:rsid w:val="004228DE"/>
    <w:rsid w:val="00432E62"/>
    <w:rsid w:val="00434774"/>
    <w:rsid w:val="00436585"/>
    <w:rsid w:val="004454F2"/>
    <w:rsid w:val="00462614"/>
    <w:rsid w:val="00465EFB"/>
    <w:rsid w:val="0046642E"/>
    <w:rsid w:val="004815D1"/>
    <w:rsid w:val="00490E63"/>
    <w:rsid w:val="0049348D"/>
    <w:rsid w:val="00493700"/>
    <w:rsid w:val="004A0786"/>
    <w:rsid w:val="004B4040"/>
    <w:rsid w:val="004B5E5C"/>
    <w:rsid w:val="004C2028"/>
    <w:rsid w:val="004C3C15"/>
    <w:rsid w:val="004D05D2"/>
    <w:rsid w:val="004D3D7D"/>
    <w:rsid w:val="004D3DFA"/>
    <w:rsid w:val="004D3ED6"/>
    <w:rsid w:val="004D4308"/>
    <w:rsid w:val="004D6E20"/>
    <w:rsid w:val="004D7526"/>
    <w:rsid w:val="004E44AF"/>
    <w:rsid w:val="004E7C1E"/>
    <w:rsid w:val="004F21F7"/>
    <w:rsid w:val="004F2E65"/>
    <w:rsid w:val="004F7B16"/>
    <w:rsid w:val="00510F89"/>
    <w:rsid w:val="00511A05"/>
    <w:rsid w:val="005125F6"/>
    <w:rsid w:val="00513496"/>
    <w:rsid w:val="005179D9"/>
    <w:rsid w:val="00524C7E"/>
    <w:rsid w:val="005308A5"/>
    <w:rsid w:val="00532345"/>
    <w:rsid w:val="005332A6"/>
    <w:rsid w:val="00533A79"/>
    <w:rsid w:val="00537D9E"/>
    <w:rsid w:val="00543C44"/>
    <w:rsid w:val="005444DB"/>
    <w:rsid w:val="00554D5D"/>
    <w:rsid w:val="005562CE"/>
    <w:rsid w:val="005745B4"/>
    <w:rsid w:val="0057477B"/>
    <w:rsid w:val="00575662"/>
    <w:rsid w:val="00575FD0"/>
    <w:rsid w:val="0058394B"/>
    <w:rsid w:val="00584D4E"/>
    <w:rsid w:val="005876D5"/>
    <w:rsid w:val="00587806"/>
    <w:rsid w:val="00587EFA"/>
    <w:rsid w:val="0059007F"/>
    <w:rsid w:val="00591A00"/>
    <w:rsid w:val="00592FA5"/>
    <w:rsid w:val="005A2C63"/>
    <w:rsid w:val="005B0E97"/>
    <w:rsid w:val="005B108C"/>
    <w:rsid w:val="005B3D68"/>
    <w:rsid w:val="005B7367"/>
    <w:rsid w:val="005C0473"/>
    <w:rsid w:val="005C0B50"/>
    <w:rsid w:val="005C512A"/>
    <w:rsid w:val="005C6562"/>
    <w:rsid w:val="005C6632"/>
    <w:rsid w:val="005C73F8"/>
    <w:rsid w:val="005D4499"/>
    <w:rsid w:val="005E08E5"/>
    <w:rsid w:val="005E0B10"/>
    <w:rsid w:val="005E2DDA"/>
    <w:rsid w:val="005E2FD8"/>
    <w:rsid w:val="005E74CF"/>
    <w:rsid w:val="005E7617"/>
    <w:rsid w:val="005F2A84"/>
    <w:rsid w:val="005F531E"/>
    <w:rsid w:val="006008BD"/>
    <w:rsid w:val="00603822"/>
    <w:rsid w:val="00603826"/>
    <w:rsid w:val="0061025A"/>
    <w:rsid w:val="00612D7F"/>
    <w:rsid w:val="006135BB"/>
    <w:rsid w:val="00620A80"/>
    <w:rsid w:val="00622D7C"/>
    <w:rsid w:val="006232B0"/>
    <w:rsid w:val="00624389"/>
    <w:rsid w:val="00626D99"/>
    <w:rsid w:val="00627421"/>
    <w:rsid w:val="00627971"/>
    <w:rsid w:val="006344E6"/>
    <w:rsid w:val="00634BFC"/>
    <w:rsid w:val="006361C8"/>
    <w:rsid w:val="0064587F"/>
    <w:rsid w:val="00647993"/>
    <w:rsid w:val="00655E48"/>
    <w:rsid w:val="00657424"/>
    <w:rsid w:val="0065782D"/>
    <w:rsid w:val="006667B2"/>
    <w:rsid w:val="00673966"/>
    <w:rsid w:val="00684832"/>
    <w:rsid w:val="00694760"/>
    <w:rsid w:val="0069564E"/>
    <w:rsid w:val="00695DB6"/>
    <w:rsid w:val="00697582"/>
    <w:rsid w:val="006A7F97"/>
    <w:rsid w:val="006C05B0"/>
    <w:rsid w:val="006C1E19"/>
    <w:rsid w:val="006C424D"/>
    <w:rsid w:val="006E1E74"/>
    <w:rsid w:val="006E2381"/>
    <w:rsid w:val="006E7787"/>
    <w:rsid w:val="006F0F2E"/>
    <w:rsid w:val="006F1A01"/>
    <w:rsid w:val="006F514B"/>
    <w:rsid w:val="00700753"/>
    <w:rsid w:val="00701B00"/>
    <w:rsid w:val="00707D18"/>
    <w:rsid w:val="00716E5A"/>
    <w:rsid w:val="00723DDD"/>
    <w:rsid w:val="00724979"/>
    <w:rsid w:val="007264ED"/>
    <w:rsid w:val="00726C07"/>
    <w:rsid w:val="00731479"/>
    <w:rsid w:val="00733324"/>
    <w:rsid w:val="00735B6F"/>
    <w:rsid w:val="00740FBF"/>
    <w:rsid w:val="00742379"/>
    <w:rsid w:val="00742FBB"/>
    <w:rsid w:val="0076283B"/>
    <w:rsid w:val="00762A0C"/>
    <w:rsid w:val="0076453B"/>
    <w:rsid w:val="00766317"/>
    <w:rsid w:val="0076667B"/>
    <w:rsid w:val="00770E3C"/>
    <w:rsid w:val="0077167E"/>
    <w:rsid w:val="00776CE8"/>
    <w:rsid w:val="00780A5B"/>
    <w:rsid w:val="00781356"/>
    <w:rsid w:val="00786B1E"/>
    <w:rsid w:val="00794D93"/>
    <w:rsid w:val="007A1F16"/>
    <w:rsid w:val="007A25AC"/>
    <w:rsid w:val="007A4087"/>
    <w:rsid w:val="007A5321"/>
    <w:rsid w:val="007A6163"/>
    <w:rsid w:val="007A6ACB"/>
    <w:rsid w:val="007A6CB6"/>
    <w:rsid w:val="007B0974"/>
    <w:rsid w:val="007B55E2"/>
    <w:rsid w:val="007B607C"/>
    <w:rsid w:val="007B6503"/>
    <w:rsid w:val="007C478A"/>
    <w:rsid w:val="007D0E69"/>
    <w:rsid w:val="007D2600"/>
    <w:rsid w:val="007D5A78"/>
    <w:rsid w:val="007E2E75"/>
    <w:rsid w:val="007E600E"/>
    <w:rsid w:val="007F1630"/>
    <w:rsid w:val="007F6F3C"/>
    <w:rsid w:val="00803D5E"/>
    <w:rsid w:val="0081477F"/>
    <w:rsid w:val="008231DD"/>
    <w:rsid w:val="00824B29"/>
    <w:rsid w:val="00826633"/>
    <w:rsid w:val="00826A1F"/>
    <w:rsid w:val="0083340A"/>
    <w:rsid w:val="008367B2"/>
    <w:rsid w:val="0083704E"/>
    <w:rsid w:val="00840CCF"/>
    <w:rsid w:val="00841B61"/>
    <w:rsid w:val="00852C49"/>
    <w:rsid w:val="008564A7"/>
    <w:rsid w:val="0086145C"/>
    <w:rsid w:val="00864746"/>
    <w:rsid w:val="00866A60"/>
    <w:rsid w:val="008716C8"/>
    <w:rsid w:val="00885968"/>
    <w:rsid w:val="008879F5"/>
    <w:rsid w:val="00890D85"/>
    <w:rsid w:val="00891D9E"/>
    <w:rsid w:val="008925E9"/>
    <w:rsid w:val="00894D8A"/>
    <w:rsid w:val="00895025"/>
    <w:rsid w:val="00896AC6"/>
    <w:rsid w:val="008A0DA5"/>
    <w:rsid w:val="008A38F2"/>
    <w:rsid w:val="008A6AB4"/>
    <w:rsid w:val="008A79C1"/>
    <w:rsid w:val="008B0143"/>
    <w:rsid w:val="008B4222"/>
    <w:rsid w:val="008B756C"/>
    <w:rsid w:val="008C0718"/>
    <w:rsid w:val="008C089F"/>
    <w:rsid w:val="008C0CDE"/>
    <w:rsid w:val="008C5908"/>
    <w:rsid w:val="008C620E"/>
    <w:rsid w:val="008D2FF6"/>
    <w:rsid w:val="008E0B0B"/>
    <w:rsid w:val="008E5F5E"/>
    <w:rsid w:val="008E6409"/>
    <w:rsid w:val="008F112E"/>
    <w:rsid w:val="00912E34"/>
    <w:rsid w:val="00913545"/>
    <w:rsid w:val="0091371D"/>
    <w:rsid w:val="00925E02"/>
    <w:rsid w:val="00930ABA"/>
    <w:rsid w:val="00936CB8"/>
    <w:rsid w:val="0093782C"/>
    <w:rsid w:val="00941113"/>
    <w:rsid w:val="00943695"/>
    <w:rsid w:val="009461B6"/>
    <w:rsid w:val="00947FA2"/>
    <w:rsid w:val="00950A6D"/>
    <w:rsid w:val="00960895"/>
    <w:rsid w:val="00961BEB"/>
    <w:rsid w:val="00971D7D"/>
    <w:rsid w:val="00971EC7"/>
    <w:rsid w:val="00971F5D"/>
    <w:rsid w:val="00977310"/>
    <w:rsid w:val="00981208"/>
    <w:rsid w:val="00983068"/>
    <w:rsid w:val="009836C5"/>
    <w:rsid w:val="0098537F"/>
    <w:rsid w:val="009914D0"/>
    <w:rsid w:val="00995D15"/>
    <w:rsid w:val="009A3017"/>
    <w:rsid w:val="009A3B52"/>
    <w:rsid w:val="009A42CE"/>
    <w:rsid w:val="009A4659"/>
    <w:rsid w:val="009B004D"/>
    <w:rsid w:val="009D43AD"/>
    <w:rsid w:val="009D5D90"/>
    <w:rsid w:val="009E2F26"/>
    <w:rsid w:val="009F1765"/>
    <w:rsid w:val="009F33CA"/>
    <w:rsid w:val="009F4ABC"/>
    <w:rsid w:val="00A0683E"/>
    <w:rsid w:val="00A072CC"/>
    <w:rsid w:val="00A10FE9"/>
    <w:rsid w:val="00A1409C"/>
    <w:rsid w:val="00A20669"/>
    <w:rsid w:val="00A22C8E"/>
    <w:rsid w:val="00A33E4B"/>
    <w:rsid w:val="00A34959"/>
    <w:rsid w:val="00A35971"/>
    <w:rsid w:val="00A402DD"/>
    <w:rsid w:val="00A41AE0"/>
    <w:rsid w:val="00A425A4"/>
    <w:rsid w:val="00A432BE"/>
    <w:rsid w:val="00A4593E"/>
    <w:rsid w:val="00A56A87"/>
    <w:rsid w:val="00A60C36"/>
    <w:rsid w:val="00A611C0"/>
    <w:rsid w:val="00A6346E"/>
    <w:rsid w:val="00A67AA0"/>
    <w:rsid w:val="00A7226C"/>
    <w:rsid w:val="00A80056"/>
    <w:rsid w:val="00A8005B"/>
    <w:rsid w:val="00A86D63"/>
    <w:rsid w:val="00A91A62"/>
    <w:rsid w:val="00A92F59"/>
    <w:rsid w:val="00A931E2"/>
    <w:rsid w:val="00A93908"/>
    <w:rsid w:val="00AA3370"/>
    <w:rsid w:val="00AB3117"/>
    <w:rsid w:val="00AC0A17"/>
    <w:rsid w:val="00AC11C3"/>
    <w:rsid w:val="00AC2309"/>
    <w:rsid w:val="00AC6216"/>
    <w:rsid w:val="00AC72A9"/>
    <w:rsid w:val="00AD163A"/>
    <w:rsid w:val="00AD25F1"/>
    <w:rsid w:val="00AE4065"/>
    <w:rsid w:val="00AE5642"/>
    <w:rsid w:val="00AF19F7"/>
    <w:rsid w:val="00AF2EE3"/>
    <w:rsid w:val="00AF3A29"/>
    <w:rsid w:val="00AF3E9C"/>
    <w:rsid w:val="00AF6805"/>
    <w:rsid w:val="00B02B6D"/>
    <w:rsid w:val="00B0703C"/>
    <w:rsid w:val="00B14736"/>
    <w:rsid w:val="00B15293"/>
    <w:rsid w:val="00B235B8"/>
    <w:rsid w:val="00B32D30"/>
    <w:rsid w:val="00B33357"/>
    <w:rsid w:val="00B3438A"/>
    <w:rsid w:val="00B35840"/>
    <w:rsid w:val="00B46C4E"/>
    <w:rsid w:val="00B521EC"/>
    <w:rsid w:val="00B524A2"/>
    <w:rsid w:val="00B5431D"/>
    <w:rsid w:val="00B56427"/>
    <w:rsid w:val="00B5727A"/>
    <w:rsid w:val="00B631B6"/>
    <w:rsid w:val="00B653EB"/>
    <w:rsid w:val="00B73875"/>
    <w:rsid w:val="00B73E9D"/>
    <w:rsid w:val="00B76BA0"/>
    <w:rsid w:val="00B827C1"/>
    <w:rsid w:val="00B84613"/>
    <w:rsid w:val="00B8498B"/>
    <w:rsid w:val="00B90C8E"/>
    <w:rsid w:val="00B94F96"/>
    <w:rsid w:val="00B9687A"/>
    <w:rsid w:val="00BA333F"/>
    <w:rsid w:val="00BA45EF"/>
    <w:rsid w:val="00BB4FFE"/>
    <w:rsid w:val="00BB50FA"/>
    <w:rsid w:val="00BC0ECA"/>
    <w:rsid w:val="00BC1EEF"/>
    <w:rsid w:val="00BC221D"/>
    <w:rsid w:val="00BC2AAA"/>
    <w:rsid w:val="00BC2B79"/>
    <w:rsid w:val="00BC4CD2"/>
    <w:rsid w:val="00BC5421"/>
    <w:rsid w:val="00BC551F"/>
    <w:rsid w:val="00BC651B"/>
    <w:rsid w:val="00BC7230"/>
    <w:rsid w:val="00BD20B2"/>
    <w:rsid w:val="00BD4CEA"/>
    <w:rsid w:val="00BD5F94"/>
    <w:rsid w:val="00BD61E1"/>
    <w:rsid w:val="00BD6D9F"/>
    <w:rsid w:val="00BE095C"/>
    <w:rsid w:val="00BE595C"/>
    <w:rsid w:val="00BE7C46"/>
    <w:rsid w:val="00C04F7B"/>
    <w:rsid w:val="00C06717"/>
    <w:rsid w:val="00C06BB4"/>
    <w:rsid w:val="00C110F7"/>
    <w:rsid w:val="00C1361D"/>
    <w:rsid w:val="00C23B90"/>
    <w:rsid w:val="00C270FF"/>
    <w:rsid w:val="00C35ECA"/>
    <w:rsid w:val="00C37CB0"/>
    <w:rsid w:val="00C41B3A"/>
    <w:rsid w:val="00C437B1"/>
    <w:rsid w:val="00C51EDD"/>
    <w:rsid w:val="00C562AC"/>
    <w:rsid w:val="00C564E2"/>
    <w:rsid w:val="00C57BEE"/>
    <w:rsid w:val="00C63500"/>
    <w:rsid w:val="00C64B50"/>
    <w:rsid w:val="00C6635C"/>
    <w:rsid w:val="00C67005"/>
    <w:rsid w:val="00C7299C"/>
    <w:rsid w:val="00C73C94"/>
    <w:rsid w:val="00C80475"/>
    <w:rsid w:val="00C811C0"/>
    <w:rsid w:val="00C821A3"/>
    <w:rsid w:val="00C835B1"/>
    <w:rsid w:val="00C86AAB"/>
    <w:rsid w:val="00C9452D"/>
    <w:rsid w:val="00C96908"/>
    <w:rsid w:val="00C96F7F"/>
    <w:rsid w:val="00CB00A2"/>
    <w:rsid w:val="00CB00E8"/>
    <w:rsid w:val="00CB593E"/>
    <w:rsid w:val="00CB69A3"/>
    <w:rsid w:val="00CC1644"/>
    <w:rsid w:val="00CC4164"/>
    <w:rsid w:val="00CD14AF"/>
    <w:rsid w:val="00CD2872"/>
    <w:rsid w:val="00CE0A4C"/>
    <w:rsid w:val="00CF2FD7"/>
    <w:rsid w:val="00CF7F10"/>
    <w:rsid w:val="00D012EC"/>
    <w:rsid w:val="00D029F7"/>
    <w:rsid w:val="00D02EC4"/>
    <w:rsid w:val="00D03D4E"/>
    <w:rsid w:val="00D04BB1"/>
    <w:rsid w:val="00D16DC1"/>
    <w:rsid w:val="00D20912"/>
    <w:rsid w:val="00D245BC"/>
    <w:rsid w:val="00D27762"/>
    <w:rsid w:val="00D35F66"/>
    <w:rsid w:val="00D417A6"/>
    <w:rsid w:val="00D42AEA"/>
    <w:rsid w:val="00D4643E"/>
    <w:rsid w:val="00D50F35"/>
    <w:rsid w:val="00D803CA"/>
    <w:rsid w:val="00D817A4"/>
    <w:rsid w:val="00D822AC"/>
    <w:rsid w:val="00D9049C"/>
    <w:rsid w:val="00D90A93"/>
    <w:rsid w:val="00D954F2"/>
    <w:rsid w:val="00D96EF3"/>
    <w:rsid w:val="00DA27DB"/>
    <w:rsid w:val="00DA5312"/>
    <w:rsid w:val="00DA6165"/>
    <w:rsid w:val="00DB0F5C"/>
    <w:rsid w:val="00DB2E42"/>
    <w:rsid w:val="00DC101E"/>
    <w:rsid w:val="00DC3CC5"/>
    <w:rsid w:val="00DC4157"/>
    <w:rsid w:val="00DD2A3F"/>
    <w:rsid w:val="00DD6936"/>
    <w:rsid w:val="00DE3652"/>
    <w:rsid w:val="00DE61F5"/>
    <w:rsid w:val="00DE6F15"/>
    <w:rsid w:val="00DE7D69"/>
    <w:rsid w:val="00DF0E20"/>
    <w:rsid w:val="00DF52FA"/>
    <w:rsid w:val="00DF5B24"/>
    <w:rsid w:val="00E0091D"/>
    <w:rsid w:val="00E0306D"/>
    <w:rsid w:val="00E0628C"/>
    <w:rsid w:val="00E22972"/>
    <w:rsid w:val="00E23601"/>
    <w:rsid w:val="00E27DFC"/>
    <w:rsid w:val="00E3128F"/>
    <w:rsid w:val="00E31608"/>
    <w:rsid w:val="00E36FA5"/>
    <w:rsid w:val="00E50399"/>
    <w:rsid w:val="00E50465"/>
    <w:rsid w:val="00E51875"/>
    <w:rsid w:val="00E52358"/>
    <w:rsid w:val="00E53643"/>
    <w:rsid w:val="00E53720"/>
    <w:rsid w:val="00E543A1"/>
    <w:rsid w:val="00E54C80"/>
    <w:rsid w:val="00E615E7"/>
    <w:rsid w:val="00E722FA"/>
    <w:rsid w:val="00E73415"/>
    <w:rsid w:val="00E73B33"/>
    <w:rsid w:val="00E75148"/>
    <w:rsid w:val="00E7730E"/>
    <w:rsid w:val="00E77B6B"/>
    <w:rsid w:val="00E83966"/>
    <w:rsid w:val="00E85FD0"/>
    <w:rsid w:val="00E91721"/>
    <w:rsid w:val="00E919CB"/>
    <w:rsid w:val="00E931AD"/>
    <w:rsid w:val="00E97046"/>
    <w:rsid w:val="00EA0255"/>
    <w:rsid w:val="00EA1C08"/>
    <w:rsid w:val="00EA5DFE"/>
    <w:rsid w:val="00EA625C"/>
    <w:rsid w:val="00EA6C60"/>
    <w:rsid w:val="00EB0882"/>
    <w:rsid w:val="00EC2394"/>
    <w:rsid w:val="00EC4DE3"/>
    <w:rsid w:val="00ED6126"/>
    <w:rsid w:val="00EE3F39"/>
    <w:rsid w:val="00EF5D9F"/>
    <w:rsid w:val="00F03580"/>
    <w:rsid w:val="00F0575E"/>
    <w:rsid w:val="00F1018E"/>
    <w:rsid w:val="00F11B89"/>
    <w:rsid w:val="00F126B4"/>
    <w:rsid w:val="00F16FD2"/>
    <w:rsid w:val="00F2005C"/>
    <w:rsid w:val="00F23DFA"/>
    <w:rsid w:val="00F3076F"/>
    <w:rsid w:val="00F34066"/>
    <w:rsid w:val="00F43F5D"/>
    <w:rsid w:val="00F506FF"/>
    <w:rsid w:val="00F57470"/>
    <w:rsid w:val="00F607D4"/>
    <w:rsid w:val="00F648A8"/>
    <w:rsid w:val="00F679D3"/>
    <w:rsid w:val="00F700D1"/>
    <w:rsid w:val="00F7343C"/>
    <w:rsid w:val="00F76C3E"/>
    <w:rsid w:val="00F9267F"/>
    <w:rsid w:val="00F928A9"/>
    <w:rsid w:val="00F93B19"/>
    <w:rsid w:val="00F942D6"/>
    <w:rsid w:val="00F96CB1"/>
    <w:rsid w:val="00F97F77"/>
    <w:rsid w:val="00FA46B6"/>
    <w:rsid w:val="00FA714C"/>
    <w:rsid w:val="00FA7E97"/>
    <w:rsid w:val="00FB04BE"/>
    <w:rsid w:val="00FB2EAC"/>
    <w:rsid w:val="00FB4314"/>
    <w:rsid w:val="00FB6AFD"/>
    <w:rsid w:val="00FC166E"/>
    <w:rsid w:val="00FC1DD1"/>
    <w:rsid w:val="00FC2090"/>
    <w:rsid w:val="00FC2537"/>
    <w:rsid w:val="00FD2F33"/>
    <w:rsid w:val="00FD530F"/>
    <w:rsid w:val="00FD55AC"/>
    <w:rsid w:val="00FE0BA4"/>
    <w:rsid w:val="00FE13CA"/>
    <w:rsid w:val="00FE5B0D"/>
    <w:rsid w:val="00FF07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F537E"/>
  <w15:docId w15:val="{FD911CD2-E366-4E6A-A6B9-3FE8FE8C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
    <w:basedOn w:val="Normal"/>
    <w:link w:val="ListParagraphChar"/>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
    <w:link w:val="ListParagraph"/>
    <w:uiPriority w:val="34"/>
    <w:rsid w:val="00E0091D"/>
  </w:style>
  <w:style w:type="paragraph" w:customStyle="1" w:styleId="Normal1">
    <w:name w:val="Normal1"/>
    <w:basedOn w:val="Normal"/>
    <w:rsid w:val="003A0987"/>
    <w:pPr>
      <w:spacing w:before="120" w:after="0"/>
      <w:jc w:val="both"/>
    </w:pPr>
    <w:rPr>
      <w:rFonts w:eastAsia="Times New Roman" w:cs="Times New Roman"/>
      <w:sz w:val="24"/>
      <w:szCs w:val="24"/>
      <w:lang w:eastAsia="lv-LV"/>
    </w:rPr>
  </w:style>
  <w:style w:type="paragraph" w:customStyle="1" w:styleId="tv2132">
    <w:name w:val="tv2132"/>
    <w:basedOn w:val="Normal"/>
    <w:rsid w:val="00366164"/>
    <w:pPr>
      <w:spacing w:after="0"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3625">
      <w:bodyDiv w:val="1"/>
      <w:marLeft w:val="0"/>
      <w:marRight w:val="0"/>
      <w:marTop w:val="0"/>
      <w:marBottom w:val="0"/>
      <w:divBdr>
        <w:top w:val="none" w:sz="0" w:space="0" w:color="auto"/>
        <w:left w:val="none" w:sz="0" w:space="0" w:color="auto"/>
        <w:bottom w:val="none" w:sz="0" w:space="0" w:color="auto"/>
        <w:right w:val="none" w:sz="0" w:space="0" w:color="auto"/>
      </w:divBdr>
    </w:div>
    <w:div w:id="332802270">
      <w:bodyDiv w:val="1"/>
      <w:marLeft w:val="0"/>
      <w:marRight w:val="0"/>
      <w:marTop w:val="0"/>
      <w:marBottom w:val="0"/>
      <w:divBdr>
        <w:top w:val="none" w:sz="0" w:space="0" w:color="auto"/>
        <w:left w:val="none" w:sz="0" w:space="0" w:color="auto"/>
        <w:bottom w:val="none" w:sz="0" w:space="0" w:color="auto"/>
        <w:right w:val="none" w:sz="0" w:space="0" w:color="auto"/>
      </w:divBdr>
      <w:divsChild>
        <w:div w:id="1306155772">
          <w:marLeft w:val="0"/>
          <w:marRight w:val="0"/>
          <w:marTop w:val="0"/>
          <w:marBottom w:val="0"/>
          <w:divBdr>
            <w:top w:val="none" w:sz="0" w:space="0" w:color="auto"/>
            <w:left w:val="none" w:sz="0" w:space="0" w:color="auto"/>
            <w:bottom w:val="none" w:sz="0" w:space="0" w:color="auto"/>
            <w:right w:val="none" w:sz="0" w:space="0" w:color="auto"/>
          </w:divBdr>
          <w:divsChild>
            <w:div w:id="686253162">
              <w:marLeft w:val="0"/>
              <w:marRight w:val="0"/>
              <w:marTop w:val="0"/>
              <w:marBottom w:val="0"/>
              <w:divBdr>
                <w:top w:val="none" w:sz="0" w:space="0" w:color="auto"/>
                <w:left w:val="none" w:sz="0" w:space="0" w:color="auto"/>
                <w:bottom w:val="none" w:sz="0" w:space="0" w:color="auto"/>
                <w:right w:val="none" w:sz="0" w:space="0" w:color="auto"/>
              </w:divBdr>
              <w:divsChild>
                <w:div w:id="1759013202">
                  <w:marLeft w:val="0"/>
                  <w:marRight w:val="0"/>
                  <w:marTop w:val="0"/>
                  <w:marBottom w:val="0"/>
                  <w:divBdr>
                    <w:top w:val="none" w:sz="0" w:space="0" w:color="auto"/>
                    <w:left w:val="none" w:sz="0" w:space="0" w:color="auto"/>
                    <w:bottom w:val="none" w:sz="0" w:space="0" w:color="auto"/>
                    <w:right w:val="none" w:sz="0" w:space="0" w:color="auto"/>
                  </w:divBdr>
                  <w:divsChild>
                    <w:div w:id="698504995">
                      <w:marLeft w:val="0"/>
                      <w:marRight w:val="0"/>
                      <w:marTop w:val="0"/>
                      <w:marBottom w:val="0"/>
                      <w:divBdr>
                        <w:top w:val="none" w:sz="0" w:space="0" w:color="auto"/>
                        <w:left w:val="none" w:sz="0" w:space="0" w:color="auto"/>
                        <w:bottom w:val="none" w:sz="0" w:space="0" w:color="auto"/>
                        <w:right w:val="none" w:sz="0" w:space="0" w:color="auto"/>
                      </w:divBdr>
                      <w:divsChild>
                        <w:div w:id="497188715">
                          <w:marLeft w:val="0"/>
                          <w:marRight w:val="0"/>
                          <w:marTop w:val="0"/>
                          <w:marBottom w:val="0"/>
                          <w:divBdr>
                            <w:top w:val="none" w:sz="0" w:space="0" w:color="auto"/>
                            <w:left w:val="none" w:sz="0" w:space="0" w:color="auto"/>
                            <w:bottom w:val="none" w:sz="0" w:space="0" w:color="auto"/>
                            <w:right w:val="none" w:sz="0" w:space="0" w:color="auto"/>
                          </w:divBdr>
                          <w:divsChild>
                            <w:div w:id="1065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71150">
      <w:bodyDiv w:val="1"/>
      <w:marLeft w:val="0"/>
      <w:marRight w:val="0"/>
      <w:marTop w:val="0"/>
      <w:marBottom w:val="0"/>
      <w:divBdr>
        <w:top w:val="none" w:sz="0" w:space="0" w:color="auto"/>
        <w:left w:val="none" w:sz="0" w:space="0" w:color="auto"/>
        <w:bottom w:val="none" w:sz="0" w:space="0" w:color="auto"/>
        <w:right w:val="none" w:sz="0" w:space="0" w:color="auto"/>
      </w:divBdr>
    </w:div>
    <w:div w:id="375156982">
      <w:bodyDiv w:val="1"/>
      <w:marLeft w:val="0"/>
      <w:marRight w:val="0"/>
      <w:marTop w:val="0"/>
      <w:marBottom w:val="0"/>
      <w:divBdr>
        <w:top w:val="none" w:sz="0" w:space="0" w:color="auto"/>
        <w:left w:val="none" w:sz="0" w:space="0" w:color="auto"/>
        <w:bottom w:val="none" w:sz="0" w:space="0" w:color="auto"/>
        <w:right w:val="none" w:sz="0" w:space="0" w:color="auto"/>
      </w:divBdr>
    </w:div>
    <w:div w:id="409082773">
      <w:bodyDiv w:val="1"/>
      <w:marLeft w:val="0"/>
      <w:marRight w:val="0"/>
      <w:marTop w:val="0"/>
      <w:marBottom w:val="0"/>
      <w:divBdr>
        <w:top w:val="none" w:sz="0" w:space="0" w:color="auto"/>
        <w:left w:val="none" w:sz="0" w:space="0" w:color="auto"/>
        <w:bottom w:val="none" w:sz="0" w:space="0" w:color="auto"/>
        <w:right w:val="none" w:sz="0" w:space="0" w:color="auto"/>
      </w:divBdr>
    </w:div>
    <w:div w:id="1214776923">
      <w:bodyDiv w:val="1"/>
      <w:marLeft w:val="0"/>
      <w:marRight w:val="0"/>
      <w:marTop w:val="0"/>
      <w:marBottom w:val="0"/>
      <w:divBdr>
        <w:top w:val="none" w:sz="0" w:space="0" w:color="auto"/>
        <w:left w:val="none" w:sz="0" w:space="0" w:color="auto"/>
        <w:bottom w:val="none" w:sz="0" w:space="0" w:color="auto"/>
        <w:right w:val="none" w:sz="0" w:space="0" w:color="auto"/>
      </w:divBdr>
    </w:div>
    <w:div w:id="1301419045">
      <w:bodyDiv w:val="1"/>
      <w:marLeft w:val="0"/>
      <w:marRight w:val="0"/>
      <w:marTop w:val="0"/>
      <w:marBottom w:val="0"/>
      <w:divBdr>
        <w:top w:val="none" w:sz="0" w:space="0" w:color="auto"/>
        <w:left w:val="none" w:sz="0" w:space="0" w:color="auto"/>
        <w:bottom w:val="none" w:sz="0" w:space="0" w:color="auto"/>
        <w:right w:val="none" w:sz="0" w:space="0" w:color="auto"/>
      </w:divBdr>
    </w:div>
    <w:div w:id="1370762126">
      <w:bodyDiv w:val="1"/>
      <w:marLeft w:val="0"/>
      <w:marRight w:val="0"/>
      <w:marTop w:val="0"/>
      <w:marBottom w:val="0"/>
      <w:divBdr>
        <w:top w:val="none" w:sz="0" w:space="0" w:color="auto"/>
        <w:left w:val="none" w:sz="0" w:space="0" w:color="auto"/>
        <w:bottom w:val="none" w:sz="0" w:space="0" w:color="auto"/>
        <w:right w:val="none" w:sz="0" w:space="0" w:color="auto"/>
      </w:divBdr>
    </w:div>
    <w:div w:id="1441491184">
      <w:bodyDiv w:val="1"/>
      <w:marLeft w:val="0"/>
      <w:marRight w:val="0"/>
      <w:marTop w:val="0"/>
      <w:marBottom w:val="0"/>
      <w:divBdr>
        <w:top w:val="none" w:sz="0" w:space="0" w:color="auto"/>
        <w:left w:val="none" w:sz="0" w:space="0" w:color="auto"/>
        <w:bottom w:val="none" w:sz="0" w:space="0" w:color="auto"/>
        <w:right w:val="none" w:sz="0" w:space="0" w:color="auto"/>
      </w:divBdr>
    </w:div>
    <w:div w:id="1445997745">
      <w:bodyDiv w:val="1"/>
      <w:marLeft w:val="0"/>
      <w:marRight w:val="0"/>
      <w:marTop w:val="0"/>
      <w:marBottom w:val="0"/>
      <w:divBdr>
        <w:top w:val="none" w:sz="0" w:space="0" w:color="auto"/>
        <w:left w:val="none" w:sz="0" w:space="0" w:color="auto"/>
        <w:bottom w:val="none" w:sz="0" w:space="0" w:color="auto"/>
        <w:right w:val="none" w:sz="0" w:space="0" w:color="auto"/>
      </w:divBdr>
    </w:div>
    <w:div w:id="1789659469">
      <w:bodyDiv w:val="1"/>
      <w:marLeft w:val="0"/>
      <w:marRight w:val="0"/>
      <w:marTop w:val="0"/>
      <w:marBottom w:val="0"/>
      <w:divBdr>
        <w:top w:val="none" w:sz="0" w:space="0" w:color="auto"/>
        <w:left w:val="none" w:sz="0" w:space="0" w:color="auto"/>
        <w:bottom w:val="none" w:sz="0" w:space="0" w:color="auto"/>
        <w:right w:val="none" w:sz="0" w:space="0" w:color="auto"/>
      </w:divBdr>
      <w:divsChild>
        <w:div w:id="819660987">
          <w:marLeft w:val="0"/>
          <w:marRight w:val="0"/>
          <w:marTop w:val="0"/>
          <w:marBottom w:val="0"/>
          <w:divBdr>
            <w:top w:val="none" w:sz="0" w:space="0" w:color="auto"/>
            <w:left w:val="none" w:sz="0" w:space="0" w:color="auto"/>
            <w:bottom w:val="none" w:sz="0" w:space="0" w:color="auto"/>
            <w:right w:val="none" w:sz="0" w:space="0" w:color="auto"/>
          </w:divBdr>
          <w:divsChild>
            <w:div w:id="2016882582">
              <w:marLeft w:val="0"/>
              <w:marRight w:val="0"/>
              <w:marTop w:val="0"/>
              <w:marBottom w:val="0"/>
              <w:divBdr>
                <w:top w:val="none" w:sz="0" w:space="0" w:color="auto"/>
                <w:left w:val="none" w:sz="0" w:space="0" w:color="auto"/>
                <w:bottom w:val="none" w:sz="0" w:space="0" w:color="auto"/>
                <w:right w:val="none" w:sz="0" w:space="0" w:color="auto"/>
              </w:divBdr>
              <w:divsChild>
                <w:div w:id="1268345847">
                  <w:marLeft w:val="0"/>
                  <w:marRight w:val="0"/>
                  <w:marTop w:val="0"/>
                  <w:marBottom w:val="0"/>
                  <w:divBdr>
                    <w:top w:val="none" w:sz="0" w:space="0" w:color="auto"/>
                    <w:left w:val="none" w:sz="0" w:space="0" w:color="auto"/>
                    <w:bottom w:val="none" w:sz="0" w:space="0" w:color="auto"/>
                    <w:right w:val="none" w:sz="0" w:space="0" w:color="auto"/>
                  </w:divBdr>
                  <w:divsChild>
                    <w:div w:id="1335305464">
                      <w:marLeft w:val="0"/>
                      <w:marRight w:val="0"/>
                      <w:marTop w:val="0"/>
                      <w:marBottom w:val="0"/>
                      <w:divBdr>
                        <w:top w:val="none" w:sz="0" w:space="0" w:color="auto"/>
                        <w:left w:val="none" w:sz="0" w:space="0" w:color="auto"/>
                        <w:bottom w:val="none" w:sz="0" w:space="0" w:color="auto"/>
                        <w:right w:val="none" w:sz="0" w:space="0" w:color="auto"/>
                      </w:divBdr>
                      <w:divsChild>
                        <w:div w:id="2007006140">
                          <w:marLeft w:val="0"/>
                          <w:marRight w:val="0"/>
                          <w:marTop w:val="0"/>
                          <w:marBottom w:val="0"/>
                          <w:divBdr>
                            <w:top w:val="none" w:sz="0" w:space="0" w:color="auto"/>
                            <w:left w:val="none" w:sz="0" w:space="0" w:color="auto"/>
                            <w:bottom w:val="none" w:sz="0" w:space="0" w:color="auto"/>
                            <w:right w:val="none" w:sz="0" w:space="0" w:color="auto"/>
                          </w:divBdr>
                          <w:divsChild>
                            <w:div w:id="16721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grida.Cauna@sa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162</kartiba>
    <Apraksts xmlns="0403aeb7-10dd-41a9-8f8e-1fc0ec5546a5">MK noteikumi </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9BD0-BBD7-4AB7-BBA6-F3B3B039EF03}">
  <ds:schemaRefs>
    <ds:schemaRef ds:uri="http://schemas.microsoft.com/sharepoint/v3/contenttype/forms"/>
  </ds:schemaRefs>
</ds:datastoreItem>
</file>

<file path=customXml/itemProps2.xml><?xml version="1.0" encoding="utf-8"?>
<ds:datastoreItem xmlns:ds="http://schemas.openxmlformats.org/officeDocument/2006/customXml" ds:itemID="{CFFD1FA7-B9C8-408B-B5A3-E70D9A16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8B84A-6A1A-48F6-ADE0-10EAA2004B60}">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0403aeb7-10dd-41a9-8f8e-1fc0ec5546a5"/>
    <ds:schemaRef ds:uri="http://schemas.microsoft.com/office/infopath/2007/PartnerControls"/>
  </ds:schemaRefs>
</ds:datastoreItem>
</file>

<file path=customXml/itemProps4.xml><?xml version="1.0" encoding="utf-8"?>
<ds:datastoreItem xmlns:ds="http://schemas.openxmlformats.org/officeDocument/2006/customXml" ds:itemID="{07741D15-7E78-4303-AE97-F14CBB70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981</Words>
  <Characters>6503</Characters>
  <Application>Microsoft Office Word</Application>
  <DocSecurity>0</DocSecurity>
  <Lines>132</Lines>
  <Paragraphs>49</Paragraphs>
  <ScaleCrop>false</ScaleCrop>
  <HeadingPairs>
    <vt:vector size="2" baseType="variant">
      <vt:variant>
        <vt:lpstr>Title</vt:lpstr>
      </vt:variant>
      <vt:variant>
        <vt:i4>1</vt:i4>
      </vt:variant>
    </vt:vector>
  </HeadingPairs>
  <TitlesOfParts>
    <vt:vector size="1" baseType="lpstr">
      <vt:lpstr>Grozījumi Ministru kabineta 2016.gada 24.maija noteikumos Nr.319 "Darbības programmas "Izaugsme un nodarbinātība" 6.1.1. specifiskā atbalsta mērķa "Palielināt lielo ostu drošības līmeni un uzlabot transporta tīkla mobilitāti" īstenošanas noteikumi" īsteno</vt:lpstr>
    </vt:vector>
  </TitlesOfParts>
  <Company>Latvenergo</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24.maija noteikumos Nr.319 "Darbības programmas "Izaugsme un nodarbinātība" 6.1.1. specifiskā atbalsta mērķa "Palielināt lielo ostu drošības līmeni un uzlabot transporta tīkla mobilitāti" īstenošanas noteikumi" īstenošanas noteikumi"</dc:title>
  <dc:creator>Ingrida.Cauna@sam.gov.lv</dc:creator>
  <cp:keywords>MK noteikumu projekts</cp:keywords>
  <cp:lastModifiedBy>Ingrīda Cauna</cp:lastModifiedBy>
  <cp:revision>14</cp:revision>
  <cp:lastPrinted>2017-06-30T10:23:00Z</cp:lastPrinted>
  <dcterms:created xsi:type="dcterms:W3CDTF">2017-07-03T05:47:00Z</dcterms:created>
  <dcterms:modified xsi:type="dcterms:W3CDTF">2017-07-03T07:09:00Z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