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88A" w:rsidRPr="00672A37" w:rsidRDefault="00D5688A" w:rsidP="00745475">
      <w:pPr>
        <w:spacing w:before="60"/>
        <w:jc w:val="center"/>
        <w:rPr>
          <w:b/>
          <w:sz w:val="32"/>
          <w:szCs w:val="32"/>
        </w:rPr>
      </w:pPr>
      <w:bookmarkStart w:id="0" w:name="_Toc284933056"/>
      <w:bookmarkStart w:id="1" w:name="_Toc285004778"/>
      <w:bookmarkStart w:id="2" w:name="_Toc285027503"/>
      <w:r w:rsidRPr="00AA0587">
        <w:rPr>
          <w:b/>
          <w:sz w:val="32"/>
          <w:szCs w:val="32"/>
        </w:rPr>
        <w:t>Informatīvais</w:t>
      </w:r>
      <w:r w:rsidRPr="00672A37">
        <w:rPr>
          <w:b/>
          <w:sz w:val="32"/>
          <w:szCs w:val="32"/>
        </w:rPr>
        <w:t xml:space="preserve"> ziņojums</w:t>
      </w:r>
      <w:bookmarkEnd w:id="0"/>
      <w:bookmarkEnd w:id="1"/>
      <w:bookmarkEnd w:id="2"/>
      <w:r w:rsidRPr="00672A37">
        <w:rPr>
          <w:b/>
          <w:sz w:val="32"/>
          <w:szCs w:val="32"/>
        </w:rPr>
        <w:t xml:space="preserve"> </w:t>
      </w:r>
    </w:p>
    <w:p w:rsidR="00DF7A9C" w:rsidRPr="00745475" w:rsidRDefault="00D5688A" w:rsidP="00745475">
      <w:pPr>
        <w:spacing w:before="60"/>
        <w:jc w:val="center"/>
        <w:rPr>
          <w:sz w:val="32"/>
          <w:szCs w:val="32"/>
        </w:rPr>
      </w:pPr>
      <w:r w:rsidRPr="00672A37">
        <w:rPr>
          <w:b/>
          <w:sz w:val="32"/>
          <w:szCs w:val="32"/>
        </w:rPr>
        <w:t>"Par Maksātnespējas administrācijas attīstību"</w:t>
      </w:r>
    </w:p>
    <w:p w:rsidR="00BB65EB" w:rsidRPr="00745475" w:rsidRDefault="00C90AD8" w:rsidP="0094661D">
      <w:pPr>
        <w:spacing w:before="240"/>
        <w:jc w:val="center"/>
        <w:rPr>
          <w:b/>
          <w:smallCaps/>
          <w:sz w:val="26"/>
          <w:szCs w:val="26"/>
        </w:rPr>
      </w:pPr>
      <w:r>
        <w:rPr>
          <w:b/>
          <w:smallCaps/>
          <w:sz w:val="26"/>
          <w:szCs w:val="26"/>
        </w:rPr>
        <w:t>I</w:t>
      </w:r>
      <w:r w:rsidR="00EF4EDA" w:rsidRPr="00745475">
        <w:rPr>
          <w:b/>
          <w:smallCaps/>
          <w:sz w:val="26"/>
          <w:szCs w:val="26"/>
        </w:rPr>
        <w:t>. </w:t>
      </w:r>
      <w:r w:rsidR="00BB65EB" w:rsidRPr="00745475">
        <w:rPr>
          <w:b/>
          <w:smallCaps/>
          <w:sz w:val="26"/>
          <w:szCs w:val="26"/>
        </w:rPr>
        <w:t>Maksātnespējas administrācijas kompetence</w:t>
      </w:r>
    </w:p>
    <w:p w:rsidR="00351411" w:rsidRPr="00BB65EB" w:rsidRDefault="00E015B0" w:rsidP="00745475">
      <w:pPr>
        <w:spacing w:before="60"/>
        <w:ind w:firstLine="720"/>
        <w:jc w:val="both"/>
        <w:rPr>
          <w:b/>
        </w:rPr>
      </w:pPr>
      <w:r w:rsidRPr="00BB65EB">
        <w:t>Maksātnespējas sistēma būs efektīva vienīgi tādā gadījumā, ja par tās īstenošanu atbildīgajām iestādēm un amatpersonām būs nepieciešamie resursi, lai nodrošinātu efektīvu, savlaicīgu un taisnīgu iznākumu tām personām, kuru labā maksātnespējas regulējums pastāv.</w:t>
      </w:r>
      <w:r>
        <w:rPr>
          <w:rStyle w:val="FootnoteReference"/>
        </w:rPr>
        <w:footnoteReference w:id="1"/>
      </w:r>
      <w:r w:rsidRPr="00BB65EB">
        <w:t xml:space="preserve"> </w:t>
      </w:r>
    </w:p>
    <w:p w:rsidR="00C27E44" w:rsidRDefault="00BA2B17" w:rsidP="00745475">
      <w:pPr>
        <w:spacing w:before="60"/>
        <w:ind w:firstLine="720"/>
        <w:jc w:val="both"/>
      </w:pPr>
      <w:r>
        <w:t xml:space="preserve">Viens no nozīmīgākajiem </w:t>
      </w:r>
      <w:r w:rsidR="007E526C">
        <w:t xml:space="preserve">kvalitatīvas </w:t>
      </w:r>
      <w:r>
        <w:t xml:space="preserve">maksātnespējas tiesību piemērošanas priekšnoteikumiem </w:t>
      </w:r>
      <w:r w:rsidR="007E526C">
        <w:t xml:space="preserve">ir </w:t>
      </w:r>
      <w:r w:rsidR="00B72C82">
        <w:t xml:space="preserve">stipra tiesu vara, kas nodrošina objektīvu un ātru ar maksātnespējas procesu saistīto jautājumu izskatīšanu. Attīstoties Latvijas maksātnespējas procesa tiesiskajam regulējumam, tiesas izskatāmo jautājumu loks tiek arvien paplašināts, tādējādi palielinot tiesu noslogotību. </w:t>
      </w:r>
      <w:r w:rsidR="00A90197">
        <w:t>L</w:t>
      </w:r>
      <w:r w:rsidR="00B72C82">
        <w:t xml:space="preserve">ai </w:t>
      </w:r>
      <w:r w:rsidR="00A90197">
        <w:t xml:space="preserve">paaugstinātu maksātnespējas procesa efektivitāti, </w:t>
      </w:r>
      <w:r w:rsidR="00073C9B">
        <w:t xml:space="preserve">līdzās </w:t>
      </w:r>
      <w:r w:rsidR="00A90197">
        <w:t xml:space="preserve">tiesai maksātnespējas procesa uzraudzību savas kompetences ietvaros nodrošina Maksātnespējas administrācija, </w:t>
      </w:r>
      <w:r w:rsidR="00E5244E">
        <w:t xml:space="preserve">kuras </w:t>
      </w:r>
      <w:r w:rsidR="00E5244E" w:rsidRPr="00722962">
        <w:rPr>
          <w:b/>
        </w:rPr>
        <w:t>galvenais darbības mērķis</w:t>
      </w:r>
      <w:r w:rsidR="00E5244E" w:rsidRPr="002D2B88">
        <w:t xml:space="preserve"> ir</w:t>
      </w:r>
      <w:r w:rsidR="00E5244E">
        <w:t xml:space="preserve"> nodrošināt maksātnespējas </w:t>
      </w:r>
      <w:r w:rsidR="00E5244E" w:rsidRPr="002D2B88">
        <w:t>procesa administratoru (turpmāk – administrators)</w:t>
      </w:r>
      <w:r w:rsidR="00E5244E">
        <w:t xml:space="preserve"> </w:t>
      </w:r>
      <w:r w:rsidR="005E3676">
        <w:t>rīcības</w:t>
      </w:r>
      <w:r w:rsidR="00E5244E">
        <w:t xml:space="preserve"> un maksātnespējas procesa norises </w:t>
      </w:r>
      <w:r w:rsidR="004372BE">
        <w:t xml:space="preserve">likumības </w:t>
      </w:r>
      <w:r w:rsidR="00E5244E">
        <w:t>kontroli</w:t>
      </w:r>
      <w:r w:rsidR="00745475">
        <w:t xml:space="preserve"> un uzraudzību</w:t>
      </w:r>
      <w:r w:rsidR="00E5244E">
        <w:t>. Minētā mērķa īstenošana ļauj</w:t>
      </w:r>
      <w:r>
        <w:t xml:space="preserve"> samazināt</w:t>
      </w:r>
      <w:r w:rsidR="00E71A19" w:rsidRPr="00E71A19">
        <w:t xml:space="preserve"> funkcijas, kas tiesai jāveic saskaņā ar maksātnespējas tiesību aktiem,</w:t>
      </w:r>
      <w:r>
        <w:t xml:space="preserve"> atbrīvojot tās kapacitāti </w:t>
      </w:r>
      <w:r w:rsidR="001F786B">
        <w:t xml:space="preserve">būtiskāku </w:t>
      </w:r>
      <w:r>
        <w:t>ar procesa virzību saistīto jautājumu izšķiršan</w:t>
      </w:r>
      <w:r w:rsidR="001F786B">
        <w:t>ai</w:t>
      </w:r>
      <w:r>
        <w:t xml:space="preserve">, </w:t>
      </w:r>
      <w:r w:rsidR="00E71A19" w:rsidRPr="00E71A19">
        <w:t>tajā pašā laikā nodrošin</w:t>
      </w:r>
      <w:r>
        <w:t>ot</w:t>
      </w:r>
      <w:r w:rsidR="00E71A19" w:rsidRPr="00E71A19">
        <w:t xml:space="preserve"> nepieciešamās pārbaudes un līdzsvaru</w:t>
      </w:r>
      <w:r w:rsidR="00A90197">
        <w:t xml:space="preserve">. </w:t>
      </w:r>
    </w:p>
    <w:p w:rsidR="00BF78A1" w:rsidRDefault="00BF78A1" w:rsidP="00745475">
      <w:pPr>
        <w:spacing w:before="60"/>
        <w:ind w:firstLine="720"/>
        <w:jc w:val="both"/>
      </w:pPr>
      <w:r w:rsidRPr="00BF78A1">
        <w:t>Maksātnespējas administrācija ir tieslietu ministra pārraudzībā esoša tiešās pārvaldes iestāde, kas normatīvajos aktos noteiktās kompetences ietvaros īsteno valsts politiku tiesiskās aizsardzības procesa un maksātnespējas procesa jautājumos, aizsargā darbinieku intereses viņu darba devēja maksātnespējas gadījumā un likumā noteiktajā kārtībā īsteno valsts un sabiedrības interešu aizsardzību tiesiskās aizsardzības procesa un maksātnespējas procesa jautājumos.</w:t>
      </w:r>
    </w:p>
    <w:p w:rsidR="00BF78A1" w:rsidRPr="00BF78A1" w:rsidRDefault="00D27925" w:rsidP="00745475">
      <w:pPr>
        <w:spacing w:before="60"/>
        <w:ind w:firstLine="720"/>
        <w:jc w:val="both"/>
      </w:pPr>
      <w:r>
        <w:t>Lai īstenotu Maksātnespējas</w:t>
      </w:r>
      <w:r w:rsidR="00BF78A1" w:rsidRPr="00BF78A1">
        <w:t xml:space="preserve"> likuma </w:t>
      </w:r>
      <w:r w:rsidR="00BF78A1" w:rsidRPr="00991751">
        <w:t>173.</w:t>
      </w:r>
      <w:r w:rsidR="00506217">
        <w:t> </w:t>
      </w:r>
      <w:r w:rsidR="00BF78A1" w:rsidRPr="00991751">
        <w:t>pantā</w:t>
      </w:r>
      <w:r w:rsidR="00BF78A1" w:rsidRPr="00BF78A1">
        <w:t xml:space="preserve"> un citos normatīvajos aktos noteiktās funkcijas, Maksātnespējas administrācija:</w:t>
      </w:r>
    </w:p>
    <w:p w:rsidR="00BF78A1" w:rsidRPr="00BF78A1" w:rsidRDefault="00BF78A1" w:rsidP="0094661D">
      <w:pPr>
        <w:ind w:firstLine="720"/>
        <w:jc w:val="both"/>
      </w:pPr>
      <w:r w:rsidRPr="00BF78A1">
        <w:t>1)</w:t>
      </w:r>
      <w:r w:rsidR="00506217">
        <w:t> </w:t>
      </w:r>
      <w:r w:rsidRPr="00BF78A1">
        <w:t>veic administratoru uzraudzību;</w:t>
      </w:r>
    </w:p>
    <w:p w:rsidR="00BF78A1" w:rsidRPr="00BF78A1" w:rsidRDefault="00BF78A1" w:rsidP="0094661D">
      <w:pPr>
        <w:ind w:firstLine="720"/>
        <w:jc w:val="both"/>
      </w:pPr>
      <w:r w:rsidRPr="00BF78A1">
        <w:t>2)</w:t>
      </w:r>
      <w:r w:rsidR="00506217">
        <w:t> </w:t>
      </w:r>
      <w:r w:rsidRPr="00BF78A1">
        <w:t>izskata sūdzības par administratora rīcību, izņemot tos likumā noteiktos gadījumus, kad sūdzības par administratora lēmumiem izskatāmas tiesā, kurā ierosināta attiecīgā maksātnespējas procesa lieta;</w:t>
      </w:r>
    </w:p>
    <w:p w:rsidR="00BF78A1" w:rsidRPr="00BF78A1" w:rsidRDefault="00E3453B" w:rsidP="0094661D">
      <w:pPr>
        <w:ind w:firstLine="720"/>
        <w:jc w:val="both"/>
      </w:pPr>
      <w:r>
        <w:t>3) </w:t>
      </w:r>
      <w:r w:rsidR="00BF78A1" w:rsidRPr="00BF78A1">
        <w:t>izskata administratīvo pārkāpumu lietas atbilstoši Latvijas Administratīvo pārkāpumu kodeksā noteiktajai kompetencei;</w:t>
      </w:r>
    </w:p>
    <w:p w:rsidR="00BF78A1" w:rsidRPr="00BF78A1" w:rsidRDefault="00BF78A1" w:rsidP="0094661D">
      <w:pPr>
        <w:ind w:firstLine="720"/>
        <w:jc w:val="both"/>
      </w:pPr>
      <w:r w:rsidRPr="00BF78A1">
        <w:t>4)</w:t>
      </w:r>
      <w:r w:rsidR="00506217">
        <w:t> </w:t>
      </w:r>
      <w:r w:rsidRPr="00BF78A1">
        <w:t>izskata iesniegumus par maksātnespējīgo darba devēju darbinieku prasījumu apmierināšanu;</w:t>
      </w:r>
    </w:p>
    <w:p w:rsidR="00BF78A1" w:rsidRPr="00BF78A1" w:rsidRDefault="00BF78A1" w:rsidP="0094661D">
      <w:pPr>
        <w:ind w:firstLine="720"/>
        <w:jc w:val="both"/>
      </w:pPr>
      <w:r w:rsidRPr="00BF78A1">
        <w:t>5)</w:t>
      </w:r>
      <w:r w:rsidR="00506217">
        <w:t> </w:t>
      </w:r>
      <w:r w:rsidRPr="00BF78A1">
        <w:t>izskata iesniegumus par juridiskās personas maksātnespējas procesa depozīta un fiziskās personas maksātnespējas procesa depozīta izmaksu;</w:t>
      </w:r>
    </w:p>
    <w:p w:rsidR="00BF78A1" w:rsidRPr="00BF78A1" w:rsidRDefault="00BF78A1" w:rsidP="0094661D">
      <w:pPr>
        <w:ind w:firstLine="720"/>
        <w:jc w:val="both"/>
      </w:pPr>
      <w:r w:rsidRPr="00BF78A1">
        <w:t>6)</w:t>
      </w:r>
      <w:r w:rsidR="00506217">
        <w:t> </w:t>
      </w:r>
      <w:r w:rsidRPr="00BF78A1">
        <w:t xml:space="preserve">izskata iesniegumus par </w:t>
      </w:r>
      <w:r w:rsidR="00D27925">
        <w:t>Maksātnespējas</w:t>
      </w:r>
      <w:r w:rsidRPr="00BF78A1">
        <w:t xml:space="preserve"> likuma </w:t>
      </w:r>
      <w:r w:rsidRPr="00991751">
        <w:t>118.</w:t>
      </w:r>
      <w:r w:rsidRPr="00991751">
        <w:rPr>
          <w:vertAlign w:val="superscript"/>
        </w:rPr>
        <w:t>1</w:t>
      </w:r>
      <w:r w:rsidR="00506217">
        <w:t> </w:t>
      </w:r>
      <w:r w:rsidRPr="00991751">
        <w:t>pantā</w:t>
      </w:r>
      <w:r w:rsidRPr="00BF78A1">
        <w:t xml:space="preserve"> noteikto līdzekļu izmaksu;</w:t>
      </w:r>
    </w:p>
    <w:p w:rsidR="00BF78A1" w:rsidRPr="00BF78A1" w:rsidRDefault="00D57ACD" w:rsidP="0094661D">
      <w:pPr>
        <w:ind w:firstLine="720"/>
        <w:jc w:val="both"/>
      </w:pPr>
      <w:r>
        <w:t>7) </w:t>
      </w:r>
      <w:r w:rsidR="00BF78A1" w:rsidRPr="00BF78A1">
        <w:t>informē sabiedrību par maksātnespējas politikas īstenošanas rezultātiem un maksātnespējas jomas aktuālajiem jautājumiem;</w:t>
      </w:r>
    </w:p>
    <w:p w:rsidR="00BF78A1" w:rsidRPr="00BF78A1" w:rsidRDefault="00BF78A1" w:rsidP="0094661D">
      <w:pPr>
        <w:ind w:firstLine="720"/>
        <w:jc w:val="both"/>
      </w:pPr>
      <w:r w:rsidRPr="00BF78A1">
        <w:t>8)</w:t>
      </w:r>
      <w:r w:rsidR="00506217">
        <w:t> </w:t>
      </w:r>
      <w:r w:rsidRPr="00BF78A1">
        <w:t>organizē administratora eksāmenu un kvalifikācijas eksāmenu;</w:t>
      </w:r>
    </w:p>
    <w:p w:rsidR="00BF78A1" w:rsidRPr="00BF78A1" w:rsidRDefault="00BF78A1" w:rsidP="0094661D">
      <w:pPr>
        <w:ind w:firstLine="720"/>
        <w:jc w:val="both"/>
      </w:pPr>
      <w:r w:rsidRPr="00BF78A1">
        <w:t>9)</w:t>
      </w:r>
      <w:r w:rsidR="00506217">
        <w:t> </w:t>
      </w:r>
      <w:r w:rsidRPr="00BF78A1">
        <w:t>ieceļ amatā administratorus;</w:t>
      </w:r>
    </w:p>
    <w:p w:rsidR="00BF78A1" w:rsidRPr="00BF78A1" w:rsidRDefault="00BF78A1" w:rsidP="0094661D">
      <w:pPr>
        <w:ind w:firstLine="720"/>
        <w:jc w:val="both"/>
      </w:pPr>
      <w:r w:rsidRPr="00BF78A1">
        <w:t>10)</w:t>
      </w:r>
      <w:r w:rsidR="002E3CA3">
        <w:t> </w:t>
      </w:r>
      <w:r w:rsidRPr="00BF78A1">
        <w:t>atbrīvo, atceļ un atstādina no amata administratoru, kā arī aptur administratora amata darbību;</w:t>
      </w:r>
    </w:p>
    <w:p w:rsidR="00BF78A1" w:rsidRPr="00BF78A1" w:rsidRDefault="00BF78A1" w:rsidP="0094661D">
      <w:pPr>
        <w:ind w:firstLine="720"/>
        <w:jc w:val="both"/>
      </w:pPr>
      <w:r w:rsidRPr="00BF78A1">
        <w:t>11)</w:t>
      </w:r>
      <w:r w:rsidR="00506217">
        <w:t> </w:t>
      </w:r>
      <w:r w:rsidR="00D27925">
        <w:t>Maksātnespējas</w:t>
      </w:r>
      <w:r w:rsidRPr="00BF78A1">
        <w:t xml:space="preserve"> likumā noteiktajos gadījumos un apmērā veic tiesiskās aizsardzības procesa uzraugošo personu uzraudzību un izskata sūdzības par to rīcību;</w:t>
      </w:r>
    </w:p>
    <w:p w:rsidR="00BF78A1" w:rsidRPr="00BF78A1" w:rsidRDefault="00BF78A1" w:rsidP="0094661D">
      <w:pPr>
        <w:ind w:firstLine="720"/>
        <w:jc w:val="both"/>
      </w:pPr>
      <w:r w:rsidRPr="00BF78A1">
        <w:t>12)</w:t>
      </w:r>
      <w:r w:rsidR="00506217">
        <w:t> </w:t>
      </w:r>
      <w:r w:rsidRPr="00BF78A1">
        <w:t xml:space="preserve">izveido, uztur un attīsta </w:t>
      </w:r>
      <w:r w:rsidR="00D27925" w:rsidRPr="00D27925">
        <w:t>Elektronisk</w:t>
      </w:r>
      <w:r w:rsidR="00D27925">
        <w:t>o</w:t>
      </w:r>
      <w:r w:rsidR="00D27925" w:rsidRPr="00D27925">
        <w:t xml:space="preserve"> maksātnespējas uzraudzības sistēm</w:t>
      </w:r>
      <w:r w:rsidR="00D27925">
        <w:t>u</w:t>
      </w:r>
      <w:r w:rsidR="00B53A34">
        <w:t xml:space="preserve"> (turpmāk – Sistēma)</w:t>
      </w:r>
      <w:r w:rsidRPr="00BF78A1">
        <w:t>;</w:t>
      </w:r>
    </w:p>
    <w:p w:rsidR="00BF78A1" w:rsidRPr="00BF78A1" w:rsidRDefault="00BF78A1" w:rsidP="0094661D">
      <w:pPr>
        <w:ind w:firstLine="720"/>
        <w:jc w:val="both"/>
      </w:pPr>
      <w:r w:rsidRPr="00BF78A1">
        <w:lastRenderedPageBreak/>
        <w:t>13)</w:t>
      </w:r>
      <w:r w:rsidR="00506217">
        <w:t> </w:t>
      </w:r>
      <w:r w:rsidRPr="00BF78A1">
        <w:t xml:space="preserve">nodrošina administratoru un citu normatīvajos aktos noteikto personu, kurām ir pienākums iesniegt ziņas Maksātnespējas administrācijai, iesniegto dokumentu pārveidošanu elektroniskā formā glabāšanai elektroniskā vidē </w:t>
      </w:r>
      <w:r w:rsidR="00B53A34">
        <w:t>S</w:t>
      </w:r>
      <w:r w:rsidR="00C36DAB" w:rsidRPr="00D27925">
        <w:t>istēm</w:t>
      </w:r>
      <w:r w:rsidR="00C36DAB">
        <w:t>ā</w:t>
      </w:r>
      <w:r w:rsidR="00C36DAB" w:rsidRPr="00BF78A1">
        <w:t xml:space="preserve"> </w:t>
      </w:r>
      <w:r w:rsidRPr="00BF78A1">
        <w:t>saskaņā ar normatīvajiem aktiem par arhīvu pārvaldību;</w:t>
      </w:r>
    </w:p>
    <w:p w:rsidR="00BF78A1" w:rsidRPr="00BF78A1" w:rsidRDefault="00BF78A1" w:rsidP="0094661D">
      <w:pPr>
        <w:ind w:firstLine="720"/>
        <w:jc w:val="both"/>
      </w:pPr>
      <w:r w:rsidRPr="00BF78A1">
        <w:t>14)</w:t>
      </w:r>
      <w:r w:rsidR="00506217">
        <w:t> </w:t>
      </w:r>
      <w:r w:rsidRPr="00BF78A1">
        <w:t>nodrošina maksātnespējas jomu regulējošos normatīvajos aktos noteikto ziņu pieejamību;</w:t>
      </w:r>
    </w:p>
    <w:p w:rsidR="00632758" w:rsidRDefault="00BF78A1" w:rsidP="0094661D">
      <w:pPr>
        <w:ind w:firstLine="720"/>
        <w:jc w:val="both"/>
      </w:pPr>
      <w:r w:rsidRPr="00BF78A1">
        <w:t>15)</w:t>
      </w:r>
      <w:r w:rsidR="00506217">
        <w:t> </w:t>
      </w:r>
      <w:r w:rsidRPr="00BF78A1">
        <w:t>veic citos normatīvajos aktos noteiktos uzdevumus.</w:t>
      </w:r>
    </w:p>
    <w:p w:rsidR="00056586" w:rsidRDefault="00056586" w:rsidP="00745475">
      <w:pPr>
        <w:spacing w:before="60"/>
        <w:jc w:val="both"/>
      </w:pPr>
      <w:r>
        <w:tab/>
      </w:r>
      <w:r w:rsidR="00C62957">
        <w:t>Vienlaikus v</w:t>
      </w:r>
      <w:r w:rsidR="00C36E85" w:rsidRPr="00C36E85">
        <w:t>iens no būtiskajiem Maksātnespējas administrācijas uzdevumiem ir vienotās maksātnespējas procesu regulējošo normatīvo aktu piemērošanas prakses veidošanas veicināšana, kas tiek nodrošināts, sniedzot viedokli par normatīvo aktu piemērošanu pēc valsts institūciju un privātpersonu pieprasījuma, ņemot vērā gan tiesas paustās atziņas, gan pasaules valstu labāko praksi.</w:t>
      </w:r>
    </w:p>
    <w:p w:rsidR="00951814" w:rsidRDefault="003535B5" w:rsidP="003535B5">
      <w:pPr>
        <w:spacing w:before="60"/>
        <w:ind w:firstLine="720"/>
        <w:jc w:val="both"/>
        <w:rPr>
          <w:szCs w:val="28"/>
        </w:rPr>
      </w:pPr>
      <w:r w:rsidRPr="00616E82">
        <w:t>Ministru kabinet</w:t>
      </w:r>
      <w:r w:rsidR="00E0219B">
        <w:t>s</w:t>
      </w:r>
      <w:r w:rsidRPr="00616E82">
        <w:t xml:space="preserve"> 2016. gada 6. septembrī atbalstī</w:t>
      </w:r>
      <w:r w:rsidR="00E0219B">
        <w:t>ja</w:t>
      </w:r>
      <w:r w:rsidRPr="00616E82">
        <w:t xml:space="preserve"> Maksātnespējas politikas attīstības pamatnostād</w:t>
      </w:r>
      <w:r w:rsidR="00E0219B">
        <w:t>nes</w:t>
      </w:r>
      <w:r w:rsidRPr="00616E82">
        <w:t xml:space="preserve"> 2016. - 2020. gadam (atbalstītas ar Ministru kabineta 2016. gada 21. septembra rīkojumu Nr. 527 "Par Maksātnespējas politikas attīst</w:t>
      </w:r>
      <w:r>
        <w:t>ības pamatnostādnēm 2016.-2020. </w:t>
      </w:r>
      <w:r w:rsidRPr="00616E82">
        <w:t>gadam un to īstenošanas plānu")</w:t>
      </w:r>
      <w:r>
        <w:t xml:space="preserve"> (turpmāk – Pamatnostādnes)</w:t>
      </w:r>
      <w:r w:rsidR="00E0219B">
        <w:t>. Valdība, atbalstot pamatnostādnes un to ieviešanas plānu, apstiprināja maksātnespējas politikas rezultātus un rezultatīvos rādītājus, to ieviešanā iesaistītās institūcijas un atbilstoš</w:t>
      </w:r>
      <w:r w:rsidR="004D5E84">
        <w:t>o</w:t>
      </w:r>
      <w:r w:rsidR="00E0219B">
        <w:t>s uzdevumus. Rezultātu un rezultatīvo rādītāju izpilde tiks nodrošināta vairāku gadu garumā, sadalot to vairākos posmos</w:t>
      </w:r>
      <w:r w:rsidR="004D5E84">
        <w:t xml:space="preserve">, iekļaujot arī normatīvā regulējuma pakāpeniskus uzlabojumus. Pirmais no šiem posmiem bija Maksātnespējas likuma grozījumi, kas </w:t>
      </w:r>
      <w:r w:rsidR="00F00259">
        <w:t>stājās spēkā 2017. gada 6. janvārī</w:t>
      </w:r>
      <w:r w:rsidR="004D5E84">
        <w:t xml:space="preserve"> </w:t>
      </w:r>
      <w:proofErr w:type="gramStart"/>
      <w:r w:rsidR="004D5E84">
        <w:t>un,</w:t>
      </w:r>
      <w:proofErr w:type="gramEnd"/>
      <w:r w:rsidR="004D5E84">
        <w:t xml:space="preserve"> kurus pirms pieņemšanas Saeimā, likumdošanas procesa laikā Juridiskajā komisijā atbalstīja arī lielākās uzņēmēju un nevalstiskās organizācijas. Pieņemot minētos grozījumus, ar kuriem Maksātnespējas administrācijai tika noteiktas vairākas būtiskas jaunas funkcijas, valsts nozīmes informācijas sistēmu izveide, sabiedrības informēšanas pienākums u.c. papildus lietas, to finansēšanas aspekti netika analizēti, jo pamatnostādņu IV. </w:t>
      </w:r>
      <w:r w:rsidR="00C90AD8">
        <w:t>sadaļā</w:t>
      </w:r>
      <w:r w:rsidR="004D5E84">
        <w:t xml:space="preserve"> </w:t>
      </w:r>
      <w:r w:rsidR="00C62957">
        <w:t xml:space="preserve">– </w:t>
      </w:r>
      <w:r w:rsidR="004D5E84">
        <w:t xml:space="preserve">Rīcības virzieni un uzdevumi </w:t>
      </w:r>
      <w:r w:rsidR="00C62957">
        <w:t xml:space="preserve">– </w:t>
      </w:r>
      <w:r w:rsidR="004D5E84">
        <w:t>4.2.punktā ir paredzēta Maksātnespējas administrācijas kapacitātes stiprināšana</w:t>
      </w:r>
      <w:r w:rsidR="00776C5B">
        <w:t>, kas sevī ietver papildus līdzekļu novirzīšanu visu minēto grozījumu ieviešanai.</w:t>
      </w:r>
    </w:p>
    <w:p w:rsidR="00E31D84" w:rsidRDefault="00F00259" w:rsidP="00745475">
      <w:pPr>
        <w:spacing w:before="60"/>
        <w:ind w:firstLine="720"/>
        <w:jc w:val="both"/>
        <w:rPr>
          <w:szCs w:val="28"/>
        </w:rPr>
      </w:pPr>
      <w:r>
        <w:rPr>
          <w:szCs w:val="28"/>
        </w:rPr>
        <w:t>S</w:t>
      </w:r>
      <w:r w:rsidR="0014667C">
        <w:rPr>
          <w:szCs w:val="28"/>
        </w:rPr>
        <w:t>tāj</w:t>
      </w:r>
      <w:r>
        <w:rPr>
          <w:szCs w:val="28"/>
        </w:rPr>
        <w:t>oties</w:t>
      </w:r>
      <w:r w:rsidR="0014667C">
        <w:rPr>
          <w:szCs w:val="28"/>
        </w:rPr>
        <w:t xml:space="preserve"> spēkā </w:t>
      </w:r>
      <w:r w:rsidR="00B85BFF">
        <w:rPr>
          <w:szCs w:val="28"/>
        </w:rPr>
        <w:t>Maksātnespējas likuma grozījumi</w:t>
      </w:r>
      <w:r>
        <w:rPr>
          <w:szCs w:val="28"/>
        </w:rPr>
        <w:t>em</w:t>
      </w:r>
      <w:r w:rsidR="00B85BFF">
        <w:rPr>
          <w:szCs w:val="28"/>
        </w:rPr>
        <w:t xml:space="preserve">, </w:t>
      </w:r>
      <w:r w:rsidR="005A4CAA">
        <w:rPr>
          <w:szCs w:val="28"/>
        </w:rPr>
        <w:t>M</w:t>
      </w:r>
      <w:r>
        <w:rPr>
          <w:szCs w:val="28"/>
        </w:rPr>
        <w:t xml:space="preserve">aksātnespējas administrācijai tika </w:t>
      </w:r>
      <w:r>
        <w:t>piešķirtas</w:t>
      </w:r>
      <w:r w:rsidR="00264E44">
        <w:t xml:space="preserve"> papildu tiesības un tās</w:t>
      </w:r>
      <w:r w:rsidR="001F633A">
        <w:t xml:space="preserve"> kompetencē</w:t>
      </w:r>
      <w:r w:rsidR="00B85BFF">
        <w:t xml:space="preserve"> </w:t>
      </w:r>
      <w:r>
        <w:t xml:space="preserve">tika </w:t>
      </w:r>
      <w:r w:rsidR="00B85BFF">
        <w:t>nodot</w:t>
      </w:r>
      <w:r>
        <w:t>i</w:t>
      </w:r>
      <w:r w:rsidR="0058398F">
        <w:t xml:space="preserve"> papildu uzdevum</w:t>
      </w:r>
      <w:r w:rsidR="00B85BFF">
        <w:t>us</w:t>
      </w:r>
      <w:r w:rsidR="00AD7EB6">
        <w:t>, kurus</w:t>
      </w:r>
      <w:r w:rsidR="0058398F">
        <w:t xml:space="preserve"> </w:t>
      </w:r>
      <w:r>
        <w:t xml:space="preserve">iestāde </w:t>
      </w:r>
      <w:r w:rsidR="00914F1D">
        <w:t>līdz šim nav īstenojusi</w:t>
      </w:r>
      <w:r w:rsidR="00AD7EB6">
        <w:rPr>
          <w:szCs w:val="28"/>
        </w:rPr>
        <w:t xml:space="preserve">, </w:t>
      </w:r>
      <w:r w:rsidR="0038770F">
        <w:rPr>
          <w:szCs w:val="28"/>
        </w:rPr>
        <w:t>proti:</w:t>
      </w:r>
      <w:r w:rsidR="005F7088" w:rsidRPr="005F7088">
        <w:t xml:space="preserve"> </w:t>
      </w:r>
    </w:p>
    <w:p w:rsidR="0025291A" w:rsidRDefault="00E31D84" w:rsidP="0094661D">
      <w:pPr>
        <w:ind w:firstLine="720"/>
        <w:jc w:val="both"/>
        <w:rPr>
          <w:szCs w:val="28"/>
        </w:rPr>
      </w:pPr>
      <w:r>
        <w:rPr>
          <w:szCs w:val="28"/>
        </w:rPr>
        <w:t>1) </w:t>
      </w:r>
      <w:r w:rsidR="0025291A">
        <w:rPr>
          <w:szCs w:val="28"/>
        </w:rPr>
        <w:t xml:space="preserve">organizēt </w:t>
      </w:r>
      <w:r w:rsidR="0025291A" w:rsidRPr="00BF78A1">
        <w:t>administratora eksāmenu un kvalifikācijas eksāmenu</w:t>
      </w:r>
      <w:r w:rsidR="0025291A">
        <w:t xml:space="preserve">, </w:t>
      </w:r>
      <w:r w:rsidR="0025291A">
        <w:rPr>
          <w:szCs w:val="28"/>
        </w:rPr>
        <w:t>tādējādi veicot administratoru kvalifikācijas kontroli;</w:t>
      </w:r>
    </w:p>
    <w:p w:rsidR="00326600" w:rsidRDefault="00326600" w:rsidP="0094661D">
      <w:pPr>
        <w:ind w:firstLine="720"/>
        <w:jc w:val="both"/>
        <w:rPr>
          <w:szCs w:val="28"/>
        </w:rPr>
      </w:pPr>
      <w:r>
        <w:rPr>
          <w:szCs w:val="28"/>
        </w:rPr>
        <w:t>2) </w:t>
      </w:r>
      <w:r w:rsidR="00CC5D63">
        <w:t xml:space="preserve">iecelt amatā administratorus, kā arī </w:t>
      </w:r>
      <w:r w:rsidR="00CC5D63" w:rsidRPr="00BF78A1">
        <w:t>atbrīvo</w:t>
      </w:r>
      <w:r w:rsidR="00CC5D63">
        <w:t xml:space="preserve">t, atcelt, </w:t>
      </w:r>
      <w:r w:rsidR="00CC5D63" w:rsidRPr="00BF78A1">
        <w:t>atstādin</w:t>
      </w:r>
      <w:r w:rsidR="00CC5D63">
        <w:t>āt</w:t>
      </w:r>
      <w:r w:rsidR="00CC5D63" w:rsidRPr="00BF78A1">
        <w:t xml:space="preserve"> no amata administratoru, </w:t>
      </w:r>
      <w:r w:rsidR="00CC5D63">
        <w:t xml:space="preserve">un </w:t>
      </w:r>
      <w:r w:rsidR="00CC5D63" w:rsidRPr="00BF78A1">
        <w:t>aptur</w:t>
      </w:r>
      <w:r w:rsidR="00CC5D63">
        <w:t>ēt</w:t>
      </w:r>
      <w:r w:rsidR="00CC5D63" w:rsidRPr="00BF78A1">
        <w:t xml:space="preserve"> administratora amata darbību;</w:t>
      </w:r>
    </w:p>
    <w:p w:rsidR="00E31D84" w:rsidRDefault="00A7585B" w:rsidP="0094661D">
      <w:pPr>
        <w:ind w:firstLine="720"/>
        <w:jc w:val="both"/>
        <w:rPr>
          <w:szCs w:val="28"/>
        </w:rPr>
      </w:pPr>
      <w:r>
        <w:rPr>
          <w:szCs w:val="28"/>
        </w:rPr>
        <w:t>3</w:t>
      </w:r>
      <w:r w:rsidR="00E31D84">
        <w:rPr>
          <w:szCs w:val="28"/>
        </w:rPr>
        <w:t>) </w:t>
      </w:r>
      <w:r w:rsidR="00D479DA">
        <w:rPr>
          <w:szCs w:val="28"/>
        </w:rPr>
        <w:t>ierosināt disciplinārlietas</w:t>
      </w:r>
      <w:r w:rsidR="00AC2455">
        <w:rPr>
          <w:szCs w:val="28"/>
        </w:rPr>
        <w:t>, tādējādi</w:t>
      </w:r>
      <w:r w:rsidR="00D479DA">
        <w:rPr>
          <w:szCs w:val="28"/>
        </w:rPr>
        <w:t xml:space="preserve"> </w:t>
      </w:r>
      <w:r w:rsidR="00AC2455">
        <w:rPr>
          <w:szCs w:val="28"/>
        </w:rPr>
        <w:t>nodrošinot</w:t>
      </w:r>
      <w:r w:rsidR="00B6578D">
        <w:rPr>
          <w:szCs w:val="28"/>
        </w:rPr>
        <w:t xml:space="preserve"> </w:t>
      </w:r>
      <w:r w:rsidR="00AC2455">
        <w:rPr>
          <w:szCs w:val="28"/>
        </w:rPr>
        <w:t xml:space="preserve">administratoru profesionālās darbības kvalitātes kontroli, kā arī nodrošināt </w:t>
      </w:r>
      <w:r w:rsidR="00B6578D">
        <w:rPr>
          <w:szCs w:val="28"/>
        </w:rPr>
        <w:t>disciplinārlietu komisijas darbību</w:t>
      </w:r>
      <w:r w:rsidR="00E31D84">
        <w:rPr>
          <w:szCs w:val="28"/>
        </w:rPr>
        <w:t>;</w:t>
      </w:r>
    </w:p>
    <w:p w:rsidR="00427BB3" w:rsidRDefault="000E1483" w:rsidP="0094661D">
      <w:pPr>
        <w:pStyle w:val="tv2132"/>
        <w:spacing w:line="240" w:lineRule="auto"/>
        <w:ind w:firstLine="720"/>
        <w:jc w:val="both"/>
        <w:rPr>
          <w:color w:val="auto"/>
          <w:sz w:val="24"/>
          <w:szCs w:val="24"/>
        </w:rPr>
      </w:pPr>
      <w:r w:rsidRPr="003639AC">
        <w:rPr>
          <w:color w:val="auto"/>
          <w:sz w:val="24"/>
          <w:szCs w:val="28"/>
        </w:rPr>
        <w:t>4</w:t>
      </w:r>
      <w:r w:rsidR="00E31D84" w:rsidRPr="003639AC">
        <w:rPr>
          <w:color w:val="auto"/>
          <w:sz w:val="24"/>
          <w:szCs w:val="28"/>
        </w:rPr>
        <w:t>) </w:t>
      </w:r>
      <w:r w:rsidR="00427BB3" w:rsidRPr="0042153A">
        <w:rPr>
          <w:color w:val="auto"/>
          <w:sz w:val="24"/>
          <w:szCs w:val="24"/>
        </w:rPr>
        <w:t xml:space="preserve">ierasties tiesiskās aizsardzības procesa uzraugošās personas un administratora prakses vietā vai parādnieka </w:t>
      </w:r>
      <w:r w:rsidR="00427BB3" w:rsidRPr="0042153A">
        <w:rPr>
          <w:color w:val="auto"/>
          <w:sz w:val="24"/>
          <w:szCs w:val="24"/>
        </w:rPr>
        <w:softHyphen/>
      </w:r>
      <w:r w:rsidR="00427BB3">
        <w:rPr>
          <w:color w:val="auto"/>
          <w:sz w:val="24"/>
          <w:szCs w:val="24"/>
        </w:rPr>
        <w:t>-</w:t>
      </w:r>
      <w:r w:rsidR="00427BB3" w:rsidRPr="0042153A">
        <w:rPr>
          <w:color w:val="auto"/>
          <w:sz w:val="24"/>
          <w:szCs w:val="24"/>
        </w:rPr>
        <w:t xml:space="preserve"> juridiskās personas </w:t>
      </w:r>
      <w:r w:rsidR="00427BB3" w:rsidRPr="0042153A">
        <w:rPr>
          <w:color w:val="auto"/>
          <w:sz w:val="24"/>
          <w:szCs w:val="24"/>
        </w:rPr>
        <w:softHyphen/>
        <w:t> atraš</w:t>
      </w:r>
      <w:r w:rsidR="00616E82">
        <w:rPr>
          <w:color w:val="auto"/>
          <w:sz w:val="24"/>
          <w:szCs w:val="24"/>
        </w:rPr>
        <w:t>anās vietā pārbaudes veikšanai;</w:t>
      </w:r>
    </w:p>
    <w:p w:rsidR="000E1483" w:rsidRDefault="000E1483" w:rsidP="0094661D">
      <w:pPr>
        <w:ind w:firstLine="720"/>
        <w:jc w:val="both"/>
        <w:rPr>
          <w:szCs w:val="28"/>
        </w:rPr>
      </w:pPr>
      <w:r>
        <w:rPr>
          <w:szCs w:val="28"/>
        </w:rPr>
        <w:t>5) </w:t>
      </w:r>
      <w:r w:rsidR="001A39EC" w:rsidRPr="00BF78A1">
        <w:t>izveido</w:t>
      </w:r>
      <w:r w:rsidR="001A39EC">
        <w:t>t, uzturēt un attīstīt</w:t>
      </w:r>
      <w:r w:rsidR="001A39EC" w:rsidRPr="00BF78A1">
        <w:t xml:space="preserve"> </w:t>
      </w:r>
      <w:r w:rsidR="00B53A34">
        <w:t>S</w:t>
      </w:r>
      <w:r w:rsidR="001A39EC" w:rsidRPr="00D27925">
        <w:t>istēm</w:t>
      </w:r>
      <w:r w:rsidR="001A39EC">
        <w:t>u</w:t>
      </w:r>
      <w:r w:rsidR="001A39EC" w:rsidRPr="00BF78A1">
        <w:t>;</w:t>
      </w:r>
    </w:p>
    <w:p w:rsidR="00E31D84" w:rsidRDefault="001A39EC" w:rsidP="0094661D">
      <w:pPr>
        <w:ind w:firstLine="720"/>
        <w:jc w:val="both"/>
        <w:rPr>
          <w:szCs w:val="28"/>
        </w:rPr>
      </w:pPr>
      <w:r>
        <w:rPr>
          <w:szCs w:val="28"/>
        </w:rPr>
        <w:t>6</w:t>
      </w:r>
      <w:r w:rsidR="00E31D84">
        <w:rPr>
          <w:szCs w:val="28"/>
        </w:rPr>
        <w:t xml:space="preserve">) Maksātnespējas likumā noteiktajā apjomā nodrošināt </w:t>
      </w:r>
      <w:r w:rsidR="005953AB">
        <w:rPr>
          <w:szCs w:val="28"/>
        </w:rPr>
        <w:t xml:space="preserve">tiesiskās aizsardzības procesa uzraugošo personu un </w:t>
      </w:r>
      <w:r w:rsidR="00E31D84">
        <w:rPr>
          <w:szCs w:val="28"/>
        </w:rPr>
        <w:t>admi</w:t>
      </w:r>
      <w:r>
        <w:rPr>
          <w:szCs w:val="28"/>
        </w:rPr>
        <w:t>nistratoru darbības publicitāti;</w:t>
      </w:r>
      <w:r w:rsidR="00E31D84">
        <w:rPr>
          <w:szCs w:val="28"/>
        </w:rPr>
        <w:t xml:space="preserve"> </w:t>
      </w:r>
    </w:p>
    <w:p w:rsidR="00745475" w:rsidRDefault="003150D1" w:rsidP="0094661D">
      <w:pPr>
        <w:ind w:firstLine="720"/>
        <w:jc w:val="both"/>
      </w:pPr>
      <w:r>
        <w:rPr>
          <w:szCs w:val="28"/>
        </w:rPr>
        <w:t>7</w:t>
      </w:r>
      <w:r w:rsidR="0025291A">
        <w:rPr>
          <w:szCs w:val="28"/>
        </w:rPr>
        <w:t>) </w:t>
      </w:r>
      <w:r w:rsidR="0025291A" w:rsidRPr="00BF78A1">
        <w:t>informē</w:t>
      </w:r>
      <w:r w:rsidR="0025291A">
        <w:t>t</w:t>
      </w:r>
      <w:r w:rsidR="0025291A" w:rsidRPr="00BF78A1">
        <w:t xml:space="preserve"> sabiedrību par maksātnespējas politikas īstenošanas rezultātiem un maksātnespējas jomas aktuālajiem jautājumiem</w:t>
      </w:r>
      <w:r w:rsidR="001A39EC">
        <w:t>.</w:t>
      </w:r>
    </w:p>
    <w:p w:rsidR="00F00259" w:rsidRDefault="00F00259" w:rsidP="0094661D">
      <w:pPr>
        <w:ind w:firstLine="720"/>
        <w:jc w:val="both"/>
      </w:pPr>
    </w:p>
    <w:p w:rsidR="0043585A" w:rsidRDefault="0043585A" w:rsidP="0094661D">
      <w:pPr>
        <w:ind w:firstLine="720"/>
        <w:jc w:val="both"/>
      </w:pPr>
    </w:p>
    <w:p w:rsidR="00D352F2" w:rsidRDefault="00D352F2" w:rsidP="0094661D">
      <w:pPr>
        <w:ind w:firstLine="720"/>
        <w:jc w:val="both"/>
      </w:pPr>
    </w:p>
    <w:p w:rsidR="00D352F2" w:rsidRDefault="00D352F2" w:rsidP="0094661D">
      <w:pPr>
        <w:ind w:firstLine="720"/>
        <w:jc w:val="both"/>
      </w:pPr>
    </w:p>
    <w:p w:rsidR="00D352F2" w:rsidRPr="00745475" w:rsidRDefault="00D352F2" w:rsidP="0094661D">
      <w:pPr>
        <w:ind w:firstLine="720"/>
        <w:jc w:val="both"/>
      </w:pPr>
    </w:p>
    <w:p w:rsidR="004372BE" w:rsidRPr="00745475" w:rsidRDefault="00C90AD8" w:rsidP="0062156C">
      <w:pPr>
        <w:spacing w:before="360"/>
        <w:jc w:val="center"/>
        <w:rPr>
          <w:b/>
          <w:smallCaps/>
          <w:sz w:val="26"/>
          <w:szCs w:val="26"/>
        </w:rPr>
      </w:pPr>
      <w:r>
        <w:rPr>
          <w:b/>
          <w:smallCaps/>
          <w:sz w:val="26"/>
          <w:szCs w:val="26"/>
        </w:rPr>
        <w:t>II</w:t>
      </w:r>
      <w:r w:rsidR="004372BE" w:rsidRPr="00745475">
        <w:rPr>
          <w:b/>
          <w:smallCaps/>
          <w:sz w:val="26"/>
          <w:szCs w:val="26"/>
        </w:rPr>
        <w:t>.</w:t>
      </w:r>
      <w:r w:rsidR="00506217">
        <w:rPr>
          <w:b/>
          <w:smallCaps/>
          <w:sz w:val="26"/>
          <w:szCs w:val="26"/>
        </w:rPr>
        <w:t> </w:t>
      </w:r>
      <w:r w:rsidR="004372BE" w:rsidRPr="00745475">
        <w:rPr>
          <w:b/>
          <w:smallCaps/>
          <w:sz w:val="26"/>
          <w:szCs w:val="26"/>
        </w:rPr>
        <w:t xml:space="preserve">Administratora </w:t>
      </w:r>
      <w:r w:rsidR="005E3676" w:rsidRPr="00745475">
        <w:rPr>
          <w:b/>
          <w:smallCaps/>
          <w:sz w:val="26"/>
          <w:szCs w:val="26"/>
        </w:rPr>
        <w:t>rīcības</w:t>
      </w:r>
      <w:r w:rsidR="004372BE" w:rsidRPr="00745475">
        <w:rPr>
          <w:b/>
          <w:smallCaps/>
          <w:sz w:val="26"/>
          <w:szCs w:val="26"/>
        </w:rPr>
        <w:t xml:space="preserve"> un maksātnespējas procesa norises likumības kontroles nodrošināšana</w:t>
      </w:r>
    </w:p>
    <w:p w:rsidR="0048070E" w:rsidRPr="00745475" w:rsidRDefault="004E1933" w:rsidP="00745475">
      <w:pPr>
        <w:spacing w:before="120"/>
        <w:ind w:firstLine="720"/>
        <w:jc w:val="both"/>
        <w:rPr>
          <w:b/>
        </w:rPr>
      </w:pPr>
      <w:r>
        <w:rPr>
          <w:b/>
        </w:rPr>
        <w:t>1</w:t>
      </w:r>
      <w:r w:rsidR="0048070E">
        <w:rPr>
          <w:b/>
        </w:rPr>
        <w:t>.</w:t>
      </w:r>
      <w:r w:rsidR="00506217">
        <w:rPr>
          <w:b/>
        </w:rPr>
        <w:t> </w:t>
      </w:r>
      <w:r w:rsidR="0048070E">
        <w:rPr>
          <w:b/>
        </w:rPr>
        <w:t>A</w:t>
      </w:r>
      <w:r w:rsidR="0048070E" w:rsidRPr="00347B9E">
        <w:rPr>
          <w:b/>
        </w:rPr>
        <w:t xml:space="preserve">dministratoru </w:t>
      </w:r>
      <w:r w:rsidR="007316D0">
        <w:rPr>
          <w:b/>
        </w:rPr>
        <w:t xml:space="preserve">eksaminācija, </w:t>
      </w:r>
      <w:r w:rsidR="0048070E">
        <w:rPr>
          <w:b/>
        </w:rPr>
        <w:t>iecelšana amatā un</w:t>
      </w:r>
      <w:r w:rsidR="0048070E" w:rsidRPr="00347B9E">
        <w:rPr>
          <w:b/>
        </w:rPr>
        <w:t xml:space="preserve"> disciplināratbildība</w:t>
      </w:r>
      <w:r w:rsidR="0048070E" w:rsidRPr="00745475">
        <w:rPr>
          <w:b/>
        </w:rPr>
        <w:t xml:space="preserve"> </w:t>
      </w:r>
    </w:p>
    <w:p w:rsidR="00404A24" w:rsidRPr="00404A24" w:rsidRDefault="00404A24" w:rsidP="00745475">
      <w:pPr>
        <w:spacing w:before="60"/>
        <w:ind w:firstLine="720"/>
        <w:jc w:val="both"/>
      </w:pPr>
      <w:r w:rsidRPr="00404A24">
        <w:t>Maksātnespējas likums paredz kompleksu risinājumu</w:t>
      </w:r>
      <w:r w:rsidRPr="00404A24">
        <w:rPr>
          <w:b/>
        </w:rPr>
        <w:t xml:space="preserve"> </w:t>
      </w:r>
      <w:r w:rsidRPr="00404A24">
        <w:t>administratora darbības un maksātnespējas procesa norises likumības kontroles efektivitātes paaugstināšanai. Sākot ar 2017.</w:t>
      </w:r>
      <w:r w:rsidR="00506217">
        <w:t> </w:t>
      </w:r>
      <w:r w:rsidRPr="00404A24">
        <w:t>gada 6.</w:t>
      </w:r>
      <w:r w:rsidR="00506217">
        <w:t> </w:t>
      </w:r>
      <w:r w:rsidRPr="00404A24">
        <w:t xml:space="preserve">janvāri, administratoru kvalifikācijas kontroles funkcija ir nodota valstij, vienlaikus paredzot stingrākas prasības administratoru kvalifikācijai, reputācijai un profesionalitātei, kā arī ieviešot regulāru administratoru eksamināciju. Kārtība, kādā persona ienāk administratora profesijā, ir būtiska administratora darbības un maksātnespējas procesa norises likumības kontroles procesa sastāvdaļa, jo, pastāvot stingram un objektīvam amatā iecelšanas mehānismam, tiek novērsta tādu personu iekļūšanu profesijā, kuriem nav atbilstošas kvalifikācijas un nepieciešamo personisko īpašību. </w:t>
      </w:r>
    </w:p>
    <w:p w:rsidR="00CA4A1E" w:rsidRDefault="00CA4A1E" w:rsidP="00745475">
      <w:pPr>
        <w:spacing w:before="60"/>
        <w:ind w:firstLine="720"/>
        <w:jc w:val="both"/>
      </w:pPr>
      <w:r>
        <w:t>Lai nodrošinātu administratoru eksaminācijas un amatā iecelšanas procedūras kvalitāti, objektivitāti un caurspīdīgumu, a</w:t>
      </w:r>
      <w:r w:rsidR="00707273">
        <w:t>tbilstoši</w:t>
      </w:r>
      <w:r w:rsidR="008008BD">
        <w:t xml:space="preserve"> </w:t>
      </w:r>
      <w:r w:rsidR="00400016">
        <w:t>spēkā esoš</w:t>
      </w:r>
      <w:r w:rsidR="00B14462">
        <w:t>aj</w:t>
      </w:r>
      <w:r w:rsidR="00400016">
        <w:t>ā</w:t>
      </w:r>
      <w:r w:rsidR="00B14462">
        <w:t>m</w:t>
      </w:r>
      <w:r w:rsidR="00400016">
        <w:t xml:space="preserve"> Maksātnespējas likuma regulējumam </w:t>
      </w:r>
      <w:r w:rsidR="00B14DDD" w:rsidRPr="00742684">
        <w:t xml:space="preserve">administratoru kvalifikācijas kontroles funkcija nodota </w:t>
      </w:r>
      <w:r>
        <w:t xml:space="preserve">valsts </w:t>
      </w:r>
      <w:r w:rsidR="006C6119">
        <w:t xml:space="preserve">iestādei - </w:t>
      </w:r>
      <w:r w:rsidR="00B14DDD" w:rsidRPr="00742684">
        <w:t>Maksātnespējas administrācijai</w:t>
      </w:r>
      <w:r w:rsidR="006C6119">
        <w:t>, kā arī neatkarīgai eksaminācijas komisijai</w:t>
      </w:r>
      <w:r w:rsidR="00B14DDD" w:rsidRPr="00742684">
        <w:t xml:space="preserve">. </w:t>
      </w:r>
    </w:p>
    <w:p w:rsidR="00CA4A1E" w:rsidRPr="00CA4A1E" w:rsidRDefault="00CA4A1E" w:rsidP="00CA4A1E">
      <w:pPr>
        <w:spacing w:before="60"/>
        <w:ind w:firstLine="720"/>
        <w:jc w:val="both"/>
        <w:rPr>
          <w:bCs/>
        </w:rPr>
      </w:pPr>
      <w:r w:rsidRPr="00CA4A1E">
        <w:rPr>
          <w:bCs/>
        </w:rPr>
        <w:t xml:space="preserve">Maksātnespējas administrācijai nodrošinot eksaminācijas un amatā iecelšanas procesa norisi, kā arī disciplināratbildības institūta funkcionēšanu, vidējā termiņā un ilgtermiņā tiks sasniegts Pamatnostādnēs ietvertais politikas virziens – administratora profesijā strādā augsti kvalificēti profesionāļi ar amatam atbilstošām zināšanām, prasmēm, un personiskajām īpašībām – sasniegšanu, gan kopumā paaugstinās maksātnespējas procesa efektivitāti. </w:t>
      </w:r>
      <w:r w:rsidRPr="00CA4A1E">
        <w:t>Ņemot vērā, ka administratora pienākums ir nodrošināt maksātnespējas procesa efektivitāti, un nodrošināt šā procesa likumīgu norisi, līdz ar to tiks nodrošināta sabiedrības uzticība administratoriem un maksātnespējas procesam kopumā, tādējādi pozitīvi ietekmējot sabiedrības un tautsaimniecības attīstību.</w:t>
      </w:r>
    </w:p>
    <w:p w:rsidR="0048070E" w:rsidRDefault="00400016" w:rsidP="00745475">
      <w:pPr>
        <w:spacing w:before="60"/>
        <w:ind w:firstLine="720"/>
        <w:jc w:val="both"/>
      </w:pPr>
      <w:r>
        <w:t xml:space="preserve">Saistībā ar administratoru </w:t>
      </w:r>
      <w:r w:rsidRPr="00400016">
        <w:t>k</w:t>
      </w:r>
      <w:r>
        <w:t xml:space="preserve">valifikācijas kontroles funkciju Maksātnespējai administrācijai ir noteikti turpmāk norādītie papildu uzdevumi. </w:t>
      </w:r>
    </w:p>
    <w:p w:rsidR="00404A24" w:rsidRPr="00D352F2" w:rsidRDefault="00404A24" w:rsidP="008B49D5">
      <w:pPr>
        <w:spacing w:before="60"/>
        <w:ind w:firstLine="720"/>
        <w:jc w:val="both"/>
        <w:rPr>
          <w:b/>
        </w:rPr>
      </w:pPr>
      <w:r w:rsidRPr="00D352F2">
        <w:rPr>
          <w:b/>
        </w:rPr>
        <w:t>1.1.</w:t>
      </w:r>
      <w:r w:rsidR="00506217" w:rsidRPr="00D352F2">
        <w:rPr>
          <w:b/>
        </w:rPr>
        <w:t> </w:t>
      </w:r>
      <w:r w:rsidR="00400016" w:rsidRPr="00D352F2">
        <w:rPr>
          <w:b/>
        </w:rPr>
        <w:t xml:space="preserve">Administratora eksāmena organizēšana un tā norises </w:t>
      </w:r>
      <w:r w:rsidR="00476AF8" w:rsidRPr="00D352F2">
        <w:rPr>
          <w:b/>
        </w:rPr>
        <w:t>nodrošināšana</w:t>
      </w:r>
      <w:r w:rsidR="00805AE9" w:rsidRPr="00D352F2">
        <w:rPr>
          <w:b/>
        </w:rPr>
        <w:t>, administratora iecelšana amatā</w:t>
      </w:r>
      <w:r w:rsidR="00400016" w:rsidRPr="00D352F2">
        <w:rPr>
          <w:b/>
        </w:rPr>
        <w:t xml:space="preserve"> </w:t>
      </w:r>
    </w:p>
    <w:p w:rsidR="0048070E" w:rsidRPr="00347B9E" w:rsidRDefault="00400016" w:rsidP="00745475">
      <w:pPr>
        <w:spacing w:before="60"/>
        <w:ind w:firstLine="720"/>
        <w:jc w:val="both"/>
      </w:pPr>
      <w:r>
        <w:t>Saskaņā ar Maksātnespējas likuma 16.</w:t>
      </w:r>
      <w:r w:rsidRPr="00400016">
        <w:rPr>
          <w:vertAlign w:val="superscript"/>
        </w:rPr>
        <w:t>1</w:t>
      </w:r>
      <w:r>
        <w:t xml:space="preserve"> panta pirmo daļu p</w:t>
      </w:r>
      <w:r w:rsidR="0048070E" w:rsidRPr="00347B9E">
        <w:t xml:space="preserve">riekšnosacījums iecelšanai amatā ir administratora eksāmena nokārtošana. </w:t>
      </w:r>
      <w:r w:rsidR="0048070E" w:rsidRPr="00FD4001">
        <w:t xml:space="preserve">Eksaminācijas komisijā, </w:t>
      </w:r>
      <w:r w:rsidR="0048070E" w:rsidRPr="00347B9E">
        <w:t>kuru ieceļ tieslietu ministrs, ir pa vienam pārstāvim no Tieslietu ministrijas, Maksātnespējas administrācijas, augstskolu akadēmiskā personāla</w:t>
      </w:r>
      <w:r w:rsidR="0048070E">
        <w:t xml:space="preserve"> un </w:t>
      </w:r>
      <w:r w:rsidR="002C6995">
        <w:t xml:space="preserve">biedrības </w:t>
      </w:r>
      <w:r w:rsidR="002C6995" w:rsidRPr="00803604">
        <w:t>"</w:t>
      </w:r>
      <w:r w:rsidR="002C6995">
        <w:t>Latvijas sertificēto maksātnespējas procesa administratoru asociācija</w:t>
      </w:r>
      <w:r w:rsidR="002C6995" w:rsidRPr="00803604">
        <w:t>"</w:t>
      </w:r>
      <w:r w:rsidR="002C6995">
        <w:t xml:space="preserve"> (turpmāk – </w:t>
      </w:r>
      <w:r w:rsidR="0048070E">
        <w:t>Administratoru asociācija</w:t>
      </w:r>
      <w:r w:rsidR="002C6995">
        <w:t>)</w:t>
      </w:r>
      <w:r w:rsidR="0048070E">
        <w:t xml:space="preserve">, </w:t>
      </w:r>
      <w:r w:rsidR="0048070E" w:rsidRPr="00347B9E">
        <w:t>Tieslietu padomes noteikt</w:t>
      </w:r>
      <w:r w:rsidR="0048070E">
        <w:t>ais</w:t>
      </w:r>
      <w:r w:rsidR="0048070E" w:rsidRPr="00347B9E">
        <w:t xml:space="preserve"> rajona (pilsētas) tiesas tiesnesi</w:t>
      </w:r>
      <w:r w:rsidR="0048070E">
        <w:t>s</w:t>
      </w:r>
      <w:r w:rsidR="0048070E" w:rsidRPr="00347B9E">
        <w:t xml:space="preserve"> un Maksātnespējas jautājumu konsultatīvās padomes deleģēt</w:t>
      </w:r>
      <w:r w:rsidR="0048070E">
        <w:t>s</w:t>
      </w:r>
      <w:r w:rsidR="0048070E" w:rsidRPr="00347B9E">
        <w:t xml:space="preserve"> nevalstiskās organizācijas pārstāvi</w:t>
      </w:r>
      <w:r w:rsidR="0048070E">
        <w:t>s</w:t>
      </w:r>
      <w:r w:rsidR="0048070E" w:rsidRPr="00347B9E">
        <w:t xml:space="preserve">. </w:t>
      </w:r>
    </w:p>
    <w:p w:rsidR="005B189C" w:rsidRDefault="00C07395" w:rsidP="00745475">
      <w:pPr>
        <w:spacing w:before="60"/>
        <w:ind w:firstLine="720"/>
        <w:jc w:val="both"/>
      </w:pPr>
      <w:r>
        <w:t>Eksaminācijas komisijas darbu</w:t>
      </w:r>
      <w:r w:rsidR="0048070E" w:rsidRPr="00471DA0">
        <w:t xml:space="preserve"> nodrošin</w:t>
      </w:r>
      <w:r w:rsidR="0048070E">
        <w:t>a</w:t>
      </w:r>
      <w:r w:rsidR="0048070E" w:rsidRPr="00471DA0">
        <w:t xml:space="preserve"> Maksātnespējas administrācija.</w:t>
      </w:r>
      <w:r w:rsidR="0048070E">
        <w:t xml:space="preserve"> </w:t>
      </w:r>
      <w:r w:rsidR="005B189C">
        <w:t>Pildot Maksātnespējas likumā noteikto pienākumu</w:t>
      </w:r>
      <w:r w:rsidR="00506217">
        <w:t xml:space="preserve"> – </w:t>
      </w:r>
      <w:r w:rsidR="005B189C">
        <w:t>nodrošināt e</w:t>
      </w:r>
      <w:r w:rsidR="005B189C" w:rsidRPr="005B189C">
        <w:t>ksaminācijas komisijas darbu</w:t>
      </w:r>
      <w:r w:rsidR="00506217">
        <w:t> –</w:t>
      </w:r>
      <w:r w:rsidR="00663083">
        <w:t>,</w:t>
      </w:r>
      <w:r w:rsidR="005B189C" w:rsidRPr="005B189C">
        <w:t xml:space="preserve"> </w:t>
      </w:r>
      <w:r w:rsidR="00805AE9">
        <w:t xml:space="preserve">kā arī ieceļot administratoru amatā, </w:t>
      </w:r>
      <w:r w:rsidR="0048070E" w:rsidRPr="00492B36">
        <w:t>Maksātnespējas administrācija</w:t>
      </w:r>
      <w:r w:rsidR="00C6560C">
        <w:t xml:space="preserve">i </w:t>
      </w:r>
      <w:r w:rsidR="00805AE9">
        <w:t xml:space="preserve">un tās direktoram </w:t>
      </w:r>
      <w:r w:rsidR="00663083">
        <w:t>ir</w:t>
      </w:r>
      <w:r w:rsidR="00C6560C">
        <w:t xml:space="preserve"> šādi papildu pienākumi</w:t>
      </w:r>
      <w:r w:rsidR="00B3445A">
        <w:t>:</w:t>
      </w:r>
    </w:p>
    <w:p w:rsidR="00B3445A" w:rsidRDefault="00B3445A" w:rsidP="0094661D">
      <w:pPr>
        <w:ind w:firstLine="720"/>
        <w:jc w:val="both"/>
      </w:pPr>
      <w:r>
        <w:t>-</w:t>
      </w:r>
      <w:r w:rsidR="00506217">
        <w:t> </w:t>
      </w:r>
      <w:r>
        <w:t>izziņo</w:t>
      </w:r>
      <w:r w:rsidR="00663083">
        <w:t>t</w:t>
      </w:r>
      <w:r>
        <w:t xml:space="preserve"> administratora </w:t>
      </w:r>
      <w:r w:rsidRPr="00B3445A">
        <w:t>eksāmen</w:t>
      </w:r>
      <w:r>
        <w:t>a pieteikšanās un norises laiku un vietu;</w:t>
      </w:r>
    </w:p>
    <w:p w:rsidR="00B3445A" w:rsidRDefault="00B3445A" w:rsidP="0094661D">
      <w:pPr>
        <w:ind w:firstLine="720"/>
        <w:jc w:val="both"/>
      </w:pPr>
      <w:r>
        <w:t>-</w:t>
      </w:r>
      <w:r w:rsidR="00506217">
        <w:t> </w:t>
      </w:r>
      <w:r w:rsidR="0048070E" w:rsidRPr="00347B9E">
        <w:t>pieņem</w:t>
      </w:r>
      <w:r w:rsidR="00663083">
        <w:t>t</w:t>
      </w:r>
      <w:r w:rsidR="0048070E" w:rsidRPr="00347B9E">
        <w:t xml:space="preserve"> un izskat</w:t>
      </w:r>
      <w:r w:rsidR="00663083">
        <w:t>īt</w:t>
      </w:r>
      <w:r w:rsidR="0048070E" w:rsidRPr="00347B9E">
        <w:t xml:space="preserve"> administrator</w:t>
      </w:r>
      <w:r w:rsidR="00FF56DB">
        <w:t>a amata</w:t>
      </w:r>
      <w:r w:rsidR="0048070E" w:rsidRPr="00347B9E">
        <w:t xml:space="preserve"> pretendentu iesniegumus ek</w:t>
      </w:r>
      <w:r w:rsidR="0048070E">
        <w:t>sāmena kārtošanai</w:t>
      </w:r>
      <w:r>
        <w:t>, izvērtējot pretendentu atbilstību</w:t>
      </w:r>
      <w:r w:rsidR="00FF56DB">
        <w:t xml:space="preserve"> Maksātnespējas likuma prasībām, kā arī pieņem</w:t>
      </w:r>
      <w:r w:rsidR="00506217">
        <w:t>t</w:t>
      </w:r>
      <w:r w:rsidR="00FF56DB">
        <w:t xml:space="preserve"> lēmumu par atļauju vai atteikumu kārtot administratora eksāmenu</w:t>
      </w:r>
      <w:r>
        <w:t>;</w:t>
      </w:r>
    </w:p>
    <w:p w:rsidR="00FF56DB" w:rsidRDefault="00B3445A" w:rsidP="0094661D">
      <w:pPr>
        <w:ind w:firstLine="720"/>
        <w:jc w:val="both"/>
      </w:pPr>
      <w:r>
        <w:t>-</w:t>
      </w:r>
      <w:r w:rsidR="00506217">
        <w:t> </w:t>
      </w:r>
      <w:r w:rsidR="00FF56DB">
        <w:t>nodrošin</w:t>
      </w:r>
      <w:r w:rsidR="00663083">
        <w:t>āt</w:t>
      </w:r>
      <w:r w:rsidR="00FF56DB">
        <w:t xml:space="preserve"> t</w:t>
      </w:r>
      <w:r w:rsidR="00FF56DB" w:rsidRPr="00FF56DB">
        <w:t>elp</w:t>
      </w:r>
      <w:r w:rsidR="00FF56DB">
        <w:t xml:space="preserve">as un aprīkojumu </w:t>
      </w:r>
      <w:r w:rsidR="00FF56DB" w:rsidRPr="00FF56DB">
        <w:t>administratora eksāmena</w:t>
      </w:r>
      <w:r w:rsidR="00FF56DB">
        <w:t xml:space="preserve"> norisei;</w:t>
      </w:r>
    </w:p>
    <w:p w:rsidR="00FF56DB" w:rsidRDefault="00FF56DB" w:rsidP="0094661D">
      <w:pPr>
        <w:ind w:firstLine="720"/>
        <w:jc w:val="both"/>
      </w:pPr>
      <w:r>
        <w:t>-</w:t>
      </w:r>
      <w:r w:rsidR="00506217">
        <w:t> </w:t>
      </w:r>
      <w:r>
        <w:t>sagatavo</w:t>
      </w:r>
      <w:r w:rsidR="00663083">
        <w:t>t</w:t>
      </w:r>
      <w:r>
        <w:t xml:space="preserve"> administratora amata pretendentiem </w:t>
      </w:r>
      <w:r w:rsidRPr="00FF56DB">
        <w:t>administratora eksāmena</w:t>
      </w:r>
      <w:r>
        <w:t xml:space="preserve"> materiālus;</w:t>
      </w:r>
    </w:p>
    <w:p w:rsidR="00FF56DB" w:rsidRDefault="00FF56DB" w:rsidP="0094661D">
      <w:pPr>
        <w:ind w:firstLine="720"/>
        <w:jc w:val="both"/>
      </w:pPr>
      <w:r>
        <w:t>-</w:t>
      </w:r>
      <w:r w:rsidR="00506217">
        <w:t> </w:t>
      </w:r>
      <w:r>
        <w:t>organizē</w:t>
      </w:r>
      <w:r w:rsidR="00663083">
        <w:t>t</w:t>
      </w:r>
      <w:r>
        <w:t xml:space="preserve"> </w:t>
      </w:r>
      <w:r w:rsidRPr="00FF56DB">
        <w:t>administratora eksāmena</w:t>
      </w:r>
      <w:r>
        <w:t xml:space="preserve"> noris</w:t>
      </w:r>
      <w:r w:rsidRPr="00FF56DB">
        <w:t>i</w:t>
      </w:r>
      <w:r w:rsidR="00506217">
        <w:t> </w:t>
      </w:r>
      <w:r>
        <w:t>– reģistrē</w:t>
      </w:r>
      <w:r w:rsidR="00663083">
        <w:t>t</w:t>
      </w:r>
      <w:r>
        <w:t xml:space="preserve"> </w:t>
      </w:r>
      <w:r w:rsidRPr="00FF56DB">
        <w:t>ad</w:t>
      </w:r>
      <w:r>
        <w:t>ministratora amata pretendentus</w:t>
      </w:r>
      <w:r w:rsidR="00873394">
        <w:t xml:space="preserve"> dalībai administratora eksāmenā; </w:t>
      </w:r>
      <w:r w:rsidR="00873394" w:rsidRPr="00873394">
        <w:t>iepazīstinā</w:t>
      </w:r>
      <w:r w:rsidR="00663083">
        <w:t>t</w:t>
      </w:r>
      <w:r w:rsidR="00873394" w:rsidRPr="00873394">
        <w:t xml:space="preserve"> administratora amata pretendentus ar eksāmena</w:t>
      </w:r>
      <w:r w:rsidR="00873394">
        <w:t xml:space="preserve"> norises </w:t>
      </w:r>
      <w:r w:rsidR="00663083">
        <w:t>noteikumiem;</w:t>
      </w:r>
      <w:r w:rsidR="00873394" w:rsidRPr="00873394">
        <w:t xml:space="preserve"> izdal</w:t>
      </w:r>
      <w:r w:rsidR="00663083">
        <w:t xml:space="preserve">īt </w:t>
      </w:r>
      <w:r w:rsidR="00873394" w:rsidRPr="00873394">
        <w:t>administratora eksāmena materiālus</w:t>
      </w:r>
      <w:r w:rsidR="00663083">
        <w:t>;</w:t>
      </w:r>
      <w:r w:rsidR="00873394">
        <w:t xml:space="preserve"> </w:t>
      </w:r>
      <w:r w:rsidR="00873394" w:rsidRPr="00873394">
        <w:t>uzrau</w:t>
      </w:r>
      <w:r w:rsidR="00663083">
        <w:t>dzīt</w:t>
      </w:r>
      <w:r w:rsidR="00873394" w:rsidRPr="00873394">
        <w:t xml:space="preserve"> administratora eksāmena noris</w:t>
      </w:r>
      <w:r w:rsidR="00873394">
        <w:t>es atb</w:t>
      </w:r>
      <w:r w:rsidR="00663083">
        <w:t xml:space="preserve">ilstību normatīvo aktu prasībām; pieņemt </w:t>
      </w:r>
      <w:r w:rsidR="00873394" w:rsidRPr="00873394">
        <w:t>administratora eksāmena materi</w:t>
      </w:r>
      <w:r w:rsidR="00873394">
        <w:t>ālu</w:t>
      </w:r>
      <w:r w:rsidR="00663083">
        <w:t>s</w:t>
      </w:r>
      <w:r w:rsidR="00873394">
        <w:t xml:space="preserve"> no administratora amata pretendentiem un</w:t>
      </w:r>
      <w:r w:rsidR="00663083">
        <w:t xml:space="preserve"> nodot tos</w:t>
      </w:r>
      <w:r w:rsidR="00873394">
        <w:t xml:space="preserve"> eksaminācijas </w:t>
      </w:r>
      <w:r w:rsidR="00C6560C">
        <w:t>komisijai;</w:t>
      </w:r>
    </w:p>
    <w:p w:rsidR="00C6560C" w:rsidRDefault="00C6560C" w:rsidP="0094661D">
      <w:pPr>
        <w:ind w:firstLine="720"/>
        <w:jc w:val="both"/>
      </w:pPr>
      <w:r>
        <w:t>-</w:t>
      </w:r>
      <w:r w:rsidR="00506217">
        <w:t> </w:t>
      </w:r>
      <w:r w:rsidR="00663083">
        <w:t xml:space="preserve">pieņemt </w:t>
      </w:r>
      <w:r>
        <w:t>l</w:t>
      </w:r>
      <w:r w:rsidRPr="00C6560C">
        <w:t>ēmumu</w:t>
      </w:r>
      <w:r w:rsidR="00663083">
        <w:t>s</w:t>
      </w:r>
      <w:r w:rsidRPr="00C6560C">
        <w:t xml:space="preserve"> par administratora </w:t>
      </w:r>
      <w:r>
        <w:t xml:space="preserve">amata </w:t>
      </w:r>
      <w:r w:rsidRPr="00C6560C">
        <w:t>pretendenta iecelšanu amatā vai par atteikumu iecelt amatā</w:t>
      </w:r>
      <w:r>
        <w:t xml:space="preserve"> un</w:t>
      </w:r>
      <w:r w:rsidR="00805AE9">
        <w:t xml:space="preserve"> tos</w:t>
      </w:r>
      <w:r>
        <w:t xml:space="preserve"> paziņo</w:t>
      </w:r>
      <w:r w:rsidR="00805AE9">
        <w:t>t</w:t>
      </w:r>
      <w:r>
        <w:t xml:space="preserve">; </w:t>
      </w:r>
    </w:p>
    <w:p w:rsidR="00803604" w:rsidRDefault="00FF56DB" w:rsidP="0094661D">
      <w:pPr>
        <w:ind w:firstLine="720"/>
        <w:jc w:val="both"/>
      </w:pPr>
      <w:r>
        <w:t>-</w:t>
      </w:r>
      <w:r w:rsidR="00506217">
        <w:t> </w:t>
      </w:r>
      <w:r w:rsidR="00663083" w:rsidRPr="00663083">
        <w:t>apkopo</w:t>
      </w:r>
      <w:r w:rsidR="00663083">
        <w:t>t</w:t>
      </w:r>
      <w:r w:rsidR="00663083" w:rsidRPr="00663083">
        <w:t xml:space="preserve"> un nodo</w:t>
      </w:r>
      <w:r w:rsidR="00663083">
        <w:t>t</w:t>
      </w:r>
      <w:r w:rsidR="00663083" w:rsidRPr="00663083">
        <w:t xml:space="preserve"> eksaminācijas komisijai </w:t>
      </w:r>
      <w:r w:rsidR="0048070E" w:rsidRPr="00347B9E">
        <w:t>informāciju par administratora pretendenta iespējamo neatbilstību nevainojamas reputācijas prasībai</w:t>
      </w:r>
      <w:r w:rsidR="00803604">
        <w:t>;</w:t>
      </w:r>
    </w:p>
    <w:p w:rsidR="0048070E" w:rsidRDefault="00803604" w:rsidP="0094661D">
      <w:pPr>
        <w:ind w:firstLine="720"/>
        <w:jc w:val="both"/>
      </w:pPr>
      <w:r>
        <w:t>-</w:t>
      </w:r>
      <w:r w:rsidR="00506217">
        <w:t> </w:t>
      </w:r>
      <w:r w:rsidR="00663083" w:rsidRPr="00663083">
        <w:t>izgatavo</w:t>
      </w:r>
      <w:r w:rsidR="00663083">
        <w:t>t</w:t>
      </w:r>
      <w:r w:rsidR="00663083" w:rsidRPr="00663083">
        <w:t xml:space="preserve"> un izsnieg</w:t>
      </w:r>
      <w:r w:rsidR="00663083">
        <w:t xml:space="preserve">t </w:t>
      </w:r>
      <w:r>
        <w:t>administratora apliecības.</w:t>
      </w:r>
      <w:r w:rsidR="0048070E" w:rsidRPr="00347B9E">
        <w:t xml:space="preserve"> </w:t>
      </w:r>
    </w:p>
    <w:p w:rsidR="00404A24" w:rsidRPr="00745475" w:rsidRDefault="00404A24" w:rsidP="008B49D5">
      <w:pPr>
        <w:spacing w:before="60"/>
        <w:ind w:firstLine="720"/>
        <w:jc w:val="both"/>
        <w:rPr>
          <w:i/>
        </w:rPr>
      </w:pPr>
      <w:r w:rsidRPr="00D352F2">
        <w:rPr>
          <w:b/>
        </w:rPr>
        <w:t>1.2.</w:t>
      </w:r>
      <w:r w:rsidR="00805AE9" w:rsidRPr="00D352F2">
        <w:rPr>
          <w:b/>
        </w:rPr>
        <w:t> </w:t>
      </w:r>
      <w:r w:rsidR="00400016" w:rsidRPr="00D352F2">
        <w:rPr>
          <w:b/>
        </w:rPr>
        <w:t xml:space="preserve">Kvalifikācijas eksāmena organizēšana un tā norises </w:t>
      </w:r>
      <w:r w:rsidR="00476AF8" w:rsidRPr="00D352F2">
        <w:rPr>
          <w:b/>
        </w:rPr>
        <w:t>nodrošināšana</w:t>
      </w:r>
    </w:p>
    <w:p w:rsidR="00C6560C" w:rsidRDefault="000F2FB3" w:rsidP="00745475">
      <w:pPr>
        <w:spacing w:before="60"/>
        <w:ind w:firstLine="720"/>
        <w:jc w:val="both"/>
      </w:pPr>
      <w:r>
        <w:t>Maksātnespējas likuma 16.</w:t>
      </w:r>
      <w:r w:rsidRPr="000F2FB3">
        <w:rPr>
          <w:vertAlign w:val="superscript"/>
        </w:rPr>
        <w:t>2</w:t>
      </w:r>
      <w:r w:rsidR="00805AE9">
        <w:t> </w:t>
      </w:r>
      <w:r>
        <w:t>panta pirmajā daļā ir noteikts, ka p</w:t>
      </w:r>
      <w:r w:rsidRPr="000F2FB3">
        <w:t>ēc iecelšanas amatā administrators reizi divos gados, skaitot no amatā iecelšanas dienas vai iepriekšējā kvalifikācija</w:t>
      </w:r>
      <w:r>
        <w:t>s eksāmena nokārtošanas dienas</w:t>
      </w:r>
      <w:r w:rsidRPr="000F2FB3">
        <w:t>, kārto kvalifikācijas eksāmenu.</w:t>
      </w:r>
      <w:r>
        <w:t xml:space="preserve"> Attiecīgā panta piektajā daļā ir noteikts, ka kvalifikācijas eksāmenu, kuru pieņem eksaminācijas komisija, organizē un tā norisi nodrošina Maksātnespējas administrācija.</w:t>
      </w:r>
      <w:r w:rsidR="007D2B8C">
        <w:t xml:space="preserve"> </w:t>
      </w:r>
    </w:p>
    <w:p w:rsidR="00404A24" w:rsidRPr="00745475" w:rsidRDefault="00404A24" w:rsidP="008B49D5">
      <w:pPr>
        <w:spacing w:before="60"/>
        <w:ind w:firstLine="720"/>
        <w:jc w:val="both"/>
        <w:rPr>
          <w:i/>
        </w:rPr>
      </w:pPr>
      <w:r w:rsidRPr="00D352F2">
        <w:rPr>
          <w:b/>
        </w:rPr>
        <w:t>1.3.</w:t>
      </w:r>
      <w:r w:rsidR="00805AE9" w:rsidRPr="00D352F2">
        <w:rPr>
          <w:b/>
        </w:rPr>
        <w:t> </w:t>
      </w:r>
      <w:r w:rsidR="00155DA1" w:rsidRPr="00D352F2">
        <w:rPr>
          <w:b/>
        </w:rPr>
        <w:t>Administratora amata darbības apturēšana, atstādināšana no administratora amata, atbrīvošana un atcelšana no administratora amata</w:t>
      </w:r>
      <w:r w:rsidR="00155DA1" w:rsidRPr="00745475">
        <w:rPr>
          <w:i/>
        </w:rPr>
        <w:t xml:space="preserve"> </w:t>
      </w:r>
    </w:p>
    <w:p w:rsidR="00155DA1" w:rsidRDefault="00400016" w:rsidP="00745475">
      <w:pPr>
        <w:spacing w:before="60"/>
        <w:ind w:firstLine="720"/>
        <w:jc w:val="both"/>
      </w:pPr>
      <w:r>
        <w:t>S</w:t>
      </w:r>
      <w:r w:rsidR="00803604">
        <w:t>askaņā ar Maksātnespējas likuma</w:t>
      </w:r>
      <w:r>
        <w:t xml:space="preserve"> 17.</w:t>
      </w:r>
      <w:r w:rsidR="00810597">
        <w:rPr>
          <w:vertAlign w:val="superscript"/>
        </w:rPr>
        <w:t>3 </w:t>
      </w:r>
      <w:r>
        <w:t>pantu</w:t>
      </w:r>
      <w:r w:rsidR="00803604">
        <w:t xml:space="preserve"> Maksātnespējas administrācijai jānodrošina</w:t>
      </w:r>
      <w:r>
        <w:t xml:space="preserve"> administratora amata darbības apturēšana, izskatot administratora iesniegumu un pieņemot lēmumu par administratora amata darbības apturēšanu, ja pastāv Maksātnespējas likumā noteiktie priekšnoteikumi.</w:t>
      </w:r>
      <w:r w:rsidR="00803604">
        <w:t xml:space="preserve"> </w:t>
      </w:r>
      <w:r w:rsidR="00810597">
        <w:t xml:space="preserve">Saskaņā ar Maksātnespējas likuma </w:t>
      </w:r>
      <w:r w:rsidR="00810597" w:rsidRPr="00810597">
        <w:t>17.</w:t>
      </w:r>
      <w:r w:rsidR="00810597">
        <w:rPr>
          <w:vertAlign w:val="superscript"/>
        </w:rPr>
        <w:t>1</w:t>
      </w:r>
      <w:r w:rsidR="00805AE9">
        <w:rPr>
          <w:vertAlign w:val="superscript"/>
        </w:rPr>
        <w:t> </w:t>
      </w:r>
      <w:r w:rsidR="00810597" w:rsidRPr="00810597">
        <w:t xml:space="preserve">pantu Maksātnespējas administrācijai jānodrošina administratora </w:t>
      </w:r>
      <w:r w:rsidR="00810597">
        <w:t xml:space="preserve">iesnieguma par atbrīvošanu no administratora amata </w:t>
      </w:r>
      <w:r w:rsidR="00810597" w:rsidRPr="00810597">
        <w:t xml:space="preserve">izskatīšana </w:t>
      </w:r>
      <w:r w:rsidR="00810597">
        <w:t xml:space="preserve">un attiecīga lēmuma pieņemšana. Saskaņā ar Maksātnespējas likuma </w:t>
      </w:r>
      <w:r w:rsidR="00810597" w:rsidRPr="00810597">
        <w:t>17.</w:t>
      </w:r>
      <w:r w:rsidR="00810597" w:rsidRPr="00810597">
        <w:rPr>
          <w:vertAlign w:val="superscript"/>
        </w:rPr>
        <w:t>3 </w:t>
      </w:r>
      <w:r w:rsidR="00810597" w:rsidRPr="00810597">
        <w:t xml:space="preserve">pantu </w:t>
      </w:r>
      <w:r w:rsidR="00810597">
        <w:t>Maksātnespējas administr</w:t>
      </w:r>
      <w:r w:rsidR="00D80AFD">
        <w:t xml:space="preserve">ācijas direktors Maksātnespējas likumā noteiktajos gadījumos var pieņemt lēmumu par </w:t>
      </w:r>
      <w:r w:rsidR="00D80AFD" w:rsidRPr="00D80AFD">
        <w:t>a</w:t>
      </w:r>
      <w:r w:rsidR="00810597" w:rsidRPr="00D80AFD">
        <w:rPr>
          <w:bCs/>
        </w:rPr>
        <w:t>tstādināšana no administratora amata darbības veikšanas</w:t>
      </w:r>
      <w:r w:rsidR="00D80AFD">
        <w:rPr>
          <w:bCs/>
        </w:rPr>
        <w:t xml:space="preserve">. Savukārt </w:t>
      </w:r>
      <w:r w:rsidR="00D80AFD" w:rsidRPr="00D80AFD">
        <w:rPr>
          <w:bCs/>
        </w:rPr>
        <w:t>Saskaņā ar Maksātnespējas likuma 17.</w:t>
      </w:r>
      <w:r w:rsidR="00D80AFD">
        <w:rPr>
          <w:bCs/>
          <w:vertAlign w:val="superscript"/>
        </w:rPr>
        <w:t>2</w:t>
      </w:r>
      <w:r w:rsidR="00D80AFD" w:rsidRPr="00D80AFD">
        <w:rPr>
          <w:bCs/>
          <w:vertAlign w:val="superscript"/>
        </w:rPr>
        <w:t> </w:t>
      </w:r>
      <w:r w:rsidR="00D80AFD" w:rsidRPr="00D80AFD">
        <w:rPr>
          <w:bCs/>
        </w:rPr>
        <w:t xml:space="preserve">pantu </w:t>
      </w:r>
      <w:r w:rsidR="00155DA1" w:rsidRPr="00155DA1">
        <w:t>Maksātnespējas administrācijas direktoram ir pienākums Maksātnespējas likumā noteiktajos gadījumos atcelt administratoru no amata, tostarp, pamatojoties uz disciplinārlietu komisijas lēmumu, ar kuru ierosināts administratoru atcelt no amata.</w:t>
      </w:r>
    </w:p>
    <w:p w:rsidR="00404A24" w:rsidRPr="00745475" w:rsidRDefault="00404A24" w:rsidP="008B49D5">
      <w:pPr>
        <w:spacing w:before="60"/>
        <w:ind w:firstLine="720"/>
        <w:jc w:val="both"/>
        <w:rPr>
          <w:i/>
        </w:rPr>
      </w:pPr>
      <w:r w:rsidRPr="00D352F2">
        <w:rPr>
          <w:b/>
        </w:rPr>
        <w:t>1.4.</w:t>
      </w:r>
      <w:r w:rsidR="002C6995" w:rsidRPr="00D352F2">
        <w:rPr>
          <w:b/>
        </w:rPr>
        <w:t> </w:t>
      </w:r>
      <w:r w:rsidR="00D80AFD" w:rsidRPr="00D352F2">
        <w:rPr>
          <w:b/>
        </w:rPr>
        <w:t>Administratora sertifikāta darbības apturēšana, izbeigšana un tā anulēšana</w:t>
      </w:r>
    </w:p>
    <w:p w:rsidR="00803604" w:rsidRDefault="00803604" w:rsidP="00745475">
      <w:pPr>
        <w:spacing w:before="60"/>
        <w:ind w:firstLine="720"/>
        <w:jc w:val="both"/>
      </w:pPr>
      <w:r>
        <w:t>Saskaņā ar Maksātnespējas likuma pārejas noteikumu 38.</w:t>
      </w:r>
      <w:r w:rsidR="002C6995">
        <w:t> </w:t>
      </w:r>
      <w:r>
        <w:t>punktu, s</w:t>
      </w:r>
      <w:r w:rsidRPr="00803604">
        <w:t xml:space="preserve">ākot ar </w:t>
      </w:r>
      <w:r>
        <w:t>2017.</w:t>
      </w:r>
      <w:r w:rsidR="002C6995">
        <w:t> </w:t>
      </w:r>
      <w:r>
        <w:t>gada 6. janvāri,</w:t>
      </w:r>
      <w:r w:rsidRPr="00803604">
        <w:t xml:space="preserve"> Administratoru asociācijas uzdevumu pieņemt lēmumu par izsniegtā administratora sertifikāta darbības apturēšanu, izbeigšanu un tā anulēšanu atbilstoši likuma noteikumiem, kas bija spēkā līdz dienai, kad stājās spēkā šā likuma grozījumi, kuri paredz administratora iecelšanu amatā, pilda Maksātnespējas administrācija. Pieņemot lēmumu par administratora sertifikāta darbības apturēšanu, izbeigšanu un tā anulēšanu, piemēro Ministru kabineta 2010.</w:t>
      </w:r>
      <w:r w:rsidR="002C6995">
        <w:t> </w:t>
      </w:r>
      <w:r w:rsidRPr="00803604">
        <w:t>gada 9.</w:t>
      </w:r>
      <w:r w:rsidR="002C6995">
        <w:t> </w:t>
      </w:r>
      <w:r w:rsidRPr="00803604">
        <w:t>novembra noteikumos Nr.</w:t>
      </w:r>
      <w:r w:rsidR="002C6995">
        <w:t> </w:t>
      </w:r>
      <w:r w:rsidRPr="00803604">
        <w:t>1038 "</w:t>
      </w:r>
      <w:hyperlink r:id="rId8" w:tgtFrame="_blank" w:history="1">
        <w:r w:rsidRPr="00803604">
          <w:rPr>
            <w:rStyle w:val="Hyperlink"/>
            <w:color w:val="auto"/>
            <w:u w:val="none"/>
          </w:rPr>
          <w:t>Maksātnespējas procesa administratoru pretendentu apmācības un maksātnespējas procesa administratoru sertificēšanas kārtība</w:t>
        </w:r>
      </w:hyperlink>
      <w:r w:rsidRPr="00803604">
        <w:t>" paredzēto kārtību, ciktāl tā nav pretrunā ar šā likuma mērķi.</w:t>
      </w:r>
    </w:p>
    <w:p w:rsidR="00810597" w:rsidRDefault="00810597" w:rsidP="00745475">
      <w:pPr>
        <w:spacing w:before="60"/>
        <w:ind w:firstLine="720"/>
        <w:jc w:val="both"/>
      </w:pPr>
      <w:r>
        <w:t>Ievērojot minēto, līdz brīdim, kamēr sertificētie administratori pēc kvalifikācijas eksāmena nokārtošanas tiks iecelti administratora amat</w:t>
      </w:r>
      <w:r w:rsidR="00D80AFD">
        <w:t xml:space="preserve">ā, Maksātnespējas administrācijai Maksātnespējas likumā noteiktajos gadījumos būs jāizskata jautājums un jāpieņem lēmums par administratora sertifikāta darbības apturēšanu, izbeigšanu un tā anulēšanu. </w:t>
      </w:r>
    </w:p>
    <w:p w:rsidR="00404A24" w:rsidRPr="00745475" w:rsidRDefault="00404A24" w:rsidP="008B49D5">
      <w:pPr>
        <w:spacing w:before="60"/>
        <w:ind w:firstLine="720"/>
        <w:jc w:val="both"/>
        <w:rPr>
          <w:i/>
        </w:rPr>
      </w:pPr>
      <w:r w:rsidRPr="00D352F2">
        <w:rPr>
          <w:b/>
        </w:rPr>
        <w:t>1.5.</w:t>
      </w:r>
      <w:r w:rsidR="00314FAE" w:rsidRPr="00D352F2">
        <w:rPr>
          <w:b/>
        </w:rPr>
        <w:t> </w:t>
      </w:r>
      <w:r w:rsidR="00155DA1" w:rsidRPr="00D352F2">
        <w:rPr>
          <w:b/>
        </w:rPr>
        <w:t>Ziņu pieejamības nodrošināšana ierakstu izdarīšanai m</w:t>
      </w:r>
      <w:r w:rsidRPr="00D352F2">
        <w:rPr>
          <w:b/>
        </w:rPr>
        <w:t>aksātnespējas reģistrā</w:t>
      </w:r>
    </w:p>
    <w:p w:rsidR="00155DA1" w:rsidRPr="00155DA1" w:rsidRDefault="00155DA1" w:rsidP="00745475">
      <w:pPr>
        <w:spacing w:before="60"/>
        <w:ind w:firstLine="720"/>
        <w:jc w:val="both"/>
      </w:pPr>
      <w:r w:rsidRPr="00155DA1">
        <w:t>Veicot minētos uzdevumus, maksātnespējas administrācijai jānodrošina informācijas kas skar administratora iecelšanu amatā, amata darbības apturēšanu, atstādināšanu no administratora amata, kā arī atcelšanu no administratoru amata pieejamību Latvijas Republikas Uzņēmumu reģistram, kas kārto maksātnespējas reģistru.</w:t>
      </w:r>
      <w:r>
        <w:t xml:space="preserve"> Vienlaikus Maksātnespējas administrācijai ir pienākums sniegt ziņas </w:t>
      </w:r>
      <w:r w:rsidRPr="00155DA1">
        <w:t>Latvijas Republikas Uzņēmumu reģistram, kas kārto maksātnespējas reģistru</w:t>
      </w:r>
      <w:r>
        <w:t xml:space="preserve">, par visām izmainām attiecībā uz informāciju, kas norādīta Maksātnespējas likuma 18. pantā ierakstu izdarīšanai </w:t>
      </w:r>
      <w:r w:rsidRPr="00155DA1">
        <w:t xml:space="preserve">maksātnespējas </w:t>
      </w:r>
      <w:r>
        <w:t>reģistrā.</w:t>
      </w:r>
    </w:p>
    <w:p w:rsidR="00D352F2" w:rsidRDefault="00D352F2" w:rsidP="008B49D5">
      <w:pPr>
        <w:spacing w:before="60"/>
        <w:ind w:firstLine="720"/>
        <w:jc w:val="both"/>
        <w:rPr>
          <w:b/>
        </w:rPr>
      </w:pPr>
    </w:p>
    <w:p w:rsidR="00404A24" w:rsidRPr="00745475" w:rsidRDefault="00404A24" w:rsidP="008B49D5">
      <w:pPr>
        <w:spacing w:before="60"/>
        <w:ind w:firstLine="720"/>
        <w:jc w:val="both"/>
        <w:rPr>
          <w:i/>
        </w:rPr>
      </w:pPr>
      <w:r w:rsidRPr="00D352F2">
        <w:rPr>
          <w:b/>
        </w:rPr>
        <w:t>1.6.</w:t>
      </w:r>
      <w:r w:rsidR="00314FAE" w:rsidRPr="00D352F2">
        <w:rPr>
          <w:b/>
        </w:rPr>
        <w:t> </w:t>
      </w:r>
      <w:r w:rsidR="00155DA1" w:rsidRPr="00D352F2">
        <w:rPr>
          <w:b/>
        </w:rPr>
        <w:t>Disciplinārlietu komisijas darba nodrošināšana</w:t>
      </w:r>
      <w:r w:rsidR="00155DA1" w:rsidRPr="00745475">
        <w:rPr>
          <w:i/>
        </w:rPr>
        <w:t xml:space="preserve"> </w:t>
      </w:r>
    </w:p>
    <w:p w:rsidR="0048070E" w:rsidRDefault="0048070E" w:rsidP="008B49D5">
      <w:pPr>
        <w:spacing w:before="60"/>
        <w:ind w:firstLine="720"/>
        <w:jc w:val="both"/>
      </w:pPr>
      <w:r w:rsidRPr="00347B9E">
        <w:t>D</w:t>
      </w:r>
      <w:r w:rsidRPr="00091CC1">
        <w:t>isciplinārlieta</w:t>
      </w:r>
      <w:r w:rsidR="00FB4261">
        <w:t>s pret administratoriem izskata</w:t>
      </w:r>
      <w:r w:rsidRPr="00091CC1">
        <w:t xml:space="preserve"> </w:t>
      </w:r>
      <w:r w:rsidR="00982574">
        <w:t>d</w:t>
      </w:r>
      <w:r w:rsidRPr="00655BD7">
        <w:t>isciplinārlietu komisija, k</w:t>
      </w:r>
      <w:r w:rsidR="007406B4">
        <w:t>uru apstiprina</w:t>
      </w:r>
      <w:r w:rsidRPr="00347B9E">
        <w:t xml:space="preserve"> tieslietu ministrs un kuras sastāvā </w:t>
      </w:r>
      <w:r w:rsidR="007406B4">
        <w:t>ir</w:t>
      </w:r>
      <w:r w:rsidRPr="00347B9E">
        <w:t xml:space="preserve"> pārstāvji no Tieslietu ministrijas, Maksātnespējas administrācijas, Augstākās tiesas un Administratoru asociācijas.</w:t>
      </w:r>
      <w:r>
        <w:t xml:space="preserve"> </w:t>
      </w:r>
      <w:r w:rsidR="00A25A70" w:rsidRPr="00471DA0">
        <w:t>Disciplinārli</w:t>
      </w:r>
      <w:r w:rsidR="00A25A70">
        <w:t xml:space="preserve">etu </w:t>
      </w:r>
      <w:r w:rsidR="00920FAA">
        <w:t>komisijas darbu</w:t>
      </w:r>
      <w:r w:rsidR="00A25A70">
        <w:t xml:space="preserve"> nodrošina</w:t>
      </w:r>
      <w:r w:rsidR="00A25A70" w:rsidRPr="00471DA0">
        <w:t xml:space="preserve"> </w:t>
      </w:r>
      <w:r w:rsidR="00920FAA">
        <w:t xml:space="preserve">un organizē </w:t>
      </w:r>
      <w:r w:rsidR="00A25A70" w:rsidRPr="00471DA0">
        <w:t>Maksātnespējas administrācija.</w:t>
      </w:r>
      <w:r w:rsidR="007D2B8C">
        <w:t xml:space="preserve"> Nodrošinot disciplinārlietu komisijas darbu, </w:t>
      </w:r>
      <w:r w:rsidR="00663083" w:rsidRPr="00663083">
        <w:t>Maksātnespējas administrācijai ir šādi papildu pienākumi:</w:t>
      </w:r>
    </w:p>
    <w:p w:rsidR="00663083" w:rsidRDefault="00167072" w:rsidP="0094661D">
      <w:pPr>
        <w:ind w:firstLine="720"/>
        <w:jc w:val="both"/>
      </w:pPr>
      <w:r>
        <w:t>-</w:t>
      </w:r>
      <w:r w:rsidR="00314FAE">
        <w:t> </w:t>
      </w:r>
      <w:r>
        <w:t>izvērtēt Maksātnespējas administrācijas rīcībā esošo vai no Maksātnespējas likuma 31.</w:t>
      </w:r>
      <w:r w:rsidRPr="00167072">
        <w:rPr>
          <w:vertAlign w:val="superscript"/>
        </w:rPr>
        <w:t>1</w:t>
      </w:r>
      <w:r w:rsidR="00314FAE">
        <w:t> </w:t>
      </w:r>
      <w:r>
        <w:t>pantā pirmajā daļā noteiktajiem subjektiem saņemto informāciju par administratora profesionālās darbības pārkāpumiem un sagatavot lēmumu par disciplinārlietas ierosināšanu vai atteikumu ierosināt disciplinārlietu pret administratoru vai tiesiskās aizsardzības procesa uzraugošo personu;</w:t>
      </w:r>
    </w:p>
    <w:p w:rsidR="00167072" w:rsidRDefault="00167072" w:rsidP="0094661D">
      <w:pPr>
        <w:ind w:firstLine="720"/>
        <w:jc w:val="both"/>
      </w:pPr>
      <w:r>
        <w:t>-</w:t>
      </w:r>
      <w:r w:rsidR="00314FAE">
        <w:t> </w:t>
      </w:r>
      <w:r>
        <w:t>protokolēt disciplinārlietu komisijas sēdes;</w:t>
      </w:r>
    </w:p>
    <w:p w:rsidR="008B39AD" w:rsidRPr="00745475" w:rsidRDefault="00167072" w:rsidP="0094661D">
      <w:pPr>
        <w:ind w:firstLine="720"/>
        <w:jc w:val="both"/>
      </w:pPr>
      <w:r>
        <w:t>-</w:t>
      </w:r>
      <w:r w:rsidR="00314FAE">
        <w:t> </w:t>
      </w:r>
      <w:r>
        <w:t>nodrošināt disciplinārlietu materiālu uzska</w:t>
      </w:r>
      <w:r w:rsidR="00476AF8">
        <w:t>i</w:t>
      </w:r>
      <w:r>
        <w:t xml:space="preserve">ti un uzglabāšanu atbilstoši </w:t>
      </w:r>
      <w:r w:rsidR="008D04AF">
        <w:t>normatīvo aktu prasībām.</w:t>
      </w:r>
      <w:r>
        <w:t xml:space="preserve"> </w:t>
      </w:r>
    </w:p>
    <w:p w:rsidR="00404A24" w:rsidRPr="00404A24" w:rsidRDefault="000938FE" w:rsidP="0062156C">
      <w:pPr>
        <w:spacing w:before="120"/>
        <w:ind w:firstLine="720"/>
        <w:jc w:val="both"/>
        <w:rPr>
          <w:b/>
        </w:rPr>
      </w:pPr>
      <w:r w:rsidRPr="000938FE">
        <w:rPr>
          <w:b/>
        </w:rPr>
        <w:t>Administratoru eksaminācija</w:t>
      </w:r>
      <w:r>
        <w:rPr>
          <w:b/>
        </w:rPr>
        <w:t>s</w:t>
      </w:r>
      <w:r w:rsidRPr="000938FE">
        <w:rPr>
          <w:b/>
        </w:rPr>
        <w:t>, iecelšana</w:t>
      </w:r>
      <w:r>
        <w:rPr>
          <w:b/>
        </w:rPr>
        <w:t>s</w:t>
      </w:r>
      <w:r w:rsidRPr="000938FE">
        <w:rPr>
          <w:b/>
        </w:rPr>
        <w:t xml:space="preserve"> amatā un disciplināratbildība</w:t>
      </w:r>
      <w:r>
        <w:rPr>
          <w:b/>
        </w:rPr>
        <w:t>s nodrošināšanai nepieciešamā finansējuma</w:t>
      </w:r>
      <w:r w:rsidRPr="000938FE">
        <w:rPr>
          <w:b/>
        </w:rPr>
        <w:t xml:space="preserve"> </w:t>
      </w:r>
      <w:r w:rsidR="002E3CA3">
        <w:rPr>
          <w:b/>
        </w:rPr>
        <w:t>k</w:t>
      </w:r>
      <w:r w:rsidR="00404A24">
        <w:rPr>
          <w:b/>
        </w:rPr>
        <w:t>opsavilkums</w:t>
      </w:r>
    </w:p>
    <w:p w:rsidR="002B38F9" w:rsidRDefault="002B38F9" w:rsidP="00603A6D">
      <w:pPr>
        <w:spacing w:before="60"/>
        <w:ind w:firstLine="720"/>
        <w:jc w:val="both"/>
        <w:rPr>
          <w:noProof/>
          <w:color w:val="000000"/>
        </w:rPr>
      </w:pPr>
      <w:r>
        <w:rPr>
          <w:noProof/>
          <w:color w:val="000000"/>
        </w:rPr>
        <w:t>M</w:t>
      </w:r>
      <w:r w:rsidRPr="002B38F9">
        <w:rPr>
          <w:noProof/>
          <w:color w:val="000000"/>
        </w:rPr>
        <w:t>inētie uzdevumi Maksātnespējas administrācijas kompetencē tika nodoti 2017.</w:t>
      </w:r>
      <w:r w:rsidR="005C66BB">
        <w:rPr>
          <w:noProof/>
          <w:color w:val="000000"/>
        </w:rPr>
        <w:t> </w:t>
      </w:r>
      <w:r w:rsidRPr="002B38F9">
        <w:rPr>
          <w:noProof/>
          <w:color w:val="000000"/>
        </w:rPr>
        <w:t>gada 6.</w:t>
      </w:r>
      <w:r w:rsidR="005C66BB">
        <w:rPr>
          <w:noProof/>
          <w:color w:val="000000"/>
        </w:rPr>
        <w:t> </w:t>
      </w:r>
      <w:r w:rsidRPr="002B38F9">
        <w:rPr>
          <w:noProof/>
          <w:color w:val="000000"/>
        </w:rPr>
        <w:t>janvārī un iepriekš iestāde šos uzdevumus nav veikusi, at</w:t>
      </w:r>
      <w:r>
        <w:rPr>
          <w:noProof/>
          <w:color w:val="000000"/>
        </w:rPr>
        <w:t xml:space="preserve">tiecīgi šo funkciju veikšanai </w:t>
      </w:r>
      <w:r w:rsidRPr="002B38F9">
        <w:rPr>
          <w:noProof/>
          <w:color w:val="000000"/>
        </w:rPr>
        <w:t>nepieciešams papildu finansējums</w:t>
      </w:r>
      <w:r w:rsidR="00676A0C">
        <w:rPr>
          <w:noProof/>
          <w:color w:val="000000"/>
        </w:rPr>
        <w:t>.</w:t>
      </w:r>
    </w:p>
    <w:p w:rsidR="00676A0C" w:rsidRDefault="003C57A9" w:rsidP="00603A6D">
      <w:pPr>
        <w:spacing w:before="60"/>
        <w:ind w:firstLine="720"/>
        <w:jc w:val="both"/>
        <w:rPr>
          <w:color w:val="000000"/>
        </w:rPr>
      </w:pPr>
      <w:r>
        <w:rPr>
          <w:color w:val="000000"/>
        </w:rPr>
        <w:t>Šobrīd minēto uzdevumu izpildi Maksātnespējas administrācija nodrošina</w:t>
      </w:r>
      <w:r w:rsidR="00D37E4B">
        <w:rPr>
          <w:color w:val="000000"/>
        </w:rPr>
        <w:t>,</w:t>
      </w:r>
      <w:r w:rsidR="00B862DF">
        <w:rPr>
          <w:color w:val="000000"/>
        </w:rPr>
        <w:t xml:space="preserve"> </w:t>
      </w:r>
      <w:r w:rsidR="00D37E4B">
        <w:rPr>
          <w:color w:val="000000"/>
        </w:rPr>
        <w:t xml:space="preserve">nodarbinātajiem strādājot paaugstinātas intensitātes apstākļos, </w:t>
      </w:r>
      <w:r>
        <w:rPr>
          <w:color w:val="000000"/>
        </w:rPr>
        <w:t>k</w:t>
      </w:r>
      <w:r w:rsidR="005A1D5A">
        <w:rPr>
          <w:color w:val="000000"/>
        </w:rPr>
        <w:t xml:space="preserve">ā arī, </w:t>
      </w:r>
      <w:r>
        <w:rPr>
          <w:color w:val="000000"/>
        </w:rPr>
        <w:t xml:space="preserve">piesaistot noteiktu uzdevumu izpildei citu </w:t>
      </w:r>
      <w:r w:rsidR="00534038">
        <w:rPr>
          <w:color w:val="000000"/>
        </w:rPr>
        <w:t>struktūrvienību</w:t>
      </w:r>
      <w:r>
        <w:rPr>
          <w:color w:val="000000"/>
        </w:rPr>
        <w:t xml:space="preserve"> </w:t>
      </w:r>
      <w:r w:rsidR="00D37E4B">
        <w:rPr>
          <w:color w:val="000000"/>
        </w:rPr>
        <w:t>nodarbinātos</w:t>
      </w:r>
      <w:r>
        <w:rPr>
          <w:color w:val="000000"/>
        </w:rPr>
        <w:t xml:space="preserve">, kā rezultātā </w:t>
      </w:r>
      <w:r w:rsidR="00534038">
        <w:rPr>
          <w:color w:val="000000"/>
        </w:rPr>
        <w:t>nodarbinātie, kas pilda papildu</w:t>
      </w:r>
      <w:r>
        <w:rPr>
          <w:color w:val="000000"/>
        </w:rPr>
        <w:t xml:space="preserve"> pienākumus, nevar pilnā apmērā pievērsties pamatpienākumu veikšanai. </w:t>
      </w:r>
      <w:r w:rsidR="00355256">
        <w:rPr>
          <w:color w:val="000000"/>
        </w:rPr>
        <w:t xml:space="preserve">No 2016. gada septembra Maksātnespējas administrācijai tika piešķirti papildus līdzekļi nodarbināto mēnešalgu palielināšanai, kā rezultātā </w:t>
      </w:r>
      <w:r w:rsidR="004C4D1B">
        <w:rPr>
          <w:color w:val="000000"/>
        </w:rPr>
        <w:t>samazinājās personāla mainība</w:t>
      </w:r>
      <w:r w:rsidR="005F52A5">
        <w:rPr>
          <w:color w:val="000000"/>
        </w:rPr>
        <w:t>,</w:t>
      </w:r>
      <w:r w:rsidR="004C4D1B">
        <w:rPr>
          <w:color w:val="000000"/>
        </w:rPr>
        <w:t xml:space="preserve"> </w:t>
      </w:r>
      <w:r w:rsidR="005F52A5">
        <w:rPr>
          <w:color w:val="000000"/>
        </w:rPr>
        <w:t xml:space="preserve">tomēr papildus uzdevumu noteikšana Maksātnespējas administrācijai </w:t>
      </w:r>
      <w:r w:rsidR="00402106">
        <w:rPr>
          <w:color w:val="000000"/>
        </w:rPr>
        <w:t xml:space="preserve">2017. gadā </w:t>
      </w:r>
      <w:r w:rsidR="005F52A5">
        <w:rPr>
          <w:color w:val="000000"/>
        </w:rPr>
        <w:t>ievērojami palielina darba apjomu un tā nodrošināšanai ir nepieciešami papildus nodarbinātie</w:t>
      </w:r>
      <w:r w:rsidR="00402106">
        <w:rPr>
          <w:color w:val="000000"/>
        </w:rPr>
        <w:t>, jo pastāvīgos paaugstinātas intensitātes apstākļos ir iespējams strādāt tikai kādu laiku, nevis pastāvīgi</w:t>
      </w:r>
      <w:r w:rsidR="004C4D1B">
        <w:rPr>
          <w:color w:val="000000"/>
        </w:rPr>
        <w:t xml:space="preserve">. </w:t>
      </w:r>
    </w:p>
    <w:p w:rsidR="002B38F9" w:rsidRDefault="003C57A9" w:rsidP="00603A6D">
      <w:pPr>
        <w:spacing w:before="60"/>
        <w:ind w:firstLine="720"/>
        <w:jc w:val="both"/>
        <w:rPr>
          <w:bCs/>
        </w:rPr>
      </w:pPr>
      <w:r>
        <w:rPr>
          <w:color w:val="000000"/>
        </w:rPr>
        <w:t xml:space="preserve">Lai turpmāk </w:t>
      </w:r>
      <w:r w:rsidR="00534038">
        <w:rPr>
          <w:color w:val="000000"/>
        </w:rPr>
        <w:t>pilnvērtīgi</w:t>
      </w:r>
      <w:r>
        <w:rPr>
          <w:color w:val="000000"/>
        </w:rPr>
        <w:t xml:space="preserve"> </w:t>
      </w:r>
      <w:r w:rsidR="00116E27">
        <w:rPr>
          <w:color w:val="000000"/>
        </w:rPr>
        <w:t>nodrošinātu Maksātnespējas</w:t>
      </w:r>
      <w:r w:rsidR="00116E27">
        <w:rPr>
          <w:noProof/>
          <w:color w:val="000000"/>
        </w:rPr>
        <w:t xml:space="preserve"> likumā noteikto procedūru no</w:t>
      </w:r>
      <w:r w:rsidR="001F4F70">
        <w:rPr>
          <w:noProof/>
          <w:color w:val="000000"/>
        </w:rPr>
        <w:t>risi</w:t>
      </w:r>
      <w:r w:rsidR="00116E27">
        <w:rPr>
          <w:noProof/>
          <w:color w:val="000000"/>
        </w:rPr>
        <w:t xml:space="preserve">, </w:t>
      </w:r>
      <w:r w:rsidR="007B5B87">
        <w:rPr>
          <w:noProof/>
          <w:color w:val="000000"/>
        </w:rPr>
        <w:t xml:space="preserve">nepieciešams </w:t>
      </w:r>
      <w:r w:rsidR="00116E27">
        <w:rPr>
          <w:noProof/>
          <w:color w:val="000000"/>
        </w:rPr>
        <w:t xml:space="preserve">piešķirt </w:t>
      </w:r>
      <w:r w:rsidR="00931925" w:rsidRPr="008C15CC">
        <w:rPr>
          <w:noProof/>
        </w:rPr>
        <w:t>trīs</w:t>
      </w:r>
      <w:r w:rsidR="00931925" w:rsidRPr="00945EC6">
        <w:rPr>
          <w:noProof/>
          <w:color w:val="000000"/>
        </w:rPr>
        <w:t xml:space="preserve"> amata vietas</w:t>
      </w:r>
      <w:r w:rsidR="00DD1A70">
        <w:rPr>
          <w:noProof/>
          <w:color w:val="000000"/>
        </w:rPr>
        <w:t>, kā arī papildu finansējum</w:t>
      </w:r>
      <w:r w:rsidR="00314FAE">
        <w:rPr>
          <w:noProof/>
          <w:color w:val="000000"/>
        </w:rPr>
        <w:t>u</w:t>
      </w:r>
      <w:r w:rsidR="002B554C">
        <w:rPr>
          <w:noProof/>
          <w:color w:val="000000"/>
        </w:rPr>
        <w:t>.</w:t>
      </w:r>
      <w:r w:rsidR="00501EE9">
        <w:rPr>
          <w:noProof/>
          <w:color w:val="000000"/>
        </w:rPr>
        <w:t xml:space="preserve"> </w:t>
      </w:r>
      <w:r w:rsidR="00DA2963">
        <w:rPr>
          <w:noProof/>
          <w:color w:val="000000"/>
        </w:rPr>
        <w:t xml:space="preserve">Ministru </w:t>
      </w:r>
      <w:r w:rsidR="00216C77">
        <w:rPr>
          <w:noProof/>
          <w:color w:val="000000"/>
        </w:rPr>
        <w:t xml:space="preserve">kabinets </w:t>
      </w:r>
      <w:r w:rsidR="00DA2963">
        <w:rPr>
          <w:noProof/>
          <w:color w:val="000000"/>
        </w:rPr>
        <w:t>2017. gada 3. maijā ir pieņēmis Ministru k</w:t>
      </w:r>
      <w:r w:rsidR="00216C77">
        <w:rPr>
          <w:noProof/>
          <w:color w:val="000000"/>
        </w:rPr>
        <w:t>a</w:t>
      </w:r>
      <w:r w:rsidR="00DA2963">
        <w:rPr>
          <w:noProof/>
          <w:color w:val="000000"/>
        </w:rPr>
        <w:t xml:space="preserve">bineta noteikumus Nr. 233 </w:t>
      </w:r>
      <w:r w:rsidR="00DA2963" w:rsidRPr="00D947A4">
        <w:rPr>
          <w:noProof/>
          <w:color w:val="000000"/>
        </w:rPr>
        <w:t>"</w:t>
      </w:r>
      <w:r w:rsidR="00D947A4" w:rsidRPr="00216C77">
        <w:rPr>
          <w:bCs/>
          <w:noProof/>
          <w:color w:val="000000"/>
        </w:rPr>
        <w:t>Maksātnespējas procesa administratoru un tiesiskās aizsardzības procesa uzraugošo personu disciplinārlietu noteikumi</w:t>
      </w:r>
      <w:r w:rsidR="00DA2963" w:rsidRPr="00D947A4">
        <w:rPr>
          <w:noProof/>
          <w:color w:val="000000"/>
        </w:rPr>
        <w:t>"</w:t>
      </w:r>
      <w:r w:rsidR="00D947A4">
        <w:rPr>
          <w:noProof/>
          <w:color w:val="000000"/>
        </w:rPr>
        <w:t xml:space="preserve"> (prot. Nr.</w:t>
      </w:r>
      <w:r w:rsidR="00886829" w:rsidRPr="00886829">
        <w:rPr>
          <w:rFonts w:ascii="Arial" w:hAnsi="Arial" w:cs="Arial"/>
          <w:color w:val="414142"/>
        </w:rPr>
        <w:t xml:space="preserve"> </w:t>
      </w:r>
      <w:r w:rsidR="00886829" w:rsidRPr="00886829">
        <w:rPr>
          <w:noProof/>
          <w:color w:val="000000"/>
        </w:rPr>
        <w:t>22 21. §)</w:t>
      </w:r>
      <w:r w:rsidR="00886829">
        <w:rPr>
          <w:noProof/>
          <w:color w:val="000000"/>
        </w:rPr>
        <w:t xml:space="preserve">, </w:t>
      </w:r>
      <w:r w:rsidR="003535B5" w:rsidRPr="00886829">
        <w:rPr>
          <w:bCs/>
          <w:noProof/>
          <w:color w:val="000000"/>
        </w:rPr>
        <w:t>kur</w:t>
      </w:r>
      <w:r w:rsidR="003535B5">
        <w:rPr>
          <w:bCs/>
          <w:noProof/>
          <w:color w:val="000000"/>
        </w:rPr>
        <w:t>u</w:t>
      </w:r>
      <w:r w:rsidR="003535B5" w:rsidRPr="00886829">
        <w:rPr>
          <w:bCs/>
          <w:noProof/>
          <w:color w:val="000000"/>
        </w:rPr>
        <w:t xml:space="preserve"> </w:t>
      </w:r>
      <w:r w:rsidR="00886829" w:rsidRPr="00886829">
        <w:rPr>
          <w:bCs/>
          <w:noProof/>
          <w:color w:val="000000"/>
        </w:rPr>
        <w:t xml:space="preserve">anotācijas III sadaļā ir norādīta ietekme uz valsts budžetu (divas amata vietas </w:t>
      </w:r>
      <w:r w:rsidR="00886829">
        <w:rPr>
          <w:bCs/>
          <w:noProof/>
          <w:color w:val="000000"/>
        </w:rPr>
        <w:t>–</w:t>
      </w:r>
      <w:r w:rsidR="00886829" w:rsidRPr="00886829">
        <w:rPr>
          <w:bCs/>
          <w:noProof/>
          <w:color w:val="000000"/>
        </w:rPr>
        <w:t xml:space="preserve"> juriskonsulti)</w:t>
      </w:r>
      <w:r w:rsidR="00886829">
        <w:rPr>
          <w:bCs/>
          <w:noProof/>
          <w:color w:val="000000"/>
        </w:rPr>
        <w:t>.</w:t>
      </w:r>
      <w:r w:rsidR="00886829" w:rsidRPr="00886829">
        <w:rPr>
          <w:noProof/>
          <w:color w:val="000000"/>
        </w:rPr>
        <w:t xml:space="preserve"> </w:t>
      </w:r>
      <w:r w:rsidR="00951814">
        <w:rPr>
          <w:noProof/>
          <w:color w:val="000000"/>
        </w:rPr>
        <w:t xml:space="preserve">Ministru kabinets 2017. gada </w:t>
      </w:r>
      <w:r w:rsidR="00A8782A">
        <w:rPr>
          <w:noProof/>
          <w:color w:val="000000"/>
        </w:rPr>
        <w:t>30. maijā pieņēmis</w:t>
      </w:r>
      <w:r w:rsidR="00702724">
        <w:rPr>
          <w:noProof/>
          <w:color w:val="000000"/>
        </w:rPr>
        <w:t xml:space="preserve"> ir Ministru </w:t>
      </w:r>
      <w:r w:rsidR="00314FAE">
        <w:rPr>
          <w:noProof/>
          <w:color w:val="000000"/>
        </w:rPr>
        <w:t>k</w:t>
      </w:r>
      <w:r w:rsidR="00702724">
        <w:rPr>
          <w:noProof/>
          <w:color w:val="000000"/>
        </w:rPr>
        <w:t>abineta noteikumu</w:t>
      </w:r>
      <w:r w:rsidR="00A8782A">
        <w:rPr>
          <w:noProof/>
          <w:color w:val="000000"/>
        </w:rPr>
        <w:t>s</w:t>
      </w:r>
      <w:r w:rsidR="00702724">
        <w:rPr>
          <w:noProof/>
          <w:color w:val="000000"/>
        </w:rPr>
        <w:t xml:space="preserve"> </w:t>
      </w:r>
      <w:r w:rsidR="00A8782A">
        <w:rPr>
          <w:noProof/>
          <w:color w:val="000000"/>
        </w:rPr>
        <w:t xml:space="preserve">Nr.288  </w:t>
      </w:r>
      <w:r w:rsidR="00702724" w:rsidRPr="00676A0C">
        <w:rPr>
          <w:bCs/>
        </w:rPr>
        <w:t>"</w:t>
      </w:r>
      <w:r w:rsidR="003535B5" w:rsidRPr="00676A0C">
        <w:rPr>
          <w:bCs/>
          <w:bdr w:val="none" w:sz="0" w:space="0" w:color="auto" w:frame="1"/>
          <w:shd w:val="clear" w:color="auto" w:fill="FFFFFF"/>
        </w:rPr>
        <w:t>Maksātnespējas procesa administratora pretendentu apmācības, eksaminācijas kārtība, eksaminācijas komisijas darbības kārtība un maksātnespējas procesa administratoru amatā iecelšanas, atbrīvošanas, atcelšanas un atstādināšanas no amata un amata darbības apturēšanas kārtība</w:t>
      </w:r>
      <w:r w:rsidR="00702724" w:rsidRPr="00676A0C">
        <w:rPr>
          <w:bCs/>
        </w:rPr>
        <w:t>"</w:t>
      </w:r>
      <w:r w:rsidR="0083350B">
        <w:rPr>
          <w:bCs/>
        </w:rPr>
        <w:t xml:space="preserve"> </w:t>
      </w:r>
      <w:r w:rsidR="003535B5">
        <w:rPr>
          <w:bCs/>
        </w:rPr>
        <w:t>(</w:t>
      </w:r>
      <w:r w:rsidR="003535B5">
        <w:rPr>
          <w:noProof/>
          <w:color w:val="000000"/>
        </w:rPr>
        <w:t>prot. Nr.</w:t>
      </w:r>
      <w:r w:rsidR="003535B5" w:rsidRPr="00886829">
        <w:rPr>
          <w:rFonts w:ascii="Arial" w:hAnsi="Arial" w:cs="Arial"/>
          <w:color w:val="414142"/>
        </w:rPr>
        <w:t xml:space="preserve"> </w:t>
      </w:r>
      <w:r w:rsidR="003535B5" w:rsidRPr="00886829">
        <w:rPr>
          <w:noProof/>
          <w:color w:val="000000"/>
        </w:rPr>
        <w:t>2</w:t>
      </w:r>
      <w:r w:rsidR="003535B5">
        <w:rPr>
          <w:noProof/>
          <w:color w:val="000000"/>
        </w:rPr>
        <w:t>8</w:t>
      </w:r>
      <w:r w:rsidR="003535B5" w:rsidRPr="00886829">
        <w:rPr>
          <w:noProof/>
          <w:color w:val="000000"/>
        </w:rPr>
        <w:t xml:space="preserve"> </w:t>
      </w:r>
      <w:r w:rsidR="003535B5">
        <w:rPr>
          <w:noProof/>
          <w:color w:val="000000"/>
        </w:rPr>
        <w:t>35</w:t>
      </w:r>
      <w:r w:rsidR="003535B5" w:rsidRPr="00886829">
        <w:rPr>
          <w:noProof/>
          <w:color w:val="000000"/>
        </w:rPr>
        <w:t>. §</w:t>
      </w:r>
      <w:r w:rsidR="0083350B">
        <w:rPr>
          <w:noProof/>
          <w:color w:val="000000"/>
        </w:rPr>
        <w:t>)</w:t>
      </w:r>
      <w:r w:rsidR="00702724">
        <w:rPr>
          <w:bCs/>
        </w:rPr>
        <w:t xml:space="preserve">, </w:t>
      </w:r>
      <w:r w:rsidR="003535B5">
        <w:rPr>
          <w:bCs/>
        </w:rPr>
        <w:t xml:space="preserve">kuru </w:t>
      </w:r>
      <w:r w:rsidR="00702724">
        <w:rPr>
          <w:bCs/>
        </w:rPr>
        <w:t>anotācijas III sadaļā ir norādīta ietekme uz valsts budžetu</w:t>
      </w:r>
      <w:r w:rsidR="00886829">
        <w:rPr>
          <w:bCs/>
        </w:rPr>
        <w:t xml:space="preserve"> </w:t>
      </w:r>
      <w:r w:rsidR="00886829" w:rsidRPr="00886829">
        <w:rPr>
          <w:bCs/>
        </w:rPr>
        <w:t xml:space="preserve">(viena amata vieta </w:t>
      </w:r>
      <w:r w:rsidR="00886829">
        <w:rPr>
          <w:bCs/>
        </w:rPr>
        <w:t>–</w:t>
      </w:r>
      <w:r w:rsidR="00886829" w:rsidRPr="00886829">
        <w:rPr>
          <w:bCs/>
        </w:rPr>
        <w:t xml:space="preserve"> juriskonsults)</w:t>
      </w:r>
      <w:r w:rsidR="00702724">
        <w:rPr>
          <w:bCs/>
        </w:rPr>
        <w:t xml:space="preserve">. </w:t>
      </w:r>
      <w:r w:rsidR="002B38F9" w:rsidRPr="002B38F9">
        <w:rPr>
          <w:bCs/>
        </w:rPr>
        <w:t>Papildus nepieciešamās amata vietas</w:t>
      </w:r>
      <w:r w:rsidR="00403D8D">
        <w:rPr>
          <w:bCs/>
        </w:rPr>
        <w:t xml:space="preserve"> bez finansējuma</w:t>
      </w:r>
      <w:r w:rsidR="002B38F9" w:rsidRPr="002B38F9">
        <w:rPr>
          <w:bCs/>
        </w:rPr>
        <w:t xml:space="preserve"> tiks nodrošinātas Tieslietu ministrijas resora ietvaros, veicot amata vietu pārdali no Tiesu administrācijas.</w:t>
      </w:r>
      <w:r w:rsidR="00403D8D">
        <w:rPr>
          <w:bCs/>
        </w:rPr>
        <w:t xml:space="preserve"> </w:t>
      </w:r>
      <w:r w:rsidR="00403D8D" w:rsidRPr="00403D8D">
        <w:rPr>
          <w:bCs/>
        </w:rPr>
        <w:t>Tiesu administrācijai būtisku resursu daļu veido pašu ieņēmumi par sniegtajiem pakalpojumiem (aptuveni 63%)</w:t>
      </w:r>
      <w:r w:rsidR="00403D8D">
        <w:rPr>
          <w:bCs/>
        </w:rPr>
        <w:t xml:space="preserve"> un a</w:t>
      </w:r>
      <w:r w:rsidR="00403D8D" w:rsidRPr="00403D8D">
        <w:rPr>
          <w:bCs/>
        </w:rPr>
        <w:t>ttiecīgi arī finansējums atlīdzībai tiek virzīts no pašu ieņēmumiem. Veicot amata vietu pārdali</w:t>
      </w:r>
      <w:r w:rsidR="00403D8D">
        <w:rPr>
          <w:bCs/>
        </w:rPr>
        <w:t xml:space="preserve"> Tieslietu ministrijas resora ietvaros</w:t>
      </w:r>
      <w:r w:rsidR="004D1509">
        <w:rPr>
          <w:bCs/>
        </w:rPr>
        <w:t xml:space="preserve"> no Tiesu administrācijas</w:t>
      </w:r>
      <w:r w:rsidR="00403D8D" w:rsidRPr="00403D8D">
        <w:rPr>
          <w:bCs/>
        </w:rPr>
        <w:t>, nav iespējama pašu ieņēmumu pārdale (t.sk. turpmākajos periodos)</w:t>
      </w:r>
      <w:r w:rsidR="004D1509">
        <w:rPr>
          <w:bCs/>
        </w:rPr>
        <w:t>.</w:t>
      </w:r>
      <w:r w:rsidR="00403D8D" w:rsidRPr="00403D8D">
        <w:rPr>
          <w:bCs/>
        </w:rPr>
        <w:t xml:space="preserve"> </w:t>
      </w:r>
      <w:r w:rsidR="004D1509">
        <w:rPr>
          <w:bCs/>
        </w:rPr>
        <w:t>V</w:t>
      </w:r>
      <w:r w:rsidR="00403D8D" w:rsidRPr="00403D8D">
        <w:rPr>
          <w:bCs/>
        </w:rPr>
        <w:t>ienlaikus pašu ieņēmumu neizpildes gadījumā</w:t>
      </w:r>
      <w:r w:rsidR="00403D8D">
        <w:rPr>
          <w:bCs/>
        </w:rPr>
        <w:t>,</w:t>
      </w:r>
      <w:r w:rsidR="00403D8D" w:rsidRPr="00403D8D">
        <w:rPr>
          <w:bCs/>
        </w:rPr>
        <w:t xml:space="preserve"> </w:t>
      </w:r>
      <w:r w:rsidR="004D1509">
        <w:rPr>
          <w:bCs/>
        </w:rPr>
        <w:t xml:space="preserve">Tiesu administrācijā </w:t>
      </w:r>
      <w:r w:rsidR="00403D8D" w:rsidRPr="00403D8D">
        <w:rPr>
          <w:bCs/>
        </w:rPr>
        <w:t>esošā</w:t>
      </w:r>
      <w:r w:rsidR="004D1509">
        <w:rPr>
          <w:bCs/>
        </w:rPr>
        <w:t>s</w:t>
      </w:r>
      <w:r w:rsidR="00403D8D" w:rsidRPr="00403D8D">
        <w:rPr>
          <w:bCs/>
        </w:rPr>
        <w:t xml:space="preserve"> amata vieta</w:t>
      </w:r>
      <w:r w:rsidR="004D1509">
        <w:rPr>
          <w:bCs/>
        </w:rPr>
        <w:t>s</w:t>
      </w:r>
      <w:r w:rsidR="00403D8D" w:rsidRPr="00403D8D">
        <w:rPr>
          <w:bCs/>
        </w:rPr>
        <w:t xml:space="preserve"> arī n</w:t>
      </w:r>
      <w:r w:rsidR="004D1509">
        <w:rPr>
          <w:bCs/>
        </w:rPr>
        <w:t>ebija</w:t>
      </w:r>
      <w:r w:rsidR="00403D8D" w:rsidRPr="00403D8D">
        <w:rPr>
          <w:bCs/>
        </w:rPr>
        <w:t xml:space="preserve"> aizpildīta</w:t>
      </w:r>
      <w:r w:rsidR="004D1509">
        <w:rPr>
          <w:bCs/>
        </w:rPr>
        <w:t>s</w:t>
      </w:r>
      <w:r w:rsidR="00403D8D" w:rsidRPr="00403D8D">
        <w:rPr>
          <w:bCs/>
        </w:rPr>
        <w:t xml:space="preserve"> un nofinansēta</w:t>
      </w:r>
      <w:r w:rsidR="004D1509">
        <w:rPr>
          <w:bCs/>
        </w:rPr>
        <w:t>s</w:t>
      </w:r>
      <w:proofErr w:type="gramStart"/>
      <w:r w:rsidR="00403D8D" w:rsidRPr="00403D8D">
        <w:rPr>
          <w:bCs/>
        </w:rPr>
        <w:t xml:space="preserve"> un</w:t>
      </w:r>
      <w:proofErr w:type="gramEnd"/>
      <w:r w:rsidR="00403D8D" w:rsidRPr="00403D8D">
        <w:rPr>
          <w:bCs/>
        </w:rPr>
        <w:t xml:space="preserve"> attiecīgi var tikt pārdalīta</w:t>
      </w:r>
      <w:r w:rsidR="004D1509">
        <w:rPr>
          <w:bCs/>
        </w:rPr>
        <w:t>s Maksātnespējas administrācijai</w:t>
      </w:r>
      <w:r w:rsidR="00403D8D" w:rsidRPr="00403D8D">
        <w:rPr>
          <w:bCs/>
        </w:rPr>
        <w:t xml:space="preserve"> bez finansējuma.</w:t>
      </w:r>
    </w:p>
    <w:p w:rsidR="00B03D58" w:rsidRDefault="00702724" w:rsidP="00603A6D">
      <w:pPr>
        <w:spacing w:before="60"/>
        <w:ind w:firstLine="720"/>
        <w:jc w:val="both"/>
        <w:rPr>
          <w:b/>
          <w:bCs/>
        </w:rPr>
      </w:pPr>
      <w:r w:rsidRPr="00A97D84">
        <w:rPr>
          <w:b/>
          <w:bCs/>
        </w:rPr>
        <w:t xml:space="preserve">Papildus nepieciešamais finansējums trijām </w:t>
      </w:r>
      <w:r w:rsidR="00F71BEB" w:rsidRPr="00A97D84">
        <w:rPr>
          <w:b/>
          <w:bCs/>
        </w:rPr>
        <w:t>amata</w:t>
      </w:r>
      <w:r w:rsidRPr="00A97D84">
        <w:rPr>
          <w:b/>
          <w:bCs/>
        </w:rPr>
        <w:t xml:space="preserve"> vietām ir</w:t>
      </w:r>
      <w:r w:rsidR="00DF6DCD">
        <w:rPr>
          <w:b/>
          <w:bCs/>
        </w:rPr>
        <w:t> </w:t>
      </w:r>
      <w:r w:rsidR="00476AF8" w:rsidRPr="00A97D84">
        <w:rPr>
          <w:b/>
          <w:bCs/>
        </w:rPr>
        <w:t>86</w:t>
      </w:r>
      <w:r w:rsidR="00DF6DCD">
        <w:rPr>
          <w:b/>
          <w:bCs/>
        </w:rPr>
        <w:t> </w:t>
      </w:r>
      <w:r w:rsidR="00476AF8" w:rsidRPr="00A97D84">
        <w:rPr>
          <w:b/>
          <w:bCs/>
        </w:rPr>
        <w:t>95</w:t>
      </w:r>
      <w:r w:rsidR="00897645">
        <w:rPr>
          <w:b/>
          <w:bCs/>
        </w:rPr>
        <w:t>3</w:t>
      </w:r>
      <w:r w:rsidR="00DF6DCD">
        <w:rPr>
          <w:b/>
          <w:bCs/>
          <w:i/>
        </w:rPr>
        <w:t> </w:t>
      </w:r>
      <w:proofErr w:type="spellStart"/>
      <w:r w:rsidR="00487393" w:rsidRPr="00A97D84">
        <w:rPr>
          <w:b/>
          <w:bCs/>
          <w:i/>
        </w:rPr>
        <w:t>euro</w:t>
      </w:r>
      <w:proofErr w:type="spellEnd"/>
      <w:r w:rsidR="00487393" w:rsidRPr="00A97D84">
        <w:rPr>
          <w:b/>
          <w:bCs/>
        </w:rPr>
        <w:t xml:space="preserve"> 201</w:t>
      </w:r>
      <w:r w:rsidR="00685FCD" w:rsidRPr="00A97D84">
        <w:rPr>
          <w:b/>
          <w:bCs/>
        </w:rPr>
        <w:t>8</w:t>
      </w:r>
      <w:r w:rsidR="00487393" w:rsidRPr="00A97D84">
        <w:rPr>
          <w:b/>
          <w:bCs/>
        </w:rPr>
        <w:t>.</w:t>
      </w:r>
      <w:r w:rsidR="00DF6DCD">
        <w:rPr>
          <w:b/>
          <w:bCs/>
        </w:rPr>
        <w:t> </w:t>
      </w:r>
      <w:r w:rsidR="00487393" w:rsidRPr="00A97D84">
        <w:rPr>
          <w:b/>
          <w:bCs/>
        </w:rPr>
        <w:t>gadā un</w:t>
      </w:r>
      <w:r w:rsidR="00603A6D">
        <w:rPr>
          <w:b/>
          <w:bCs/>
        </w:rPr>
        <w:t>, sākot ar 2019. gadu,</w:t>
      </w:r>
      <w:r w:rsidR="00487393" w:rsidRPr="00A97D84">
        <w:rPr>
          <w:b/>
          <w:bCs/>
        </w:rPr>
        <w:t xml:space="preserve"> </w:t>
      </w:r>
      <w:r w:rsidR="00476AF8" w:rsidRPr="00A97D84">
        <w:rPr>
          <w:b/>
          <w:bCs/>
        </w:rPr>
        <w:t>82</w:t>
      </w:r>
      <w:r w:rsidR="00DF6DCD">
        <w:rPr>
          <w:b/>
          <w:bCs/>
        </w:rPr>
        <w:t> </w:t>
      </w:r>
      <w:r w:rsidR="00476AF8" w:rsidRPr="00A97D84">
        <w:rPr>
          <w:b/>
          <w:bCs/>
        </w:rPr>
        <w:t>78</w:t>
      </w:r>
      <w:r w:rsidR="00897645">
        <w:rPr>
          <w:b/>
          <w:bCs/>
        </w:rPr>
        <w:t>3</w:t>
      </w:r>
      <w:r w:rsidR="00DF6DCD">
        <w:rPr>
          <w:b/>
          <w:bCs/>
        </w:rPr>
        <w:t> </w:t>
      </w:r>
      <w:proofErr w:type="spellStart"/>
      <w:r w:rsidR="00487393" w:rsidRPr="00A97D84">
        <w:rPr>
          <w:b/>
          <w:bCs/>
          <w:i/>
        </w:rPr>
        <w:t>euro</w:t>
      </w:r>
      <w:proofErr w:type="spellEnd"/>
      <w:r w:rsidR="00487393" w:rsidRPr="00A97D84">
        <w:rPr>
          <w:b/>
          <w:bCs/>
        </w:rPr>
        <w:t xml:space="preserve"> </w:t>
      </w:r>
      <w:r w:rsidR="00603A6D">
        <w:rPr>
          <w:b/>
          <w:bCs/>
        </w:rPr>
        <w:t xml:space="preserve">ik </w:t>
      </w:r>
      <w:r w:rsidR="00F71BEB" w:rsidRPr="00A97D84">
        <w:rPr>
          <w:b/>
          <w:bCs/>
        </w:rPr>
        <w:t>gad</w:t>
      </w:r>
      <w:r w:rsidR="00603A6D">
        <w:rPr>
          <w:b/>
          <w:bCs/>
        </w:rPr>
        <w:t>u</w:t>
      </w:r>
      <w:r w:rsidR="00F71BEB" w:rsidRPr="00A97D84">
        <w:rPr>
          <w:b/>
          <w:bCs/>
        </w:rPr>
        <w:t>.</w:t>
      </w:r>
    </w:p>
    <w:p w:rsidR="00676A0C" w:rsidRDefault="00676A0C" w:rsidP="00B70800">
      <w:pPr>
        <w:spacing w:before="240"/>
        <w:ind w:firstLine="720"/>
        <w:jc w:val="both"/>
        <w:rPr>
          <w:b/>
        </w:rPr>
      </w:pPr>
    </w:p>
    <w:p w:rsidR="009E41B8" w:rsidRPr="00347B9E" w:rsidRDefault="00B37891" w:rsidP="00B70800">
      <w:pPr>
        <w:spacing w:before="240"/>
        <w:ind w:firstLine="720"/>
        <w:jc w:val="both"/>
      </w:pPr>
      <w:r w:rsidRPr="008B49D5">
        <w:rPr>
          <w:b/>
        </w:rPr>
        <w:t>2.</w:t>
      </w:r>
      <w:r w:rsidR="00DF6DCD">
        <w:rPr>
          <w:b/>
        </w:rPr>
        <w:t> </w:t>
      </w:r>
      <w:r w:rsidR="009E41B8" w:rsidRPr="00347B9E">
        <w:rPr>
          <w:b/>
        </w:rPr>
        <w:t xml:space="preserve">Tiesības pārbaudīt ar </w:t>
      </w:r>
      <w:r w:rsidR="000A7186">
        <w:rPr>
          <w:b/>
        </w:rPr>
        <w:t xml:space="preserve">tiesiskās aizsardzības procesiem un </w:t>
      </w:r>
      <w:r w:rsidR="009E41B8" w:rsidRPr="00347B9E">
        <w:rPr>
          <w:b/>
        </w:rPr>
        <w:t xml:space="preserve">maksātnespējas procesiem saistītos dokumentus </w:t>
      </w:r>
    </w:p>
    <w:p w:rsidR="00D50AE9" w:rsidRDefault="00B14462">
      <w:pPr>
        <w:pStyle w:val="tv2132"/>
        <w:spacing w:before="60" w:line="240" w:lineRule="auto"/>
        <w:ind w:firstLine="720"/>
        <w:jc w:val="both"/>
        <w:rPr>
          <w:color w:val="auto"/>
          <w:sz w:val="24"/>
          <w:szCs w:val="24"/>
        </w:rPr>
      </w:pPr>
      <w:r w:rsidRPr="00B14462">
        <w:rPr>
          <w:color w:val="auto"/>
          <w:sz w:val="24"/>
          <w:szCs w:val="24"/>
        </w:rPr>
        <w:t xml:space="preserve">Atbilstoši spēkā </w:t>
      </w:r>
      <w:r w:rsidR="00476AF8" w:rsidRPr="00B14462">
        <w:rPr>
          <w:color w:val="auto"/>
          <w:sz w:val="24"/>
          <w:szCs w:val="24"/>
        </w:rPr>
        <w:t>esošaj</w:t>
      </w:r>
      <w:r w:rsidR="00476AF8">
        <w:rPr>
          <w:color w:val="auto"/>
          <w:sz w:val="24"/>
          <w:szCs w:val="24"/>
        </w:rPr>
        <w:t>a</w:t>
      </w:r>
      <w:r w:rsidR="00476AF8" w:rsidRPr="00B14462">
        <w:rPr>
          <w:color w:val="auto"/>
          <w:sz w:val="24"/>
          <w:szCs w:val="24"/>
        </w:rPr>
        <w:t xml:space="preserve">m </w:t>
      </w:r>
      <w:r w:rsidRPr="00B14462">
        <w:rPr>
          <w:color w:val="auto"/>
          <w:sz w:val="24"/>
          <w:szCs w:val="24"/>
        </w:rPr>
        <w:t xml:space="preserve">Maksātnespējas likuma regulējumam </w:t>
      </w:r>
      <w:r w:rsidR="009E41B8" w:rsidRPr="0042153A">
        <w:rPr>
          <w:color w:val="auto"/>
          <w:sz w:val="24"/>
          <w:szCs w:val="24"/>
        </w:rPr>
        <w:t>Maksātnespējas administrācijai ir noteikt</w:t>
      </w:r>
      <w:r w:rsidR="007614EC">
        <w:rPr>
          <w:color w:val="auto"/>
          <w:sz w:val="24"/>
          <w:szCs w:val="24"/>
        </w:rPr>
        <w:t>a</w:t>
      </w:r>
      <w:r w:rsidR="00D23212">
        <w:rPr>
          <w:color w:val="auto"/>
          <w:sz w:val="24"/>
          <w:szCs w:val="24"/>
        </w:rPr>
        <w:t>s</w:t>
      </w:r>
      <w:r w:rsidR="00BA4C5A" w:rsidRPr="0042153A">
        <w:rPr>
          <w:color w:val="auto"/>
          <w:sz w:val="24"/>
          <w:szCs w:val="24"/>
        </w:rPr>
        <w:t xml:space="preserve"> </w:t>
      </w:r>
      <w:r w:rsidR="009E41B8" w:rsidRPr="0042153A">
        <w:rPr>
          <w:color w:val="auto"/>
          <w:sz w:val="24"/>
          <w:szCs w:val="24"/>
        </w:rPr>
        <w:t xml:space="preserve">papildu </w:t>
      </w:r>
      <w:r w:rsidR="007614EC">
        <w:rPr>
          <w:color w:val="auto"/>
          <w:sz w:val="24"/>
          <w:szCs w:val="24"/>
        </w:rPr>
        <w:t>tiesības</w:t>
      </w:r>
      <w:r w:rsidR="005125A7">
        <w:rPr>
          <w:color w:val="auto"/>
          <w:sz w:val="24"/>
          <w:szCs w:val="24"/>
        </w:rPr>
        <w:t xml:space="preserve"> </w:t>
      </w:r>
      <w:r w:rsidR="005A3B64">
        <w:rPr>
          <w:color w:val="auto"/>
          <w:sz w:val="24"/>
          <w:szCs w:val="24"/>
        </w:rPr>
        <w:t xml:space="preserve">pilnvērtīgai </w:t>
      </w:r>
      <w:r w:rsidR="005125A7">
        <w:rPr>
          <w:color w:val="auto"/>
          <w:sz w:val="24"/>
          <w:szCs w:val="24"/>
        </w:rPr>
        <w:t>uzraudzība</w:t>
      </w:r>
      <w:r w:rsidR="00476AF8">
        <w:rPr>
          <w:color w:val="auto"/>
          <w:sz w:val="24"/>
          <w:szCs w:val="24"/>
        </w:rPr>
        <w:t>s</w:t>
      </w:r>
      <w:r w:rsidR="005125A7">
        <w:rPr>
          <w:color w:val="auto"/>
          <w:sz w:val="24"/>
          <w:szCs w:val="24"/>
        </w:rPr>
        <w:t xml:space="preserve"> veikšanai</w:t>
      </w:r>
      <w:r w:rsidR="0042153A">
        <w:rPr>
          <w:color w:val="auto"/>
          <w:sz w:val="24"/>
          <w:szCs w:val="24"/>
        </w:rPr>
        <w:t xml:space="preserve">, proti, </w:t>
      </w:r>
      <w:r w:rsidR="00D019D2" w:rsidRPr="0042153A">
        <w:rPr>
          <w:color w:val="auto"/>
          <w:sz w:val="24"/>
          <w:szCs w:val="24"/>
        </w:rPr>
        <w:t xml:space="preserve">ierasties tiesiskās aizsardzības procesa uzraugošās personas un administratora prakses vietā vai parādnieka </w:t>
      </w:r>
      <w:r w:rsidR="00D019D2" w:rsidRPr="0042153A">
        <w:rPr>
          <w:color w:val="auto"/>
          <w:sz w:val="24"/>
          <w:szCs w:val="24"/>
        </w:rPr>
        <w:softHyphen/>
      </w:r>
      <w:r>
        <w:rPr>
          <w:color w:val="auto"/>
          <w:sz w:val="24"/>
          <w:szCs w:val="24"/>
        </w:rPr>
        <w:t>–</w:t>
      </w:r>
      <w:r w:rsidR="001C6C09">
        <w:rPr>
          <w:color w:val="auto"/>
          <w:sz w:val="24"/>
          <w:szCs w:val="24"/>
        </w:rPr>
        <w:t xml:space="preserve"> juridiskās personas</w:t>
      </w:r>
      <w:r w:rsidR="001322C1">
        <w:rPr>
          <w:color w:val="auto"/>
          <w:sz w:val="24"/>
          <w:szCs w:val="24"/>
        </w:rPr>
        <w:t xml:space="preserve"> – </w:t>
      </w:r>
      <w:r w:rsidR="00D019D2" w:rsidRPr="0042153A">
        <w:rPr>
          <w:color w:val="auto"/>
          <w:sz w:val="24"/>
          <w:szCs w:val="24"/>
        </w:rPr>
        <w:t xml:space="preserve">atrašanās vietā pārbaudes veikšanai. </w:t>
      </w:r>
      <w:r w:rsidR="00D50AE9">
        <w:rPr>
          <w:color w:val="auto"/>
          <w:sz w:val="24"/>
          <w:szCs w:val="24"/>
        </w:rPr>
        <w:t xml:space="preserve">Minēto tiesību īstenošana ir viens no nozīmīgākajiem uzraudzības instrumentiem, jo, neveicot klātienes pārbaudes, bieži vien nav iespējams iegūt objektīvu un pilnīgu informāciju, kas nepieciešama savlaicīgai pārkāpuma konstatēšanai un tā novēršanai.  </w:t>
      </w:r>
    </w:p>
    <w:p w:rsidR="004C6541" w:rsidRPr="00CA4A1E" w:rsidRDefault="004C6541" w:rsidP="004C6541">
      <w:pPr>
        <w:spacing w:before="60"/>
        <w:ind w:firstLine="720"/>
        <w:jc w:val="both"/>
        <w:rPr>
          <w:bCs/>
        </w:rPr>
      </w:pPr>
      <w:r w:rsidRPr="004C6541">
        <w:rPr>
          <w:bCs/>
        </w:rPr>
        <w:t xml:space="preserve">Maksātnespējas administrācijai </w:t>
      </w:r>
      <w:r>
        <w:rPr>
          <w:bCs/>
        </w:rPr>
        <w:t>īstenojot piešķirtās tiesības ierasties uzraugošās personas vai administratora prakses vietā pārbaužu veikšanai</w:t>
      </w:r>
      <w:r w:rsidRPr="004C6541">
        <w:rPr>
          <w:bCs/>
        </w:rPr>
        <w:t>, vidējā termiņā un ilgtermiņā tiks sasniegts Pamatnostādnēs ietvertais politikas virziens – administratora profesijā strādā augsti kvalificēti profesionāļi ar amatam atbilstošām zināšanām, prasmēm, un personiskajām īpašībām – sasniegšanu, gan kopumā paaugstinās maksātnespējas procesa efektivitāti.</w:t>
      </w:r>
      <w:r>
        <w:rPr>
          <w:bCs/>
        </w:rPr>
        <w:t xml:space="preserve"> </w:t>
      </w:r>
      <w:r w:rsidRPr="00CA4A1E">
        <w:t>Ņemot vērā, ka administratora pienākums ir nodrošināt maksātnespējas procesa efektivitāti, un nodrošināt šā procesa likumīgu norisi, līdz ar to tiks nodrošināta sabiedrības uzticība administratoriem un maksātnespējas procesam kopumā, tādējādi pozitīvi ietekmējot sabiedrības un tautsaimniecības attīstību.</w:t>
      </w:r>
    </w:p>
    <w:p w:rsidR="0042153A" w:rsidRDefault="00B14462" w:rsidP="00745475">
      <w:pPr>
        <w:pStyle w:val="tv2132"/>
        <w:spacing w:before="60" w:line="240" w:lineRule="auto"/>
        <w:ind w:firstLine="720"/>
        <w:jc w:val="both"/>
        <w:rPr>
          <w:color w:val="auto"/>
          <w:sz w:val="24"/>
          <w:szCs w:val="24"/>
        </w:rPr>
      </w:pPr>
      <w:r>
        <w:rPr>
          <w:color w:val="auto"/>
          <w:sz w:val="24"/>
          <w:szCs w:val="24"/>
        </w:rPr>
        <w:t xml:space="preserve">Veicot minēto uzdevumu, Maksātnespējas administrācijai ir šādi </w:t>
      </w:r>
      <w:r w:rsidRPr="00B14462">
        <w:rPr>
          <w:color w:val="auto"/>
          <w:sz w:val="24"/>
          <w:szCs w:val="24"/>
        </w:rPr>
        <w:t>papildu pienākumi</w:t>
      </w:r>
      <w:r>
        <w:rPr>
          <w:color w:val="auto"/>
          <w:sz w:val="24"/>
          <w:szCs w:val="24"/>
        </w:rPr>
        <w:t>:</w:t>
      </w:r>
    </w:p>
    <w:p w:rsidR="00B14462" w:rsidRDefault="00385FDB" w:rsidP="0094661D">
      <w:pPr>
        <w:pStyle w:val="tv2132"/>
        <w:spacing w:line="240" w:lineRule="auto"/>
        <w:ind w:firstLine="720"/>
        <w:jc w:val="both"/>
        <w:rPr>
          <w:color w:val="auto"/>
          <w:sz w:val="24"/>
          <w:szCs w:val="24"/>
        </w:rPr>
      </w:pPr>
      <w:r>
        <w:rPr>
          <w:color w:val="auto"/>
          <w:sz w:val="24"/>
          <w:szCs w:val="24"/>
        </w:rPr>
        <w:t>-</w:t>
      </w:r>
      <w:r w:rsidR="001322C1">
        <w:rPr>
          <w:color w:val="auto"/>
          <w:sz w:val="24"/>
          <w:szCs w:val="24"/>
        </w:rPr>
        <w:t> </w:t>
      </w:r>
      <w:r>
        <w:rPr>
          <w:color w:val="auto"/>
          <w:sz w:val="24"/>
          <w:szCs w:val="24"/>
        </w:rPr>
        <w:t xml:space="preserve">doties </w:t>
      </w:r>
      <w:r w:rsidR="00DB2BD9">
        <w:rPr>
          <w:color w:val="auto"/>
          <w:sz w:val="24"/>
          <w:szCs w:val="24"/>
        </w:rPr>
        <w:t>uz administratora prakses vietu vai parādnieka (juridiskās personas) juridisko adresi, kā arī tiesiskās aizsardzības procesa uzraugošās personas prakses vietu</w:t>
      </w:r>
      <w:r w:rsidR="001F4F70">
        <w:rPr>
          <w:color w:val="auto"/>
          <w:sz w:val="24"/>
          <w:szCs w:val="24"/>
        </w:rPr>
        <w:t xml:space="preserve"> visā Latvijas teritorijā</w:t>
      </w:r>
      <w:r w:rsidR="00DB2BD9">
        <w:rPr>
          <w:color w:val="auto"/>
          <w:sz w:val="24"/>
          <w:szCs w:val="24"/>
        </w:rPr>
        <w:t>;</w:t>
      </w:r>
    </w:p>
    <w:p w:rsidR="001F4F70" w:rsidRDefault="00DB2BD9" w:rsidP="0094661D">
      <w:pPr>
        <w:pStyle w:val="tv2132"/>
        <w:spacing w:line="240" w:lineRule="auto"/>
        <w:ind w:firstLine="720"/>
        <w:jc w:val="both"/>
        <w:rPr>
          <w:color w:val="auto"/>
          <w:sz w:val="24"/>
          <w:szCs w:val="24"/>
        </w:rPr>
      </w:pPr>
      <w:r>
        <w:rPr>
          <w:color w:val="auto"/>
          <w:sz w:val="24"/>
          <w:szCs w:val="24"/>
        </w:rPr>
        <w:t>-</w:t>
      </w:r>
      <w:r w:rsidR="001322C1">
        <w:rPr>
          <w:color w:val="auto"/>
          <w:sz w:val="24"/>
          <w:szCs w:val="24"/>
        </w:rPr>
        <w:t> </w:t>
      </w:r>
      <w:r>
        <w:rPr>
          <w:color w:val="auto"/>
          <w:sz w:val="24"/>
          <w:szCs w:val="24"/>
        </w:rPr>
        <w:t xml:space="preserve">pārbaudīt </w:t>
      </w:r>
      <w:r w:rsidR="00936607">
        <w:rPr>
          <w:color w:val="auto"/>
          <w:sz w:val="24"/>
          <w:szCs w:val="24"/>
        </w:rPr>
        <w:t>maksātnespējas procesa lietas un tiesiskās aizsardzības procesa lietas materiālus, administratora un tiesiskās aizsardzības procesa uzraugošās personas lietvedīb</w:t>
      </w:r>
      <w:r w:rsidR="001F4F70">
        <w:rPr>
          <w:color w:val="auto"/>
          <w:sz w:val="24"/>
          <w:szCs w:val="24"/>
        </w:rPr>
        <w:t>ā esošos dokumentus, kas ir saistīti ar administratora vai tiesiskās aizsardzības procesa uzraugošās personas profesionālo darbību, bet neattiecas uz konkrētu maksātnespējas procesu vai tiesiskās aizsardzības procesu;</w:t>
      </w:r>
    </w:p>
    <w:p w:rsidR="001F4F70" w:rsidRDefault="001F4F70" w:rsidP="0094661D">
      <w:pPr>
        <w:pStyle w:val="tv2132"/>
        <w:spacing w:line="240" w:lineRule="auto"/>
        <w:ind w:firstLine="720"/>
        <w:jc w:val="both"/>
        <w:rPr>
          <w:color w:val="auto"/>
          <w:sz w:val="24"/>
          <w:szCs w:val="24"/>
        </w:rPr>
      </w:pPr>
      <w:r>
        <w:rPr>
          <w:color w:val="auto"/>
          <w:sz w:val="24"/>
          <w:szCs w:val="24"/>
        </w:rPr>
        <w:t>-</w:t>
      </w:r>
      <w:r w:rsidR="001322C1">
        <w:rPr>
          <w:color w:val="auto"/>
          <w:sz w:val="24"/>
          <w:szCs w:val="24"/>
        </w:rPr>
        <w:t> </w:t>
      </w:r>
      <w:r>
        <w:rPr>
          <w:color w:val="auto"/>
          <w:sz w:val="24"/>
          <w:szCs w:val="24"/>
        </w:rPr>
        <w:t>sastādīt procesuālās darbības protokolu.</w:t>
      </w:r>
    </w:p>
    <w:p w:rsidR="009E41B8" w:rsidRPr="00347B9E" w:rsidRDefault="0042153A" w:rsidP="00745475">
      <w:pPr>
        <w:pStyle w:val="tv2132"/>
        <w:spacing w:before="60" w:line="240" w:lineRule="auto"/>
        <w:ind w:firstLine="720"/>
        <w:jc w:val="both"/>
        <w:rPr>
          <w:sz w:val="24"/>
          <w:szCs w:val="24"/>
        </w:rPr>
      </w:pPr>
      <w:r>
        <w:rPr>
          <w:color w:val="auto"/>
          <w:sz w:val="24"/>
          <w:szCs w:val="24"/>
        </w:rPr>
        <w:t>Pārbaudes laik</w:t>
      </w:r>
      <w:r w:rsidR="00871AA6">
        <w:rPr>
          <w:color w:val="auto"/>
          <w:sz w:val="24"/>
          <w:szCs w:val="24"/>
        </w:rPr>
        <w:t>ā</w:t>
      </w:r>
      <w:r w:rsidR="00A97D84">
        <w:rPr>
          <w:color w:val="auto"/>
          <w:sz w:val="24"/>
          <w:szCs w:val="24"/>
        </w:rPr>
        <w:t>, kuru realizēs vismaz divi</w:t>
      </w:r>
      <w:r w:rsidR="001322C1">
        <w:rPr>
          <w:color w:val="auto"/>
          <w:sz w:val="24"/>
          <w:szCs w:val="24"/>
        </w:rPr>
        <w:t xml:space="preserve"> iestādes</w:t>
      </w:r>
      <w:r w:rsidR="00A97D84">
        <w:rPr>
          <w:color w:val="auto"/>
          <w:sz w:val="24"/>
          <w:szCs w:val="24"/>
        </w:rPr>
        <w:t xml:space="preserve"> pārstāvji nodrošinot četru acu principu,</w:t>
      </w:r>
      <w:r w:rsidR="00871AA6">
        <w:rPr>
          <w:color w:val="auto"/>
          <w:sz w:val="24"/>
          <w:szCs w:val="24"/>
        </w:rPr>
        <w:t xml:space="preserve"> Maksātnespējas administrācijas amatpersonai</w:t>
      </w:r>
      <w:r>
        <w:rPr>
          <w:color w:val="auto"/>
          <w:sz w:val="24"/>
          <w:szCs w:val="24"/>
        </w:rPr>
        <w:t xml:space="preserve"> ir tiesības pieprasīt un saņemt ar jebkuru tiesiskās aizsardzības procesa uzraugošās personas vai administratora lietvedībā esošo tiesiskās aizsardzības procesu, maksātnespējas procesu saistīto informāciju un dokumentus, tiesības pieprasīt un saņemt informāciju un dokumentus par administratora ieņēmumu un izdevumu uzskaiti, pildot administratora amata pienākumus, kā arī tiesības pieprasīt un saņemt no tiesiskās aizsardzības procesa uzraugošās personas vai administratora rakstveida vai mutvārdu paskaidrojumus.</w:t>
      </w:r>
      <w:r w:rsidR="00DE46CA">
        <w:rPr>
          <w:color w:val="auto"/>
          <w:sz w:val="24"/>
          <w:szCs w:val="24"/>
        </w:rPr>
        <w:t xml:space="preserve"> Atbilstoši Maksātnespējas likuma regulējumam tiesības veikt šādu pārbaudi Maksātnespējas administrācija īstenos, sākot ar 2017. gada 1. jūliju.</w:t>
      </w:r>
    </w:p>
    <w:p w:rsidR="009E41B8" w:rsidRDefault="009E41B8" w:rsidP="00745475">
      <w:pPr>
        <w:spacing w:before="60"/>
        <w:ind w:firstLine="720"/>
        <w:jc w:val="both"/>
      </w:pPr>
      <w:r w:rsidRPr="00347B9E">
        <w:t>Šāds uzraudzības instruments palīdzēs efektīvi un vispusīgi</w:t>
      </w:r>
      <w:r>
        <w:t xml:space="preserve"> izvērtēt</w:t>
      </w:r>
      <w:r w:rsidR="001F4F70">
        <w:t xml:space="preserve"> </w:t>
      </w:r>
      <w:r>
        <w:t>administratora rīcību</w:t>
      </w:r>
      <w:r w:rsidRPr="00347B9E">
        <w:t xml:space="preserve"> gadījumos, kad ir nepieciešams nekavējoties iegūt noteiktus ar maksātnespējas procesu saistītus dokumentus, kā arī novērsīs iespēju administratoram izvairīties sniegt Maksātnespējas administrācijas pieprasītos dokumentus. Vienlaikus Maksātnespējas administrācijas tiesības ierasties administratora prakses vietā ļaus efektīvi konstatēt un novērst gadījumus, kad administratori neatbilstoši glabā ar maksātnespējas procesiem saistīto</w:t>
      </w:r>
      <w:r>
        <w:t>s</w:t>
      </w:r>
      <w:r w:rsidRPr="00347B9E">
        <w:t xml:space="preserve"> dokumentu</w:t>
      </w:r>
      <w:r>
        <w:t>s</w:t>
      </w:r>
      <w:r w:rsidRPr="00347B9E">
        <w:t>, nenodrošina sasniedzamību prakses vietā, maksātnespējas reģistrā norāda fiktīvu administrator</w:t>
      </w:r>
      <w:r>
        <w:t>a</w:t>
      </w:r>
      <w:r w:rsidRPr="00347B9E">
        <w:t xml:space="preserve"> prakse</w:t>
      </w:r>
      <w:r>
        <w:t>s</w:t>
      </w:r>
      <w:r w:rsidRPr="00347B9E">
        <w:t xml:space="preserve"> vietas adresi, neatļauti administrē citu administratoru lietvedībā esošos maksātnespējas procesus u.</w:t>
      </w:r>
      <w:r w:rsidR="00287674">
        <w:t> </w:t>
      </w:r>
      <w:r w:rsidRPr="00347B9E">
        <w:t>c.</w:t>
      </w:r>
    </w:p>
    <w:p w:rsidR="00847802" w:rsidRDefault="00E809CE" w:rsidP="00745475">
      <w:pPr>
        <w:spacing w:before="60"/>
        <w:ind w:firstLine="720"/>
        <w:jc w:val="both"/>
      </w:pPr>
      <w:r w:rsidRPr="002D2B88">
        <w:t xml:space="preserve">Maksātnespējas administrācijā šobrīd ir </w:t>
      </w:r>
      <w:r w:rsidR="003C635A">
        <w:t>pieci</w:t>
      </w:r>
      <w:r w:rsidR="003C635A" w:rsidRPr="00AE5B51">
        <w:t xml:space="preserve"> </w:t>
      </w:r>
      <w:r w:rsidRPr="00AE5B51">
        <w:t xml:space="preserve">juriskonsulti uzraudzības nodrošināšanai maksātnespējas procesos un tiesiskās aizsardzības </w:t>
      </w:r>
      <w:r>
        <w:t xml:space="preserve">procesos. </w:t>
      </w:r>
      <w:r w:rsidRPr="002D2B88">
        <w:t>Ņemot vērā, ka šobrīd vidējais maksātnespējas procesu skaits ir 6500, līdz ar to vidēji katram juriskonsultam uzraudzībā ir apmēram 1080 aktīvi procesi.</w:t>
      </w:r>
      <w:r>
        <w:t xml:space="preserve"> </w:t>
      </w:r>
      <w:r w:rsidR="001F4F70">
        <w:t>A</w:t>
      </w:r>
      <w:r w:rsidRPr="002D2B88">
        <w:t xml:space="preserve">dministratora rīcību konkrētā procesā jebkurā gadījumā uzrauga, ja par to ir saņemtas attiecīgas ziņas (sūdzības, Valsts policijas un citu valsts iestāžu, trešo personu pieprasījumi/informācija, publiskās telpas informācija). </w:t>
      </w:r>
    </w:p>
    <w:p w:rsidR="00534038" w:rsidRPr="00534038" w:rsidRDefault="00A6141D" w:rsidP="00534038">
      <w:pPr>
        <w:spacing w:before="60"/>
        <w:ind w:firstLine="720"/>
        <w:jc w:val="both"/>
      </w:pPr>
      <w:r>
        <w:t>P</w:t>
      </w:r>
      <w:r w:rsidR="005C23A8" w:rsidRPr="00616E82">
        <w:t>ienākums veikt pārbaudes administratora un tiesiskās aizsardzības procesa uzraugošās personas prakses vietā un parādnieka</w:t>
      </w:r>
      <w:r w:rsidR="00287674">
        <w:t> </w:t>
      </w:r>
      <w:r w:rsidR="005C23A8" w:rsidRPr="00616E82">
        <w:t>– juridiskās personas</w:t>
      </w:r>
      <w:r w:rsidR="00287674">
        <w:t> –</w:t>
      </w:r>
      <w:r w:rsidR="005C23A8" w:rsidRPr="00616E82">
        <w:t xml:space="preserve"> juridiskajā adresē ir jauns uzdevums, kas iestādes kompetencē tiks nodots</w:t>
      </w:r>
      <w:r w:rsidR="00287674">
        <w:t>, sākot</w:t>
      </w:r>
      <w:r w:rsidR="005C23A8" w:rsidRPr="00616E82">
        <w:t xml:space="preserve"> ar 2017.</w:t>
      </w:r>
      <w:r w:rsidR="00287674">
        <w:t> </w:t>
      </w:r>
      <w:r w:rsidR="005C23A8" w:rsidRPr="00616E82">
        <w:t>gada 1.</w:t>
      </w:r>
      <w:r w:rsidR="00287674">
        <w:t> </w:t>
      </w:r>
      <w:r w:rsidR="005C23A8" w:rsidRPr="00616E82">
        <w:t>jūliju</w:t>
      </w:r>
      <w:r w:rsidR="00287674">
        <w:t>,</w:t>
      </w:r>
      <w:r w:rsidR="005C23A8" w:rsidRPr="00616E82">
        <w:t xml:space="preserve"> un iepriekš iestāde to nav veikusi</w:t>
      </w:r>
      <w:r w:rsidR="002B38F9">
        <w:t>,</w:t>
      </w:r>
      <w:r w:rsidR="002B38F9" w:rsidRPr="002B38F9">
        <w:t xml:space="preserve"> kā arī šīs funkcijas veikšanai līdz šim nav bijis piešķirts finansējums.</w:t>
      </w:r>
      <w:r w:rsidR="00534038" w:rsidRPr="00616E82">
        <w:t xml:space="preserve"> </w:t>
      </w:r>
      <w:r w:rsidR="00534038">
        <w:t>Līdz papildu finansējuma piešķiršanai, s</w:t>
      </w:r>
      <w:r w:rsidR="00534038" w:rsidRPr="00534038">
        <w:t>ākot ar 2017. gada 1. jūliju, minētā uzdevuma izpildi Maksātnespējas administrācija plāno nodrošināt</w:t>
      </w:r>
      <w:r w:rsidR="00714F2B">
        <w:t xml:space="preserve"> </w:t>
      </w:r>
      <w:r>
        <w:t>ierobežotā apmērā, izmantojot esošo resursu un strādājot paaugstinātas intensitātes režīmā, līdz papildu nodarbināto piesaistīšanai. Tas ir īstermiņa risinājums</w:t>
      </w:r>
      <w:r>
        <w:rPr>
          <w:color w:val="000000"/>
        </w:rPr>
        <w:t xml:space="preserve">, jo pastāvīgos paaugstinātas intensitātes apstākļos ir iespējams strādāt tikai kādu laiku, nevis pastāvīgi. </w:t>
      </w:r>
    </w:p>
    <w:p w:rsidR="005C23A8" w:rsidRDefault="00534038" w:rsidP="00745475">
      <w:pPr>
        <w:spacing w:before="60"/>
        <w:ind w:firstLine="720"/>
        <w:jc w:val="both"/>
      </w:pPr>
      <w:r>
        <w:t>L</w:t>
      </w:r>
      <w:r w:rsidRPr="00616E82">
        <w:t xml:space="preserve">ai </w:t>
      </w:r>
      <w:r w:rsidR="005C23A8" w:rsidRPr="00616E82">
        <w:t xml:space="preserve">nodrošinātu </w:t>
      </w:r>
      <w:r>
        <w:t xml:space="preserve">pilnvērtīgu </w:t>
      </w:r>
      <w:r w:rsidR="005C23A8" w:rsidRPr="00616E82">
        <w:t>Maksātnespējas likumā noteikto procedūru norisi, nepieciešams piešķirt četras amata vietas, kā arī papildu finansējum</w:t>
      </w:r>
      <w:r w:rsidR="00287674">
        <w:t>u</w:t>
      </w:r>
      <w:r w:rsidR="005C23A8" w:rsidRPr="00616E82">
        <w:t>.</w:t>
      </w:r>
    </w:p>
    <w:p w:rsidR="00B53A34" w:rsidRPr="00B53A34" w:rsidRDefault="00B53A34" w:rsidP="00B53A34">
      <w:pPr>
        <w:spacing w:before="60"/>
        <w:ind w:firstLine="720"/>
        <w:jc w:val="both"/>
      </w:pPr>
      <w:r w:rsidRPr="00B53A34">
        <w:t>Izvērtējot papildu amata vietu nepieciešamību tika ņemti vērā šādi aspekti:</w:t>
      </w:r>
    </w:p>
    <w:p w:rsidR="00B53A34" w:rsidRPr="00B53A34" w:rsidRDefault="00B53A34" w:rsidP="0094661D">
      <w:pPr>
        <w:ind w:firstLine="720"/>
        <w:jc w:val="both"/>
      </w:pPr>
      <w:r w:rsidRPr="00B53A34">
        <w:t>- administratoru uzraudzības</w:t>
      </w:r>
      <w:r w:rsidRPr="00B53A34">
        <w:rPr>
          <w:b/>
        </w:rPr>
        <w:t xml:space="preserve"> </w:t>
      </w:r>
      <w:r w:rsidRPr="00B53A34">
        <w:t>risku vadības mehānisma ieviešana;</w:t>
      </w:r>
    </w:p>
    <w:p w:rsidR="00B53A34" w:rsidRPr="00B53A34" w:rsidRDefault="00B53A34" w:rsidP="0094661D">
      <w:pPr>
        <w:ind w:firstLine="720"/>
        <w:jc w:val="both"/>
      </w:pPr>
      <w:r w:rsidRPr="00B53A34">
        <w:t>- apstāklis, ka tuvākajā nākotnē tiks pabeigti procesi, kuri uzsākti saskaņā ar likumu "Par uzņēmumu un uzņēmējsabiedrību maksātnespēju", un juridisko personu maksātnespējas procesi, kuri uzsākti saskaņā ar Maksātnespējas likumu (spēkā no 2008. gada 1. janvāra līdz 2010. gada 31. oktobrim);</w:t>
      </w:r>
    </w:p>
    <w:p w:rsidR="00B53A34" w:rsidRDefault="00B53A34" w:rsidP="0094661D">
      <w:pPr>
        <w:ind w:firstLine="720"/>
        <w:jc w:val="both"/>
      </w:pPr>
      <w:r w:rsidRPr="00B53A34">
        <w:t xml:space="preserve">- apstāklis, ka </w:t>
      </w:r>
      <w:r>
        <w:t>S</w:t>
      </w:r>
      <w:r w:rsidRPr="00B53A34">
        <w:t>istēma atvieglo uzraudzību, nodrošina iespēju sekot līdzi pārskatu iesniegšanas vai neiesniegšanas faktam, pārskatos norādītajai informācijai, kā arī apkopot statistikas datus un manuāli nav jāpārbauda pārskatu iesniegšana, nav jāraksta atgādinājuma vēstules administratoriem.</w:t>
      </w:r>
    </w:p>
    <w:p w:rsidR="005C23A8" w:rsidRDefault="00534038" w:rsidP="00B53A34">
      <w:pPr>
        <w:spacing w:before="60"/>
        <w:ind w:firstLine="720"/>
        <w:jc w:val="both"/>
      </w:pPr>
      <w:r>
        <w:t>P</w:t>
      </w:r>
      <w:r w:rsidR="00287674">
        <w:t xml:space="preserve">apildus </w:t>
      </w:r>
      <w:r>
        <w:t>nepieciešamais finansējums</w:t>
      </w:r>
      <w:r w:rsidRPr="002D2B88" w:rsidDel="00DC3327">
        <w:t xml:space="preserve"> </w:t>
      </w:r>
      <w:r w:rsidRPr="008C15CC">
        <w:t>četr</w:t>
      </w:r>
      <w:r>
        <w:t>ām</w:t>
      </w:r>
      <w:r w:rsidRPr="00895D9C" w:rsidDel="00DC3327">
        <w:rPr>
          <w:color w:val="FF0000"/>
        </w:rPr>
        <w:t xml:space="preserve"> </w:t>
      </w:r>
      <w:r w:rsidR="005C23A8">
        <w:t>amata</w:t>
      </w:r>
      <w:r w:rsidR="005C23A8" w:rsidRPr="002D2B88" w:rsidDel="00DC3327">
        <w:t xml:space="preserve"> </w:t>
      </w:r>
      <w:r w:rsidRPr="002D2B88" w:rsidDel="00DC3327">
        <w:t>viet</w:t>
      </w:r>
      <w:r>
        <w:t>ām</w:t>
      </w:r>
      <w:r w:rsidR="005C23A8">
        <w:t xml:space="preserve"> </w:t>
      </w:r>
      <w:r w:rsidR="005C23A8" w:rsidRPr="00275B63">
        <w:t>2018.</w:t>
      </w:r>
      <w:r w:rsidR="00287674">
        <w:t> </w:t>
      </w:r>
      <w:r w:rsidR="005C23A8" w:rsidRPr="00275B63">
        <w:t xml:space="preserve">gadā </w:t>
      </w:r>
      <w:r>
        <w:t>sastāda</w:t>
      </w:r>
      <w:r w:rsidRPr="00275B63">
        <w:t xml:space="preserve"> </w:t>
      </w:r>
      <w:r w:rsidR="005C23A8" w:rsidRPr="00275B63">
        <w:t>125</w:t>
      </w:r>
      <w:r w:rsidR="00287674">
        <w:t> </w:t>
      </w:r>
      <w:r w:rsidR="005C23A8" w:rsidRPr="00275B63">
        <w:t>8</w:t>
      </w:r>
      <w:r w:rsidR="001E7285">
        <w:t>9</w:t>
      </w:r>
      <w:r w:rsidR="000B5F38">
        <w:t>2</w:t>
      </w:r>
      <w:r w:rsidR="00287674">
        <w:t> </w:t>
      </w:r>
      <w:proofErr w:type="spellStart"/>
      <w:r w:rsidR="005C23A8" w:rsidRPr="00275B63">
        <w:rPr>
          <w:i/>
        </w:rPr>
        <w:t>euro</w:t>
      </w:r>
      <w:proofErr w:type="spellEnd"/>
      <w:r w:rsidR="005C23A8" w:rsidRPr="00275B63">
        <w:t xml:space="preserve"> un</w:t>
      </w:r>
      <w:r w:rsidR="00287674">
        <w:t>,</w:t>
      </w:r>
      <w:r w:rsidR="005C23A8" w:rsidRPr="00275B63">
        <w:t xml:space="preserve"> sākot no 2019.</w:t>
      </w:r>
      <w:r w:rsidR="00287674">
        <w:t> </w:t>
      </w:r>
      <w:r w:rsidR="005C23A8" w:rsidRPr="00275B63">
        <w:t>gada</w:t>
      </w:r>
      <w:r w:rsidR="00287674">
        <w:t>, -</w:t>
      </w:r>
      <w:r w:rsidR="005C23A8" w:rsidRPr="00275B63">
        <w:t xml:space="preserve"> 115</w:t>
      </w:r>
      <w:r w:rsidR="00287674">
        <w:t> </w:t>
      </w:r>
      <w:r w:rsidR="005C23A8" w:rsidRPr="00275B63">
        <w:t>3</w:t>
      </w:r>
      <w:r w:rsidR="001E7285">
        <w:t>8</w:t>
      </w:r>
      <w:r w:rsidR="000B5F38">
        <w:t>2</w:t>
      </w:r>
      <w:r w:rsidR="00287674">
        <w:t> </w:t>
      </w:r>
      <w:proofErr w:type="spellStart"/>
      <w:r w:rsidR="005C23A8" w:rsidRPr="00275B63">
        <w:rPr>
          <w:i/>
        </w:rPr>
        <w:t>euro</w:t>
      </w:r>
      <w:proofErr w:type="spellEnd"/>
      <w:r w:rsidR="005C23A8" w:rsidRPr="00275B63">
        <w:t xml:space="preserve"> gadā</w:t>
      </w:r>
      <w:r w:rsidR="001233DE">
        <w:t xml:space="preserve"> ik gadu</w:t>
      </w:r>
      <w:r w:rsidR="00D00D83">
        <w:t xml:space="preserve"> </w:t>
      </w:r>
      <w:proofErr w:type="gramStart"/>
      <w:r w:rsidR="00D00D83">
        <w:t>(</w:t>
      </w:r>
      <w:proofErr w:type="gramEnd"/>
      <w:r w:rsidR="00D00D83">
        <w:t>skat. Tabulu Nr.1)</w:t>
      </w:r>
      <w:r w:rsidR="005C23A8" w:rsidRPr="00275B63" w:rsidDel="00DC3327">
        <w:t>.</w:t>
      </w:r>
      <w:r w:rsidR="00B50B73">
        <w:t xml:space="preserve"> </w:t>
      </w:r>
      <w:r w:rsidR="002B38F9" w:rsidRPr="002B38F9">
        <w:t>Papildus nepieciešamās amata vietas</w:t>
      </w:r>
      <w:r w:rsidR="007F5D5B">
        <w:t xml:space="preserve"> bez finansējuma</w:t>
      </w:r>
      <w:r w:rsidR="002B38F9" w:rsidRPr="002B38F9">
        <w:t xml:space="preserve"> tiks nodrošinātas Tieslietu ministrijas resora ietvaros, veicot amata vietu pārdali </w:t>
      </w:r>
      <w:r w:rsidR="00CA5D54">
        <w:rPr>
          <w:noProof/>
          <w:color w:val="000000"/>
        </w:rPr>
        <w:t xml:space="preserve">no </w:t>
      </w:r>
      <w:r w:rsidR="0040090B">
        <w:rPr>
          <w:noProof/>
          <w:color w:val="000000"/>
        </w:rPr>
        <w:t>Valsts zemes dienesta</w:t>
      </w:r>
      <w:r w:rsidR="00CA5D54">
        <w:rPr>
          <w:noProof/>
          <w:color w:val="000000"/>
        </w:rPr>
        <w:t>.</w:t>
      </w:r>
      <w:r w:rsidR="007F5D5B">
        <w:rPr>
          <w:noProof/>
          <w:color w:val="000000"/>
        </w:rPr>
        <w:t xml:space="preserve"> </w:t>
      </w:r>
      <w:r w:rsidR="007F5D5B">
        <w:rPr>
          <w:bCs/>
        </w:rPr>
        <w:t>Valsts zemes dienestam</w:t>
      </w:r>
      <w:r w:rsidR="007F5D5B" w:rsidRPr="00403D8D">
        <w:rPr>
          <w:bCs/>
        </w:rPr>
        <w:t xml:space="preserve"> būtisku resursu daļu veido pašu ieņēmumi par sniegtajiem pakalpojumiem (aptuveni 63%)</w:t>
      </w:r>
      <w:r w:rsidR="007F5D5B">
        <w:rPr>
          <w:bCs/>
        </w:rPr>
        <w:t xml:space="preserve"> un a</w:t>
      </w:r>
      <w:r w:rsidR="007F5D5B" w:rsidRPr="00403D8D">
        <w:rPr>
          <w:bCs/>
        </w:rPr>
        <w:t>ttiecīgi arī finansējums atlīdzībai tiek virzīts no pašu ieņēmumiem. Veicot amata vietu pārdali</w:t>
      </w:r>
      <w:r w:rsidR="007F5D5B">
        <w:rPr>
          <w:bCs/>
        </w:rPr>
        <w:t xml:space="preserve"> Tieslietu ministrijas resora ietvaros no Valsts zemes dienesta</w:t>
      </w:r>
      <w:r w:rsidR="007F5D5B" w:rsidRPr="00403D8D">
        <w:rPr>
          <w:bCs/>
        </w:rPr>
        <w:t>, nav iespējama pašu ieņēmumu pārdale (t.sk. turpmākajos periodos)</w:t>
      </w:r>
      <w:r w:rsidR="007F5D5B">
        <w:rPr>
          <w:bCs/>
        </w:rPr>
        <w:t>.</w:t>
      </w:r>
      <w:r w:rsidR="007F5D5B" w:rsidRPr="00403D8D">
        <w:rPr>
          <w:bCs/>
        </w:rPr>
        <w:t xml:space="preserve"> </w:t>
      </w:r>
      <w:r w:rsidR="007F5D5B">
        <w:rPr>
          <w:bCs/>
        </w:rPr>
        <w:t>V</w:t>
      </w:r>
      <w:r w:rsidR="007F5D5B" w:rsidRPr="00403D8D">
        <w:rPr>
          <w:bCs/>
        </w:rPr>
        <w:t>ienlaikus pašu ieņēmumu neizpildes gadījumā</w:t>
      </w:r>
      <w:r w:rsidR="007F5D5B">
        <w:rPr>
          <w:bCs/>
        </w:rPr>
        <w:t>,</w:t>
      </w:r>
      <w:r w:rsidR="007F5D5B" w:rsidRPr="00403D8D">
        <w:rPr>
          <w:bCs/>
        </w:rPr>
        <w:t xml:space="preserve"> </w:t>
      </w:r>
      <w:r w:rsidR="007F5D5B">
        <w:rPr>
          <w:bCs/>
        </w:rPr>
        <w:t xml:space="preserve">Valsts zemes dienestā </w:t>
      </w:r>
      <w:r w:rsidR="007F5D5B" w:rsidRPr="00403D8D">
        <w:rPr>
          <w:bCs/>
        </w:rPr>
        <w:t>esošā</w:t>
      </w:r>
      <w:r w:rsidR="007F5D5B">
        <w:rPr>
          <w:bCs/>
        </w:rPr>
        <w:t>s</w:t>
      </w:r>
      <w:r w:rsidR="007F5D5B" w:rsidRPr="00403D8D">
        <w:rPr>
          <w:bCs/>
        </w:rPr>
        <w:t xml:space="preserve"> amata vieta</w:t>
      </w:r>
      <w:r w:rsidR="007F5D5B">
        <w:rPr>
          <w:bCs/>
        </w:rPr>
        <w:t>s</w:t>
      </w:r>
      <w:r w:rsidR="007F5D5B" w:rsidRPr="00403D8D">
        <w:rPr>
          <w:bCs/>
        </w:rPr>
        <w:t xml:space="preserve"> arī n</w:t>
      </w:r>
      <w:r w:rsidR="007F5D5B">
        <w:rPr>
          <w:bCs/>
        </w:rPr>
        <w:t>ebija</w:t>
      </w:r>
      <w:r w:rsidR="007F5D5B" w:rsidRPr="00403D8D">
        <w:rPr>
          <w:bCs/>
        </w:rPr>
        <w:t xml:space="preserve"> aizpildīta</w:t>
      </w:r>
      <w:r w:rsidR="007F5D5B">
        <w:rPr>
          <w:bCs/>
        </w:rPr>
        <w:t>s</w:t>
      </w:r>
      <w:r w:rsidR="007F5D5B" w:rsidRPr="00403D8D">
        <w:rPr>
          <w:bCs/>
        </w:rPr>
        <w:t xml:space="preserve"> un nofinansēta</w:t>
      </w:r>
      <w:r w:rsidR="007F5D5B">
        <w:rPr>
          <w:bCs/>
        </w:rPr>
        <w:t>s</w:t>
      </w:r>
      <w:proofErr w:type="gramStart"/>
      <w:r w:rsidR="007F5D5B" w:rsidRPr="00403D8D">
        <w:rPr>
          <w:bCs/>
        </w:rPr>
        <w:t xml:space="preserve"> un</w:t>
      </w:r>
      <w:proofErr w:type="gramEnd"/>
      <w:r w:rsidR="007F5D5B" w:rsidRPr="00403D8D">
        <w:rPr>
          <w:bCs/>
        </w:rPr>
        <w:t xml:space="preserve"> attiecīgi var tikt pārdalīta</w:t>
      </w:r>
      <w:r w:rsidR="007F5D5B">
        <w:rPr>
          <w:bCs/>
        </w:rPr>
        <w:t>s Maksātnespējas administrācijai</w:t>
      </w:r>
      <w:r w:rsidR="007F5D5B" w:rsidRPr="00403D8D">
        <w:rPr>
          <w:bCs/>
        </w:rPr>
        <w:t xml:space="preserve"> bez finansējuma.</w:t>
      </w:r>
    </w:p>
    <w:p w:rsidR="00D00D83" w:rsidRDefault="00D00D83" w:rsidP="00D00D83">
      <w:pPr>
        <w:spacing w:before="60"/>
        <w:ind w:firstLine="720"/>
        <w:jc w:val="right"/>
      </w:pPr>
      <w:r>
        <w:t>Tabula Nr.1</w:t>
      </w:r>
    </w:p>
    <w:p w:rsidR="00F4578A" w:rsidRDefault="00F4578A" w:rsidP="00D00D83">
      <w:pPr>
        <w:spacing w:before="60"/>
        <w:ind w:firstLine="720"/>
        <w:jc w:val="right"/>
      </w:pPr>
    </w:p>
    <w:p w:rsidR="00D00D83" w:rsidRDefault="00D00D83" w:rsidP="001E7285">
      <w:pPr>
        <w:spacing w:before="60"/>
        <w:jc w:val="center"/>
        <w:rPr>
          <w:b/>
        </w:rPr>
      </w:pPr>
      <w:r>
        <w:rPr>
          <w:b/>
        </w:rPr>
        <w:t xml:space="preserve">Uzraudzības stiprināšanai </w:t>
      </w:r>
      <w:r w:rsidR="003E445E">
        <w:rPr>
          <w:b/>
        </w:rPr>
        <w:t>nepieciešamo štata vietu finansējums</w:t>
      </w:r>
    </w:p>
    <w:tbl>
      <w:tblPr>
        <w:tblW w:w="9540" w:type="dxa"/>
        <w:jc w:val="center"/>
        <w:tblLook w:val="04A0" w:firstRow="1" w:lastRow="0" w:firstColumn="1" w:lastColumn="0" w:noHBand="0" w:noVBand="1"/>
      </w:tblPr>
      <w:tblGrid>
        <w:gridCol w:w="960"/>
        <w:gridCol w:w="3980"/>
        <w:gridCol w:w="680"/>
        <w:gridCol w:w="960"/>
        <w:gridCol w:w="960"/>
        <w:gridCol w:w="1040"/>
        <w:gridCol w:w="960"/>
      </w:tblGrid>
      <w:tr w:rsidR="001E7285" w:rsidRPr="001E7285" w:rsidTr="001E7285">
        <w:trPr>
          <w:trHeight w:val="300"/>
          <w:jc w:val="center"/>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rPr>
                <w:b/>
                <w:bCs/>
                <w:color w:val="000000"/>
                <w:sz w:val="16"/>
                <w:szCs w:val="16"/>
              </w:rPr>
            </w:pPr>
            <w:r w:rsidRPr="001E7285">
              <w:rPr>
                <w:b/>
                <w:bCs/>
                <w:color w:val="000000"/>
                <w:sz w:val="16"/>
                <w:szCs w:val="16"/>
              </w:rPr>
              <w:t>Pasākuma nosaukums</w:t>
            </w:r>
          </w:p>
        </w:tc>
        <w:tc>
          <w:tcPr>
            <w:tcW w:w="4600" w:type="dxa"/>
            <w:gridSpan w:val="5"/>
            <w:tcBorders>
              <w:top w:val="single" w:sz="4" w:space="0" w:color="auto"/>
              <w:left w:val="nil"/>
              <w:bottom w:val="single" w:sz="4" w:space="0" w:color="auto"/>
              <w:right w:val="single" w:sz="4" w:space="0" w:color="auto"/>
            </w:tcBorders>
            <w:shd w:val="clear" w:color="auto" w:fill="auto"/>
            <w:vAlign w:val="center"/>
            <w:hideMark/>
          </w:tcPr>
          <w:p w:rsidR="001E7285" w:rsidRPr="001E7285" w:rsidRDefault="001E7285" w:rsidP="001E7285">
            <w:pPr>
              <w:jc w:val="center"/>
              <w:rPr>
                <w:b/>
                <w:bCs/>
                <w:color w:val="000000"/>
                <w:sz w:val="16"/>
                <w:szCs w:val="16"/>
              </w:rPr>
            </w:pPr>
            <w:r w:rsidRPr="001E7285">
              <w:rPr>
                <w:b/>
                <w:bCs/>
                <w:color w:val="000000"/>
                <w:sz w:val="16"/>
                <w:szCs w:val="16"/>
              </w:rPr>
              <w:t>Uzraudzības stiprināšana</w:t>
            </w:r>
          </w:p>
        </w:tc>
      </w:tr>
      <w:tr w:rsidR="001E7285" w:rsidRPr="001E7285" w:rsidTr="001E7285">
        <w:trPr>
          <w:trHeight w:val="300"/>
          <w:jc w:val="center"/>
        </w:trPr>
        <w:tc>
          <w:tcPr>
            <w:tcW w:w="4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Uzsākšanas gads</w:t>
            </w:r>
          </w:p>
        </w:tc>
        <w:tc>
          <w:tcPr>
            <w:tcW w:w="3640" w:type="dxa"/>
            <w:gridSpan w:val="4"/>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center"/>
              <w:rPr>
                <w:b/>
                <w:bCs/>
                <w:color w:val="000000"/>
                <w:sz w:val="16"/>
                <w:szCs w:val="16"/>
              </w:rPr>
            </w:pPr>
            <w:r w:rsidRPr="001E7285">
              <w:rPr>
                <w:b/>
                <w:bCs/>
                <w:color w:val="000000"/>
                <w:sz w:val="16"/>
                <w:szCs w:val="16"/>
              </w:rPr>
              <w:t>2018.</w:t>
            </w:r>
            <w:r w:rsidR="001A2814">
              <w:rPr>
                <w:b/>
                <w:bCs/>
                <w:color w:val="000000"/>
                <w:sz w:val="16"/>
                <w:szCs w:val="16"/>
              </w:rPr>
              <w:t> </w:t>
            </w:r>
            <w:r w:rsidRPr="001E7285">
              <w:rPr>
                <w:b/>
                <w:bCs/>
                <w:color w:val="000000"/>
                <w:sz w:val="16"/>
                <w:szCs w:val="16"/>
              </w:rPr>
              <w:t>gads</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b/>
                <w:bCs/>
                <w:color w:val="000000"/>
                <w:sz w:val="16"/>
                <w:szCs w:val="16"/>
              </w:rPr>
            </w:pPr>
            <w:r w:rsidRPr="001E7285">
              <w:rPr>
                <w:b/>
                <w:bCs/>
                <w:color w:val="000000"/>
                <w:sz w:val="16"/>
                <w:szCs w:val="16"/>
              </w:rPr>
              <w:t>2019.</w:t>
            </w:r>
            <w:r w:rsidR="001A2814">
              <w:rPr>
                <w:b/>
                <w:bCs/>
                <w:color w:val="000000"/>
                <w:sz w:val="16"/>
                <w:szCs w:val="16"/>
              </w:rPr>
              <w:t> </w:t>
            </w:r>
            <w:r w:rsidRPr="001E7285">
              <w:rPr>
                <w:b/>
                <w:bCs/>
                <w:color w:val="000000"/>
                <w:sz w:val="16"/>
                <w:szCs w:val="16"/>
              </w:rPr>
              <w:t>gads</w:t>
            </w:r>
          </w:p>
        </w:tc>
      </w:tr>
      <w:tr w:rsidR="001E7285" w:rsidRPr="001E7285" w:rsidTr="001E7285">
        <w:trPr>
          <w:trHeight w:val="630"/>
          <w:jc w:val="center"/>
        </w:trPr>
        <w:tc>
          <w:tcPr>
            <w:tcW w:w="960" w:type="dxa"/>
            <w:tcBorders>
              <w:top w:val="nil"/>
              <w:left w:val="single" w:sz="4" w:space="0" w:color="auto"/>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EKK</w:t>
            </w:r>
          </w:p>
        </w:tc>
        <w:tc>
          <w:tcPr>
            <w:tcW w:w="398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Izdevumu postenis</w:t>
            </w:r>
          </w:p>
        </w:tc>
        <w:tc>
          <w:tcPr>
            <w:tcW w:w="68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Skaits</w:t>
            </w:r>
          </w:p>
        </w:tc>
        <w:tc>
          <w:tcPr>
            <w:tcW w:w="96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Vidējā summa, EUR</w:t>
            </w:r>
          </w:p>
        </w:tc>
        <w:tc>
          <w:tcPr>
            <w:tcW w:w="96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Mēnešu skaits</w:t>
            </w:r>
          </w:p>
        </w:tc>
        <w:tc>
          <w:tcPr>
            <w:tcW w:w="104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KOPĀ, EUR</w:t>
            </w:r>
          </w:p>
        </w:tc>
        <w:tc>
          <w:tcPr>
            <w:tcW w:w="960" w:type="dxa"/>
            <w:tcBorders>
              <w:top w:val="nil"/>
              <w:left w:val="nil"/>
              <w:bottom w:val="single" w:sz="4" w:space="0" w:color="auto"/>
              <w:right w:val="single" w:sz="4" w:space="0" w:color="auto"/>
            </w:tcBorders>
            <w:shd w:val="clear" w:color="000000" w:fill="D9D9D9"/>
            <w:vAlign w:val="center"/>
            <w:hideMark/>
          </w:tcPr>
          <w:p w:rsidR="001E7285" w:rsidRPr="001E7285" w:rsidRDefault="001E7285" w:rsidP="001E7285">
            <w:pPr>
              <w:jc w:val="center"/>
              <w:rPr>
                <w:b/>
                <w:bCs/>
                <w:color w:val="000000"/>
                <w:sz w:val="16"/>
                <w:szCs w:val="16"/>
              </w:rPr>
            </w:pPr>
            <w:r w:rsidRPr="001E7285">
              <w:rPr>
                <w:b/>
                <w:bCs/>
                <w:color w:val="000000"/>
                <w:sz w:val="16"/>
                <w:szCs w:val="16"/>
              </w:rPr>
              <w:t>KOPĀ, EUR</w:t>
            </w:r>
          </w:p>
        </w:tc>
      </w:tr>
      <w:tr w:rsidR="001E7285" w:rsidRPr="001E7285" w:rsidTr="001E7285">
        <w:trPr>
          <w:trHeight w:val="31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1E7285" w:rsidRPr="001E7285" w:rsidRDefault="001E7285" w:rsidP="001E7285">
            <w:pPr>
              <w:jc w:val="center"/>
              <w:rPr>
                <w:b/>
                <w:bCs/>
                <w:color w:val="000000"/>
                <w:sz w:val="16"/>
                <w:szCs w:val="16"/>
              </w:rPr>
            </w:pPr>
            <w:r w:rsidRPr="001E7285">
              <w:rPr>
                <w:b/>
                <w:bCs/>
                <w:color w:val="000000"/>
                <w:sz w:val="16"/>
                <w:szCs w:val="16"/>
              </w:rPr>
              <w:t> </w:t>
            </w:r>
          </w:p>
        </w:tc>
        <w:tc>
          <w:tcPr>
            <w:tcW w:w="398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1E7285">
            <w:pPr>
              <w:rPr>
                <w:b/>
                <w:bCs/>
                <w:color w:val="000000"/>
                <w:sz w:val="16"/>
                <w:szCs w:val="16"/>
              </w:rPr>
            </w:pPr>
            <w:r w:rsidRPr="001E7285">
              <w:rPr>
                <w:b/>
                <w:bCs/>
                <w:color w:val="000000"/>
                <w:sz w:val="16"/>
                <w:szCs w:val="16"/>
              </w:rPr>
              <w:t>Izdevumi kopā</w:t>
            </w:r>
          </w:p>
        </w:tc>
        <w:tc>
          <w:tcPr>
            <w:tcW w:w="68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1E7285">
            <w:pPr>
              <w:jc w:val="center"/>
              <w:rPr>
                <w:b/>
                <w:bCs/>
                <w:color w:val="000000"/>
                <w:sz w:val="16"/>
                <w:szCs w:val="16"/>
              </w:rPr>
            </w:pPr>
            <w:r w:rsidRPr="001E7285">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1E7285">
            <w:pPr>
              <w:jc w:val="center"/>
              <w:rPr>
                <w:b/>
                <w:bCs/>
                <w:color w:val="000000"/>
                <w:sz w:val="16"/>
                <w:szCs w:val="16"/>
              </w:rPr>
            </w:pPr>
            <w:r w:rsidRPr="001E7285">
              <w:rPr>
                <w:b/>
                <w:bCs/>
                <w:color w:val="000000"/>
                <w:sz w:val="16"/>
                <w:szCs w:val="16"/>
              </w:rPr>
              <w:t> </w:t>
            </w:r>
          </w:p>
        </w:tc>
        <w:tc>
          <w:tcPr>
            <w:tcW w:w="96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1E7285">
            <w:pPr>
              <w:jc w:val="center"/>
              <w:rPr>
                <w:b/>
                <w:bCs/>
                <w:color w:val="000000"/>
                <w:sz w:val="16"/>
                <w:szCs w:val="16"/>
              </w:rPr>
            </w:pPr>
            <w:r w:rsidRPr="001E7285">
              <w:rPr>
                <w:b/>
                <w:bCs/>
                <w:color w:val="000000"/>
                <w:sz w:val="16"/>
                <w:szCs w:val="16"/>
              </w:rPr>
              <w:t> </w:t>
            </w:r>
          </w:p>
        </w:tc>
        <w:tc>
          <w:tcPr>
            <w:tcW w:w="104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0B5F38">
            <w:pPr>
              <w:jc w:val="right"/>
              <w:rPr>
                <w:b/>
                <w:bCs/>
                <w:color w:val="000000"/>
                <w:sz w:val="16"/>
                <w:szCs w:val="16"/>
              </w:rPr>
            </w:pPr>
            <w:r w:rsidRPr="001E7285">
              <w:rPr>
                <w:b/>
                <w:bCs/>
                <w:color w:val="000000"/>
                <w:sz w:val="16"/>
                <w:szCs w:val="16"/>
              </w:rPr>
              <w:t>125 89</w:t>
            </w:r>
            <w:r w:rsidR="000B5F38">
              <w:rPr>
                <w:b/>
                <w:bCs/>
                <w:color w:val="000000"/>
                <w:sz w:val="16"/>
                <w:szCs w:val="16"/>
              </w:rPr>
              <w:t>2</w:t>
            </w:r>
          </w:p>
        </w:tc>
        <w:tc>
          <w:tcPr>
            <w:tcW w:w="960" w:type="dxa"/>
            <w:tcBorders>
              <w:top w:val="nil"/>
              <w:left w:val="nil"/>
              <w:bottom w:val="single" w:sz="4" w:space="0" w:color="auto"/>
              <w:right w:val="single" w:sz="4" w:space="0" w:color="auto"/>
            </w:tcBorders>
            <w:shd w:val="clear" w:color="auto" w:fill="auto"/>
            <w:vAlign w:val="center"/>
            <w:hideMark/>
          </w:tcPr>
          <w:p w:rsidR="001E7285" w:rsidRPr="001E7285" w:rsidRDefault="001E7285" w:rsidP="000B5F38">
            <w:pPr>
              <w:jc w:val="right"/>
              <w:rPr>
                <w:b/>
                <w:bCs/>
                <w:color w:val="000000"/>
                <w:sz w:val="16"/>
                <w:szCs w:val="16"/>
              </w:rPr>
            </w:pPr>
            <w:r w:rsidRPr="001E7285">
              <w:rPr>
                <w:b/>
                <w:bCs/>
                <w:color w:val="000000"/>
                <w:sz w:val="16"/>
                <w:szCs w:val="16"/>
              </w:rPr>
              <w:t>115 38</w:t>
            </w:r>
            <w:r w:rsidR="000B5F38">
              <w:rPr>
                <w:b/>
                <w:bCs/>
                <w:color w:val="000000"/>
                <w:sz w:val="16"/>
                <w:szCs w:val="16"/>
              </w:rPr>
              <w:t>2</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1000</w:t>
            </w:r>
          </w:p>
        </w:tc>
        <w:tc>
          <w:tcPr>
            <w:tcW w:w="658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Atlīdzība</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0B5F38">
            <w:pPr>
              <w:jc w:val="right"/>
              <w:rPr>
                <w:b/>
                <w:bCs/>
                <w:color w:val="000000"/>
                <w:sz w:val="16"/>
                <w:szCs w:val="16"/>
              </w:rPr>
            </w:pPr>
            <w:r w:rsidRPr="001E7285">
              <w:rPr>
                <w:b/>
                <w:bCs/>
                <w:color w:val="000000"/>
                <w:sz w:val="16"/>
                <w:szCs w:val="16"/>
              </w:rPr>
              <w:t>102 48</w:t>
            </w:r>
            <w:r w:rsidR="000B5F38">
              <w:rPr>
                <w:b/>
                <w:bCs/>
                <w:color w:val="000000"/>
                <w:sz w:val="16"/>
                <w:szCs w:val="16"/>
              </w:rPr>
              <w:t>1</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0B5F38">
            <w:pPr>
              <w:jc w:val="right"/>
              <w:rPr>
                <w:b/>
                <w:bCs/>
                <w:color w:val="000000"/>
                <w:sz w:val="16"/>
                <w:szCs w:val="16"/>
              </w:rPr>
            </w:pPr>
            <w:r w:rsidRPr="001E7285">
              <w:rPr>
                <w:b/>
                <w:bCs/>
                <w:color w:val="000000"/>
                <w:sz w:val="16"/>
                <w:szCs w:val="16"/>
              </w:rPr>
              <w:t>102 48</w:t>
            </w:r>
            <w:r w:rsidR="000B5F38">
              <w:rPr>
                <w:b/>
                <w:bCs/>
                <w:color w:val="000000"/>
                <w:sz w:val="16"/>
                <w:szCs w:val="16"/>
              </w:rPr>
              <w:t>1</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jc w:val="center"/>
              <w:rPr>
                <w:b/>
                <w:bCs/>
                <w:color w:val="000000"/>
                <w:sz w:val="16"/>
                <w:szCs w:val="16"/>
              </w:rPr>
            </w:pPr>
            <w:r w:rsidRPr="001E7285">
              <w:rPr>
                <w:b/>
                <w:bCs/>
                <w:color w:val="000000"/>
                <w:sz w:val="16"/>
                <w:szCs w:val="16"/>
              </w:rPr>
              <w:t>1100</w:t>
            </w:r>
          </w:p>
        </w:tc>
        <w:tc>
          <w:tcPr>
            <w:tcW w:w="658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Atalgojums</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79 604</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79 604</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center"/>
              <w:rPr>
                <w:color w:val="000000"/>
                <w:sz w:val="16"/>
                <w:szCs w:val="16"/>
              </w:rPr>
            </w:pPr>
            <w:r w:rsidRPr="001E7285">
              <w:rPr>
                <w:color w:val="000000"/>
                <w:sz w:val="16"/>
                <w:szCs w:val="16"/>
              </w:rPr>
              <w:t>1110</w:t>
            </w:r>
          </w:p>
        </w:tc>
        <w:tc>
          <w:tcPr>
            <w:tcW w:w="658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Darba samaksa</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r>
      <w:tr w:rsidR="001E7285" w:rsidRPr="001E7285" w:rsidTr="004106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1114</w:t>
            </w:r>
          </w:p>
        </w:tc>
        <w:tc>
          <w:tcPr>
            <w:tcW w:w="398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Jurists 21.saime, IV līmenis (11.mēnešalgu grupa)</w:t>
            </w:r>
            <w:r w:rsidR="003C5DFB">
              <w:rPr>
                <w:color w:val="000000"/>
                <w:sz w:val="16"/>
                <w:szCs w:val="16"/>
              </w:rPr>
              <w:t>*</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1382</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r>
      <w:tr w:rsidR="001E7285" w:rsidRPr="001E7285" w:rsidTr="004106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center"/>
              <w:rPr>
                <w:color w:val="000000"/>
                <w:sz w:val="16"/>
                <w:szCs w:val="16"/>
              </w:rPr>
            </w:pPr>
            <w:r w:rsidRPr="001E7285">
              <w:rPr>
                <w:color w:val="000000"/>
                <w:sz w:val="16"/>
                <w:szCs w:val="16"/>
              </w:rPr>
              <w:t>1140</w:t>
            </w:r>
          </w:p>
        </w:tc>
        <w:tc>
          <w:tcPr>
            <w:tcW w:w="6580" w:type="dxa"/>
            <w:gridSpan w:val="4"/>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Piemaksas, prēmijas un naudas balvas</w:t>
            </w:r>
          </w:p>
        </w:tc>
        <w:tc>
          <w:tcPr>
            <w:tcW w:w="104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13 268</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13 268</w:t>
            </w:r>
          </w:p>
        </w:tc>
      </w:tr>
      <w:tr w:rsidR="001E7285" w:rsidRPr="001E7285" w:rsidTr="00410697">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3980" w:type="dxa"/>
            <w:tcBorders>
              <w:top w:val="single" w:sz="4" w:space="0" w:color="auto"/>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Vispārējā piemaksa 10% apmērā no plānoto amata vietu skaitam plānotās mēnešalgu kopsummas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10%</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6 634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6 634</w:t>
            </w:r>
          </w:p>
        </w:tc>
      </w:tr>
      <w:tr w:rsidR="001E7285" w:rsidRPr="001E7285" w:rsidTr="00410697">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3980" w:type="dxa"/>
            <w:tcBorders>
              <w:top w:val="single" w:sz="4" w:space="0" w:color="auto"/>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Prēmijas un naudas balvas 10% apmērā no plānoto amata vietu skaitam plānotās mēnešalgu kopsummas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10%</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6 634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6 634</w:t>
            </w:r>
          </w:p>
        </w:tc>
      </w:tr>
      <w:tr w:rsidR="001E7285" w:rsidRPr="001E7285" w:rsidTr="00410697">
        <w:trPr>
          <w:trHeight w:val="495"/>
          <w:jc w:val="center"/>
        </w:trPr>
        <w:tc>
          <w:tcPr>
            <w:tcW w:w="96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jc w:val="center"/>
              <w:rPr>
                <w:b/>
                <w:bCs/>
                <w:color w:val="000000"/>
                <w:sz w:val="16"/>
                <w:szCs w:val="16"/>
              </w:rPr>
            </w:pPr>
            <w:r w:rsidRPr="001E7285">
              <w:rPr>
                <w:b/>
                <w:bCs/>
                <w:color w:val="000000"/>
                <w:sz w:val="16"/>
                <w:szCs w:val="16"/>
              </w:rPr>
              <w:t>1200</w:t>
            </w:r>
          </w:p>
        </w:tc>
        <w:tc>
          <w:tcPr>
            <w:tcW w:w="6580" w:type="dxa"/>
            <w:gridSpan w:val="4"/>
            <w:tcBorders>
              <w:top w:val="single" w:sz="4" w:space="0" w:color="auto"/>
              <w:left w:val="nil"/>
              <w:bottom w:val="single" w:sz="4" w:space="0" w:color="auto"/>
              <w:right w:val="single" w:sz="4" w:space="0" w:color="auto"/>
            </w:tcBorders>
            <w:shd w:val="clear" w:color="000000" w:fill="C5D9F1"/>
            <w:hideMark/>
          </w:tcPr>
          <w:p w:rsidR="001E7285" w:rsidRPr="001E7285" w:rsidRDefault="001E7285" w:rsidP="001E7285">
            <w:pPr>
              <w:rPr>
                <w:b/>
                <w:bCs/>
                <w:color w:val="000000"/>
                <w:sz w:val="16"/>
                <w:szCs w:val="16"/>
              </w:rPr>
            </w:pPr>
            <w:r w:rsidRPr="001E7285">
              <w:rPr>
                <w:b/>
                <w:bCs/>
                <w:color w:val="000000"/>
                <w:sz w:val="16"/>
                <w:szCs w:val="16"/>
              </w:rPr>
              <w:t>Darba devēja valsts sociālās apdrošināšanas obligātās iemaksas, pabalsti un kompensācijas</w:t>
            </w:r>
          </w:p>
        </w:tc>
        <w:tc>
          <w:tcPr>
            <w:tcW w:w="1040" w:type="dxa"/>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22 878</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22 878</w:t>
            </w:r>
          </w:p>
        </w:tc>
      </w:tr>
      <w:tr w:rsidR="001E7285" w:rsidRPr="001E7285" w:rsidTr="00410697">
        <w:trPr>
          <w:trHeight w:val="51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1210</w:t>
            </w:r>
          </w:p>
        </w:tc>
        <w:tc>
          <w:tcPr>
            <w:tcW w:w="3980" w:type="dxa"/>
            <w:tcBorders>
              <w:top w:val="single" w:sz="4" w:space="0" w:color="auto"/>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Darba devēja valsts sociālās apdrošināšanas obligātās iemaksas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19 561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19 561</w:t>
            </w:r>
          </w:p>
        </w:tc>
      </w:tr>
      <w:tr w:rsidR="001E7285" w:rsidRPr="001E7285" w:rsidTr="0041069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1220</w:t>
            </w:r>
          </w:p>
        </w:tc>
        <w:tc>
          <w:tcPr>
            <w:tcW w:w="6580" w:type="dxa"/>
            <w:gridSpan w:val="4"/>
            <w:tcBorders>
              <w:top w:val="single" w:sz="4" w:space="0" w:color="auto"/>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Darba devēja pabalsti, kompensācijas un citi maksājumi</w:t>
            </w:r>
          </w:p>
        </w:tc>
        <w:tc>
          <w:tcPr>
            <w:tcW w:w="104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3 317</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3 317</w:t>
            </w:r>
          </w:p>
        </w:tc>
      </w:tr>
      <w:tr w:rsidR="001E7285" w:rsidRPr="001E7285" w:rsidTr="00410697">
        <w:trPr>
          <w:trHeight w:val="48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3980" w:type="dxa"/>
            <w:tcBorders>
              <w:top w:val="single" w:sz="4" w:space="0" w:color="auto"/>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Sociālās garantijas, plāno 5% apmērā no plānoto amata vietu skaitam plānotās mēnešalgu kopsummas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 </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66 336</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5%</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3 317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3 317</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2000</w:t>
            </w:r>
          </w:p>
        </w:tc>
        <w:tc>
          <w:tcPr>
            <w:tcW w:w="6580" w:type="dxa"/>
            <w:gridSpan w:val="4"/>
            <w:tcBorders>
              <w:top w:val="single" w:sz="4" w:space="0" w:color="auto"/>
              <w:left w:val="nil"/>
              <w:bottom w:val="single" w:sz="4" w:space="0" w:color="auto"/>
              <w:right w:val="single" w:sz="4" w:space="0" w:color="auto"/>
            </w:tcBorders>
            <w:shd w:val="clear" w:color="000000" w:fill="C5D9F1"/>
            <w:hideMark/>
          </w:tcPr>
          <w:p w:rsidR="001E7285" w:rsidRPr="001E7285" w:rsidRDefault="001E7285" w:rsidP="001E7285">
            <w:pPr>
              <w:rPr>
                <w:b/>
                <w:bCs/>
                <w:color w:val="000000"/>
                <w:sz w:val="16"/>
                <w:szCs w:val="16"/>
              </w:rPr>
            </w:pPr>
            <w:r w:rsidRPr="001E7285">
              <w:rPr>
                <w:b/>
                <w:bCs/>
                <w:color w:val="000000"/>
                <w:sz w:val="16"/>
                <w:szCs w:val="16"/>
              </w:rPr>
              <w:t>Preces un pakalpojumi</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15 911</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12 901</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center"/>
              <w:rPr>
                <w:color w:val="000000"/>
                <w:sz w:val="16"/>
                <w:szCs w:val="16"/>
              </w:rPr>
            </w:pPr>
            <w:r w:rsidRPr="001E7285">
              <w:rPr>
                <w:color w:val="000000"/>
                <w:sz w:val="16"/>
                <w:szCs w:val="16"/>
              </w:rPr>
              <w:t>2100</w:t>
            </w:r>
          </w:p>
        </w:tc>
        <w:tc>
          <w:tcPr>
            <w:tcW w:w="6580" w:type="dxa"/>
            <w:gridSpan w:val="4"/>
            <w:tcBorders>
              <w:top w:val="single" w:sz="4" w:space="0" w:color="auto"/>
              <w:left w:val="nil"/>
              <w:bottom w:val="single" w:sz="4" w:space="0" w:color="auto"/>
              <w:right w:val="single" w:sz="4" w:space="0" w:color="000000"/>
            </w:tcBorders>
            <w:shd w:val="clear" w:color="auto" w:fill="auto"/>
            <w:hideMark/>
          </w:tcPr>
          <w:p w:rsidR="001E7285" w:rsidRPr="001E7285" w:rsidRDefault="001E7285" w:rsidP="001E7285">
            <w:pPr>
              <w:rPr>
                <w:color w:val="000000"/>
                <w:sz w:val="16"/>
                <w:szCs w:val="16"/>
              </w:rPr>
            </w:pPr>
            <w:r w:rsidRPr="001E7285">
              <w:rPr>
                <w:color w:val="000000"/>
                <w:sz w:val="16"/>
                <w:szCs w:val="16"/>
              </w:rPr>
              <w:t>Komandējumi</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5 000</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5 000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center"/>
              <w:rPr>
                <w:color w:val="000000"/>
                <w:sz w:val="16"/>
                <w:szCs w:val="16"/>
              </w:rPr>
            </w:pPr>
            <w:r w:rsidRPr="001E7285">
              <w:rPr>
                <w:color w:val="000000"/>
                <w:sz w:val="16"/>
                <w:szCs w:val="16"/>
              </w:rPr>
              <w:t>2200</w:t>
            </w:r>
          </w:p>
        </w:tc>
        <w:tc>
          <w:tcPr>
            <w:tcW w:w="6580" w:type="dxa"/>
            <w:gridSpan w:val="4"/>
            <w:tcBorders>
              <w:top w:val="single" w:sz="4" w:space="0" w:color="auto"/>
              <w:left w:val="nil"/>
              <w:bottom w:val="single" w:sz="4" w:space="0" w:color="auto"/>
              <w:right w:val="single" w:sz="4" w:space="0" w:color="000000"/>
            </w:tcBorders>
            <w:shd w:val="clear" w:color="auto" w:fill="auto"/>
            <w:hideMark/>
          </w:tcPr>
          <w:p w:rsidR="001E7285" w:rsidRPr="001E7285" w:rsidRDefault="001E7285" w:rsidP="001E7285">
            <w:pPr>
              <w:rPr>
                <w:color w:val="000000"/>
                <w:sz w:val="16"/>
                <w:szCs w:val="16"/>
              </w:rPr>
            </w:pPr>
            <w:r w:rsidRPr="001E7285">
              <w:rPr>
                <w:color w:val="000000"/>
                <w:sz w:val="16"/>
                <w:szCs w:val="16"/>
              </w:rPr>
              <w:t>Pakalpojumu apmaksa</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9 015</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color w:val="000000"/>
                <w:sz w:val="16"/>
                <w:szCs w:val="16"/>
              </w:rPr>
            </w:pPr>
            <w:r w:rsidRPr="001E7285">
              <w:rPr>
                <w:color w:val="000000"/>
                <w:sz w:val="16"/>
                <w:szCs w:val="16"/>
              </w:rPr>
              <w:t>7 565</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2219</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Sakaru pakalpojumi</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15</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720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720</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2219</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Telefona un interneta ievilkšana</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1450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1 450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2221</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Izdevumi par apkuri 46.7m</w:t>
            </w:r>
            <w:r w:rsidRPr="001E7285">
              <w:rPr>
                <w:color w:val="000000"/>
                <w:sz w:val="16"/>
                <w:szCs w:val="16"/>
                <w:vertAlign w:val="superscript"/>
              </w:rPr>
              <w:t>2</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46.7</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654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654</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2222</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Izdevumi par ūdeni un kanalizāciju</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96</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96</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2223</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Izdevumi par elektroenerģiju</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15</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720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720</w:t>
            </w:r>
          </w:p>
        </w:tc>
      </w:tr>
      <w:tr w:rsidR="001E7285" w:rsidRPr="001E7285" w:rsidTr="001E7285">
        <w:trPr>
          <w:trHeight w:val="24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2235</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Izdevumi par saņemtajiem apmācību pakalpojumiem</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60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240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240</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2243</w:t>
            </w:r>
          </w:p>
        </w:tc>
        <w:tc>
          <w:tcPr>
            <w:tcW w:w="3980" w:type="dxa"/>
            <w:tcBorders>
              <w:top w:val="nil"/>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Datortehnikas apkalpošana</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240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240</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2244</w:t>
            </w:r>
          </w:p>
        </w:tc>
        <w:tc>
          <w:tcPr>
            <w:tcW w:w="3980" w:type="dxa"/>
            <w:tcBorders>
              <w:top w:val="nil"/>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Telpu uzkopšana 46.7m</w:t>
            </w:r>
            <w:r w:rsidRPr="001E7285">
              <w:rPr>
                <w:color w:val="000000"/>
                <w:sz w:val="16"/>
                <w:szCs w:val="16"/>
                <w:vertAlign w:val="superscript"/>
              </w:rPr>
              <w:t>2</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46.7</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560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560</w:t>
            </w:r>
          </w:p>
        </w:tc>
      </w:tr>
      <w:tr w:rsidR="001E7285" w:rsidRPr="001E7285" w:rsidTr="001E7285">
        <w:trPr>
          <w:trHeight w:val="28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2251</w:t>
            </w:r>
          </w:p>
        </w:tc>
        <w:tc>
          <w:tcPr>
            <w:tcW w:w="3980" w:type="dxa"/>
            <w:tcBorders>
              <w:top w:val="nil"/>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Informācijas sistēmas uzturēšana</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1 920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1 920</w:t>
            </w:r>
          </w:p>
        </w:tc>
      </w:tr>
      <w:tr w:rsidR="001E7285" w:rsidRPr="001E7285" w:rsidTr="001E7285">
        <w:trPr>
          <w:trHeight w:val="21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2261</w:t>
            </w:r>
          </w:p>
        </w:tc>
        <w:tc>
          <w:tcPr>
            <w:tcW w:w="3980" w:type="dxa"/>
            <w:tcBorders>
              <w:top w:val="nil"/>
              <w:left w:val="nil"/>
              <w:bottom w:val="single" w:sz="4" w:space="0" w:color="auto"/>
              <w:right w:val="single" w:sz="4" w:space="0" w:color="auto"/>
            </w:tcBorders>
            <w:shd w:val="clear" w:color="auto" w:fill="auto"/>
            <w:hideMark/>
          </w:tcPr>
          <w:p w:rsidR="001E7285" w:rsidRPr="001E7285" w:rsidRDefault="001E7285" w:rsidP="001E7285">
            <w:pPr>
              <w:rPr>
                <w:color w:val="000000"/>
                <w:sz w:val="16"/>
                <w:szCs w:val="16"/>
              </w:rPr>
            </w:pPr>
            <w:r w:rsidRPr="001E7285">
              <w:rPr>
                <w:color w:val="000000"/>
                <w:sz w:val="16"/>
                <w:szCs w:val="16"/>
              </w:rPr>
              <w:t>Telpu noma 46.7m</w:t>
            </w:r>
            <w:r w:rsidRPr="001E7285">
              <w:rPr>
                <w:color w:val="000000"/>
                <w:sz w:val="16"/>
                <w:szCs w:val="16"/>
                <w:vertAlign w:val="superscript"/>
              </w:rPr>
              <w:t>2</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46.7</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4.31</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2 415</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2 415</w:t>
            </w:r>
          </w:p>
        </w:tc>
      </w:tr>
      <w:tr w:rsidR="001E7285" w:rsidRPr="001E7285" w:rsidTr="001E7285">
        <w:trPr>
          <w:trHeight w:val="450"/>
          <w:jc w:val="center"/>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jc w:val="center"/>
              <w:rPr>
                <w:b/>
                <w:bCs/>
                <w:color w:val="000000"/>
                <w:sz w:val="16"/>
                <w:szCs w:val="16"/>
              </w:rPr>
            </w:pPr>
            <w:r w:rsidRPr="001E7285">
              <w:rPr>
                <w:b/>
                <w:bCs/>
                <w:color w:val="000000"/>
                <w:sz w:val="16"/>
                <w:szCs w:val="16"/>
              </w:rPr>
              <w:t>2300</w:t>
            </w:r>
          </w:p>
        </w:tc>
        <w:tc>
          <w:tcPr>
            <w:tcW w:w="6580" w:type="dxa"/>
            <w:gridSpan w:val="4"/>
            <w:tcBorders>
              <w:top w:val="single" w:sz="4" w:space="0" w:color="auto"/>
              <w:left w:val="nil"/>
              <w:bottom w:val="single" w:sz="4" w:space="0" w:color="auto"/>
              <w:right w:val="single" w:sz="4" w:space="0" w:color="auto"/>
            </w:tcBorders>
            <w:shd w:val="clear" w:color="000000" w:fill="C5D9F1"/>
            <w:hideMark/>
          </w:tcPr>
          <w:p w:rsidR="001E7285" w:rsidRPr="001E7285" w:rsidRDefault="001E7285" w:rsidP="001E7285">
            <w:pPr>
              <w:rPr>
                <w:b/>
                <w:bCs/>
                <w:sz w:val="16"/>
                <w:szCs w:val="16"/>
              </w:rPr>
            </w:pPr>
            <w:r w:rsidRPr="001E7285">
              <w:rPr>
                <w:b/>
                <w:bCs/>
                <w:sz w:val="16"/>
                <w:szCs w:val="16"/>
              </w:rPr>
              <w:t>Krājumi, materiāli, energoresursi, preces, biroja preces un inventārs, kurus neuzskaita kodā 5000</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1 896</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336</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2311</w:t>
            </w:r>
          </w:p>
        </w:tc>
        <w:tc>
          <w:tcPr>
            <w:tcW w:w="39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Kancelejas preces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7</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12</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336</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336</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2312</w:t>
            </w:r>
          </w:p>
        </w:tc>
        <w:tc>
          <w:tcPr>
            <w:tcW w:w="398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rPr>
                <w:color w:val="000000"/>
                <w:sz w:val="16"/>
                <w:szCs w:val="16"/>
              </w:rPr>
            </w:pPr>
            <w:r w:rsidRPr="001E7285">
              <w:rPr>
                <w:color w:val="000000"/>
                <w:sz w:val="16"/>
                <w:szCs w:val="16"/>
              </w:rPr>
              <w:t>Krēsli</w:t>
            </w:r>
          </w:p>
        </w:tc>
        <w:tc>
          <w:tcPr>
            <w:tcW w:w="68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100</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104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400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2312</w:t>
            </w:r>
          </w:p>
        </w:tc>
        <w:tc>
          <w:tcPr>
            <w:tcW w:w="398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rPr>
                <w:color w:val="000000"/>
                <w:sz w:val="16"/>
                <w:szCs w:val="16"/>
              </w:rPr>
            </w:pPr>
            <w:r w:rsidRPr="001E7285">
              <w:rPr>
                <w:color w:val="000000"/>
                <w:sz w:val="16"/>
                <w:szCs w:val="16"/>
              </w:rPr>
              <w:t>Galdi</w:t>
            </w:r>
          </w:p>
        </w:tc>
        <w:tc>
          <w:tcPr>
            <w:tcW w:w="68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210</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104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840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2312</w:t>
            </w:r>
          </w:p>
        </w:tc>
        <w:tc>
          <w:tcPr>
            <w:tcW w:w="39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UPS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80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320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5000</w:t>
            </w:r>
          </w:p>
        </w:tc>
        <w:tc>
          <w:tcPr>
            <w:tcW w:w="658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1E7285" w:rsidRPr="001E7285" w:rsidRDefault="001E7285" w:rsidP="001E7285">
            <w:pPr>
              <w:rPr>
                <w:b/>
                <w:bCs/>
                <w:color w:val="000000"/>
                <w:sz w:val="16"/>
                <w:szCs w:val="16"/>
              </w:rPr>
            </w:pPr>
            <w:r w:rsidRPr="001E7285">
              <w:rPr>
                <w:b/>
                <w:bCs/>
                <w:color w:val="000000"/>
                <w:sz w:val="16"/>
                <w:szCs w:val="16"/>
              </w:rPr>
              <w:t>Kapitālie izdevumi</w:t>
            </w:r>
          </w:p>
        </w:tc>
        <w:tc>
          <w:tcPr>
            <w:tcW w:w="104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7 500</w:t>
            </w:r>
          </w:p>
        </w:tc>
        <w:tc>
          <w:tcPr>
            <w:tcW w:w="960" w:type="dxa"/>
            <w:tcBorders>
              <w:top w:val="nil"/>
              <w:left w:val="nil"/>
              <w:bottom w:val="single" w:sz="4" w:space="0" w:color="auto"/>
              <w:right w:val="single" w:sz="4" w:space="0" w:color="auto"/>
            </w:tcBorders>
            <w:shd w:val="clear" w:color="000000" w:fill="C5D9F1"/>
            <w:noWrap/>
            <w:vAlign w:val="bottom"/>
            <w:hideMark/>
          </w:tcPr>
          <w:p w:rsidR="001E7285" w:rsidRPr="001E7285" w:rsidRDefault="001E7285" w:rsidP="001E7285">
            <w:pPr>
              <w:jc w:val="right"/>
              <w:rPr>
                <w:b/>
                <w:bCs/>
                <w:color w:val="000000"/>
                <w:sz w:val="16"/>
                <w:szCs w:val="16"/>
              </w:rPr>
            </w:pPr>
            <w:r w:rsidRPr="001E7285">
              <w:rPr>
                <w:b/>
                <w:bCs/>
                <w:color w:val="000000"/>
                <w:sz w:val="16"/>
                <w:szCs w:val="16"/>
              </w:rPr>
              <w:t>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5238</w:t>
            </w:r>
          </w:p>
        </w:tc>
        <w:tc>
          <w:tcPr>
            <w:tcW w:w="3980" w:type="dxa"/>
            <w:tcBorders>
              <w:top w:val="nil"/>
              <w:left w:val="nil"/>
              <w:bottom w:val="single" w:sz="4" w:space="0" w:color="auto"/>
              <w:right w:val="single" w:sz="4" w:space="0" w:color="auto"/>
            </w:tcBorders>
            <w:shd w:val="clear" w:color="000000" w:fill="FFFFFF"/>
            <w:hideMark/>
          </w:tcPr>
          <w:p w:rsidR="001E7285" w:rsidRPr="001E7285" w:rsidRDefault="001E7285" w:rsidP="001E7285">
            <w:pPr>
              <w:rPr>
                <w:color w:val="000000"/>
                <w:sz w:val="16"/>
                <w:szCs w:val="16"/>
              </w:rPr>
            </w:pPr>
            <w:r w:rsidRPr="001E7285">
              <w:rPr>
                <w:color w:val="000000"/>
                <w:sz w:val="16"/>
                <w:szCs w:val="16"/>
              </w:rPr>
              <w:t>Dators</w:t>
            </w:r>
          </w:p>
        </w:tc>
        <w:tc>
          <w:tcPr>
            <w:tcW w:w="68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4</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1000</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center"/>
              <w:rPr>
                <w:color w:val="000000"/>
                <w:sz w:val="16"/>
                <w:szCs w:val="16"/>
              </w:rPr>
            </w:pPr>
            <w:r w:rsidRPr="001E7285">
              <w:rPr>
                <w:color w:val="000000"/>
                <w:sz w:val="16"/>
                <w:szCs w:val="16"/>
              </w:rPr>
              <w:t>X</w:t>
            </w:r>
          </w:p>
        </w:tc>
        <w:tc>
          <w:tcPr>
            <w:tcW w:w="104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4 000</w:t>
            </w:r>
          </w:p>
        </w:tc>
        <w:tc>
          <w:tcPr>
            <w:tcW w:w="960" w:type="dxa"/>
            <w:tcBorders>
              <w:top w:val="nil"/>
              <w:left w:val="nil"/>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r w:rsidR="001E7285" w:rsidRPr="001E7285" w:rsidTr="001E7285">
        <w:trPr>
          <w:trHeight w:val="300"/>
          <w:jc w:val="center"/>
        </w:trPr>
        <w:tc>
          <w:tcPr>
            <w:tcW w:w="960" w:type="dxa"/>
            <w:tcBorders>
              <w:top w:val="nil"/>
              <w:left w:val="single" w:sz="4" w:space="0" w:color="auto"/>
              <w:bottom w:val="single" w:sz="4" w:space="0" w:color="auto"/>
              <w:right w:val="single" w:sz="4" w:space="0" w:color="auto"/>
            </w:tcBorders>
            <w:shd w:val="clear" w:color="000000" w:fill="FFFFFF"/>
            <w:noWrap/>
            <w:vAlign w:val="bottom"/>
            <w:hideMark/>
          </w:tcPr>
          <w:p w:rsidR="001E7285" w:rsidRPr="001E7285" w:rsidRDefault="001E7285" w:rsidP="001E7285">
            <w:pPr>
              <w:jc w:val="right"/>
              <w:rPr>
                <w:color w:val="000000"/>
                <w:sz w:val="16"/>
                <w:szCs w:val="16"/>
              </w:rPr>
            </w:pPr>
            <w:r w:rsidRPr="001E7285">
              <w:rPr>
                <w:color w:val="000000"/>
                <w:sz w:val="16"/>
                <w:szCs w:val="16"/>
              </w:rPr>
              <w:t>5238</w:t>
            </w:r>
          </w:p>
        </w:tc>
        <w:tc>
          <w:tcPr>
            <w:tcW w:w="39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rPr>
                <w:color w:val="000000"/>
                <w:sz w:val="16"/>
                <w:szCs w:val="16"/>
              </w:rPr>
            </w:pPr>
            <w:r w:rsidRPr="001E7285">
              <w:rPr>
                <w:color w:val="000000"/>
                <w:sz w:val="16"/>
                <w:szCs w:val="16"/>
              </w:rPr>
              <w:t>Tīkla printeris</w:t>
            </w:r>
          </w:p>
        </w:tc>
        <w:tc>
          <w:tcPr>
            <w:tcW w:w="68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1</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3500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center"/>
              <w:rPr>
                <w:color w:val="000000"/>
                <w:sz w:val="16"/>
                <w:szCs w:val="16"/>
              </w:rPr>
            </w:pPr>
            <w:r w:rsidRPr="001E7285">
              <w:rPr>
                <w:color w:val="000000"/>
                <w:sz w:val="16"/>
                <w:szCs w:val="16"/>
              </w:rPr>
              <w:t>X</w:t>
            </w:r>
          </w:p>
        </w:tc>
        <w:tc>
          <w:tcPr>
            <w:tcW w:w="104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3 500</w:t>
            </w:r>
          </w:p>
        </w:tc>
        <w:tc>
          <w:tcPr>
            <w:tcW w:w="960" w:type="dxa"/>
            <w:tcBorders>
              <w:top w:val="nil"/>
              <w:left w:val="nil"/>
              <w:bottom w:val="single" w:sz="4" w:space="0" w:color="auto"/>
              <w:right w:val="single" w:sz="4" w:space="0" w:color="auto"/>
            </w:tcBorders>
            <w:shd w:val="clear" w:color="auto" w:fill="auto"/>
            <w:noWrap/>
            <w:vAlign w:val="bottom"/>
            <w:hideMark/>
          </w:tcPr>
          <w:p w:rsidR="001E7285" w:rsidRPr="001E7285" w:rsidRDefault="001E7285" w:rsidP="001E7285">
            <w:pPr>
              <w:jc w:val="right"/>
              <w:rPr>
                <w:color w:val="000000"/>
                <w:sz w:val="16"/>
                <w:szCs w:val="16"/>
              </w:rPr>
            </w:pPr>
            <w:r w:rsidRPr="001E7285">
              <w:rPr>
                <w:color w:val="000000"/>
                <w:sz w:val="16"/>
                <w:szCs w:val="16"/>
              </w:rPr>
              <w:t>0</w:t>
            </w:r>
          </w:p>
        </w:tc>
      </w:tr>
    </w:tbl>
    <w:p w:rsidR="00615776" w:rsidRPr="00615776" w:rsidRDefault="003C5DFB" w:rsidP="00615776">
      <w:pPr>
        <w:spacing w:before="60"/>
        <w:ind w:firstLine="720"/>
        <w:jc w:val="both"/>
        <w:rPr>
          <w:sz w:val="20"/>
          <w:szCs w:val="20"/>
        </w:rPr>
      </w:pPr>
      <w:r w:rsidRPr="008B2056">
        <w:rPr>
          <w:sz w:val="20"/>
          <w:szCs w:val="20"/>
        </w:rPr>
        <w:t xml:space="preserve">* </w:t>
      </w:r>
      <w:r w:rsidR="00615776" w:rsidRPr="00615776">
        <w:rPr>
          <w:sz w:val="20"/>
          <w:szCs w:val="20"/>
        </w:rPr>
        <w:t>Amatu klasificēšanas rezultātu apkopojuma saskaņošana ar Valsts kanceleju tiks veikta līdz 2017. gada 1. novembrim</w:t>
      </w:r>
    </w:p>
    <w:p w:rsidR="003C5DFB" w:rsidRPr="008B2056" w:rsidRDefault="003C5DFB" w:rsidP="008B2056">
      <w:pPr>
        <w:spacing w:before="60"/>
        <w:ind w:firstLine="720"/>
        <w:jc w:val="both"/>
        <w:rPr>
          <w:sz w:val="20"/>
          <w:szCs w:val="20"/>
        </w:rPr>
      </w:pPr>
    </w:p>
    <w:p w:rsidR="00D9283A" w:rsidRDefault="00616E82" w:rsidP="00745475">
      <w:pPr>
        <w:spacing w:before="60"/>
        <w:ind w:firstLine="720"/>
        <w:jc w:val="both"/>
      </w:pPr>
      <w:r w:rsidRPr="00616E82">
        <w:t xml:space="preserve">Atbilstoši </w:t>
      </w:r>
      <w:r w:rsidR="0061316D">
        <w:t>Pamatnostādņu</w:t>
      </w:r>
      <w:r w:rsidRPr="00616E82">
        <w:t xml:space="preserve"> īstenošanas plāna 2.4.2.</w:t>
      </w:r>
      <w:r w:rsidR="00445B8A">
        <w:t> </w:t>
      </w:r>
      <w:r w:rsidRPr="00616E82">
        <w:t>apakšpunktā noteiktajam pēc normatīvā regulējuma spēkā stāšanās, t.i.,</w:t>
      </w:r>
      <w:r w:rsidR="00445B8A">
        <w:t xml:space="preserve"> pēc</w:t>
      </w:r>
      <w:r w:rsidRPr="00616E82">
        <w:t xml:space="preserve"> 2017.</w:t>
      </w:r>
      <w:r w:rsidR="00445B8A">
        <w:t> </w:t>
      </w:r>
      <w:r w:rsidRPr="00616E82">
        <w:t xml:space="preserve">gada 1. jūlija Maksātnespējas administrācijai ir jāveic plānotās 20 pārbaudes gadā. Vienlaikus ir plānots īstenot </w:t>
      </w:r>
      <w:r w:rsidR="0061316D">
        <w:t xml:space="preserve">apmēram 25 neplānotas </w:t>
      </w:r>
      <w:r w:rsidRPr="00616E82">
        <w:t>pārbaudes</w:t>
      </w:r>
      <w:r w:rsidR="0061316D">
        <w:t xml:space="preserve"> gadā</w:t>
      </w:r>
      <w:r w:rsidRPr="00616E82">
        <w:t>, reaģējot uz iesniegtajām sūdzībām</w:t>
      </w:r>
      <w:r w:rsidR="0061316D">
        <w:t xml:space="preserve"> un uzraudzības kārtībā</w:t>
      </w:r>
      <w:r w:rsidRPr="00616E82">
        <w:t>. Jāņem vērā, ka tiesiskās aizsardzības procesa uzraugošo personu un administratoru prakses vietas, kā arī parādnieku</w:t>
      </w:r>
      <w:r w:rsidR="00445B8A">
        <w:t> –</w:t>
      </w:r>
      <w:r w:rsidRPr="00616E82">
        <w:t xml:space="preserve"> juridisko personu </w:t>
      </w:r>
      <w:r w:rsidR="00445B8A">
        <w:t xml:space="preserve">– </w:t>
      </w:r>
      <w:r w:rsidRPr="00616E82">
        <w:t>atrašanās vietas ir dažādās Latvijas pilsētās, un nokļūšana līdz attiecīgajai vietai ar sabiedrisko transportu būtiski samazina to laiku, ko konkrētais nodarbinātais var izmantot citu uzraudzības pasākumu veikšanai.</w:t>
      </w:r>
    </w:p>
    <w:p w:rsidR="00616E82" w:rsidRDefault="00616E82" w:rsidP="00745475">
      <w:pPr>
        <w:spacing w:before="60"/>
        <w:ind w:firstLine="720"/>
        <w:jc w:val="both"/>
      </w:pPr>
      <w:r w:rsidRPr="00616E82">
        <w:t>Tāpat Maksātnespējas administrācijai ir pienākums piedalīties tiesas sēdēs, kā arī tiesības piedalīties kreditoru sapulcēs</w:t>
      </w:r>
      <w:r w:rsidR="0061316D">
        <w:t xml:space="preserve">. </w:t>
      </w:r>
      <w:r w:rsidR="002D6DCD">
        <w:t>Šobrīd t</w:t>
      </w:r>
      <w:r w:rsidR="0061316D">
        <w:t xml:space="preserve">iesas sēžu </w:t>
      </w:r>
      <w:r w:rsidR="00D52AA5">
        <w:t xml:space="preserve">un kreditoru sapulču </w:t>
      </w:r>
      <w:r w:rsidR="0061316D">
        <w:t xml:space="preserve">apmeklēšana tiek veikta </w:t>
      </w:r>
      <w:r w:rsidR="00D52AA5">
        <w:t>esošo resursu ietvaros, ņemot vērā attiecīgā maksātnespējas procesa norises gaitu (sarežģītību, nozīmīgumu, seku apmēru u.c. rādītājus), jo Maksātnespējas administrācijai nav resursu, lai apmeklētu visas tiesas sēdes, kurās esam procesa dalībnieka statusā, un kreditoru sapulces</w:t>
      </w:r>
      <w:r w:rsidRPr="00616E82">
        <w:t>.</w:t>
      </w:r>
      <w:r w:rsidR="00D9283A">
        <w:t xml:space="preserve"> </w:t>
      </w:r>
      <w:r w:rsidRPr="00616E82">
        <w:t>2016.</w:t>
      </w:r>
      <w:r w:rsidR="00445B8A">
        <w:t> </w:t>
      </w:r>
      <w:r w:rsidRPr="00616E82">
        <w:t xml:space="preserve">gadā Maksātnespējas administrācija ir piedalījusies 80 tiesas sēdēs, galvenokārt rajona (pilsētas) tiesas Rīgas apgabaltiesas darbības teritorijā, tomēr ir apmeklētas arī tiesas sēdes Liepājā, Daugavpilī, Gulbenē, Limbažos un Valmierā. </w:t>
      </w:r>
      <w:r w:rsidR="00D9283A">
        <w:t xml:space="preserve">Vidēji Maksātnespējas administrācija apmeklē 40% no tiesas sēdēm, kurās būtu jāierodas un jāpārstāv valsts intereses. </w:t>
      </w:r>
      <w:r w:rsidRPr="00616E82">
        <w:t>Ierobežotu resursu dēļ 2016</w:t>
      </w:r>
      <w:r w:rsidR="00445B8A">
        <w:t>. </w:t>
      </w:r>
      <w:r w:rsidRPr="00616E82">
        <w:t>gadā Maksātnespējas administrācija ir piedalījusies tikai trijās kreditoru sapulcēs</w:t>
      </w:r>
      <w:r w:rsidR="00D9283A">
        <w:t>, kas ir apmēram 1% no visām notiekošajām kreditoru sapulcēm gadā</w:t>
      </w:r>
      <w:r w:rsidRPr="00616E82">
        <w:t>, lai arī kreditoru sapulcēs pieņemto lēmumu preventīvā kontrole ir atzīstama par efektīvu uzraudzības mehānismu. Tāpat jāņem vērā, ka uzraudzības pasākumi prakses vietās dažādos Latvijas reģionos, kā arī tiesas sēžu ap</w:t>
      </w:r>
      <w:r w:rsidR="005C23A8">
        <w:t>meklējumi sakritīs vienlaicīgi.</w:t>
      </w:r>
    </w:p>
    <w:p w:rsidR="005C23A8" w:rsidRPr="00616E82" w:rsidRDefault="00D9283A" w:rsidP="00745475">
      <w:pPr>
        <w:spacing w:before="60"/>
        <w:ind w:firstLine="720"/>
        <w:jc w:val="both"/>
      </w:pPr>
      <w:r>
        <w:t xml:space="preserve">Ņemot vērā visus norādītos </w:t>
      </w:r>
      <w:r w:rsidR="000545B4">
        <w:t>apstākļus</w:t>
      </w:r>
      <w:r>
        <w:t xml:space="preserve">, </w:t>
      </w:r>
      <w:r w:rsidR="005C23A8" w:rsidRPr="00616E82">
        <w:t xml:space="preserve">efektīvai uzdevuma izpildei ir nepieciešamas divas automašīnas, kuras vajadzīgas gan nokļūšanai līdz pārbaudes veikšanas vietām, gan nokļūšanai uz tiesas sēdēm un kreditoru sapulcēm. </w:t>
      </w:r>
      <w:r w:rsidR="00554922">
        <w:t>Maksātnespējas administrācijas rīcībā tai noteikto funkciju veikšanai šobrīd ir viena automašīna, kura ir iegādāta</w:t>
      </w:r>
      <w:r w:rsidR="002D6DCD">
        <w:t>, izveidojot iestādi 2002</w:t>
      </w:r>
      <w:r w:rsidR="00554922">
        <w:t>. gadā, un, pēc 15 gadu ekspluatācijas tās tehniskais stāvoklis ļauj to izmanot tikai Rīgas robežās</w:t>
      </w:r>
      <w:r>
        <w:t>, un arī tikai gadījumos, ja tā neatrodas remontā</w:t>
      </w:r>
      <w:r w:rsidR="00554922">
        <w:t xml:space="preserve">. Nodarbinātie, kuriem ir jādodas uz tiesas sēdēm vai kreditoru sapulcēm ārpus Rīgas, izmanto personīgās automašīnas vai sabiedrisko transportu. Šāda prakse nav īpaši efektīva, ņemot vērā, ka visiem nodarbinātajiem, kuriem jādodas ārpus Rīgas, nav personīgo automašīnu, un sabiedriskā transporta izmantošana ievērojami paildzina ceļā pavadīto laiku, jo ir jāpielāgojas sabiedriskā transporta </w:t>
      </w:r>
      <w:r>
        <w:t xml:space="preserve">kursēšanas </w:t>
      </w:r>
      <w:r w:rsidR="00554922">
        <w:t xml:space="preserve">grafikam. Šo vienīgo automašīnu ir paredzēts atsavināt normatīvajā regulējumā paredzētajā kārtībā pēc nomas automašīnu </w:t>
      </w:r>
      <w:r w:rsidR="00E0219B">
        <w:t>ekspluatācijas uzsākšanas un tad Maksātnespējas administrācijas rīcībā būs divas automašīnas.</w:t>
      </w:r>
    </w:p>
    <w:p w:rsidR="00497B34" w:rsidRDefault="005C23A8" w:rsidP="008B49D5">
      <w:pPr>
        <w:spacing w:before="60"/>
        <w:ind w:firstLine="720"/>
        <w:jc w:val="both"/>
      </w:pPr>
      <w:r w:rsidRPr="00555634">
        <w:t>Saskaņā ar 2012.</w:t>
      </w:r>
      <w:r w:rsidR="00F825E8">
        <w:t> </w:t>
      </w:r>
      <w:r w:rsidRPr="00555634">
        <w:t>gada 11.</w:t>
      </w:r>
      <w:r w:rsidR="00F825E8">
        <w:t> </w:t>
      </w:r>
      <w:r w:rsidRPr="00555634">
        <w:t>oktobra Ministru kabineta instrukcijā Nr.</w:t>
      </w:r>
      <w:r w:rsidR="00F825E8">
        <w:t> </w:t>
      </w:r>
      <w:r w:rsidRPr="00555634">
        <w:t xml:space="preserve">12 "Dienesta vieglo automobiļu iegādes un nomas kārtība" noteikto, Maksātnespējas administrācijai ir tiesības nomāt </w:t>
      </w:r>
      <w:proofErr w:type="spellStart"/>
      <w:r w:rsidRPr="00555634">
        <w:t>kompaktklases</w:t>
      </w:r>
      <w:proofErr w:type="spellEnd"/>
      <w:r w:rsidRPr="00555634">
        <w:t xml:space="preserve"> automašīnas līdz 545</w:t>
      </w:r>
      <w:r w:rsidR="00F825E8">
        <w:t> </w:t>
      </w:r>
      <w:proofErr w:type="spellStart"/>
      <w:r w:rsidR="001A2814">
        <w:rPr>
          <w:i/>
        </w:rPr>
        <w:t>eu</w:t>
      </w:r>
      <w:r w:rsidRPr="00555634">
        <w:rPr>
          <w:i/>
        </w:rPr>
        <w:t>ro</w:t>
      </w:r>
      <w:proofErr w:type="spellEnd"/>
      <w:r w:rsidRPr="00555634">
        <w:t xml:space="preserve"> (</w:t>
      </w:r>
      <w:r>
        <w:t xml:space="preserve">ar </w:t>
      </w:r>
      <w:r w:rsidRPr="00555634">
        <w:t>pievienotās vērtības nodok</w:t>
      </w:r>
      <w:r>
        <w:t>li 660</w:t>
      </w:r>
      <w:r w:rsidR="00F825E8">
        <w:t> </w:t>
      </w:r>
      <w:proofErr w:type="spellStart"/>
      <w:r w:rsidRPr="00555634">
        <w:rPr>
          <w:i/>
        </w:rPr>
        <w:t>euro</w:t>
      </w:r>
      <w:proofErr w:type="spellEnd"/>
      <w:r w:rsidRPr="00555634">
        <w:t xml:space="preserve">) mēnesī, vai iegādāties to par </w:t>
      </w:r>
      <w:r>
        <w:t xml:space="preserve">maksimums </w:t>
      </w:r>
      <w:r w:rsidRPr="00555634">
        <w:t>18 000</w:t>
      </w:r>
      <w:r w:rsidR="00F825E8">
        <w:t> </w:t>
      </w:r>
      <w:proofErr w:type="spellStart"/>
      <w:r w:rsidRPr="00555634">
        <w:rPr>
          <w:i/>
        </w:rPr>
        <w:t>e</w:t>
      </w:r>
      <w:r w:rsidR="001A2814">
        <w:rPr>
          <w:i/>
        </w:rPr>
        <w:t>u</w:t>
      </w:r>
      <w:r w:rsidRPr="00555634">
        <w:rPr>
          <w:i/>
        </w:rPr>
        <w:t>ro</w:t>
      </w:r>
      <w:proofErr w:type="spellEnd"/>
      <w:r w:rsidRPr="00555634">
        <w:t xml:space="preserve"> (</w:t>
      </w:r>
      <w:r>
        <w:t>ar</w:t>
      </w:r>
      <w:r w:rsidRPr="00555634">
        <w:t xml:space="preserve"> pievienotās vērtības nodok</w:t>
      </w:r>
      <w:r>
        <w:t>li 21 780</w:t>
      </w:r>
      <w:r w:rsidR="00F825E8">
        <w:t> </w:t>
      </w:r>
      <w:proofErr w:type="spellStart"/>
      <w:r w:rsidRPr="00555634">
        <w:rPr>
          <w:i/>
        </w:rPr>
        <w:t>euro</w:t>
      </w:r>
      <w:proofErr w:type="spellEnd"/>
      <w:r w:rsidRPr="00555634">
        <w:t xml:space="preserve">). </w:t>
      </w:r>
      <w:r>
        <w:t>Ņ</w:t>
      </w:r>
      <w:r w:rsidRPr="001E66BE">
        <w:t xml:space="preserve">emot vērā ekonomisko izvērtējumu </w:t>
      </w:r>
      <w:proofErr w:type="gramStart"/>
      <w:r>
        <w:t>(</w:t>
      </w:r>
      <w:proofErr w:type="gramEnd"/>
      <w:r>
        <w:t>skat. Tabulu Nr.</w:t>
      </w:r>
      <w:r w:rsidR="00F825E8">
        <w:t> </w:t>
      </w:r>
      <w:r w:rsidR="00B0677F">
        <w:t>2</w:t>
      </w:r>
      <w:r>
        <w:t xml:space="preserve">), automašīnas </w:t>
      </w:r>
      <w:r w:rsidR="008B49D5">
        <w:t xml:space="preserve">izdevīgāk ir </w:t>
      </w:r>
      <w:r w:rsidR="00952757">
        <w:t>nomāt</w:t>
      </w:r>
      <w:r w:rsidR="008B49D5">
        <w:t xml:space="preserve"> nevis </w:t>
      </w:r>
      <w:r w:rsidR="00952757">
        <w:t>pirkt</w:t>
      </w:r>
      <w:r w:rsidR="008B49D5">
        <w:t>.</w:t>
      </w:r>
    </w:p>
    <w:p w:rsidR="00497B34" w:rsidRPr="008C64B0" w:rsidRDefault="005C23A8" w:rsidP="002E7F87">
      <w:pPr>
        <w:spacing w:before="120"/>
        <w:ind w:firstLine="720"/>
        <w:jc w:val="right"/>
      </w:pPr>
      <w:r w:rsidRPr="008C64B0">
        <w:t>Tabula Nr.</w:t>
      </w:r>
      <w:r w:rsidR="00F825E8">
        <w:t> </w:t>
      </w:r>
      <w:r w:rsidR="00B0677F">
        <w:t>2</w:t>
      </w:r>
    </w:p>
    <w:p w:rsidR="00497B34" w:rsidRDefault="005C23A8" w:rsidP="008B49D5">
      <w:pPr>
        <w:spacing w:before="120" w:after="60"/>
        <w:jc w:val="center"/>
        <w:rPr>
          <w:b/>
        </w:rPr>
      </w:pPr>
      <w:r>
        <w:rPr>
          <w:b/>
        </w:rPr>
        <w:t>Automašīnu i</w:t>
      </w:r>
      <w:r w:rsidR="008B49D5">
        <w:rPr>
          <w:b/>
        </w:rPr>
        <w:t>egādes ekonomiskais izvērtējums</w:t>
      </w:r>
    </w:p>
    <w:tbl>
      <w:tblPr>
        <w:tblW w:w="5949" w:type="dxa"/>
        <w:jc w:val="center"/>
        <w:tblLook w:val="04A0" w:firstRow="1" w:lastRow="0" w:firstColumn="1" w:lastColumn="0" w:noHBand="0" w:noVBand="1"/>
      </w:tblPr>
      <w:tblGrid>
        <w:gridCol w:w="2820"/>
        <w:gridCol w:w="719"/>
        <w:gridCol w:w="709"/>
        <w:gridCol w:w="709"/>
        <w:gridCol w:w="992"/>
      </w:tblGrid>
      <w:tr w:rsidR="003D539B" w:rsidRPr="003D539B" w:rsidTr="0094661D">
        <w:trPr>
          <w:trHeight w:val="136"/>
          <w:jc w:val="center"/>
        </w:trPr>
        <w:tc>
          <w:tcPr>
            <w:tcW w:w="2820" w:type="dxa"/>
            <w:vMerge w:val="restart"/>
            <w:tcBorders>
              <w:top w:val="single" w:sz="4" w:space="0" w:color="auto"/>
              <w:left w:val="single" w:sz="4" w:space="0" w:color="auto"/>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Izdevumi nomas mašīnai</w:t>
            </w:r>
          </w:p>
        </w:tc>
        <w:tc>
          <w:tcPr>
            <w:tcW w:w="2137" w:type="dxa"/>
            <w:gridSpan w:val="3"/>
            <w:tcBorders>
              <w:top w:val="single" w:sz="4" w:space="0" w:color="auto"/>
              <w:left w:val="nil"/>
              <w:bottom w:val="single" w:sz="4" w:space="0" w:color="auto"/>
              <w:right w:val="single" w:sz="4" w:space="0" w:color="000000"/>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Gads</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538DD5"/>
            <w:vAlign w:val="center"/>
            <w:hideMark/>
          </w:tcPr>
          <w:p w:rsidR="003D539B" w:rsidRPr="003D539B" w:rsidRDefault="003D539B" w:rsidP="003D539B">
            <w:pPr>
              <w:jc w:val="center"/>
              <w:rPr>
                <w:b/>
                <w:bCs/>
                <w:color w:val="000000"/>
                <w:sz w:val="16"/>
                <w:szCs w:val="16"/>
              </w:rPr>
            </w:pPr>
            <w:r w:rsidRPr="003D539B">
              <w:rPr>
                <w:b/>
                <w:bCs/>
                <w:color w:val="000000"/>
                <w:sz w:val="16"/>
                <w:szCs w:val="16"/>
              </w:rPr>
              <w:t>Kopā 3 gados izdevumi</w:t>
            </w:r>
          </w:p>
        </w:tc>
      </w:tr>
      <w:tr w:rsidR="003D539B" w:rsidRPr="003D539B" w:rsidTr="0094661D">
        <w:trPr>
          <w:trHeight w:val="57"/>
          <w:jc w:val="center"/>
        </w:trPr>
        <w:tc>
          <w:tcPr>
            <w:tcW w:w="2820" w:type="dxa"/>
            <w:vMerge/>
            <w:tcBorders>
              <w:top w:val="single" w:sz="4" w:space="0" w:color="auto"/>
              <w:left w:val="single" w:sz="4" w:space="0" w:color="auto"/>
              <w:bottom w:val="single" w:sz="4" w:space="0" w:color="auto"/>
              <w:right w:val="single" w:sz="4" w:space="0" w:color="auto"/>
            </w:tcBorders>
            <w:vAlign w:val="center"/>
            <w:hideMark/>
          </w:tcPr>
          <w:p w:rsidR="003D539B" w:rsidRPr="003D539B" w:rsidRDefault="003D539B" w:rsidP="003D539B">
            <w:pPr>
              <w:rPr>
                <w:b/>
                <w:bCs/>
                <w:color w:val="000000"/>
                <w:sz w:val="16"/>
                <w:szCs w:val="16"/>
              </w:rPr>
            </w:pPr>
          </w:p>
        </w:tc>
        <w:tc>
          <w:tcPr>
            <w:tcW w:w="71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2018</w:t>
            </w:r>
          </w:p>
        </w:tc>
        <w:tc>
          <w:tcPr>
            <w:tcW w:w="70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2019</w:t>
            </w:r>
          </w:p>
        </w:tc>
        <w:tc>
          <w:tcPr>
            <w:tcW w:w="70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2020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Noma 660x12mēneši</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7 913</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7 913</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7 913</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Degviela</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Stāvvieta, mazgāšanas šķidrums u.c.</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000000" w:fill="8DB4E2"/>
            <w:noWrap/>
            <w:vAlign w:val="center"/>
            <w:hideMark/>
          </w:tcPr>
          <w:p w:rsidR="003D539B" w:rsidRPr="003D539B" w:rsidRDefault="003D539B" w:rsidP="0094661D">
            <w:pPr>
              <w:jc w:val="right"/>
              <w:rPr>
                <w:b/>
                <w:bCs/>
                <w:color w:val="000000"/>
                <w:sz w:val="16"/>
                <w:szCs w:val="16"/>
              </w:rPr>
            </w:pPr>
            <w:r w:rsidRPr="003D539B">
              <w:rPr>
                <w:b/>
                <w:bCs/>
                <w:color w:val="000000"/>
                <w:sz w:val="16"/>
                <w:szCs w:val="16"/>
              </w:rPr>
              <w:t>Kopā gadā viena mašīna</w:t>
            </w:r>
          </w:p>
        </w:tc>
        <w:tc>
          <w:tcPr>
            <w:tcW w:w="71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10 753</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10 753</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10 753</w:t>
            </w:r>
          </w:p>
        </w:tc>
        <w:tc>
          <w:tcPr>
            <w:tcW w:w="992"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1F1322">
            <w:pPr>
              <w:jc w:val="center"/>
              <w:rPr>
                <w:color w:val="000000"/>
                <w:sz w:val="16"/>
                <w:szCs w:val="16"/>
              </w:rPr>
            </w:pPr>
            <w:r w:rsidRPr="003D539B">
              <w:rPr>
                <w:color w:val="000000"/>
                <w:sz w:val="16"/>
                <w:szCs w:val="16"/>
              </w:rPr>
              <w:t>32 2</w:t>
            </w:r>
            <w:r w:rsidR="001F1322">
              <w:rPr>
                <w:color w:val="000000"/>
                <w:sz w:val="16"/>
                <w:szCs w:val="16"/>
              </w:rPr>
              <w:t>59</w:t>
            </w: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000000" w:fill="8DB4E2"/>
            <w:noWrap/>
            <w:vAlign w:val="center"/>
            <w:hideMark/>
          </w:tcPr>
          <w:p w:rsidR="003D539B" w:rsidRPr="003D539B" w:rsidRDefault="003D539B" w:rsidP="0094661D">
            <w:pPr>
              <w:jc w:val="right"/>
              <w:rPr>
                <w:b/>
                <w:bCs/>
                <w:color w:val="000000"/>
                <w:sz w:val="16"/>
                <w:szCs w:val="16"/>
              </w:rPr>
            </w:pPr>
            <w:r w:rsidRPr="003D539B">
              <w:rPr>
                <w:b/>
                <w:bCs/>
                <w:color w:val="000000"/>
                <w:sz w:val="16"/>
                <w:szCs w:val="16"/>
              </w:rPr>
              <w:t>Kopā gadā divas mašīnas</w:t>
            </w:r>
          </w:p>
        </w:tc>
        <w:tc>
          <w:tcPr>
            <w:tcW w:w="71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1F1322">
            <w:pPr>
              <w:jc w:val="center"/>
              <w:rPr>
                <w:color w:val="000000"/>
                <w:sz w:val="16"/>
                <w:szCs w:val="16"/>
              </w:rPr>
            </w:pPr>
            <w:r w:rsidRPr="003D539B">
              <w:rPr>
                <w:color w:val="000000"/>
                <w:sz w:val="16"/>
                <w:szCs w:val="16"/>
              </w:rPr>
              <w:t>21 50</w:t>
            </w:r>
            <w:r w:rsidR="001F1322">
              <w:rPr>
                <w:color w:val="000000"/>
                <w:sz w:val="16"/>
                <w:szCs w:val="16"/>
              </w:rPr>
              <w:t>6</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1F1322">
            <w:pPr>
              <w:jc w:val="center"/>
              <w:rPr>
                <w:color w:val="000000"/>
                <w:sz w:val="16"/>
                <w:szCs w:val="16"/>
              </w:rPr>
            </w:pPr>
            <w:r w:rsidRPr="003D539B">
              <w:rPr>
                <w:color w:val="000000"/>
                <w:sz w:val="16"/>
                <w:szCs w:val="16"/>
              </w:rPr>
              <w:t>21 50</w:t>
            </w:r>
            <w:r w:rsidR="001F1322">
              <w:rPr>
                <w:color w:val="000000"/>
                <w:sz w:val="16"/>
                <w:szCs w:val="16"/>
              </w:rPr>
              <w:t>6</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1F1322">
            <w:pPr>
              <w:jc w:val="center"/>
              <w:rPr>
                <w:color w:val="000000"/>
                <w:sz w:val="16"/>
                <w:szCs w:val="16"/>
              </w:rPr>
            </w:pPr>
            <w:r w:rsidRPr="003D539B">
              <w:rPr>
                <w:color w:val="000000"/>
                <w:sz w:val="16"/>
                <w:szCs w:val="16"/>
              </w:rPr>
              <w:t>21 50</w:t>
            </w:r>
            <w:r w:rsidR="001F1322">
              <w:rPr>
                <w:color w:val="000000"/>
                <w:sz w:val="16"/>
                <w:szCs w:val="16"/>
              </w:rPr>
              <w:t>6</w:t>
            </w:r>
          </w:p>
        </w:tc>
        <w:tc>
          <w:tcPr>
            <w:tcW w:w="992"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1F1322">
            <w:pPr>
              <w:jc w:val="center"/>
              <w:rPr>
                <w:color w:val="000000"/>
                <w:sz w:val="16"/>
                <w:szCs w:val="16"/>
              </w:rPr>
            </w:pPr>
            <w:r w:rsidRPr="003D539B">
              <w:rPr>
                <w:color w:val="000000"/>
                <w:sz w:val="16"/>
                <w:szCs w:val="16"/>
              </w:rPr>
              <w:t>64 5</w:t>
            </w:r>
            <w:r w:rsidR="001F1322">
              <w:rPr>
                <w:color w:val="000000"/>
                <w:sz w:val="16"/>
                <w:szCs w:val="16"/>
              </w:rPr>
              <w:t>18</w:t>
            </w: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Izdevu</w:t>
            </w:r>
            <w:r w:rsidR="0094661D">
              <w:rPr>
                <w:b/>
                <w:bCs/>
                <w:color w:val="000000"/>
                <w:sz w:val="16"/>
                <w:szCs w:val="16"/>
              </w:rPr>
              <w:t>mi mašīnas iegādei</w:t>
            </w:r>
            <w:r w:rsidRPr="003D539B">
              <w:rPr>
                <w:b/>
                <w:bCs/>
                <w:color w:val="000000"/>
                <w:sz w:val="16"/>
                <w:szCs w:val="16"/>
              </w:rPr>
              <w:t xml:space="preserve"> īpašumā</w:t>
            </w:r>
          </w:p>
        </w:tc>
        <w:tc>
          <w:tcPr>
            <w:tcW w:w="71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2018</w:t>
            </w:r>
          </w:p>
        </w:tc>
        <w:tc>
          <w:tcPr>
            <w:tcW w:w="70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2019</w:t>
            </w:r>
          </w:p>
        </w:tc>
        <w:tc>
          <w:tcPr>
            <w:tcW w:w="709"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2020</w:t>
            </w:r>
          </w:p>
        </w:tc>
        <w:tc>
          <w:tcPr>
            <w:tcW w:w="992" w:type="dxa"/>
            <w:tcBorders>
              <w:top w:val="nil"/>
              <w:left w:val="nil"/>
              <w:bottom w:val="single" w:sz="4" w:space="0" w:color="auto"/>
              <w:right w:val="single" w:sz="4" w:space="0" w:color="auto"/>
            </w:tcBorders>
            <w:shd w:val="clear" w:color="000000" w:fill="538DD5"/>
            <w:noWrap/>
            <w:vAlign w:val="center"/>
            <w:hideMark/>
          </w:tcPr>
          <w:p w:rsidR="003D539B" w:rsidRPr="003D539B" w:rsidRDefault="003D539B" w:rsidP="003D539B">
            <w:pPr>
              <w:jc w:val="center"/>
              <w:rPr>
                <w:b/>
                <w:bCs/>
                <w:color w:val="000000"/>
                <w:sz w:val="16"/>
                <w:szCs w:val="16"/>
              </w:rPr>
            </w:pPr>
            <w:r w:rsidRPr="003D539B">
              <w:rPr>
                <w:b/>
                <w:bCs/>
                <w:color w:val="000000"/>
                <w:sz w:val="16"/>
                <w:szCs w:val="16"/>
              </w:rPr>
              <w:t> </w:t>
            </w: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Pirkšanas cena</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21 780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000000" w:fill="538DD5"/>
            <w:vAlign w:val="center"/>
            <w:hideMark/>
          </w:tcPr>
          <w:p w:rsidR="003D539B" w:rsidRPr="003D539B" w:rsidRDefault="003D539B" w:rsidP="00F806A1">
            <w:pPr>
              <w:jc w:val="center"/>
              <w:rPr>
                <w:b/>
                <w:bCs/>
                <w:color w:val="000000"/>
                <w:sz w:val="16"/>
                <w:szCs w:val="16"/>
              </w:rPr>
            </w:pPr>
            <w:r w:rsidRPr="003D539B">
              <w:rPr>
                <w:b/>
                <w:bCs/>
                <w:color w:val="000000"/>
                <w:sz w:val="16"/>
                <w:szCs w:val="16"/>
              </w:rPr>
              <w:t>Kopā 3 gados izdevumi</w:t>
            </w: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Ikgadējais nodoklis un tehniskā apskate</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150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150</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OCTA+KASKO</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450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450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450</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Apkopes</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100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Riepas</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800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 </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Degviela</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2 640</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auto" w:fill="auto"/>
            <w:noWrap/>
            <w:vAlign w:val="center"/>
            <w:hideMark/>
          </w:tcPr>
          <w:p w:rsidR="003D539B" w:rsidRPr="003D539B" w:rsidRDefault="003D539B" w:rsidP="003D539B">
            <w:pPr>
              <w:rPr>
                <w:color w:val="000000"/>
                <w:sz w:val="16"/>
                <w:szCs w:val="16"/>
              </w:rPr>
            </w:pPr>
            <w:r w:rsidRPr="003D539B">
              <w:rPr>
                <w:color w:val="000000"/>
                <w:sz w:val="16"/>
                <w:szCs w:val="16"/>
              </w:rPr>
              <w:t>Stāvvieta, mazgāšanas šķidrums u.c.</w:t>
            </w:r>
          </w:p>
        </w:tc>
        <w:tc>
          <w:tcPr>
            <w:tcW w:w="71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709" w:type="dxa"/>
            <w:tcBorders>
              <w:top w:val="nil"/>
              <w:left w:val="nil"/>
              <w:bottom w:val="single" w:sz="4" w:space="0" w:color="auto"/>
              <w:right w:val="single" w:sz="4" w:space="0" w:color="auto"/>
            </w:tcBorders>
            <w:shd w:val="clear" w:color="auto" w:fill="auto"/>
            <w:noWrap/>
            <w:vAlign w:val="center"/>
            <w:hideMark/>
          </w:tcPr>
          <w:p w:rsidR="003D539B" w:rsidRPr="003D539B" w:rsidRDefault="003D539B" w:rsidP="003D539B">
            <w:pPr>
              <w:jc w:val="right"/>
              <w:rPr>
                <w:color w:val="000000"/>
                <w:sz w:val="16"/>
                <w:szCs w:val="16"/>
              </w:rPr>
            </w:pPr>
            <w:r w:rsidRPr="003D539B">
              <w:rPr>
                <w:color w:val="000000"/>
                <w:sz w:val="16"/>
                <w:szCs w:val="16"/>
              </w:rPr>
              <w:t>200</w:t>
            </w:r>
          </w:p>
        </w:tc>
        <w:tc>
          <w:tcPr>
            <w:tcW w:w="992" w:type="dxa"/>
            <w:vMerge/>
            <w:tcBorders>
              <w:top w:val="nil"/>
              <w:left w:val="single" w:sz="4" w:space="0" w:color="auto"/>
              <w:bottom w:val="single" w:sz="4" w:space="0" w:color="000000"/>
              <w:right w:val="single" w:sz="4" w:space="0" w:color="auto"/>
            </w:tcBorders>
            <w:vAlign w:val="center"/>
            <w:hideMark/>
          </w:tcPr>
          <w:p w:rsidR="003D539B" w:rsidRPr="003D539B" w:rsidRDefault="003D539B" w:rsidP="003D539B">
            <w:pPr>
              <w:rPr>
                <w:b/>
                <w:bCs/>
                <w:color w:val="000000"/>
                <w:sz w:val="16"/>
                <w:szCs w:val="16"/>
              </w:rPr>
            </w:pP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000000" w:fill="8DB4E2"/>
            <w:noWrap/>
            <w:vAlign w:val="center"/>
            <w:hideMark/>
          </w:tcPr>
          <w:p w:rsidR="003D539B" w:rsidRPr="003D539B" w:rsidRDefault="003D539B" w:rsidP="0094661D">
            <w:pPr>
              <w:jc w:val="right"/>
              <w:rPr>
                <w:b/>
                <w:bCs/>
                <w:color w:val="000000"/>
                <w:sz w:val="16"/>
                <w:szCs w:val="16"/>
              </w:rPr>
            </w:pPr>
            <w:r w:rsidRPr="003D539B">
              <w:rPr>
                <w:b/>
                <w:bCs/>
                <w:color w:val="000000"/>
                <w:sz w:val="16"/>
                <w:szCs w:val="16"/>
              </w:rPr>
              <w:t>Kopā gadā viena mašīna</w:t>
            </w:r>
          </w:p>
        </w:tc>
        <w:tc>
          <w:tcPr>
            <w:tcW w:w="71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25 320</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4 440</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3 640</w:t>
            </w:r>
          </w:p>
        </w:tc>
        <w:tc>
          <w:tcPr>
            <w:tcW w:w="992"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33 400</w:t>
            </w:r>
          </w:p>
        </w:tc>
      </w:tr>
      <w:tr w:rsidR="003D539B" w:rsidRPr="003D539B" w:rsidTr="0094661D">
        <w:trPr>
          <w:trHeight w:val="57"/>
          <w:jc w:val="center"/>
        </w:trPr>
        <w:tc>
          <w:tcPr>
            <w:tcW w:w="2820" w:type="dxa"/>
            <w:tcBorders>
              <w:top w:val="nil"/>
              <w:left w:val="single" w:sz="4" w:space="0" w:color="auto"/>
              <w:bottom w:val="single" w:sz="4" w:space="0" w:color="auto"/>
              <w:right w:val="single" w:sz="4" w:space="0" w:color="auto"/>
            </w:tcBorders>
            <w:shd w:val="clear" w:color="000000" w:fill="8DB4E2"/>
            <w:noWrap/>
            <w:vAlign w:val="center"/>
            <w:hideMark/>
          </w:tcPr>
          <w:p w:rsidR="003D539B" w:rsidRPr="003D539B" w:rsidRDefault="003D539B" w:rsidP="0094661D">
            <w:pPr>
              <w:jc w:val="right"/>
              <w:rPr>
                <w:b/>
                <w:bCs/>
                <w:color w:val="000000"/>
                <w:sz w:val="16"/>
                <w:szCs w:val="16"/>
              </w:rPr>
            </w:pPr>
            <w:r w:rsidRPr="003D539B">
              <w:rPr>
                <w:b/>
                <w:bCs/>
                <w:color w:val="000000"/>
                <w:sz w:val="16"/>
                <w:szCs w:val="16"/>
              </w:rPr>
              <w:t>Kopā gadā divas mašīnas</w:t>
            </w:r>
          </w:p>
        </w:tc>
        <w:tc>
          <w:tcPr>
            <w:tcW w:w="71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50 640</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8 880</w:t>
            </w:r>
          </w:p>
        </w:tc>
        <w:tc>
          <w:tcPr>
            <w:tcW w:w="709"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7 280</w:t>
            </w:r>
          </w:p>
        </w:tc>
        <w:tc>
          <w:tcPr>
            <w:tcW w:w="992" w:type="dxa"/>
            <w:tcBorders>
              <w:top w:val="nil"/>
              <w:left w:val="nil"/>
              <w:bottom w:val="single" w:sz="4" w:space="0" w:color="auto"/>
              <w:right w:val="single" w:sz="4" w:space="0" w:color="auto"/>
            </w:tcBorders>
            <w:shd w:val="clear" w:color="000000" w:fill="8DB4E2"/>
            <w:noWrap/>
            <w:vAlign w:val="center"/>
            <w:hideMark/>
          </w:tcPr>
          <w:p w:rsidR="003D539B" w:rsidRPr="003D539B" w:rsidRDefault="003D539B" w:rsidP="003D539B">
            <w:pPr>
              <w:jc w:val="center"/>
              <w:rPr>
                <w:color w:val="000000"/>
                <w:sz w:val="16"/>
                <w:szCs w:val="16"/>
              </w:rPr>
            </w:pPr>
            <w:r w:rsidRPr="003D539B">
              <w:rPr>
                <w:color w:val="000000"/>
                <w:sz w:val="16"/>
                <w:szCs w:val="16"/>
              </w:rPr>
              <w:t>66 800</w:t>
            </w:r>
          </w:p>
        </w:tc>
      </w:tr>
    </w:tbl>
    <w:p w:rsidR="001A2814" w:rsidRDefault="001A2814" w:rsidP="00B70800">
      <w:pPr>
        <w:spacing w:before="60"/>
        <w:ind w:firstLine="720"/>
        <w:jc w:val="both"/>
      </w:pPr>
    </w:p>
    <w:p w:rsidR="005C23A8" w:rsidRDefault="005C23A8" w:rsidP="001A2814">
      <w:pPr>
        <w:ind w:firstLine="720"/>
        <w:jc w:val="both"/>
      </w:pPr>
      <w:r w:rsidRPr="001E66BE">
        <w:t xml:space="preserve">Ņemot vērā minēto, Maksātnespējas administrācijai nepieciešams papildus piešķirt </w:t>
      </w:r>
      <w:r w:rsidR="0064722E">
        <w:t>18 66</w:t>
      </w:r>
      <w:r w:rsidR="00BD6FE2">
        <w:t>6</w:t>
      </w:r>
      <w:r w:rsidR="006B068A">
        <w:t> </w:t>
      </w:r>
      <w:proofErr w:type="spellStart"/>
      <w:r w:rsidRPr="008624CC">
        <w:rPr>
          <w:i/>
        </w:rPr>
        <w:t>euro</w:t>
      </w:r>
      <w:proofErr w:type="spellEnd"/>
      <w:r>
        <w:t xml:space="preserve"> (</w:t>
      </w:r>
      <w:r w:rsidR="0064722E">
        <w:t>7 913</w:t>
      </w:r>
      <w:r>
        <w:t xml:space="preserve"> x 2 automašīnas</w:t>
      </w:r>
      <w:r w:rsidR="00410697">
        <w:t xml:space="preserve"> </w:t>
      </w:r>
      <w:r>
        <w:t>=</w:t>
      </w:r>
      <w:r w:rsidR="00410697">
        <w:t xml:space="preserve"> </w:t>
      </w:r>
      <w:r w:rsidR="0064722E">
        <w:t>15 82</w:t>
      </w:r>
      <w:r w:rsidR="00BD6FE2">
        <w:t>6</w:t>
      </w:r>
      <w:r w:rsidR="006B068A">
        <w:t> </w:t>
      </w:r>
      <w:proofErr w:type="spellStart"/>
      <w:r w:rsidRPr="008624CC">
        <w:rPr>
          <w:i/>
        </w:rPr>
        <w:t>euro</w:t>
      </w:r>
      <w:proofErr w:type="spellEnd"/>
      <w:r w:rsidR="00C40180">
        <w:rPr>
          <w:i/>
        </w:rPr>
        <w:t xml:space="preserve"> </w:t>
      </w:r>
      <w:r w:rsidR="0064722E">
        <w:t xml:space="preserve">nomai </w:t>
      </w:r>
      <w:r w:rsidR="00C40180">
        <w:t xml:space="preserve">+ uzturēšanas izdevumi </w:t>
      </w:r>
      <w:r w:rsidR="0064722E">
        <w:t xml:space="preserve">2 </w:t>
      </w:r>
      <w:r w:rsidR="00BD6FE2">
        <w:t>8</w:t>
      </w:r>
      <w:r w:rsidR="0064722E">
        <w:t>40</w:t>
      </w:r>
      <w:r w:rsidR="006B068A">
        <w:t> </w:t>
      </w:r>
      <w:proofErr w:type="spellStart"/>
      <w:r w:rsidR="00C40180" w:rsidRPr="00C40180">
        <w:rPr>
          <w:i/>
        </w:rPr>
        <w:t>euro</w:t>
      </w:r>
      <w:proofErr w:type="spellEnd"/>
      <w:r>
        <w:t>)</w:t>
      </w:r>
      <w:r w:rsidRPr="001E66BE">
        <w:t xml:space="preserve"> automašīnu </w:t>
      </w:r>
      <w:r w:rsidR="0064722E">
        <w:t>nomai</w:t>
      </w:r>
      <w:r>
        <w:t xml:space="preserve"> </w:t>
      </w:r>
      <w:r w:rsidR="006F4C92">
        <w:t>un uzturēšanai</w:t>
      </w:r>
      <w:r w:rsidR="00692841">
        <w:t>,</w:t>
      </w:r>
      <w:r w:rsidR="006F4C92">
        <w:t xml:space="preserve"> </w:t>
      </w:r>
      <w:r w:rsidR="001233DE">
        <w:t xml:space="preserve">sākot </w:t>
      </w:r>
      <w:r w:rsidR="0064722E">
        <w:t>no</w:t>
      </w:r>
      <w:r w:rsidR="001233DE">
        <w:t xml:space="preserve"> 201</w:t>
      </w:r>
      <w:r w:rsidR="0064722E">
        <w:t>8</w:t>
      </w:r>
      <w:r w:rsidR="001233DE">
        <w:t>. gad</w:t>
      </w:r>
      <w:r w:rsidR="0064722E">
        <w:t>a</w:t>
      </w:r>
      <w:r w:rsidR="00692841">
        <w:t>,</w:t>
      </w:r>
      <w:r w:rsidR="00C40180">
        <w:t xml:space="preserve"> </w:t>
      </w:r>
      <w:r w:rsidR="001233DE">
        <w:t xml:space="preserve">ik </w:t>
      </w:r>
      <w:r w:rsidR="00C40180">
        <w:t>gad</w:t>
      </w:r>
      <w:r w:rsidR="001233DE">
        <w:t>u</w:t>
      </w:r>
      <w:r w:rsidRPr="001E66BE">
        <w:t>.</w:t>
      </w:r>
    </w:p>
    <w:p w:rsidR="00404A24" w:rsidRPr="00404A24" w:rsidRDefault="000938FE" w:rsidP="001A2814">
      <w:pPr>
        <w:spacing w:before="120"/>
        <w:ind w:firstLine="720"/>
        <w:jc w:val="both"/>
        <w:rPr>
          <w:b/>
        </w:rPr>
      </w:pPr>
      <w:r>
        <w:rPr>
          <w:b/>
        </w:rPr>
        <w:t>Pārbaužu veikšanai nepieciešamā finansējuma k</w:t>
      </w:r>
      <w:r w:rsidR="00404A24" w:rsidRPr="00404A24">
        <w:rPr>
          <w:b/>
        </w:rPr>
        <w:t>opsavilkums</w:t>
      </w:r>
    </w:p>
    <w:p w:rsidR="00AC2AA8" w:rsidRDefault="006F4C92" w:rsidP="00534038">
      <w:pPr>
        <w:ind w:firstLine="720"/>
        <w:jc w:val="both"/>
        <w:rPr>
          <w:b/>
          <w:bCs/>
        </w:rPr>
      </w:pPr>
      <w:r w:rsidRPr="00AE41BF">
        <w:rPr>
          <w:noProof/>
          <w:color w:val="000000"/>
        </w:rPr>
        <w:t xml:space="preserve">Ņemot vērā šajā </w:t>
      </w:r>
      <w:r w:rsidR="00C90AD8">
        <w:rPr>
          <w:noProof/>
          <w:color w:val="000000"/>
        </w:rPr>
        <w:t>punktā</w:t>
      </w:r>
      <w:r w:rsidRPr="00AE41BF">
        <w:rPr>
          <w:noProof/>
          <w:color w:val="000000"/>
        </w:rPr>
        <w:t xml:space="preserve"> norādīto, lai nodrošinātu Maksātnespējas likumā noteikto jauno funkciju un tām atbilstošu procedūru norisi, nepieciešams piešķirt </w:t>
      </w:r>
      <w:r w:rsidRPr="00AE41BF">
        <w:rPr>
          <w:noProof/>
        </w:rPr>
        <w:t>četras</w:t>
      </w:r>
      <w:r w:rsidRPr="00AE41BF">
        <w:rPr>
          <w:noProof/>
          <w:color w:val="000000"/>
        </w:rPr>
        <w:t xml:space="preserve"> amata vietas, kā arī papildu finansējum</w:t>
      </w:r>
      <w:r w:rsidR="006B068A">
        <w:rPr>
          <w:noProof/>
          <w:color w:val="000000"/>
        </w:rPr>
        <w:t>u</w:t>
      </w:r>
      <w:r w:rsidRPr="00AE41BF">
        <w:rPr>
          <w:noProof/>
          <w:color w:val="000000"/>
        </w:rPr>
        <w:t xml:space="preserve"> atlīdzībām un automašīnu iegādei.</w:t>
      </w:r>
      <w:r w:rsidR="00AE41BF">
        <w:rPr>
          <w:noProof/>
          <w:color w:val="000000"/>
        </w:rPr>
        <w:t xml:space="preserve"> </w:t>
      </w:r>
      <w:r w:rsidR="00AE41BF" w:rsidRPr="00A97D84">
        <w:rPr>
          <w:b/>
          <w:bCs/>
        </w:rPr>
        <w:t xml:space="preserve">Papildus nepieciešamais finansējums </w:t>
      </w:r>
      <w:r w:rsidR="00AE41BF">
        <w:rPr>
          <w:b/>
          <w:bCs/>
        </w:rPr>
        <w:t>četrām</w:t>
      </w:r>
      <w:r w:rsidR="00AE41BF" w:rsidRPr="00A97D84">
        <w:rPr>
          <w:b/>
          <w:bCs/>
        </w:rPr>
        <w:t xml:space="preserve"> amata vietām</w:t>
      </w:r>
      <w:r w:rsidR="00AE41BF">
        <w:rPr>
          <w:b/>
          <w:bCs/>
        </w:rPr>
        <w:t xml:space="preserve"> un divām automašīnām</w:t>
      </w:r>
      <w:r w:rsidR="00AE41BF" w:rsidRPr="00A97D84">
        <w:rPr>
          <w:b/>
          <w:bCs/>
        </w:rPr>
        <w:t xml:space="preserve"> ir </w:t>
      </w:r>
      <w:r w:rsidR="001A2814">
        <w:rPr>
          <w:b/>
          <w:bCs/>
        </w:rPr>
        <w:t>144 </w:t>
      </w:r>
      <w:r w:rsidR="00692841">
        <w:rPr>
          <w:b/>
          <w:bCs/>
        </w:rPr>
        <w:t>55</w:t>
      </w:r>
      <w:r w:rsidR="007D7B0D">
        <w:rPr>
          <w:b/>
          <w:bCs/>
        </w:rPr>
        <w:t>8</w:t>
      </w:r>
      <w:r w:rsidR="006B068A">
        <w:rPr>
          <w:b/>
          <w:bCs/>
          <w:i/>
        </w:rPr>
        <w:t> </w:t>
      </w:r>
      <w:proofErr w:type="spellStart"/>
      <w:r w:rsidR="00AE41BF" w:rsidRPr="00A97D84">
        <w:rPr>
          <w:b/>
          <w:bCs/>
          <w:i/>
        </w:rPr>
        <w:t>euro</w:t>
      </w:r>
      <w:proofErr w:type="spellEnd"/>
      <w:r w:rsidR="00AE41BF" w:rsidRPr="00A97D84">
        <w:rPr>
          <w:b/>
          <w:bCs/>
        </w:rPr>
        <w:t xml:space="preserve"> 2018.</w:t>
      </w:r>
      <w:r w:rsidR="006B068A">
        <w:rPr>
          <w:b/>
          <w:bCs/>
        </w:rPr>
        <w:t> </w:t>
      </w:r>
      <w:r w:rsidR="00AE41BF" w:rsidRPr="00A97D84">
        <w:rPr>
          <w:b/>
          <w:bCs/>
        </w:rPr>
        <w:t xml:space="preserve">gadā un </w:t>
      </w:r>
      <w:r w:rsidR="001A2814">
        <w:rPr>
          <w:b/>
          <w:bCs/>
        </w:rPr>
        <w:t>134 </w:t>
      </w:r>
      <w:r w:rsidR="00692841">
        <w:rPr>
          <w:b/>
          <w:bCs/>
        </w:rPr>
        <w:t>04</w:t>
      </w:r>
      <w:r w:rsidR="007D7B0D">
        <w:rPr>
          <w:b/>
          <w:bCs/>
        </w:rPr>
        <w:t>8</w:t>
      </w:r>
      <w:r w:rsidR="006B068A">
        <w:rPr>
          <w:b/>
          <w:bCs/>
        </w:rPr>
        <w:t> </w:t>
      </w:r>
      <w:proofErr w:type="spellStart"/>
      <w:r w:rsidR="00AE41BF" w:rsidRPr="00A97D84">
        <w:rPr>
          <w:b/>
          <w:bCs/>
          <w:i/>
        </w:rPr>
        <w:t>euro</w:t>
      </w:r>
      <w:proofErr w:type="spellEnd"/>
      <w:r w:rsidR="00AE41BF" w:rsidRPr="00A97D84">
        <w:rPr>
          <w:b/>
          <w:bCs/>
        </w:rPr>
        <w:t xml:space="preserve"> gadā</w:t>
      </w:r>
      <w:r w:rsidR="006B068A">
        <w:rPr>
          <w:b/>
          <w:bCs/>
        </w:rPr>
        <w:t>,</w:t>
      </w:r>
      <w:r w:rsidR="00AE41BF" w:rsidRPr="00A97D84">
        <w:rPr>
          <w:b/>
          <w:bCs/>
        </w:rPr>
        <w:t xml:space="preserve"> sākot no 2019. gada</w:t>
      </w:r>
      <w:r w:rsidR="006B068A">
        <w:rPr>
          <w:b/>
          <w:bCs/>
        </w:rPr>
        <w:t>,</w:t>
      </w:r>
      <w:r w:rsidR="00AE41BF" w:rsidRPr="00A97D84">
        <w:rPr>
          <w:b/>
          <w:bCs/>
        </w:rPr>
        <w:t xml:space="preserve"> </w:t>
      </w:r>
      <w:r w:rsidR="001233DE">
        <w:rPr>
          <w:b/>
          <w:bCs/>
        </w:rPr>
        <w:t>ik gadu</w:t>
      </w:r>
      <w:r w:rsidR="00AE41BF" w:rsidRPr="00A97D84">
        <w:rPr>
          <w:b/>
          <w:bCs/>
        </w:rPr>
        <w:t>.</w:t>
      </w:r>
    </w:p>
    <w:p w:rsidR="001A2814" w:rsidRDefault="001A2814" w:rsidP="001A2814">
      <w:pPr>
        <w:ind w:firstLine="720"/>
        <w:jc w:val="both"/>
        <w:rPr>
          <w:b/>
          <w:bCs/>
        </w:rPr>
      </w:pPr>
    </w:p>
    <w:p w:rsidR="007F5D5B" w:rsidRDefault="007F5D5B" w:rsidP="00B70800">
      <w:pPr>
        <w:spacing w:before="240"/>
        <w:ind w:firstLine="709"/>
        <w:jc w:val="both"/>
        <w:rPr>
          <w:b/>
          <w:szCs w:val="28"/>
        </w:rPr>
      </w:pPr>
    </w:p>
    <w:p w:rsidR="005F1A3D" w:rsidRPr="00415052" w:rsidRDefault="001C5822" w:rsidP="00B70800">
      <w:pPr>
        <w:spacing w:before="240"/>
        <w:ind w:firstLine="709"/>
        <w:jc w:val="both"/>
        <w:rPr>
          <w:b/>
        </w:rPr>
      </w:pPr>
      <w:r w:rsidRPr="001C5822">
        <w:rPr>
          <w:b/>
          <w:szCs w:val="28"/>
        </w:rPr>
        <w:t>3. </w:t>
      </w:r>
      <w:r w:rsidR="00B53A34">
        <w:rPr>
          <w:b/>
        </w:rPr>
        <w:t>S</w:t>
      </w:r>
      <w:r w:rsidR="00211B04" w:rsidRPr="00211B04">
        <w:rPr>
          <w:b/>
        </w:rPr>
        <w:t>istēma</w:t>
      </w:r>
      <w:r w:rsidR="00415052">
        <w:rPr>
          <w:b/>
        </w:rPr>
        <w:t>s</w:t>
      </w:r>
      <w:r w:rsidR="005A44AF">
        <w:rPr>
          <w:b/>
        </w:rPr>
        <w:t xml:space="preserve"> </w:t>
      </w:r>
      <w:r w:rsidR="004519F6">
        <w:rPr>
          <w:b/>
        </w:rPr>
        <w:t>u</w:t>
      </w:r>
      <w:r w:rsidR="00415052" w:rsidRPr="00415052">
        <w:rPr>
          <w:b/>
        </w:rPr>
        <w:t>zturēšana un attīstīšana</w:t>
      </w:r>
      <w:r w:rsidR="00616E82">
        <w:rPr>
          <w:b/>
          <w:szCs w:val="28"/>
        </w:rPr>
        <w:t>, kā arī</w:t>
      </w:r>
      <w:r w:rsidR="00440DC8">
        <w:rPr>
          <w:b/>
          <w:szCs w:val="28"/>
        </w:rPr>
        <w:t xml:space="preserve"> i</w:t>
      </w:r>
      <w:r w:rsidR="00440DC8" w:rsidRPr="00440DC8">
        <w:rPr>
          <w:b/>
        </w:rPr>
        <w:t>nformācijas publicēšana Maksātnespējas administrācijas tīmekļvietnē</w:t>
      </w:r>
    </w:p>
    <w:p w:rsidR="005F1A3D" w:rsidRPr="00151F80" w:rsidRDefault="005F1A3D" w:rsidP="00745475">
      <w:pPr>
        <w:spacing w:before="60"/>
        <w:ind w:firstLine="709"/>
        <w:jc w:val="both"/>
      </w:pPr>
      <w:r w:rsidRPr="00151F80">
        <w:t>Maks</w:t>
      </w:r>
      <w:r w:rsidR="00785EBA">
        <w:t>ātnespējas administrācijas viens</w:t>
      </w:r>
      <w:r w:rsidRPr="00151F80">
        <w:t xml:space="preserve"> no pamat</w:t>
      </w:r>
      <w:r w:rsidR="00785EBA">
        <w:t>uzdevumiem</w:t>
      </w:r>
      <w:r w:rsidRPr="00151F80">
        <w:t xml:space="preserve"> ir administratoru darbības uzraudzības nodrošināšana tiesiskās aizsardzības procesos un maksātnespējas procesos. Īstenojot minēto funkciju, tiek apstrādāts ievērojams informācijas apjoms, tostarp administratoru darbības pārskati.</w:t>
      </w:r>
      <w:r w:rsidR="00E4567D">
        <w:t xml:space="preserve"> </w:t>
      </w:r>
    </w:p>
    <w:p w:rsidR="00732C82" w:rsidRDefault="005F1A3D" w:rsidP="00745475">
      <w:pPr>
        <w:spacing w:before="60"/>
        <w:ind w:firstLine="709"/>
        <w:jc w:val="both"/>
      </w:pPr>
      <w:r w:rsidRPr="00151F80">
        <w:t xml:space="preserve">Lai atvieglotu administratoru darbības pārskatos iekļautās informācijas atlasi, apstrādi un analīzi, kā arī nodrošinātu pārskatu iesniegšanas kontroli, tādējādi paaugstinot uzraudzības procesa efektivitāti, Maksātnespējas administrācijā </w:t>
      </w:r>
      <w:r w:rsidR="00D774F7">
        <w:t>tika</w:t>
      </w:r>
      <w:r w:rsidRPr="00151F80">
        <w:t xml:space="preserve"> izstrādāta un 2016.</w:t>
      </w:r>
      <w:r w:rsidR="006B068A">
        <w:t> </w:t>
      </w:r>
      <w:r w:rsidRPr="00151F80">
        <w:t xml:space="preserve">gada aprīlī ieviesta </w:t>
      </w:r>
      <w:r w:rsidR="00B53A34">
        <w:t>S</w:t>
      </w:r>
      <w:r w:rsidR="00905AD7">
        <w:t>istēma</w:t>
      </w:r>
      <w:r w:rsidRPr="00151F80">
        <w:t>, kas ļauj iesniegt un apstrādāt administratora darbības pārskatu</w:t>
      </w:r>
      <w:r w:rsidR="00345078">
        <w:t>s</w:t>
      </w:r>
      <w:r w:rsidRPr="00151F80">
        <w:t xml:space="preserve"> elektroniskā veidā. </w:t>
      </w:r>
      <w:r w:rsidR="00905AD7">
        <w:t>S</w:t>
      </w:r>
      <w:r w:rsidR="0040292A" w:rsidRPr="00F424E4">
        <w:t>istēma</w:t>
      </w:r>
      <w:r w:rsidR="0040292A" w:rsidRPr="00151F80">
        <w:t xml:space="preserve"> </w:t>
      </w:r>
      <w:r w:rsidRPr="00151F80">
        <w:t>nodrošina iespēju sekot līdzi pārskatu iesniegšanas vai neiesniegšanas faktam, pārskatos norādītajai informācijai, kā arī apkopot statistikas datus.</w:t>
      </w:r>
      <w:r w:rsidR="00F826DB">
        <w:t xml:space="preserve"> Līdz minētās sistēmas ieviešanai, Maksātnespējas administrācija pārskatu iesniegšanas kontroli veica tikai uzraugot konkrētus procesus, jo pilnīgas informācijas aptveršanai bija nepieciešams liels manuāla darba apjoms, kura realizēšanai nebija nepieciešamo resursu. To </w:t>
      </w:r>
      <w:r w:rsidR="00B66E63">
        <w:t>no</w:t>
      </w:r>
      <w:r w:rsidR="00F826DB">
        <w:t xml:space="preserve">rādīja arī 2016. gadā publiskotais Ārvalstu investoru padomes pasūtītais un </w:t>
      </w:r>
      <w:proofErr w:type="spellStart"/>
      <w:r w:rsidR="00F826DB">
        <w:t>Deloitte</w:t>
      </w:r>
      <w:proofErr w:type="spellEnd"/>
      <w:r w:rsidR="00F826DB">
        <w:t xml:space="preserve"> veiktais pētījums par maksātnespējas situāciju valstī</w:t>
      </w:r>
      <w:r w:rsidR="00B66E63">
        <w:t xml:space="preserve">. Minētais pētījums bija pamats būtisku izmaiņu uzsākšanai maksātnespējas jomā, tai skaitā </w:t>
      </w:r>
      <w:r w:rsidR="00F60BC7">
        <w:t>P</w:t>
      </w:r>
      <w:r w:rsidR="00B66E63">
        <w:t>amatnostādņu pieņemšanai, Maksātnespējas likuma grozījumiem un arī turpmāk plānotajām būtiskajām izmaiņām gan normatīvajā regulējumā, gan papildus resursu piesaistīšanā maksātnespējas uzraudzībā un kontrolē iesaistītajām institūcijām.</w:t>
      </w:r>
    </w:p>
    <w:p w:rsidR="00142433" w:rsidRDefault="00CE7D79" w:rsidP="00745475">
      <w:pPr>
        <w:spacing w:before="60"/>
        <w:ind w:firstLine="709"/>
        <w:jc w:val="both"/>
      </w:pPr>
      <w:r>
        <w:rPr>
          <w:szCs w:val="28"/>
        </w:rPr>
        <w:t>A</w:t>
      </w:r>
      <w:r w:rsidR="000C0816">
        <w:rPr>
          <w:szCs w:val="28"/>
        </w:rPr>
        <w:t xml:space="preserve">tbilstoši </w:t>
      </w:r>
      <w:r>
        <w:rPr>
          <w:szCs w:val="28"/>
        </w:rPr>
        <w:t xml:space="preserve">Maksātnespējas likuma </w:t>
      </w:r>
      <w:r w:rsidR="000C0816">
        <w:rPr>
          <w:szCs w:val="28"/>
        </w:rPr>
        <w:t>g</w:t>
      </w:r>
      <w:r w:rsidR="00475788">
        <w:rPr>
          <w:szCs w:val="28"/>
        </w:rPr>
        <w:t>rozījumi</w:t>
      </w:r>
      <w:r w:rsidR="000C0816">
        <w:rPr>
          <w:szCs w:val="28"/>
        </w:rPr>
        <w:t>em, kas</w:t>
      </w:r>
      <w:r w:rsidR="00475788">
        <w:rPr>
          <w:szCs w:val="28"/>
        </w:rPr>
        <w:t xml:space="preserve"> stājās spēkā 2017.</w:t>
      </w:r>
      <w:r w:rsidR="001A2814">
        <w:rPr>
          <w:szCs w:val="28"/>
        </w:rPr>
        <w:t> </w:t>
      </w:r>
      <w:r w:rsidR="00475788">
        <w:rPr>
          <w:szCs w:val="28"/>
        </w:rPr>
        <w:t>gada 6.</w:t>
      </w:r>
      <w:r w:rsidR="001A2814">
        <w:rPr>
          <w:szCs w:val="28"/>
        </w:rPr>
        <w:t> </w:t>
      </w:r>
      <w:r w:rsidR="00475788">
        <w:rPr>
          <w:szCs w:val="28"/>
        </w:rPr>
        <w:t>janvārī</w:t>
      </w:r>
      <w:r w:rsidR="00932C59">
        <w:t xml:space="preserve"> ir noteikts</w:t>
      </w:r>
      <w:r w:rsidR="004740A7" w:rsidRPr="004740A7">
        <w:t xml:space="preserve">, </w:t>
      </w:r>
      <w:r w:rsidR="00027A09">
        <w:t xml:space="preserve">kādas ziņas jāiekļauj </w:t>
      </w:r>
      <w:r w:rsidR="00905AD7">
        <w:t>S</w:t>
      </w:r>
      <w:r w:rsidR="00B00568">
        <w:t>istēmā</w:t>
      </w:r>
      <w:r w:rsidR="000524E4">
        <w:t>,</w:t>
      </w:r>
      <w:r w:rsidR="00CD7F99">
        <w:t xml:space="preserve"> tādējādi būtiski paplašinot šobrīd </w:t>
      </w:r>
      <w:r w:rsidR="00B00568">
        <w:t xml:space="preserve">minētajā </w:t>
      </w:r>
      <w:r w:rsidR="00905AD7">
        <w:t>S</w:t>
      </w:r>
      <w:r w:rsidR="00CD7F99">
        <w:t xml:space="preserve">istēmā </w:t>
      </w:r>
      <w:r w:rsidR="000524E4">
        <w:t xml:space="preserve">iekļaujamo ziņu </w:t>
      </w:r>
      <w:r w:rsidR="00275B63">
        <w:t>apjomu</w:t>
      </w:r>
      <w:r w:rsidR="00027A09">
        <w:t xml:space="preserve">, vienlaikus paredzot, ka attiecīgais regulējums par </w:t>
      </w:r>
      <w:r w:rsidR="00905AD7">
        <w:t>S</w:t>
      </w:r>
      <w:r w:rsidR="00027A09">
        <w:t xml:space="preserve">istēmas </w:t>
      </w:r>
      <w:r w:rsidR="00027A09" w:rsidRPr="0042370C">
        <w:t>darbību stājas spēkā 2018.</w:t>
      </w:r>
      <w:r w:rsidR="00527EFD">
        <w:t> </w:t>
      </w:r>
      <w:r w:rsidR="00027A09" w:rsidRPr="0042370C">
        <w:t>gada 1.</w:t>
      </w:r>
      <w:r w:rsidR="00527EFD">
        <w:t> </w:t>
      </w:r>
      <w:r w:rsidR="00027A09" w:rsidRPr="0042370C">
        <w:t>jūlijā.</w:t>
      </w:r>
      <w:r w:rsidR="00440691" w:rsidRPr="0042370C">
        <w:t xml:space="preserve"> </w:t>
      </w:r>
      <w:r w:rsidR="00FC52DF">
        <w:t xml:space="preserve">Tāpat </w:t>
      </w:r>
      <w:r w:rsidR="00F95976">
        <w:t xml:space="preserve">Maksātnespējas likumā noteikts, ka </w:t>
      </w:r>
      <w:r w:rsidR="00905AD7">
        <w:t>S</w:t>
      </w:r>
      <w:r w:rsidR="00B00568" w:rsidRPr="00F424E4">
        <w:t>istēma</w:t>
      </w:r>
      <w:r w:rsidR="00B00568" w:rsidRPr="004740A7">
        <w:t xml:space="preserve"> </w:t>
      </w:r>
      <w:r w:rsidR="00142433" w:rsidRPr="00ED649D">
        <w:t>sekmē Maksātnespējas administrācijas uzdevumu veikšanu, normatīvajos aktos noteikto ziņu sagatavošanu un publiskošanu Maksātnespējas administrācijas tīmekļvietnē, kā arī informācijas apriti starp maksātnespējas procesā iesaistītajām personām un institūcijām</w:t>
      </w:r>
      <w:r w:rsidR="00142433">
        <w:t xml:space="preserve">. </w:t>
      </w:r>
    </w:p>
    <w:p w:rsidR="00E71619" w:rsidRDefault="00440DC8" w:rsidP="00745475">
      <w:pPr>
        <w:spacing w:before="60"/>
        <w:ind w:firstLine="720"/>
        <w:jc w:val="both"/>
      </w:pPr>
      <w:r>
        <w:t>Vienlaikus, l</w:t>
      </w:r>
      <w:r w:rsidR="00064E65">
        <w:t>ai nodrošinātu sabiedrības kontroli par</w:t>
      </w:r>
      <w:r w:rsidR="00064E65" w:rsidRPr="00DF5AA1">
        <w:t xml:space="preserve"> </w:t>
      </w:r>
      <w:r w:rsidR="00B605CD">
        <w:t xml:space="preserve">tiesiskās aizsardzības procesu un </w:t>
      </w:r>
      <w:r w:rsidR="00064E65">
        <w:t>maksātnespējas procesu</w:t>
      </w:r>
      <w:r w:rsidR="00B605CD">
        <w:t xml:space="preserve"> norisi</w:t>
      </w:r>
      <w:r w:rsidR="00527EFD">
        <w:t xml:space="preserve"> un</w:t>
      </w:r>
      <w:r w:rsidR="00B605CD">
        <w:t xml:space="preserve"> informētu sabiedrību par</w:t>
      </w:r>
      <w:r w:rsidR="00B605CD" w:rsidRPr="00B605CD">
        <w:t xml:space="preserve"> </w:t>
      </w:r>
      <w:r w:rsidR="00B605CD">
        <w:t>tiesiskās aizsardzības procesu uzraugošo personu</w:t>
      </w:r>
      <w:r w:rsidR="00064E65" w:rsidRPr="00DF5AA1">
        <w:t xml:space="preserve"> </w:t>
      </w:r>
      <w:r w:rsidR="00064E65">
        <w:t>un administratoru</w:t>
      </w:r>
      <w:r w:rsidR="00064E65" w:rsidRPr="00C52B20">
        <w:t xml:space="preserve"> darbības rādītājiem</w:t>
      </w:r>
      <w:r w:rsidR="00527EFD">
        <w:t>,</w:t>
      </w:r>
      <w:r>
        <w:t xml:space="preserve"> </w:t>
      </w:r>
      <w:r w:rsidR="00064E65" w:rsidRPr="00C52B20">
        <w:t>Maksātn</w:t>
      </w:r>
      <w:r w:rsidR="00B9461A">
        <w:t>espējas administrācijas tīmekļ</w:t>
      </w:r>
      <w:r w:rsidR="00064E65" w:rsidRPr="00C52B20">
        <w:t>vietnē</w:t>
      </w:r>
      <w:r w:rsidR="00064E65">
        <w:t xml:space="preserve"> daļēji tiks</w:t>
      </w:r>
      <w:r w:rsidR="00064E65" w:rsidRPr="00C52B20">
        <w:t xml:space="preserve"> publiskot</w:t>
      </w:r>
      <w:r w:rsidR="00064E65">
        <w:t>a</w:t>
      </w:r>
      <w:r w:rsidR="00064E65" w:rsidRPr="00C52B20">
        <w:t xml:space="preserve"> </w:t>
      </w:r>
      <w:r w:rsidR="00905AD7">
        <w:t>S</w:t>
      </w:r>
      <w:r w:rsidR="0003540E">
        <w:t xml:space="preserve">istēmā </w:t>
      </w:r>
      <w:r w:rsidR="0089651F">
        <w:t xml:space="preserve">iesniegtā </w:t>
      </w:r>
      <w:r w:rsidR="00950D48">
        <w:t>informācija</w:t>
      </w:r>
      <w:r w:rsidR="0089651F">
        <w:t xml:space="preserve">, kā arī papildu </w:t>
      </w:r>
      <w:r w:rsidR="008D0BAF">
        <w:t>ziņas</w:t>
      </w:r>
      <w:r w:rsidR="0089651F">
        <w:t>, kura</w:t>
      </w:r>
      <w:r w:rsidR="008D0BAF">
        <w:t>s</w:t>
      </w:r>
      <w:r w:rsidR="0089651F">
        <w:t xml:space="preserve"> </w:t>
      </w:r>
      <w:r w:rsidR="008D0BAF">
        <w:t xml:space="preserve">ir noteiktas </w:t>
      </w:r>
      <w:r w:rsidR="00D80AFD">
        <w:t xml:space="preserve">minētajos </w:t>
      </w:r>
      <w:r w:rsidR="008D0BAF">
        <w:t>Maksātnespējas likuma grozījumos</w:t>
      </w:r>
      <w:r w:rsidR="00064E65" w:rsidRPr="00C52B20">
        <w:t>.</w:t>
      </w:r>
    </w:p>
    <w:p w:rsidR="00E43E9B" w:rsidRDefault="0024607C" w:rsidP="00745475">
      <w:pPr>
        <w:spacing w:before="60"/>
        <w:ind w:firstLine="720"/>
        <w:jc w:val="both"/>
      </w:pPr>
      <w:r>
        <w:t xml:space="preserve">Sistēma tika izveidota, lai administratori Maksātnespējas administrācijā iesniegtu administratoru darbības pārskatus elektroniskā formā un būtu atvieglota </w:t>
      </w:r>
      <w:r w:rsidR="00E71619">
        <w:t>pārskatu iesniegšanas</w:t>
      </w:r>
      <w:r>
        <w:t xml:space="preserve"> kontrole un </w:t>
      </w:r>
      <w:r w:rsidR="00E71619">
        <w:t xml:space="preserve">tajos norādītās informācijas analīze un </w:t>
      </w:r>
      <w:r>
        <w:t>apstr</w:t>
      </w:r>
      <w:r w:rsidR="00E71619">
        <w:t>āde.</w:t>
      </w:r>
      <w:r>
        <w:t xml:space="preserve"> </w:t>
      </w:r>
      <w:r w:rsidR="00E71619">
        <w:t xml:space="preserve">Minētā Sistēma tika veidota kā </w:t>
      </w:r>
      <w:r w:rsidR="004C6541">
        <w:t>rīks, kas ļauj iesniegt un apstrādāt administratora darbības pārskatu elektroniskā veidā</w:t>
      </w:r>
      <w:r w:rsidR="00E71619">
        <w:t xml:space="preserve">, kas atvieglotu Maksātnespējas administrācijas noteiktās funkcijas </w:t>
      </w:r>
      <w:r w:rsidR="004C6541">
        <w:t>–</w:t>
      </w:r>
      <w:r w:rsidR="00E71619">
        <w:t xml:space="preserve"> pārskatu iesniegšanas un uzraudzības kontrole </w:t>
      </w:r>
      <w:r w:rsidR="004C6541">
        <w:t>–</w:t>
      </w:r>
      <w:r w:rsidR="00E71619">
        <w:t xml:space="preserve"> veikšanu. S</w:t>
      </w:r>
      <w:r>
        <w:t>avukārt informācijas apjoms, kurš saskaņā ar likuma grozījumiem no 2018.</w:t>
      </w:r>
      <w:r w:rsidR="00E71619">
        <w:t> </w:t>
      </w:r>
      <w:r>
        <w:t>gada 1.</w:t>
      </w:r>
      <w:r w:rsidR="00E71619">
        <w:t> </w:t>
      </w:r>
      <w:r>
        <w:t>jūlija ir jāpublisko Maksātnespējas administrācijai</w:t>
      </w:r>
      <w:r w:rsidR="00E71619">
        <w:t xml:space="preserve"> ar Sistēmas palīdzību, ir būtiski apjomīgāks, nekā tikai pārskatu iesniegšana, un prasa pilnīgi jaunu papildus funkcionalitātes programmēšanu minētajā Sistēmā, kurai ir noteikts valsts nozīmes informācijas sistēmas statuss, kas prasa pilnīgi cita drošības līmeņa nodrošinājumu.</w:t>
      </w:r>
    </w:p>
    <w:p w:rsidR="00400789" w:rsidRDefault="00905AD7" w:rsidP="00745475">
      <w:pPr>
        <w:spacing w:before="60"/>
        <w:ind w:firstLine="720"/>
        <w:jc w:val="both"/>
      </w:pPr>
      <w:r>
        <w:t>S</w:t>
      </w:r>
      <w:r w:rsidR="0003540E">
        <w:t>istēmā</w:t>
      </w:r>
      <w:r w:rsidR="00064E65" w:rsidRPr="00C52B20">
        <w:t xml:space="preserve"> iekļautās informācijas publicitāte Maksātnespējas likumā noteiktajā apjomā ir nodrošināma, sākot ar 2018.</w:t>
      </w:r>
      <w:r w:rsidR="00527EFD">
        <w:t> </w:t>
      </w:r>
      <w:r w:rsidR="00064E65" w:rsidRPr="00C52B20">
        <w:t>gada 1.</w:t>
      </w:r>
      <w:r w:rsidR="00527EFD">
        <w:t> </w:t>
      </w:r>
      <w:r w:rsidR="00064E65" w:rsidRPr="00C52B20">
        <w:t>jūliju.</w:t>
      </w:r>
    </w:p>
    <w:p w:rsidR="004152E5" w:rsidRPr="00C52B20" w:rsidRDefault="004152E5" w:rsidP="00745475">
      <w:pPr>
        <w:spacing w:before="60"/>
        <w:ind w:firstLine="720"/>
        <w:jc w:val="both"/>
      </w:pPr>
      <w:r w:rsidRPr="00C52B20">
        <w:t xml:space="preserve">Nodrošinot </w:t>
      </w:r>
      <w:r w:rsidR="00401963">
        <w:t xml:space="preserve">minētajā </w:t>
      </w:r>
      <w:r w:rsidR="00905AD7">
        <w:t>S</w:t>
      </w:r>
      <w:r w:rsidRPr="00C52B20">
        <w:t xml:space="preserve">istēmā esošās informācijas publisko pieejamību, jāievēro fizisko personu datu un komercnoslēpuma aizsardzības prasības, līdz ar to nav iespējams nodrošināt tiešo piekļuvi </w:t>
      </w:r>
      <w:r w:rsidR="00905AD7">
        <w:t>S</w:t>
      </w:r>
      <w:r w:rsidR="00401963" w:rsidRPr="00F424E4">
        <w:t>istēma</w:t>
      </w:r>
      <w:r w:rsidR="00401963">
        <w:t xml:space="preserve">i </w:t>
      </w:r>
      <w:r w:rsidRPr="00C52B20">
        <w:t xml:space="preserve">neidentificētiem lietotājiem. Tādējādi </w:t>
      </w:r>
      <w:r w:rsidR="00905AD7">
        <w:t>S</w:t>
      </w:r>
      <w:r w:rsidRPr="00C52B20">
        <w:t xml:space="preserve">istēmā ietverto ziņu publicitātes nodrošināšanai ir jāizveido atsevišķa programmatūra. </w:t>
      </w:r>
    </w:p>
    <w:p w:rsidR="004152E5" w:rsidRDefault="004152E5" w:rsidP="00904EA9">
      <w:pPr>
        <w:spacing w:before="60"/>
        <w:ind w:firstLine="720"/>
        <w:jc w:val="both"/>
      </w:pPr>
      <w:r w:rsidRPr="00275B63">
        <w:t xml:space="preserve">Šobrīd finansējums </w:t>
      </w:r>
      <w:r w:rsidR="00905AD7" w:rsidRPr="00275B63">
        <w:t>S</w:t>
      </w:r>
      <w:r w:rsidRPr="00275B63">
        <w:t xml:space="preserve">istēmā ietverto ziņu publicitātes nodrošināšanai nav paredzēts. </w:t>
      </w:r>
      <w:r w:rsidR="0098599C">
        <w:t>L</w:t>
      </w:r>
      <w:r w:rsidRPr="00275B63">
        <w:t>ai nodrošinātu Maksātnespējas likumā</w:t>
      </w:r>
      <w:r w:rsidR="00AB0FDB" w:rsidRPr="00275B63">
        <w:t xml:space="preserve"> paredzēto </w:t>
      </w:r>
      <w:r w:rsidR="00905AD7" w:rsidRPr="00275B63">
        <w:t>S</w:t>
      </w:r>
      <w:r w:rsidRPr="00275B63">
        <w:t xml:space="preserve">istēmā ietverto ziņu publicitāti, nepieciešams piešķirt papildu finanšu līdzekļus šādā apmērā: programmatūras izstrādei </w:t>
      </w:r>
      <w:r w:rsidRPr="00275B63">
        <w:rPr>
          <w:b/>
        </w:rPr>
        <w:t xml:space="preserve">– </w:t>
      </w:r>
      <w:r w:rsidR="0098599C" w:rsidRPr="0077285C">
        <w:t>104</w:t>
      </w:r>
      <w:r w:rsidR="00904EA9">
        <w:t> </w:t>
      </w:r>
      <w:r w:rsidR="0098599C" w:rsidRPr="0077285C">
        <w:t>000</w:t>
      </w:r>
      <w:r w:rsidRPr="0077285C">
        <w:t> </w:t>
      </w:r>
      <w:proofErr w:type="spellStart"/>
      <w:r w:rsidRPr="00275B63">
        <w:rPr>
          <w:i/>
        </w:rPr>
        <w:t>euro</w:t>
      </w:r>
      <w:proofErr w:type="spellEnd"/>
      <w:r w:rsidRPr="00275B63">
        <w:rPr>
          <w:i/>
        </w:rPr>
        <w:t>;</w:t>
      </w:r>
      <w:r w:rsidRPr="00275B63">
        <w:t xml:space="preserve"> papildu drošības prasību nodrošināšanai</w:t>
      </w:r>
      <w:r w:rsidR="0089651F" w:rsidRPr="00275B63">
        <w:t>, jo Sistēma</w:t>
      </w:r>
      <w:r w:rsidR="00D80AFD" w:rsidRPr="00275B63">
        <w:t>i ar Maksātnespējas likumu ir noteikts valsts nozīmes informācijas sistēmas statuss</w:t>
      </w:r>
      <w:r w:rsidR="0089651F" w:rsidRPr="00275B63">
        <w:t>, kurai drošības prasības ir augstākas,</w:t>
      </w:r>
      <w:r w:rsidRPr="00275B63">
        <w:t xml:space="preserve"> (servera noma) – 6</w:t>
      </w:r>
      <w:r w:rsidR="00D80AFD" w:rsidRPr="00275B63">
        <w:t> </w:t>
      </w:r>
      <w:r w:rsidRPr="00275B63">
        <w:t>000</w:t>
      </w:r>
      <w:r w:rsidR="00904EA9">
        <w:t> </w:t>
      </w:r>
      <w:proofErr w:type="spellStart"/>
      <w:r w:rsidRPr="00275B63">
        <w:rPr>
          <w:i/>
        </w:rPr>
        <w:t>euro</w:t>
      </w:r>
      <w:proofErr w:type="spellEnd"/>
      <w:r w:rsidRPr="00275B63">
        <w:t xml:space="preserve"> (gadā). Ievērojot minēto, ir nepieciešams piešķirt papildu finansējumu </w:t>
      </w:r>
      <w:r w:rsidR="00905AD7" w:rsidRPr="00275B63">
        <w:t>S</w:t>
      </w:r>
      <w:r w:rsidRPr="00275B63">
        <w:t xml:space="preserve">istēmā ietverto ziņu publicitātes nodrošināšanai </w:t>
      </w:r>
      <w:r w:rsidR="0089651F" w:rsidRPr="00275B63">
        <w:t>2018</w:t>
      </w:r>
      <w:r w:rsidRPr="00275B63">
        <w:t xml:space="preserve">. gadā </w:t>
      </w:r>
      <w:r w:rsidR="0098599C" w:rsidRPr="0077285C">
        <w:t>110</w:t>
      </w:r>
      <w:r w:rsidR="00904EA9">
        <w:t> </w:t>
      </w:r>
      <w:r w:rsidR="0098599C" w:rsidRPr="0077285C">
        <w:t>000</w:t>
      </w:r>
      <w:r w:rsidR="00904EA9">
        <w:t> </w:t>
      </w:r>
      <w:proofErr w:type="spellStart"/>
      <w:r w:rsidRPr="00275B63">
        <w:rPr>
          <w:i/>
        </w:rPr>
        <w:t>euro</w:t>
      </w:r>
      <w:proofErr w:type="spellEnd"/>
      <w:r w:rsidRPr="00275B63">
        <w:t xml:space="preserve"> apmērā un</w:t>
      </w:r>
      <w:r w:rsidR="00904EA9">
        <w:t xml:space="preserve">, sākot ar </w:t>
      </w:r>
      <w:r w:rsidR="0079776D">
        <w:t>2019.</w:t>
      </w:r>
      <w:r w:rsidR="00904EA9">
        <w:t> </w:t>
      </w:r>
      <w:r w:rsidR="0079776D">
        <w:t>gad</w:t>
      </w:r>
      <w:r w:rsidR="00904EA9">
        <w:t>u,</w:t>
      </w:r>
      <w:r w:rsidR="0079776D">
        <w:t xml:space="preserve"> </w:t>
      </w:r>
      <w:r w:rsidR="001233DE">
        <w:t xml:space="preserve">ik gadu </w:t>
      </w:r>
      <w:r w:rsidRPr="00275B63">
        <w:t>servera nomai 6 000</w:t>
      </w:r>
      <w:r w:rsidR="00904EA9">
        <w:t> </w:t>
      </w:r>
      <w:proofErr w:type="spellStart"/>
      <w:r w:rsidRPr="00275B63">
        <w:rPr>
          <w:i/>
        </w:rPr>
        <w:t>euro</w:t>
      </w:r>
      <w:proofErr w:type="spellEnd"/>
      <w:r w:rsidRPr="00275B63">
        <w:t xml:space="preserve"> gadā </w:t>
      </w:r>
      <w:r w:rsidR="0079776D">
        <w:t xml:space="preserve">un sistēmas uzturēšanai </w:t>
      </w:r>
      <w:r w:rsidR="0098599C" w:rsidRPr="0077285C">
        <w:t>20</w:t>
      </w:r>
      <w:r w:rsidR="00904EA9">
        <w:t> </w:t>
      </w:r>
      <w:r w:rsidR="0098599C" w:rsidRPr="0077285C">
        <w:t>800</w:t>
      </w:r>
      <w:r w:rsidR="00904EA9">
        <w:t> </w:t>
      </w:r>
      <w:proofErr w:type="spellStart"/>
      <w:r w:rsidR="0079776D" w:rsidRPr="0079776D">
        <w:rPr>
          <w:i/>
        </w:rPr>
        <w:t>euro</w:t>
      </w:r>
      <w:proofErr w:type="spellEnd"/>
      <w:r w:rsidR="0079776D">
        <w:t xml:space="preserve"> gadā, kopā </w:t>
      </w:r>
      <w:r w:rsidR="0098599C">
        <w:t>26</w:t>
      </w:r>
      <w:r w:rsidR="00904EA9">
        <w:t> </w:t>
      </w:r>
      <w:r w:rsidR="0098599C">
        <w:t>800</w:t>
      </w:r>
      <w:r w:rsidR="00904EA9">
        <w:t> </w:t>
      </w:r>
      <w:proofErr w:type="spellStart"/>
      <w:r w:rsidR="0079776D" w:rsidRPr="0079776D">
        <w:rPr>
          <w:i/>
        </w:rPr>
        <w:t>euro</w:t>
      </w:r>
      <w:proofErr w:type="spellEnd"/>
      <w:r w:rsidR="0079776D">
        <w:t xml:space="preserve"> gadā</w:t>
      </w:r>
      <w:r w:rsidRPr="00275B63">
        <w:t>.</w:t>
      </w:r>
      <w:r w:rsidRPr="00C52B20">
        <w:t xml:space="preserve"> </w:t>
      </w:r>
    </w:p>
    <w:p w:rsidR="004152E5" w:rsidRPr="00C52B20" w:rsidRDefault="00064E65" w:rsidP="00745475">
      <w:pPr>
        <w:spacing w:before="60"/>
        <w:ind w:firstLine="720"/>
        <w:jc w:val="both"/>
      </w:pPr>
      <w:r w:rsidRPr="00C52B20">
        <w:t xml:space="preserve"> </w:t>
      </w:r>
      <w:r w:rsidR="008F3F9C">
        <w:t>Tāpat, n</w:t>
      </w:r>
      <w:r w:rsidR="00400789" w:rsidRPr="00C52B20">
        <w:t xml:space="preserve">odrošinot </w:t>
      </w:r>
      <w:r w:rsidR="00905AD7">
        <w:t>S</w:t>
      </w:r>
      <w:r w:rsidR="00400789" w:rsidRPr="00C52B20">
        <w:t>istēmā ietverto ziņu publicitāti, nepieciešams izs</w:t>
      </w:r>
      <w:r w:rsidR="00AA2CE7">
        <w:t>trādāt un ieviest jaunu tīmekļ</w:t>
      </w:r>
      <w:r w:rsidR="00400789" w:rsidRPr="00C52B20">
        <w:t>vietni</w:t>
      </w:r>
      <w:r w:rsidR="00BC7647">
        <w:t xml:space="preserve">, </w:t>
      </w:r>
      <w:r w:rsidR="00325450">
        <w:t>kam ir</w:t>
      </w:r>
      <w:r w:rsidR="00BC7647">
        <w:t xml:space="preserve"> </w:t>
      </w:r>
      <w:r w:rsidR="00325450">
        <w:t>nepieciešami</w:t>
      </w:r>
      <w:r w:rsidR="00BC7647" w:rsidRPr="00C52B20">
        <w:t xml:space="preserve"> </w:t>
      </w:r>
      <w:r w:rsidR="00325450">
        <w:t>papildu finanšu līdzekļi</w:t>
      </w:r>
      <w:r w:rsidR="00400789" w:rsidRPr="00C52B20">
        <w:t>. Maksātn</w:t>
      </w:r>
      <w:r w:rsidR="00AA2CE7">
        <w:t>espējas administrācijas tīmekļ</w:t>
      </w:r>
      <w:r w:rsidR="00400789" w:rsidRPr="00C52B20">
        <w:t>vietne ir ieviesta 2009. gadā, tā ir izstrādāta atbilstoši tā laika normatīvo aktu prasībām un pieejamajiem finanšu līdzekļiem, tādēļ šobrīd t</w:t>
      </w:r>
      <w:r w:rsidR="00AA2CE7">
        <w:t>īmekļ</w:t>
      </w:r>
      <w:r w:rsidR="00400789" w:rsidRPr="00C52B20">
        <w:t>vietne ir novecojusi, tās administrēšana ir sarežģīta</w:t>
      </w:r>
      <w:r w:rsidR="008D0BAF">
        <w:t xml:space="preserve"> un funkcionalitāte ierobežota</w:t>
      </w:r>
      <w:r w:rsidR="00400789" w:rsidRPr="00C52B20">
        <w:t>, un Maksātnespējas administrācijas nodar</w:t>
      </w:r>
      <w:r w:rsidR="004152E5">
        <w:t>binātiem, kas nodrošina tīmekļ</w:t>
      </w:r>
      <w:r w:rsidR="00400789" w:rsidRPr="00C52B20">
        <w:t>vietnes administrēšanu, ir iespējams veikt tikai minimālās darbības informācijas ievietošanai</w:t>
      </w:r>
      <w:r w:rsidR="008D0BAF">
        <w:t>, kuras neatbilst plānotajam informācijas publiskošanas apjomam</w:t>
      </w:r>
      <w:r w:rsidR="00400789" w:rsidRPr="00C52B20">
        <w:t>.</w:t>
      </w:r>
    </w:p>
    <w:p w:rsidR="00404A5E" w:rsidRPr="003C5DFB" w:rsidRDefault="007F5D5B" w:rsidP="00452B47">
      <w:pPr>
        <w:spacing w:before="60"/>
        <w:ind w:firstLine="720"/>
        <w:jc w:val="both"/>
      </w:pPr>
      <w:r>
        <w:t>Ņemot</w:t>
      </w:r>
      <w:r w:rsidR="00114A0D">
        <w:t xml:space="preserve"> vērā, ka Valsts kanceleja šobrīd strādā pie projekta kopējas platformas izveidei valsts pārvaldes iestāžu tīmekļvietnēm un pirmās iestādes savas tīmekļvietnes rindas kārtībā uz jaunās platformas varēs izstrādāt</w:t>
      </w:r>
      <w:r w:rsidR="00616E82">
        <w:t>,</w:t>
      </w:r>
      <w:r w:rsidR="00114A0D">
        <w:t xml:space="preserve"> sākot no 2019.</w:t>
      </w:r>
      <w:r w:rsidR="00904EA9">
        <w:t> </w:t>
      </w:r>
      <w:r w:rsidR="00114A0D">
        <w:t>gada</w:t>
      </w:r>
      <w:r>
        <w:t xml:space="preserve">, </w:t>
      </w:r>
      <w:r w:rsidR="00146362">
        <w:t>Maksātnespējas administrācijai būs nepieciešami</w:t>
      </w:r>
      <w:r>
        <w:t xml:space="preserve"> </w:t>
      </w:r>
      <w:r w:rsidR="00146362">
        <w:t>finanšu līdzekļi kopējās platformas pielāgošanai iestādes vajadzībām, tai skaitā arī informācijas sistēmu integrēšanai tīmekļvietnē</w:t>
      </w:r>
      <w:r w:rsidR="00114A0D">
        <w:t>.</w:t>
      </w:r>
      <w:r w:rsidR="00146362">
        <w:t xml:space="preserve"> </w:t>
      </w:r>
      <w:r w:rsidR="00114A0D">
        <w:t xml:space="preserve"> </w:t>
      </w:r>
      <w:r w:rsidR="00146362" w:rsidRPr="00C52B20">
        <w:t>Maksātnespējas administrācij</w:t>
      </w:r>
      <w:r w:rsidR="00146362">
        <w:t>as tīmekļ</w:t>
      </w:r>
      <w:r w:rsidR="00146362" w:rsidRPr="00C52B20">
        <w:t xml:space="preserve">vietnes </w:t>
      </w:r>
      <w:r w:rsidR="00146362">
        <w:t>pielāgošanas</w:t>
      </w:r>
      <w:r w:rsidR="005A23B7">
        <w:t xml:space="preserve"> un informācijas sistēmu integrēšanas tīmekļvietnē</w:t>
      </w:r>
      <w:r w:rsidR="00146362" w:rsidRPr="00C52B20">
        <w:t xml:space="preserve"> izmaksas veido </w:t>
      </w:r>
      <w:r w:rsidR="00146362">
        <w:t>25 </w:t>
      </w:r>
      <w:r w:rsidR="00146362" w:rsidRPr="00C52B20">
        <w:t>000</w:t>
      </w:r>
      <w:r w:rsidR="00146362">
        <w:t> </w:t>
      </w:r>
      <w:proofErr w:type="spellStart"/>
      <w:r w:rsidR="00146362" w:rsidRPr="00C52B20">
        <w:rPr>
          <w:i/>
        </w:rPr>
        <w:t>euro</w:t>
      </w:r>
      <w:proofErr w:type="spellEnd"/>
      <w:r w:rsidR="00146362" w:rsidRPr="00C52B20">
        <w:t>. Šobrīd finansējums Maksātn</w:t>
      </w:r>
      <w:r w:rsidR="00146362">
        <w:t>espējas administrācijas tīmekļ</w:t>
      </w:r>
      <w:r w:rsidR="00146362" w:rsidRPr="00C52B20">
        <w:t xml:space="preserve">vietnes </w:t>
      </w:r>
      <w:r w:rsidR="005A23B7">
        <w:t>pielāgošanai un informācijas sistēmu integrēšana</w:t>
      </w:r>
      <w:r w:rsidR="00A375E9">
        <w:t>i</w:t>
      </w:r>
      <w:r w:rsidR="005A23B7" w:rsidRPr="00C52B20">
        <w:t xml:space="preserve"> </w:t>
      </w:r>
      <w:r w:rsidR="00146362" w:rsidRPr="00C52B20">
        <w:t>nav paredzēts.</w:t>
      </w:r>
      <w:r w:rsidR="00A375E9">
        <w:t xml:space="preserve"> </w:t>
      </w:r>
      <w:r w:rsidR="00400789" w:rsidRPr="00C52B20">
        <w:t xml:space="preserve">Ievērojot minēto, Maksātnespējas administrācijas tīmekļa vietnes </w:t>
      </w:r>
      <w:r w:rsidR="00A375E9">
        <w:t>pielāgošanai</w:t>
      </w:r>
      <w:r w:rsidR="00A375E9" w:rsidRPr="00C52B20">
        <w:t xml:space="preserve"> </w:t>
      </w:r>
      <w:r w:rsidR="008D0BAF" w:rsidRPr="00114A0D">
        <w:t>20</w:t>
      </w:r>
      <w:r w:rsidR="000A5974">
        <w:t>20</w:t>
      </w:r>
      <w:r w:rsidR="00400789" w:rsidRPr="00114A0D">
        <w:t xml:space="preserve">. gadā ir nepieciešams piešķirt papildu finansējumu </w:t>
      </w:r>
      <w:r w:rsidR="00404A5E">
        <w:t>25</w:t>
      </w:r>
      <w:r w:rsidR="00400789" w:rsidRPr="00114A0D">
        <w:t> 000</w:t>
      </w:r>
      <w:r w:rsidR="00904EA9">
        <w:t> </w:t>
      </w:r>
      <w:proofErr w:type="spellStart"/>
      <w:r w:rsidR="00400789" w:rsidRPr="00114A0D">
        <w:rPr>
          <w:i/>
        </w:rPr>
        <w:t>euro</w:t>
      </w:r>
      <w:proofErr w:type="spellEnd"/>
      <w:r w:rsidR="00400789" w:rsidRPr="00114A0D">
        <w:t xml:space="preserve"> </w:t>
      </w:r>
      <w:r w:rsidR="00400789" w:rsidRPr="003C5DFB">
        <w:t xml:space="preserve">apmērā. </w:t>
      </w:r>
    </w:p>
    <w:p w:rsidR="0098599C" w:rsidRPr="00452B47" w:rsidRDefault="000938FE" w:rsidP="0062156C">
      <w:pPr>
        <w:spacing w:before="120"/>
        <w:ind w:firstLine="720"/>
        <w:jc w:val="both"/>
        <w:rPr>
          <w:b/>
        </w:rPr>
      </w:pPr>
      <w:r w:rsidRPr="003C5DFB">
        <w:rPr>
          <w:b/>
        </w:rPr>
        <w:t>Sistēmas</w:t>
      </w:r>
      <w:r w:rsidRPr="000938FE">
        <w:rPr>
          <w:b/>
        </w:rPr>
        <w:t xml:space="preserve"> uzturēšana</w:t>
      </w:r>
      <w:r>
        <w:rPr>
          <w:b/>
        </w:rPr>
        <w:t>i</w:t>
      </w:r>
      <w:r w:rsidRPr="000938FE">
        <w:rPr>
          <w:b/>
        </w:rPr>
        <w:t xml:space="preserve"> un attīstīšana</w:t>
      </w:r>
      <w:r>
        <w:rPr>
          <w:b/>
        </w:rPr>
        <w:t>i</w:t>
      </w:r>
      <w:r w:rsidRPr="000938FE">
        <w:rPr>
          <w:b/>
        </w:rPr>
        <w:t>, kā arī informācijas publicēšana</w:t>
      </w:r>
      <w:r>
        <w:rPr>
          <w:b/>
        </w:rPr>
        <w:t>i</w:t>
      </w:r>
      <w:r w:rsidRPr="000938FE">
        <w:rPr>
          <w:b/>
        </w:rPr>
        <w:t xml:space="preserve"> Maksātnespējas administrācijas tīmekļvietnē </w:t>
      </w:r>
      <w:r>
        <w:rPr>
          <w:b/>
        </w:rPr>
        <w:t>nepieciešamā finansējuma k</w:t>
      </w:r>
      <w:r w:rsidR="0098599C" w:rsidRPr="00616E82">
        <w:rPr>
          <w:b/>
        </w:rPr>
        <w:t>opsavilkums</w:t>
      </w:r>
    </w:p>
    <w:p w:rsidR="008B39AD" w:rsidRDefault="00404A5E" w:rsidP="00745475">
      <w:pPr>
        <w:spacing w:before="60"/>
        <w:ind w:firstLine="709"/>
        <w:jc w:val="both"/>
        <w:rPr>
          <w:b/>
          <w:bCs/>
        </w:rPr>
      </w:pPr>
      <w:r w:rsidRPr="00AE41BF">
        <w:rPr>
          <w:noProof/>
          <w:color w:val="000000"/>
        </w:rPr>
        <w:t xml:space="preserve">Ņemot vērā šajā </w:t>
      </w:r>
      <w:r w:rsidR="00C90AD8">
        <w:rPr>
          <w:noProof/>
          <w:color w:val="000000"/>
        </w:rPr>
        <w:t>punktā</w:t>
      </w:r>
      <w:r w:rsidR="00C90AD8" w:rsidRPr="00AE41BF">
        <w:rPr>
          <w:noProof/>
          <w:color w:val="000000"/>
        </w:rPr>
        <w:t xml:space="preserve"> </w:t>
      </w:r>
      <w:r w:rsidRPr="00AE41BF">
        <w:rPr>
          <w:noProof/>
          <w:color w:val="000000"/>
        </w:rPr>
        <w:t>norādīto, lai nodrošinātu Maksātnespējas likumā noteikto jauno funkciju un tām atbilstošu procedūru norisi, nepieciešams piešķirt papildu finansējum</w:t>
      </w:r>
      <w:r>
        <w:rPr>
          <w:noProof/>
          <w:color w:val="000000"/>
        </w:rPr>
        <w:t>u</w:t>
      </w:r>
      <w:r w:rsidRPr="00AE41BF">
        <w:rPr>
          <w:noProof/>
          <w:color w:val="000000"/>
        </w:rPr>
        <w:t xml:space="preserve"> </w:t>
      </w:r>
      <w:r>
        <w:rPr>
          <w:noProof/>
          <w:color w:val="000000"/>
        </w:rPr>
        <w:t>Sistēmas publicitātei un tīmekļa vietnes izstrādei un uzturēšanai</w:t>
      </w:r>
      <w:r w:rsidRPr="00AE41BF">
        <w:rPr>
          <w:noProof/>
          <w:color w:val="000000"/>
        </w:rPr>
        <w:t>.</w:t>
      </w:r>
      <w:r>
        <w:rPr>
          <w:noProof/>
          <w:color w:val="000000"/>
        </w:rPr>
        <w:t xml:space="preserve"> </w:t>
      </w:r>
      <w:r w:rsidRPr="00A97D84">
        <w:rPr>
          <w:b/>
          <w:bCs/>
        </w:rPr>
        <w:t xml:space="preserve">Papildus nepieciešamais finansējums ir </w:t>
      </w:r>
      <w:r w:rsidRPr="0077285C">
        <w:rPr>
          <w:b/>
          <w:bCs/>
        </w:rPr>
        <w:t>110</w:t>
      </w:r>
      <w:r w:rsidR="00D861A6">
        <w:rPr>
          <w:b/>
          <w:bCs/>
        </w:rPr>
        <w:t> </w:t>
      </w:r>
      <w:r w:rsidRPr="0077285C">
        <w:rPr>
          <w:b/>
          <w:bCs/>
        </w:rPr>
        <w:t>000</w:t>
      </w:r>
      <w:r w:rsidR="00D861A6">
        <w:rPr>
          <w:b/>
          <w:bCs/>
          <w:i/>
        </w:rPr>
        <w:t> </w:t>
      </w:r>
      <w:proofErr w:type="spellStart"/>
      <w:r w:rsidRPr="00A97D84">
        <w:rPr>
          <w:b/>
          <w:bCs/>
          <w:i/>
        </w:rPr>
        <w:t>euro</w:t>
      </w:r>
      <w:proofErr w:type="spellEnd"/>
      <w:r w:rsidRPr="00A97D84">
        <w:rPr>
          <w:b/>
          <w:bCs/>
        </w:rPr>
        <w:t xml:space="preserve"> 2018.</w:t>
      </w:r>
      <w:r w:rsidR="00D861A6">
        <w:rPr>
          <w:b/>
          <w:bCs/>
        </w:rPr>
        <w:t> </w:t>
      </w:r>
      <w:r w:rsidRPr="00A97D84">
        <w:rPr>
          <w:b/>
          <w:bCs/>
        </w:rPr>
        <w:t>gadā</w:t>
      </w:r>
      <w:r>
        <w:rPr>
          <w:b/>
          <w:bCs/>
        </w:rPr>
        <w:t xml:space="preserve">, </w:t>
      </w:r>
      <w:r w:rsidR="00640050">
        <w:rPr>
          <w:b/>
          <w:bCs/>
        </w:rPr>
        <w:t>26</w:t>
      </w:r>
      <w:r w:rsidR="00D861A6">
        <w:rPr>
          <w:b/>
          <w:bCs/>
        </w:rPr>
        <w:t> </w:t>
      </w:r>
      <w:r w:rsidR="00FC579E" w:rsidRPr="0077285C">
        <w:rPr>
          <w:b/>
          <w:bCs/>
        </w:rPr>
        <w:t>800</w:t>
      </w:r>
      <w:r w:rsidR="00D861A6">
        <w:rPr>
          <w:b/>
          <w:bCs/>
        </w:rPr>
        <w:t> </w:t>
      </w:r>
      <w:proofErr w:type="spellStart"/>
      <w:r w:rsidRPr="00A97D84">
        <w:rPr>
          <w:b/>
          <w:bCs/>
          <w:i/>
        </w:rPr>
        <w:t>euro</w:t>
      </w:r>
      <w:proofErr w:type="spellEnd"/>
      <w:r w:rsidRPr="00A97D84">
        <w:rPr>
          <w:b/>
          <w:bCs/>
        </w:rPr>
        <w:t xml:space="preserve"> 2019. gad</w:t>
      </w:r>
      <w:r w:rsidR="00FC579E">
        <w:rPr>
          <w:b/>
          <w:bCs/>
        </w:rPr>
        <w:t>ā</w:t>
      </w:r>
      <w:r w:rsidR="00640050">
        <w:rPr>
          <w:b/>
          <w:bCs/>
        </w:rPr>
        <w:t>,</w:t>
      </w:r>
      <w:r w:rsidRPr="00A97D84">
        <w:rPr>
          <w:b/>
          <w:bCs/>
        </w:rPr>
        <w:t xml:space="preserve"> </w:t>
      </w:r>
      <w:r w:rsidR="00640050">
        <w:rPr>
          <w:b/>
          <w:bCs/>
        </w:rPr>
        <w:t>5</w:t>
      </w:r>
      <w:r w:rsidR="00FC579E" w:rsidRPr="0077285C">
        <w:rPr>
          <w:b/>
          <w:bCs/>
        </w:rPr>
        <w:t>1 800</w:t>
      </w:r>
      <w:r w:rsidR="005E0831">
        <w:rPr>
          <w:b/>
          <w:bCs/>
        </w:rPr>
        <w:t> </w:t>
      </w:r>
      <w:proofErr w:type="spellStart"/>
      <w:r w:rsidR="00FC579E" w:rsidRPr="00FC579E">
        <w:rPr>
          <w:b/>
          <w:bCs/>
          <w:i/>
        </w:rPr>
        <w:t>euro</w:t>
      </w:r>
      <w:proofErr w:type="spellEnd"/>
      <w:r w:rsidR="00FC579E">
        <w:rPr>
          <w:b/>
          <w:bCs/>
        </w:rPr>
        <w:t xml:space="preserve"> </w:t>
      </w:r>
      <w:r w:rsidR="00640050">
        <w:rPr>
          <w:b/>
          <w:bCs/>
        </w:rPr>
        <w:t xml:space="preserve">2020. </w:t>
      </w:r>
      <w:r w:rsidR="00FC579E">
        <w:rPr>
          <w:b/>
          <w:bCs/>
        </w:rPr>
        <w:t>gadā</w:t>
      </w:r>
      <w:r w:rsidR="005E0831">
        <w:rPr>
          <w:b/>
          <w:bCs/>
        </w:rPr>
        <w:t xml:space="preserve"> </w:t>
      </w:r>
      <w:r w:rsidR="00640050" w:rsidRPr="00A97D84">
        <w:rPr>
          <w:b/>
          <w:bCs/>
        </w:rPr>
        <w:t xml:space="preserve">un </w:t>
      </w:r>
      <w:r w:rsidR="00640050">
        <w:rPr>
          <w:b/>
          <w:bCs/>
        </w:rPr>
        <w:t>3</w:t>
      </w:r>
      <w:r w:rsidR="00640050" w:rsidRPr="0077285C">
        <w:rPr>
          <w:b/>
          <w:bCs/>
        </w:rPr>
        <w:t>1 800</w:t>
      </w:r>
      <w:r w:rsidR="00640050">
        <w:rPr>
          <w:b/>
          <w:bCs/>
        </w:rPr>
        <w:t> </w:t>
      </w:r>
      <w:proofErr w:type="spellStart"/>
      <w:r w:rsidR="00640050" w:rsidRPr="00FC579E">
        <w:rPr>
          <w:b/>
          <w:bCs/>
          <w:i/>
        </w:rPr>
        <w:t>euro</w:t>
      </w:r>
      <w:proofErr w:type="spellEnd"/>
      <w:r w:rsidR="00640050">
        <w:rPr>
          <w:b/>
          <w:bCs/>
        </w:rPr>
        <w:t xml:space="preserve"> gadā, </w:t>
      </w:r>
      <w:r w:rsidR="005E0831">
        <w:rPr>
          <w:b/>
          <w:bCs/>
        </w:rPr>
        <w:t>sākot ar</w:t>
      </w:r>
      <w:r w:rsidR="00640050">
        <w:rPr>
          <w:b/>
          <w:bCs/>
        </w:rPr>
        <w:t xml:space="preserve"> </w:t>
      </w:r>
      <w:r w:rsidR="00FC579E">
        <w:rPr>
          <w:b/>
          <w:bCs/>
        </w:rPr>
        <w:t>202</w:t>
      </w:r>
      <w:r w:rsidR="00640050">
        <w:rPr>
          <w:b/>
          <w:bCs/>
        </w:rPr>
        <w:t>1</w:t>
      </w:r>
      <w:r w:rsidR="00FC579E">
        <w:rPr>
          <w:b/>
          <w:bCs/>
        </w:rPr>
        <w:t>.</w:t>
      </w:r>
      <w:r w:rsidR="005E0831">
        <w:rPr>
          <w:b/>
          <w:bCs/>
        </w:rPr>
        <w:t> </w:t>
      </w:r>
      <w:r w:rsidR="00FC579E">
        <w:rPr>
          <w:b/>
          <w:bCs/>
        </w:rPr>
        <w:t>gad</w:t>
      </w:r>
      <w:r w:rsidR="005E0831">
        <w:rPr>
          <w:b/>
          <w:bCs/>
        </w:rPr>
        <w:t>u,</w:t>
      </w:r>
      <w:r w:rsidR="00FC579E">
        <w:rPr>
          <w:b/>
          <w:bCs/>
        </w:rPr>
        <w:t xml:space="preserve"> </w:t>
      </w:r>
      <w:r w:rsidR="001233DE">
        <w:rPr>
          <w:b/>
          <w:bCs/>
        </w:rPr>
        <w:t>ik gadu</w:t>
      </w:r>
      <w:r w:rsidRPr="00A97D84">
        <w:rPr>
          <w:b/>
          <w:bCs/>
        </w:rPr>
        <w:t>.</w:t>
      </w:r>
    </w:p>
    <w:p w:rsidR="00292402" w:rsidRPr="00452B47" w:rsidRDefault="00C90AD8" w:rsidP="0062156C">
      <w:pPr>
        <w:spacing w:before="360"/>
        <w:jc w:val="center"/>
        <w:rPr>
          <w:b/>
          <w:smallCaps/>
          <w:sz w:val="26"/>
          <w:szCs w:val="26"/>
        </w:rPr>
      </w:pPr>
      <w:r>
        <w:rPr>
          <w:b/>
          <w:smallCaps/>
          <w:sz w:val="26"/>
          <w:szCs w:val="26"/>
        </w:rPr>
        <w:t>III</w:t>
      </w:r>
      <w:r w:rsidR="008249FC" w:rsidRPr="00452B47">
        <w:rPr>
          <w:b/>
          <w:smallCaps/>
          <w:sz w:val="26"/>
          <w:szCs w:val="26"/>
        </w:rPr>
        <w:t>. </w:t>
      </w:r>
      <w:r w:rsidR="006F047A" w:rsidRPr="00452B47">
        <w:rPr>
          <w:b/>
          <w:smallCaps/>
          <w:sz w:val="26"/>
          <w:szCs w:val="26"/>
        </w:rPr>
        <w:t xml:space="preserve"> pamatnostādnēs</w:t>
      </w:r>
      <w:r w:rsidR="00E23CD6" w:rsidRPr="00452B47">
        <w:rPr>
          <w:b/>
          <w:smallCaps/>
          <w:sz w:val="26"/>
          <w:szCs w:val="26"/>
        </w:rPr>
        <w:t xml:space="preserve"> </w:t>
      </w:r>
      <w:r w:rsidR="00E52215" w:rsidRPr="00452B47">
        <w:rPr>
          <w:b/>
          <w:smallCaps/>
          <w:sz w:val="26"/>
          <w:szCs w:val="26"/>
        </w:rPr>
        <w:t xml:space="preserve">un to īstenošanas plānā </w:t>
      </w:r>
      <w:r w:rsidR="00292402" w:rsidRPr="00452B47">
        <w:rPr>
          <w:b/>
          <w:smallCaps/>
          <w:sz w:val="26"/>
          <w:szCs w:val="26"/>
        </w:rPr>
        <w:t>noteikto papilduzdevumu izpildes nodrošināšana</w:t>
      </w:r>
    </w:p>
    <w:p w:rsidR="00C76471" w:rsidRDefault="003A39A8" w:rsidP="00C76471">
      <w:pPr>
        <w:spacing w:before="60"/>
        <w:ind w:firstLine="709"/>
        <w:jc w:val="both"/>
      </w:pPr>
      <w:r w:rsidRPr="003A39A8">
        <w:t xml:space="preserve">Pamatnostādnēs </w:t>
      </w:r>
      <w:r w:rsidR="005E0831">
        <w:t xml:space="preserve">ir </w:t>
      </w:r>
      <w:r w:rsidRPr="003A39A8">
        <w:t xml:space="preserve">iekļauts uzdevums stiprināt Maksātnespējas administrācijas kapacitāti, kā arī noteikti galvenie Maksātnespējas administrācijas kompetencē esošie uzdevumi un no tiem izrietošie pasākumi, kas saistīti ar Maksātnespējas administrācijas kompetences un kapacitātes stiprināšanu. Pamatnostādnēs ietverti gan tādi pasākumi, kas ir vērsti uz esošo Maksātnespējas administrācijas uzdevumu veikšanas efektivitātes paaugstināšanu, piemēram, administratoru uzraudzības risku vadības mehānisma izstrāde, informācijas tehnoloģiju (turpmāk – IT) sistēmu attīstība un pilnveidošana, administratoru pretendentu saraksta (rindas) darbības uzlabošana, nejaušības principa stiprināšana un IT audita regulāra veikšana, gan tādi pasākumi, kas saistīti ar veicamo Maksātnespējas administrācijas uzdevumu loka paplašināšanu, piemēram, administratoru ienākšanas profesijā organizēšana, ar to aizstājot līdzšinējo administratoru sertificēšanu utt. Pamatnostādņu īstenošanas plānā iekļauto pasākumu kopums ir vērsts uz Maksātnespējas administrācijas veiktā uzraudzības procesa efektivitātes paaugstināšanu, tādējādi uzlabojot maksātnespējas procesa efektivitāti un kvalitāti. </w:t>
      </w:r>
    </w:p>
    <w:p w:rsidR="008B2056" w:rsidRPr="003A39A8" w:rsidRDefault="008B2056" w:rsidP="00C76471">
      <w:pPr>
        <w:spacing w:before="60"/>
        <w:ind w:firstLine="709"/>
        <w:jc w:val="both"/>
      </w:pPr>
    </w:p>
    <w:p w:rsidR="005C3289" w:rsidRPr="00C76471" w:rsidRDefault="005C3289" w:rsidP="00C76471">
      <w:pPr>
        <w:spacing w:before="240"/>
        <w:ind w:firstLine="709"/>
        <w:jc w:val="both"/>
        <w:rPr>
          <w:b/>
          <w:szCs w:val="28"/>
        </w:rPr>
      </w:pPr>
      <w:r w:rsidRPr="00C76471">
        <w:rPr>
          <w:b/>
          <w:szCs w:val="28"/>
        </w:rPr>
        <w:t>1. Administratoru uzraudzības risku vadības mehānisms</w:t>
      </w:r>
    </w:p>
    <w:p w:rsidR="00905E80" w:rsidRDefault="00650F11" w:rsidP="00745475">
      <w:pPr>
        <w:spacing w:before="60"/>
        <w:ind w:firstLine="709"/>
        <w:jc w:val="both"/>
      </w:pPr>
      <w:r>
        <w:t>Viens</w:t>
      </w:r>
      <w:r w:rsidR="002C0A9C" w:rsidRPr="00151F80">
        <w:t xml:space="preserve"> no Maksātnespējas administrācijas </w:t>
      </w:r>
      <w:r>
        <w:t>uzdevumiem</w:t>
      </w:r>
      <w:r w:rsidR="002C0A9C" w:rsidRPr="00151F80">
        <w:t xml:space="preserve"> ir tiesiskās aizsardzības procesa, juridiskās personas maksātnespējas procesa un fiziskās personas maksātnespējas procesa uzraudzības nodrošināšana. Administratora rīcību konkrētā procesā jebkurā gadījumā </w:t>
      </w:r>
      <w:r w:rsidR="002C0A9C">
        <w:t>pārbauda</w:t>
      </w:r>
      <w:r w:rsidR="002C0A9C" w:rsidRPr="00151F80">
        <w:t xml:space="preserve">, ja par to ir saņemtas ziņas (sūdzības, fizisko un juridisko personu pieprasījumi un informācija, publiskās telpas informācija). </w:t>
      </w:r>
    </w:p>
    <w:p w:rsidR="002C0A9C" w:rsidRPr="00151F80" w:rsidRDefault="002C0A9C" w:rsidP="00745475">
      <w:pPr>
        <w:spacing w:before="60"/>
        <w:ind w:firstLine="709"/>
        <w:jc w:val="both"/>
      </w:pPr>
      <w:r w:rsidRPr="00151F80">
        <w:t>Maksātnespējas administrācijas kap</w:t>
      </w:r>
      <w:r w:rsidR="00B757F9">
        <w:t>acitātes stiprināšana nodrošina to, ka iestāde var</w:t>
      </w:r>
      <w:r w:rsidRPr="00151F80">
        <w:t xml:space="preserve"> efektīvi veikt uzraudzības darbības, kas nav tieši saistītas ar, piemēram, sūdzību izskatīšanu, un pievērst uzmanību </w:t>
      </w:r>
      <w:r>
        <w:t>tādu</w:t>
      </w:r>
      <w:r w:rsidRPr="00151F80">
        <w:t xml:space="preserve"> pārkāpumu novēršanai, k</w:t>
      </w:r>
      <w:r>
        <w:t>o</w:t>
      </w:r>
      <w:r w:rsidRPr="00151F80">
        <w:t xml:space="preserve"> šobrīd </w:t>
      </w:r>
      <w:r>
        <w:t>neveic</w:t>
      </w:r>
      <w:r w:rsidRPr="00151F80">
        <w:t xml:space="preserve"> nepietiekamo resursu dēļ. Lai gan Maksātnespējas administrācijas </w:t>
      </w:r>
      <w:r w:rsidR="006F1B43">
        <w:t xml:space="preserve">īstenoto </w:t>
      </w:r>
      <w:r w:rsidRPr="00151F80">
        <w:t xml:space="preserve">uzraudzības veikšanu būtiski atvieglojusi </w:t>
      </w:r>
      <w:r w:rsidR="008C29C3">
        <w:t>S</w:t>
      </w:r>
      <w:r w:rsidR="00E14F9E">
        <w:t>istēmas ieviešana</w:t>
      </w:r>
      <w:r>
        <w:t xml:space="preserve">, tomēr, lai </w:t>
      </w:r>
      <w:proofErr w:type="spellStart"/>
      <w:r w:rsidRPr="00151F80">
        <w:t>efekt</w:t>
      </w:r>
      <w:r>
        <w:t>ivizētu</w:t>
      </w:r>
      <w:proofErr w:type="spellEnd"/>
      <w:r w:rsidR="00A52E8D">
        <w:t xml:space="preserve"> uzraudzību</w:t>
      </w:r>
      <w:r w:rsidRPr="00151F80">
        <w:t xml:space="preserve">, nepieciešams izstrādāt administratoru </w:t>
      </w:r>
      <w:r w:rsidR="000A1C33">
        <w:t xml:space="preserve">uzraudzības </w:t>
      </w:r>
      <w:r w:rsidRPr="00151F80">
        <w:t>risku vadības mehānismu,</w:t>
      </w:r>
      <w:r>
        <w:t xml:space="preserve"> jo</w:t>
      </w:r>
      <w:r w:rsidRPr="00151F80">
        <w:t xml:space="preserve"> fiziski pārbaud</w:t>
      </w:r>
      <w:r>
        <w:t>īt</w:t>
      </w:r>
      <w:r w:rsidRPr="00151F80">
        <w:t xml:space="preserve"> visus aktīvos procesu</w:t>
      </w:r>
      <w:r w:rsidR="00A04B4F">
        <w:t>s (šobrīd apmēram 6500 procesi)</w:t>
      </w:r>
      <w:r w:rsidRPr="00151F80">
        <w:t xml:space="preserve"> nav lietderīgi un faktiski iespējams. </w:t>
      </w:r>
    </w:p>
    <w:p w:rsidR="002C0A9C" w:rsidRPr="00151F80" w:rsidRDefault="002C0A9C" w:rsidP="00745475">
      <w:pPr>
        <w:spacing w:before="60"/>
        <w:ind w:firstLine="709"/>
        <w:jc w:val="both"/>
      </w:pPr>
      <w:r w:rsidRPr="00151F80">
        <w:t>Ievērojot minēto</w:t>
      </w:r>
      <w:r>
        <w:t xml:space="preserve"> un</w:t>
      </w:r>
      <w:r w:rsidRPr="00151F80">
        <w:t xml:space="preserve"> atbilstoši Pamatnostādņu īstenošanas plānā noteiktajam</w:t>
      </w:r>
      <w:r w:rsidR="00845632">
        <w:t>,</w:t>
      </w:r>
      <w:r w:rsidRPr="00151F80">
        <w:t xml:space="preserve"> Maksātnespējas administrācijai līdz 2017. gada 31. maijam jāizstrādā risku vadības mehānisms, lai savlaicīgi un precīzi identificētu administratorus un procesus, kur ir saskatāms prettiesiskas rīcības risks.</w:t>
      </w:r>
      <w:r w:rsidR="001F28F7">
        <w:t xml:space="preserve"> Maksātnespējas procesu uzraudzībā nekad iepriekš nav ticis izmantots risku vadības mehānisma princips, līdz ar to tas ir pilnībā jāveido un jāievieš no jauna.</w:t>
      </w:r>
      <w:r>
        <w:t xml:space="preserve"> </w:t>
      </w:r>
      <w:r w:rsidR="00850EE8">
        <w:t xml:space="preserve">Maksātnespējas administrācija ir izveidojusi </w:t>
      </w:r>
      <w:r w:rsidRPr="00151F80">
        <w:t xml:space="preserve">risku vadības </w:t>
      </w:r>
      <w:r w:rsidR="00850EE8" w:rsidRPr="00151F80">
        <w:t>mehānism</w:t>
      </w:r>
      <w:r w:rsidR="00850EE8">
        <w:t xml:space="preserve">u, kas sevī ietver administratoru, </w:t>
      </w:r>
      <w:r w:rsidR="001F28F7">
        <w:t xml:space="preserve">sakārtojot tos noteiktās riska grupās un atlasot pēc noteiktiem kritērijiem attiecīgās riska grupas administratoru pārbaužu apjomu, </w:t>
      </w:r>
      <w:r w:rsidR="00850EE8">
        <w:t xml:space="preserve">un pēc tam arī attiecīgā administratora lietvedībā esošo procesu atlasi pēc noteiktiem kritērijiem. </w:t>
      </w:r>
      <w:r w:rsidR="00850EE8" w:rsidRPr="00151F80">
        <w:t xml:space="preserve"> </w:t>
      </w:r>
      <w:r w:rsidR="001F28F7">
        <w:t xml:space="preserve">Šobrīd gan administratoru, gan procesu izvērtējums tiek veikts, apstrādājot informāciju no vairākiem informācijas avotiem, un tas ir prasījis lielu resursu patēriņu, jo visas informācijas apstrāde tiek veikta manuāli. Ņemot vērā apstrādājamās informācijas apjomu, regularitāti un mūsdienu tehnoloģiju iespējas, lai atbrīvotu cilvēku resursu uzdevumu veikšanai, kurus nevar veikt programmas, risku vadības sistēmas darbības, kuras ir iespējams automatizēt, ir </w:t>
      </w:r>
      <w:r w:rsidR="00B10403">
        <w:t>jāveic ar informācijas tehnoloģiju palīdzību.</w:t>
      </w:r>
    </w:p>
    <w:p w:rsidR="005C3289" w:rsidRPr="00C76471" w:rsidRDefault="00A95082" w:rsidP="00C76471">
      <w:pPr>
        <w:spacing w:before="60"/>
        <w:ind w:firstLine="709"/>
        <w:jc w:val="both"/>
      </w:pPr>
      <w:r>
        <w:t xml:space="preserve">Ņemot vērā, ka </w:t>
      </w:r>
      <w:r w:rsidR="008C29C3">
        <w:t>S</w:t>
      </w:r>
      <w:r w:rsidR="00E14F9E">
        <w:t>istēmas</w:t>
      </w:r>
      <w:r w:rsidR="001B7FE2" w:rsidRPr="00151F80">
        <w:t xml:space="preserve"> potenciāls pieļauj iespēju pilnveidot tā</w:t>
      </w:r>
      <w:r w:rsidR="001B7FE2">
        <w:t>s</w:t>
      </w:r>
      <w:r w:rsidR="001B7FE2" w:rsidRPr="00151F80">
        <w:t xml:space="preserve"> funkcionalitāti, </w:t>
      </w:r>
      <w:r w:rsidR="00132B75">
        <w:t>tajā būtu lietderīgi iestrādā</w:t>
      </w:r>
      <w:r w:rsidR="001B7FE2" w:rsidRPr="00151F80">
        <w:t xml:space="preserve">t </w:t>
      </w:r>
      <w:r w:rsidR="001B7FE2">
        <w:t xml:space="preserve">administratoru uzraudzības </w:t>
      </w:r>
      <w:r w:rsidR="001B7FE2" w:rsidRPr="00151F80">
        <w:t>risku vadības mehānismu, kas palīdzētu identificēt maksātnespējas procesus ar paaugstinātu pārkāpumu risku</w:t>
      </w:r>
      <w:r w:rsidR="00F67730">
        <w:t xml:space="preserve"> un kas izmaksās 30 000 </w:t>
      </w:r>
      <w:proofErr w:type="spellStart"/>
      <w:r w:rsidR="00F67730" w:rsidRPr="00F67730">
        <w:rPr>
          <w:i/>
        </w:rPr>
        <w:t>euro</w:t>
      </w:r>
      <w:proofErr w:type="spellEnd"/>
      <w:r w:rsidR="001B7FE2" w:rsidRPr="00151F80">
        <w:t xml:space="preserve">. </w:t>
      </w:r>
      <w:r w:rsidR="00132B75">
        <w:t xml:space="preserve">Tādējādi </w:t>
      </w:r>
      <w:r w:rsidR="001B7FE2" w:rsidRPr="00151F80">
        <w:t xml:space="preserve">būtu </w:t>
      </w:r>
      <w:r w:rsidR="00B31830">
        <w:t>nepieciešams</w:t>
      </w:r>
      <w:r w:rsidR="00E14F9E">
        <w:t xml:space="preserve"> attīstīt min</w:t>
      </w:r>
      <w:r w:rsidR="008C29C3">
        <w:t>ēto S</w:t>
      </w:r>
      <w:r w:rsidR="001B7FE2">
        <w:t>istēmu</w:t>
      </w:r>
      <w:r w:rsidR="001B7FE2" w:rsidRPr="00151F80">
        <w:t xml:space="preserve">, paredzot, ka atbilstoši konkrētiem kritērijiem </w:t>
      </w:r>
      <w:r w:rsidR="008C29C3">
        <w:t>S</w:t>
      </w:r>
      <w:r w:rsidR="001B7FE2">
        <w:t>istēma automātiski sniedz</w:t>
      </w:r>
      <w:r w:rsidR="001B7FE2" w:rsidRPr="00151F80">
        <w:t xml:space="preserve"> informāciju par iespējami pastāvošiem riskiem</w:t>
      </w:r>
      <w:r w:rsidR="001B7FE2">
        <w:t xml:space="preserve"> maksātnespējas</w:t>
      </w:r>
      <w:r w:rsidR="001B7FE2" w:rsidRPr="00151F80">
        <w:t xml:space="preserve"> procesā</w:t>
      </w:r>
      <w:r w:rsidR="001B7FE2">
        <w:t xml:space="preserve"> un tiesiskās aizsardzības procesā</w:t>
      </w:r>
      <w:r w:rsidR="001B7FE2" w:rsidRPr="00151F80">
        <w:t xml:space="preserve">. Līdz ar to būtu iespējams nodrošināt pilnvērtīgāku un efektīvāku maksātnespējas procesu un tiesiskās aizsardzības procesu uzraudzību, jo samazināsies darbības, kuras šobrīd tiek veiktas manuāli. </w:t>
      </w:r>
    </w:p>
    <w:p w:rsidR="003A39A8" w:rsidRPr="00C76471" w:rsidRDefault="000938FE" w:rsidP="0062156C">
      <w:pPr>
        <w:spacing w:before="120"/>
        <w:ind w:firstLine="720"/>
        <w:jc w:val="both"/>
        <w:rPr>
          <w:b/>
        </w:rPr>
      </w:pPr>
      <w:r w:rsidRPr="000938FE">
        <w:rPr>
          <w:b/>
        </w:rPr>
        <w:t>Administratoru uzraudzības risku vadības mehānism</w:t>
      </w:r>
      <w:r>
        <w:rPr>
          <w:b/>
        </w:rPr>
        <w:t>a ieviešanai nepieciešamā finansējuma k</w:t>
      </w:r>
      <w:r w:rsidR="003A39A8" w:rsidRPr="00C76471">
        <w:rPr>
          <w:b/>
        </w:rPr>
        <w:t xml:space="preserve">opsavilkums </w:t>
      </w:r>
    </w:p>
    <w:p w:rsidR="00AC2AA8" w:rsidRPr="00C76471" w:rsidRDefault="001B7FE2" w:rsidP="00C76471">
      <w:pPr>
        <w:spacing w:before="60"/>
        <w:ind w:firstLine="709"/>
        <w:jc w:val="both"/>
      </w:pPr>
      <w:r w:rsidRPr="00D77F4B">
        <w:t xml:space="preserve">Šobrīd finansējums </w:t>
      </w:r>
      <w:r>
        <w:t xml:space="preserve">administratoru uzraudzības </w:t>
      </w:r>
      <w:r w:rsidRPr="00D77F4B">
        <w:t xml:space="preserve">risku vadības mehānisma iestrādei </w:t>
      </w:r>
      <w:r w:rsidR="008C29C3">
        <w:t>S</w:t>
      </w:r>
      <w:r w:rsidR="008C2F42">
        <w:t xml:space="preserve">istēmā </w:t>
      </w:r>
      <w:r w:rsidRPr="00D77F4B">
        <w:t xml:space="preserve">nav paredzēts. Ievērojot minēto, </w:t>
      </w:r>
      <w:r>
        <w:t xml:space="preserve">administratoru uzraudzības </w:t>
      </w:r>
      <w:r w:rsidRPr="00D77F4B">
        <w:t xml:space="preserve">risku vadības mehānisma iestrādei </w:t>
      </w:r>
      <w:r w:rsidR="008C29C3">
        <w:t>S</w:t>
      </w:r>
      <w:r>
        <w:t>istēmā</w:t>
      </w:r>
      <w:r w:rsidRPr="00D77F4B">
        <w:t xml:space="preserve"> ir nepieciešams piešķirt papildu </w:t>
      </w:r>
      <w:r>
        <w:t xml:space="preserve">finansējumu. </w:t>
      </w:r>
      <w:r w:rsidRPr="005C3289">
        <w:rPr>
          <w:b/>
        </w:rPr>
        <w:t>Administratoru uzraudzības risku vadības mehānisma izstrādes izmaksas veido 30</w:t>
      </w:r>
      <w:r w:rsidR="00B76ECD">
        <w:rPr>
          <w:b/>
        </w:rPr>
        <w:t> </w:t>
      </w:r>
      <w:r w:rsidRPr="005C3289">
        <w:rPr>
          <w:b/>
        </w:rPr>
        <w:t>000</w:t>
      </w:r>
      <w:r w:rsidR="00B76ECD">
        <w:rPr>
          <w:b/>
        </w:rPr>
        <w:t> </w:t>
      </w:r>
      <w:proofErr w:type="spellStart"/>
      <w:r w:rsidR="001A2814">
        <w:rPr>
          <w:b/>
          <w:i/>
        </w:rPr>
        <w:t>eu</w:t>
      </w:r>
      <w:r w:rsidRPr="005C3289">
        <w:rPr>
          <w:b/>
          <w:i/>
        </w:rPr>
        <w:t>ro</w:t>
      </w:r>
      <w:proofErr w:type="spellEnd"/>
      <w:r w:rsidR="00BC7607" w:rsidRPr="005C3289">
        <w:rPr>
          <w:b/>
        </w:rPr>
        <w:t xml:space="preserve"> 2018.</w:t>
      </w:r>
      <w:r w:rsidR="00B76ECD">
        <w:rPr>
          <w:b/>
        </w:rPr>
        <w:t> </w:t>
      </w:r>
      <w:r w:rsidR="00BC7607" w:rsidRPr="005C3289">
        <w:rPr>
          <w:b/>
        </w:rPr>
        <w:t>gadā un 7 500</w:t>
      </w:r>
      <w:r w:rsidR="00B76ECD">
        <w:rPr>
          <w:b/>
        </w:rPr>
        <w:t> </w:t>
      </w:r>
      <w:proofErr w:type="spellStart"/>
      <w:r w:rsidR="00BC7607" w:rsidRPr="005C3289">
        <w:rPr>
          <w:b/>
          <w:i/>
        </w:rPr>
        <w:t>euro</w:t>
      </w:r>
      <w:proofErr w:type="spellEnd"/>
      <w:r w:rsidR="00BC7607" w:rsidRPr="005C3289">
        <w:rPr>
          <w:b/>
        </w:rPr>
        <w:t xml:space="preserve"> uzturēšanas izmaksas</w:t>
      </w:r>
      <w:r w:rsidR="00EC72DB">
        <w:rPr>
          <w:b/>
        </w:rPr>
        <w:t xml:space="preserve"> ik gadu</w:t>
      </w:r>
      <w:r w:rsidR="001233DE">
        <w:rPr>
          <w:b/>
        </w:rPr>
        <w:t xml:space="preserve">, sākot ar </w:t>
      </w:r>
      <w:r w:rsidR="005D10D6" w:rsidRPr="005C3289">
        <w:rPr>
          <w:b/>
        </w:rPr>
        <w:t>2019.</w:t>
      </w:r>
      <w:r w:rsidR="00B76ECD">
        <w:rPr>
          <w:b/>
        </w:rPr>
        <w:t> </w:t>
      </w:r>
      <w:r w:rsidR="005D10D6" w:rsidRPr="005C3289">
        <w:rPr>
          <w:b/>
        </w:rPr>
        <w:t>gad</w:t>
      </w:r>
      <w:r w:rsidR="001233DE">
        <w:rPr>
          <w:b/>
        </w:rPr>
        <w:t>u</w:t>
      </w:r>
      <w:r w:rsidRPr="005C3289">
        <w:rPr>
          <w:b/>
        </w:rPr>
        <w:t>.</w:t>
      </w:r>
      <w:r>
        <w:t xml:space="preserve"> </w:t>
      </w:r>
    </w:p>
    <w:p w:rsidR="003A39A8" w:rsidRPr="00C76471" w:rsidRDefault="00362E9A" w:rsidP="00C76471">
      <w:pPr>
        <w:spacing w:before="240"/>
        <w:ind w:firstLine="709"/>
        <w:jc w:val="both"/>
        <w:rPr>
          <w:b/>
          <w:szCs w:val="28"/>
        </w:rPr>
      </w:pPr>
      <w:r w:rsidRPr="00C76471">
        <w:rPr>
          <w:b/>
          <w:szCs w:val="28"/>
        </w:rPr>
        <w:t>2. </w:t>
      </w:r>
      <w:r w:rsidR="000B433C" w:rsidRPr="00C76471">
        <w:rPr>
          <w:b/>
          <w:szCs w:val="28"/>
        </w:rPr>
        <w:t>Administratoru pretendentu saraksta (rindas) nejaušības principa stiprināšana, regulāra monitoringa veikšana</w:t>
      </w:r>
    </w:p>
    <w:p w:rsidR="00362E9A" w:rsidRDefault="00362E9A" w:rsidP="00745475">
      <w:pPr>
        <w:spacing w:before="60"/>
        <w:ind w:firstLine="709"/>
        <w:jc w:val="both"/>
      </w:pPr>
      <w:r w:rsidRPr="00151F80">
        <w:t>Ministru kabineta 2010. gada 26. oktobra noteikumi Nr. 1001 "Kārtība, kādā Maksātnespējas administrācija izvēlas un iesaka tiesai maksātnespējas procesa administratora amata kandidātu" (turpmāk – Ministru kabineta noteikumi Nr. 1001) nosaka kārtību, kādā Maksātnespējas administrācija izvēlas un iesaka tiesai administratora amata kandidātu konkrētam tiesiskās aizsardzības procesam, juridiskās personas maksātnespējas procesam vai fiziskās personas maksātnespējas procesam.</w:t>
      </w:r>
    </w:p>
    <w:p w:rsidR="00B67FF3" w:rsidRDefault="00B67FF3" w:rsidP="00B67FF3">
      <w:pPr>
        <w:spacing w:before="60"/>
        <w:ind w:firstLine="709"/>
        <w:jc w:val="both"/>
      </w:pPr>
      <w:r w:rsidRPr="00C57459">
        <w:t xml:space="preserve">Lai stiprinātu administratoru pretendentu saraksta </w:t>
      </w:r>
      <w:r w:rsidR="000917AA">
        <w:t xml:space="preserve">(turpmāk – rinda) </w:t>
      </w:r>
      <w:r w:rsidRPr="00C57459">
        <w:t>nejaušības principu – rindas darbības algoritmu</w:t>
      </w:r>
      <w:r>
        <w:t xml:space="preserve"> un nodrošinātu</w:t>
      </w:r>
      <w:r w:rsidRPr="00C57459">
        <w:t xml:space="preserve"> Ministru kabineta noteikumos Nr. 1001 noteikto prasību par individuālā koda drošību un iespējamo risku mazināšan</w:t>
      </w:r>
      <w:r>
        <w:t>u</w:t>
      </w:r>
      <w:r w:rsidRPr="00C57459">
        <w:t>, atbilstoši Pamatnostādņu īstenošanas plānā noteiktajam</w:t>
      </w:r>
      <w:r w:rsidRPr="00E90175">
        <w:t>,</w:t>
      </w:r>
      <w:r w:rsidRPr="00C57459">
        <w:rPr>
          <w:color w:val="FF0000"/>
        </w:rPr>
        <w:t xml:space="preserve"> </w:t>
      </w:r>
      <w:r w:rsidRPr="00C57459">
        <w:t xml:space="preserve">Maksātnespējas administrācijai sadarbībā ar Tieslietu ministriju nepieciešams izvērtēt iespējas </w:t>
      </w:r>
      <w:r>
        <w:t>izstrādāt jaunu rindu</w:t>
      </w:r>
      <w:r w:rsidRPr="00C57459">
        <w:t>.</w:t>
      </w:r>
    </w:p>
    <w:p w:rsidR="000313A2" w:rsidRPr="00AA35BA" w:rsidRDefault="000313A2" w:rsidP="000313A2">
      <w:pPr>
        <w:spacing w:before="60"/>
        <w:ind w:firstLine="709"/>
        <w:jc w:val="both"/>
        <w:rPr>
          <w:highlight w:val="magenta"/>
        </w:rPr>
      </w:pPr>
      <w:r>
        <w:t>Rinda ir izstrādāta reizē ar Maksātnespējas administrācijas tīmekļvietni un izveidota atbilstoši tobrīd noteiktajām drošības prasībām un iestādes finanšu resursiem. Šobrīd konstatējams, ka rindas ievainojamības risks no drošības viedokļa ir augsts, un, ņemot vērā tās darbības ietekmi uz maksātnespējas procesa norisi un pastāvīgi izskanošās aizdomas par rindas darbības korektumu, ir izstrādājama jauna rinda.</w:t>
      </w:r>
      <w:r w:rsidR="00295E4E">
        <w:t xml:space="preserve"> Pamatojoties uz Pamatnostādnēs un to ieviešanas plānā doto 4.4. uzdevumu, Maksātnespējas administrācijai sadarbībā ar Tieslietu ministriju ir dots uzdevums uzlabot administratoru rindas darbību, kas sevī ietver gan nejaušības principa stiprināšanu, uzlabojot rindas darbības algoritmu, gan regulāru auditu veikšanu, lai būtu iespējams konstatēt vai sistēmā nav veiktas prettiesiskas manipulācijas, gan novērst ar rindas darbības nodrošināšanu saistīto nodarbināto ieinteresētību. Minēto pasākumu sagaidāmais darbības rezultāts ir paaugstināta procesa caurspīdī</w:t>
      </w:r>
      <w:r w:rsidR="00613C79">
        <w:t>ba</w:t>
      </w:r>
      <w:r w:rsidR="00295E4E">
        <w:t xml:space="preserve"> un sabiedrības uzticamība maksātnespējas proces</w:t>
      </w:r>
      <w:r w:rsidR="00613C79">
        <w:t>ie</w:t>
      </w:r>
      <w:r w:rsidR="00295E4E">
        <w:t xml:space="preserve">m. </w:t>
      </w:r>
    </w:p>
    <w:p w:rsidR="00362E9A" w:rsidRDefault="000917AA" w:rsidP="00745475">
      <w:pPr>
        <w:spacing w:before="60"/>
        <w:ind w:firstLine="709"/>
        <w:jc w:val="both"/>
      </w:pPr>
      <w:r>
        <w:t>Līdz jaunas rindas izstrādei, l</w:t>
      </w:r>
      <w:r w:rsidR="00362E9A" w:rsidRPr="00C57459">
        <w:t xml:space="preserve">ai turpmāk uzlabotu administratoru pretendentu saraksta </w:t>
      </w:r>
      <w:r w:rsidR="006845E7" w:rsidRPr="00C57459">
        <w:t xml:space="preserve">(turpmāk </w:t>
      </w:r>
      <w:r w:rsidR="004F6723" w:rsidRPr="00C57459">
        <w:t>–</w:t>
      </w:r>
      <w:r w:rsidR="006845E7" w:rsidRPr="00C57459">
        <w:t xml:space="preserve"> rindas) </w:t>
      </w:r>
      <w:r w:rsidR="00362E9A" w:rsidRPr="00C57459">
        <w:t>darbību, Maksātnespējas administrācija reizi ceturksnī veiks</w:t>
      </w:r>
      <w:r w:rsidR="00362E9A" w:rsidRPr="00C57459">
        <w:rPr>
          <w:b/>
        </w:rPr>
        <w:t xml:space="preserve"> </w:t>
      </w:r>
      <w:r w:rsidR="006845E7" w:rsidRPr="00C57459">
        <w:t>rindas</w:t>
      </w:r>
      <w:r w:rsidR="00362E9A" w:rsidRPr="00C57459">
        <w:t xml:space="preserve"> pārbaudi, lai izsekotu, vai </w:t>
      </w:r>
      <w:r w:rsidR="006845E7" w:rsidRPr="00C57459">
        <w:t>rindā</w:t>
      </w:r>
      <w:r w:rsidR="00362E9A" w:rsidRPr="00C57459">
        <w:t xml:space="preserve"> </w:t>
      </w:r>
      <w:r w:rsidR="006845E7" w:rsidRPr="00C57459">
        <w:t xml:space="preserve">nav </w:t>
      </w:r>
      <w:r w:rsidR="00362E9A" w:rsidRPr="00C57459">
        <w:t xml:space="preserve">veiktas prettiesiskas manipulācijas. Veicot </w:t>
      </w:r>
      <w:r w:rsidR="006845E7" w:rsidRPr="00C57459">
        <w:t>rindas</w:t>
      </w:r>
      <w:r w:rsidR="001E6882" w:rsidRPr="00C57459">
        <w:t xml:space="preserve"> </w:t>
      </w:r>
      <w:r w:rsidR="00362E9A" w:rsidRPr="00C57459">
        <w:t xml:space="preserve">monitoringu, tiks pārbaudīts, vai </w:t>
      </w:r>
      <w:r w:rsidR="006845E7" w:rsidRPr="00C57459">
        <w:t xml:space="preserve">nav </w:t>
      </w:r>
      <w:r w:rsidR="00362E9A" w:rsidRPr="00C57459">
        <w:t>notikusi nesankcionēta piekļuve Maksātnespējas administrācijas tīmekļa vietnes uzturēšanas serverim</w:t>
      </w:r>
      <w:r w:rsidR="006845E7" w:rsidRPr="00C57459">
        <w:t xml:space="preserve"> ar mēģinājumu ietekmēt rindas darbību</w:t>
      </w:r>
      <w:r w:rsidR="00362E9A" w:rsidRPr="00C57459">
        <w:t>.</w:t>
      </w:r>
    </w:p>
    <w:p w:rsidR="009149BA" w:rsidRDefault="009149BA" w:rsidP="00745475">
      <w:pPr>
        <w:spacing w:before="60"/>
        <w:ind w:firstLine="709"/>
        <w:jc w:val="both"/>
      </w:pPr>
      <w:r>
        <w:t>Ņemot vērā, ka Sistēmas</w:t>
      </w:r>
      <w:r w:rsidRPr="00151F80">
        <w:t xml:space="preserve"> potenciāls pieļauj iespēju pilnveidot tā</w:t>
      </w:r>
      <w:r>
        <w:t>s</w:t>
      </w:r>
      <w:r w:rsidRPr="00151F80">
        <w:t xml:space="preserve"> funkcionalitāti, </w:t>
      </w:r>
      <w:r>
        <w:t>tajā būtu lietderīgi iestrādā</w:t>
      </w:r>
      <w:r w:rsidRPr="00151F80">
        <w:t xml:space="preserve">t </w:t>
      </w:r>
      <w:r>
        <w:t>rindas darbības algoritmu</w:t>
      </w:r>
      <w:r w:rsidRPr="00151F80">
        <w:t xml:space="preserve">, kas </w:t>
      </w:r>
      <w:r>
        <w:t xml:space="preserve">nodrošinātu nejaušības principa stiprināšanu un nepieciešamās drošības prasības un kas izmaksās 90 000 </w:t>
      </w:r>
      <w:proofErr w:type="spellStart"/>
      <w:r w:rsidRPr="00F67730">
        <w:rPr>
          <w:i/>
        </w:rPr>
        <w:t>euro</w:t>
      </w:r>
      <w:proofErr w:type="spellEnd"/>
      <w:r w:rsidRPr="00151F80">
        <w:t xml:space="preserve">. Līdz ar to būtu iespējams nodrošināt </w:t>
      </w:r>
      <w:r>
        <w:t>efektīvāku un drošāku rindas darbību</w:t>
      </w:r>
      <w:r w:rsidRPr="00151F80">
        <w:t>, jo samazinā</w:t>
      </w:r>
      <w:r>
        <w:t>tos</w:t>
      </w:r>
      <w:r w:rsidRPr="00151F80">
        <w:t xml:space="preserve"> darbības, kuras šobrīd tiek veiktas manuāli.</w:t>
      </w:r>
    </w:p>
    <w:p w:rsidR="003A39A8" w:rsidRPr="00C76471" w:rsidRDefault="000938FE" w:rsidP="0062156C">
      <w:pPr>
        <w:spacing w:before="120"/>
        <w:ind w:firstLine="720"/>
        <w:jc w:val="both"/>
        <w:rPr>
          <w:b/>
        </w:rPr>
      </w:pPr>
      <w:r w:rsidRPr="000938FE">
        <w:rPr>
          <w:b/>
        </w:rPr>
        <w:t>Administratoru pretendentu saraksta (rindas) nejaušības principa stiprināšana</w:t>
      </w:r>
      <w:r>
        <w:rPr>
          <w:b/>
        </w:rPr>
        <w:t>i</w:t>
      </w:r>
      <w:r w:rsidRPr="000938FE">
        <w:rPr>
          <w:b/>
        </w:rPr>
        <w:t>, regulāra monitoringa veikšana</w:t>
      </w:r>
      <w:r>
        <w:rPr>
          <w:b/>
        </w:rPr>
        <w:t>i nepieciešamā finansējuma k</w:t>
      </w:r>
      <w:r w:rsidR="003A39A8" w:rsidRPr="00C76471">
        <w:rPr>
          <w:b/>
        </w:rPr>
        <w:t>opsavilkums</w:t>
      </w:r>
    </w:p>
    <w:p w:rsidR="004161D6" w:rsidRPr="00C76471" w:rsidRDefault="00362E9A" w:rsidP="00C76471">
      <w:pPr>
        <w:spacing w:before="60"/>
        <w:ind w:firstLine="709"/>
        <w:jc w:val="both"/>
      </w:pPr>
      <w:r w:rsidRPr="00C57459">
        <w:t xml:space="preserve">Lai nodrošinātu attiecīgā ieteikuma ieviešanu, nepieciešams veikt </w:t>
      </w:r>
      <w:r w:rsidR="006845E7" w:rsidRPr="00C57459">
        <w:t>rindas</w:t>
      </w:r>
      <w:r w:rsidRPr="00C57459">
        <w:t xml:space="preserve"> programmēšanu, nodrošin</w:t>
      </w:r>
      <w:r w:rsidR="00925ED7" w:rsidRPr="00C57459">
        <w:t>o</w:t>
      </w:r>
      <w:r w:rsidRPr="00C57459">
        <w:t xml:space="preserve">t </w:t>
      </w:r>
      <w:r w:rsidR="004675BE">
        <w:t xml:space="preserve">auditēšanas pierakstu veikšanu un </w:t>
      </w:r>
      <w:r w:rsidRPr="00C57459">
        <w:t xml:space="preserve">administratora individuālā koda automātisku ģenerēšanu un individuālā koda nomaiņu. </w:t>
      </w:r>
      <w:r w:rsidR="00B97F10" w:rsidRPr="00C57459">
        <w:t xml:space="preserve">Ievērojot minēto, </w:t>
      </w:r>
      <w:r w:rsidR="006845E7" w:rsidRPr="00C57459">
        <w:t>rindas</w:t>
      </w:r>
      <w:r w:rsidR="00925ED7" w:rsidRPr="00C57459">
        <w:t xml:space="preserve"> </w:t>
      </w:r>
      <w:r w:rsidR="00B97F10" w:rsidRPr="00C57459">
        <w:t xml:space="preserve">programmēšanai nepieciešams piešķirt papildu finansējumu, jo </w:t>
      </w:r>
      <w:r w:rsidR="00925ED7" w:rsidRPr="00C57459">
        <w:t>šobrīd līdzekļi šim mērķim</w:t>
      </w:r>
      <w:r w:rsidR="00B97F10" w:rsidRPr="00C57459">
        <w:t xml:space="preserve"> Maksātnespējas administrācijas budžetā nav paredzēt</w:t>
      </w:r>
      <w:r w:rsidR="00925ED7" w:rsidRPr="00C57459">
        <w:t>i</w:t>
      </w:r>
      <w:r w:rsidR="00B97F10" w:rsidRPr="00C57459">
        <w:t xml:space="preserve">. </w:t>
      </w:r>
      <w:r w:rsidR="006845E7" w:rsidRPr="005C3289">
        <w:rPr>
          <w:b/>
        </w:rPr>
        <w:t>Rindas</w:t>
      </w:r>
      <w:r w:rsidRPr="005C3289">
        <w:rPr>
          <w:b/>
        </w:rPr>
        <w:t xml:space="preserve"> programmēšanas izdevumi </w:t>
      </w:r>
      <w:r w:rsidRPr="004F146A">
        <w:rPr>
          <w:b/>
        </w:rPr>
        <w:t xml:space="preserve">veido </w:t>
      </w:r>
      <w:r w:rsidR="004F146A">
        <w:rPr>
          <w:b/>
        </w:rPr>
        <w:t>90</w:t>
      </w:r>
      <w:r w:rsidR="001A2814">
        <w:rPr>
          <w:b/>
        </w:rPr>
        <w:t> </w:t>
      </w:r>
      <w:r w:rsidRPr="004F146A">
        <w:rPr>
          <w:b/>
        </w:rPr>
        <w:t>000 </w:t>
      </w:r>
      <w:proofErr w:type="spellStart"/>
      <w:r w:rsidRPr="004F146A">
        <w:rPr>
          <w:b/>
          <w:i/>
        </w:rPr>
        <w:t>euro</w:t>
      </w:r>
      <w:proofErr w:type="spellEnd"/>
      <w:r w:rsidR="00880FD5" w:rsidRPr="004F146A">
        <w:rPr>
          <w:b/>
        </w:rPr>
        <w:t xml:space="preserve"> un servera noma 2 400</w:t>
      </w:r>
      <w:r w:rsidR="00B76ECD" w:rsidRPr="004F146A">
        <w:rPr>
          <w:b/>
        </w:rPr>
        <w:t> </w:t>
      </w:r>
      <w:proofErr w:type="spellStart"/>
      <w:r w:rsidR="00880FD5" w:rsidRPr="004F146A">
        <w:rPr>
          <w:b/>
          <w:i/>
        </w:rPr>
        <w:t>euro</w:t>
      </w:r>
      <w:proofErr w:type="spellEnd"/>
      <w:r w:rsidR="00880FD5" w:rsidRPr="004F146A">
        <w:rPr>
          <w:b/>
        </w:rPr>
        <w:t xml:space="preserve"> gadā</w:t>
      </w:r>
      <w:r w:rsidR="006845E7" w:rsidRPr="004F146A">
        <w:rPr>
          <w:b/>
        </w:rPr>
        <w:t xml:space="preserve">, </w:t>
      </w:r>
      <w:r w:rsidR="00880FD5" w:rsidRPr="004F146A">
        <w:rPr>
          <w:b/>
        </w:rPr>
        <w:t xml:space="preserve">kam </w:t>
      </w:r>
      <w:r w:rsidR="006845E7" w:rsidRPr="004F146A">
        <w:rPr>
          <w:b/>
        </w:rPr>
        <w:t>2018.</w:t>
      </w:r>
      <w:r w:rsidR="00B76ECD" w:rsidRPr="004F146A">
        <w:rPr>
          <w:b/>
        </w:rPr>
        <w:t> </w:t>
      </w:r>
      <w:r w:rsidR="006845E7" w:rsidRPr="004F146A">
        <w:rPr>
          <w:b/>
        </w:rPr>
        <w:t>gadā</w:t>
      </w:r>
      <w:r w:rsidR="00880FD5" w:rsidRPr="004F146A">
        <w:rPr>
          <w:b/>
        </w:rPr>
        <w:t xml:space="preserve"> papildus nepieciešami </w:t>
      </w:r>
      <w:r w:rsidR="001A2814">
        <w:rPr>
          <w:b/>
        </w:rPr>
        <w:t>92 </w:t>
      </w:r>
      <w:r w:rsidR="00880FD5" w:rsidRPr="004F146A">
        <w:rPr>
          <w:b/>
        </w:rPr>
        <w:t>400</w:t>
      </w:r>
      <w:r w:rsidR="00FE6A3E" w:rsidRPr="004F146A">
        <w:rPr>
          <w:b/>
        </w:rPr>
        <w:t> </w:t>
      </w:r>
      <w:proofErr w:type="spellStart"/>
      <w:r w:rsidR="00880FD5" w:rsidRPr="004F146A">
        <w:rPr>
          <w:b/>
          <w:i/>
        </w:rPr>
        <w:t>euro</w:t>
      </w:r>
      <w:proofErr w:type="spellEnd"/>
      <w:r w:rsidR="00880FD5" w:rsidRPr="004F146A">
        <w:rPr>
          <w:b/>
          <w:i/>
        </w:rPr>
        <w:t>.</w:t>
      </w:r>
      <w:r w:rsidR="00880FD5" w:rsidRPr="004F146A">
        <w:rPr>
          <w:b/>
        </w:rPr>
        <w:t xml:space="preserve"> Turpmākajos gados rindas uzturēšanai nepieciešami</w:t>
      </w:r>
      <w:r w:rsidR="001A2814">
        <w:rPr>
          <w:b/>
        </w:rPr>
        <w:t xml:space="preserve"> 18 </w:t>
      </w:r>
      <w:r w:rsidR="004F146A">
        <w:rPr>
          <w:b/>
        </w:rPr>
        <w:t>000</w:t>
      </w:r>
      <w:r w:rsidR="001A2814">
        <w:rPr>
          <w:b/>
        </w:rPr>
        <w:t> </w:t>
      </w:r>
      <w:proofErr w:type="spellStart"/>
      <w:r w:rsidR="00880FD5" w:rsidRPr="004F146A">
        <w:rPr>
          <w:b/>
          <w:i/>
        </w:rPr>
        <w:t>euro</w:t>
      </w:r>
      <w:proofErr w:type="spellEnd"/>
      <w:r w:rsidR="00880FD5" w:rsidRPr="004F146A">
        <w:rPr>
          <w:b/>
        </w:rPr>
        <w:t xml:space="preserve"> gadā un 2 400</w:t>
      </w:r>
      <w:r w:rsidR="00B76ECD" w:rsidRPr="004F146A">
        <w:rPr>
          <w:b/>
        </w:rPr>
        <w:t> </w:t>
      </w:r>
      <w:proofErr w:type="spellStart"/>
      <w:r w:rsidR="00880FD5" w:rsidRPr="004F146A">
        <w:rPr>
          <w:b/>
          <w:i/>
        </w:rPr>
        <w:t>euro</w:t>
      </w:r>
      <w:proofErr w:type="spellEnd"/>
      <w:r w:rsidR="00880FD5" w:rsidRPr="004F146A">
        <w:rPr>
          <w:b/>
        </w:rPr>
        <w:t xml:space="preserve"> gadā servera nomai, kas kopā veido </w:t>
      </w:r>
      <w:r w:rsidR="00CE3972">
        <w:rPr>
          <w:b/>
        </w:rPr>
        <w:t>20</w:t>
      </w:r>
      <w:r w:rsidR="001A2814">
        <w:rPr>
          <w:b/>
        </w:rPr>
        <w:t> </w:t>
      </w:r>
      <w:r w:rsidR="00880FD5" w:rsidRPr="004F146A">
        <w:rPr>
          <w:b/>
        </w:rPr>
        <w:t>400</w:t>
      </w:r>
      <w:r w:rsidR="00B76ECD">
        <w:rPr>
          <w:b/>
        </w:rPr>
        <w:t> </w:t>
      </w:r>
      <w:proofErr w:type="spellStart"/>
      <w:r w:rsidR="00880FD5" w:rsidRPr="005C3289">
        <w:rPr>
          <w:b/>
          <w:i/>
        </w:rPr>
        <w:t>euro</w:t>
      </w:r>
      <w:proofErr w:type="spellEnd"/>
      <w:r w:rsidR="00880FD5" w:rsidRPr="005C3289">
        <w:rPr>
          <w:b/>
        </w:rPr>
        <w:t xml:space="preserve"> gadā</w:t>
      </w:r>
      <w:r w:rsidR="00B76ECD">
        <w:rPr>
          <w:b/>
        </w:rPr>
        <w:t>,</w:t>
      </w:r>
      <w:r w:rsidR="00880FD5" w:rsidRPr="005C3289">
        <w:rPr>
          <w:b/>
        </w:rPr>
        <w:t xml:space="preserve"> sākot no 2019.</w:t>
      </w:r>
      <w:r w:rsidR="00B76ECD">
        <w:rPr>
          <w:b/>
        </w:rPr>
        <w:t> </w:t>
      </w:r>
      <w:r w:rsidR="00880FD5" w:rsidRPr="005C3289">
        <w:rPr>
          <w:b/>
        </w:rPr>
        <w:t>gada</w:t>
      </w:r>
      <w:r w:rsidR="00925ED7" w:rsidRPr="005C3289">
        <w:rPr>
          <w:b/>
        </w:rPr>
        <w:t>.</w:t>
      </w:r>
      <w:r w:rsidR="00925ED7">
        <w:t xml:space="preserve"> </w:t>
      </w:r>
    </w:p>
    <w:p w:rsidR="003A39A8" w:rsidRPr="00C76471" w:rsidRDefault="006F6768" w:rsidP="00C76471">
      <w:pPr>
        <w:spacing w:before="240"/>
        <w:ind w:firstLine="709"/>
        <w:jc w:val="both"/>
        <w:rPr>
          <w:b/>
          <w:szCs w:val="28"/>
        </w:rPr>
      </w:pPr>
      <w:r w:rsidRPr="00C76471">
        <w:rPr>
          <w:b/>
          <w:szCs w:val="28"/>
        </w:rPr>
        <w:t>3.</w:t>
      </w:r>
      <w:r w:rsidR="0084458A">
        <w:rPr>
          <w:b/>
          <w:szCs w:val="28"/>
        </w:rPr>
        <w:t> </w:t>
      </w:r>
      <w:r w:rsidR="003A39A8" w:rsidRPr="00C76471">
        <w:rPr>
          <w:b/>
          <w:szCs w:val="28"/>
        </w:rPr>
        <w:t>Sabiedrības informēšanas pasākumu nodrošināšana</w:t>
      </w:r>
    </w:p>
    <w:p w:rsidR="004161D6" w:rsidRDefault="004161D6" w:rsidP="00745475">
      <w:pPr>
        <w:spacing w:before="60"/>
        <w:ind w:firstLine="709"/>
        <w:jc w:val="both"/>
      </w:pPr>
      <w:r>
        <w:t>Atbilstoši P</w:t>
      </w:r>
      <w:r w:rsidRPr="00D95833">
        <w:t>amatnostādņu īstenošanas plānā noteiktajam</w:t>
      </w:r>
      <w:r>
        <w:t>,</w:t>
      </w:r>
      <w:r w:rsidRPr="00D95833">
        <w:t xml:space="preserve"> </w:t>
      </w:r>
      <w:r>
        <w:t xml:space="preserve">Maksātnespējas administrācijai sadarbībā ar Tieslietu ministriju, Ekonomikas ministriju, </w:t>
      </w:r>
      <w:r w:rsidRPr="00D95833">
        <w:t>Latvijas Investīciju un attīstības aģentūr</w:t>
      </w:r>
      <w:r>
        <w:t>u un Finanšu un kapitāla tirgus komisiju regulāri jānodrošina sabiedrības informēšanas pasākumi:</w:t>
      </w:r>
    </w:p>
    <w:p w:rsidR="004161D6" w:rsidRDefault="004161D6" w:rsidP="0094661D">
      <w:pPr>
        <w:ind w:firstLine="709"/>
        <w:jc w:val="both"/>
      </w:pPr>
      <w:r>
        <w:t>-</w:t>
      </w:r>
      <w:r w:rsidR="0084458A">
        <w:t> </w:t>
      </w:r>
      <w:r>
        <w:t>par tiesiskās aizsardzības procesu;</w:t>
      </w:r>
    </w:p>
    <w:p w:rsidR="004161D6" w:rsidRDefault="004161D6" w:rsidP="0094661D">
      <w:pPr>
        <w:ind w:firstLine="709"/>
        <w:jc w:val="both"/>
      </w:pPr>
      <w:r>
        <w:t>- </w:t>
      </w:r>
      <w:r w:rsidR="0084458A">
        <w:t xml:space="preserve">par </w:t>
      </w:r>
      <w:r>
        <w:t>nepieciešamību savlaicīgi iesniegt juridiskās personas maksātnespējas procesa pieteikumu;</w:t>
      </w:r>
    </w:p>
    <w:p w:rsidR="004161D6" w:rsidRDefault="004161D6" w:rsidP="0094661D">
      <w:pPr>
        <w:ind w:left="720"/>
        <w:jc w:val="both"/>
      </w:pPr>
      <w:r>
        <w:t>-</w:t>
      </w:r>
      <w:r w:rsidR="0084458A">
        <w:t> </w:t>
      </w:r>
      <w:r>
        <w:t>par fiziskās personas maksātnespējas procesu un tā sekām.</w:t>
      </w:r>
    </w:p>
    <w:p w:rsidR="004161D6" w:rsidRDefault="004161D6" w:rsidP="00745475">
      <w:pPr>
        <w:spacing w:before="60"/>
        <w:ind w:firstLine="720"/>
        <w:jc w:val="both"/>
      </w:pPr>
      <w:r>
        <w:t xml:space="preserve">Arī Maksātnespējas likumā noteikts uzdevums </w:t>
      </w:r>
      <w:r w:rsidRPr="00EB7D10">
        <w:t>informē</w:t>
      </w:r>
      <w:r>
        <w:t>t</w:t>
      </w:r>
      <w:r w:rsidRPr="00EB7D10">
        <w:t xml:space="preserve"> sabiedrību par maksātnespējas politikas īstenošanas rezultātiem un maksātnespējas jomas aktuālajiem jautājumiem</w:t>
      </w:r>
      <w:r>
        <w:t>.</w:t>
      </w:r>
    </w:p>
    <w:p w:rsidR="003A39A8" w:rsidRPr="003A39A8" w:rsidRDefault="004161D6" w:rsidP="00745475">
      <w:pPr>
        <w:spacing w:before="60"/>
        <w:ind w:firstLine="720"/>
        <w:jc w:val="both"/>
      </w:pPr>
      <w:r>
        <w:t xml:space="preserve">Minēto sabiedrības informēšanas pasākumu mērķis ir palīdzēt veidot un uzturēt drošu un paredzamu saimnieciskās darbības vidi. Vienlaikus kvalitatīva komunikācija ar sabiedrību ļauj izveidot objektīvo priekšstatu par iestādes darba rezultātiem un veidot produktīvu atgriezenisko saiti iestādes darba rezultātu uzlabošanai. </w:t>
      </w:r>
      <w:r w:rsidR="003A39A8" w:rsidRPr="003A39A8">
        <w:t>Neizveidojot sabiedrisko attiecību speciālista amata vietu, Pamatnostādnēs paredzēto sabiedrības informēšanas pasākumu izpilde varētu būt fragmentāra un nekvalitatīva, jo pienākumi, kuru izpilde konkrētās jomas speciālistam prasītu pilnas slodzes darbu, tiks uzdoti nodarbinātajiem papildus viņu tiešo pienākumu veikšanai, kas pasliktinās to izpildi.</w:t>
      </w:r>
    </w:p>
    <w:p w:rsidR="004161D6" w:rsidRDefault="004161D6" w:rsidP="00745475">
      <w:pPr>
        <w:spacing w:before="60"/>
        <w:ind w:firstLine="720"/>
        <w:jc w:val="both"/>
      </w:pPr>
      <w:r>
        <w:t>L</w:t>
      </w:r>
      <w:r w:rsidRPr="00862663">
        <w:t xml:space="preserve">ai nodrošinātu kvalitatīvu un regulāru komunikāciju ar sabiedrību un sadarbību ar masu saziņas līdzekļiem, izveidojama jauna amata vieta – </w:t>
      </w:r>
      <w:r w:rsidRPr="004F2194">
        <w:t>sabiedrisko attiecību speciālists</w:t>
      </w:r>
      <w:r w:rsidR="00FD540C" w:rsidRPr="004F2194">
        <w:t xml:space="preserve">, </w:t>
      </w:r>
      <w:r w:rsidR="00FD540C">
        <w:t>kura finansēšanai 2018.</w:t>
      </w:r>
      <w:r w:rsidR="0084458A">
        <w:t> </w:t>
      </w:r>
      <w:r w:rsidR="00FD540C">
        <w:t xml:space="preserve">gadā nepieciešami </w:t>
      </w:r>
      <w:r w:rsidR="00F4578A">
        <w:t>25 570</w:t>
      </w:r>
      <w:r w:rsidR="0084458A">
        <w:t> </w:t>
      </w:r>
      <w:proofErr w:type="spellStart"/>
      <w:r w:rsidR="00FD540C" w:rsidRPr="004E5920">
        <w:rPr>
          <w:i/>
        </w:rPr>
        <w:t>euro</w:t>
      </w:r>
      <w:proofErr w:type="spellEnd"/>
      <w:r w:rsidR="00FD540C">
        <w:t xml:space="preserve"> un</w:t>
      </w:r>
      <w:r w:rsidR="0084458A">
        <w:t>,</w:t>
      </w:r>
      <w:r w:rsidR="00FD540C">
        <w:t xml:space="preserve"> sākot </w:t>
      </w:r>
      <w:r w:rsidR="0084458A">
        <w:t>ar</w:t>
      </w:r>
      <w:r w:rsidR="00FD540C">
        <w:t xml:space="preserve"> 2019.</w:t>
      </w:r>
      <w:r w:rsidR="0084458A">
        <w:t> </w:t>
      </w:r>
      <w:r w:rsidR="00FD540C">
        <w:t>gad</w:t>
      </w:r>
      <w:r w:rsidR="0084458A">
        <w:t>u,</w:t>
      </w:r>
      <w:r w:rsidR="00FD540C">
        <w:t xml:space="preserve"> </w:t>
      </w:r>
      <w:r w:rsidR="00F4578A">
        <w:t>24 180</w:t>
      </w:r>
      <w:r w:rsidR="0084458A">
        <w:t> </w:t>
      </w:r>
      <w:proofErr w:type="spellStart"/>
      <w:r w:rsidR="00FD540C" w:rsidRPr="004E5920">
        <w:rPr>
          <w:i/>
        </w:rPr>
        <w:t>euro</w:t>
      </w:r>
      <w:proofErr w:type="spellEnd"/>
      <w:r w:rsidR="00FD540C">
        <w:t xml:space="preserve"> </w:t>
      </w:r>
      <w:r w:rsidR="0084458A">
        <w:t>ik gadu</w:t>
      </w:r>
      <w:r w:rsidR="00FF4ABB">
        <w:t xml:space="preserve"> </w:t>
      </w:r>
      <w:proofErr w:type="gramStart"/>
      <w:r w:rsidR="00FF4ABB">
        <w:t>(</w:t>
      </w:r>
      <w:proofErr w:type="gramEnd"/>
      <w:r w:rsidR="00FF4ABB">
        <w:t>skat. Tabulu Nr.3)</w:t>
      </w:r>
      <w:r>
        <w:t xml:space="preserve"> </w:t>
      </w:r>
      <w:r w:rsidR="00FD540C">
        <w:t xml:space="preserve">un, </w:t>
      </w:r>
      <w:r>
        <w:t>kura galvenie uzdevumi būtu</w:t>
      </w:r>
      <w:r w:rsidRPr="002D2B88">
        <w:t>:</w:t>
      </w:r>
    </w:p>
    <w:p w:rsidR="00160E34" w:rsidRPr="002D2B88" w:rsidRDefault="00160E34" w:rsidP="0094661D">
      <w:pPr>
        <w:ind w:firstLine="720"/>
        <w:jc w:val="both"/>
      </w:pPr>
      <w:r>
        <w:t>-</w:t>
      </w:r>
      <w:r w:rsidR="0084458A">
        <w:t> </w:t>
      </w:r>
      <w:r>
        <w:t>nodrošināt Maksātnespējas administrācijas komunikāciju ar sabiedrību;</w:t>
      </w:r>
    </w:p>
    <w:p w:rsidR="004161D6" w:rsidRPr="002D2B88" w:rsidRDefault="004161D6" w:rsidP="0094661D">
      <w:pPr>
        <w:ind w:firstLine="720"/>
        <w:jc w:val="both"/>
      </w:pPr>
      <w:r w:rsidRPr="002D2B88">
        <w:t>-</w:t>
      </w:r>
      <w:r w:rsidR="0084458A">
        <w:t> </w:t>
      </w:r>
      <w:r w:rsidRPr="002D2B88">
        <w:t xml:space="preserve">regulāri veikt pasākumus tiesiskās aizsardzības procesa un maksātnespējas procesu popularizēšanai; </w:t>
      </w:r>
    </w:p>
    <w:p w:rsidR="004161D6" w:rsidRDefault="004161D6" w:rsidP="0094661D">
      <w:pPr>
        <w:ind w:firstLine="720"/>
        <w:jc w:val="both"/>
      </w:pPr>
      <w:r w:rsidRPr="002D2B88">
        <w:t xml:space="preserve">- informēt sabiedrību par ārpustiesas parādu restrukturizācijas iespējām. </w:t>
      </w:r>
    </w:p>
    <w:p w:rsidR="0040090B" w:rsidRDefault="0013361A" w:rsidP="0094661D">
      <w:pPr>
        <w:ind w:firstLine="720"/>
        <w:jc w:val="both"/>
      </w:pPr>
      <w:r w:rsidRPr="0013361A">
        <w:t xml:space="preserve">Papildus nepieciešamā amata vieta </w:t>
      </w:r>
      <w:r w:rsidR="004D1509">
        <w:t xml:space="preserve">bez finansējuma </w:t>
      </w:r>
      <w:r w:rsidRPr="0013361A">
        <w:t xml:space="preserve">tiks nodrošināta Tieslietu ministrijas resora ietvaros, veicot amata vietas pārdali no Tiesu administrācijas. </w:t>
      </w:r>
      <w:r w:rsidR="004D1509" w:rsidRPr="00403D8D">
        <w:rPr>
          <w:bCs/>
        </w:rPr>
        <w:t>Tiesu administrācijai būtisku resursu daļu veido pašu ieņēmumi par sniegtajiem pakalpojumiem (aptuveni 63%)</w:t>
      </w:r>
      <w:r w:rsidR="004D1509">
        <w:rPr>
          <w:bCs/>
        </w:rPr>
        <w:t xml:space="preserve"> un a</w:t>
      </w:r>
      <w:r w:rsidR="004D1509" w:rsidRPr="00403D8D">
        <w:rPr>
          <w:bCs/>
        </w:rPr>
        <w:t>ttiecīgi arī finansējums atlīdzībai tiek virzīts no pašu ieņēmumiem. Veicot amata vietu pārdali</w:t>
      </w:r>
      <w:r w:rsidR="004D1509">
        <w:rPr>
          <w:bCs/>
        </w:rPr>
        <w:t xml:space="preserve"> Tieslietu ministrijas resora ietvaros no Tiesu administrācijas</w:t>
      </w:r>
      <w:r w:rsidR="004D1509" w:rsidRPr="00403D8D">
        <w:rPr>
          <w:bCs/>
        </w:rPr>
        <w:t>, nav iespējama pašu ieņēmumu pārdale (t.sk. turpmākajos periodos)</w:t>
      </w:r>
      <w:r w:rsidR="004D1509">
        <w:rPr>
          <w:bCs/>
        </w:rPr>
        <w:t>.</w:t>
      </w:r>
      <w:r w:rsidR="004D1509" w:rsidRPr="00403D8D">
        <w:rPr>
          <w:bCs/>
        </w:rPr>
        <w:t xml:space="preserve"> </w:t>
      </w:r>
      <w:r w:rsidR="004D1509">
        <w:rPr>
          <w:bCs/>
        </w:rPr>
        <w:t>V</w:t>
      </w:r>
      <w:r w:rsidR="004D1509" w:rsidRPr="00403D8D">
        <w:rPr>
          <w:bCs/>
        </w:rPr>
        <w:t>ienlaikus pašu ieņēmumu neizpildes gadījumā</w:t>
      </w:r>
      <w:r w:rsidR="004D1509">
        <w:rPr>
          <w:bCs/>
        </w:rPr>
        <w:t>,</w:t>
      </w:r>
      <w:r w:rsidR="004D1509" w:rsidRPr="00403D8D">
        <w:rPr>
          <w:bCs/>
        </w:rPr>
        <w:t xml:space="preserve"> </w:t>
      </w:r>
      <w:r w:rsidR="004D1509">
        <w:rPr>
          <w:bCs/>
        </w:rPr>
        <w:t xml:space="preserve">Tiesu administrācijā </w:t>
      </w:r>
      <w:r w:rsidR="004D1509" w:rsidRPr="00403D8D">
        <w:rPr>
          <w:bCs/>
        </w:rPr>
        <w:t>esošā</w:t>
      </w:r>
      <w:r w:rsidR="004D1509">
        <w:rPr>
          <w:bCs/>
        </w:rPr>
        <w:t>s</w:t>
      </w:r>
      <w:r w:rsidR="004D1509" w:rsidRPr="00403D8D">
        <w:rPr>
          <w:bCs/>
        </w:rPr>
        <w:t xml:space="preserve"> amata vieta</w:t>
      </w:r>
      <w:r w:rsidR="004D1509">
        <w:rPr>
          <w:bCs/>
        </w:rPr>
        <w:t>s</w:t>
      </w:r>
      <w:r w:rsidR="004D1509" w:rsidRPr="00403D8D">
        <w:rPr>
          <w:bCs/>
        </w:rPr>
        <w:t xml:space="preserve"> arī n</w:t>
      </w:r>
      <w:r w:rsidR="004D1509">
        <w:rPr>
          <w:bCs/>
        </w:rPr>
        <w:t>ebija</w:t>
      </w:r>
      <w:r w:rsidR="004D1509" w:rsidRPr="00403D8D">
        <w:rPr>
          <w:bCs/>
        </w:rPr>
        <w:t xml:space="preserve"> aizpildīta</w:t>
      </w:r>
      <w:r w:rsidR="004D1509">
        <w:rPr>
          <w:bCs/>
        </w:rPr>
        <w:t>s</w:t>
      </w:r>
      <w:r w:rsidR="004D1509" w:rsidRPr="00403D8D">
        <w:rPr>
          <w:bCs/>
        </w:rPr>
        <w:t xml:space="preserve"> un nofinansēta</w:t>
      </w:r>
      <w:r w:rsidR="004D1509">
        <w:rPr>
          <w:bCs/>
        </w:rPr>
        <w:t>s</w:t>
      </w:r>
      <w:proofErr w:type="gramStart"/>
      <w:r w:rsidR="004D1509" w:rsidRPr="00403D8D">
        <w:rPr>
          <w:bCs/>
        </w:rPr>
        <w:t xml:space="preserve"> un</w:t>
      </w:r>
      <w:proofErr w:type="gramEnd"/>
      <w:r w:rsidR="004D1509" w:rsidRPr="00403D8D">
        <w:rPr>
          <w:bCs/>
        </w:rPr>
        <w:t xml:space="preserve"> attiecīgi var tikt pārdalīta</w:t>
      </w:r>
      <w:r w:rsidR="004D1509">
        <w:rPr>
          <w:bCs/>
        </w:rPr>
        <w:t>s Maksātnespējas administrācijai</w:t>
      </w:r>
      <w:r w:rsidR="004D1509" w:rsidRPr="00403D8D">
        <w:rPr>
          <w:bCs/>
        </w:rPr>
        <w:t xml:space="preserve"> bez finansējuma.</w:t>
      </w:r>
    </w:p>
    <w:p w:rsidR="00FF4ABB" w:rsidRDefault="00FF4ABB" w:rsidP="00FF4ABB">
      <w:pPr>
        <w:spacing w:before="120"/>
        <w:ind w:firstLine="720"/>
        <w:jc w:val="right"/>
      </w:pPr>
      <w:r w:rsidRPr="008C64B0">
        <w:t>Tabula Nr.</w:t>
      </w:r>
      <w:r>
        <w:t> </w:t>
      </w:r>
      <w:r w:rsidR="00E145E5">
        <w:t>3</w:t>
      </w:r>
    </w:p>
    <w:p w:rsidR="00F4578A" w:rsidRDefault="00F4578A" w:rsidP="00F4578A">
      <w:pPr>
        <w:spacing w:before="120" w:after="60"/>
        <w:jc w:val="center"/>
        <w:rPr>
          <w:b/>
        </w:rPr>
      </w:pPr>
      <w:r>
        <w:rPr>
          <w:b/>
        </w:rPr>
        <w:t xml:space="preserve">Sabiedrisko attiecību speciālista amata vietai papildus nepieciešamais finansējums </w:t>
      </w:r>
    </w:p>
    <w:tbl>
      <w:tblPr>
        <w:tblW w:w="8140" w:type="dxa"/>
        <w:jc w:val="center"/>
        <w:tblLook w:val="04A0" w:firstRow="1" w:lastRow="0" w:firstColumn="1" w:lastColumn="0" w:noHBand="0" w:noVBand="1"/>
      </w:tblPr>
      <w:tblGrid>
        <w:gridCol w:w="660"/>
        <w:gridCol w:w="3940"/>
        <w:gridCol w:w="700"/>
        <w:gridCol w:w="754"/>
        <w:gridCol w:w="750"/>
        <w:gridCol w:w="719"/>
        <w:gridCol w:w="928"/>
      </w:tblGrid>
      <w:tr w:rsidR="00CA369B" w:rsidRPr="00CA369B" w:rsidTr="00410697">
        <w:trPr>
          <w:trHeight w:val="300"/>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b/>
                <w:bCs/>
                <w:sz w:val="16"/>
                <w:szCs w:val="16"/>
              </w:rPr>
            </w:pPr>
            <w:r w:rsidRPr="00CA369B">
              <w:rPr>
                <w:b/>
                <w:bCs/>
                <w:sz w:val="16"/>
                <w:szCs w:val="16"/>
              </w:rPr>
              <w:t>Pasākuma nosaukums</w:t>
            </w:r>
          </w:p>
        </w:tc>
        <w:tc>
          <w:tcPr>
            <w:tcW w:w="3540" w:type="dxa"/>
            <w:gridSpan w:val="5"/>
            <w:tcBorders>
              <w:top w:val="single" w:sz="4" w:space="0" w:color="auto"/>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Sabiedrisko attiecību speciālists</w:t>
            </w:r>
          </w:p>
        </w:tc>
      </w:tr>
      <w:tr w:rsidR="00CA369B" w:rsidRPr="00CA369B" w:rsidTr="00410697">
        <w:trPr>
          <w:trHeight w:val="300"/>
          <w:jc w:val="center"/>
        </w:trPr>
        <w:tc>
          <w:tcPr>
            <w:tcW w:w="46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Uzsākšanas gads</w:t>
            </w:r>
          </w:p>
        </w:tc>
        <w:tc>
          <w:tcPr>
            <w:tcW w:w="2760" w:type="dxa"/>
            <w:gridSpan w:val="4"/>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center"/>
              <w:rPr>
                <w:b/>
                <w:bCs/>
                <w:sz w:val="16"/>
                <w:szCs w:val="16"/>
              </w:rPr>
            </w:pPr>
            <w:r w:rsidRPr="00CA369B">
              <w:rPr>
                <w:b/>
                <w:bCs/>
                <w:sz w:val="16"/>
                <w:szCs w:val="16"/>
              </w:rPr>
              <w:t>2018.</w:t>
            </w:r>
            <w:r w:rsidR="00615776">
              <w:rPr>
                <w:b/>
                <w:bCs/>
                <w:sz w:val="16"/>
                <w:szCs w:val="16"/>
              </w:rPr>
              <w:t> </w:t>
            </w:r>
            <w:r w:rsidRPr="00CA369B">
              <w:rPr>
                <w:b/>
                <w:bCs/>
                <w:sz w:val="16"/>
                <w:szCs w:val="16"/>
              </w:rPr>
              <w:t>gads</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b/>
                <w:bCs/>
                <w:sz w:val="16"/>
                <w:szCs w:val="16"/>
              </w:rPr>
            </w:pPr>
            <w:r w:rsidRPr="00CA369B">
              <w:rPr>
                <w:b/>
                <w:bCs/>
                <w:sz w:val="16"/>
                <w:szCs w:val="16"/>
              </w:rPr>
              <w:t>2019.</w:t>
            </w:r>
            <w:r w:rsidR="00615776">
              <w:rPr>
                <w:b/>
                <w:bCs/>
                <w:sz w:val="16"/>
                <w:szCs w:val="16"/>
              </w:rPr>
              <w:t> </w:t>
            </w:r>
            <w:r w:rsidRPr="00CA369B">
              <w:rPr>
                <w:b/>
                <w:bCs/>
                <w:sz w:val="16"/>
                <w:szCs w:val="16"/>
              </w:rPr>
              <w:t>gads</w:t>
            </w:r>
          </w:p>
        </w:tc>
      </w:tr>
      <w:tr w:rsidR="00CA369B" w:rsidRPr="00CA369B" w:rsidTr="00410697">
        <w:trPr>
          <w:trHeight w:val="630"/>
          <w:jc w:val="center"/>
        </w:trPr>
        <w:tc>
          <w:tcPr>
            <w:tcW w:w="660" w:type="dxa"/>
            <w:tcBorders>
              <w:top w:val="nil"/>
              <w:left w:val="single" w:sz="4" w:space="0" w:color="auto"/>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EKK</w:t>
            </w:r>
          </w:p>
        </w:tc>
        <w:tc>
          <w:tcPr>
            <w:tcW w:w="394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Izdevumu postenis</w:t>
            </w:r>
          </w:p>
        </w:tc>
        <w:tc>
          <w:tcPr>
            <w:tcW w:w="70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Skaits</w:t>
            </w:r>
          </w:p>
        </w:tc>
        <w:tc>
          <w:tcPr>
            <w:tcW w:w="70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Vidējā summa, EUR</w:t>
            </w:r>
          </w:p>
        </w:tc>
        <w:tc>
          <w:tcPr>
            <w:tcW w:w="66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Mēnešu skaits</w:t>
            </w:r>
          </w:p>
        </w:tc>
        <w:tc>
          <w:tcPr>
            <w:tcW w:w="70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KOPĀ, EUR</w:t>
            </w:r>
          </w:p>
        </w:tc>
        <w:tc>
          <w:tcPr>
            <w:tcW w:w="780" w:type="dxa"/>
            <w:tcBorders>
              <w:top w:val="nil"/>
              <w:left w:val="nil"/>
              <w:bottom w:val="single" w:sz="4" w:space="0" w:color="auto"/>
              <w:right w:val="single" w:sz="4" w:space="0" w:color="auto"/>
            </w:tcBorders>
            <w:shd w:val="clear" w:color="000000" w:fill="D9D9D9"/>
            <w:vAlign w:val="center"/>
            <w:hideMark/>
          </w:tcPr>
          <w:p w:rsidR="00F4578A" w:rsidRPr="00CA369B" w:rsidRDefault="00F4578A" w:rsidP="00410697">
            <w:pPr>
              <w:jc w:val="center"/>
              <w:rPr>
                <w:b/>
                <w:bCs/>
                <w:sz w:val="16"/>
                <w:szCs w:val="16"/>
              </w:rPr>
            </w:pPr>
            <w:r w:rsidRPr="00CA369B">
              <w:rPr>
                <w:b/>
                <w:bCs/>
                <w:sz w:val="16"/>
                <w:szCs w:val="16"/>
              </w:rPr>
              <w:t>KOPĀ, EUR</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394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rPr>
                <w:b/>
                <w:bCs/>
                <w:sz w:val="16"/>
                <w:szCs w:val="16"/>
              </w:rPr>
            </w:pPr>
            <w:r w:rsidRPr="00CA369B">
              <w:rPr>
                <w:b/>
                <w:bCs/>
                <w:sz w:val="16"/>
                <w:szCs w:val="16"/>
              </w:rPr>
              <w:t>Izdevumi kopā</w:t>
            </w:r>
          </w:p>
        </w:tc>
        <w:tc>
          <w:tcPr>
            <w:tcW w:w="70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66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70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right"/>
              <w:rPr>
                <w:b/>
                <w:bCs/>
                <w:sz w:val="16"/>
                <w:szCs w:val="16"/>
              </w:rPr>
            </w:pPr>
            <w:r w:rsidRPr="00CA369B">
              <w:rPr>
                <w:b/>
                <w:bCs/>
                <w:sz w:val="16"/>
                <w:szCs w:val="16"/>
              </w:rPr>
              <w:t>25 570</w:t>
            </w:r>
          </w:p>
        </w:tc>
        <w:tc>
          <w:tcPr>
            <w:tcW w:w="78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right"/>
              <w:rPr>
                <w:b/>
                <w:bCs/>
                <w:sz w:val="16"/>
                <w:szCs w:val="16"/>
              </w:rPr>
            </w:pPr>
            <w:r w:rsidRPr="00CA369B">
              <w:rPr>
                <w:b/>
                <w:bCs/>
                <w:sz w:val="16"/>
                <w:szCs w:val="16"/>
              </w:rPr>
              <w:t>24 180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1000</w:t>
            </w:r>
          </w:p>
        </w:tc>
        <w:tc>
          <w:tcPr>
            <w:tcW w:w="600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Atlīdzība</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22 203</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22 203</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jc w:val="center"/>
              <w:rPr>
                <w:b/>
                <w:bCs/>
                <w:sz w:val="16"/>
                <w:szCs w:val="16"/>
              </w:rPr>
            </w:pPr>
            <w:r w:rsidRPr="00CA369B">
              <w:rPr>
                <w:b/>
                <w:bCs/>
                <w:sz w:val="16"/>
                <w:szCs w:val="16"/>
              </w:rPr>
              <w:t>1100</w:t>
            </w:r>
          </w:p>
        </w:tc>
        <w:tc>
          <w:tcPr>
            <w:tcW w:w="600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Atalgojums</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17 136</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17 136</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1110</w:t>
            </w:r>
          </w:p>
        </w:tc>
        <w:tc>
          <w:tcPr>
            <w:tcW w:w="6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578A" w:rsidRPr="00CA369B" w:rsidRDefault="00F4578A" w:rsidP="00410697">
            <w:pPr>
              <w:rPr>
                <w:sz w:val="16"/>
                <w:szCs w:val="16"/>
              </w:rPr>
            </w:pPr>
            <w:r w:rsidRPr="00CA369B">
              <w:rPr>
                <w:sz w:val="16"/>
                <w:szCs w:val="16"/>
              </w:rPr>
              <w:t>Darba samaksa</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14 280</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14 280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1114</w:t>
            </w:r>
          </w:p>
        </w:tc>
        <w:tc>
          <w:tcPr>
            <w:tcW w:w="394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proofErr w:type="spellStart"/>
            <w:r w:rsidRPr="00CA369B">
              <w:rPr>
                <w:sz w:val="16"/>
                <w:szCs w:val="16"/>
              </w:rPr>
              <w:t>Sab</w:t>
            </w:r>
            <w:proofErr w:type="spellEnd"/>
            <w:r w:rsidRPr="00CA369B">
              <w:rPr>
                <w:sz w:val="16"/>
                <w:szCs w:val="16"/>
              </w:rPr>
              <w:t>.</w:t>
            </w:r>
            <w:r w:rsidR="00615776">
              <w:rPr>
                <w:sz w:val="16"/>
                <w:szCs w:val="16"/>
              </w:rPr>
              <w:t xml:space="preserve"> </w:t>
            </w:r>
            <w:r w:rsidRPr="00CA369B">
              <w:rPr>
                <w:sz w:val="16"/>
                <w:szCs w:val="16"/>
              </w:rPr>
              <w:t>attiec.</w:t>
            </w:r>
            <w:r w:rsidR="00615776">
              <w:rPr>
                <w:sz w:val="16"/>
                <w:szCs w:val="16"/>
              </w:rPr>
              <w:t xml:space="preserve"> </w:t>
            </w:r>
            <w:r w:rsidRPr="00CA369B">
              <w:rPr>
                <w:sz w:val="16"/>
                <w:szCs w:val="16"/>
              </w:rPr>
              <w:t>spec. 24.s., II līmenis (9.mēnešalgu grupa)</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1190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14 280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14 280</w:t>
            </w:r>
          </w:p>
        </w:tc>
      </w:tr>
      <w:tr w:rsidR="00CA369B" w:rsidRPr="00CA369B" w:rsidTr="00615776">
        <w:trPr>
          <w:trHeight w:val="344"/>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1140</w:t>
            </w:r>
          </w:p>
        </w:tc>
        <w:tc>
          <w:tcPr>
            <w:tcW w:w="600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578A" w:rsidRPr="00CA369B" w:rsidRDefault="00F4578A" w:rsidP="00410697">
            <w:pPr>
              <w:rPr>
                <w:sz w:val="16"/>
                <w:szCs w:val="16"/>
              </w:rPr>
            </w:pPr>
            <w:r w:rsidRPr="00CA369B">
              <w:rPr>
                <w:sz w:val="16"/>
                <w:szCs w:val="16"/>
              </w:rPr>
              <w:t>Piemaksas, prēmijas un naudas balvas</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2 856</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2 856</w:t>
            </w:r>
          </w:p>
        </w:tc>
      </w:tr>
      <w:tr w:rsidR="00CA369B" w:rsidRPr="00CA369B" w:rsidTr="00410697">
        <w:trPr>
          <w:trHeight w:val="54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Vispārējā piemaksa 10% apmērā no plānoto amata vietu skaitam plānotās mēnešalgu kopsummas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14 280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10%</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1 428</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1 428</w:t>
            </w:r>
          </w:p>
        </w:tc>
      </w:tr>
      <w:tr w:rsidR="00CA369B" w:rsidRPr="00CA369B" w:rsidTr="00410697">
        <w:trPr>
          <w:trHeight w:val="54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Prēmijas un naudas balvas 10% apmērā no plānoto amata vietu skaitam plānotās mēnešalgu kopsummas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14 280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10%</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1 428</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1 428</w:t>
            </w:r>
          </w:p>
        </w:tc>
      </w:tr>
      <w:tr w:rsidR="00CA369B" w:rsidRPr="00CA369B" w:rsidTr="00410697">
        <w:trPr>
          <w:trHeight w:val="555"/>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jc w:val="center"/>
              <w:rPr>
                <w:b/>
                <w:bCs/>
                <w:sz w:val="16"/>
                <w:szCs w:val="16"/>
              </w:rPr>
            </w:pPr>
            <w:r w:rsidRPr="00CA369B">
              <w:rPr>
                <w:b/>
                <w:bCs/>
                <w:sz w:val="16"/>
                <w:szCs w:val="16"/>
              </w:rPr>
              <w:t>1200</w:t>
            </w:r>
          </w:p>
        </w:tc>
        <w:tc>
          <w:tcPr>
            <w:tcW w:w="6000" w:type="dxa"/>
            <w:gridSpan w:val="4"/>
            <w:tcBorders>
              <w:top w:val="single" w:sz="4" w:space="0" w:color="auto"/>
              <w:left w:val="nil"/>
              <w:bottom w:val="single" w:sz="4" w:space="0" w:color="auto"/>
              <w:right w:val="single" w:sz="4" w:space="0" w:color="auto"/>
            </w:tcBorders>
            <w:shd w:val="clear" w:color="000000" w:fill="C5D9F1"/>
            <w:hideMark/>
          </w:tcPr>
          <w:p w:rsidR="00F4578A" w:rsidRPr="00CA369B" w:rsidRDefault="00F4578A" w:rsidP="00410697">
            <w:pPr>
              <w:rPr>
                <w:b/>
                <w:bCs/>
                <w:sz w:val="16"/>
                <w:szCs w:val="16"/>
              </w:rPr>
            </w:pPr>
            <w:r w:rsidRPr="00CA369B">
              <w:rPr>
                <w:b/>
                <w:bCs/>
                <w:sz w:val="16"/>
                <w:szCs w:val="16"/>
              </w:rPr>
              <w:t>Darba devēja valsts sociālās apdrošināšanas obligātās iemaksas, pabalsti un kompensācijas</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5 067</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5 067</w:t>
            </w:r>
          </w:p>
        </w:tc>
      </w:tr>
      <w:tr w:rsidR="00CA369B" w:rsidRPr="00CA369B" w:rsidTr="00410697">
        <w:trPr>
          <w:trHeight w:val="55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1210</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Darba devēja valsts sociālās apdrošināšanas obligātās iemaksas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4 238</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4 238</w:t>
            </w:r>
          </w:p>
        </w:tc>
      </w:tr>
      <w:tr w:rsidR="00CA369B" w:rsidRPr="00CA369B" w:rsidTr="00410697">
        <w:trPr>
          <w:trHeight w:val="31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1220</w:t>
            </w:r>
          </w:p>
        </w:tc>
        <w:tc>
          <w:tcPr>
            <w:tcW w:w="6000" w:type="dxa"/>
            <w:gridSpan w:val="4"/>
            <w:tcBorders>
              <w:top w:val="single" w:sz="4" w:space="0" w:color="auto"/>
              <w:left w:val="nil"/>
              <w:bottom w:val="single" w:sz="4" w:space="0" w:color="auto"/>
              <w:right w:val="single" w:sz="4" w:space="0" w:color="000000"/>
            </w:tcBorders>
            <w:shd w:val="clear" w:color="auto" w:fill="auto"/>
            <w:hideMark/>
          </w:tcPr>
          <w:p w:rsidR="00F4578A" w:rsidRPr="00CA369B" w:rsidRDefault="00F4578A" w:rsidP="00410697">
            <w:pPr>
              <w:rPr>
                <w:sz w:val="16"/>
                <w:szCs w:val="16"/>
              </w:rPr>
            </w:pPr>
            <w:r w:rsidRPr="00CA369B">
              <w:rPr>
                <w:sz w:val="16"/>
                <w:szCs w:val="16"/>
              </w:rPr>
              <w:t>Darba devēja pabalsti, kompensācijas un citi maksājumi</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829</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829</w:t>
            </w:r>
          </w:p>
        </w:tc>
      </w:tr>
      <w:tr w:rsidR="00CA369B" w:rsidRPr="00CA369B" w:rsidTr="00410697">
        <w:trPr>
          <w:trHeight w:val="51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Sociālās garantijas, plāno 5% apmērā no plānoto amata vietu skaitam plānotās mēnešalgu kopsummas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16 584</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5%</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829</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829</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2000</w:t>
            </w:r>
          </w:p>
        </w:tc>
        <w:tc>
          <w:tcPr>
            <w:tcW w:w="6000" w:type="dxa"/>
            <w:gridSpan w:val="4"/>
            <w:tcBorders>
              <w:top w:val="single" w:sz="4" w:space="0" w:color="auto"/>
              <w:left w:val="nil"/>
              <w:bottom w:val="single" w:sz="4" w:space="0" w:color="auto"/>
              <w:right w:val="single" w:sz="4" w:space="0" w:color="auto"/>
            </w:tcBorders>
            <w:shd w:val="clear" w:color="000000" w:fill="C5D9F1"/>
            <w:hideMark/>
          </w:tcPr>
          <w:p w:rsidR="00F4578A" w:rsidRPr="00CA369B" w:rsidRDefault="00F4578A" w:rsidP="00410697">
            <w:pPr>
              <w:rPr>
                <w:b/>
                <w:bCs/>
                <w:sz w:val="16"/>
                <w:szCs w:val="16"/>
              </w:rPr>
            </w:pPr>
            <w:r w:rsidRPr="00CA369B">
              <w:rPr>
                <w:b/>
                <w:bCs/>
                <w:sz w:val="16"/>
                <w:szCs w:val="16"/>
              </w:rPr>
              <w:t>Preces un pakalpojumi</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2 367</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1 977</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2200</w:t>
            </w:r>
          </w:p>
        </w:tc>
        <w:tc>
          <w:tcPr>
            <w:tcW w:w="6000" w:type="dxa"/>
            <w:gridSpan w:val="4"/>
            <w:tcBorders>
              <w:top w:val="single" w:sz="4" w:space="0" w:color="auto"/>
              <w:left w:val="nil"/>
              <w:bottom w:val="single" w:sz="4" w:space="0" w:color="auto"/>
              <w:right w:val="single" w:sz="4" w:space="0" w:color="000000"/>
            </w:tcBorders>
            <w:shd w:val="clear" w:color="auto" w:fill="auto"/>
            <w:hideMark/>
          </w:tcPr>
          <w:p w:rsidR="00F4578A" w:rsidRPr="00CA369B" w:rsidRDefault="00F4578A" w:rsidP="00410697">
            <w:pPr>
              <w:rPr>
                <w:sz w:val="16"/>
                <w:szCs w:val="16"/>
              </w:rPr>
            </w:pPr>
            <w:r w:rsidRPr="00CA369B">
              <w:rPr>
                <w:sz w:val="16"/>
                <w:szCs w:val="16"/>
              </w:rPr>
              <w:t>Pakalpojumu apmaksa</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1 893</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sz w:val="16"/>
                <w:szCs w:val="16"/>
              </w:rPr>
            </w:pPr>
            <w:r w:rsidRPr="00CA369B">
              <w:rPr>
                <w:sz w:val="16"/>
                <w:szCs w:val="16"/>
              </w:rPr>
              <w:t>1 893</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2219</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Sakaru pakalpojumi</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15</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180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180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2221</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615776" w:rsidP="00410697">
            <w:pPr>
              <w:rPr>
                <w:sz w:val="16"/>
                <w:szCs w:val="16"/>
              </w:rPr>
            </w:pPr>
            <w:r>
              <w:rPr>
                <w:sz w:val="16"/>
                <w:szCs w:val="16"/>
              </w:rPr>
              <w:t xml:space="preserve">Izdevumi par apkuri </w:t>
            </w:r>
            <w:r w:rsidR="00F4578A" w:rsidRPr="00CA369B">
              <w:rPr>
                <w:sz w:val="16"/>
                <w:szCs w:val="16"/>
              </w:rPr>
              <w:t>11.7m</w:t>
            </w:r>
            <w:r w:rsidR="00F4578A" w:rsidRPr="00CA369B">
              <w:rPr>
                <w:sz w:val="16"/>
                <w:szCs w:val="16"/>
                <w:vertAlign w:val="superscript"/>
              </w:rPr>
              <w:t>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11.7</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7</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164</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164</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2222</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Izdevumi par ūdeni un kanalizāciju</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24</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24</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2223</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Izdevumi par elektroenerģiju</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15</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180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180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2235</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Izdevumi par saņemtajiem apmācību pakalpojumiem</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2243</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Datortehnikas apkalpošana</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5</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2244</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Telpu uzkopšana 11.7m</w:t>
            </w:r>
            <w:r w:rsidRPr="00CA369B">
              <w:rPr>
                <w:sz w:val="16"/>
                <w:szCs w:val="16"/>
                <w:vertAlign w:val="superscript"/>
              </w:rPr>
              <w:t>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11.7</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140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2251</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Informācijas sistēmas uzturēšana</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480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480</w:t>
            </w:r>
          </w:p>
        </w:tc>
      </w:tr>
      <w:tr w:rsidR="00CA369B" w:rsidRPr="00CA369B" w:rsidTr="00410697">
        <w:trPr>
          <w:trHeight w:val="285"/>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2261</w:t>
            </w:r>
          </w:p>
        </w:tc>
        <w:tc>
          <w:tcPr>
            <w:tcW w:w="394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Telpu noma 11.7m</w:t>
            </w:r>
            <w:r w:rsidRPr="00CA369B">
              <w:rPr>
                <w:sz w:val="16"/>
                <w:szCs w:val="16"/>
                <w:vertAlign w:val="superscript"/>
              </w:rPr>
              <w:t>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11.7</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4.31</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605</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605</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jc w:val="center"/>
              <w:rPr>
                <w:b/>
                <w:bCs/>
                <w:sz w:val="16"/>
                <w:szCs w:val="16"/>
              </w:rPr>
            </w:pPr>
            <w:r w:rsidRPr="00CA369B">
              <w:rPr>
                <w:b/>
                <w:bCs/>
                <w:sz w:val="16"/>
                <w:szCs w:val="16"/>
              </w:rPr>
              <w:t>2300</w:t>
            </w:r>
          </w:p>
        </w:tc>
        <w:tc>
          <w:tcPr>
            <w:tcW w:w="6000" w:type="dxa"/>
            <w:gridSpan w:val="4"/>
            <w:tcBorders>
              <w:top w:val="single" w:sz="4" w:space="0" w:color="auto"/>
              <w:left w:val="nil"/>
              <w:bottom w:val="single" w:sz="4" w:space="0" w:color="auto"/>
              <w:right w:val="single" w:sz="4" w:space="0" w:color="auto"/>
            </w:tcBorders>
            <w:shd w:val="clear" w:color="000000" w:fill="C5D9F1"/>
            <w:hideMark/>
          </w:tcPr>
          <w:p w:rsidR="00F4578A" w:rsidRPr="00CA369B" w:rsidRDefault="00F4578A" w:rsidP="00410697">
            <w:pPr>
              <w:rPr>
                <w:b/>
                <w:bCs/>
                <w:sz w:val="16"/>
                <w:szCs w:val="16"/>
              </w:rPr>
            </w:pPr>
            <w:r w:rsidRPr="00CA369B">
              <w:rPr>
                <w:b/>
                <w:bCs/>
                <w:sz w:val="16"/>
                <w:szCs w:val="16"/>
              </w:rPr>
              <w:t>Krājumi, materiāli, energoresursi, preces, biroja preces un inventārs, kurus neuzskaita kodā 5000</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474</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84</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2311</w:t>
            </w:r>
          </w:p>
        </w:tc>
        <w:tc>
          <w:tcPr>
            <w:tcW w:w="394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Kancelejas preces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7</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84</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84</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2312</w:t>
            </w:r>
          </w:p>
        </w:tc>
        <w:tc>
          <w:tcPr>
            <w:tcW w:w="394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rPr>
                <w:sz w:val="16"/>
                <w:szCs w:val="16"/>
              </w:rPr>
            </w:pPr>
            <w:r w:rsidRPr="00CA369B">
              <w:rPr>
                <w:sz w:val="16"/>
                <w:szCs w:val="16"/>
              </w:rPr>
              <w:t>Krēsli</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100</w:t>
            </w:r>
          </w:p>
        </w:tc>
        <w:tc>
          <w:tcPr>
            <w:tcW w:w="66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100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2312</w:t>
            </w:r>
          </w:p>
        </w:tc>
        <w:tc>
          <w:tcPr>
            <w:tcW w:w="394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rPr>
                <w:sz w:val="16"/>
                <w:szCs w:val="16"/>
              </w:rPr>
            </w:pPr>
            <w:r w:rsidRPr="00CA369B">
              <w:rPr>
                <w:sz w:val="16"/>
                <w:szCs w:val="16"/>
              </w:rPr>
              <w:t>Galdi</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210</w:t>
            </w:r>
          </w:p>
        </w:tc>
        <w:tc>
          <w:tcPr>
            <w:tcW w:w="66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210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2312</w:t>
            </w:r>
          </w:p>
        </w:tc>
        <w:tc>
          <w:tcPr>
            <w:tcW w:w="394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UPS</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80</w:t>
            </w:r>
          </w:p>
        </w:tc>
        <w:tc>
          <w:tcPr>
            <w:tcW w:w="66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80</w:t>
            </w:r>
          </w:p>
        </w:tc>
        <w:tc>
          <w:tcPr>
            <w:tcW w:w="78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5000</w:t>
            </w:r>
          </w:p>
        </w:tc>
        <w:tc>
          <w:tcPr>
            <w:tcW w:w="6000" w:type="dxa"/>
            <w:gridSpan w:val="4"/>
            <w:tcBorders>
              <w:top w:val="single" w:sz="4" w:space="0" w:color="auto"/>
              <w:left w:val="nil"/>
              <w:bottom w:val="single" w:sz="4" w:space="0" w:color="auto"/>
              <w:right w:val="single" w:sz="4" w:space="0" w:color="auto"/>
            </w:tcBorders>
            <w:shd w:val="clear" w:color="000000" w:fill="C5D9F1"/>
            <w:noWrap/>
            <w:vAlign w:val="bottom"/>
            <w:hideMark/>
          </w:tcPr>
          <w:p w:rsidR="00F4578A" w:rsidRPr="00CA369B" w:rsidRDefault="00F4578A" w:rsidP="00410697">
            <w:pPr>
              <w:rPr>
                <w:b/>
                <w:bCs/>
                <w:sz w:val="16"/>
                <w:szCs w:val="16"/>
              </w:rPr>
            </w:pPr>
            <w:r w:rsidRPr="00CA369B">
              <w:rPr>
                <w:b/>
                <w:bCs/>
                <w:sz w:val="16"/>
                <w:szCs w:val="16"/>
              </w:rPr>
              <w:t>Kapitālie izdevumi</w:t>
            </w:r>
          </w:p>
        </w:tc>
        <w:tc>
          <w:tcPr>
            <w:tcW w:w="70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1 000</w:t>
            </w:r>
          </w:p>
        </w:tc>
        <w:tc>
          <w:tcPr>
            <w:tcW w:w="780" w:type="dxa"/>
            <w:tcBorders>
              <w:top w:val="nil"/>
              <w:left w:val="nil"/>
              <w:bottom w:val="single" w:sz="4" w:space="0" w:color="auto"/>
              <w:right w:val="single" w:sz="4" w:space="0" w:color="auto"/>
            </w:tcBorders>
            <w:shd w:val="clear" w:color="000000" w:fill="C5D9F1"/>
            <w:noWrap/>
            <w:vAlign w:val="bottom"/>
            <w:hideMark/>
          </w:tcPr>
          <w:p w:rsidR="00F4578A" w:rsidRPr="00CA369B" w:rsidRDefault="00F4578A" w:rsidP="00410697">
            <w:pPr>
              <w:jc w:val="right"/>
              <w:rPr>
                <w:b/>
                <w:bCs/>
                <w:sz w:val="16"/>
                <w:szCs w:val="16"/>
              </w:rPr>
            </w:pPr>
            <w:r w:rsidRPr="00CA369B">
              <w:rPr>
                <w:b/>
                <w:bCs/>
                <w:sz w:val="16"/>
                <w:szCs w:val="16"/>
              </w:rPr>
              <w:t>0</w:t>
            </w:r>
          </w:p>
        </w:tc>
      </w:tr>
      <w:tr w:rsidR="00CA369B" w:rsidRPr="00CA369B" w:rsidTr="00410697">
        <w:trPr>
          <w:trHeight w:val="300"/>
          <w:jc w:val="center"/>
        </w:trPr>
        <w:tc>
          <w:tcPr>
            <w:tcW w:w="660" w:type="dxa"/>
            <w:tcBorders>
              <w:top w:val="nil"/>
              <w:left w:val="single" w:sz="4" w:space="0" w:color="auto"/>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5238</w:t>
            </w:r>
          </w:p>
        </w:tc>
        <w:tc>
          <w:tcPr>
            <w:tcW w:w="394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Dators</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1000</w:t>
            </w:r>
          </w:p>
        </w:tc>
        <w:tc>
          <w:tcPr>
            <w:tcW w:w="66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center"/>
              <w:rPr>
                <w:sz w:val="16"/>
                <w:szCs w:val="16"/>
              </w:rPr>
            </w:pPr>
            <w:r w:rsidRPr="00CA369B">
              <w:rPr>
                <w:sz w:val="16"/>
                <w:szCs w:val="16"/>
              </w:rPr>
              <w:t>X</w:t>
            </w:r>
          </w:p>
        </w:tc>
        <w:tc>
          <w:tcPr>
            <w:tcW w:w="70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1 000</w:t>
            </w:r>
          </w:p>
        </w:tc>
        <w:tc>
          <w:tcPr>
            <w:tcW w:w="780" w:type="dxa"/>
            <w:tcBorders>
              <w:top w:val="nil"/>
              <w:left w:val="nil"/>
              <w:bottom w:val="single" w:sz="4" w:space="0" w:color="auto"/>
              <w:right w:val="single" w:sz="4" w:space="0" w:color="auto"/>
            </w:tcBorders>
            <w:shd w:val="clear" w:color="000000" w:fill="FFFFFF"/>
            <w:noWrap/>
            <w:vAlign w:val="bottom"/>
            <w:hideMark/>
          </w:tcPr>
          <w:p w:rsidR="00F4578A" w:rsidRPr="00CA369B" w:rsidRDefault="00F4578A" w:rsidP="00410697">
            <w:pPr>
              <w:jc w:val="right"/>
              <w:rPr>
                <w:sz w:val="16"/>
                <w:szCs w:val="16"/>
              </w:rPr>
            </w:pPr>
            <w:r w:rsidRPr="00CA369B">
              <w:rPr>
                <w:sz w:val="16"/>
                <w:szCs w:val="16"/>
              </w:rPr>
              <w:t>0</w:t>
            </w:r>
          </w:p>
        </w:tc>
      </w:tr>
    </w:tbl>
    <w:p w:rsidR="003C5DFB" w:rsidRDefault="003C5DFB" w:rsidP="003C5DFB">
      <w:pPr>
        <w:spacing w:before="60"/>
        <w:ind w:firstLine="720"/>
        <w:jc w:val="both"/>
        <w:rPr>
          <w:sz w:val="20"/>
          <w:szCs w:val="20"/>
        </w:rPr>
      </w:pPr>
      <w:r w:rsidRPr="001872A3">
        <w:rPr>
          <w:sz w:val="20"/>
          <w:szCs w:val="20"/>
        </w:rPr>
        <w:t xml:space="preserve">* </w:t>
      </w:r>
      <w:r w:rsidR="00B85D27">
        <w:rPr>
          <w:sz w:val="20"/>
          <w:szCs w:val="20"/>
        </w:rPr>
        <w:t>A</w:t>
      </w:r>
      <w:r w:rsidR="00B85D27" w:rsidRPr="00B85D27">
        <w:rPr>
          <w:sz w:val="20"/>
          <w:szCs w:val="20"/>
        </w:rPr>
        <w:t>matu klasificēšanas rezultātu apkopojuma saskaņošan</w:t>
      </w:r>
      <w:r w:rsidR="00B85D27">
        <w:rPr>
          <w:sz w:val="20"/>
          <w:szCs w:val="20"/>
        </w:rPr>
        <w:t>a</w:t>
      </w:r>
      <w:r w:rsidR="00B85D27" w:rsidRPr="00B85D27">
        <w:rPr>
          <w:sz w:val="20"/>
          <w:szCs w:val="20"/>
        </w:rPr>
        <w:t xml:space="preserve"> ar Valsts kanceleju </w:t>
      </w:r>
      <w:r w:rsidR="00CA369B">
        <w:rPr>
          <w:sz w:val="20"/>
          <w:szCs w:val="20"/>
        </w:rPr>
        <w:t xml:space="preserve">tiks veikta </w:t>
      </w:r>
      <w:r w:rsidR="00B85D27" w:rsidRPr="00B85D27">
        <w:rPr>
          <w:sz w:val="20"/>
          <w:szCs w:val="20"/>
        </w:rPr>
        <w:t>līdz 2017.</w:t>
      </w:r>
      <w:r w:rsidR="00B85D27">
        <w:rPr>
          <w:sz w:val="20"/>
          <w:szCs w:val="20"/>
        </w:rPr>
        <w:t> </w:t>
      </w:r>
      <w:r w:rsidR="00B85D27" w:rsidRPr="00B85D27">
        <w:rPr>
          <w:sz w:val="20"/>
          <w:szCs w:val="20"/>
        </w:rPr>
        <w:t>gada 1.</w:t>
      </w:r>
      <w:r w:rsidR="00B85D27">
        <w:rPr>
          <w:sz w:val="20"/>
          <w:szCs w:val="20"/>
        </w:rPr>
        <w:t> </w:t>
      </w:r>
      <w:r w:rsidR="00B85D27" w:rsidRPr="00B85D27">
        <w:rPr>
          <w:sz w:val="20"/>
          <w:szCs w:val="20"/>
        </w:rPr>
        <w:t>novembrim</w:t>
      </w:r>
    </w:p>
    <w:p w:rsidR="003C5DFB" w:rsidRDefault="003C5DFB" w:rsidP="003C5DFB">
      <w:pPr>
        <w:spacing w:before="60"/>
        <w:ind w:firstLine="720"/>
        <w:jc w:val="both"/>
        <w:rPr>
          <w:sz w:val="20"/>
          <w:szCs w:val="20"/>
        </w:rPr>
      </w:pPr>
    </w:p>
    <w:p w:rsidR="00160E34" w:rsidRDefault="004161D6" w:rsidP="00C76471">
      <w:pPr>
        <w:spacing w:before="60"/>
        <w:ind w:firstLine="720"/>
        <w:jc w:val="both"/>
        <w:rPr>
          <w:b/>
        </w:rPr>
      </w:pPr>
      <w:r w:rsidRPr="002D2B88">
        <w:t>Minēto aktivitāšu īstenošanai Maksātnespējas ad</w:t>
      </w:r>
      <w:r w:rsidR="00D577FF">
        <w:t>ministrācija veiktu tīmekļ</w:t>
      </w:r>
      <w:r w:rsidRPr="002D2B88">
        <w:t>vietn</w:t>
      </w:r>
      <w:r>
        <w:t>ē iekļautās informācijas</w:t>
      </w:r>
      <w:r w:rsidRPr="002D2B88">
        <w:t xml:space="preserve"> aktualizēšanu un popularizēšanu, kā arī veiktu regulāru un kvalitatīvu sadarbību ar masu saziņas līdzekļiem.</w:t>
      </w:r>
      <w:r>
        <w:t xml:space="preserve"> Ņemot vērā, ka Pamatnostādnēs ir paredzēta arī dažādu bukletu un informatīvo materiālu izstrāde, </w:t>
      </w:r>
      <w:r w:rsidR="00D577FF">
        <w:t xml:space="preserve">kuru izstrādei nepieciešams finansējums, un </w:t>
      </w:r>
      <w:r>
        <w:t>to aptuvenās izmaksas varētu veidot 2</w:t>
      </w:r>
      <w:r w:rsidR="0084458A">
        <w:t> </w:t>
      </w:r>
      <w:r>
        <w:t>000</w:t>
      </w:r>
      <w:r w:rsidR="0084458A">
        <w:t> </w:t>
      </w:r>
      <w:proofErr w:type="spellStart"/>
      <w:r w:rsidRPr="007013AB">
        <w:rPr>
          <w:i/>
        </w:rPr>
        <w:t>euro</w:t>
      </w:r>
      <w:proofErr w:type="spellEnd"/>
      <w:r>
        <w:t xml:space="preserve"> gadā.</w:t>
      </w:r>
      <w:r w:rsidR="006F6768" w:rsidRPr="006F6768">
        <w:rPr>
          <w:b/>
        </w:rPr>
        <w:t xml:space="preserve"> </w:t>
      </w:r>
    </w:p>
    <w:p w:rsidR="006F6768" w:rsidRPr="003A39A8" w:rsidRDefault="002F5C62" w:rsidP="0062156C">
      <w:pPr>
        <w:spacing w:before="120"/>
        <w:ind w:firstLine="720"/>
        <w:jc w:val="both"/>
        <w:rPr>
          <w:b/>
        </w:rPr>
      </w:pPr>
      <w:r w:rsidRPr="002F5C62">
        <w:rPr>
          <w:b/>
        </w:rPr>
        <w:t>Sabiedrības informēšanas pasākumu nodrošināšana</w:t>
      </w:r>
      <w:r>
        <w:rPr>
          <w:b/>
        </w:rPr>
        <w:t>i nepieciešamā finansējuma</w:t>
      </w:r>
      <w:r w:rsidRPr="002F5C62">
        <w:rPr>
          <w:b/>
        </w:rPr>
        <w:t xml:space="preserve"> </w:t>
      </w:r>
      <w:r w:rsidR="006F6768" w:rsidRPr="003A39A8">
        <w:rPr>
          <w:b/>
        </w:rPr>
        <w:t>Kopsavilkums</w:t>
      </w:r>
    </w:p>
    <w:p w:rsidR="004C3E91" w:rsidRDefault="00160E34" w:rsidP="00C76471">
      <w:pPr>
        <w:spacing w:before="60"/>
        <w:ind w:firstLine="720"/>
        <w:jc w:val="both"/>
      </w:pPr>
      <w:r w:rsidRPr="00AE41BF">
        <w:rPr>
          <w:noProof/>
          <w:color w:val="000000"/>
        </w:rPr>
        <w:t xml:space="preserve">Ņemot vērā šajā </w:t>
      </w:r>
      <w:r w:rsidR="00C90AD8">
        <w:rPr>
          <w:noProof/>
          <w:color w:val="000000"/>
        </w:rPr>
        <w:t>punktā</w:t>
      </w:r>
      <w:r w:rsidR="00C90AD8" w:rsidRPr="00AE41BF">
        <w:rPr>
          <w:noProof/>
          <w:color w:val="000000"/>
        </w:rPr>
        <w:t xml:space="preserve"> </w:t>
      </w:r>
      <w:r w:rsidRPr="00AE41BF">
        <w:rPr>
          <w:noProof/>
          <w:color w:val="000000"/>
        </w:rPr>
        <w:t xml:space="preserve">norādīto, lai nodrošinātu </w:t>
      </w:r>
      <w:r>
        <w:rPr>
          <w:noProof/>
          <w:color w:val="000000"/>
        </w:rPr>
        <w:t>Pamatnostādnēs</w:t>
      </w:r>
      <w:r w:rsidRPr="00AE41BF">
        <w:rPr>
          <w:noProof/>
          <w:color w:val="000000"/>
        </w:rPr>
        <w:t xml:space="preserve"> noteikto </w:t>
      </w:r>
      <w:r>
        <w:rPr>
          <w:noProof/>
          <w:color w:val="000000"/>
        </w:rPr>
        <w:t>uzdevumu izpildi</w:t>
      </w:r>
      <w:r w:rsidRPr="00AE41BF">
        <w:rPr>
          <w:noProof/>
          <w:color w:val="000000"/>
        </w:rPr>
        <w:t>, nepieciešams piešķirt papildu finansējum</w:t>
      </w:r>
      <w:r>
        <w:rPr>
          <w:noProof/>
          <w:color w:val="000000"/>
        </w:rPr>
        <w:t>u</w:t>
      </w:r>
      <w:r w:rsidRPr="00AE41BF">
        <w:rPr>
          <w:noProof/>
          <w:color w:val="000000"/>
        </w:rPr>
        <w:t xml:space="preserve"> </w:t>
      </w:r>
      <w:r>
        <w:rPr>
          <w:noProof/>
          <w:color w:val="000000"/>
        </w:rPr>
        <w:t xml:space="preserve">sabiedrisko attiecību speciālista atlīdzībai kā arī nepieciešamo informatīvo materiālu izstrādei. </w:t>
      </w:r>
      <w:r w:rsidRPr="00A97D84">
        <w:rPr>
          <w:b/>
          <w:bCs/>
        </w:rPr>
        <w:t xml:space="preserve">Papildus nepieciešamais finansējums </w:t>
      </w:r>
      <w:r>
        <w:rPr>
          <w:b/>
          <w:bCs/>
        </w:rPr>
        <w:t>vienai</w:t>
      </w:r>
      <w:r w:rsidRPr="00A97D84">
        <w:rPr>
          <w:b/>
          <w:bCs/>
        </w:rPr>
        <w:t xml:space="preserve"> amata viet</w:t>
      </w:r>
      <w:r>
        <w:rPr>
          <w:b/>
          <w:bCs/>
        </w:rPr>
        <w:t>ai un informatīvajiem materiāliem</w:t>
      </w:r>
      <w:r w:rsidRPr="00A97D84">
        <w:rPr>
          <w:b/>
          <w:bCs/>
        </w:rPr>
        <w:t xml:space="preserve"> ir </w:t>
      </w:r>
      <w:r w:rsidR="00CA369B">
        <w:rPr>
          <w:b/>
          <w:bCs/>
        </w:rPr>
        <w:t>27 570</w:t>
      </w:r>
      <w:r w:rsidR="0084458A">
        <w:rPr>
          <w:b/>
          <w:bCs/>
          <w:i/>
        </w:rPr>
        <w:t> </w:t>
      </w:r>
      <w:proofErr w:type="spellStart"/>
      <w:r w:rsidRPr="00A97D84">
        <w:rPr>
          <w:b/>
          <w:bCs/>
          <w:i/>
        </w:rPr>
        <w:t>euro</w:t>
      </w:r>
      <w:proofErr w:type="spellEnd"/>
      <w:r w:rsidRPr="00A97D84">
        <w:rPr>
          <w:b/>
          <w:bCs/>
        </w:rPr>
        <w:t xml:space="preserve"> 2018.</w:t>
      </w:r>
      <w:r w:rsidR="0084458A">
        <w:rPr>
          <w:b/>
          <w:bCs/>
        </w:rPr>
        <w:t> </w:t>
      </w:r>
      <w:r w:rsidRPr="00A97D84">
        <w:rPr>
          <w:b/>
          <w:bCs/>
        </w:rPr>
        <w:t>gadā un</w:t>
      </w:r>
      <w:r w:rsidR="0084458A">
        <w:rPr>
          <w:b/>
          <w:bCs/>
        </w:rPr>
        <w:t>, sākot ar 2019. gadu,</w:t>
      </w:r>
      <w:r w:rsidRPr="00A97D84">
        <w:rPr>
          <w:b/>
          <w:bCs/>
        </w:rPr>
        <w:t xml:space="preserve"> </w:t>
      </w:r>
      <w:r w:rsidR="00CA369B">
        <w:rPr>
          <w:b/>
          <w:bCs/>
        </w:rPr>
        <w:t>26 180</w:t>
      </w:r>
      <w:r w:rsidR="0084458A">
        <w:rPr>
          <w:b/>
          <w:bCs/>
        </w:rPr>
        <w:t> </w:t>
      </w:r>
      <w:proofErr w:type="spellStart"/>
      <w:r w:rsidRPr="00A97D84">
        <w:rPr>
          <w:b/>
          <w:bCs/>
          <w:i/>
        </w:rPr>
        <w:t>euro</w:t>
      </w:r>
      <w:proofErr w:type="spellEnd"/>
      <w:r w:rsidRPr="00A97D84">
        <w:rPr>
          <w:b/>
          <w:bCs/>
        </w:rPr>
        <w:t xml:space="preserve"> </w:t>
      </w:r>
      <w:r w:rsidR="0084458A">
        <w:rPr>
          <w:b/>
          <w:bCs/>
        </w:rPr>
        <w:t xml:space="preserve">ik gadu. </w:t>
      </w:r>
    </w:p>
    <w:p w:rsidR="00B76DF3" w:rsidRPr="00C76471" w:rsidRDefault="0090380F" w:rsidP="00C76471">
      <w:pPr>
        <w:spacing w:before="240"/>
        <w:ind w:firstLine="709"/>
        <w:jc w:val="both"/>
        <w:rPr>
          <w:b/>
          <w:szCs w:val="28"/>
        </w:rPr>
      </w:pPr>
      <w:r w:rsidRPr="00C76471">
        <w:rPr>
          <w:b/>
          <w:szCs w:val="28"/>
        </w:rPr>
        <w:t>4</w:t>
      </w:r>
      <w:r w:rsidR="00450337" w:rsidRPr="00C76471">
        <w:rPr>
          <w:b/>
          <w:szCs w:val="28"/>
        </w:rPr>
        <w:t>. </w:t>
      </w:r>
      <w:r w:rsidR="00B76DF3" w:rsidRPr="00C76471">
        <w:rPr>
          <w:b/>
          <w:szCs w:val="28"/>
        </w:rPr>
        <w:t xml:space="preserve"> Maksātnespējas administrācijas nodarbināto at</w:t>
      </w:r>
      <w:r w:rsidR="00156373" w:rsidRPr="00C76471">
        <w:rPr>
          <w:b/>
          <w:szCs w:val="28"/>
        </w:rPr>
        <w:t>līdzības</w:t>
      </w:r>
      <w:r w:rsidR="00B76DF3" w:rsidRPr="00C76471">
        <w:rPr>
          <w:b/>
          <w:szCs w:val="28"/>
        </w:rPr>
        <w:t xml:space="preserve"> nodrošināšana</w:t>
      </w:r>
    </w:p>
    <w:p w:rsidR="000409F5" w:rsidRDefault="00450337" w:rsidP="00745475">
      <w:pPr>
        <w:spacing w:before="60"/>
        <w:ind w:firstLine="720"/>
        <w:jc w:val="both"/>
        <w:rPr>
          <w:rFonts w:eastAsia="Calibri"/>
        </w:rPr>
      </w:pPr>
      <w:r w:rsidRPr="007977AA">
        <w:rPr>
          <w:rFonts w:eastAsia="Calibri"/>
        </w:rPr>
        <w:t>Pamatnostādnēs dotais uzdevums stiprināt Maksātnespējas administrācijas kompetenci un kapacitāti</w:t>
      </w:r>
      <w:r w:rsidR="00F06304" w:rsidRPr="007977AA">
        <w:rPr>
          <w:rFonts w:eastAsia="Calibri"/>
        </w:rPr>
        <w:t>,</w:t>
      </w:r>
      <w:r w:rsidRPr="007977AA">
        <w:rPr>
          <w:rFonts w:eastAsia="Calibri"/>
        </w:rPr>
        <w:t xml:space="preserve"> </w:t>
      </w:r>
      <w:r w:rsidR="00F06304" w:rsidRPr="007977AA">
        <w:rPr>
          <w:rFonts w:eastAsia="Calibri"/>
        </w:rPr>
        <w:t xml:space="preserve">papildus iepriekš norādītajam, </w:t>
      </w:r>
      <w:r w:rsidRPr="007977AA">
        <w:rPr>
          <w:rFonts w:eastAsia="Calibri"/>
        </w:rPr>
        <w:t>sevī ietver</w:t>
      </w:r>
      <w:r w:rsidR="00F06304" w:rsidRPr="007977AA">
        <w:rPr>
          <w:rFonts w:eastAsia="Calibri"/>
        </w:rPr>
        <w:t xml:space="preserve"> </w:t>
      </w:r>
      <w:r w:rsidR="000C6BAD" w:rsidRPr="007977AA">
        <w:rPr>
          <w:rFonts w:eastAsia="Calibri"/>
        </w:rPr>
        <w:t xml:space="preserve">arī </w:t>
      </w:r>
      <w:r w:rsidR="00F06304" w:rsidRPr="007977AA">
        <w:rPr>
          <w:rFonts w:eastAsia="Calibri"/>
        </w:rPr>
        <w:t xml:space="preserve">uzdevumu izvērtēt iespējas, kā palielināt atalgojumu </w:t>
      </w:r>
      <w:r w:rsidR="007977AA">
        <w:rPr>
          <w:rFonts w:eastAsia="Calibri"/>
        </w:rPr>
        <w:t>nodarbinātajiem, kuri ir iesaistīti uzraudzības procesā</w:t>
      </w:r>
      <w:r w:rsidR="00F06304" w:rsidRPr="007977AA">
        <w:rPr>
          <w:rFonts w:eastAsia="Calibri"/>
        </w:rPr>
        <w:t>. Tas sasauc</w:t>
      </w:r>
      <w:r w:rsidR="002935AC">
        <w:rPr>
          <w:rFonts w:eastAsia="Calibri"/>
        </w:rPr>
        <w:t>a</w:t>
      </w:r>
      <w:r w:rsidR="00F06304" w:rsidRPr="007977AA">
        <w:rPr>
          <w:rFonts w:eastAsia="Calibri"/>
        </w:rPr>
        <w:t>s arī ar nevalstisko organizāciju publiski izteiktajiem paziņojumiem</w:t>
      </w:r>
      <w:r w:rsidR="000409F5" w:rsidRPr="007977AA">
        <w:rPr>
          <w:rFonts w:eastAsia="Calibri"/>
        </w:rPr>
        <w:t xml:space="preserve"> (piemēram, Latvijas komercbanku asociācijas norādītie 1</w:t>
      </w:r>
      <w:r w:rsidR="001A2814">
        <w:rPr>
          <w:rFonts w:eastAsia="Calibri"/>
        </w:rPr>
        <w:t> </w:t>
      </w:r>
      <w:r w:rsidR="000409F5" w:rsidRPr="007977AA">
        <w:rPr>
          <w:rFonts w:eastAsia="Calibri"/>
        </w:rPr>
        <w:t>800</w:t>
      </w:r>
      <w:r w:rsidR="002935AC">
        <w:rPr>
          <w:rFonts w:eastAsia="Calibri"/>
        </w:rPr>
        <w:t> </w:t>
      </w:r>
      <w:proofErr w:type="spellStart"/>
      <w:r w:rsidR="000409F5" w:rsidRPr="007977AA">
        <w:rPr>
          <w:rFonts w:eastAsia="Calibri"/>
          <w:i/>
        </w:rPr>
        <w:t>euro</w:t>
      </w:r>
      <w:proofErr w:type="spellEnd"/>
      <w:r w:rsidR="000409F5" w:rsidRPr="007977AA">
        <w:rPr>
          <w:rFonts w:eastAsia="Calibri"/>
        </w:rPr>
        <w:t xml:space="preserve"> mēnesī juriskonsultam</w:t>
      </w:r>
      <w:r w:rsidR="00393746" w:rsidRPr="007977AA">
        <w:rPr>
          <w:rFonts w:eastAsia="Calibri"/>
        </w:rPr>
        <w:t xml:space="preserve"> un 50 000</w:t>
      </w:r>
      <w:r w:rsidR="002935AC">
        <w:rPr>
          <w:rFonts w:eastAsia="Calibri"/>
        </w:rPr>
        <w:t> </w:t>
      </w:r>
      <w:proofErr w:type="spellStart"/>
      <w:r w:rsidR="00393746" w:rsidRPr="007977AA">
        <w:rPr>
          <w:rFonts w:eastAsia="Calibri"/>
          <w:i/>
        </w:rPr>
        <w:t>euro</w:t>
      </w:r>
      <w:proofErr w:type="spellEnd"/>
      <w:r w:rsidR="00393746" w:rsidRPr="007977AA">
        <w:rPr>
          <w:rFonts w:eastAsia="Calibri"/>
        </w:rPr>
        <w:t xml:space="preserve"> gadā iestādes direktoram</w:t>
      </w:r>
      <w:r w:rsidR="000409F5" w:rsidRPr="007977AA">
        <w:rPr>
          <w:rFonts w:eastAsia="Calibri"/>
        </w:rPr>
        <w:t>)</w:t>
      </w:r>
      <w:r w:rsidR="00F06304" w:rsidRPr="007977AA">
        <w:rPr>
          <w:rFonts w:eastAsia="Calibri"/>
        </w:rPr>
        <w:t>, ka Maksātnespējas administrācijas kapacitātes viens no galvenajiem stiprināšanas veidiem ir atalgojuma palielināšana, jo tas ilgtermiņā dos iespēju iestādē noturēt kā arī piesaistīt no jauna vislabākos jomas profesionāļus. Izsakot atbalstu šim virzienam, viens no priekšlikumiem bija līdzīgi Valsts ieņēmuma dienesta gadījumam</w:t>
      </w:r>
      <w:r w:rsidRPr="007977AA">
        <w:rPr>
          <w:rFonts w:eastAsia="Calibri"/>
        </w:rPr>
        <w:t xml:space="preserve"> </w:t>
      </w:r>
      <w:r w:rsidR="00F06304" w:rsidRPr="007977AA">
        <w:rPr>
          <w:rFonts w:eastAsia="Calibri"/>
        </w:rPr>
        <w:t>izcelt Maksātnespējas administrāciju kā īpašu iestādi likuma "</w:t>
      </w:r>
      <w:r w:rsidR="00F06304" w:rsidRPr="007977AA">
        <w:rPr>
          <w:rFonts w:eastAsia="Calibri"/>
          <w:bCs/>
        </w:rPr>
        <w:t>Valsts un pašvaldību institūciju amatpersonu un darbinieku atlīdzības likums" (turpmāk</w:t>
      </w:r>
      <w:r w:rsidR="002935AC">
        <w:rPr>
          <w:rFonts w:eastAsia="Calibri"/>
          <w:bCs/>
        </w:rPr>
        <w:t> –</w:t>
      </w:r>
      <w:r w:rsidR="00F06304" w:rsidRPr="007977AA">
        <w:rPr>
          <w:rFonts w:eastAsia="Calibri"/>
          <w:bCs/>
        </w:rPr>
        <w:t xml:space="preserve"> </w:t>
      </w:r>
      <w:r w:rsidR="00F06304" w:rsidRPr="007977AA">
        <w:rPr>
          <w:rFonts w:eastAsia="Calibri"/>
        </w:rPr>
        <w:t xml:space="preserve">Atlīdzības likums) izpratnē. Šī ideja gan tika noraidīta, jo Atlīdzības </w:t>
      </w:r>
      <w:r w:rsidR="007977AA" w:rsidRPr="007977AA">
        <w:rPr>
          <w:rFonts w:eastAsia="Calibri"/>
        </w:rPr>
        <w:t>likum</w:t>
      </w:r>
      <w:r w:rsidR="007977AA">
        <w:rPr>
          <w:rFonts w:eastAsia="Calibri"/>
        </w:rPr>
        <w:t>ā paredzētie instrumenti</w:t>
      </w:r>
      <w:r w:rsidR="007977AA" w:rsidRPr="007977AA">
        <w:rPr>
          <w:rFonts w:eastAsia="Calibri"/>
        </w:rPr>
        <w:t xml:space="preserve"> </w:t>
      </w:r>
      <w:r w:rsidR="00F06304" w:rsidRPr="007977AA">
        <w:rPr>
          <w:rFonts w:eastAsia="Calibri"/>
        </w:rPr>
        <w:t xml:space="preserve">jau šobrīd ļautu </w:t>
      </w:r>
      <w:r w:rsidR="007977AA">
        <w:rPr>
          <w:rFonts w:eastAsia="Calibri"/>
        </w:rPr>
        <w:t>palielināt</w:t>
      </w:r>
      <w:r w:rsidR="000409F5" w:rsidRPr="007977AA">
        <w:rPr>
          <w:rFonts w:eastAsia="Calibri"/>
        </w:rPr>
        <w:t xml:space="preserve"> atlīdzības apmērus</w:t>
      </w:r>
      <w:r w:rsidR="007977AA">
        <w:rPr>
          <w:rFonts w:eastAsia="Calibri"/>
        </w:rPr>
        <w:t xml:space="preserve"> nodarbinātajiem, kuri ir iesaistīti uzraudzības procesā</w:t>
      </w:r>
      <w:r w:rsidR="008C64B0">
        <w:rPr>
          <w:rFonts w:eastAsia="Calibri"/>
        </w:rPr>
        <w:t>, ja vien Maksātnespējas administrācijai būs pieejami papildus finanšu resursi atlīdzībām</w:t>
      </w:r>
      <w:r w:rsidR="000409F5" w:rsidRPr="007977AA">
        <w:rPr>
          <w:rFonts w:eastAsia="Calibri"/>
        </w:rPr>
        <w:t>.</w:t>
      </w:r>
    </w:p>
    <w:p w:rsidR="00D73EC4" w:rsidRDefault="00D73EC4" w:rsidP="00745475">
      <w:pPr>
        <w:spacing w:before="60"/>
        <w:ind w:firstLine="720"/>
        <w:jc w:val="both"/>
        <w:rPr>
          <w:rFonts w:eastAsia="Calibri"/>
        </w:rPr>
      </w:pPr>
      <w:r>
        <w:rPr>
          <w:rFonts w:eastAsia="Calibri"/>
        </w:rPr>
        <w:t>Šī brīža Maksātnespējas administrācijas atlīdzības budžets</w:t>
      </w:r>
      <w:r w:rsidR="00EF425E">
        <w:rPr>
          <w:rFonts w:eastAsia="Calibri"/>
        </w:rPr>
        <w:t xml:space="preserve"> sastāv no </w:t>
      </w:r>
      <w:r w:rsidR="009529AD">
        <w:rPr>
          <w:rFonts w:eastAsia="Calibri"/>
        </w:rPr>
        <w:t>nodarbināto mēnešalgām</w:t>
      </w:r>
      <w:r w:rsidR="008C64B0">
        <w:rPr>
          <w:rFonts w:eastAsia="Calibri"/>
        </w:rPr>
        <w:t>, piemaksām par personīgo darba ieguldījumu un darba kvalitāti, piemaksām par papildu darbu, prēmijām un naudas balvām</w:t>
      </w:r>
      <w:r w:rsidR="00431107">
        <w:rPr>
          <w:rFonts w:eastAsia="Calibri"/>
        </w:rPr>
        <w:t>, kā arī darba devēja valsts sociālās apdrošināšanas obligātajām iemaksām, pabalstiem un kompensācijām un darba devēja izdevumiem</w:t>
      </w:r>
      <w:r w:rsidR="009529AD">
        <w:rPr>
          <w:rFonts w:eastAsia="Calibri"/>
        </w:rPr>
        <w:t xml:space="preserve"> </w:t>
      </w:r>
      <w:r w:rsidR="00431107">
        <w:rPr>
          <w:rFonts w:eastAsia="Calibri"/>
        </w:rPr>
        <w:t>veselības apdrošinā</w:t>
      </w:r>
      <w:r w:rsidR="00EA5F91">
        <w:rPr>
          <w:rFonts w:eastAsia="Calibri"/>
        </w:rPr>
        <w:t xml:space="preserve">šanai </w:t>
      </w:r>
      <w:proofErr w:type="gramStart"/>
      <w:r w:rsidR="00431107">
        <w:rPr>
          <w:rFonts w:eastAsia="Calibri"/>
        </w:rPr>
        <w:t>(</w:t>
      </w:r>
      <w:proofErr w:type="gramEnd"/>
      <w:r w:rsidR="00431107">
        <w:rPr>
          <w:rFonts w:eastAsia="Calibri"/>
        </w:rPr>
        <w:t>skat. Tabulu Nr.</w:t>
      </w:r>
      <w:r w:rsidR="002935AC">
        <w:rPr>
          <w:rFonts w:eastAsia="Calibri"/>
        </w:rPr>
        <w:t> </w:t>
      </w:r>
      <w:r w:rsidR="008E7574">
        <w:rPr>
          <w:rFonts w:eastAsia="Calibri"/>
        </w:rPr>
        <w:t>4</w:t>
      </w:r>
      <w:r w:rsidR="00431107">
        <w:rPr>
          <w:rFonts w:eastAsia="Calibri"/>
        </w:rPr>
        <w:t>)</w:t>
      </w:r>
    </w:p>
    <w:p w:rsidR="008C64B0" w:rsidRPr="008C64B0" w:rsidRDefault="008C64B0" w:rsidP="002E7F87">
      <w:pPr>
        <w:spacing w:before="120"/>
        <w:ind w:firstLine="720"/>
        <w:jc w:val="right"/>
      </w:pPr>
      <w:r w:rsidRPr="008C64B0">
        <w:t>Tabula Nr.</w:t>
      </w:r>
      <w:r w:rsidR="002935AC">
        <w:t> </w:t>
      </w:r>
      <w:r w:rsidR="008E7574">
        <w:t>4</w:t>
      </w:r>
    </w:p>
    <w:p w:rsidR="008C64B0" w:rsidRPr="00C76471" w:rsidRDefault="008C64B0" w:rsidP="00C76471">
      <w:pPr>
        <w:spacing w:before="120" w:after="60"/>
        <w:jc w:val="center"/>
        <w:rPr>
          <w:b/>
        </w:rPr>
      </w:pPr>
      <w:r w:rsidRPr="008C64B0">
        <w:rPr>
          <w:b/>
        </w:rPr>
        <w:t xml:space="preserve">Maksātnespējas administrācijas </w:t>
      </w:r>
      <w:r w:rsidR="00431107">
        <w:rPr>
          <w:b/>
        </w:rPr>
        <w:t>atlīdzības budžets</w:t>
      </w:r>
      <w:r w:rsidR="002935AC">
        <w:rPr>
          <w:b/>
        </w:rPr>
        <w:t>,</w:t>
      </w:r>
      <w:r w:rsidR="00431107">
        <w:rPr>
          <w:b/>
        </w:rPr>
        <w:t xml:space="preserve"> 2017.</w:t>
      </w:r>
      <w:r w:rsidR="002935AC">
        <w:rPr>
          <w:b/>
        </w:rPr>
        <w:t> </w:t>
      </w:r>
      <w:r w:rsidR="00431107">
        <w:rPr>
          <w:b/>
        </w:rPr>
        <w:t>gads</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4500"/>
        <w:gridCol w:w="1260"/>
        <w:gridCol w:w="1340"/>
        <w:gridCol w:w="1160"/>
      </w:tblGrid>
      <w:tr w:rsidR="00605BDC" w:rsidRPr="00605BDC" w:rsidTr="0094661D">
        <w:trPr>
          <w:trHeight w:val="249"/>
          <w:tblHeader/>
        </w:trPr>
        <w:tc>
          <w:tcPr>
            <w:tcW w:w="5460" w:type="dxa"/>
            <w:gridSpan w:val="2"/>
            <w:tcBorders>
              <w:bottom w:val="single" w:sz="4" w:space="0" w:color="auto"/>
            </w:tcBorders>
            <w:shd w:val="clear" w:color="auto" w:fill="D9D9D9" w:themeFill="background1" w:themeFillShade="D9"/>
            <w:vAlign w:val="center"/>
            <w:hideMark/>
          </w:tcPr>
          <w:p w:rsidR="00605BDC" w:rsidRPr="00605BDC" w:rsidRDefault="00605BDC" w:rsidP="0094661D">
            <w:pPr>
              <w:jc w:val="center"/>
              <w:rPr>
                <w:color w:val="000000"/>
                <w:sz w:val="16"/>
                <w:szCs w:val="16"/>
              </w:rPr>
            </w:pPr>
          </w:p>
        </w:tc>
        <w:tc>
          <w:tcPr>
            <w:tcW w:w="1260" w:type="dxa"/>
            <w:tcBorders>
              <w:bottom w:val="single" w:sz="4" w:space="0" w:color="auto"/>
            </w:tcBorders>
            <w:shd w:val="clear" w:color="auto" w:fill="D9D9D9" w:themeFill="background1" w:themeFillShade="D9"/>
            <w:vAlign w:val="center"/>
            <w:hideMark/>
          </w:tcPr>
          <w:p w:rsidR="00605BDC" w:rsidRPr="00605BDC" w:rsidRDefault="00605BDC" w:rsidP="0094661D">
            <w:pPr>
              <w:jc w:val="center"/>
              <w:rPr>
                <w:b/>
                <w:bCs/>
                <w:color w:val="000000"/>
                <w:sz w:val="16"/>
                <w:szCs w:val="16"/>
              </w:rPr>
            </w:pPr>
            <w:r w:rsidRPr="00605BDC">
              <w:rPr>
                <w:b/>
                <w:bCs/>
                <w:color w:val="000000"/>
                <w:sz w:val="16"/>
                <w:szCs w:val="16"/>
              </w:rPr>
              <w:t>Finansēšanas plāns uz 06.03.2017</w:t>
            </w:r>
          </w:p>
        </w:tc>
        <w:tc>
          <w:tcPr>
            <w:tcW w:w="1340" w:type="dxa"/>
            <w:tcBorders>
              <w:bottom w:val="single" w:sz="4" w:space="0" w:color="auto"/>
            </w:tcBorders>
            <w:shd w:val="clear" w:color="auto" w:fill="D9D9D9" w:themeFill="background1" w:themeFillShade="D9"/>
            <w:vAlign w:val="center"/>
            <w:hideMark/>
          </w:tcPr>
          <w:p w:rsidR="00605BDC" w:rsidRPr="00605BDC" w:rsidRDefault="00605BDC" w:rsidP="0094661D">
            <w:pPr>
              <w:jc w:val="center"/>
              <w:rPr>
                <w:b/>
                <w:bCs/>
                <w:color w:val="000000"/>
                <w:sz w:val="16"/>
                <w:szCs w:val="16"/>
              </w:rPr>
            </w:pPr>
            <w:r w:rsidRPr="00605BDC">
              <w:rPr>
                <w:b/>
                <w:bCs/>
                <w:color w:val="000000"/>
                <w:sz w:val="16"/>
                <w:szCs w:val="16"/>
              </w:rPr>
              <w:t>Plānotais mēneša vidējais budžets</w:t>
            </w:r>
          </w:p>
        </w:tc>
        <w:tc>
          <w:tcPr>
            <w:tcW w:w="1160" w:type="dxa"/>
            <w:tcBorders>
              <w:bottom w:val="single" w:sz="4" w:space="0" w:color="auto"/>
            </w:tcBorders>
            <w:shd w:val="clear" w:color="auto" w:fill="D9D9D9" w:themeFill="background1" w:themeFillShade="D9"/>
            <w:vAlign w:val="center"/>
            <w:hideMark/>
          </w:tcPr>
          <w:p w:rsidR="00605BDC" w:rsidRPr="00605BDC" w:rsidRDefault="00605BDC" w:rsidP="0094661D">
            <w:pPr>
              <w:jc w:val="center"/>
              <w:rPr>
                <w:b/>
                <w:bCs/>
                <w:color w:val="000000"/>
                <w:sz w:val="16"/>
                <w:szCs w:val="16"/>
              </w:rPr>
            </w:pPr>
            <w:r w:rsidRPr="00605BDC">
              <w:rPr>
                <w:b/>
                <w:bCs/>
                <w:color w:val="000000"/>
                <w:sz w:val="16"/>
                <w:szCs w:val="16"/>
              </w:rPr>
              <w:t>Štata saraksts uz 01.03.2017</w:t>
            </w:r>
          </w:p>
        </w:tc>
      </w:tr>
      <w:tr w:rsidR="00605BDC" w:rsidRPr="00605BDC" w:rsidTr="00E625DB">
        <w:trPr>
          <w:trHeight w:val="61"/>
        </w:trPr>
        <w:tc>
          <w:tcPr>
            <w:tcW w:w="5460" w:type="dxa"/>
            <w:gridSpan w:val="2"/>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Atlīdzība</w:t>
            </w:r>
          </w:p>
        </w:tc>
        <w:tc>
          <w:tcPr>
            <w:tcW w:w="126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1 039 312</w:t>
            </w:r>
          </w:p>
        </w:tc>
        <w:tc>
          <w:tcPr>
            <w:tcW w:w="134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85 181</w:t>
            </w:r>
          </w:p>
        </w:tc>
        <w:tc>
          <w:tcPr>
            <w:tcW w:w="116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78 454</w:t>
            </w:r>
          </w:p>
        </w:tc>
      </w:tr>
      <w:tr w:rsidR="00605BDC" w:rsidRPr="00605BDC" w:rsidTr="00E625DB">
        <w:trPr>
          <w:trHeight w:val="61"/>
        </w:trPr>
        <w:tc>
          <w:tcPr>
            <w:tcW w:w="5460" w:type="dxa"/>
            <w:gridSpan w:val="2"/>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Atalgojums</w:t>
            </w:r>
          </w:p>
        </w:tc>
        <w:tc>
          <w:tcPr>
            <w:tcW w:w="126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821 251</w:t>
            </w:r>
          </w:p>
        </w:tc>
        <w:tc>
          <w:tcPr>
            <w:tcW w:w="134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68 181</w:t>
            </w:r>
          </w:p>
        </w:tc>
        <w:tc>
          <w:tcPr>
            <w:tcW w:w="1160" w:type="dxa"/>
            <w:shd w:val="clear" w:color="auto" w:fill="95B3D7" w:themeFill="accent1" w:themeFillTint="99"/>
            <w:vAlign w:val="center"/>
            <w:hideMark/>
          </w:tcPr>
          <w:p w:rsidR="00605BDC" w:rsidRPr="00605BDC" w:rsidRDefault="00605BDC" w:rsidP="00745475">
            <w:pPr>
              <w:spacing w:before="60"/>
              <w:jc w:val="center"/>
              <w:rPr>
                <w:b/>
                <w:bCs/>
                <w:color w:val="000000"/>
                <w:sz w:val="16"/>
                <w:szCs w:val="16"/>
              </w:rPr>
            </w:pPr>
            <w:r w:rsidRPr="00605BDC">
              <w:rPr>
                <w:b/>
                <w:bCs/>
                <w:color w:val="000000"/>
                <w:sz w:val="16"/>
                <w:szCs w:val="16"/>
              </w:rPr>
              <w:t>63 479</w:t>
            </w:r>
          </w:p>
        </w:tc>
      </w:tr>
      <w:tr w:rsidR="00605BDC" w:rsidRPr="00605BDC" w:rsidTr="00E625DB">
        <w:trPr>
          <w:trHeight w:val="61"/>
        </w:trPr>
        <w:tc>
          <w:tcPr>
            <w:tcW w:w="5460" w:type="dxa"/>
            <w:gridSpan w:val="2"/>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Kopā</w:t>
            </w:r>
          </w:p>
        </w:tc>
        <w:tc>
          <w:tcPr>
            <w:tcW w:w="1260" w:type="dxa"/>
            <w:tcBorders>
              <w:bottom w:val="single" w:sz="4" w:space="0" w:color="auto"/>
            </w:tcBorders>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786 212</w:t>
            </w:r>
          </w:p>
        </w:tc>
        <w:tc>
          <w:tcPr>
            <w:tcW w:w="134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65 517</w:t>
            </w:r>
          </w:p>
        </w:tc>
        <w:tc>
          <w:tcPr>
            <w:tcW w:w="11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63 479</w:t>
            </w:r>
          </w:p>
        </w:tc>
      </w:tr>
      <w:tr w:rsidR="00605BDC" w:rsidRPr="00605BDC" w:rsidTr="00E625DB">
        <w:trPr>
          <w:trHeight w:val="300"/>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1114</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Valsts civildienesta ierēdņu mēnešalga:</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689 452</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57 454</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55 964</w:t>
            </w:r>
          </w:p>
        </w:tc>
      </w:tr>
      <w:tr w:rsidR="00605BDC" w:rsidRPr="00605BDC" w:rsidTr="009C4E0D">
        <w:trPr>
          <w:trHeight w:val="57"/>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1119</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Pārējo darbinieku mēnešalga (darba alga)</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96 760</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8 063</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7 515</w:t>
            </w:r>
          </w:p>
        </w:tc>
      </w:tr>
      <w:tr w:rsidR="00605BDC" w:rsidRPr="00605BDC" w:rsidTr="00E625DB">
        <w:trPr>
          <w:trHeight w:val="61"/>
        </w:trPr>
        <w:tc>
          <w:tcPr>
            <w:tcW w:w="5460" w:type="dxa"/>
            <w:gridSpan w:val="2"/>
            <w:shd w:val="clear" w:color="000000" w:fill="538DD5"/>
            <w:noWrap/>
            <w:vAlign w:val="center"/>
            <w:hideMark/>
          </w:tcPr>
          <w:p w:rsidR="00605BDC" w:rsidRPr="00605BDC" w:rsidRDefault="00605BDC" w:rsidP="0094661D">
            <w:pPr>
              <w:jc w:val="center"/>
              <w:rPr>
                <w:b/>
                <w:bCs/>
                <w:color w:val="333333"/>
                <w:sz w:val="16"/>
                <w:szCs w:val="16"/>
              </w:rPr>
            </w:pPr>
            <w:r w:rsidRPr="00605BDC">
              <w:rPr>
                <w:b/>
                <w:bCs/>
                <w:color w:val="333333"/>
                <w:sz w:val="16"/>
                <w:szCs w:val="16"/>
              </w:rPr>
              <w:t>Kopā</w:t>
            </w:r>
          </w:p>
        </w:tc>
        <w:tc>
          <w:tcPr>
            <w:tcW w:w="1260" w:type="dxa"/>
            <w:tcBorders>
              <w:bottom w:val="single" w:sz="4" w:space="0" w:color="auto"/>
            </w:tcBorders>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32 756</w:t>
            </w:r>
          </w:p>
        </w:tc>
        <w:tc>
          <w:tcPr>
            <w:tcW w:w="134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2 284</w:t>
            </w:r>
          </w:p>
        </w:tc>
        <w:tc>
          <w:tcPr>
            <w:tcW w:w="11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0</w:t>
            </w:r>
          </w:p>
        </w:tc>
      </w:tr>
      <w:tr w:rsidR="00605BDC" w:rsidRPr="00605BDC" w:rsidTr="005056BE">
        <w:trPr>
          <w:trHeight w:val="61"/>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1146</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Piemaksa par personisko darba ieguldījumu un darba kvalitāti</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18 201</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1 655</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E625DB">
        <w:trPr>
          <w:trHeight w:val="61"/>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1147</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Piemaksa par papildu darbu</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6 287</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629</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E625DB">
        <w:trPr>
          <w:trHeight w:val="61"/>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1148</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Prēmijas un naudas balvas</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8 268</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E625DB">
        <w:trPr>
          <w:trHeight w:val="61"/>
        </w:trPr>
        <w:tc>
          <w:tcPr>
            <w:tcW w:w="5460" w:type="dxa"/>
            <w:gridSpan w:val="2"/>
            <w:shd w:val="clear" w:color="000000" w:fill="538DD5"/>
            <w:noWrap/>
            <w:vAlign w:val="center"/>
            <w:hideMark/>
          </w:tcPr>
          <w:p w:rsidR="00605BDC" w:rsidRPr="00605BDC" w:rsidRDefault="00605BDC" w:rsidP="0094661D">
            <w:pPr>
              <w:jc w:val="center"/>
              <w:rPr>
                <w:b/>
                <w:bCs/>
                <w:color w:val="333333"/>
                <w:sz w:val="16"/>
                <w:szCs w:val="16"/>
              </w:rPr>
            </w:pPr>
            <w:r w:rsidRPr="00605BDC">
              <w:rPr>
                <w:b/>
                <w:bCs/>
                <w:color w:val="333333"/>
                <w:sz w:val="16"/>
                <w:szCs w:val="16"/>
              </w:rPr>
              <w:t>Kopā</w:t>
            </w:r>
          </w:p>
        </w:tc>
        <w:tc>
          <w:tcPr>
            <w:tcW w:w="1260" w:type="dxa"/>
            <w:tcBorders>
              <w:bottom w:val="single" w:sz="4" w:space="0" w:color="auto"/>
            </w:tcBorders>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2 283</w:t>
            </w:r>
          </w:p>
        </w:tc>
        <w:tc>
          <w:tcPr>
            <w:tcW w:w="134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380</w:t>
            </w:r>
          </w:p>
        </w:tc>
        <w:tc>
          <w:tcPr>
            <w:tcW w:w="11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0</w:t>
            </w:r>
          </w:p>
        </w:tc>
      </w:tr>
      <w:tr w:rsidR="00605BDC" w:rsidRPr="00605BDC" w:rsidTr="00E625DB">
        <w:trPr>
          <w:trHeight w:val="294"/>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1150</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Atalgojums fiziskajām personām uz tiesiskās attiecības regulējošu dokumentu pamata</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2 283</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380</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C1162D">
        <w:trPr>
          <w:trHeight w:val="61"/>
        </w:trPr>
        <w:tc>
          <w:tcPr>
            <w:tcW w:w="5460" w:type="dxa"/>
            <w:gridSpan w:val="2"/>
            <w:shd w:val="clear" w:color="000000" w:fill="538DD5"/>
            <w:noWrap/>
            <w:vAlign w:val="center"/>
            <w:hideMark/>
          </w:tcPr>
          <w:p w:rsidR="00605BDC" w:rsidRPr="00605BDC" w:rsidRDefault="005C7AAC" w:rsidP="0094661D">
            <w:pPr>
              <w:jc w:val="center"/>
              <w:rPr>
                <w:b/>
                <w:bCs/>
                <w:color w:val="333333"/>
                <w:sz w:val="16"/>
                <w:szCs w:val="16"/>
              </w:rPr>
            </w:pPr>
            <w:r>
              <w:rPr>
                <w:b/>
                <w:bCs/>
                <w:color w:val="333333"/>
                <w:sz w:val="16"/>
                <w:szCs w:val="16"/>
              </w:rPr>
              <w:t xml:space="preserve">Kopā </w:t>
            </w:r>
          </w:p>
        </w:tc>
        <w:tc>
          <w:tcPr>
            <w:tcW w:w="12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218 061</w:t>
            </w:r>
          </w:p>
        </w:tc>
        <w:tc>
          <w:tcPr>
            <w:tcW w:w="134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17 000</w:t>
            </w:r>
          </w:p>
        </w:tc>
        <w:tc>
          <w:tcPr>
            <w:tcW w:w="11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14 975</w:t>
            </w:r>
          </w:p>
        </w:tc>
      </w:tr>
      <w:tr w:rsidR="00605BDC" w:rsidRPr="00605BDC" w:rsidTr="00E625DB">
        <w:trPr>
          <w:trHeight w:val="182"/>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1210</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Darba devēja valsts sociālās apdrošināšanas obligātās iemaksas</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195 675</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16 186</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14 975</w:t>
            </w:r>
          </w:p>
        </w:tc>
      </w:tr>
      <w:tr w:rsidR="00605BDC" w:rsidRPr="00605BDC" w:rsidTr="00E625DB">
        <w:trPr>
          <w:trHeight w:val="61"/>
        </w:trPr>
        <w:tc>
          <w:tcPr>
            <w:tcW w:w="5460" w:type="dxa"/>
            <w:gridSpan w:val="2"/>
            <w:shd w:val="clear" w:color="000000" w:fill="538DD5"/>
            <w:noWrap/>
            <w:vAlign w:val="center"/>
            <w:hideMark/>
          </w:tcPr>
          <w:p w:rsidR="00605BDC" w:rsidRPr="00605BDC" w:rsidRDefault="00605BDC" w:rsidP="0094661D">
            <w:pPr>
              <w:jc w:val="center"/>
              <w:rPr>
                <w:b/>
                <w:bCs/>
                <w:color w:val="333333"/>
                <w:sz w:val="16"/>
                <w:szCs w:val="16"/>
              </w:rPr>
            </w:pPr>
            <w:r w:rsidRPr="00605BDC">
              <w:rPr>
                <w:b/>
                <w:bCs/>
                <w:color w:val="333333"/>
                <w:sz w:val="16"/>
                <w:szCs w:val="16"/>
              </w:rPr>
              <w:t>Kopā</w:t>
            </w:r>
          </w:p>
        </w:tc>
        <w:tc>
          <w:tcPr>
            <w:tcW w:w="1260" w:type="dxa"/>
            <w:tcBorders>
              <w:bottom w:val="single" w:sz="4" w:space="0" w:color="auto"/>
            </w:tcBorders>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22 386</w:t>
            </w:r>
          </w:p>
        </w:tc>
        <w:tc>
          <w:tcPr>
            <w:tcW w:w="134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814</w:t>
            </w:r>
          </w:p>
        </w:tc>
        <w:tc>
          <w:tcPr>
            <w:tcW w:w="1160" w:type="dxa"/>
            <w:shd w:val="clear" w:color="000000" w:fill="538DD5"/>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0</w:t>
            </w:r>
          </w:p>
        </w:tc>
      </w:tr>
      <w:tr w:rsidR="00605BDC" w:rsidRPr="00605BDC" w:rsidTr="00E625DB">
        <w:trPr>
          <w:trHeight w:val="150"/>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1221</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Darba devēja pabalsti un kompensācijas, no kuriem aprēķina iedzīvotāju ienākuma nodokli un valsts sociālās apdrošināšanas obligātās iemaksas</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9 767</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r w:rsidRPr="00605BDC">
              <w:rPr>
                <w:color w:val="000000"/>
                <w:sz w:val="16"/>
                <w:szCs w:val="16"/>
              </w:rPr>
              <w:t>814</w:t>
            </w: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E625DB">
        <w:trPr>
          <w:trHeight w:val="465"/>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1227</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Darba devēja izdevumi veselības, dzīvības un nelaimes gadījumu apdrošināšanai</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11 099</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r w:rsidR="00605BDC" w:rsidRPr="00605BDC" w:rsidTr="00E625DB">
        <w:trPr>
          <w:trHeight w:val="529"/>
        </w:trPr>
        <w:tc>
          <w:tcPr>
            <w:tcW w:w="960" w:type="dxa"/>
            <w:shd w:val="clear" w:color="auto" w:fill="auto"/>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1228</w:t>
            </w:r>
          </w:p>
        </w:tc>
        <w:tc>
          <w:tcPr>
            <w:tcW w:w="4500" w:type="dxa"/>
            <w:shd w:val="clear" w:color="auto" w:fill="auto"/>
            <w:vAlign w:val="center"/>
            <w:hideMark/>
          </w:tcPr>
          <w:p w:rsidR="00605BDC" w:rsidRPr="00605BDC" w:rsidRDefault="00605BDC" w:rsidP="0094661D">
            <w:pPr>
              <w:rPr>
                <w:b/>
                <w:bCs/>
                <w:color w:val="333333"/>
                <w:sz w:val="16"/>
                <w:szCs w:val="16"/>
              </w:rPr>
            </w:pPr>
            <w:r w:rsidRPr="00605BDC">
              <w:rPr>
                <w:b/>
                <w:bCs/>
                <w:color w:val="333333"/>
                <w:sz w:val="16"/>
                <w:szCs w:val="16"/>
              </w:rPr>
              <w:t>Darba devēja pabalsti un kompensācijas, no kā neaprēķina iedzīvotāju ienākuma nodokli un valsts sociālās apdrošināšanas obligātās iemaksas</w:t>
            </w:r>
          </w:p>
        </w:tc>
        <w:tc>
          <w:tcPr>
            <w:tcW w:w="1260" w:type="dxa"/>
            <w:shd w:val="clear" w:color="auto" w:fill="95B3D7" w:themeFill="accent1" w:themeFillTint="99"/>
            <w:noWrap/>
            <w:vAlign w:val="center"/>
            <w:hideMark/>
          </w:tcPr>
          <w:p w:rsidR="00605BDC" w:rsidRPr="00605BDC" w:rsidRDefault="00605BDC" w:rsidP="00745475">
            <w:pPr>
              <w:spacing w:before="60"/>
              <w:jc w:val="center"/>
              <w:rPr>
                <w:b/>
                <w:bCs/>
                <w:color w:val="333333"/>
                <w:sz w:val="16"/>
                <w:szCs w:val="16"/>
              </w:rPr>
            </w:pPr>
            <w:r w:rsidRPr="00605BDC">
              <w:rPr>
                <w:b/>
                <w:bCs/>
                <w:color w:val="333333"/>
                <w:sz w:val="16"/>
                <w:szCs w:val="16"/>
              </w:rPr>
              <w:t>1 520</w:t>
            </w:r>
          </w:p>
        </w:tc>
        <w:tc>
          <w:tcPr>
            <w:tcW w:w="1340" w:type="dxa"/>
            <w:shd w:val="clear" w:color="auto" w:fill="auto"/>
            <w:noWrap/>
            <w:vAlign w:val="center"/>
            <w:hideMark/>
          </w:tcPr>
          <w:p w:rsidR="00605BDC" w:rsidRPr="00605BDC" w:rsidRDefault="00605BDC" w:rsidP="00745475">
            <w:pPr>
              <w:spacing w:before="60"/>
              <w:jc w:val="center"/>
              <w:rPr>
                <w:color w:val="000000"/>
                <w:sz w:val="16"/>
                <w:szCs w:val="16"/>
              </w:rPr>
            </w:pPr>
          </w:p>
        </w:tc>
        <w:tc>
          <w:tcPr>
            <w:tcW w:w="1160" w:type="dxa"/>
            <w:shd w:val="clear" w:color="auto" w:fill="auto"/>
            <w:noWrap/>
            <w:vAlign w:val="center"/>
            <w:hideMark/>
          </w:tcPr>
          <w:p w:rsidR="00605BDC" w:rsidRPr="00605BDC" w:rsidRDefault="00605BDC" w:rsidP="00745475">
            <w:pPr>
              <w:spacing w:before="60"/>
              <w:jc w:val="center"/>
              <w:rPr>
                <w:color w:val="000000"/>
                <w:sz w:val="16"/>
                <w:szCs w:val="16"/>
              </w:rPr>
            </w:pPr>
          </w:p>
        </w:tc>
      </w:tr>
    </w:tbl>
    <w:p w:rsidR="001A2814" w:rsidRDefault="001A2814" w:rsidP="0094661D">
      <w:pPr>
        <w:spacing w:before="60"/>
        <w:ind w:firstLine="720"/>
        <w:jc w:val="both"/>
        <w:rPr>
          <w:rFonts w:eastAsia="Calibri"/>
        </w:rPr>
      </w:pPr>
    </w:p>
    <w:p w:rsidR="00EF425E" w:rsidRDefault="003F7671" w:rsidP="0094661D">
      <w:pPr>
        <w:spacing w:before="60"/>
        <w:ind w:firstLine="720"/>
        <w:jc w:val="both"/>
        <w:rPr>
          <w:rFonts w:eastAsia="Calibri"/>
        </w:rPr>
      </w:pPr>
      <w:r w:rsidRPr="003F7671">
        <w:rPr>
          <w:rFonts w:eastAsia="Calibri"/>
        </w:rPr>
        <w:t xml:space="preserve">Analizējot </w:t>
      </w:r>
      <w:r>
        <w:rPr>
          <w:rFonts w:eastAsia="Calibri"/>
        </w:rPr>
        <w:t xml:space="preserve">Maksātnespējas administrācijas </w:t>
      </w:r>
      <w:r w:rsidR="003E331B">
        <w:rPr>
          <w:rFonts w:eastAsia="Calibri"/>
        </w:rPr>
        <w:t>2017.</w:t>
      </w:r>
      <w:r w:rsidR="002935AC">
        <w:rPr>
          <w:rFonts w:eastAsia="Calibri"/>
        </w:rPr>
        <w:t> </w:t>
      </w:r>
      <w:r w:rsidR="003E331B">
        <w:rPr>
          <w:rFonts w:eastAsia="Calibri"/>
        </w:rPr>
        <w:t xml:space="preserve">gada </w:t>
      </w:r>
      <w:r>
        <w:rPr>
          <w:rFonts w:eastAsia="Calibri"/>
        </w:rPr>
        <w:t xml:space="preserve">atlīdzības budžetu, jānorāda </w:t>
      </w:r>
      <w:r w:rsidR="001A2814">
        <w:rPr>
          <w:rFonts w:eastAsia="Calibri"/>
        </w:rPr>
        <w:t>turpmākais</w:t>
      </w:r>
      <w:r>
        <w:rPr>
          <w:rFonts w:eastAsia="Calibri"/>
        </w:rPr>
        <w:t>.</w:t>
      </w:r>
      <w:r w:rsidR="0094661D">
        <w:rPr>
          <w:rFonts w:eastAsia="Calibri"/>
        </w:rPr>
        <w:t xml:space="preserve"> </w:t>
      </w:r>
      <w:r w:rsidR="00E93C21" w:rsidRPr="00FE6A3E">
        <w:rPr>
          <w:rFonts w:eastAsia="Calibri"/>
        </w:rPr>
        <w:t xml:space="preserve">Par atalgojuma sadaļu </w:t>
      </w:r>
      <w:r w:rsidR="00FE6A3E">
        <w:rPr>
          <w:rFonts w:eastAsia="Calibri"/>
        </w:rPr>
        <w:t>–</w:t>
      </w:r>
      <w:r w:rsidR="00E93C21">
        <w:rPr>
          <w:rFonts w:eastAsia="Calibri"/>
        </w:rPr>
        <w:t xml:space="preserve"> n</w:t>
      </w:r>
      <w:r>
        <w:rPr>
          <w:rFonts w:eastAsia="Calibri"/>
        </w:rPr>
        <w:t>o ierēdņiem un darbiniekiem noteiktajām mēnešalgām katru mēnesi pret apstiprināto štatu sarakstu ir iespējams piemaksām novirzīt 2 038</w:t>
      </w:r>
      <w:r w:rsidR="002935AC">
        <w:rPr>
          <w:rFonts w:eastAsia="Calibri"/>
        </w:rPr>
        <w:t> </w:t>
      </w:r>
      <w:proofErr w:type="spellStart"/>
      <w:r w:rsidRPr="003F7671">
        <w:rPr>
          <w:rFonts w:eastAsia="Calibri"/>
          <w:i/>
        </w:rPr>
        <w:t>euro</w:t>
      </w:r>
      <w:proofErr w:type="spellEnd"/>
      <w:r>
        <w:rPr>
          <w:rFonts w:eastAsia="Calibri"/>
        </w:rPr>
        <w:t xml:space="preserve">, kuri </w:t>
      </w:r>
      <w:r w:rsidR="00774E53">
        <w:rPr>
          <w:rFonts w:eastAsia="Calibri"/>
        </w:rPr>
        <w:t xml:space="preserve">daļēji </w:t>
      </w:r>
      <w:r>
        <w:rPr>
          <w:rFonts w:eastAsia="Calibri"/>
        </w:rPr>
        <w:t xml:space="preserve">tiek uzkrāti gada griezumā, lai palielinātu </w:t>
      </w:r>
      <w:r w:rsidR="00551EFB">
        <w:rPr>
          <w:rFonts w:eastAsia="Calibri"/>
        </w:rPr>
        <w:t xml:space="preserve">ekonomiskās klasifikācijas kodā (turpmāk – </w:t>
      </w:r>
      <w:r w:rsidR="00774E53">
        <w:rPr>
          <w:rFonts w:eastAsia="Calibri"/>
        </w:rPr>
        <w:t>EKK</w:t>
      </w:r>
      <w:r w:rsidR="00551EFB">
        <w:rPr>
          <w:rFonts w:eastAsia="Calibri"/>
        </w:rPr>
        <w:t>)</w:t>
      </w:r>
      <w:r w:rsidR="00774E53">
        <w:rPr>
          <w:rFonts w:eastAsia="Calibri"/>
        </w:rPr>
        <w:t xml:space="preserve"> 1148 plānoto summu līdz apmēram 26 000</w:t>
      </w:r>
      <w:r w:rsidR="002935AC">
        <w:rPr>
          <w:rFonts w:eastAsia="Calibri"/>
        </w:rPr>
        <w:t> </w:t>
      </w:r>
      <w:proofErr w:type="spellStart"/>
      <w:r w:rsidR="00774E53" w:rsidRPr="00774E53">
        <w:rPr>
          <w:rFonts w:eastAsia="Calibri"/>
          <w:i/>
        </w:rPr>
        <w:t>euro</w:t>
      </w:r>
      <w:proofErr w:type="spellEnd"/>
      <w:r w:rsidR="00774E53">
        <w:rPr>
          <w:rFonts w:eastAsia="Calibri"/>
        </w:rPr>
        <w:t xml:space="preserve"> (šobrīd pēc finansēšanas plāna 8 268</w:t>
      </w:r>
      <w:r w:rsidR="002935AC">
        <w:rPr>
          <w:rFonts w:eastAsia="Calibri"/>
        </w:rPr>
        <w:t> </w:t>
      </w:r>
      <w:proofErr w:type="spellStart"/>
      <w:r w:rsidR="00774E53" w:rsidRPr="00774E53">
        <w:rPr>
          <w:rFonts w:eastAsia="Calibri"/>
          <w:i/>
        </w:rPr>
        <w:t>euro</w:t>
      </w:r>
      <w:proofErr w:type="spellEnd"/>
      <w:r w:rsidR="00774E53">
        <w:rPr>
          <w:rFonts w:eastAsia="Calibri"/>
        </w:rPr>
        <w:t>, kas plānot</w:t>
      </w:r>
      <w:r w:rsidR="002935AC">
        <w:rPr>
          <w:rFonts w:eastAsia="Calibri"/>
        </w:rPr>
        <w:t>i</w:t>
      </w:r>
      <w:r w:rsidR="00774E53">
        <w:rPr>
          <w:rFonts w:eastAsia="Calibri"/>
        </w:rPr>
        <w:t xml:space="preserve"> nodarbināto novērtēšanas prēmiju apmaksai, kuru veic vienreiz gadā</w:t>
      </w:r>
      <w:r w:rsidR="002935AC">
        <w:rPr>
          <w:rFonts w:eastAsia="Calibri"/>
        </w:rPr>
        <w:t>,</w:t>
      </w:r>
      <w:r w:rsidR="00774E53">
        <w:rPr>
          <w:rFonts w:eastAsia="Calibri"/>
        </w:rPr>
        <w:t xml:space="preserve"> ņemot vērā novērtēšanas rezultātus). Minē</w:t>
      </w:r>
      <w:r w:rsidR="00FE6A3E">
        <w:rPr>
          <w:rFonts w:eastAsia="Calibri"/>
        </w:rPr>
        <w:t>tā summa aprēķināta</w:t>
      </w:r>
      <w:r w:rsidR="002935AC">
        <w:rPr>
          <w:rFonts w:eastAsia="Calibri"/>
        </w:rPr>
        <w:t>,</w:t>
      </w:r>
      <w:r w:rsidR="00FE6A3E">
        <w:rPr>
          <w:rFonts w:eastAsia="Calibri"/>
        </w:rPr>
        <w:t xml:space="preserve"> ņemot vērā</w:t>
      </w:r>
      <w:r w:rsidR="002935AC">
        <w:rPr>
          <w:rFonts w:eastAsia="Calibri"/>
        </w:rPr>
        <w:t xml:space="preserve"> iepriekšējos</w:t>
      </w:r>
      <w:r w:rsidR="00774E53">
        <w:rPr>
          <w:rFonts w:eastAsia="Calibri"/>
        </w:rPr>
        <w:t xml:space="preserve"> gados izmaksātās novērtēšanas prēmijas (2015.</w:t>
      </w:r>
      <w:r w:rsidR="002935AC">
        <w:rPr>
          <w:rFonts w:eastAsia="Calibri"/>
        </w:rPr>
        <w:t> </w:t>
      </w:r>
      <w:r w:rsidR="00774E53">
        <w:rPr>
          <w:rFonts w:eastAsia="Calibri"/>
        </w:rPr>
        <w:t>gadā 18 809</w:t>
      </w:r>
      <w:r w:rsidR="002935AC">
        <w:rPr>
          <w:rFonts w:eastAsia="Calibri"/>
        </w:rPr>
        <w:t> </w:t>
      </w:r>
      <w:proofErr w:type="spellStart"/>
      <w:r w:rsidR="00774E53" w:rsidRPr="00774E53">
        <w:rPr>
          <w:rFonts w:eastAsia="Calibri"/>
          <w:i/>
        </w:rPr>
        <w:t>euro</w:t>
      </w:r>
      <w:proofErr w:type="spellEnd"/>
      <w:r w:rsidR="00774E53">
        <w:rPr>
          <w:rFonts w:eastAsia="Calibri"/>
        </w:rPr>
        <w:t xml:space="preserve"> un 2016.</w:t>
      </w:r>
      <w:r w:rsidR="002935AC">
        <w:rPr>
          <w:rFonts w:eastAsia="Calibri"/>
        </w:rPr>
        <w:t> </w:t>
      </w:r>
      <w:r w:rsidR="00774E53">
        <w:rPr>
          <w:rFonts w:eastAsia="Calibri"/>
        </w:rPr>
        <w:t>gadā 25 751</w:t>
      </w:r>
      <w:r w:rsidR="002935AC">
        <w:rPr>
          <w:rFonts w:eastAsia="Calibri"/>
        </w:rPr>
        <w:t> </w:t>
      </w:r>
      <w:proofErr w:type="spellStart"/>
      <w:r w:rsidR="00774E53" w:rsidRPr="00774E53">
        <w:rPr>
          <w:rFonts w:eastAsia="Calibri"/>
          <w:i/>
        </w:rPr>
        <w:t>euro</w:t>
      </w:r>
      <w:proofErr w:type="spellEnd"/>
      <w:r w:rsidR="00774E53">
        <w:rPr>
          <w:rFonts w:eastAsia="Calibri"/>
        </w:rPr>
        <w:t>).</w:t>
      </w:r>
      <w:r w:rsidR="00050195">
        <w:rPr>
          <w:rFonts w:eastAsia="Calibri"/>
        </w:rPr>
        <w:t xml:space="preserve"> Papildus piemaksām ir iespējams izmantot 24 488</w:t>
      </w:r>
      <w:r w:rsidR="002935AC">
        <w:rPr>
          <w:rFonts w:eastAsia="Calibri"/>
        </w:rPr>
        <w:t> </w:t>
      </w:r>
      <w:proofErr w:type="spellStart"/>
      <w:r w:rsidR="00050195" w:rsidRPr="00050195">
        <w:rPr>
          <w:rFonts w:eastAsia="Calibri"/>
          <w:i/>
        </w:rPr>
        <w:t>euro</w:t>
      </w:r>
      <w:proofErr w:type="spellEnd"/>
      <w:r w:rsidR="00050195">
        <w:rPr>
          <w:rFonts w:eastAsia="Calibri"/>
        </w:rPr>
        <w:t xml:space="preserve"> gadā (</w:t>
      </w:r>
      <w:r w:rsidR="005E67CD">
        <w:rPr>
          <w:rFonts w:eastAsia="Calibri"/>
        </w:rPr>
        <w:t>18 201+6 287=24 488)</w:t>
      </w:r>
      <w:r w:rsidR="00F37836">
        <w:rPr>
          <w:rFonts w:eastAsia="Calibri"/>
        </w:rPr>
        <w:t>, jeb 2</w:t>
      </w:r>
      <w:r w:rsidR="001A2814">
        <w:rPr>
          <w:rFonts w:eastAsia="Calibri"/>
        </w:rPr>
        <w:t> </w:t>
      </w:r>
      <w:r w:rsidR="00F37836">
        <w:rPr>
          <w:rFonts w:eastAsia="Calibri"/>
        </w:rPr>
        <w:t>041</w:t>
      </w:r>
      <w:r w:rsidR="002935AC">
        <w:rPr>
          <w:rFonts w:eastAsia="Calibri"/>
        </w:rPr>
        <w:t> </w:t>
      </w:r>
      <w:proofErr w:type="spellStart"/>
      <w:r w:rsidR="00F37836" w:rsidRPr="00F37836">
        <w:rPr>
          <w:rFonts w:eastAsia="Calibri"/>
          <w:i/>
        </w:rPr>
        <w:t>euro</w:t>
      </w:r>
      <w:proofErr w:type="spellEnd"/>
      <w:r w:rsidR="00F37836">
        <w:rPr>
          <w:rFonts w:eastAsia="Calibri"/>
        </w:rPr>
        <w:t xml:space="preserve"> mēnesī</w:t>
      </w:r>
      <w:r w:rsidR="005E67CD">
        <w:rPr>
          <w:rFonts w:eastAsia="Calibri"/>
        </w:rPr>
        <w:t>, ar kuru palīdzību tiek motivēti spējīgākie nodarbinātie, tie, kuriem ir palielināts darba apjoms</w:t>
      </w:r>
      <w:r w:rsidR="008309C8">
        <w:rPr>
          <w:rFonts w:eastAsia="Calibri"/>
        </w:rPr>
        <w:t xml:space="preserve">, vai tie, </w:t>
      </w:r>
      <w:proofErr w:type="gramStart"/>
      <w:r w:rsidR="008309C8">
        <w:rPr>
          <w:rFonts w:eastAsia="Calibri"/>
        </w:rPr>
        <w:t>kuri kvalitatīvi ir</w:t>
      </w:r>
      <w:proofErr w:type="gramEnd"/>
      <w:r w:rsidR="008309C8">
        <w:rPr>
          <w:rFonts w:eastAsia="Calibri"/>
        </w:rPr>
        <w:t xml:space="preserve"> veikuši kādus īpaši Maksātnespējas administrācijai svarīgus uzdevumus.</w:t>
      </w:r>
      <w:r>
        <w:rPr>
          <w:rFonts w:eastAsia="Calibri"/>
        </w:rPr>
        <w:t xml:space="preserve"> </w:t>
      </w:r>
      <w:r w:rsidR="00E93C21">
        <w:rPr>
          <w:rFonts w:eastAsia="Calibri"/>
        </w:rPr>
        <w:t>EKK 1150 paredzētie 2 283</w:t>
      </w:r>
      <w:r w:rsidR="00267871">
        <w:rPr>
          <w:rFonts w:eastAsia="Calibri"/>
        </w:rPr>
        <w:t> </w:t>
      </w:r>
      <w:proofErr w:type="spellStart"/>
      <w:r w:rsidR="00E93C21" w:rsidRPr="00E93C21">
        <w:rPr>
          <w:rFonts w:eastAsia="Calibri"/>
          <w:i/>
        </w:rPr>
        <w:t>euro</w:t>
      </w:r>
      <w:proofErr w:type="spellEnd"/>
      <w:r w:rsidR="00E93C21">
        <w:rPr>
          <w:rFonts w:eastAsia="Calibri"/>
        </w:rPr>
        <w:t xml:space="preserve"> ir plānotie atalgojuma izdevumi</w:t>
      </w:r>
      <w:r w:rsidR="00267871">
        <w:rPr>
          <w:rFonts w:eastAsia="Calibri"/>
        </w:rPr>
        <w:t>,</w:t>
      </w:r>
      <w:r w:rsidR="00E93C21">
        <w:rPr>
          <w:rFonts w:eastAsia="Calibri"/>
        </w:rPr>
        <w:t xml:space="preserve"> nodrošinot maksas pakalpojumus</w:t>
      </w:r>
      <w:r w:rsidR="00267871">
        <w:rPr>
          <w:rFonts w:eastAsia="Calibri"/>
        </w:rPr>
        <w:t>, proti, novirzot tos</w:t>
      </w:r>
      <w:r w:rsidR="00E93C21">
        <w:rPr>
          <w:rFonts w:eastAsia="Calibri"/>
        </w:rPr>
        <w:t xml:space="preserve"> Maksātnespējas administrācijas organizēto kvalifikācijas pasākumu lektoru atalgojumam.</w:t>
      </w:r>
    </w:p>
    <w:p w:rsidR="00E93C21" w:rsidRDefault="00E93C21" w:rsidP="00745475">
      <w:pPr>
        <w:spacing w:before="60"/>
        <w:ind w:firstLine="720"/>
        <w:jc w:val="both"/>
        <w:rPr>
          <w:rFonts w:eastAsia="Calibri"/>
        </w:rPr>
      </w:pPr>
      <w:r>
        <w:rPr>
          <w:rFonts w:eastAsia="Calibri"/>
        </w:rPr>
        <w:t>Savukārt sociālā nodokļa un pabalstu sadaļa ir paredzēta atalgojuma sadaļas darba devēja valsts sociālās apdrošināšanas obligātajām iemaksām, kā arī trīs veidu pabalstiem – EKK</w:t>
      </w:r>
      <w:r w:rsidR="001A2814">
        <w:rPr>
          <w:rFonts w:eastAsia="Calibri"/>
        </w:rPr>
        <w:t> </w:t>
      </w:r>
      <w:r>
        <w:rPr>
          <w:rFonts w:eastAsia="Calibri"/>
        </w:rPr>
        <w:t>1221</w:t>
      </w:r>
      <w:r w:rsidR="002578C2">
        <w:rPr>
          <w:rFonts w:eastAsia="Calibri"/>
        </w:rPr>
        <w:t> –</w:t>
      </w:r>
      <w:r w:rsidR="00180DC0">
        <w:rPr>
          <w:rFonts w:eastAsia="Calibri"/>
        </w:rPr>
        <w:t xml:space="preserve"> </w:t>
      </w:r>
      <w:r>
        <w:rPr>
          <w:rFonts w:eastAsia="Calibri"/>
        </w:rPr>
        <w:t>9 767</w:t>
      </w:r>
      <w:r w:rsidR="002578C2">
        <w:rPr>
          <w:rFonts w:eastAsia="Calibri"/>
        </w:rPr>
        <w:t> </w:t>
      </w:r>
      <w:proofErr w:type="spellStart"/>
      <w:r w:rsidRPr="00E93C21">
        <w:rPr>
          <w:rFonts w:eastAsia="Calibri"/>
          <w:i/>
        </w:rPr>
        <w:t>euro</w:t>
      </w:r>
      <w:proofErr w:type="spellEnd"/>
      <w:r>
        <w:rPr>
          <w:rFonts w:eastAsia="Calibri"/>
        </w:rPr>
        <w:t xml:space="preserve"> slimības pabalstiem (</w:t>
      </w:r>
      <w:r w:rsidR="00180DC0">
        <w:rPr>
          <w:rFonts w:eastAsia="Calibri"/>
        </w:rPr>
        <w:t>2015.</w:t>
      </w:r>
      <w:r w:rsidR="002578C2">
        <w:rPr>
          <w:rFonts w:eastAsia="Calibri"/>
        </w:rPr>
        <w:t> </w:t>
      </w:r>
      <w:r w:rsidR="00180DC0">
        <w:rPr>
          <w:rFonts w:eastAsia="Calibri"/>
        </w:rPr>
        <w:t>gadā 6 602</w:t>
      </w:r>
      <w:r w:rsidR="002578C2">
        <w:rPr>
          <w:rFonts w:eastAsia="Calibri"/>
        </w:rPr>
        <w:t> </w:t>
      </w:r>
      <w:proofErr w:type="spellStart"/>
      <w:r w:rsidR="00180DC0" w:rsidRPr="00180DC0">
        <w:rPr>
          <w:rFonts w:eastAsia="Calibri"/>
          <w:i/>
        </w:rPr>
        <w:t>euro</w:t>
      </w:r>
      <w:proofErr w:type="spellEnd"/>
      <w:r w:rsidR="00180DC0">
        <w:rPr>
          <w:rFonts w:eastAsia="Calibri"/>
        </w:rPr>
        <w:t xml:space="preserve"> un 2016.</w:t>
      </w:r>
      <w:r w:rsidR="002578C2">
        <w:rPr>
          <w:rFonts w:eastAsia="Calibri"/>
        </w:rPr>
        <w:t> </w:t>
      </w:r>
      <w:r w:rsidR="00180DC0">
        <w:rPr>
          <w:rFonts w:eastAsia="Calibri"/>
        </w:rPr>
        <w:t>gadā 6 570</w:t>
      </w:r>
      <w:r w:rsidR="002578C2">
        <w:rPr>
          <w:rFonts w:eastAsia="Calibri"/>
        </w:rPr>
        <w:t> </w:t>
      </w:r>
      <w:proofErr w:type="spellStart"/>
      <w:r w:rsidR="00180DC0" w:rsidRPr="00180DC0">
        <w:rPr>
          <w:rFonts w:eastAsia="Calibri"/>
          <w:i/>
        </w:rPr>
        <w:t>euro</w:t>
      </w:r>
      <w:proofErr w:type="spellEnd"/>
      <w:r w:rsidR="00180DC0">
        <w:rPr>
          <w:rFonts w:eastAsia="Calibri"/>
        </w:rPr>
        <w:t>)</w:t>
      </w:r>
      <w:r w:rsidR="001A2814">
        <w:rPr>
          <w:rFonts w:eastAsia="Calibri"/>
        </w:rPr>
        <w:t>, EKK </w:t>
      </w:r>
      <w:r w:rsidR="007D5F17">
        <w:rPr>
          <w:rFonts w:eastAsia="Calibri"/>
        </w:rPr>
        <w:t>1227 – 11 099</w:t>
      </w:r>
      <w:r w:rsidR="002578C2">
        <w:rPr>
          <w:rFonts w:eastAsia="Calibri"/>
        </w:rPr>
        <w:t> </w:t>
      </w:r>
      <w:proofErr w:type="spellStart"/>
      <w:r w:rsidR="007D5F17" w:rsidRPr="007D5F17">
        <w:rPr>
          <w:rFonts w:eastAsia="Calibri"/>
          <w:i/>
        </w:rPr>
        <w:t>euro</w:t>
      </w:r>
      <w:proofErr w:type="spellEnd"/>
      <w:r w:rsidR="007D5F17">
        <w:rPr>
          <w:rFonts w:eastAsia="Calibri"/>
        </w:rPr>
        <w:t xml:space="preserve"> </w:t>
      </w:r>
      <w:r w:rsidR="001A2814">
        <w:rPr>
          <w:rFonts w:eastAsia="Calibri"/>
        </w:rPr>
        <w:t>veselības apdrošināšanai un EKK </w:t>
      </w:r>
      <w:r w:rsidR="007D5F17">
        <w:rPr>
          <w:rFonts w:eastAsia="Calibri"/>
        </w:rPr>
        <w:t xml:space="preserve">1228 </w:t>
      </w:r>
      <w:r w:rsidR="00AA4EF6">
        <w:rPr>
          <w:rFonts w:eastAsia="Calibri"/>
        </w:rPr>
        <w:t>–</w:t>
      </w:r>
      <w:r w:rsidR="007D5F17">
        <w:rPr>
          <w:rFonts w:eastAsia="Calibri"/>
        </w:rPr>
        <w:t xml:space="preserve"> </w:t>
      </w:r>
      <w:r w:rsidR="00AA4EF6">
        <w:rPr>
          <w:rFonts w:eastAsia="Calibri"/>
        </w:rPr>
        <w:t>radinieku bēru pabalstiem 1 520</w:t>
      </w:r>
      <w:r w:rsidR="002578C2">
        <w:rPr>
          <w:rFonts w:eastAsia="Calibri"/>
        </w:rPr>
        <w:t> </w:t>
      </w:r>
      <w:proofErr w:type="spellStart"/>
      <w:r w:rsidR="00AA4EF6" w:rsidRPr="00AA4EF6">
        <w:rPr>
          <w:rFonts w:eastAsia="Calibri"/>
          <w:i/>
        </w:rPr>
        <w:t>euro</w:t>
      </w:r>
      <w:proofErr w:type="spellEnd"/>
      <w:r w:rsidR="00AA4EF6">
        <w:rPr>
          <w:rFonts w:eastAsia="Calibri"/>
        </w:rPr>
        <w:t xml:space="preserve"> (2015.</w:t>
      </w:r>
      <w:r w:rsidR="002578C2">
        <w:rPr>
          <w:rFonts w:eastAsia="Calibri"/>
        </w:rPr>
        <w:t> </w:t>
      </w:r>
      <w:r w:rsidR="00AA4EF6">
        <w:rPr>
          <w:rFonts w:eastAsia="Calibri"/>
        </w:rPr>
        <w:t>gadā 640</w:t>
      </w:r>
      <w:r w:rsidR="002578C2">
        <w:rPr>
          <w:rFonts w:eastAsia="Calibri"/>
        </w:rPr>
        <w:t> </w:t>
      </w:r>
      <w:proofErr w:type="spellStart"/>
      <w:r w:rsidR="00AA4EF6" w:rsidRPr="00AA4EF6">
        <w:rPr>
          <w:rFonts w:eastAsia="Calibri"/>
          <w:i/>
        </w:rPr>
        <w:t>euro</w:t>
      </w:r>
      <w:proofErr w:type="spellEnd"/>
      <w:r w:rsidR="00AA4EF6">
        <w:rPr>
          <w:rFonts w:eastAsia="Calibri"/>
        </w:rPr>
        <w:t xml:space="preserve"> un 2016.</w:t>
      </w:r>
      <w:r w:rsidR="002578C2">
        <w:rPr>
          <w:rFonts w:eastAsia="Calibri"/>
        </w:rPr>
        <w:t> </w:t>
      </w:r>
      <w:r w:rsidR="00AA4EF6">
        <w:rPr>
          <w:rFonts w:eastAsia="Calibri"/>
        </w:rPr>
        <w:t>gadā 1 067</w:t>
      </w:r>
      <w:r w:rsidR="002578C2">
        <w:rPr>
          <w:rFonts w:eastAsia="Calibri"/>
        </w:rPr>
        <w:t> </w:t>
      </w:r>
      <w:proofErr w:type="spellStart"/>
      <w:r w:rsidR="00AA4EF6" w:rsidRPr="00AA4EF6">
        <w:rPr>
          <w:rFonts w:eastAsia="Calibri"/>
          <w:i/>
        </w:rPr>
        <w:t>euro</w:t>
      </w:r>
      <w:proofErr w:type="spellEnd"/>
      <w:r w:rsidR="00AA4EF6">
        <w:rPr>
          <w:rFonts w:eastAsia="Calibri"/>
        </w:rPr>
        <w:t>).</w:t>
      </w:r>
    </w:p>
    <w:p w:rsidR="003E331B" w:rsidRDefault="00A7222F" w:rsidP="00745475">
      <w:pPr>
        <w:spacing w:before="60"/>
        <w:ind w:firstLine="720"/>
        <w:jc w:val="both"/>
        <w:rPr>
          <w:rFonts w:eastAsia="Calibri"/>
        </w:rPr>
      </w:pPr>
      <w:r>
        <w:rPr>
          <w:rFonts w:eastAsia="Calibri"/>
        </w:rPr>
        <w:t>Ievērojot</w:t>
      </w:r>
      <w:r w:rsidR="00F31B34">
        <w:rPr>
          <w:rFonts w:eastAsia="Calibri"/>
        </w:rPr>
        <w:t xml:space="preserve"> norādīto, Maksātnespējas administrācijas rīcībā </w:t>
      </w:r>
      <w:r w:rsidR="002578C2">
        <w:rPr>
          <w:rFonts w:eastAsia="Calibri"/>
        </w:rPr>
        <w:t xml:space="preserve">esošie līdzekļi </w:t>
      </w:r>
      <w:r w:rsidR="00B73F01">
        <w:rPr>
          <w:rFonts w:eastAsia="Calibri"/>
        </w:rPr>
        <w:t>ir nepietiekoši, lai varētu nodrošināt Atlīdzības likumā noteiktās sociālās garantijas</w:t>
      </w:r>
      <w:r w:rsidR="00F31B34">
        <w:rPr>
          <w:rFonts w:eastAsia="Calibri"/>
        </w:rPr>
        <w:t>, ar kur</w:t>
      </w:r>
      <w:r w:rsidR="00B73F01">
        <w:rPr>
          <w:rFonts w:eastAsia="Calibri"/>
        </w:rPr>
        <w:t>ā</w:t>
      </w:r>
      <w:r w:rsidR="00F31B34">
        <w:rPr>
          <w:rFonts w:eastAsia="Calibri"/>
        </w:rPr>
        <w:t>m var motivēt iestādes nodarbinātos un piesaistīt jaunu, īpaši kvalificētu personālu</w:t>
      </w:r>
      <w:r w:rsidR="00B73F01">
        <w:rPr>
          <w:rFonts w:eastAsia="Calibri"/>
        </w:rPr>
        <w:t>, līdz ar to ir apdraudēta Maksātnespējas likuma grozījumu</w:t>
      </w:r>
      <w:r w:rsidR="00CE7D79">
        <w:rPr>
          <w:rFonts w:eastAsia="Calibri"/>
        </w:rPr>
        <w:t>, kas stājās spēkā 2017. gada 6. janvārī</w:t>
      </w:r>
      <w:r w:rsidR="0067107D">
        <w:rPr>
          <w:rFonts w:eastAsia="Calibri"/>
        </w:rPr>
        <w:t>,</w:t>
      </w:r>
      <w:r w:rsidR="00B73F01">
        <w:rPr>
          <w:rFonts w:eastAsia="Calibri"/>
        </w:rPr>
        <w:t xml:space="preserve"> un </w:t>
      </w:r>
      <w:r w:rsidR="00886829">
        <w:rPr>
          <w:rFonts w:eastAsia="Calibri"/>
        </w:rPr>
        <w:t>P</w:t>
      </w:r>
      <w:r w:rsidR="00B73F01">
        <w:rPr>
          <w:rFonts w:eastAsia="Calibri"/>
        </w:rPr>
        <w:t>amatnostādņu sekmīga ieviešana</w:t>
      </w:r>
      <w:r w:rsidR="00F31B34">
        <w:rPr>
          <w:rFonts w:eastAsia="Calibri"/>
        </w:rPr>
        <w:t>.</w:t>
      </w:r>
    </w:p>
    <w:p w:rsidR="00FC0B36" w:rsidRDefault="00005AC9">
      <w:pPr>
        <w:spacing w:before="60"/>
        <w:ind w:firstLine="720"/>
        <w:jc w:val="both"/>
        <w:rPr>
          <w:rFonts w:eastAsia="Calibri"/>
        </w:rPr>
      </w:pPr>
      <w:r w:rsidRPr="00DD302F">
        <w:rPr>
          <w:rFonts w:eastAsia="Calibri"/>
        </w:rPr>
        <w:t>Ņemot vērā ar Maksātnespējas likuma grozījumiem</w:t>
      </w:r>
      <w:r w:rsidR="00CE7D79">
        <w:rPr>
          <w:rFonts w:eastAsia="Calibri"/>
        </w:rPr>
        <w:t>,</w:t>
      </w:r>
      <w:r w:rsidR="00CE7D79" w:rsidRPr="00CE7D79">
        <w:rPr>
          <w:rFonts w:eastAsia="Calibri"/>
        </w:rPr>
        <w:t xml:space="preserve"> kas stājās spēkā 2017. gada 6. janvārī</w:t>
      </w:r>
      <w:r w:rsidR="00CE7D79">
        <w:rPr>
          <w:rFonts w:eastAsia="Calibri"/>
        </w:rPr>
        <w:t>,</w:t>
      </w:r>
      <w:r w:rsidRPr="00DD302F">
        <w:rPr>
          <w:rFonts w:eastAsia="Calibri"/>
        </w:rPr>
        <w:t xml:space="preserve"> un apstiprinātajām </w:t>
      </w:r>
      <w:r w:rsidR="00D80EE7" w:rsidRPr="00DD302F">
        <w:rPr>
          <w:rFonts w:eastAsia="Calibri"/>
        </w:rPr>
        <w:t xml:space="preserve">Pamatnostādnēm </w:t>
      </w:r>
      <w:r w:rsidRPr="00DD302F">
        <w:rPr>
          <w:rFonts w:eastAsia="Calibri"/>
        </w:rPr>
        <w:t>Maksātnespējas administrācijai noteiktās papildus funkcijas un palielinātās pilnvaras (kompetence)</w:t>
      </w:r>
      <w:r w:rsidR="002578C2" w:rsidRPr="00DD302F">
        <w:rPr>
          <w:rFonts w:eastAsia="Calibri"/>
        </w:rPr>
        <w:t>,</w:t>
      </w:r>
      <w:r w:rsidRPr="00DD302F">
        <w:rPr>
          <w:rFonts w:eastAsia="Calibri"/>
        </w:rPr>
        <w:t xml:space="preserve"> </w:t>
      </w:r>
      <w:r w:rsidR="008222D0" w:rsidRPr="00DD302F">
        <w:rPr>
          <w:rFonts w:eastAsia="Calibri"/>
        </w:rPr>
        <w:t xml:space="preserve">ir </w:t>
      </w:r>
      <w:r w:rsidRPr="00DD302F">
        <w:rPr>
          <w:rFonts w:eastAsia="Calibri"/>
        </w:rPr>
        <w:t xml:space="preserve">jāveic </w:t>
      </w:r>
      <w:r w:rsidR="008222D0" w:rsidRPr="00DD302F">
        <w:rPr>
          <w:rFonts w:eastAsia="Calibri"/>
        </w:rPr>
        <w:t>uzraudzībā iesaistīto nodarbināto amatu saimju un līmeņu pārskatīšana</w:t>
      </w:r>
      <w:r w:rsidR="00A67080" w:rsidRPr="00DD302F">
        <w:rPr>
          <w:rFonts w:eastAsia="Calibri"/>
        </w:rPr>
        <w:t>, palielinot mēnešalgu grupas</w:t>
      </w:r>
      <w:r w:rsidR="008222D0" w:rsidRPr="00DD302F">
        <w:rPr>
          <w:rFonts w:eastAsia="Calibri"/>
        </w:rPr>
        <w:t xml:space="preserve">, un attiecīgi </w:t>
      </w:r>
      <w:r w:rsidR="00C431A8" w:rsidRPr="00DD302F">
        <w:rPr>
          <w:rFonts w:eastAsia="Calibri"/>
        </w:rPr>
        <w:t>piesaistot</w:t>
      </w:r>
      <w:r w:rsidR="008222D0" w:rsidRPr="00DD302F">
        <w:rPr>
          <w:rFonts w:eastAsia="Calibri"/>
        </w:rPr>
        <w:t xml:space="preserve"> papildu finansējumu</w:t>
      </w:r>
      <w:r w:rsidR="00C431A8" w:rsidRPr="00DD302F">
        <w:rPr>
          <w:rFonts w:eastAsia="Calibri"/>
        </w:rPr>
        <w:t xml:space="preserve">. </w:t>
      </w:r>
      <w:r w:rsidR="00E86BE3">
        <w:rPr>
          <w:rFonts w:eastAsia="Calibri"/>
        </w:rPr>
        <w:t xml:space="preserve">Amatu klasificēšanas un saskaņošanas process ar Valsts kanceleju tiks uzsākts uzreiz pēc šī informatīvā ziņojuma apstiprināšanas Ministru kabinetā. </w:t>
      </w:r>
      <w:r w:rsidR="00B0367F" w:rsidRPr="00DD302F">
        <w:rPr>
          <w:rFonts w:eastAsia="Calibri"/>
        </w:rPr>
        <w:t>Kopumā, izvērtējot papildus veicamo funkciju un to ietvaros veicamo uzdevumu un papildus pienākumu specifiku, darba sarežģītību, garīgo piepūli, sadarbību, atbildību par darba rezultātiem, atbildību par lēmumiem</w:t>
      </w:r>
      <w:r w:rsidR="00A7222F" w:rsidRPr="00DD302F">
        <w:rPr>
          <w:rFonts w:eastAsia="Calibri"/>
        </w:rPr>
        <w:t>,</w:t>
      </w:r>
      <w:r w:rsidR="00B0367F" w:rsidRPr="00DD302F">
        <w:rPr>
          <w:rFonts w:eastAsia="Calibri"/>
        </w:rPr>
        <w:t xml:space="preserve"> kā arī amata pienākumu izpildei nepieciešamo izglītību</w:t>
      </w:r>
      <w:r w:rsidR="003C3AFB" w:rsidRPr="00DD302F">
        <w:rPr>
          <w:rFonts w:eastAsia="Calibri"/>
        </w:rPr>
        <w:t>,</w:t>
      </w:r>
      <w:r w:rsidR="00B0367F" w:rsidRPr="00DD302F">
        <w:rPr>
          <w:rFonts w:eastAsia="Calibri"/>
        </w:rPr>
        <w:t xml:space="preserve"> profesionālo pieredzi </w:t>
      </w:r>
      <w:r w:rsidR="003C3AFB" w:rsidRPr="00DD302F">
        <w:rPr>
          <w:rFonts w:eastAsia="Calibri"/>
        </w:rPr>
        <w:t xml:space="preserve">un </w:t>
      </w:r>
      <w:r w:rsidR="00B0367F" w:rsidRPr="00DD302F">
        <w:rPr>
          <w:rFonts w:eastAsia="Calibri"/>
        </w:rPr>
        <w:t xml:space="preserve">nepieciešamu kvalifikāciju, tika konstatēts, ka saimes līmeņi kopumā ir pārskatāmi </w:t>
      </w:r>
      <w:r w:rsidR="00DB7908">
        <w:rPr>
          <w:rFonts w:eastAsia="Calibri"/>
        </w:rPr>
        <w:t>40</w:t>
      </w:r>
      <w:r w:rsidR="00B0367F" w:rsidRPr="00DD302F">
        <w:rPr>
          <w:rFonts w:eastAsia="Calibri"/>
        </w:rPr>
        <w:t xml:space="preserve"> Maksātnespējas </w:t>
      </w:r>
      <w:r w:rsidR="009065D3">
        <w:rPr>
          <w:rFonts w:eastAsia="Calibri"/>
        </w:rPr>
        <w:t>administrācijas nodarbinātajiem</w:t>
      </w:r>
      <w:r w:rsidR="00B0367F" w:rsidRPr="00DD302F">
        <w:rPr>
          <w:rFonts w:eastAsia="Calibri"/>
        </w:rPr>
        <w:t xml:space="preserve">. </w:t>
      </w:r>
      <w:r w:rsidR="00CA369B" w:rsidRPr="00CA369B">
        <w:rPr>
          <w:rFonts w:eastAsia="Calibri"/>
        </w:rPr>
        <w:t>Amatu klasificēšanas rezultātu apkopojuma saskaņošana ar Valsts kanceleju tiks veikta līdz 2017. gada 1. novembrim</w:t>
      </w:r>
      <w:r w:rsidR="00CA369B">
        <w:rPr>
          <w:rFonts w:eastAsia="Calibri"/>
        </w:rPr>
        <w:t xml:space="preserve">. </w:t>
      </w:r>
    </w:p>
    <w:p w:rsidR="00B0367F" w:rsidRPr="00DD302F" w:rsidRDefault="00B0367F">
      <w:pPr>
        <w:spacing w:before="60"/>
        <w:ind w:firstLine="720"/>
        <w:jc w:val="both"/>
        <w:rPr>
          <w:rFonts w:eastAsia="Calibri"/>
          <w:highlight w:val="green"/>
        </w:rPr>
      </w:pPr>
      <w:r w:rsidRPr="00DD302F">
        <w:rPr>
          <w:rFonts w:eastAsia="Calibri"/>
        </w:rPr>
        <w:t>Darbinieku</w:t>
      </w:r>
      <w:r w:rsidR="001B6EAC" w:rsidRPr="00DD302F">
        <w:rPr>
          <w:rFonts w:eastAsia="Calibri"/>
        </w:rPr>
        <w:t xml:space="preserve"> un ierēdņu</w:t>
      </w:r>
      <w:r w:rsidRPr="00DD302F">
        <w:rPr>
          <w:rFonts w:eastAsia="Calibri"/>
        </w:rPr>
        <w:t xml:space="preserve"> darba algas līmenis tiek noteikts atbilstoši Maksātnespējas administrācijas iekšējai darba samaksas politikai. </w:t>
      </w:r>
      <w:r w:rsidR="003C3AFB" w:rsidRPr="00DD302F">
        <w:rPr>
          <w:rFonts w:eastAsia="Calibri"/>
        </w:rPr>
        <w:t>L</w:t>
      </w:r>
      <w:r w:rsidRPr="00DD302F">
        <w:rPr>
          <w:rFonts w:eastAsia="Calibri"/>
        </w:rPr>
        <w:t xml:space="preserve">ai nodrošinātu vienlīdzīgu un caurskatāmību </w:t>
      </w:r>
      <w:r w:rsidR="003C3AFB" w:rsidRPr="00DD302F">
        <w:rPr>
          <w:rFonts w:eastAsia="Calibri"/>
        </w:rPr>
        <w:t>pieeju, nosakot darba samaksas apmēru,</w:t>
      </w:r>
      <w:r w:rsidRPr="00DD302F">
        <w:rPr>
          <w:rFonts w:eastAsia="Calibri"/>
        </w:rPr>
        <w:t xml:space="preserve"> tiek ņemti vērā šādi nosacījumi:</w:t>
      </w:r>
      <w:r w:rsidRPr="00DD302F">
        <w:rPr>
          <w:rFonts w:eastAsia="Calibri"/>
          <w:highlight w:val="green"/>
        </w:rPr>
        <w:t xml:space="preserve"> </w:t>
      </w:r>
    </w:p>
    <w:p w:rsidR="00B0367F" w:rsidRPr="009065D3" w:rsidRDefault="00A7222F" w:rsidP="0094661D">
      <w:pPr>
        <w:tabs>
          <w:tab w:val="left" w:pos="1134"/>
        </w:tabs>
        <w:ind w:firstLine="720"/>
        <w:jc w:val="both"/>
        <w:rPr>
          <w:szCs w:val="28"/>
        </w:rPr>
      </w:pPr>
      <w:r w:rsidRPr="009065D3">
        <w:rPr>
          <w:szCs w:val="28"/>
        </w:rPr>
        <w:t>1) </w:t>
      </w:r>
      <w:r w:rsidR="00B0367F" w:rsidRPr="009065D3">
        <w:rPr>
          <w:szCs w:val="28"/>
        </w:rPr>
        <w:t>nodarbinātā mēnešalgas apmērs</w:t>
      </w:r>
      <w:r w:rsidR="004869C7">
        <w:rPr>
          <w:szCs w:val="28"/>
        </w:rPr>
        <w:t xml:space="preserve"> saskaņā </w:t>
      </w:r>
      <w:r w:rsidR="00B0367F" w:rsidRPr="009065D3">
        <w:rPr>
          <w:szCs w:val="28"/>
        </w:rPr>
        <w:t>ar Ministru kabineta 2013. gada 29. janvāra noteikumu Nr. 66 “Noteikumi par valsts un pašvaldību institūciju amatpersonu un darbinieku darba samaksu un tās noteikšanas kārtību” 2. pielikumā noteikto attiecīgās mēnešalgu grupas mēnešalgas apmēru atbilstoši nodarbinātajam noteiktajai kategorijai;</w:t>
      </w:r>
    </w:p>
    <w:p w:rsidR="00B0367F" w:rsidRPr="009065D3" w:rsidRDefault="00A7222F" w:rsidP="0094661D">
      <w:pPr>
        <w:tabs>
          <w:tab w:val="left" w:pos="1134"/>
        </w:tabs>
        <w:ind w:firstLine="720"/>
        <w:jc w:val="both"/>
        <w:rPr>
          <w:szCs w:val="28"/>
        </w:rPr>
      </w:pPr>
      <w:r w:rsidRPr="009065D3">
        <w:rPr>
          <w:szCs w:val="28"/>
        </w:rPr>
        <w:t>2) </w:t>
      </w:r>
      <w:r w:rsidR="00B0367F" w:rsidRPr="009065D3">
        <w:rPr>
          <w:szCs w:val="28"/>
        </w:rPr>
        <w:t xml:space="preserve">nodarbinātā darba izpildes </w:t>
      </w:r>
      <w:r w:rsidR="003C3AFB" w:rsidRPr="009065D3">
        <w:rPr>
          <w:szCs w:val="28"/>
        </w:rPr>
        <w:t>novērtējums</w:t>
      </w:r>
      <w:r w:rsidR="00B0367F" w:rsidRPr="009065D3">
        <w:rPr>
          <w:szCs w:val="28"/>
        </w:rPr>
        <w:t>;</w:t>
      </w:r>
    </w:p>
    <w:p w:rsidR="00B0367F" w:rsidRPr="009065D3" w:rsidRDefault="001D15C6" w:rsidP="0094661D">
      <w:pPr>
        <w:tabs>
          <w:tab w:val="left" w:pos="1134"/>
        </w:tabs>
        <w:ind w:firstLine="720"/>
        <w:jc w:val="both"/>
        <w:rPr>
          <w:szCs w:val="28"/>
        </w:rPr>
      </w:pPr>
      <w:r w:rsidRPr="009065D3">
        <w:rPr>
          <w:szCs w:val="28"/>
        </w:rPr>
        <w:t>3) </w:t>
      </w:r>
      <w:r w:rsidR="00B0367F" w:rsidRPr="009065D3">
        <w:rPr>
          <w:szCs w:val="28"/>
        </w:rPr>
        <w:t>nodarbinātā profesionālo pieredz</w:t>
      </w:r>
      <w:r w:rsidR="003C3AFB" w:rsidRPr="009065D3">
        <w:rPr>
          <w:szCs w:val="28"/>
        </w:rPr>
        <w:t>e</w:t>
      </w:r>
      <w:r w:rsidR="00B0367F" w:rsidRPr="009065D3">
        <w:rPr>
          <w:szCs w:val="28"/>
        </w:rPr>
        <w:t>, ņemot vērā nodarbinātā amatā aprakstā note</w:t>
      </w:r>
      <w:r w:rsidR="009065D3" w:rsidRPr="009065D3">
        <w:rPr>
          <w:szCs w:val="28"/>
        </w:rPr>
        <w:t>iktās prasības attiecīgajā jomā.</w:t>
      </w:r>
    </w:p>
    <w:p w:rsidR="00A9631C" w:rsidRPr="004F1E75" w:rsidRDefault="00A9631C" w:rsidP="00A7222F">
      <w:pPr>
        <w:spacing w:before="60"/>
        <w:ind w:firstLine="720"/>
        <w:jc w:val="both"/>
        <w:rPr>
          <w:rFonts w:eastAsia="Calibri"/>
        </w:rPr>
      </w:pPr>
      <w:r w:rsidRPr="004F1E75">
        <w:rPr>
          <w:rFonts w:eastAsia="Calibri"/>
        </w:rPr>
        <w:t xml:space="preserve">Atbilstoši </w:t>
      </w:r>
      <w:r w:rsidR="004F1E75" w:rsidRPr="004F1E75">
        <w:rPr>
          <w:rFonts w:eastAsia="Calibri"/>
        </w:rPr>
        <w:t>A</w:t>
      </w:r>
      <w:r w:rsidRPr="004F1E75">
        <w:rPr>
          <w:rFonts w:eastAsia="Calibri"/>
        </w:rPr>
        <w:t xml:space="preserve">tlīdzības </w:t>
      </w:r>
      <w:r w:rsidR="001B6EAC" w:rsidRPr="004F1E75">
        <w:rPr>
          <w:rFonts w:eastAsia="Calibri"/>
        </w:rPr>
        <w:t>likuma</w:t>
      </w:r>
      <w:r w:rsidRPr="004F1E75">
        <w:rPr>
          <w:rFonts w:eastAsia="Calibri"/>
        </w:rPr>
        <w:t xml:space="preserve"> 14.</w:t>
      </w:r>
      <w:r w:rsidR="003C3AFB" w:rsidRPr="004F1E75">
        <w:rPr>
          <w:rFonts w:eastAsia="Calibri"/>
        </w:rPr>
        <w:t> </w:t>
      </w:r>
      <w:r w:rsidRPr="004F1E75">
        <w:rPr>
          <w:rFonts w:eastAsia="Calibri"/>
        </w:rPr>
        <w:t xml:space="preserve">panta </w:t>
      </w:r>
      <w:r w:rsidR="003C3AFB" w:rsidRPr="004F1E75">
        <w:rPr>
          <w:rFonts w:eastAsia="Calibri"/>
        </w:rPr>
        <w:t xml:space="preserve">pirmajai </w:t>
      </w:r>
      <w:r w:rsidRPr="004F1E75">
        <w:rPr>
          <w:rFonts w:eastAsia="Calibri"/>
        </w:rPr>
        <w:t xml:space="preserve">un </w:t>
      </w:r>
      <w:r w:rsidR="003C3AFB" w:rsidRPr="004F1E75">
        <w:rPr>
          <w:rFonts w:eastAsia="Calibri"/>
        </w:rPr>
        <w:t>divpadsmitajai daļai</w:t>
      </w:r>
      <w:r w:rsidR="001B6EAC" w:rsidRPr="004F1E75">
        <w:rPr>
          <w:rFonts w:eastAsia="Calibri"/>
        </w:rPr>
        <w:t>, kā arī saskaņā ar Maksātnespējas administrācijas iekšējo darba samaksas politiku, darbiniekiem un ierēdņiem, pamatojoties uz vienlīdzīgu un caurskatāmu pieeju</w:t>
      </w:r>
      <w:r w:rsidR="005F00DF" w:rsidRPr="004F1E75">
        <w:rPr>
          <w:rFonts w:eastAsia="Calibri"/>
        </w:rPr>
        <w:t>,</w:t>
      </w:r>
      <w:r w:rsidR="001B6EAC" w:rsidRPr="004F1E75">
        <w:rPr>
          <w:rFonts w:eastAsia="Calibri"/>
        </w:rPr>
        <w:t xml:space="preserve"> tiek paredzētas piemaksas </w:t>
      </w:r>
      <w:r w:rsidR="00157EDF">
        <w:rPr>
          <w:rFonts w:eastAsia="Calibri"/>
        </w:rPr>
        <w:t>līdz</w:t>
      </w:r>
      <w:r w:rsidR="001B6EAC" w:rsidRPr="004F1E75">
        <w:rPr>
          <w:rFonts w:eastAsia="Calibri"/>
        </w:rPr>
        <w:t xml:space="preserve"> 40% apmēr</w:t>
      </w:r>
      <w:r w:rsidR="00316197" w:rsidRPr="004F1E75">
        <w:rPr>
          <w:rFonts w:eastAsia="Calibri"/>
        </w:rPr>
        <w:t xml:space="preserve">ā, </w:t>
      </w:r>
      <w:r w:rsidR="00157EDF">
        <w:rPr>
          <w:rFonts w:eastAsia="Calibri"/>
        </w:rPr>
        <w:t>apmēram</w:t>
      </w:r>
      <w:r w:rsidR="00316197" w:rsidRPr="004F1E75">
        <w:rPr>
          <w:rFonts w:eastAsia="Calibri"/>
        </w:rPr>
        <w:t xml:space="preserve"> </w:t>
      </w:r>
      <w:r w:rsidR="00157EDF">
        <w:rPr>
          <w:rFonts w:eastAsia="Calibri"/>
        </w:rPr>
        <w:t xml:space="preserve">20 </w:t>
      </w:r>
      <w:r w:rsidR="00316197" w:rsidRPr="004F1E75">
        <w:rPr>
          <w:rFonts w:eastAsia="Calibri"/>
        </w:rPr>
        <w:t>darbiniekiem</w:t>
      </w:r>
      <w:r w:rsidR="00157EDF">
        <w:rPr>
          <w:rFonts w:eastAsia="Calibri"/>
        </w:rPr>
        <w:t xml:space="preserve"> vidēji piecus mēnešus gadā</w:t>
      </w:r>
      <w:r w:rsidR="00316197" w:rsidRPr="004F1E75">
        <w:rPr>
          <w:rFonts w:eastAsia="Calibri"/>
        </w:rPr>
        <w:t xml:space="preserve">. </w:t>
      </w:r>
      <w:r w:rsidR="005F00DF" w:rsidRPr="004F1E75">
        <w:rPr>
          <w:rFonts w:eastAsia="Calibri"/>
        </w:rPr>
        <w:t>Piemaksas var tikt noteiktas</w:t>
      </w:r>
      <w:r w:rsidRPr="004F1E75">
        <w:rPr>
          <w:rFonts w:eastAsia="Calibri"/>
        </w:rPr>
        <w:t>:</w:t>
      </w:r>
    </w:p>
    <w:p w:rsidR="00A9631C" w:rsidRPr="00157EDF" w:rsidRDefault="005F00DF" w:rsidP="0094661D">
      <w:pPr>
        <w:tabs>
          <w:tab w:val="left" w:pos="1134"/>
        </w:tabs>
        <w:ind w:firstLine="709"/>
        <w:jc w:val="both"/>
        <w:rPr>
          <w:rFonts w:eastAsia="Calibri"/>
        </w:rPr>
      </w:pPr>
      <w:r w:rsidRPr="00157EDF">
        <w:rPr>
          <w:rFonts w:eastAsia="Calibri"/>
        </w:rPr>
        <w:t>1) </w:t>
      </w:r>
      <w:r w:rsidR="00A9631C" w:rsidRPr="00157EDF">
        <w:rPr>
          <w:rFonts w:eastAsia="Calibri"/>
        </w:rPr>
        <w:t>ja darbinieks un ierēdnis papildus saviem tiešajiem amata (darba, dienesta) pienākumiem aizvieto prombūtnē esošu ierēdni un darbinieku, pilda vakanta amata (dienesta, darba) pienākumus, papildus amata aprakstā noteiktajiem pienākumiem pilda vēl citus pienākumus:</w:t>
      </w:r>
      <w:r w:rsidR="001B6EAC" w:rsidRPr="00157EDF">
        <w:rPr>
          <w:rFonts w:eastAsia="Calibri"/>
        </w:rPr>
        <w:t xml:space="preserve"> </w:t>
      </w:r>
      <w:r w:rsidR="00A9631C" w:rsidRPr="00157EDF">
        <w:t>par vakanta amata pienākumu pildīšanu</w:t>
      </w:r>
      <w:r w:rsidR="001B6EAC" w:rsidRPr="00157EDF">
        <w:t xml:space="preserve">, </w:t>
      </w:r>
      <w:r w:rsidR="00A9631C" w:rsidRPr="00157EDF">
        <w:t xml:space="preserve">par </w:t>
      </w:r>
      <w:proofErr w:type="gramStart"/>
      <w:r w:rsidR="00A9631C" w:rsidRPr="00157EDF">
        <w:t>prombūtnē esoša nodarbinātā aizvietošanu</w:t>
      </w:r>
      <w:proofErr w:type="gramEnd"/>
      <w:r w:rsidR="001B6EAC" w:rsidRPr="00157EDF">
        <w:t xml:space="preserve">, kā arī </w:t>
      </w:r>
      <w:r w:rsidR="00A9631C" w:rsidRPr="00157EDF">
        <w:t>par citu pienākumu papildus amata aprakstā noteiktajiem pildīšanu.</w:t>
      </w:r>
    </w:p>
    <w:p w:rsidR="00A9631C" w:rsidRPr="00157EDF" w:rsidRDefault="005F00DF" w:rsidP="0094661D">
      <w:pPr>
        <w:tabs>
          <w:tab w:val="left" w:pos="1134"/>
        </w:tabs>
        <w:ind w:firstLine="709"/>
        <w:jc w:val="both"/>
        <w:rPr>
          <w:rFonts w:eastAsia="Calibri"/>
        </w:rPr>
      </w:pPr>
      <w:r w:rsidRPr="00157EDF">
        <w:rPr>
          <w:rFonts w:eastAsia="Calibri"/>
        </w:rPr>
        <w:t>2) </w:t>
      </w:r>
      <w:r w:rsidR="00A9631C" w:rsidRPr="00157EDF">
        <w:rPr>
          <w:rFonts w:eastAsia="Calibri"/>
        </w:rPr>
        <w:t>kompetentāko ierēdņu un darbinieku motivēšanai</w:t>
      </w:r>
      <w:r w:rsidR="00C45C0C">
        <w:rPr>
          <w:rFonts w:eastAsia="Calibri"/>
        </w:rPr>
        <w:t>, ievērojot šādus kritērijus</w:t>
      </w:r>
      <w:r w:rsidR="00A9631C" w:rsidRPr="00157EDF">
        <w:rPr>
          <w:rFonts w:eastAsia="Calibri"/>
        </w:rPr>
        <w:t>:</w:t>
      </w:r>
    </w:p>
    <w:p w:rsidR="001B6EAC" w:rsidRPr="00157EDF" w:rsidRDefault="005F00DF" w:rsidP="0094661D">
      <w:pPr>
        <w:ind w:firstLine="709"/>
        <w:jc w:val="both"/>
        <w:rPr>
          <w:rFonts w:eastAsia="Calibri"/>
        </w:rPr>
      </w:pPr>
      <w:r w:rsidRPr="00157EDF">
        <w:rPr>
          <w:rFonts w:eastAsia="Calibri"/>
        </w:rPr>
        <w:t>- </w:t>
      </w:r>
      <w:r w:rsidR="00A9631C" w:rsidRPr="00157EDF">
        <w:rPr>
          <w:rFonts w:eastAsia="Calibri"/>
        </w:rPr>
        <w:t>iniciatīva, sniedz vai ievieš priekšlikumus darba pilnveidošanai, uzņemas konkrētus papildu amata pienākumus;</w:t>
      </w:r>
    </w:p>
    <w:p w:rsidR="001B6EAC" w:rsidRPr="00157EDF" w:rsidRDefault="005F00DF" w:rsidP="0094661D">
      <w:pPr>
        <w:ind w:firstLine="709"/>
        <w:jc w:val="both"/>
        <w:rPr>
          <w:rFonts w:eastAsia="Calibri"/>
        </w:rPr>
      </w:pPr>
      <w:r w:rsidRPr="00157EDF">
        <w:rPr>
          <w:rFonts w:eastAsia="Calibri"/>
        </w:rPr>
        <w:t>- </w:t>
      </w:r>
      <w:r w:rsidR="00A9631C" w:rsidRPr="00157EDF">
        <w:rPr>
          <w:rFonts w:eastAsia="Calibri"/>
        </w:rPr>
        <w:t>iepriekšējā ceturksnī bijusi vai plānota paaugstināta darba intensitāte (īsā laika termiņā)  darbā pie normatīvo aktu, ziņojumu, kā arī citu iestādes darbības nodrošināšanas dokumentu izstrādes;</w:t>
      </w:r>
    </w:p>
    <w:p w:rsidR="001B6EAC" w:rsidRPr="00157EDF" w:rsidRDefault="005F00DF" w:rsidP="0094661D">
      <w:pPr>
        <w:ind w:firstLine="709"/>
        <w:jc w:val="both"/>
        <w:rPr>
          <w:rFonts w:eastAsia="Calibri"/>
        </w:rPr>
      </w:pPr>
      <w:r w:rsidRPr="00157EDF">
        <w:rPr>
          <w:rFonts w:eastAsia="Calibri"/>
        </w:rPr>
        <w:t>- </w:t>
      </w:r>
      <w:r w:rsidR="00A9631C" w:rsidRPr="00157EDF">
        <w:rPr>
          <w:rFonts w:eastAsia="Calibri"/>
        </w:rPr>
        <w:t>ieguldījums nozīmīgu darba uzdevumu izpildē, uzdevuma izcila izpilde (darba izpildes termiņi, kvalitāte), neplānots darba uzdevums;</w:t>
      </w:r>
    </w:p>
    <w:p w:rsidR="001B6EAC" w:rsidRPr="00157EDF" w:rsidRDefault="005F00DF" w:rsidP="0094661D">
      <w:pPr>
        <w:pStyle w:val="ListParagraph"/>
        <w:ind w:left="0" w:firstLine="709"/>
        <w:jc w:val="both"/>
        <w:rPr>
          <w:rFonts w:eastAsia="Calibri"/>
          <w:sz w:val="24"/>
          <w:szCs w:val="24"/>
        </w:rPr>
      </w:pPr>
      <w:r w:rsidRPr="00157EDF">
        <w:rPr>
          <w:rFonts w:eastAsia="Calibri"/>
          <w:sz w:val="24"/>
          <w:szCs w:val="24"/>
        </w:rPr>
        <w:t>- </w:t>
      </w:r>
      <w:r w:rsidR="00A9631C" w:rsidRPr="00157EDF">
        <w:rPr>
          <w:rFonts w:eastAsia="Calibri"/>
          <w:sz w:val="24"/>
          <w:szCs w:val="24"/>
        </w:rPr>
        <w:t>ieguldījums nozīmīgu, apjomīgu projektu</w:t>
      </w:r>
      <w:r w:rsidR="001B6EAC" w:rsidRPr="00157EDF">
        <w:rPr>
          <w:rFonts w:eastAsia="Calibri"/>
          <w:sz w:val="24"/>
          <w:szCs w:val="24"/>
        </w:rPr>
        <w:t xml:space="preserve"> (darba uzdevumu)</w:t>
      </w:r>
      <w:r w:rsidR="00A9631C" w:rsidRPr="00157EDF">
        <w:rPr>
          <w:rFonts w:eastAsia="Calibri"/>
          <w:sz w:val="24"/>
          <w:szCs w:val="24"/>
        </w:rPr>
        <w:t xml:space="preserve"> īstenošanā;</w:t>
      </w:r>
    </w:p>
    <w:p w:rsidR="00A9631C" w:rsidRPr="00157EDF" w:rsidRDefault="005F00DF" w:rsidP="0094661D">
      <w:pPr>
        <w:pStyle w:val="ListParagraph"/>
        <w:ind w:left="0" w:firstLine="709"/>
        <w:jc w:val="both"/>
        <w:rPr>
          <w:rFonts w:eastAsia="Calibri"/>
          <w:sz w:val="24"/>
          <w:szCs w:val="24"/>
        </w:rPr>
      </w:pPr>
      <w:r w:rsidRPr="00157EDF">
        <w:rPr>
          <w:rFonts w:eastAsia="Calibri"/>
          <w:sz w:val="24"/>
          <w:szCs w:val="24"/>
        </w:rPr>
        <w:t>- </w:t>
      </w:r>
      <w:r w:rsidR="00A9631C" w:rsidRPr="00157EDF">
        <w:rPr>
          <w:rFonts w:eastAsia="Calibri"/>
          <w:sz w:val="24"/>
          <w:szCs w:val="24"/>
        </w:rPr>
        <w:t>ieguldījums citu darbinieku attīstīšanā, konsultēšanā.</w:t>
      </w:r>
    </w:p>
    <w:p w:rsidR="00FE6A3E" w:rsidRDefault="00C431A8">
      <w:pPr>
        <w:spacing w:before="60"/>
        <w:ind w:firstLine="720"/>
        <w:jc w:val="both"/>
        <w:rPr>
          <w:rFonts w:eastAsia="Calibri"/>
        </w:rPr>
      </w:pPr>
      <w:r w:rsidRPr="00157EDF">
        <w:rPr>
          <w:rFonts w:eastAsia="Calibri"/>
        </w:rPr>
        <w:t>Vienlaikus, lai nodrošinātu</w:t>
      </w:r>
      <w:r w:rsidR="009464CA" w:rsidRPr="00157EDF">
        <w:rPr>
          <w:b/>
        </w:rPr>
        <w:t xml:space="preserve"> </w:t>
      </w:r>
      <w:r w:rsidR="009464CA" w:rsidRPr="00157EDF">
        <w:t xml:space="preserve">Maksātnespējas likumā noteiktā uzdevuma </w:t>
      </w:r>
      <w:r w:rsidR="009464CA" w:rsidRPr="00157EDF">
        <w:rPr>
          <w:rFonts w:eastAsia="Calibri"/>
        </w:rPr>
        <w:t xml:space="preserve">pārbaudīt ar tiesiskās aizsardzības procesiem un maksātnespējas procesiem saistītos dokumentus izpildi </w:t>
      </w:r>
      <w:r w:rsidR="00F01B4C" w:rsidRPr="00157EDF">
        <w:rPr>
          <w:rFonts w:eastAsia="Calibri"/>
        </w:rPr>
        <w:t>ir nepieciešams ieplānot līdzekļus nodarbināto apmācībām</w:t>
      </w:r>
      <w:r w:rsidR="001A7622" w:rsidRPr="00157EDF">
        <w:rPr>
          <w:rFonts w:eastAsia="Calibri"/>
        </w:rPr>
        <w:t xml:space="preserve"> to kompetences paaugstināšanai</w:t>
      </w:r>
      <w:r w:rsidR="009464CA" w:rsidRPr="00157EDF">
        <w:rPr>
          <w:rFonts w:eastAsia="Calibri"/>
        </w:rPr>
        <w:t xml:space="preserve">. </w:t>
      </w:r>
      <w:r w:rsidR="001C06DE" w:rsidRPr="00157EDF">
        <w:rPr>
          <w:rFonts w:eastAsia="Calibri"/>
        </w:rPr>
        <w:t>(skat. Tabulu Nr.</w:t>
      </w:r>
      <w:r w:rsidR="002578C2" w:rsidRPr="00157EDF">
        <w:rPr>
          <w:rFonts w:eastAsia="Calibri"/>
        </w:rPr>
        <w:t> </w:t>
      </w:r>
      <w:r w:rsidR="00277193">
        <w:rPr>
          <w:rFonts w:eastAsia="Calibri"/>
        </w:rPr>
        <w:t>5</w:t>
      </w:r>
      <w:r w:rsidR="001C06DE" w:rsidRPr="00157EDF">
        <w:rPr>
          <w:rFonts w:eastAsia="Calibri"/>
        </w:rPr>
        <w:t>).</w:t>
      </w:r>
    </w:p>
    <w:p w:rsidR="008313BA" w:rsidRDefault="008313BA" w:rsidP="002E7F87">
      <w:pPr>
        <w:spacing w:before="120"/>
        <w:ind w:firstLine="720"/>
        <w:jc w:val="right"/>
      </w:pPr>
      <w:r w:rsidRPr="00C33CFB">
        <w:t>Tabula Nr.</w:t>
      </w:r>
      <w:r w:rsidR="002578C2">
        <w:t> </w:t>
      </w:r>
      <w:r w:rsidR="00277193">
        <w:t>5</w:t>
      </w:r>
    </w:p>
    <w:p w:rsidR="00F4578A" w:rsidRDefault="00F4578A" w:rsidP="00F4578A">
      <w:pPr>
        <w:spacing w:before="120" w:after="60"/>
        <w:jc w:val="center"/>
        <w:rPr>
          <w:b/>
        </w:rPr>
      </w:pPr>
      <w:r w:rsidRPr="00FE6A3E">
        <w:rPr>
          <w:b/>
        </w:rPr>
        <w:t xml:space="preserve">Maksātnespējas administrācijas nodarbināto </w:t>
      </w:r>
      <w:r w:rsidRPr="00002247">
        <w:rPr>
          <w:b/>
        </w:rPr>
        <w:t>atlīdzības</w:t>
      </w:r>
      <w:r w:rsidRPr="00FE6A3E">
        <w:rPr>
          <w:b/>
        </w:rPr>
        <w:t xml:space="preserve"> nodrošināšana</w:t>
      </w:r>
    </w:p>
    <w:tbl>
      <w:tblPr>
        <w:tblW w:w="9067" w:type="dxa"/>
        <w:jc w:val="center"/>
        <w:tblLayout w:type="fixed"/>
        <w:tblLook w:val="04A0" w:firstRow="1" w:lastRow="0" w:firstColumn="1" w:lastColumn="0" w:noHBand="0" w:noVBand="1"/>
      </w:tblPr>
      <w:tblGrid>
        <w:gridCol w:w="800"/>
        <w:gridCol w:w="5180"/>
        <w:gridCol w:w="717"/>
        <w:gridCol w:w="754"/>
        <w:gridCol w:w="766"/>
        <w:gridCol w:w="850"/>
      </w:tblGrid>
      <w:tr w:rsidR="00F4578A" w:rsidRPr="0006422D" w:rsidTr="00410697">
        <w:trPr>
          <w:trHeight w:val="315"/>
          <w:jc w:val="center"/>
        </w:trPr>
        <w:tc>
          <w:tcPr>
            <w:tcW w:w="5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b/>
                <w:bCs/>
                <w:sz w:val="16"/>
                <w:szCs w:val="16"/>
              </w:rPr>
            </w:pPr>
            <w:r w:rsidRPr="00CA369B">
              <w:rPr>
                <w:b/>
                <w:bCs/>
                <w:sz w:val="16"/>
                <w:szCs w:val="16"/>
              </w:rPr>
              <w:t>Pasākuma nosaukums</w:t>
            </w:r>
          </w:p>
        </w:tc>
        <w:tc>
          <w:tcPr>
            <w:tcW w:w="3087" w:type="dxa"/>
            <w:gridSpan w:val="4"/>
            <w:tcBorders>
              <w:top w:val="single" w:sz="4" w:space="0" w:color="auto"/>
              <w:left w:val="nil"/>
              <w:bottom w:val="single" w:sz="4" w:space="0" w:color="auto"/>
              <w:right w:val="single" w:sz="4" w:space="0" w:color="000000"/>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MNA attīstība</w:t>
            </w:r>
          </w:p>
        </w:tc>
      </w:tr>
      <w:tr w:rsidR="00F4578A" w:rsidRPr="0006422D" w:rsidTr="00410697">
        <w:trPr>
          <w:trHeight w:val="255"/>
          <w:jc w:val="center"/>
        </w:trPr>
        <w:tc>
          <w:tcPr>
            <w:tcW w:w="59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Uzsākšanas gads</w:t>
            </w:r>
          </w:p>
        </w:tc>
        <w:tc>
          <w:tcPr>
            <w:tcW w:w="3087" w:type="dxa"/>
            <w:gridSpan w:val="4"/>
            <w:tcBorders>
              <w:top w:val="single" w:sz="4" w:space="0" w:color="auto"/>
              <w:left w:val="nil"/>
              <w:bottom w:val="single" w:sz="4" w:space="0" w:color="auto"/>
              <w:right w:val="single" w:sz="4" w:space="0" w:color="auto"/>
            </w:tcBorders>
            <w:shd w:val="clear" w:color="auto" w:fill="auto"/>
            <w:noWrap/>
            <w:vAlign w:val="bottom"/>
            <w:hideMark/>
          </w:tcPr>
          <w:p w:rsidR="00F4578A" w:rsidRPr="00CA369B" w:rsidRDefault="00F4578A" w:rsidP="00410697">
            <w:pPr>
              <w:jc w:val="center"/>
              <w:rPr>
                <w:b/>
                <w:bCs/>
                <w:sz w:val="16"/>
                <w:szCs w:val="16"/>
              </w:rPr>
            </w:pPr>
            <w:r w:rsidRPr="00CA369B">
              <w:rPr>
                <w:b/>
                <w:bCs/>
                <w:sz w:val="16"/>
                <w:szCs w:val="16"/>
              </w:rPr>
              <w:t xml:space="preserve">No </w:t>
            </w:r>
            <w:proofErr w:type="gramStart"/>
            <w:r w:rsidRPr="00CA369B">
              <w:rPr>
                <w:b/>
                <w:bCs/>
                <w:sz w:val="16"/>
                <w:szCs w:val="16"/>
              </w:rPr>
              <w:t>2018.gada</w:t>
            </w:r>
            <w:proofErr w:type="gramEnd"/>
          </w:p>
        </w:tc>
      </w:tr>
      <w:tr w:rsidR="00F4578A" w:rsidRPr="0006422D" w:rsidTr="00410697">
        <w:trPr>
          <w:trHeight w:val="450"/>
          <w:jc w:val="center"/>
        </w:trPr>
        <w:tc>
          <w:tcPr>
            <w:tcW w:w="800" w:type="dxa"/>
            <w:tcBorders>
              <w:top w:val="nil"/>
              <w:left w:val="single" w:sz="4" w:space="0" w:color="auto"/>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EKK</w:t>
            </w:r>
          </w:p>
        </w:tc>
        <w:tc>
          <w:tcPr>
            <w:tcW w:w="5180" w:type="dxa"/>
            <w:tcBorders>
              <w:top w:val="nil"/>
              <w:left w:val="nil"/>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Izdevumu postenis</w:t>
            </w:r>
          </w:p>
        </w:tc>
        <w:tc>
          <w:tcPr>
            <w:tcW w:w="717" w:type="dxa"/>
            <w:tcBorders>
              <w:top w:val="nil"/>
              <w:left w:val="nil"/>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Skaits</w:t>
            </w:r>
          </w:p>
        </w:tc>
        <w:tc>
          <w:tcPr>
            <w:tcW w:w="754" w:type="dxa"/>
            <w:tcBorders>
              <w:top w:val="nil"/>
              <w:left w:val="nil"/>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Vidējā summa, EUR</w:t>
            </w:r>
          </w:p>
        </w:tc>
        <w:tc>
          <w:tcPr>
            <w:tcW w:w="766" w:type="dxa"/>
            <w:tcBorders>
              <w:top w:val="nil"/>
              <w:left w:val="nil"/>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Mēnešu skaits</w:t>
            </w:r>
          </w:p>
        </w:tc>
        <w:tc>
          <w:tcPr>
            <w:tcW w:w="850" w:type="dxa"/>
            <w:tcBorders>
              <w:top w:val="nil"/>
              <w:left w:val="nil"/>
              <w:bottom w:val="single" w:sz="4" w:space="0" w:color="auto"/>
              <w:right w:val="single" w:sz="4" w:space="0" w:color="auto"/>
            </w:tcBorders>
            <w:shd w:val="clear" w:color="000000" w:fill="538DD5"/>
            <w:vAlign w:val="center"/>
            <w:hideMark/>
          </w:tcPr>
          <w:p w:rsidR="00F4578A" w:rsidRPr="00CA369B" w:rsidRDefault="00F4578A" w:rsidP="00410697">
            <w:pPr>
              <w:jc w:val="center"/>
              <w:rPr>
                <w:b/>
                <w:bCs/>
                <w:sz w:val="16"/>
                <w:szCs w:val="16"/>
              </w:rPr>
            </w:pPr>
            <w:r w:rsidRPr="00CA369B">
              <w:rPr>
                <w:b/>
                <w:bCs/>
                <w:sz w:val="16"/>
                <w:szCs w:val="16"/>
              </w:rPr>
              <w:t>KOPĀ, EUR</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5180"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rPr>
                <w:b/>
                <w:bCs/>
                <w:sz w:val="16"/>
                <w:szCs w:val="16"/>
              </w:rPr>
            </w:pPr>
            <w:r w:rsidRPr="00CA369B">
              <w:rPr>
                <w:b/>
                <w:bCs/>
                <w:sz w:val="16"/>
                <w:szCs w:val="16"/>
              </w:rPr>
              <w:t>Izdevumi kopā</w:t>
            </w:r>
          </w:p>
        </w:tc>
        <w:tc>
          <w:tcPr>
            <w:tcW w:w="717"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754"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766" w:type="dxa"/>
            <w:tcBorders>
              <w:top w:val="nil"/>
              <w:left w:val="nil"/>
              <w:bottom w:val="single" w:sz="4" w:space="0" w:color="auto"/>
              <w:right w:val="single" w:sz="4" w:space="0" w:color="auto"/>
            </w:tcBorders>
            <w:shd w:val="clear" w:color="auto" w:fill="auto"/>
            <w:vAlign w:val="center"/>
            <w:hideMark/>
          </w:tcPr>
          <w:p w:rsidR="00F4578A" w:rsidRPr="00CA369B" w:rsidRDefault="00F4578A" w:rsidP="00410697">
            <w:pPr>
              <w:jc w:val="center"/>
              <w:rPr>
                <w:b/>
                <w:bCs/>
                <w:sz w:val="16"/>
                <w:szCs w:val="16"/>
              </w:rPr>
            </w:pPr>
            <w:r w:rsidRPr="00CA369B">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182 099</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000000" w:fill="538DD5"/>
            <w:noWrap/>
            <w:vAlign w:val="bottom"/>
            <w:hideMark/>
          </w:tcPr>
          <w:p w:rsidR="00F4578A" w:rsidRPr="00CA369B" w:rsidRDefault="00F4578A" w:rsidP="00410697">
            <w:pPr>
              <w:rPr>
                <w:b/>
                <w:bCs/>
                <w:sz w:val="16"/>
                <w:szCs w:val="16"/>
              </w:rPr>
            </w:pPr>
            <w:r w:rsidRPr="00CA369B">
              <w:rPr>
                <w:b/>
                <w:bCs/>
                <w:sz w:val="16"/>
                <w:szCs w:val="16"/>
              </w:rPr>
              <w:t>1000</w:t>
            </w:r>
          </w:p>
        </w:tc>
        <w:tc>
          <w:tcPr>
            <w:tcW w:w="7417" w:type="dxa"/>
            <w:gridSpan w:val="4"/>
            <w:tcBorders>
              <w:top w:val="single" w:sz="4" w:space="0" w:color="auto"/>
              <w:left w:val="nil"/>
              <w:bottom w:val="single" w:sz="4" w:space="0" w:color="auto"/>
              <w:right w:val="single" w:sz="4" w:space="0" w:color="auto"/>
            </w:tcBorders>
            <w:shd w:val="clear" w:color="000000" w:fill="538DD5"/>
            <w:noWrap/>
            <w:vAlign w:val="bottom"/>
            <w:hideMark/>
          </w:tcPr>
          <w:p w:rsidR="00F4578A" w:rsidRPr="00CA369B" w:rsidRDefault="00F4578A" w:rsidP="00410697">
            <w:pPr>
              <w:rPr>
                <w:b/>
                <w:bCs/>
                <w:sz w:val="16"/>
                <w:szCs w:val="16"/>
              </w:rPr>
            </w:pPr>
            <w:r w:rsidRPr="00CA369B">
              <w:rPr>
                <w:b/>
                <w:bCs/>
                <w:sz w:val="16"/>
                <w:szCs w:val="16"/>
              </w:rPr>
              <w:t>Atlīdzība</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sz w:val="16"/>
                <w:szCs w:val="16"/>
              </w:rPr>
            </w:pPr>
            <w:r w:rsidRPr="00CA369B">
              <w:rPr>
                <w:sz w:val="16"/>
                <w:szCs w:val="16"/>
              </w:rPr>
              <w:t>171 099</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000000" w:fill="538DD5"/>
            <w:noWrap/>
            <w:vAlign w:val="bottom"/>
            <w:hideMark/>
          </w:tcPr>
          <w:p w:rsidR="00F4578A" w:rsidRPr="00CA369B" w:rsidRDefault="00F4578A" w:rsidP="00410697">
            <w:pPr>
              <w:jc w:val="center"/>
              <w:rPr>
                <w:b/>
                <w:bCs/>
                <w:sz w:val="16"/>
                <w:szCs w:val="16"/>
              </w:rPr>
            </w:pPr>
            <w:r w:rsidRPr="00CA369B">
              <w:rPr>
                <w:b/>
                <w:bCs/>
                <w:sz w:val="16"/>
                <w:szCs w:val="16"/>
              </w:rPr>
              <w:t>1100</w:t>
            </w:r>
          </w:p>
        </w:tc>
        <w:tc>
          <w:tcPr>
            <w:tcW w:w="7417" w:type="dxa"/>
            <w:gridSpan w:val="4"/>
            <w:tcBorders>
              <w:top w:val="single" w:sz="4" w:space="0" w:color="auto"/>
              <w:left w:val="nil"/>
              <w:bottom w:val="single" w:sz="4" w:space="0" w:color="auto"/>
              <w:right w:val="single" w:sz="4" w:space="0" w:color="auto"/>
            </w:tcBorders>
            <w:shd w:val="clear" w:color="000000" w:fill="538DD5"/>
            <w:noWrap/>
            <w:vAlign w:val="bottom"/>
            <w:hideMark/>
          </w:tcPr>
          <w:p w:rsidR="00F4578A" w:rsidRPr="00CA369B" w:rsidRDefault="00F4578A" w:rsidP="00410697">
            <w:pPr>
              <w:rPr>
                <w:b/>
                <w:bCs/>
                <w:sz w:val="16"/>
                <w:szCs w:val="16"/>
              </w:rPr>
            </w:pPr>
            <w:r w:rsidRPr="00CA369B">
              <w:rPr>
                <w:b/>
                <w:bCs/>
                <w:sz w:val="16"/>
                <w:szCs w:val="16"/>
              </w:rPr>
              <w:t>Atalgojums</w:t>
            </w:r>
            <w:r w:rsidR="00CA369B" w:rsidRPr="00CA369B">
              <w:rPr>
                <w:b/>
                <w:bCs/>
                <w:sz w:val="16"/>
                <w:szCs w:val="16"/>
              </w:rPr>
              <w:t>*</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sz w:val="16"/>
                <w:szCs w:val="16"/>
              </w:rPr>
            </w:pPr>
            <w:r w:rsidRPr="00CA369B">
              <w:rPr>
                <w:sz w:val="16"/>
                <w:szCs w:val="16"/>
              </w:rPr>
              <w:t>138 441</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1110</w:t>
            </w:r>
          </w:p>
        </w:tc>
        <w:tc>
          <w:tcPr>
            <w:tcW w:w="74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578A" w:rsidRPr="00CA369B" w:rsidRDefault="00F4578A" w:rsidP="00410697">
            <w:pPr>
              <w:rPr>
                <w:sz w:val="16"/>
                <w:szCs w:val="16"/>
              </w:rPr>
            </w:pPr>
            <w:r w:rsidRPr="00CA369B">
              <w:rPr>
                <w:sz w:val="16"/>
                <w:szCs w:val="16"/>
              </w:rPr>
              <w:t>Darba samaksa</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sz w:val="16"/>
                <w:szCs w:val="16"/>
              </w:rPr>
            </w:pPr>
            <w:r w:rsidRPr="00CA369B">
              <w:rPr>
                <w:sz w:val="16"/>
                <w:szCs w:val="16"/>
              </w:rPr>
              <w:t>99 216</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1140</w:t>
            </w:r>
          </w:p>
        </w:tc>
        <w:tc>
          <w:tcPr>
            <w:tcW w:w="7417"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4578A" w:rsidRPr="00CA369B" w:rsidRDefault="00F4578A" w:rsidP="00410697">
            <w:pPr>
              <w:rPr>
                <w:sz w:val="16"/>
                <w:szCs w:val="16"/>
              </w:rPr>
            </w:pPr>
            <w:r w:rsidRPr="00CA369B">
              <w:rPr>
                <w:sz w:val="16"/>
                <w:szCs w:val="16"/>
              </w:rPr>
              <w:t>Piemaksas, prēmijas un naudas balvas</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b/>
                <w:bCs/>
                <w:sz w:val="16"/>
                <w:szCs w:val="16"/>
              </w:rPr>
            </w:pPr>
            <w:r w:rsidRPr="00CA369B">
              <w:rPr>
                <w:b/>
                <w:bCs/>
                <w:sz w:val="16"/>
                <w:szCs w:val="16"/>
              </w:rPr>
              <w:t>39 225</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518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Vispārējā piemaksa 40% apmērā</w:t>
            </w:r>
          </w:p>
        </w:tc>
        <w:tc>
          <w:tcPr>
            <w:tcW w:w="717"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p>
        </w:tc>
        <w:tc>
          <w:tcPr>
            <w:tcW w:w="766"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p>
        </w:tc>
        <w:tc>
          <w:tcPr>
            <w:tcW w:w="85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39 225</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000000" w:fill="538DD5"/>
            <w:noWrap/>
            <w:vAlign w:val="bottom"/>
            <w:hideMark/>
          </w:tcPr>
          <w:p w:rsidR="00F4578A" w:rsidRPr="00CA369B" w:rsidRDefault="00F4578A" w:rsidP="00410697">
            <w:pPr>
              <w:jc w:val="center"/>
              <w:rPr>
                <w:b/>
                <w:bCs/>
                <w:sz w:val="16"/>
                <w:szCs w:val="16"/>
              </w:rPr>
            </w:pPr>
            <w:r w:rsidRPr="00CA369B">
              <w:rPr>
                <w:b/>
                <w:bCs/>
                <w:sz w:val="16"/>
                <w:szCs w:val="16"/>
              </w:rPr>
              <w:t>1200</w:t>
            </w:r>
          </w:p>
        </w:tc>
        <w:tc>
          <w:tcPr>
            <w:tcW w:w="7417" w:type="dxa"/>
            <w:gridSpan w:val="4"/>
            <w:tcBorders>
              <w:top w:val="single" w:sz="4" w:space="0" w:color="auto"/>
              <w:left w:val="nil"/>
              <w:bottom w:val="single" w:sz="4" w:space="0" w:color="auto"/>
              <w:right w:val="single" w:sz="4" w:space="0" w:color="auto"/>
            </w:tcBorders>
            <w:shd w:val="clear" w:color="000000" w:fill="538DD5"/>
            <w:hideMark/>
          </w:tcPr>
          <w:p w:rsidR="00F4578A" w:rsidRPr="00CA369B" w:rsidRDefault="00F4578A" w:rsidP="00410697">
            <w:pPr>
              <w:rPr>
                <w:b/>
                <w:bCs/>
                <w:sz w:val="16"/>
                <w:szCs w:val="16"/>
              </w:rPr>
            </w:pPr>
            <w:r w:rsidRPr="00CA369B">
              <w:rPr>
                <w:b/>
                <w:bCs/>
                <w:sz w:val="16"/>
                <w:szCs w:val="16"/>
              </w:rPr>
              <w:t>Darba devēja valsts sociālās apdrošināšanas obligātās iemaksas, pabalsti un kompensācijas</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b/>
                <w:bCs/>
                <w:sz w:val="16"/>
                <w:szCs w:val="16"/>
              </w:rPr>
            </w:pPr>
            <w:r w:rsidRPr="00CA369B">
              <w:rPr>
                <w:b/>
                <w:bCs/>
                <w:sz w:val="16"/>
                <w:szCs w:val="16"/>
              </w:rPr>
              <w:t>32 658</w:t>
            </w:r>
          </w:p>
        </w:tc>
      </w:tr>
      <w:tr w:rsidR="00F4578A" w:rsidRPr="0006422D" w:rsidTr="00410697">
        <w:trPr>
          <w:trHeight w:val="270"/>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1210</w:t>
            </w:r>
          </w:p>
        </w:tc>
        <w:tc>
          <w:tcPr>
            <w:tcW w:w="5180" w:type="dxa"/>
            <w:tcBorders>
              <w:top w:val="nil"/>
              <w:left w:val="nil"/>
              <w:bottom w:val="single" w:sz="4" w:space="0" w:color="auto"/>
              <w:right w:val="single" w:sz="4" w:space="0" w:color="auto"/>
            </w:tcBorders>
            <w:shd w:val="clear" w:color="auto" w:fill="auto"/>
            <w:hideMark/>
          </w:tcPr>
          <w:p w:rsidR="00F4578A" w:rsidRPr="00CA369B" w:rsidRDefault="00F4578A" w:rsidP="00410697">
            <w:pPr>
              <w:rPr>
                <w:sz w:val="16"/>
                <w:szCs w:val="16"/>
              </w:rPr>
            </w:pPr>
            <w:r w:rsidRPr="00CA369B">
              <w:rPr>
                <w:sz w:val="16"/>
                <w:szCs w:val="16"/>
              </w:rPr>
              <w:t>Darba devēja valsts sociālās apdrošināšanas obligātās iemaksas</w:t>
            </w:r>
          </w:p>
        </w:tc>
        <w:tc>
          <w:tcPr>
            <w:tcW w:w="717"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66"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32 658</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000000" w:fill="538DD5"/>
            <w:noWrap/>
            <w:vAlign w:val="bottom"/>
            <w:hideMark/>
          </w:tcPr>
          <w:p w:rsidR="00F4578A" w:rsidRPr="00CA369B" w:rsidRDefault="00F4578A" w:rsidP="00410697">
            <w:pPr>
              <w:rPr>
                <w:b/>
                <w:bCs/>
                <w:sz w:val="16"/>
                <w:szCs w:val="16"/>
              </w:rPr>
            </w:pPr>
            <w:r w:rsidRPr="00CA369B">
              <w:rPr>
                <w:b/>
                <w:bCs/>
                <w:sz w:val="16"/>
                <w:szCs w:val="16"/>
              </w:rPr>
              <w:t>2000</w:t>
            </w:r>
          </w:p>
        </w:tc>
        <w:tc>
          <w:tcPr>
            <w:tcW w:w="7417" w:type="dxa"/>
            <w:gridSpan w:val="4"/>
            <w:tcBorders>
              <w:top w:val="single" w:sz="4" w:space="0" w:color="auto"/>
              <w:left w:val="nil"/>
              <w:bottom w:val="single" w:sz="4" w:space="0" w:color="auto"/>
              <w:right w:val="single" w:sz="4" w:space="0" w:color="auto"/>
            </w:tcBorders>
            <w:shd w:val="clear" w:color="000000" w:fill="538DD5"/>
            <w:hideMark/>
          </w:tcPr>
          <w:p w:rsidR="00F4578A" w:rsidRPr="00CA369B" w:rsidRDefault="00F4578A" w:rsidP="00410697">
            <w:pPr>
              <w:rPr>
                <w:b/>
                <w:bCs/>
                <w:sz w:val="16"/>
                <w:szCs w:val="16"/>
              </w:rPr>
            </w:pPr>
            <w:r w:rsidRPr="00CA369B">
              <w:rPr>
                <w:b/>
                <w:bCs/>
                <w:sz w:val="16"/>
                <w:szCs w:val="16"/>
              </w:rPr>
              <w:t>Preces un pakalpojumi</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b/>
                <w:bCs/>
                <w:sz w:val="16"/>
                <w:szCs w:val="16"/>
              </w:rPr>
            </w:pPr>
            <w:r w:rsidRPr="00CA369B">
              <w:rPr>
                <w:b/>
                <w:bCs/>
                <w:sz w:val="16"/>
                <w:szCs w:val="16"/>
              </w:rPr>
              <w:t>11 000</w:t>
            </w:r>
          </w:p>
        </w:tc>
      </w:tr>
      <w:tr w:rsidR="00F4578A" w:rsidRPr="0006422D" w:rsidTr="00410697">
        <w:trPr>
          <w:trHeight w:val="25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center"/>
              <w:rPr>
                <w:sz w:val="16"/>
                <w:szCs w:val="16"/>
              </w:rPr>
            </w:pPr>
            <w:r w:rsidRPr="00CA369B">
              <w:rPr>
                <w:sz w:val="16"/>
                <w:szCs w:val="16"/>
              </w:rPr>
              <w:t>2200</w:t>
            </w:r>
          </w:p>
        </w:tc>
        <w:tc>
          <w:tcPr>
            <w:tcW w:w="7417" w:type="dxa"/>
            <w:gridSpan w:val="4"/>
            <w:tcBorders>
              <w:top w:val="single" w:sz="4" w:space="0" w:color="auto"/>
              <w:left w:val="nil"/>
              <w:bottom w:val="single" w:sz="4" w:space="0" w:color="auto"/>
              <w:right w:val="single" w:sz="4" w:space="0" w:color="000000"/>
            </w:tcBorders>
            <w:shd w:val="clear" w:color="auto" w:fill="auto"/>
            <w:hideMark/>
          </w:tcPr>
          <w:p w:rsidR="00F4578A" w:rsidRPr="00CA369B" w:rsidRDefault="00F4578A" w:rsidP="00410697">
            <w:pPr>
              <w:rPr>
                <w:sz w:val="16"/>
                <w:szCs w:val="16"/>
              </w:rPr>
            </w:pPr>
            <w:r w:rsidRPr="00CA369B">
              <w:rPr>
                <w:sz w:val="16"/>
                <w:szCs w:val="16"/>
              </w:rPr>
              <w:t>Pakalpojumu apmaksa</w:t>
            </w:r>
          </w:p>
        </w:tc>
        <w:tc>
          <w:tcPr>
            <w:tcW w:w="850" w:type="dxa"/>
            <w:tcBorders>
              <w:top w:val="nil"/>
              <w:left w:val="nil"/>
              <w:bottom w:val="single" w:sz="4" w:space="0" w:color="auto"/>
              <w:right w:val="single" w:sz="4" w:space="0" w:color="auto"/>
            </w:tcBorders>
            <w:shd w:val="clear" w:color="000000" w:fill="538DD5"/>
            <w:noWrap/>
            <w:vAlign w:val="bottom"/>
            <w:hideMark/>
          </w:tcPr>
          <w:p w:rsidR="00F4578A" w:rsidRPr="00CA369B" w:rsidRDefault="00F4578A" w:rsidP="00410697">
            <w:pPr>
              <w:jc w:val="right"/>
              <w:rPr>
                <w:sz w:val="16"/>
                <w:szCs w:val="16"/>
              </w:rPr>
            </w:pPr>
            <w:r w:rsidRPr="00CA369B">
              <w:rPr>
                <w:sz w:val="16"/>
                <w:szCs w:val="16"/>
              </w:rPr>
              <w:t>11 000</w:t>
            </w:r>
          </w:p>
        </w:tc>
      </w:tr>
      <w:tr w:rsidR="00F4578A" w:rsidRPr="0006422D" w:rsidTr="00410697">
        <w:trPr>
          <w:trHeight w:val="225"/>
          <w:jc w:val="center"/>
        </w:trPr>
        <w:tc>
          <w:tcPr>
            <w:tcW w:w="800" w:type="dxa"/>
            <w:tcBorders>
              <w:top w:val="nil"/>
              <w:left w:val="single" w:sz="4" w:space="0" w:color="auto"/>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2235</w:t>
            </w:r>
          </w:p>
        </w:tc>
        <w:tc>
          <w:tcPr>
            <w:tcW w:w="5180" w:type="dxa"/>
            <w:tcBorders>
              <w:top w:val="nil"/>
              <w:left w:val="nil"/>
              <w:bottom w:val="single" w:sz="4" w:space="0" w:color="auto"/>
              <w:right w:val="single" w:sz="4" w:space="0" w:color="auto"/>
            </w:tcBorders>
            <w:shd w:val="clear" w:color="000000" w:fill="FFFFFF"/>
            <w:hideMark/>
          </w:tcPr>
          <w:p w:rsidR="00F4578A" w:rsidRPr="00CA369B" w:rsidRDefault="00F4578A" w:rsidP="00410697">
            <w:pPr>
              <w:rPr>
                <w:sz w:val="16"/>
                <w:szCs w:val="16"/>
              </w:rPr>
            </w:pPr>
            <w:r w:rsidRPr="00CA369B">
              <w:rPr>
                <w:sz w:val="16"/>
                <w:szCs w:val="16"/>
              </w:rPr>
              <w:t>Izdevumi par saņemtajiem apmācību pakalpojumiem</w:t>
            </w:r>
          </w:p>
        </w:tc>
        <w:tc>
          <w:tcPr>
            <w:tcW w:w="717"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754"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11000</w:t>
            </w:r>
          </w:p>
        </w:tc>
        <w:tc>
          <w:tcPr>
            <w:tcW w:w="766"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rPr>
                <w:sz w:val="16"/>
                <w:szCs w:val="16"/>
              </w:rPr>
            </w:pPr>
            <w:r w:rsidRPr="00CA369B">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F4578A" w:rsidRPr="00CA369B" w:rsidRDefault="00F4578A" w:rsidP="00410697">
            <w:pPr>
              <w:jc w:val="right"/>
              <w:rPr>
                <w:sz w:val="16"/>
                <w:szCs w:val="16"/>
              </w:rPr>
            </w:pPr>
            <w:r w:rsidRPr="00CA369B">
              <w:rPr>
                <w:sz w:val="16"/>
                <w:szCs w:val="16"/>
              </w:rPr>
              <w:t>11 000</w:t>
            </w:r>
          </w:p>
        </w:tc>
      </w:tr>
    </w:tbl>
    <w:p w:rsidR="00F4578A" w:rsidRPr="00CA369B" w:rsidRDefault="00CA369B" w:rsidP="00CA369B">
      <w:pPr>
        <w:spacing w:before="120"/>
        <w:ind w:firstLine="720"/>
        <w:jc w:val="both"/>
        <w:rPr>
          <w:sz w:val="20"/>
          <w:szCs w:val="20"/>
        </w:rPr>
      </w:pPr>
      <w:r w:rsidRPr="00CA369B">
        <w:rPr>
          <w:sz w:val="20"/>
          <w:szCs w:val="20"/>
        </w:rPr>
        <w:t>* Amatu klasificēšanas rezultātu apkopojuma saskaņošana ar Valsts kanceleju tiks veikta līdz 2017. gada 1. novembrim</w:t>
      </w:r>
    </w:p>
    <w:p w:rsidR="00EB614F" w:rsidRPr="003A39A8" w:rsidRDefault="002F5C62" w:rsidP="006E2B2D">
      <w:pPr>
        <w:spacing w:before="240"/>
        <w:ind w:firstLine="720"/>
        <w:jc w:val="both"/>
        <w:rPr>
          <w:b/>
        </w:rPr>
      </w:pPr>
      <w:r w:rsidRPr="002F5C62">
        <w:rPr>
          <w:b/>
        </w:rPr>
        <w:t>Maksātnespējas administrācijas nodarbināto atlīdzības nodrošināšana</w:t>
      </w:r>
      <w:r>
        <w:rPr>
          <w:b/>
        </w:rPr>
        <w:t>i nepieciešamā finansējuma k</w:t>
      </w:r>
      <w:r w:rsidR="00EB614F" w:rsidRPr="003A39A8">
        <w:rPr>
          <w:b/>
        </w:rPr>
        <w:t>opsavilkums</w:t>
      </w:r>
    </w:p>
    <w:p w:rsidR="00450337" w:rsidRDefault="00EB614F" w:rsidP="00745475">
      <w:pPr>
        <w:spacing w:before="60"/>
        <w:ind w:firstLine="720"/>
        <w:jc w:val="both"/>
        <w:rPr>
          <w:rFonts w:eastAsia="Calibri"/>
          <w:highlight w:val="yellow"/>
        </w:rPr>
      </w:pPr>
      <w:r w:rsidRPr="00AE41BF">
        <w:rPr>
          <w:noProof/>
          <w:color w:val="000000"/>
        </w:rPr>
        <w:t xml:space="preserve">Ņemot vērā šajā </w:t>
      </w:r>
      <w:r w:rsidR="00C90AD8">
        <w:rPr>
          <w:noProof/>
          <w:color w:val="000000"/>
        </w:rPr>
        <w:t>punktā</w:t>
      </w:r>
      <w:r w:rsidR="00C90AD8" w:rsidRPr="00AE41BF">
        <w:rPr>
          <w:noProof/>
          <w:color w:val="000000"/>
        </w:rPr>
        <w:t xml:space="preserve"> </w:t>
      </w:r>
      <w:r w:rsidRPr="00AE41BF">
        <w:rPr>
          <w:noProof/>
          <w:color w:val="000000"/>
        </w:rPr>
        <w:t xml:space="preserve">norādīto, lai nodrošinātu </w:t>
      </w:r>
      <w:r>
        <w:rPr>
          <w:noProof/>
          <w:color w:val="000000"/>
        </w:rPr>
        <w:t xml:space="preserve">Maksātnespējas likumā papildus funkciju izpildi un Pamatnostādnēs </w:t>
      </w:r>
      <w:r w:rsidRPr="00AE41BF">
        <w:rPr>
          <w:noProof/>
          <w:color w:val="000000"/>
        </w:rPr>
        <w:t xml:space="preserve"> noteikto </w:t>
      </w:r>
      <w:r>
        <w:rPr>
          <w:noProof/>
          <w:color w:val="000000"/>
        </w:rPr>
        <w:t>uzdevumu izpildi</w:t>
      </w:r>
      <w:r w:rsidRPr="00AE41BF">
        <w:rPr>
          <w:noProof/>
          <w:color w:val="000000"/>
        </w:rPr>
        <w:t>, nepieciešams piešķirt papildu</w:t>
      </w:r>
      <w:r>
        <w:rPr>
          <w:noProof/>
          <w:color w:val="000000"/>
        </w:rPr>
        <w:t>s</w:t>
      </w:r>
      <w:r w:rsidRPr="00AE41BF">
        <w:rPr>
          <w:noProof/>
          <w:color w:val="000000"/>
        </w:rPr>
        <w:t xml:space="preserve"> finansējum</w:t>
      </w:r>
      <w:r>
        <w:rPr>
          <w:noProof/>
          <w:color w:val="000000"/>
        </w:rPr>
        <w:t>u</w:t>
      </w:r>
      <w:r w:rsidRPr="00AE41BF">
        <w:rPr>
          <w:noProof/>
          <w:color w:val="000000"/>
        </w:rPr>
        <w:t xml:space="preserve"> </w:t>
      </w:r>
      <w:r>
        <w:rPr>
          <w:noProof/>
          <w:color w:val="000000"/>
        </w:rPr>
        <w:t xml:space="preserve">nodarbināto atalgojuma palielināšanai. </w:t>
      </w:r>
      <w:r w:rsidRPr="00A97D84">
        <w:rPr>
          <w:b/>
          <w:bCs/>
        </w:rPr>
        <w:t xml:space="preserve">Papildus nepieciešamais finansējums </w:t>
      </w:r>
      <w:r w:rsidR="00F4578A">
        <w:rPr>
          <w:b/>
          <w:bCs/>
        </w:rPr>
        <w:t>182 099</w:t>
      </w:r>
      <w:r w:rsidRPr="00A97D84">
        <w:rPr>
          <w:b/>
          <w:bCs/>
          <w:i/>
        </w:rPr>
        <w:t xml:space="preserve"> </w:t>
      </w:r>
      <w:proofErr w:type="spellStart"/>
      <w:r w:rsidRPr="00A97D84">
        <w:rPr>
          <w:b/>
          <w:bCs/>
          <w:i/>
        </w:rPr>
        <w:t>euro</w:t>
      </w:r>
      <w:proofErr w:type="spellEnd"/>
      <w:r w:rsidR="00CA4300">
        <w:rPr>
          <w:b/>
          <w:bCs/>
          <w:i/>
        </w:rPr>
        <w:t>,</w:t>
      </w:r>
      <w:r w:rsidRPr="00A97D84">
        <w:rPr>
          <w:b/>
          <w:bCs/>
        </w:rPr>
        <w:t xml:space="preserve"> </w:t>
      </w:r>
      <w:r w:rsidR="00CA4300">
        <w:rPr>
          <w:b/>
          <w:bCs/>
        </w:rPr>
        <w:t>sākot ar</w:t>
      </w:r>
      <w:r w:rsidR="009747E3">
        <w:rPr>
          <w:b/>
          <w:bCs/>
        </w:rPr>
        <w:t xml:space="preserve"> </w:t>
      </w:r>
      <w:r w:rsidRPr="00A97D84">
        <w:rPr>
          <w:b/>
          <w:bCs/>
        </w:rPr>
        <w:t>2018.</w:t>
      </w:r>
      <w:r w:rsidR="00CA4300">
        <w:rPr>
          <w:b/>
          <w:bCs/>
        </w:rPr>
        <w:t> </w:t>
      </w:r>
      <w:r w:rsidR="009747E3">
        <w:rPr>
          <w:b/>
          <w:bCs/>
        </w:rPr>
        <w:t>gad</w:t>
      </w:r>
      <w:r w:rsidR="00CA4300">
        <w:rPr>
          <w:b/>
          <w:bCs/>
        </w:rPr>
        <w:t xml:space="preserve">u, ik </w:t>
      </w:r>
      <w:r w:rsidRPr="00A97D84">
        <w:rPr>
          <w:b/>
          <w:bCs/>
        </w:rPr>
        <w:t>gadu.</w:t>
      </w:r>
    </w:p>
    <w:p w:rsidR="00630D5C" w:rsidRPr="00C1162D" w:rsidRDefault="00C90AD8" w:rsidP="0062156C">
      <w:pPr>
        <w:spacing w:before="360"/>
        <w:jc w:val="center"/>
        <w:rPr>
          <w:b/>
          <w:smallCaps/>
          <w:sz w:val="26"/>
          <w:szCs w:val="26"/>
        </w:rPr>
      </w:pPr>
      <w:r>
        <w:rPr>
          <w:b/>
          <w:smallCaps/>
          <w:sz w:val="26"/>
          <w:szCs w:val="26"/>
        </w:rPr>
        <w:t>IV</w:t>
      </w:r>
      <w:r w:rsidR="0060382A" w:rsidRPr="00C1162D">
        <w:rPr>
          <w:b/>
          <w:smallCaps/>
          <w:sz w:val="26"/>
          <w:szCs w:val="26"/>
        </w:rPr>
        <w:t>.</w:t>
      </w:r>
      <w:r w:rsidR="00CA4300">
        <w:rPr>
          <w:b/>
          <w:smallCaps/>
          <w:sz w:val="26"/>
          <w:szCs w:val="26"/>
        </w:rPr>
        <w:t> </w:t>
      </w:r>
      <w:r w:rsidR="00A25ECE" w:rsidRPr="00C1162D">
        <w:rPr>
          <w:b/>
          <w:smallCaps/>
          <w:sz w:val="26"/>
          <w:szCs w:val="26"/>
        </w:rPr>
        <w:t>Papildu</w:t>
      </w:r>
      <w:r w:rsidR="00CA4300">
        <w:rPr>
          <w:b/>
          <w:smallCaps/>
          <w:sz w:val="26"/>
          <w:szCs w:val="26"/>
        </w:rPr>
        <w:t>s</w:t>
      </w:r>
      <w:r w:rsidR="00630D5C" w:rsidRPr="00C1162D">
        <w:rPr>
          <w:b/>
          <w:smallCaps/>
          <w:sz w:val="26"/>
          <w:szCs w:val="26"/>
        </w:rPr>
        <w:t xml:space="preserve"> nepieciešamā finansējuma aprēķins un kopsavilkums</w:t>
      </w:r>
      <w:r w:rsidR="00A25ECE" w:rsidRPr="00C1162D">
        <w:rPr>
          <w:b/>
          <w:smallCaps/>
          <w:sz w:val="26"/>
          <w:szCs w:val="26"/>
        </w:rPr>
        <w:t xml:space="preserve"> </w:t>
      </w:r>
    </w:p>
    <w:p w:rsidR="002B08C9" w:rsidRPr="004C3E91" w:rsidRDefault="001326E8" w:rsidP="00745475">
      <w:pPr>
        <w:spacing w:before="60"/>
        <w:ind w:firstLine="720"/>
        <w:jc w:val="both"/>
      </w:pPr>
      <w:r>
        <w:t xml:space="preserve">Šā informatīvā ziņojuma </w:t>
      </w:r>
      <w:r w:rsidR="00C90AD8">
        <w:t>II</w:t>
      </w:r>
      <w:r w:rsidRPr="00B90602">
        <w:t xml:space="preserve">. un </w:t>
      </w:r>
      <w:r w:rsidR="00C90AD8">
        <w:t>III</w:t>
      </w:r>
      <w:r w:rsidR="00EE7FD9" w:rsidRPr="00B90602">
        <w:t>.</w:t>
      </w:r>
      <w:r w:rsidR="00EE7FD9" w:rsidRPr="004C3E91">
        <w:t> </w:t>
      </w:r>
      <w:r w:rsidR="00C90AD8">
        <w:t>sada</w:t>
      </w:r>
      <w:r w:rsidR="005A1D5A">
        <w:t>ļā</w:t>
      </w:r>
      <w:r w:rsidR="00C90AD8" w:rsidRPr="004C3E91">
        <w:t xml:space="preserve"> </w:t>
      </w:r>
      <w:r w:rsidR="00204AD2">
        <w:t xml:space="preserve">noteikto pasākumu īstenošanai Maksātnespējas administrācijā nepieciešams izveidot </w:t>
      </w:r>
      <w:r w:rsidR="006A6C8C">
        <w:t xml:space="preserve">astoņas </w:t>
      </w:r>
      <w:r w:rsidR="00204AD2">
        <w:t xml:space="preserve">papildu amata vietas </w:t>
      </w:r>
      <w:r w:rsidR="0010746E">
        <w:t>–</w:t>
      </w:r>
      <w:r w:rsidR="00456B88">
        <w:t xml:space="preserve"> </w:t>
      </w:r>
      <w:r w:rsidR="0010746E">
        <w:t xml:space="preserve">trīs juriskonsulti </w:t>
      </w:r>
      <w:r w:rsidR="008D7A68">
        <w:t xml:space="preserve">uzdevumu īstenošanai saistībā ar administratoru iecelšanu amatā </w:t>
      </w:r>
      <w:r w:rsidR="005D2B87">
        <w:t xml:space="preserve">(šā ziņojuma </w:t>
      </w:r>
      <w:r w:rsidR="00C90AD8">
        <w:t>II.</w:t>
      </w:r>
      <w:r w:rsidR="00615776">
        <w:t> s</w:t>
      </w:r>
      <w:r w:rsidR="00C90AD8">
        <w:t>adaļas 1.punkts</w:t>
      </w:r>
      <w:r w:rsidR="00204AD2">
        <w:t xml:space="preserve">); </w:t>
      </w:r>
      <w:r w:rsidR="00567F40">
        <w:rPr>
          <w:color w:val="000000"/>
        </w:rPr>
        <w:t xml:space="preserve">četri </w:t>
      </w:r>
      <w:r w:rsidR="005F0D9B">
        <w:rPr>
          <w:color w:val="000000"/>
        </w:rPr>
        <w:t xml:space="preserve">juriskonsulti uzraudzības funkcijas nodrošināšanai </w:t>
      </w:r>
      <w:r w:rsidR="005F0D9B" w:rsidRPr="005F0D9B">
        <w:rPr>
          <w:color w:val="000000"/>
        </w:rPr>
        <w:t xml:space="preserve">(šā ziņojuma </w:t>
      </w:r>
      <w:r w:rsidR="00C90AD8">
        <w:rPr>
          <w:color w:val="000000"/>
        </w:rPr>
        <w:t>II.</w:t>
      </w:r>
      <w:r w:rsidR="00615776">
        <w:rPr>
          <w:color w:val="000000"/>
        </w:rPr>
        <w:t> s</w:t>
      </w:r>
      <w:r w:rsidR="00C90AD8">
        <w:rPr>
          <w:color w:val="000000"/>
        </w:rPr>
        <w:t>adaļas 2. punkts</w:t>
      </w:r>
      <w:r w:rsidR="005F0D9B" w:rsidRPr="005F0D9B">
        <w:rPr>
          <w:color w:val="000000"/>
        </w:rPr>
        <w:t>);</w:t>
      </w:r>
      <w:r w:rsidR="005F0D9B">
        <w:rPr>
          <w:color w:val="000000"/>
        </w:rPr>
        <w:t xml:space="preserve"> viens</w:t>
      </w:r>
      <w:r w:rsidR="00204AD2" w:rsidRPr="00204AD2">
        <w:rPr>
          <w:color w:val="000000"/>
        </w:rPr>
        <w:t xml:space="preserve"> sabiedrisko attiecību speciālists</w:t>
      </w:r>
      <w:r w:rsidR="00204AD2">
        <w:rPr>
          <w:color w:val="000000"/>
        </w:rPr>
        <w:t xml:space="preserve"> </w:t>
      </w:r>
      <w:r w:rsidR="00204AD2" w:rsidRPr="00204AD2">
        <w:rPr>
          <w:color w:val="000000"/>
        </w:rPr>
        <w:t xml:space="preserve">(šā ziņojuma </w:t>
      </w:r>
      <w:r w:rsidR="00615776">
        <w:rPr>
          <w:color w:val="000000"/>
        </w:rPr>
        <w:t>III. s</w:t>
      </w:r>
      <w:r w:rsidR="00C90AD8">
        <w:rPr>
          <w:color w:val="000000"/>
        </w:rPr>
        <w:t>adaļas 3. punkts</w:t>
      </w:r>
      <w:r w:rsidR="006014D1">
        <w:rPr>
          <w:color w:val="000000"/>
        </w:rPr>
        <w:t>)</w:t>
      </w:r>
      <w:r w:rsidR="00C36982">
        <w:rPr>
          <w:color w:val="000000"/>
        </w:rPr>
        <w:t xml:space="preserve">. </w:t>
      </w:r>
      <w:r w:rsidR="00A3651D">
        <w:t xml:space="preserve">Papildu </w:t>
      </w:r>
      <w:r w:rsidR="006A6C8C">
        <w:t>astoņu</w:t>
      </w:r>
      <w:r w:rsidR="006A6C8C" w:rsidRPr="004F2194">
        <w:t xml:space="preserve"> </w:t>
      </w:r>
      <w:r w:rsidR="009107B5" w:rsidRPr="004F2194">
        <w:t xml:space="preserve">amata vietu </w:t>
      </w:r>
      <w:r w:rsidR="00A3651D" w:rsidRPr="004F2194">
        <w:t xml:space="preserve">izveidošanai </w:t>
      </w:r>
      <w:r w:rsidR="009107B5" w:rsidRPr="004F2194">
        <w:t xml:space="preserve">nepieciešams finansējums </w:t>
      </w:r>
      <w:r w:rsidR="00AC6DA7" w:rsidRPr="004F2194">
        <w:t xml:space="preserve">pirmajā gadā ir </w:t>
      </w:r>
      <w:r w:rsidR="00123D6D" w:rsidRPr="004F2194">
        <w:rPr>
          <w:b/>
        </w:rPr>
        <w:t> </w:t>
      </w:r>
      <w:r w:rsidR="006A6C8C" w:rsidRPr="00BC4E4C">
        <w:t>241</w:t>
      </w:r>
      <w:r w:rsidR="00CA4300">
        <w:t> </w:t>
      </w:r>
      <w:r w:rsidR="006A6C8C" w:rsidRPr="00BC4E4C">
        <w:t>8</w:t>
      </w:r>
      <w:r w:rsidR="008D123E">
        <w:t>3</w:t>
      </w:r>
      <w:r w:rsidR="00781412">
        <w:t>1</w:t>
      </w:r>
      <w:r w:rsidR="00CA4300">
        <w:rPr>
          <w:i/>
        </w:rPr>
        <w:t> </w:t>
      </w:r>
      <w:proofErr w:type="spellStart"/>
      <w:r w:rsidR="009107B5" w:rsidRPr="00BC4E4C">
        <w:rPr>
          <w:i/>
        </w:rPr>
        <w:t>euro</w:t>
      </w:r>
      <w:proofErr w:type="spellEnd"/>
      <w:r w:rsidR="009107B5" w:rsidRPr="004F2194">
        <w:t xml:space="preserve"> </w:t>
      </w:r>
      <w:r w:rsidR="00AC6DA7" w:rsidRPr="004F2194">
        <w:t xml:space="preserve">un </w:t>
      </w:r>
      <w:r w:rsidR="006A6C8C" w:rsidRPr="00BC4E4C">
        <w:t>225</w:t>
      </w:r>
      <w:r w:rsidR="00CA4300">
        <w:t> </w:t>
      </w:r>
      <w:r w:rsidR="006A6C8C" w:rsidRPr="00BC4E4C">
        <w:t>7</w:t>
      </w:r>
      <w:r w:rsidR="008D123E">
        <w:t>6</w:t>
      </w:r>
      <w:r w:rsidR="00781412">
        <w:t>1</w:t>
      </w:r>
      <w:r w:rsidR="00CA4300">
        <w:t> </w:t>
      </w:r>
      <w:proofErr w:type="spellStart"/>
      <w:r w:rsidR="00AC6DA7" w:rsidRPr="00BC4E4C">
        <w:rPr>
          <w:i/>
        </w:rPr>
        <w:t>euro</w:t>
      </w:r>
      <w:proofErr w:type="spellEnd"/>
      <w:r w:rsidR="00AC6DA7" w:rsidRPr="004F2194">
        <w:t xml:space="preserve"> </w:t>
      </w:r>
      <w:r w:rsidR="009107B5">
        <w:t>gadā</w:t>
      </w:r>
      <w:r w:rsidR="00AC6DA7">
        <w:t xml:space="preserve"> turpmākajos gados</w:t>
      </w:r>
      <w:r w:rsidR="00A3651D">
        <w:t>.</w:t>
      </w:r>
      <w:r w:rsidR="00BF76B4">
        <w:t xml:space="preserve"> </w:t>
      </w:r>
      <w:r w:rsidR="002B08C9" w:rsidRPr="007B3A0B">
        <w:rPr>
          <w:rFonts w:eastAsia="Calibri"/>
        </w:rPr>
        <w:t>Ņemo</w:t>
      </w:r>
      <w:r w:rsidR="002B08C9">
        <w:rPr>
          <w:rFonts w:eastAsia="Calibri"/>
        </w:rPr>
        <w:t xml:space="preserve">t vērā šā informatīvā ziņojuma </w:t>
      </w:r>
      <w:r w:rsidR="005A1D5A">
        <w:rPr>
          <w:rFonts w:eastAsia="Calibri"/>
        </w:rPr>
        <w:t>III. sadaļas 4. punktā</w:t>
      </w:r>
      <w:r w:rsidR="002B08C9">
        <w:rPr>
          <w:rFonts w:eastAsia="Calibri"/>
        </w:rPr>
        <w:t xml:space="preserve"> noteikto</w:t>
      </w:r>
      <w:r w:rsidR="00B76DF3">
        <w:rPr>
          <w:rFonts w:eastAsia="Calibri"/>
        </w:rPr>
        <w:t>,</w:t>
      </w:r>
      <w:r w:rsidR="002B08C9">
        <w:rPr>
          <w:rFonts w:eastAsia="Calibri"/>
        </w:rPr>
        <w:t xml:space="preserve"> kopā ar papildu</w:t>
      </w:r>
      <w:r w:rsidR="002B08C9" w:rsidRPr="007B3A0B">
        <w:rPr>
          <w:rFonts w:eastAsia="Calibri"/>
        </w:rPr>
        <w:t xml:space="preserve"> </w:t>
      </w:r>
      <w:r w:rsidR="00FE6A3E">
        <w:rPr>
          <w:rFonts w:eastAsia="Calibri"/>
        </w:rPr>
        <w:t>astoņām</w:t>
      </w:r>
      <w:r w:rsidR="00615E82" w:rsidRPr="007B3A0B">
        <w:rPr>
          <w:rFonts w:eastAsia="Calibri"/>
        </w:rPr>
        <w:t xml:space="preserve"> </w:t>
      </w:r>
      <w:r w:rsidR="002B08C9" w:rsidRPr="007B3A0B">
        <w:rPr>
          <w:rFonts w:eastAsia="Calibri"/>
        </w:rPr>
        <w:t>amata vietām</w:t>
      </w:r>
      <w:r w:rsidR="002B08C9">
        <w:rPr>
          <w:rFonts w:eastAsia="Calibri"/>
        </w:rPr>
        <w:t>,</w:t>
      </w:r>
      <w:r w:rsidR="002B08C9" w:rsidRPr="007B3A0B">
        <w:rPr>
          <w:rFonts w:eastAsia="Calibri"/>
        </w:rPr>
        <w:t xml:space="preserve"> Maksātnespējas administrācijai </w:t>
      </w:r>
      <w:r w:rsidR="003E1BEF">
        <w:rPr>
          <w:rFonts w:eastAsia="Calibri"/>
        </w:rPr>
        <w:t xml:space="preserve">atlīdzībām </w:t>
      </w:r>
      <w:r w:rsidR="002B08C9" w:rsidRPr="007B3A0B">
        <w:rPr>
          <w:rFonts w:eastAsia="Calibri"/>
        </w:rPr>
        <w:t xml:space="preserve">papildus nepieciešami </w:t>
      </w:r>
      <w:r w:rsidR="00C11C20">
        <w:rPr>
          <w:rFonts w:eastAsia="Calibri"/>
          <w:b/>
        </w:rPr>
        <w:t>420 514</w:t>
      </w:r>
      <w:r w:rsidR="00CA4300">
        <w:rPr>
          <w:rFonts w:eastAsia="Calibri"/>
          <w:b/>
        </w:rPr>
        <w:t> </w:t>
      </w:r>
      <w:proofErr w:type="spellStart"/>
      <w:r w:rsidR="002B08C9" w:rsidRPr="00BC4E4C">
        <w:rPr>
          <w:rFonts w:eastAsia="Calibri"/>
          <w:b/>
          <w:i/>
        </w:rPr>
        <w:t>euro</w:t>
      </w:r>
      <w:proofErr w:type="spellEnd"/>
      <w:r w:rsidR="002B08C9" w:rsidRPr="007B3A0B">
        <w:rPr>
          <w:rFonts w:eastAsia="Calibri"/>
        </w:rPr>
        <w:t xml:space="preserve"> </w:t>
      </w:r>
      <w:r w:rsidR="002B08C9">
        <w:rPr>
          <w:rFonts w:eastAsia="Calibri"/>
        </w:rPr>
        <w:t xml:space="preserve">pirmajā </w:t>
      </w:r>
      <w:r w:rsidR="002B08C9" w:rsidRPr="007B3A0B">
        <w:rPr>
          <w:rFonts w:eastAsia="Calibri"/>
        </w:rPr>
        <w:t xml:space="preserve">gadā </w:t>
      </w:r>
      <w:r w:rsidR="002B08C9">
        <w:rPr>
          <w:rFonts w:eastAsia="Calibri"/>
        </w:rPr>
        <w:t xml:space="preserve">un </w:t>
      </w:r>
      <w:r w:rsidR="00C11C20">
        <w:rPr>
          <w:rFonts w:eastAsia="Calibri"/>
          <w:b/>
        </w:rPr>
        <w:t>404 444</w:t>
      </w:r>
      <w:r w:rsidR="00CA4300">
        <w:rPr>
          <w:rFonts w:eastAsia="Calibri"/>
        </w:rPr>
        <w:t> </w:t>
      </w:r>
      <w:proofErr w:type="spellStart"/>
      <w:r w:rsidR="002B08C9" w:rsidRPr="00BC4E4C">
        <w:rPr>
          <w:rFonts w:eastAsia="Calibri"/>
          <w:b/>
          <w:i/>
        </w:rPr>
        <w:t>euro</w:t>
      </w:r>
      <w:proofErr w:type="spellEnd"/>
      <w:r w:rsidR="002B08C9">
        <w:rPr>
          <w:rFonts w:eastAsia="Calibri"/>
        </w:rPr>
        <w:t xml:space="preserve"> gadā turpmākajos gados</w:t>
      </w:r>
      <w:r w:rsidR="002B08C9" w:rsidRPr="007B3A0B">
        <w:rPr>
          <w:rFonts w:eastAsia="Calibri"/>
        </w:rPr>
        <w:t>.</w:t>
      </w:r>
    </w:p>
    <w:p w:rsidR="00AD24B4" w:rsidRDefault="00AD24B4" w:rsidP="00745475">
      <w:pPr>
        <w:spacing w:before="60"/>
        <w:ind w:firstLine="720"/>
        <w:jc w:val="both"/>
        <w:rPr>
          <w:rFonts w:eastAsia="Calibri"/>
        </w:rPr>
      </w:pPr>
      <w:r w:rsidRPr="007B3A0B">
        <w:rPr>
          <w:rFonts w:eastAsia="Calibri"/>
        </w:rPr>
        <w:t>Ņemo</w:t>
      </w:r>
      <w:r>
        <w:rPr>
          <w:rFonts w:eastAsia="Calibri"/>
        </w:rPr>
        <w:t xml:space="preserve">t vērā šā informatīvā ziņojuma </w:t>
      </w:r>
      <w:r w:rsidR="00615776">
        <w:rPr>
          <w:rFonts w:eastAsia="Calibri"/>
        </w:rPr>
        <w:t>II. s</w:t>
      </w:r>
      <w:r w:rsidR="005A1D5A">
        <w:rPr>
          <w:rFonts w:eastAsia="Calibri"/>
        </w:rPr>
        <w:t>adaļas 2. punktā</w:t>
      </w:r>
      <w:r>
        <w:rPr>
          <w:rFonts w:eastAsia="Calibri"/>
        </w:rPr>
        <w:t xml:space="preserve"> noteikto,</w:t>
      </w:r>
      <w:r w:rsidRPr="007B3A0B">
        <w:rPr>
          <w:rFonts w:eastAsia="Calibri"/>
        </w:rPr>
        <w:t xml:space="preserve"> Maksātnespējas administrācijai </w:t>
      </w:r>
      <w:r>
        <w:rPr>
          <w:rFonts w:eastAsia="Calibri"/>
        </w:rPr>
        <w:t xml:space="preserve">automašīnām </w:t>
      </w:r>
      <w:r w:rsidRPr="007B3A0B">
        <w:rPr>
          <w:rFonts w:eastAsia="Calibri"/>
        </w:rPr>
        <w:t xml:space="preserve">papildus nepieciešami </w:t>
      </w:r>
      <w:r w:rsidR="002E3A2F">
        <w:rPr>
          <w:rFonts w:eastAsia="Calibri"/>
          <w:b/>
        </w:rPr>
        <w:t>18 66</w:t>
      </w:r>
      <w:r w:rsidR="0066357C">
        <w:rPr>
          <w:rFonts w:eastAsia="Calibri"/>
          <w:b/>
        </w:rPr>
        <w:t>6</w:t>
      </w:r>
      <w:r w:rsidRPr="00AD24B4">
        <w:rPr>
          <w:rFonts w:eastAsia="Calibri"/>
          <w:b/>
        </w:rPr>
        <w:t> </w:t>
      </w:r>
      <w:proofErr w:type="spellStart"/>
      <w:r w:rsidRPr="00AD24B4">
        <w:rPr>
          <w:rFonts w:eastAsia="Calibri"/>
          <w:b/>
          <w:i/>
        </w:rPr>
        <w:t>euro</w:t>
      </w:r>
      <w:proofErr w:type="spellEnd"/>
      <w:r w:rsidRPr="007B3A0B">
        <w:rPr>
          <w:rFonts w:eastAsia="Calibri"/>
        </w:rPr>
        <w:t xml:space="preserve"> gadā </w:t>
      </w:r>
      <w:r w:rsidR="002E3A2F">
        <w:rPr>
          <w:rFonts w:eastAsia="Calibri"/>
        </w:rPr>
        <w:t>ik gadu</w:t>
      </w:r>
      <w:r w:rsidR="00D5571C">
        <w:rPr>
          <w:rFonts w:eastAsia="Calibri"/>
        </w:rPr>
        <w:t xml:space="preserve">, kā arī, ņemot vērā </w:t>
      </w:r>
      <w:r w:rsidR="005A1D5A">
        <w:rPr>
          <w:rFonts w:eastAsia="Calibri"/>
        </w:rPr>
        <w:t>III. sadaļas 3. punktā</w:t>
      </w:r>
      <w:r w:rsidR="006636C4">
        <w:rPr>
          <w:rFonts w:eastAsia="Calibri"/>
        </w:rPr>
        <w:t xml:space="preserve"> noteikto</w:t>
      </w:r>
      <w:r w:rsidR="00D5571C">
        <w:rPr>
          <w:rFonts w:eastAsia="Calibri"/>
        </w:rPr>
        <w:t> –</w:t>
      </w:r>
      <w:r w:rsidR="006636C4">
        <w:rPr>
          <w:rFonts w:eastAsia="Calibri"/>
        </w:rPr>
        <w:t xml:space="preserve"> </w:t>
      </w:r>
      <w:r w:rsidR="006636C4" w:rsidRPr="006636C4">
        <w:rPr>
          <w:rFonts w:eastAsia="Calibri"/>
          <w:b/>
        </w:rPr>
        <w:t>2</w:t>
      </w:r>
      <w:r w:rsidR="00D5571C">
        <w:rPr>
          <w:rFonts w:eastAsia="Calibri"/>
          <w:b/>
        </w:rPr>
        <w:t> </w:t>
      </w:r>
      <w:r w:rsidR="006636C4" w:rsidRPr="006636C4">
        <w:rPr>
          <w:rFonts w:eastAsia="Calibri"/>
          <w:b/>
        </w:rPr>
        <w:t>000</w:t>
      </w:r>
      <w:r w:rsidR="00D5571C">
        <w:rPr>
          <w:rFonts w:eastAsia="Calibri"/>
          <w:b/>
        </w:rPr>
        <w:t> </w:t>
      </w:r>
      <w:proofErr w:type="spellStart"/>
      <w:r w:rsidR="006636C4" w:rsidRPr="006636C4">
        <w:rPr>
          <w:rFonts w:eastAsia="Calibri"/>
          <w:b/>
          <w:i/>
        </w:rPr>
        <w:t>euro</w:t>
      </w:r>
      <w:proofErr w:type="spellEnd"/>
      <w:r w:rsidR="006636C4">
        <w:rPr>
          <w:rFonts w:eastAsia="Calibri"/>
        </w:rPr>
        <w:t xml:space="preserve"> bukletiem gadā</w:t>
      </w:r>
      <w:r w:rsidR="00D5571C">
        <w:rPr>
          <w:rFonts w:eastAsia="Calibri"/>
        </w:rPr>
        <w:t xml:space="preserve"> ik gadu</w:t>
      </w:r>
      <w:r w:rsidR="006636C4">
        <w:rPr>
          <w:rFonts w:eastAsia="Calibri"/>
        </w:rPr>
        <w:t>.</w:t>
      </w:r>
    </w:p>
    <w:p w:rsidR="00C11C20" w:rsidRDefault="00C40DBE" w:rsidP="00C1162D">
      <w:pPr>
        <w:spacing w:before="60"/>
        <w:ind w:firstLine="720"/>
        <w:jc w:val="both"/>
        <w:rPr>
          <w:rFonts w:eastAsia="Calibri"/>
        </w:rPr>
      </w:pPr>
      <w:r w:rsidRPr="007B3A0B">
        <w:rPr>
          <w:rFonts w:eastAsia="Calibri"/>
        </w:rPr>
        <w:t>Ņemo</w:t>
      </w:r>
      <w:r>
        <w:rPr>
          <w:rFonts w:eastAsia="Calibri"/>
        </w:rPr>
        <w:t xml:space="preserve">t vērā šā informatīvā ziņojuma </w:t>
      </w:r>
      <w:r w:rsidR="005A1D5A">
        <w:rPr>
          <w:rFonts w:eastAsia="Calibri"/>
        </w:rPr>
        <w:t>II. Sadaļas 3. punktā un III. sadaļas 1. un 2. punktā</w:t>
      </w:r>
      <w:r>
        <w:rPr>
          <w:rFonts w:eastAsia="Calibri"/>
        </w:rPr>
        <w:t xml:space="preserve"> noteikto,</w:t>
      </w:r>
      <w:r w:rsidRPr="007B3A0B">
        <w:rPr>
          <w:rFonts w:eastAsia="Calibri"/>
        </w:rPr>
        <w:t xml:space="preserve"> Maksātnespējas administrācijai </w:t>
      </w:r>
      <w:r>
        <w:rPr>
          <w:rFonts w:eastAsia="Calibri"/>
        </w:rPr>
        <w:t xml:space="preserve">IT risinājumu nodrošināšanai </w:t>
      </w:r>
      <w:r w:rsidRPr="007B3A0B">
        <w:rPr>
          <w:rFonts w:eastAsia="Calibri"/>
        </w:rPr>
        <w:t xml:space="preserve">papildus nepieciešami </w:t>
      </w:r>
      <w:r w:rsidR="002E17FD">
        <w:rPr>
          <w:rFonts w:eastAsia="Calibri"/>
          <w:b/>
        </w:rPr>
        <w:t>232</w:t>
      </w:r>
      <w:r w:rsidR="00C1162D">
        <w:rPr>
          <w:rFonts w:eastAsia="Calibri"/>
          <w:b/>
        </w:rPr>
        <w:t> </w:t>
      </w:r>
      <w:r w:rsidR="000502A7" w:rsidRPr="0077285C">
        <w:rPr>
          <w:rFonts w:eastAsia="Calibri"/>
          <w:b/>
        </w:rPr>
        <w:t>400</w:t>
      </w:r>
      <w:r w:rsidR="00FE6A3E" w:rsidRPr="000502A7">
        <w:rPr>
          <w:rFonts w:eastAsia="Calibri"/>
          <w:b/>
        </w:rPr>
        <w:t> </w:t>
      </w:r>
      <w:proofErr w:type="spellStart"/>
      <w:r w:rsidRPr="000502A7">
        <w:rPr>
          <w:rFonts w:eastAsia="Calibri"/>
          <w:b/>
          <w:i/>
        </w:rPr>
        <w:t>euro</w:t>
      </w:r>
      <w:proofErr w:type="spellEnd"/>
      <w:r w:rsidRPr="007B3A0B">
        <w:rPr>
          <w:rFonts w:eastAsia="Calibri"/>
        </w:rPr>
        <w:t xml:space="preserve"> </w:t>
      </w:r>
      <w:r>
        <w:rPr>
          <w:rFonts w:eastAsia="Calibri"/>
        </w:rPr>
        <w:t>2018.</w:t>
      </w:r>
      <w:r w:rsidR="00D5571C">
        <w:rPr>
          <w:rFonts w:eastAsia="Calibri"/>
        </w:rPr>
        <w:t> </w:t>
      </w:r>
      <w:r w:rsidRPr="007B3A0B">
        <w:rPr>
          <w:rFonts w:eastAsia="Calibri"/>
        </w:rPr>
        <w:t>gadā</w:t>
      </w:r>
      <w:r w:rsidR="000502A7">
        <w:rPr>
          <w:rFonts w:eastAsia="Calibri"/>
        </w:rPr>
        <w:t xml:space="preserve">, </w:t>
      </w:r>
      <w:r w:rsidR="002E17FD">
        <w:rPr>
          <w:rFonts w:eastAsia="Calibri"/>
          <w:b/>
        </w:rPr>
        <w:t>54</w:t>
      </w:r>
      <w:r w:rsidR="000502A7" w:rsidRPr="0077285C">
        <w:rPr>
          <w:rFonts w:eastAsia="Calibri"/>
          <w:b/>
        </w:rPr>
        <w:t> 700</w:t>
      </w:r>
      <w:r w:rsidR="00D5571C">
        <w:rPr>
          <w:rFonts w:eastAsia="Calibri"/>
          <w:b/>
        </w:rPr>
        <w:t> </w:t>
      </w:r>
      <w:proofErr w:type="spellStart"/>
      <w:r w:rsidR="000502A7" w:rsidRPr="000502A7">
        <w:rPr>
          <w:rFonts w:eastAsia="Calibri"/>
          <w:b/>
          <w:i/>
        </w:rPr>
        <w:t>euro</w:t>
      </w:r>
      <w:proofErr w:type="spellEnd"/>
      <w:r w:rsidR="000502A7">
        <w:rPr>
          <w:rFonts w:eastAsia="Calibri"/>
        </w:rPr>
        <w:t xml:space="preserve"> 2019.</w:t>
      </w:r>
      <w:r w:rsidR="00D5571C">
        <w:rPr>
          <w:rFonts w:eastAsia="Calibri"/>
        </w:rPr>
        <w:t> </w:t>
      </w:r>
      <w:r w:rsidR="000502A7">
        <w:rPr>
          <w:rFonts w:eastAsia="Calibri"/>
        </w:rPr>
        <w:t>gadā</w:t>
      </w:r>
      <w:r w:rsidR="002E17FD">
        <w:rPr>
          <w:rFonts w:eastAsia="Calibri"/>
        </w:rPr>
        <w:t xml:space="preserve">, </w:t>
      </w:r>
      <w:r w:rsidR="002E17FD" w:rsidRPr="002E17FD">
        <w:rPr>
          <w:rFonts w:eastAsia="Calibri"/>
          <w:b/>
        </w:rPr>
        <w:t xml:space="preserve">79 700 </w:t>
      </w:r>
      <w:proofErr w:type="spellStart"/>
      <w:r w:rsidR="002E17FD" w:rsidRPr="002E17FD">
        <w:rPr>
          <w:rFonts w:eastAsia="Calibri"/>
          <w:b/>
          <w:i/>
        </w:rPr>
        <w:t>euro</w:t>
      </w:r>
      <w:proofErr w:type="spellEnd"/>
      <w:r w:rsidR="002E17FD">
        <w:rPr>
          <w:rFonts w:eastAsia="Calibri"/>
        </w:rPr>
        <w:t xml:space="preserve"> 2020. gadā</w:t>
      </w:r>
      <w:r w:rsidRPr="007B3A0B">
        <w:rPr>
          <w:rFonts w:eastAsia="Calibri"/>
        </w:rPr>
        <w:t xml:space="preserve"> </w:t>
      </w:r>
      <w:r>
        <w:rPr>
          <w:rFonts w:eastAsia="Calibri"/>
        </w:rPr>
        <w:t xml:space="preserve">un </w:t>
      </w:r>
      <w:r w:rsidR="00C16541">
        <w:rPr>
          <w:rFonts w:eastAsia="Calibri"/>
          <w:b/>
        </w:rPr>
        <w:t>59</w:t>
      </w:r>
      <w:r w:rsidR="00D5571C">
        <w:rPr>
          <w:rFonts w:eastAsia="Calibri"/>
          <w:b/>
        </w:rPr>
        <w:t> </w:t>
      </w:r>
      <w:r w:rsidR="000502A7" w:rsidRPr="0077285C">
        <w:rPr>
          <w:rFonts w:eastAsia="Calibri"/>
          <w:b/>
        </w:rPr>
        <w:t>700</w:t>
      </w:r>
      <w:r w:rsidR="00D5571C">
        <w:rPr>
          <w:rFonts w:eastAsia="Calibri"/>
          <w:b/>
        </w:rPr>
        <w:t> </w:t>
      </w:r>
      <w:proofErr w:type="spellStart"/>
      <w:r w:rsidRPr="000502A7">
        <w:rPr>
          <w:rFonts w:eastAsia="Calibri"/>
          <w:b/>
          <w:i/>
        </w:rPr>
        <w:t>euro</w:t>
      </w:r>
      <w:proofErr w:type="spellEnd"/>
      <w:r>
        <w:rPr>
          <w:rFonts w:eastAsia="Calibri"/>
        </w:rPr>
        <w:t xml:space="preserve"> gadā turpmākajos gados (skat. </w:t>
      </w:r>
      <w:r w:rsidR="004F2194">
        <w:rPr>
          <w:rFonts w:eastAsia="Calibri"/>
        </w:rPr>
        <w:t>t</w:t>
      </w:r>
      <w:r>
        <w:rPr>
          <w:rFonts w:eastAsia="Calibri"/>
        </w:rPr>
        <w:t>abulu Nr.</w:t>
      </w:r>
      <w:r w:rsidR="00D5571C">
        <w:rPr>
          <w:rFonts w:eastAsia="Calibri"/>
        </w:rPr>
        <w:t> </w:t>
      </w:r>
      <w:r w:rsidR="0066357C">
        <w:rPr>
          <w:rFonts w:eastAsia="Calibri"/>
        </w:rPr>
        <w:t>6</w:t>
      </w:r>
      <w:r>
        <w:rPr>
          <w:rFonts w:eastAsia="Calibri"/>
        </w:rPr>
        <w:t>)</w:t>
      </w:r>
      <w:r w:rsidRPr="007B3A0B">
        <w:rPr>
          <w:rFonts w:eastAsia="Calibri"/>
        </w:rPr>
        <w:t>.</w:t>
      </w:r>
    </w:p>
    <w:p w:rsidR="00410697" w:rsidRDefault="00410697" w:rsidP="002E7F87">
      <w:pPr>
        <w:spacing w:before="120"/>
        <w:ind w:firstLine="720"/>
        <w:jc w:val="right"/>
        <w:rPr>
          <w:rFonts w:eastAsia="Calibri"/>
        </w:rPr>
      </w:pPr>
    </w:p>
    <w:p w:rsidR="00410697" w:rsidRDefault="00410697" w:rsidP="002E7F87">
      <w:pPr>
        <w:spacing w:before="120"/>
        <w:ind w:firstLine="720"/>
        <w:jc w:val="right"/>
        <w:rPr>
          <w:rFonts w:eastAsia="Calibri"/>
        </w:rPr>
      </w:pPr>
    </w:p>
    <w:p w:rsidR="00410697" w:rsidRDefault="00410697" w:rsidP="002E7F87">
      <w:pPr>
        <w:spacing w:before="120"/>
        <w:ind w:firstLine="720"/>
        <w:jc w:val="right"/>
        <w:rPr>
          <w:rFonts w:eastAsia="Calibri"/>
        </w:rPr>
      </w:pPr>
    </w:p>
    <w:p w:rsidR="00410697" w:rsidRDefault="00410697" w:rsidP="002E7F87">
      <w:pPr>
        <w:spacing w:before="120"/>
        <w:ind w:firstLine="720"/>
        <w:jc w:val="right"/>
        <w:rPr>
          <w:rFonts w:eastAsia="Calibri"/>
        </w:rPr>
      </w:pPr>
    </w:p>
    <w:p w:rsidR="00322256" w:rsidRDefault="0082481C" w:rsidP="002E7F87">
      <w:pPr>
        <w:spacing w:before="120"/>
        <w:ind w:firstLine="720"/>
        <w:jc w:val="right"/>
        <w:rPr>
          <w:rFonts w:eastAsia="Calibri"/>
        </w:rPr>
      </w:pPr>
      <w:r w:rsidRPr="0082481C">
        <w:rPr>
          <w:rFonts w:eastAsia="Calibri"/>
        </w:rPr>
        <w:t>Tabula Nr.</w:t>
      </w:r>
      <w:r w:rsidR="00D5571C">
        <w:rPr>
          <w:rFonts w:eastAsia="Calibri"/>
        </w:rPr>
        <w:t> </w:t>
      </w:r>
      <w:r w:rsidR="0066357C">
        <w:rPr>
          <w:rFonts w:eastAsia="Calibri"/>
        </w:rPr>
        <w:t>6</w:t>
      </w:r>
    </w:p>
    <w:p w:rsidR="00CE6140" w:rsidRDefault="000502A7" w:rsidP="00404573">
      <w:pPr>
        <w:spacing w:before="120" w:after="60"/>
        <w:jc w:val="center"/>
        <w:rPr>
          <w:b/>
          <w:smallCaps/>
          <w:sz w:val="26"/>
          <w:szCs w:val="26"/>
        </w:rPr>
      </w:pPr>
      <w:r>
        <w:rPr>
          <w:rFonts w:eastAsia="Calibri"/>
          <w:b/>
        </w:rPr>
        <w:t>Papildus nepieciešamā finansējuma kopsavilkums</w:t>
      </w:r>
    </w:p>
    <w:tbl>
      <w:tblPr>
        <w:tblW w:w="8642" w:type="dxa"/>
        <w:jc w:val="center"/>
        <w:tblLook w:val="04A0" w:firstRow="1" w:lastRow="0" w:firstColumn="1" w:lastColumn="0" w:noHBand="0" w:noVBand="1"/>
      </w:tblPr>
      <w:tblGrid>
        <w:gridCol w:w="665"/>
        <w:gridCol w:w="2240"/>
        <w:gridCol w:w="1160"/>
        <w:gridCol w:w="1140"/>
        <w:gridCol w:w="1180"/>
        <w:gridCol w:w="1123"/>
        <w:gridCol w:w="1134"/>
      </w:tblGrid>
      <w:tr w:rsidR="00897D75" w:rsidRPr="00C11C20" w:rsidTr="00897D75">
        <w:trPr>
          <w:trHeight w:val="300"/>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proofErr w:type="spellStart"/>
            <w:r w:rsidRPr="00C11C20">
              <w:rPr>
                <w:color w:val="000000"/>
                <w:sz w:val="16"/>
                <w:szCs w:val="16"/>
              </w:rPr>
              <w:t>Nr.p.k</w:t>
            </w:r>
            <w:proofErr w:type="spellEnd"/>
            <w:r w:rsidRPr="00C11C20">
              <w:rPr>
                <w:color w:val="000000"/>
                <w:sz w:val="16"/>
                <w:szCs w:val="16"/>
              </w:rPr>
              <w:t>.</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Gads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2018</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2019</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2020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2021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2022</w:t>
            </w:r>
          </w:p>
        </w:tc>
      </w:tr>
      <w:tr w:rsidR="00897D75" w:rsidRPr="00C11C20" w:rsidTr="00410697">
        <w:trPr>
          <w:trHeight w:val="458"/>
          <w:jc w:val="center"/>
        </w:trPr>
        <w:tc>
          <w:tcPr>
            <w:tcW w:w="665" w:type="dxa"/>
            <w:vMerge/>
            <w:tcBorders>
              <w:top w:val="single" w:sz="4" w:space="0" w:color="auto"/>
              <w:left w:val="single" w:sz="4" w:space="0" w:color="auto"/>
              <w:bottom w:val="single" w:sz="4" w:space="0" w:color="auto"/>
              <w:right w:val="single" w:sz="4" w:space="0" w:color="auto"/>
            </w:tcBorders>
            <w:vAlign w:val="center"/>
            <w:hideMark/>
          </w:tcPr>
          <w:p w:rsidR="00897D75" w:rsidRPr="00C11C20" w:rsidRDefault="00897D75" w:rsidP="00897D75">
            <w:pPr>
              <w:rPr>
                <w:color w:val="000000"/>
                <w:sz w:val="16"/>
                <w:szCs w:val="16"/>
              </w:rPr>
            </w:pPr>
          </w:p>
        </w:tc>
        <w:tc>
          <w:tcPr>
            <w:tcW w:w="2240"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Izmaksu veids</w:t>
            </w:r>
          </w:p>
        </w:tc>
        <w:tc>
          <w:tcPr>
            <w:tcW w:w="1160"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Summa,</w:t>
            </w:r>
            <w:r w:rsidRPr="00C11C20">
              <w:rPr>
                <w:i/>
                <w:iCs/>
                <w:color w:val="000000"/>
                <w:sz w:val="16"/>
                <w:szCs w:val="16"/>
              </w:rPr>
              <w:t xml:space="preserve"> </w:t>
            </w:r>
            <w:proofErr w:type="spellStart"/>
            <w:r w:rsidRPr="00C11C20">
              <w:rPr>
                <w:i/>
                <w:iCs/>
                <w:color w:val="000000"/>
                <w:sz w:val="16"/>
                <w:szCs w:val="16"/>
              </w:rPr>
              <w:t>euro</w:t>
            </w:r>
            <w:proofErr w:type="spellEnd"/>
          </w:p>
        </w:tc>
        <w:tc>
          <w:tcPr>
            <w:tcW w:w="1140"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Summa,</w:t>
            </w:r>
            <w:r w:rsidRPr="00C11C20">
              <w:rPr>
                <w:i/>
                <w:iCs/>
                <w:color w:val="000000"/>
                <w:sz w:val="16"/>
                <w:szCs w:val="16"/>
              </w:rPr>
              <w:t xml:space="preserve"> </w:t>
            </w:r>
            <w:proofErr w:type="spellStart"/>
            <w:r w:rsidRPr="00C11C20">
              <w:rPr>
                <w:i/>
                <w:iCs/>
                <w:color w:val="000000"/>
                <w:sz w:val="16"/>
                <w:szCs w:val="16"/>
              </w:rPr>
              <w:t>euro</w:t>
            </w:r>
            <w:proofErr w:type="spellEnd"/>
          </w:p>
        </w:tc>
        <w:tc>
          <w:tcPr>
            <w:tcW w:w="1180"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Summa,</w:t>
            </w:r>
            <w:r w:rsidRPr="00C11C20">
              <w:rPr>
                <w:i/>
                <w:iCs/>
                <w:color w:val="000000"/>
                <w:sz w:val="16"/>
                <w:szCs w:val="16"/>
              </w:rPr>
              <w:t xml:space="preserve"> </w:t>
            </w:r>
            <w:proofErr w:type="spellStart"/>
            <w:r w:rsidRPr="00C11C20">
              <w:rPr>
                <w:i/>
                <w:iCs/>
                <w:color w:val="000000"/>
                <w:sz w:val="16"/>
                <w:szCs w:val="16"/>
              </w:rPr>
              <w:t>euro</w:t>
            </w:r>
            <w:proofErr w:type="spellEnd"/>
          </w:p>
        </w:tc>
        <w:tc>
          <w:tcPr>
            <w:tcW w:w="1123"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Summa,</w:t>
            </w:r>
            <w:r w:rsidRPr="00C11C20">
              <w:rPr>
                <w:i/>
                <w:iCs/>
                <w:color w:val="000000"/>
                <w:sz w:val="16"/>
                <w:szCs w:val="16"/>
              </w:rPr>
              <w:t xml:space="preserve"> </w:t>
            </w:r>
            <w:proofErr w:type="spellStart"/>
            <w:r w:rsidRPr="00C11C20">
              <w:rPr>
                <w:i/>
                <w:iCs/>
                <w:color w:val="000000"/>
                <w:sz w:val="16"/>
                <w:szCs w:val="16"/>
              </w:rPr>
              <w:t>euro</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Summa,</w:t>
            </w:r>
            <w:r w:rsidRPr="00C11C20">
              <w:rPr>
                <w:i/>
                <w:iCs/>
                <w:color w:val="000000"/>
                <w:sz w:val="16"/>
                <w:szCs w:val="16"/>
              </w:rPr>
              <w:t xml:space="preserve"> </w:t>
            </w:r>
            <w:proofErr w:type="spellStart"/>
            <w:r w:rsidRPr="00C11C20">
              <w:rPr>
                <w:i/>
                <w:iCs/>
                <w:color w:val="000000"/>
                <w:sz w:val="16"/>
                <w:szCs w:val="16"/>
              </w:rPr>
              <w:t>euro</w:t>
            </w:r>
            <w:proofErr w:type="spellEnd"/>
          </w:p>
        </w:tc>
      </w:tr>
      <w:tr w:rsidR="00897D75" w:rsidRPr="00C11C20" w:rsidTr="0000561D">
        <w:trPr>
          <w:trHeight w:val="31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Rinda</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92 400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20 400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20 400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20 400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20 400</w:t>
            </w:r>
          </w:p>
        </w:tc>
      </w:tr>
      <w:tr w:rsidR="00897D75" w:rsidRPr="00C11C20" w:rsidTr="0000561D">
        <w:trPr>
          <w:trHeight w:val="31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Risku vadības sistēma</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30 000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7 500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7 500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7 500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7 500</w:t>
            </w:r>
          </w:p>
        </w:tc>
      </w:tr>
      <w:tr w:rsidR="00897D75" w:rsidRPr="00C11C20" w:rsidTr="0000561D">
        <w:trPr>
          <w:trHeight w:val="46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3</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EMUS publicitāte tīmekļa vietnē</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110 000</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26 800</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26 800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26 800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26 800</w:t>
            </w:r>
          </w:p>
        </w:tc>
      </w:tr>
      <w:tr w:rsidR="00897D75" w:rsidRPr="00C11C20" w:rsidTr="0000561D">
        <w:trPr>
          <w:trHeight w:val="31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4</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Tīmekļvietne</w:t>
            </w:r>
          </w:p>
        </w:tc>
        <w:tc>
          <w:tcPr>
            <w:tcW w:w="116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w:t>
            </w:r>
          </w:p>
        </w:tc>
        <w:tc>
          <w:tcPr>
            <w:tcW w:w="114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sidRPr="00C11C20">
              <w:rPr>
                <w:color w:val="000000"/>
                <w:sz w:val="16"/>
                <w:szCs w:val="16"/>
              </w:rPr>
              <w:t>25 000</w:t>
            </w:r>
          </w:p>
        </w:tc>
        <w:tc>
          <w:tcPr>
            <w:tcW w:w="1123"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Pr>
                <w:color w:val="000000"/>
                <w:sz w:val="16"/>
                <w:szCs w:val="16"/>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897D75" w:rsidRPr="00C11C20" w:rsidRDefault="00897D75" w:rsidP="00897D75">
            <w:pPr>
              <w:jc w:val="center"/>
              <w:rPr>
                <w:color w:val="000000"/>
                <w:sz w:val="16"/>
                <w:szCs w:val="16"/>
              </w:rPr>
            </w:pPr>
            <w:r>
              <w:rPr>
                <w:color w:val="000000"/>
                <w:sz w:val="16"/>
                <w:szCs w:val="16"/>
              </w:rPr>
              <w:t>0</w:t>
            </w:r>
          </w:p>
        </w:tc>
      </w:tr>
      <w:tr w:rsidR="00897D75" w:rsidRPr="00C11C20" w:rsidTr="0000561D">
        <w:trPr>
          <w:trHeight w:val="315"/>
          <w:jc w:val="center"/>
        </w:trPr>
        <w:tc>
          <w:tcPr>
            <w:tcW w:w="2905" w:type="dxa"/>
            <w:gridSpan w:val="2"/>
            <w:tcBorders>
              <w:top w:val="single" w:sz="4" w:space="0" w:color="auto"/>
              <w:left w:val="single" w:sz="8" w:space="0" w:color="auto"/>
              <w:bottom w:val="single" w:sz="4" w:space="0" w:color="auto"/>
              <w:right w:val="single" w:sz="4" w:space="0" w:color="000000"/>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Kopā IT sistēmas gadā</w:t>
            </w:r>
          </w:p>
        </w:tc>
        <w:tc>
          <w:tcPr>
            <w:tcW w:w="1160" w:type="dxa"/>
            <w:tcBorders>
              <w:top w:val="single" w:sz="4" w:space="0" w:color="auto"/>
              <w:left w:val="nil"/>
              <w:bottom w:val="single" w:sz="4"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232 400</w:t>
            </w:r>
          </w:p>
        </w:tc>
        <w:tc>
          <w:tcPr>
            <w:tcW w:w="1140" w:type="dxa"/>
            <w:tcBorders>
              <w:top w:val="single" w:sz="4" w:space="0" w:color="auto"/>
              <w:left w:val="nil"/>
              <w:bottom w:val="single" w:sz="4"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54 700</w:t>
            </w:r>
          </w:p>
        </w:tc>
        <w:tc>
          <w:tcPr>
            <w:tcW w:w="1180" w:type="dxa"/>
            <w:tcBorders>
              <w:top w:val="single" w:sz="4" w:space="0" w:color="auto"/>
              <w:left w:val="nil"/>
              <w:bottom w:val="single" w:sz="4"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79 700</w:t>
            </w:r>
          </w:p>
        </w:tc>
        <w:tc>
          <w:tcPr>
            <w:tcW w:w="1123" w:type="dxa"/>
            <w:tcBorders>
              <w:top w:val="single" w:sz="4" w:space="0" w:color="auto"/>
              <w:left w:val="nil"/>
              <w:bottom w:val="single" w:sz="4"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Pr>
                <w:b/>
                <w:bCs/>
                <w:color w:val="000000"/>
                <w:sz w:val="16"/>
                <w:szCs w:val="16"/>
              </w:rPr>
              <w:t>54 700</w:t>
            </w:r>
          </w:p>
        </w:tc>
        <w:tc>
          <w:tcPr>
            <w:tcW w:w="1134" w:type="dxa"/>
            <w:tcBorders>
              <w:top w:val="single" w:sz="4" w:space="0" w:color="auto"/>
              <w:left w:val="nil"/>
              <w:bottom w:val="single" w:sz="4"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Pr>
                <w:b/>
                <w:bCs/>
                <w:color w:val="000000"/>
                <w:sz w:val="16"/>
                <w:szCs w:val="16"/>
              </w:rPr>
              <w:t>54 700</w:t>
            </w:r>
          </w:p>
        </w:tc>
      </w:tr>
      <w:tr w:rsidR="00897D75" w:rsidRPr="00C11C20" w:rsidTr="0000561D">
        <w:trPr>
          <w:trHeight w:val="64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5</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Sabiedrības informēšanas pasākumi (bukleti u.c. informatīvie materiāli)</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2 000</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2 000</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2 000</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2 000</w:t>
            </w:r>
          </w:p>
        </w:tc>
      </w:tr>
      <w:tr w:rsidR="00897D75" w:rsidRPr="00C11C20" w:rsidTr="0000561D">
        <w:trPr>
          <w:trHeight w:val="315"/>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6</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897D75">
            <w:pPr>
              <w:jc w:val="center"/>
              <w:rPr>
                <w:color w:val="000000"/>
                <w:sz w:val="16"/>
                <w:szCs w:val="16"/>
              </w:rPr>
            </w:pPr>
            <w:r w:rsidRPr="00C11C20">
              <w:rPr>
                <w:color w:val="000000"/>
                <w:sz w:val="16"/>
                <w:szCs w:val="16"/>
              </w:rPr>
              <w:t>Mašīnas</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18 666</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18 666</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18 666</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18 666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18 666</w:t>
            </w:r>
          </w:p>
        </w:tc>
      </w:tr>
      <w:tr w:rsidR="00897D75" w:rsidRPr="00C11C20" w:rsidTr="0000561D">
        <w:trPr>
          <w:trHeight w:val="270"/>
          <w:jc w:val="center"/>
        </w:trPr>
        <w:tc>
          <w:tcPr>
            <w:tcW w:w="6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7D75" w:rsidRPr="00C11C20" w:rsidRDefault="00897D75" w:rsidP="00897D75">
            <w:pPr>
              <w:jc w:val="center"/>
              <w:rPr>
                <w:color w:val="000000"/>
                <w:sz w:val="16"/>
                <w:szCs w:val="16"/>
              </w:rPr>
            </w:pPr>
            <w:r w:rsidRPr="00C11C20">
              <w:rPr>
                <w:color w:val="000000"/>
                <w:sz w:val="16"/>
                <w:szCs w:val="16"/>
              </w:rPr>
              <w:t>7</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897D75" w:rsidRPr="00C11C20" w:rsidRDefault="00897D75" w:rsidP="00E854C0">
            <w:pPr>
              <w:jc w:val="center"/>
              <w:rPr>
                <w:color w:val="000000"/>
                <w:sz w:val="16"/>
                <w:szCs w:val="16"/>
              </w:rPr>
            </w:pPr>
            <w:r w:rsidRPr="00C11C20">
              <w:rPr>
                <w:color w:val="000000"/>
                <w:sz w:val="16"/>
                <w:szCs w:val="16"/>
              </w:rPr>
              <w:t>Papildus astoņas amata vietas</w:t>
            </w:r>
            <w:r w:rsidR="00E854C0">
              <w:rPr>
                <w:color w:val="000000"/>
                <w:sz w:val="16"/>
                <w:szCs w:val="16"/>
              </w:rPr>
              <w:t xml:space="preserve"> un n</w:t>
            </w:r>
            <w:r w:rsidR="00E854C0" w:rsidRPr="00E854C0">
              <w:rPr>
                <w:color w:val="000000"/>
                <w:sz w:val="16"/>
                <w:szCs w:val="16"/>
              </w:rPr>
              <w:t xml:space="preserve">odarbināto amatu </w:t>
            </w:r>
            <w:proofErr w:type="spellStart"/>
            <w:r w:rsidR="00E854C0" w:rsidRPr="00E854C0">
              <w:rPr>
                <w:color w:val="000000"/>
                <w:sz w:val="16"/>
                <w:szCs w:val="16"/>
              </w:rPr>
              <w:t>pārsaimēšana</w:t>
            </w:r>
            <w:proofErr w:type="spellEnd"/>
            <w:r w:rsidR="00E854C0" w:rsidRPr="00E854C0">
              <w:rPr>
                <w:color w:val="000000"/>
                <w:sz w:val="16"/>
                <w:szCs w:val="16"/>
              </w:rPr>
              <w:t xml:space="preserve"> atbilstoši veicamajām funkcijām</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E854C0" w:rsidP="00897D75">
            <w:pPr>
              <w:jc w:val="center"/>
              <w:rPr>
                <w:color w:val="000000"/>
                <w:sz w:val="16"/>
                <w:szCs w:val="16"/>
              </w:rPr>
            </w:pPr>
            <w:r>
              <w:rPr>
                <w:color w:val="000000"/>
                <w:sz w:val="16"/>
                <w:szCs w:val="16"/>
              </w:rPr>
              <w:t>420 514</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E854C0" w:rsidP="00897D75">
            <w:pPr>
              <w:jc w:val="center"/>
              <w:rPr>
                <w:color w:val="000000"/>
                <w:sz w:val="16"/>
                <w:szCs w:val="16"/>
              </w:rPr>
            </w:pPr>
            <w:r>
              <w:rPr>
                <w:color w:val="000000"/>
                <w:sz w:val="16"/>
                <w:szCs w:val="16"/>
              </w:rPr>
              <w:t>404 444</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E854C0" w:rsidP="00897D75">
            <w:pPr>
              <w:jc w:val="center"/>
              <w:rPr>
                <w:color w:val="000000"/>
                <w:sz w:val="16"/>
                <w:szCs w:val="16"/>
              </w:rPr>
            </w:pPr>
            <w:r>
              <w:rPr>
                <w:color w:val="000000"/>
                <w:sz w:val="16"/>
                <w:szCs w:val="16"/>
              </w:rPr>
              <w:t>404 444</w:t>
            </w:r>
          </w:p>
        </w:tc>
        <w:tc>
          <w:tcPr>
            <w:tcW w:w="1123"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E854C0" w:rsidP="00897D75">
            <w:pPr>
              <w:jc w:val="center"/>
              <w:rPr>
                <w:color w:val="000000"/>
                <w:sz w:val="16"/>
                <w:szCs w:val="16"/>
              </w:rPr>
            </w:pPr>
            <w:r>
              <w:rPr>
                <w:color w:val="000000"/>
                <w:sz w:val="16"/>
                <w:szCs w:val="16"/>
              </w:rPr>
              <w:t>404 444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897D75" w:rsidRPr="00C11C20" w:rsidRDefault="00E854C0" w:rsidP="00897D75">
            <w:pPr>
              <w:jc w:val="center"/>
              <w:rPr>
                <w:color w:val="000000"/>
                <w:sz w:val="16"/>
                <w:szCs w:val="16"/>
              </w:rPr>
            </w:pPr>
            <w:r>
              <w:rPr>
                <w:color w:val="000000"/>
                <w:sz w:val="16"/>
                <w:szCs w:val="16"/>
              </w:rPr>
              <w:t>404 444</w:t>
            </w:r>
          </w:p>
        </w:tc>
      </w:tr>
      <w:tr w:rsidR="00897D75" w:rsidRPr="00C11C20" w:rsidTr="00897D75">
        <w:trPr>
          <w:trHeight w:val="315"/>
          <w:jc w:val="center"/>
        </w:trPr>
        <w:tc>
          <w:tcPr>
            <w:tcW w:w="2905" w:type="dxa"/>
            <w:gridSpan w:val="2"/>
            <w:tcBorders>
              <w:top w:val="single" w:sz="8" w:space="0" w:color="auto"/>
              <w:left w:val="single" w:sz="8" w:space="0" w:color="auto"/>
              <w:bottom w:val="single" w:sz="8" w:space="0" w:color="auto"/>
              <w:right w:val="single" w:sz="4" w:space="0" w:color="000000"/>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Kopā papildus gadā (1-8)</w:t>
            </w:r>
          </w:p>
        </w:tc>
        <w:tc>
          <w:tcPr>
            <w:tcW w:w="1160" w:type="dxa"/>
            <w:tcBorders>
              <w:top w:val="single" w:sz="8" w:space="0" w:color="auto"/>
              <w:left w:val="nil"/>
              <w:bottom w:val="single" w:sz="8"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673 580</w:t>
            </w:r>
          </w:p>
        </w:tc>
        <w:tc>
          <w:tcPr>
            <w:tcW w:w="1140" w:type="dxa"/>
            <w:tcBorders>
              <w:top w:val="single" w:sz="8" w:space="0" w:color="auto"/>
              <w:left w:val="nil"/>
              <w:bottom w:val="single" w:sz="8"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479 810</w:t>
            </w:r>
          </w:p>
        </w:tc>
        <w:tc>
          <w:tcPr>
            <w:tcW w:w="1180" w:type="dxa"/>
            <w:tcBorders>
              <w:top w:val="single" w:sz="8" w:space="0" w:color="auto"/>
              <w:left w:val="nil"/>
              <w:bottom w:val="single" w:sz="8"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sidRPr="00C11C20">
              <w:rPr>
                <w:b/>
                <w:bCs/>
                <w:color w:val="000000"/>
                <w:sz w:val="16"/>
                <w:szCs w:val="16"/>
              </w:rPr>
              <w:t>504 810</w:t>
            </w:r>
          </w:p>
        </w:tc>
        <w:tc>
          <w:tcPr>
            <w:tcW w:w="1123" w:type="dxa"/>
            <w:tcBorders>
              <w:top w:val="single" w:sz="8" w:space="0" w:color="auto"/>
              <w:left w:val="nil"/>
              <w:bottom w:val="single" w:sz="8"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Pr>
                <w:b/>
                <w:bCs/>
                <w:color w:val="000000"/>
                <w:sz w:val="16"/>
                <w:szCs w:val="16"/>
              </w:rPr>
              <w:t>479 810</w:t>
            </w:r>
          </w:p>
        </w:tc>
        <w:tc>
          <w:tcPr>
            <w:tcW w:w="1134" w:type="dxa"/>
            <w:tcBorders>
              <w:top w:val="single" w:sz="8" w:space="0" w:color="auto"/>
              <w:left w:val="nil"/>
              <w:bottom w:val="single" w:sz="8" w:space="0" w:color="auto"/>
              <w:right w:val="single" w:sz="4" w:space="0" w:color="auto"/>
            </w:tcBorders>
            <w:shd w:val="clear" w:color="000000" w:fill="2F75B5"/>
            <w:noWrap/>
            <w:vAlign w:val="center"/>
            <w:hideMark/>
          </w:tcPr>
          <w:p w:rsidR="00897D75" w:rsidRPr="00C11C20" w:rsidRDefault="00897D75" w:rsidP="00897D75">
            <w:pPr>
              <w:jc w:val="center"/>
              <w:rPr>
                <w:b/>
                <w:bCs/>
                <w:color w:val="000000"/>
                <w:sz w:val="16"/>
                <w:szCs w:val="16"/>
              </w:rPr>
            </w:pPr>
            <w:r>
              <w:rPr>
                <w:b/>
                <w:bCs/>
                <w:color w:val="000000"/>
                <w:sz w:val="16"/>
                <w:szCs w:val="16"/>
              </w:rPr>
              <w:t>479 810</w:t>
            </w:r>
          </w:p>
        </w:tc>
      </w:tr>
    </w:tbl>
    <w:p w:rsidR="008D468C" w:rsidRPr="00B72493" w:rsidRDefault="00C90AD8" w:rsidP="0062156C">
      <w:pPr>
        <w:spacing w:before="360"/>
        <w:jc w:val="center"/>
        <w:rPr>
          <w:b/>
          <w:smallCaps/>
          <w:sz w:val="26"/>
          <w:szCs w:val="26"/>
        </w:rPr>
      </w:pPr>
      <w:r>
        <w:rPr>
          <w:b/>
          <w:smallCaps/>
          <w:sz w:val="26"/>
          <w:szCs w:val="26"/>
        </w:rPr>
        <w:t>V</w:t>
      </w:r>
      <w:r w:rsidR="005F358A" w:rsidRPr="00B72493">
        <w:rPr>
          <w:b/>
          <w:smallCaps/>
          <w:sz w:val="26"/>
          <w:szCs w:val="26"/>
        </w:rPr>
        <w:t>.</w:t>
      </w:r>
      <w:r w:rsidR="00D5571C">
        <w:rPr>
          <w:b/>
          <w:smallCaps/>
          <w:sz w:val="26"/>
          <w:szCs w:val="26"/>
        </w:rPr>
        <w:t> </w:t>
      </w:r>
      <w:r w:rsidR="001D72ED" w:rsidRPr="00B72493">
        <w:rPr>
          <w:b/>
          <w:smallCaps/>
          <w:sz w:val="26"/>
          <w:szCs w:val="26"/>
        </w:rPr>
        <w:t xml:space="preserve">Maksātnespējas administrācijas </w:t>
      </w:r>
      <w:r w:rsidR="008D468C" w:rsidRPr="00B72493">
        <w:rPr>
          <w:b/>
          <w:smallCaps/>
          <w:sz w:val="26"/>
          <w:szCs w:val="26"/>
        </w:rPr>
        <w:t>finansēšanas avoti</w:t>
      </w:r>
    </w:p>
    <w:p w:rsidR="00FE6A3E" w:rsidRDefault="00FE6A3E" w:rsidP="00745475">
      <w:pPr>
        <w:spacing w:before="60"/>
        <w:ind w:firstLine="720"/>
        <w:jc w:val="both"/>
      </w:pPr>
      <w:r w:rsidRPr="00FE6A3E">
        <w:t xml:space="preserve">Ievērojot Pamatnostādnēs iekļauto uzdevumu optimizēt Maksātnespējas administrācijas darbu, tostarp, izvērtējot iespējamos alternatīvos iestādes finansēšanas avotus, </w:t>
      </w:r>
      <w:r>
        <w:t>ir izvērtēt</w:t>
      </w:r>
      <w:r w:rsidR="00D5571C">
        <w:t>i</w:t>
      </w:r>
      <w:r>
        <w:t xml:space="preserve"> turpmāk norādītie varianti </w:t>
      </w:r>
      <w:r w:rsidRPr="00FE6A3E">
        <w:t>līdzekļu pārdal</w:t>
      </w:r>
      <w:r>
        <w:t>ei</w:t>
      </w:r>
      <w:r w:rsidRPr="00FE6A3E">
        <w:t xml:space="preserve"> Maksātnespējas administrācijas darbības nodrošināšanai.</w:t>
      </w:r>
      <w:r>
        <w:t xml:space="preserve"> </w:t>
      </w:r>
    </w:p>
    <w:p w:rsidR="005E2AA7" w:rsidRDefault="005033F1" w:rsidP="00745475">
      <w:pPr>
        <w:spacing w:before="60"/>
        <w:ind w:firstLine="720"/>
        <w:jc w:val="both"/>
      </w:pPr>
      <w:r w:rsidRPr="00B52E23">
        <w:t>Maksātnespējas administrācijas kapacitātes stiprināšanu ierobežo budžeta ietvars</w:t>
      </w:r>
      <w:r w:rsidR="0066672A" w:rsidRPr="00B52E23">
        <w:t>, līdz ar to, stiprinot</w:t>
      </w:r>
      <w:r w:rsidR="00E83A2D" w:rsidRPr="00E83A2D">
        <w:t xml:space="preserve"> </w:t>
      </w:r>
      <w:r w:rsidR="00E83A2D" w:rsidRPr="00B52E23">
        <w:t>Maksātnespējas administrācijas</w:t>
      </w:r>
      <w:r w:rsidR="0066672A" w:rsidRPr="00B52E23">
        <w:t xml:space="preserve"> kapacitāti, izvērtējams jautājums par </w:t>
      </w:r>
      <w:r w:rsidR="00E83A2D" w:rsidRPr="00B52E23">
        <w:t xml:space="preserve">Maksātnespējas administrācijas </w:t>
      </w:r>
      <w:r w:rsidR="0066672A" w:rsidRPr="00B52E23">
        <w:t xml:space="preserve">finansēšanas modeļa pārskatīšanu, </w:t>
      </w:r>
      <w:r w:rsidR="009464CA">
        <w:t>izvērtējot</w:t>
      </w:r>
      <w:r w:rsidR="009464CA" w:rsidRPr="00B52E23">
        <w:t xml:space="preserve"> </w:t>
      </w:r>
      <w:r w:rsidR="00CC439A">
        <w:t xml:space="preserve">arī </w:t>
      </w:r>
      <w:r w:rsidR="0066672A" w:rsidRPr="00B52E23">
        <w:t>alternatīvos iestādes finansēšanas modeļus.</w:t>
      </w:r>
      <w:r w:rsidR="00F75B0E" w:rsidRPr="00F75B0E">
        <w:t xml:space="preserve"> </w:t>
      </w:r>
      <w:proofErr w:type="gramStart"/>
      <w:r w:rsidR="00F75B0E" w:rsidRPr="00981F87">
        <w:t>Lai nodrošinātu</w:t>
      </w:r>
      <w:r w:rsidR="00F75B0E">
        <w:t xml:space="preserve"> reformu īstenošanu maksātnespējas jomā</w:t>
      </w:r>
      <w:r w:rsidR="00980B87">
        <w:t xml:space="preserve"> un P</w:t>
      </w:r>
      <w:r w:rsidR="00F75B0E" w:rsidRPr="00981F87">
        <w:t>amatnostādņu īstenošanas plānā paredzēto pasākumu īstenošanu, Ministru kabinetā</w:t>
      </w:r>
      <w:proofErr w:type="gramEnd"/>
      <w:r w:rsidR="00F75B0E" w:rsidRPr="00981F87">
        <w:t xml:space="preserve"> jāpanāk konceptuāla vienošanās par finansējuma avotiem</w:t>
      </w:r>
      <w:r w:rsidR="0026090B">
        <w:t>, t.sk. arī</w:t>
      </w:r>
      <w:r w:rsidR="00F75B0E" w:rsidRPr="00981F87">
        <w:t xml:space="preserve"> </w:t>
      </w:r>
      <w:r w:rsidR="0026090B" w:rsidRPr="00981F87">
        <w:t>alternatīviem</w:t>
      </w:r>
      <w:r w:rsidR="0026090B">
        <w:t>,</w:t>
      </w:r>
      <w:r w:rsidR="0026090B" w:rsidRPr="00981F87">
        <w:t xml:space="preserve"> </w:t>
      </w:r>
      <w:r w:rsidR="00F75B0E" w:rsidRPr="00981F87">
        <w:t>Maksātnespējas administrācijai</w:t>
      </w:r>
      <w:r w:rsidR="00F75B0E" w:rsidRPr="009D2E66">
        <w:t>.</w:t>
      </w:r>
      <w:r w:rsidR="00F75B0E" w:rsidRPr="00981F87">
        <w:t xml:space="preserve"> </w:t>
      </w:r>
    </w:p>
    <w:p w:rsidR="006076A8" w:rsidRDefault="001601FE" w:rsidP="006076A8">
      <w:pPr>
        <w:spacing w:before="60"/>
        <w:ind w:firstLine="720"/>
        <w:jc w:val="both"/>
        <w:rPr>
          <w:b/>
        </w:rPr>
      </w:pPr>
      <w:r w:rsidRPr="0058301F">
        <w:rPr>
          <w:b/>
        </w:rPr>
        <w:t>1. </w:t>
      </w:r>
      <w:r w:rsidR="006076A8">
        <w:rPr>
          <w:b/>
        </w:rPr>
        <w:t>Uzņēmējdarbības riska valsts nodevas daļas palielinājums</w:t>
      </w:r>
    </w:p>
    <w:p w:rsidR="006076A8" w:rsidRPr="006076A8" w:rsidRDefault="006076A8" w:rsidP="005C66BB">
      <w:pPr>
        <w:spacing w:before="60"/>
        <w:ind w:firstLine="720"/>
        <w:jc w:val="both"/>
      </w:pPr>
      <w:r w:rsidRPr="006076A8">
        <w:t xml:space="preserve">Šobrīd Maksātnespējas administrācijas darbība tiek finansēta no valsts budžeta dotācijas no vispārējiem ieņēmumiem un iestādei novirzāmās uzņēmējdarbības riska valsts nodevas </w:t>
      </w:r>
      <w:r w:rsidR="0043337B">
        <w:t xml:space="preserve">(turpmāk arī – URVN) </w:t>
      </w:r>
      <w:r w:rsidRPr="006076A8">
        <w:t>daļas, kā arī no ieņēmumiem par sniegtajiem maksas pakalpojumiem. Saskaņā ar likumu “Par valsts budžetu 2017.</w:t>
      </w:r>
      <w:r w:rsidR="005C66BB">
        <w:t> </w:t>
      </w:r>
      <w:r w:rsidRPr="006076A8">
        <w:t>gadam” Tieslietu ministrijas budžeta apakšprogrammā 06.03.00. "Maksātnespējas procesa pārvaldība", kuras izpildītājs ir Maksātnespējas administrācija, ir apstiprināti ieņēmumi 1</w:t>
      </w:r>
      <w:r w:rsidR="005C66BB">
        <w:t> </w:t>
      </w:r>
      <w:r w:rsidRPr="006076A8">
        <w:t>228</w:t>
      </w:r>
      <w:r w:rsidR="005C66BB">
        <w:t> </w:t>
      </w:r>
      <w:r w:rsidRPr="006076A8">
        <w:t>245</w:t>
      </w:r>
      <w:r w:rsidR="005C66BB">
        <w:t> </w:t>
      </w:r>
      <w:proofErr w:type="spellStart"/>
      <w:r w:rsidRPr="001172D6">
        <w:rPr>
          <w:i/>
        </w:rPr>
        <w:t>euro</w:t>
      </w:r>
      <w:proofErr w:type="spellEnd"/>
      <w:r w:rsidRPr="001172D6">
        <w:rPr>
          <w:i/>
        </w:rPr>
        <w:t xml:space="preserve"> </w:t>
      </w:r>
      <w:r w:rsidRPr="006076A8">
        <w:t>apmērā, t.sk.:</w:t>
      </w:r>
    </w:p>
    <w:p w:rsidR="001172D6" w:rsidRPr="001172D6" w:rsidRDefault="006076A8" w:rsidP="00C91C1C">
      <w:pPr>
        <w:pStyle w:val="ListParagraph"/>
        <w:numPr>
          <w:ilvl w:val="0"/>
          <w:numId w:val="34"/>
        </w:numPr>
        <w:spacing w:before="60"/>
        <w:jc w:val="both"/>
        <w:rPr>
          <w:sz w:val="24"/>
          <w:szCs w:val="24"/>
          <w:lang w:eastAsia="lv-LV"/>
        </w:rPr>
      </w:pPr>
      <w:r w:rsidRPr="001172D6">
        <w:rPr>
          <w:sz w:val="24"/>
          <w:szCs w:val="24"/>
          <w:lang w:eastAsia="lv-LV"/>
        </w:rPr>
        <w:t>dotācija no vispārējiem ieņēmumiem - 728</w:t>
      </w:r>
      <w:r w:rsidR="005C66BB" w:rsidRPr="001172D6">
        <w:rPr>
          <w:sz w:val="24"/>
          <w:szCs w:val="24"/>
          <w:lang w:eastAsia="lv-LV"/>
        </w:rPr>
        <w:t> </w:t>
      </w:r>
      <w:r w:rsidRPr="001172D6">
        <w:rPr>
          <w:sz w:val="24"/>
          <w:szCs w:val="24"/>
          <w:lang w:eastAsia="lv-LV"/>
        </w:rPr>
        <w:t>767</w:t>
      </w:r>
      <w:r w:rsidR="005C66BB" w:rsidRPr="001172D6">
        <w:rPr>
          <w:sz w:val="24"/>
          <w:szCs w:val="24"/>
          <w:lang w:eastAsia="lv-LV"/>
        </w:rPr>
        <w:t> </w:t>
      </w:r>
      <w:proofErr w:type="spellStart"/>
      <w:r w:rsidRPr="008B2056">
        <w:rPr>
          <w:i/>
          <w:sz w:val="24"/>
          <w:szCs w:val="24"/>
          <w:lang w:eastAsia="lv-LV"/>
        </w:rPr>
        <w:t>euro</w:t>
      </w:r>
      <w:proofErr w:type="spellEnd"/>
      <w:r w:rsidRPr="001172D6">
        <w:rPr>
          <w:sz w:val="24"/>
          <w:szCs w:val="24"/>
          <w:lang w:eastAsia="lv-LV"/>
        </w:rPr>
        <w:t>, jeb 59</w:t>
      </w:r>
      <w:r w:rsidR="005C66BB" w:rsidRPr="001172D6">
        <w:rPr>
          <w:sz w:val="24"/>
          <w:szCs w:val="24"/>
          <w:lang w:eastAsia="lv-LV"/>
        </w:rPr>
        <w:t> </w:t>
      </w:r>
      <w:r w:rsidRPr="001172D6">
        <w:rPr>
          <w:sz w:val="24"/>
          <w:szCs w:val="24"/>
          <w:lang w:eastAsia="lv-LV"/>
        </w:rPr>
        <w:t>%;</w:t>
      </w:r>
    </w:p>
    <w:p w:rsidR="006076A8" w:rsidRPr="001172D6" w:rsidRDefault="006076A8" w:rsidP="00C91C1C">
      <w:pPr>
        <w:pStyle w:val="ListParagraph"/>
        <w:numPr>
          <w:ilvl w:val="0"/>
          <w:numId w:val="34"/>
        </w:numPr>
        <w:spacing w:before="60"/>
        <w:jc w:val="both"/>
        <w:rPr>
          <w:sz w:val="24"/>
          <w:szCs w:val="24"/>
          <w:lang w:eastAsia="lv-LV"/>
        </w:rPr>
      </w:pPr>
      <w:r w:rsidRPr="001172D6">
        <w:rPr>
          <w:sz w:val="24"/>
          <w:szCs w:val="24"/>
          <w:lang w:eastAsia="lv-LV"/>
        </w:rPr>
        <w:t>ieņēmumi no maksas pakalpojumiem un citi pašu ieņēmumi 499</w:t>
      </w:r>
      <w:r w:rsidR="005C66BB" w:rsidRPr="001172D6">
        <w:rPr>
          <w:sz w:val="24"/>
          <w:szCs w:val="24"/>
          <w:lang w:eastAsia="lv-LV"/>
        </w:rPr>
        <w:t> </w:t>
      </w:r>
      <w:r w:rsidRPr="001172D6">
        <w:rPr>
          <w:sz w:val="24"/>
          <w:szCs w:val="24"/>
          <w:lang w:eastAsia="lv-LV"/>
        </w:rPr>
        <w:t>478</w:t>
      </w:r>
      <w:r w:rsidR="005C66BB" w:rsidRPr="001172D6">
        <w:rPr>
          <w:sz w:val="24"/>
          <w:szCs w:val="24"/>
          <w:lang w:eastAsia="lv-LV"/>
        </w:rPr>
        <w:t> </w:t>
      </w:r>
      <w:proofErr w:type="spellStart"/>
      <w:r w:rsidRPr="008B2056">
        <w:rPr>
          <w:i/>
          <w:sz w:val="24"/>
          <w:szCs w:val="24"/>
          <w:lang w:eastAsia="lv-LV"/>
        </w:rPr>
        <w:t>euro</w:t>
      </w:r>
      <w:proofErr w:type="spellEnd"/>
      <w:r w:rsidRPr="001172D6">
        <w:rPr>
          <w:sz w:val="24"/>
          <w:szCs w:val="24"/>
          <w:lang w:eastAsia="lv-LV"/>
        </w:rPr>
        <w:t>, jeb 41</w:t>
      </w:r>
      <w:r w:rsidR="005C66BB" w:rsidRPr="001172D6">
        <w:rPr>
          <w:sz w:val="24"/>
          <w:szCs w:val="24"/>
          <w:lang w:eastAsia="lv-LV"/>
        </w:rPr>
        <w:t>  </w:t>
      </w:r>
      <w:r w:rsidRPr="001172D6">
        <w:rPr>
          <w:sz w:val="24"/>
          <w:szCs w:val="24"/>
          <w:lang w:eastAsia="lv-LV"/>
        </w:rPr>
        <w:t>%, no kuriem</w:t>
      </w:r>
      <w:r w:rsidR="005C66BB" w:rsidRPr="001172D6">
        <w:rPr>
          <w:sz w:val="24"/>
          <w:szCs w:val="24"/>
          <w:lang w:eastAsia="lv-LV"/>
        </w:rPr>
        <w:t xml:space="preserve"> </w:t>
      </w:r>
      <w:r w:rsidRPr="001172D6">
        <w:rPr>
          <w:sz w:val="24"/>
          <w:szCs w:val="24"/>
          <w:lang w:eastAsia="lv-LV"/>
        </w:rPr>
        <w:t>484</w:t>
      </w:r>
      <w:r w:rsidR="005C66BB" w:rsidRPr="001172D6">
        <w:rPr>
          <w:sz w:val="24"/>
          <w:szCs w:val="24"/>
          <w:lang w:eastAsia="lv-LV"/>
        </w:rPr>
        <w:t> </w:t>
      </w:r>
      <w:r w:rsidRPr="001172D6">
        <w:rPr>
          <w:sz w:val="24"/>
          <w:szCs w:val="24"/>
          <w:lang w:eastAsia="lv-LV"/>
        </w:rPr>
        <w:t>538</w:t>
      </w:r>
      <w:r w:rsidR="005C66BB" w:rsidRPr="001172D6">
        <w:rPr>
          <w:sz w:val="24"/>
          <w:szCs w:val="24"/>
          <w:lang w:eastAsia="lv-LV"/>
        </w:rPr>
        <w:t> </w:t>
      </w:r>
      <w:proofErr w:type="spellStart"/>
      <w:r w:rsidRPr="008B2056">
        <w:rPr>
          <w:i/>
          <w:sz w:val="24"/>
          <w:szCs w:val="24"/>
          <w:lang w:eastAsia="lv-LV"/>
        </w:rPr>
        <w:t>euro</w:t>
      </w:r>
      <w:proofErr w:type="spellEnd"/>
      <w:r w:rsidRPr="001172D6">
        <w:rPr>
          <w:sz w:val="24"/>
          <w:szCs w:val="24"/>
          <w:lang w:eastAsia="lv-LV"/>
        </w:rPr>
        <w:t xml:space="preserve"> ir no </w:t>
      </w:r>
      <w:r w:rsidR="003A7ABB">
        <w:rPr>
          <w:sz w:val="24"/>
          <w:szCs w:val="24"/>
          <w:lang w:eastAsia="lv-LV"/>
        </w:rPr>
        <w:t>URVN</w:t>
      </w:r>
      <w:r w:rsidRPr="001172D6">
        <w:rPr>
          <w:sz w:val="24"/>
          <w:szCs w:val="24"/>
          <w:lang w:eastAsia="lv-LV"/>
        </w:rPr>
        <w:t xml:space="preserve"> ieskaitītā daļa.</w:t>
      </w:r>
    </w:p>
    <w:p w:rsidR="006076A8" w:rsidRPr="006076A8" w:rsidRDefault="006076A8" w:rsidP="001172D6">
      <w:pPr>
        <w:spacing w:before="60"/>
        <w:ind w:firstLine="720"/>
        <w:jc w:val="both"/>
      </w:pPr>
      <w:r w:rsidRPr="006076A8">
        <w:t>Atbilstoši Ministru kabineta 2016.</w:t>
      </w:r>
      <w:r w:rsidR="005C66BB">
        <w:t> </w:t>
      </w:r>
      <w:r w:rsidRPr="006076A8">
        <w:t>gada 2.</w:t>
      </w:r>
      <w:r w:rsidR="005C66BB">
        <w:t> </w:t>
      </w:r>
      <w:r w:rsidRPr="006076A8">
        <w:t>augusta sēdē apstiprinātajam informatīvajam ziņojumam "Par uzņēmējdarbības riska valsts nodevas sadalījumu 2017.-2019. gadam" (prot.</w:t>
      </w:r>
      <w:r w:rsidR="005C66BB">
        <w:t> </w:t>
      </w:r>
      <w:r w:rsidRPr="006076A8">
        <w:t>Nr.</w:t>
      </w:r>
      <w:r w:rsidR="005C66BB">
        <w:t> </w:t>
      </w:r>
      <w:r w:rsidRPr="006076A8">
        <w:t xml:space="preserve">38, 38. §) ir apstiprināts šāds </w:t>
      </w:r>
      <w:r w:rsidR="003A7ABB">
        <w:t>URVN</w:t>
      </w:r>
      <w:r w:rsidRPr="006076A8">
        <w:t xml:space="preserve"> sadalījums</w:t>
      </w:r>
      <w:r w:rsidR="004B4025">
        <w:t xml:space="preserve"> </w:t>
      </w:r>
      <w:r w:rsidR="004B4025">
        <w:rPr>
          <w:rFonts w:eastAsia="Calibri"/>
        </w:rPr>
        <w:t>(skat. tabulu Nr. 7)</w:t>
      </w:r>
      <w:r w:rsidR="00AF3BAB">
        <w:t>.</w:t>
      </w:r>
    </w:p>
    <w:p w:rsidR="00CA369B" w:rsidRDefault="00CA369B" w:rsidP="004B4025">
      <w:pPr>
        <w:spacing w:before="120"/>
        <w:ind w:firstLine="720"/>
        <w:jc w:val="right"/>
        <w:rPr>
          <w:rFonts w:eastAsia="Calibri"/>
        </w:rPr>
      </w:pPr>
    </w:p>
    <w:p w:rsidR="00AF3BAB" w:rsidRDefault="00AF3BAB" w:rsidP="004B4025">
      <w:pPr>
        <w:spacing w:before="120"/>
        <w:ind w:firstLine="720"/>
        <w:jc w:val="right"/>
        <w:rPr>
          <w:rFonts w:eastAsia="Calibri"/>
        </w:rPr>
      </w:pPr>
    </w:p>
    <w:p w:rsidR="00410697" w:rsidRDefault="00410697" w:rsidP="004B4025">
      <w:pPr>
        <w:spacing w:before="120"/>
        <w:ind w:firstLine="720"/>
        <w:jc w:val="right"/>
        <w:rPr>
          <w:rFonts w:eastAsia="Calibri"/>
        </w:rPr>
      </w:pPr>
    </w:p>
    <w:p w:rsidR="004B4025" w:rsidRDefault="004B4025" w:rsidP="004B4025">
      <w:pPr>
        <w:spacing w:before="120"/>
        <w:ind w:firstLine="720"/>
        <w:jc w:val="right"/>
        <w:rPr>
          <w:rFonts w:eastAsia="Calibri"/>
        </w:rPr>
      </w:pPr>
      <w:r w:rsidRPr="0082481C">
        <w:rPr>
          <w:rFonts w:eastAsia="Calibri"/>
        </w:rPr>
        <w:t>Tabula Nr.</w:t>
      </w:r>
      <w:r>
        <w:rPr>
          <w:rFonts w:eastAsia="Calibri"/>
        </w:rPr>
        <w:t> 7</w:t>
      </w:r>
    </w:p>
    <w:p w:rsidR="004B4025" w:rsidRDefault="004B4025" w:rsidP="004B4025">
      <w:pPr>
        <w:spacing w:before="120" w:after="60"/>
        <w:jc w:val="center"/>
        <w:rPr>
          <w:b/>
          <w:smallCaps/>
          <w:sz w:val="26"/>
          <w:szCs w:val="26"/>
        </w:rPr>
      </w:pPr>
      <w:r>
        <w:rPr>
          <w:rFonts w:eastAsia="Calibri"/>
          <w:b/>
        </w:rPr>
        <w:t>URVN ieņēmumi un to sadalījums 2017.-2019.</w:t>
      </w:r>
      <w:r w:rsidR="007B781E">
        <w:rPr>
          <w:rFonts w:eastAsia="Calibri"/>
          <w:b/>
        </w:rPr>
        <w:t> </w:t>
      </w:r>
      <w:r>
        <w:rPr>
          <w:rFonts w:eastAsia="Calibri"/>
          <w:b/>
        </w:rPr>
        <w:t>gadā</w:t>
      </w:r>
    </w:p>
    <w:p w:rsidR="006076A8" w:rsidRPr="006076A8" w:rsidRDefault="006076A8" w:rsidP="000F6A43">
      <w:pPr>
        <w:spacing w:before="60"/>
        <w:jc w:val="center"/>
      </w:pPr>
    </w:p>
    <w:tbl>
      <w:tblPr>
        <w:tblW w:w="8020" w:type="dxa"/>
        <w:jc w:val="center"/>
        <w:tblLook w:val="04A0" w:firstRow="1" w:lastRow="0" w:firstColumn="1" w:lastColumn="0" w:noHBand="0" w:noVBand="1"/>
      </w:tblPr>
      <w:tblGrid>
        <w:gridCol w:w="4180"/>
        <w:gridCol w:w="1280"/>
        <w:gridCol w:w="1280"/>
        <w:gridCol w:w="1280"/>
      </w:tblGrid>
      <w:tr w:rsidR="006076A8" w:rsidRPr="006076A8" w:rsidTr="000F6A43">
        <w:trPr>
          <w:trHeight w:val="315"/>
          <w:jc w:val="center"/>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076A8" w:rsidRPr="006076A8" w:rsidRDefault="006076A8" w:rsidP="006076A8">
            <w:pPr>
              <w:rPr>
                <w:sz w:val="20"/>
                <w:szCs w:val="20"/>
              </w:rPr>
            </w:pPr>
            <w:bookmarkStart w:id="3" w:name="_Hlk485233017"/>
            <w:r w:rsidRPr="006076A8">
              <w:rPr>
                <w:sz w:val="20"/>
                <w:szCs w:val="20"/>
              </w:rPr>
              <w:t> </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076A8" w:rsidRPr="006076A8" w:rsidRDefault="006076A8" w:rsidP="006076A8">
            <w:pPr>
              <w:jc w:val="center"/>
              <w:rPr>
                <w:b/>
                <w:bCs/>
                <w:sz w:val="20"/>
                <w:szCs w:val="20"/>
              </w:rPr>
            </w:pPr>
            <w:r w:rsidRPr="006076A8">
              <w:rPr>
                <w:b/>
                <w:bCs/>
                <w:sz w:val="20"/>
                <w:szCs w:val="20"/>
              </w:rPr>
              <w:t>2017. gads</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076A8" w:rsidRPr="006076A8" w:rsidRDefault="006076A8" w:rsidP="006076A8">
            <w:pPr>
              <w:jc w:val="center"/>
              <w:rPr>
                <w:b/>
                <w:bCs/>
                <w:sz w:val="20"/>
                <w:szCs w:val="20"/>
              </w:rPr>
            </w:pPr>
            <w:r w:rsidRPr="006076A8">
              <w:rPr>
                <w:b/>
                <w:bCs/>
                <w:sz w:val="20"/>
                <w:szCs w:val="20"/>
              </w:rPr>
              <w:t>2018. gads</w:t>
            </w:r>
          </w:p>
        </w:tc>
        <w:tc>
          <w:tcPr>
            <w:tcW w:w="1280" w:type="dxa"/>
            <w:tcBorders>
              <w:top w:val="single" w:sz="4" w:space="0" w:color="auto"/>
              <w:left w:val="nil"/>
              <w:bottom w:val="single" w:sz="4" w:space="0" w:color="auto"/>
              <w:right w:val="single" w:sz="4" w:space="0" w:color="auto"/>
            </w:tcBorders>
            <w:shd w:val="clear" w:color="000000" w:fill="DDEBF7"/>
            <w:vAlign w:val="center"/>
            <w:hideMark/>
          </w:tcPr>
          <w:p w:rsidR="006076A8" w:rsidRPr="006076A8" w:rsidRDefault="006076A8" w:rsidP="006076A8">
            <w:pPr>
              <w:jc w:val="center"/>
              <w:rPr>
                <w:b/>
                <w:bCs/>
                <w:sz w:val="20"/>
                <w:szCs w:val="20"/>
              </w:rPr>
            </w:pPr>
            <w:r w:rsidRPr="006076A8">
              <w:rPr>
                <w:b/>
                <w:bCs/>
                <w:sz w:val="20"/>
                <w:szCs w:val="20"/>
              </w:rPr>
              <w:t>2019. gads</w:t>
            </w:r>
          </w:p>
        </w:tc>
      </w:tr>
      <w:tr w:rsidR="006076A8" w:rsidRPr="006076A8" w:rsidTr="000F6A43">
        <w:trPr>
          <w:trHeight w:val="407"/>
          <w:jc w:val="center"/>
        </w:trPr>
        <w:tc>
          <w:tcPr>
            <w:tcW w:w="4180" w:type="dxa"/>
            <w:tcBorders>
              <w:top w:val="nil"/>
              <w:left w:val="single" w:sz="4" w:space="0" w:color="auto"/>
              <w:bottom w:val="single" w:sz="4" w:space="0" w:color="auto"/>
              <w:right w:val="single" w:sz="4" w:space="0" w:color="auto"/>
            </w:tcBorders>
            <w:shd w:val="clear" w:color="auto" w:fill="auto"/>
            <w:hideMark/>
          </w:tcPr>
          <w:p w:rsidR="006076A8" w:rsidRPr="006076A8" w:rsidRDefault="006076A8" w:rsidP="001172D6">
            <w:pPr>
              <w:jc w:val="both"/>
              <w:rPr>
                <w:sz w:val="20"/>
                <w:szCs w:val="20"/>
              </w:rPr>
            </w:pPr>
            <w:r w:rsidRPr="006076A8">
              <w:rPr>
                <w:sz w:val="20"/>
                <w:szCs w:val="20"/>
              </w:rPr>
              <w:t xml:space="preserve">URVN ieņēmumi (likme 0.36 </w:t>
            </w:r>
            <w:proofErr w:type="spellStart"/>
            <w:r w:rsidRPr="006076A8">
              <w:rPr>
                <w:i/>
                <w:iCs/>
                <w:sz w:val="20"/>
                <w:szCs w:val="20"/>
              </w:rPr>
              <w:t>euro</w:t>
            </w:r>
            <w:proofErr w:type="spellEnd"/>
            <w:r w:rsidRPr="006076A8">
              <w:rPr>
                <w:sz w:val="20"/>
                <w:szCs w:val="20"/>
              </w:rPr>
              <w:t xml:space="preserve"> mēnesī), </w:t>
            </w:r>
            <w:proofErr w:type="spellStart"/>
            <w:r w:rsidRPr="006076A8">
              <w:rPr>
                <w:i/>
                <w:iCs/>
                <w:sz w:val="20"/>
                <w:szCs w:val="20"/>
              </w:rPr>
              <w:t>euro</w:t>
            </w:r>
            <w:proofErr w:type="spellEnd"/>
            <w:r w:rsidRPr="006076A8">
              <w:rPr>
                <w:i/>
                <w:iCs/>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3 044 935</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3 047 980</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3 051 026</w:t>
            </w:r>
          </w:p>
        </w:tc>
      </w:tr>
      <w:tr w:rsidR="006076A8" w:rsidRPr="006076A8" w:rsidTr="000F6A43">
        <w:trPr>
          <w:trHeight w:val="315"/>
          <w:jc w:val="center"/>
        </w:trPr>
        <w:tc>
          <w:tcPr>
            <w:tcW w:w="4180" w:type="dxa"/>
            <w:tcBorders>
              <w:top w:val="nil"/>
              <w:left w:val="single" w:sz="4" w:space="0" w:color="auto"/>
              <w:bottom w:val="single" w:sz="4" w:space="0" w:color="auto"/>
              <w:right w:val="single" w:sz="4" w:space="0" w:color="auto"/>
            </w:tcBorders>
            <w:shd w:val="clear" w:color="000000" w:fill="DDEBF7"/>
            <w:noWrap/>
            <w:vAlign w:val="center"/>
            <w:hideMark/>
          </w:tcPr>
          <w:p w:rsidR="006076A8" w:rsidRPr="006076A8" w:rsidRDefault="006076A8" w:rsidP="006076A8">
            <w:pPr>
              <w:rPr>
                <w:b/>
                <w:bCs/>
                <w:sz w:val="20"/>
                <w:szCs w:val="20"/>
              </w:rPr>
            </w:pPr>
            <w:r w:rsidRPr="006076A8">
              <w:rPr>
                <w:b/>
                <w:bCs/>
                <w:sz w:val="20"/>
                <w:szCs w:val="20"/>
              </w:rPr>
              <w:t>URVN sadalījums:</w:t>
            </w:r>
          </w:p>
        </w:tc>
        <w:tc>
          <w:tcPr>
            <w:tcW w:w="1280" w:type="dxa"/>
            <w:tcBorders>
              <w:top w:val="nil"/>
              <w:left w:val="nil"/>
              <w:bottom w:val="single" w:sz="4" w:space="0" w:color="auto"/>
              <w:right w:val="single" w:sz="4" w:space="0" w:color="auto"/>
            </w:tcBorders>
            <w:shd w:val="clear" w:color="000000" w:fill="DDEBF7"/>
            <w:noWrap/>
            <w:vAlign w:val="center"/>
          </w:tcPr>
          <w:p w:rsidR="006076A8" w:rsidRPr="006076A8" w:rsidRDefault="006076A8" w:rsidP="006076A8">
            <w:pPr>
              <w:jc w:val="center"/>
              <w:rPr>
                <w:b/>
                <w:bCs/>
                <w:sz w:val="20"/>
                <w:szCs w:val="20"/>
              </w:rPr>
            </w:pPr>
          </w:p>
        </w:tc>
        <w:tc>
          <w:tcPr>
            <w:tcW w:w="1280" w:type="dxa"/>
            <w:tcBorders>
              <w:top w:val="nil"/>
              <w:left w:val="nil"/>
              <w:bottom w:val="single" w:sz="4" w:space="0" w:color="auto"/>
              <w:right w:val="single" w:sz="4" w:space="0" w:color="auto"/>
            </w:tcBorders>
            <w:shd w:val="clear" w:color="000000" w:fill="DDEBF7"/>
            <w:noWrap/>
            <w:vAlign w:val="center"/>
          </w:tcPr>
          <w:p w:rsidR="006076A8" w:rsidRPr="006076A8" w:rsidRDefault="006076A8" w:rsidP="006076A8">
            <w:pPr>
              <w:jc w:val="center"/>
              <w:rPr>
                <w:b/>
                <w:bCs/>
                <w:sz w:val="20"/>
                <w:szCs w:val="20"/>
              </w:rPr>
            </w:pPr>
          </w:p>
        </w:tc>
        <w:tc>
          <w:tcPr>
            <w:tcW w:w="1280" w:type="dxa"/>
            <w:tcBorders>
              <w:top w:val="nil"/>
              <w:left w:val="nil"/>
              <w:bottom w:val="single" w:sz="4" w:space="0" w:color="auto"/>
              <w:right w:val="single" w:sz="4" w:space="0" w:color="auto"/>
            </w:tcBorders>
            <w:shd w:val="clear" w:color="000000" w:fill="DDEBF7"/>
            <w:noWrap/>
            <w:vAlign w:val="center"/>
          </w:tcPr>
          <w:p w:rsidR="006076A8" w:rsidRPr="006076A8" w:rsidRDefault="006076A8" w:rsidP="006076A8">
            <w:pPr>
              <w:jc w:val="center"/>
              <w:rPr>
                <w:b/>
                <w:bCs/>
                <w:sz w:val="20"/>
                <w:szCs w:val="20"/>
              </w:rPr>
            </w:pPr>
          </w:p>
        </w:tc>
      </w:tr>
      <w:tr w:rsidR="006076A8" w:rsidRPr="006076A8" w:rsidTr="000F6A43">
        <w:trPr>
          <w:trHeight w:val="235"/>
          <w:jc w:val="center"/>
        </w:trPr>
        <w:tc>
          <w:tcPr>
            <w:tcW w:w="4180" w:type="dxa"/>
            <w:tcBorders>
              <w:top w:val="nil"/>
              <w:left w:val="single" w:sz="4" w:space="0" w:color="auto"/>
              <w:bottom w:val="single" w:sz="4" w:space="0" w:color="auto"/>
              <w:right w:val="single" w:sz="4" w:space="0" w:color="auto"/>
            </w:tcBorders>
            <w:shd w:val="clear" w:color="auto" w:fill="auto"/>
            <w:hideMark/>
          </w:tcPr>
          <w:p w:rsidR="006076A8" w:rsidRPr="006076A8" w:rsidRDefault="006076A8" w:rsidP="001172D6">
            <w:pPr>
              <w:jc w:val="both"/>
              <w:rPr>
                <w:sz w:val="20"/>
                <w:szCs w:val="20"/>
              </w:rPr>
            </w:pPr>
            <w:r w:rsidRPr="006076A8">
              <w:rPr>
                <w:sz w:val="20"/>
                <w:szCs w:val="20"/>
              </w:rPr>
              <w:t xml:space="preserve">Darbinieku prasījumu </w:t>
            </w:r>
            <w:r w:rsidR="001172D6">
              <w:rPr>
                <w:sz w:val="20"/>
                <w:szCs w:val="20"/>
              </w:rPr>
              <w:t xml:space="preserve">garantiju fondā ieskaitāmā daļa </w:t>
            </w:r>
            <w:proofErr w:type="spellStart"/>
            <w:r w:rsidRPr="006076A8">
              <w:rPr>
                <w:i/>
                <w:iCs/>
                <w:sz w:val="20"/>
                <w:szCs w:val="20"/>
              </w:rPr>
              <w:t>euro</w:t>
            </w:r>
            <w:proofErr w:type="spellEnd"/>
            <w:r w:rsidRPr="006076A8">
              <w:rPr>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color w:val="000000"/>
                <w:sz w:val="20"/>
                <w:szCs w:val="20"/>
              </w:rPr>
              <w:t>2 560 397</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color w:val="000000"/>
                <w:sz w:val="20"/>
                <w:szCs w:val="20"/>
              </w:rPr>
              <w:t>2 563 442</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color w:val="000000"/>
                <w:sz w:val="20"/>
                <w:szCs w:val="20"/>
              </w:rPr>
              <w:t>2 566 488</w:t>
            </w:r>
          </w:p>
        </w:tc>
      </w:tr>
      <w:tr w:rsidR="006076A8" w:rsidRPr="006076A8" w:rsidTr="000F6A43">
        <w:trPr>
          <w:trHeight w:val="329"/>
          <w:jc w:val="center"/>
        </w:trPr>
        <w:tc>
          <w:tcPr>
            <w:tcW w:w="4180" w:type="dxa"/>
            <w:tcBorders>
              <w:top w:val="nil"/>
              <w:left w:val="single" w:sz="4" w:space="0" w:color="auto"/>
              <w:bottom w:val="single" w:sz="4" w:space="0" w:color="auto"/>
              <w:right w:val="single" w:sz="4" w:space="0" w:color="auto"/>
            </w:tcBorders>
            <w:shd w:val="clear" w:color="auto" w:fill="auto"/>
            <w:hideMark/>
          </w:tcPr>
          <w:p w:rsidR="006076A8" w:rsidRPr="006076A8" w:rsidRDefault="006076A8" w:rsidP="006076A8">
            <w:pPr>
              <w:rPr>
                <w:sz w:val="20"/>
                <w:szCs w:val="20"/>
              </w:rPr>
            </w:pPr>
            <w:r w:rsidRPr="006076A8">
              <w:rPr>
                <w:sz w:val="20"/>
                <w:szCs w:val="20"/>
              </w:rPr>
              <w:t xml:space="preserve">Maksātnespējas procesu pārvaldība, ieskaitāmā daļa </w:t>
            </w:r>
            <w:proofErr w:type="spellStart"/>
            <w:r w:rsidRPr="006076A8">
              <w:rPr>
                <w:i/>
                <w:iCs/>
                <w:sz w:val="20"/>
                <w:szCs w:val="20"/>
              </w:rPr>
              <w:t>euro</w:t>
            </w:r>
            <w:proofErr w:type="spellEnd"/>
            <w:r w:rsidRPr="006076A8">
              <w:rPr>
                <w:sz w:val="20"/>
                <w:szCs w:val="20"/>
              </w:rPr>
              <w:t xml:space="preserve"> </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484 538</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484 538</w:t>
            </w:r>
          </w:p>
        </w:tc>
        <w:tc>
          <w:tcPr>
            <w:tcW w:w="1280" w:type="dxa"/>
            <w:tcBorders>
              <w:top w:val="nil"/>
              <w:left w:val="nil"/>
              <w:bottom w:val="single" w:sz="4" w:space="0" w:color="auto"/>
              <w:right w:val="single" w:sz="4" w:space="0" w:color="auto"/>
            </w:tcBorders>
            <w:shd w:val="clear" w:color="auto" w:fill="auto"/>
            <w:vAlign w:val="center"/>
            <w:hideMark/>
          </w:tcPr>
          <w:p w:rsidR="006076A8" w:rsidRPr="006076A8" w:rsidRDefault="006076A8" w:rsidP="006076A8">
            <w:pPr>
              <w:jc w:val="center"/>
              <w:rPr>
                <w:sz w:val="20"/>
                <w:szCs w:val="20"/>
              </w:rPr>
            </w:pPr>
            <w:r w:rsidRPr="006076A8">
              <w:rPr>
                <w:sz w:val="20"/>
                <w:szCs w:val="20"/>
              </w:rPr>
              <w:t>484 538</w:t>
            </w:r>
          </w:p>
        </w:tc>
      </w:tr>
      <w:bookmarkEnd w:id="3"/>
    </w:tbl>
    <w:p w:rsidR="00AF3BAB" w:rsidRDefault="00AF3BAB" w:rsidP="006076A8">
      <w:pPr>
        <w:spacing w:before="60"/>
        <w:ind w:firstLine="709"/>
        <w:jc w:val="both"/>
        <w:rPr>
          <w:bCs/>
        </w:rPr>
      </w:pPr>
    </w:p>
    <w:p w:rsidR="006076A8" w:rsidRPr="006076A8" w:rsidRDefault="006076A8" w:rsidP="006076A8">
      <w:pPr>
        <w:spacing w:before="60"/>
        <w:ind w:firstLine="709"/>
        <w:jc w:val="both"/>
      </w:pPr>
      <w:r w:rsidRPr="006076A8">
        <w:rPr>
          <w:bCs/>
        </w:rPr>
        <w:t>Likuma "Par darbinieku aizsardzību darba devēja maksātnespējas gadījumā" (turpmāk</w:t>
      </w:r>
      <w:r w:rsidR="005C66BB">
        <w:rPr>
          <w:bCs/>
        </w:rPr>
        <w:t> </w:t>
      </w:r>
      <w:r w:rsidRPr="006076A8">
        <w:rPr>
          <w:bCs/>
        </w:rPr>
        <w:t>– likums) 6.</w:t>
      </w:r>
      <w:r w:rsidR="005C66BB">
        <w:rPr>
          <w:bCs/>
        </w:rPr>
        <w:t> </w:t>
      </w:r>
      <w:r w:rsidRPr="006076A8">
        <w:rPr>
          <w:bCs/>
        </w:rPr>
        <w:t xml:space="preserve">panta </w:t>
      </w:r>
      <w:r w:rsidR="008E4202">
        <w:rPr>
          <w:bCs/>
        </w:rPr>
        <w:t>otrajā</w:t>
      </w:r>
      <w:r w:rsidR="005C66BB">
        <w:rPr>
          <w:bCs/>
        </w:rPr>
        <w:t> </w:t>
      </w:r>
      <w:r w:rsidRPr="006076A8">
        <w:rPr>
          <w:bCs/>
        </w:rPr>
        <w:t xml:space="preserve">daļā ir noteikts, ka </w:t>
      </w:r>
      <w:r w:rsidR="003A7ABB">
        <w:t>URVN</w:t>
      </w:r>
      <w:r w:rsidRPr="006076A8">
        <w:t xml:space="preserve"> par nodrošinājumu darbinieku prasījumu apmierināšanai no darbinieku prasījumu garantiju fonda līdzekļiem, kā arī par maksātnespējas jomu regulējošā likumā noteiktiem mērķiem katru gadu maksā ikviens darba devējs, kuram var pasludināt juridiskās personas maksātnespējas procesu vai pasludināt kredītiestādes maksātnespēju.</w:t>
      </w:r>
      <w:r w:rsidR="001E4C11">
        <w:t xml:space="preserve"> </w:t>
      </w:r>
      <w:r w:rsidRPr="006076A8">
        <w:t>Savukārt Maksātnespējas likuma 173.</w:t>
      </w:r>
      <w:r w:rsidR="005C66BB">
        <w:t> </w:t>
      </w:r>
      <w:r w:rsidRPr="006076A8">
        <w:t xml:space="preserve">pantā ir noteikts, ka Maksātnespējas administrācijas kompetences īstenošanai izmanto </w:t>
      </w:r>
      <w:r w:rsidR="003A7ABB">
        <w:t>URVN</w:t>
      </w:r>
      <w:r w:rsidRPr="006076A8">
        <w:t xml:space="preserve"> daļu.</w:t>
      </w:r>
    </w:p>
    <w:p w:rsidR="006076A8" w:rsidRPr="006076A8" w:rsidRDefault="006076A8" w:rsidP="006076A8">
      <w:pPr>
        <w:spacing w:before="60"/>
        <w:ind w:firstLine="709"/>
        <w:jc w:val="both"/>
      </w:pPr>
      <w:r w:rsidRPr="006076A8">
        <w:t xml:space="preserve">Ņemot vērā </w:t>
      </w:r>
      <w:r w:rsidR="0043337B">
        <w:t>d</w:t>
      </w:r>
      <w:r w:rsidRPr="006076A8">
        <w:t xml:space="preserve">arbinieku prasījumu garantiju fondā esošo līdzekļu atlikumu un līdzekļu apmēru, kāds ir jāuztur </w:t>
      </w:r>
      <w:r w:rsidR="0043337B">
        <w:t>darbinieku prasījumu garantiju fonda</w:t>
      </w:r>
      <w:r w:rsidRPr="006076A8">
        <w:t xml:space="preserve"> atlikumā, ja iestājas krīzes situācija</w:t>
      </w:r>
      <w:r w:rsidR="004B4025">
        <w:t>,</w:t>
      </w:r>
      <w:r w:rsidRPr="006076A8">
        <w:t xml:space="preserve"> ir izvērtējama iespēja samazināt</w:t>
      </w:r>
      <w:r w:rsidR="0043337B">
        <w:t xml:space="preserve"> darbinieku prasījumu garantiju fondā</w:t>
      </w:r>
      <w:r w:rsidRPr="006076A8">
        <w:t xml:space="preserve"> ieskaitāmo </w:t>
      </w:r>
      <w:r w:rsidR="003A7ABB">
        <w:t>URVN</w:t>
      </w:r>
      <w:r w:rsidRPr="006076A8">
        <w:t xml:space="preserve"> daļu, attiecīgi pārējo novirzot </w:t>
      </w:r>
      <w:r w:rsidR="004B4025">
        <w:t>M</w:t>
      </w:r>
      <w:r w:rsidRPr="006076A8">
        <w:t>aksātnespējas administrācijas kapacitātes stiprināšanai un maksātnespējas procesa efektivizācijai, Tas būtu iespējams, jo šobrīd (2017.</w:t>
      </w:r>
      <w:r w:rsidR="0043337B">
        <w:t> </w:t>
      </w:r>
      <w:r w:rsidRPr="006076A8">
        <w:t>gada jūnijā) darbinieku prasījumu garantiju fonda atlikums (uzkrājums) ir 9</w:t>
      </w:r>
      <w:r w:rsidR="0043337B">
        <w:t> </w:t>
      </w:r>
      <w:r w:rsidRPr="006076A8">
        <w:t>170</w:t>
      </w:r>
      <w:r w:rsidR="0043337B">
        <w:t> </w:t>
      </w:r>
      <w:r w:rsidRPr="006076A8">
        <w:t>662</w:t>
      </w:r>
      <w:r w:rsidR="0043337B">
        <w:t> </w:t>
      </w:r>
      <w:proofErr w:type="spellStart"/>
      <w:r w:rsidRPr="004B4025">
        <w:rPr>
          <w:i/>
        </w:rPr>
        <w:t>euro</w:t>
      </w:r>
      <w:proofErr w:type="spellEnd"/>
      <w:r w:rsidRPr="006076A8">
        <w:t xml:space="preserve"> un līdz ar to turpmākajos gados ir iespējams apmierināt darbinieku prasījumus darba devēja maksātnespējas gadījumā, izmantojot gan tekošos </w:t>
      </w:r>
      <w:r w:rsidR="003A7ABB">
        <w:t>URVN</w:t>
      </w:r>
      <w:r w:rsidRPr="006076A8">
        <w:t xml:space="preserve"> ieņēmumus, gan uzkrāto atlikumu, pat, ņemot vērā plānotās darbiniekiem maksimālās izmaksājamās summas palielinājumu.</w:t>
      </w:r>
    </w:p>
    <w:p w:rsidR="00812D1C" w:rsidRDefault="006076A8" w:rsidP="006076A8">
      <w:pPr>
        <w:spacing w:before="60"/>
        <w:ind w:firstLine="709"/>
        <w:jc w:val="both"/>
      </w:pPr>
      <w:r w:rsidRPr="006076A8">
        <w:t>Būtiskākie Maksātnespējas administrācijas uzdevumi ir nodrošināt administratoru rīcības un maksātnespējas procesa norises likumības kontroli un uzraudzību, kā arī veicināt vienotās maksātnespējas procesu regulējošo normatīvo aktu piemērošanas prakses veidošanos, sniedzot viedokli par normatīvo aktu piemērošanu pēc valsts institūciju un privātpersonu pieprasījuma, ņemot vērā gan tiesas paustās atziņas, gan pasaules valstu labāko praksi.  Pamatnostādnēs, kā viens no galvenajiem prioritāriem virzieniem ir noteikta Maksātnespējas administrācijas kapacitātes un kompetences celšana. Savukārt 2017.</w:t>
      </w:r>
      <w:r w:rsidR="0043337B">
        <w:t> </w:t>
      </w:r>
      <w:r w:rsidRPr="006076A8">
        <w:t>gada 6.</w:t>
      </w:r>
      <w:r w:rsidR="0043337B">
        <w:t> </w:t>
      </w:r>
      <w:r w:rsidRPr="006076A8">
        <w:t>janvārī stājās spēkā Maksātnespējas likuma grozījumi, nosakot Maksātnespējas administrācijai papildu tiesības un tās kompetencē nododot papildu uzdevumus, kurus līdz šim Maksātnespējas administrācija nav īstenojusi, kā arī papildu prasības par Sistēmas informācijas publicitāti. Lai nodrošinātu Maksātnespējas likumā noteikto papildus funkciju un uzdevumu izpildi, sākot ar 2018.</w:t>
      </w:r>
      <w:r w:rsidR="0043337B">
        <w:t> </w:t>
      </w:r>
      <w:r w:rsidRPr="006076A8">
        <w:t>gada 1.</w:t>
      </w:r>
      <w:r w:rsidR="0043337B">
        <w:t> </w:t>
      </w:r>
      <w:r w:rsidRPr="006076A8">
        <w:t>janvāri nepieciešams papildu finansējums atbilstoši tabulā Nr.</w:t>
      </w:r>
      <w:r w:rsidR="0043337B">
        <w:t> </w:t>
      </w:r>
      <w:r w:rsidR="004B4025">
        <w:t>6</w:t>
      </w:r>
      <w:r w:rsidRPr="006076A8">
        <w:t xml:space="preserve"> norādīt</w:t>
      </w:r>
      <w:r w:rsidR="003A7ABB">
        <w:t>a</w:t>
      </w:r>
      <w:r w:rsidRPr="006076A8">
        <w:t xml:space="preserve">jam. </w:t>
      </w:r>
    </w:p>
    <w:p w:rsidR="006076A8" w:rsidRPr="006076A8" w:rsidRDefault="006076A8" w:rsidP="006076A8">
      <w:pPr>
        <w:spacing w:before="60"/>
        <w:ind w:firstLine="709"/>
        <w:jc w:val="both"/>
      </w:pPr>
      <w:proofErr w:type="gramStart"/>
      <w:r w:rsidRPr="006076A8">
        <w:t>Finansējuma ietvaros paredzēts</w:t>
      </w:r>
      <w:proofErr w:type="gramEnd"/>
      <w:r w:rsidRPr="006076A8">
        <w:t xml:space="preserve"> nodrošināt Pamatnostādnēs un Maksātnespējas likumā noteikto funkciju un uzdevumu īstenošanu, ar 2018.</w:t>
      </w:r>
      <w:r w:rsidR="0043337B">
        <w:t> </w:t>
      </w:r>
      <w:r w:rsidRPr="006076A8">
        <w:t>gada 1.</w:t>
      </w:r>
      <w:r w:rsidR="0043337B">
        <w:t> </w:t>
      </w:r>
      <w:r w:rsidRPr="006076A8">
        <w:t xml:space="preserve">janvāri pārdalot tieslietu sektora ietvaros Maksātnespējas administrācijai astoņas amata vietas, veicot darbinieku amata vietu </w:t>
      </w:r>
      <w:proofErr w:type="spellStart"/>
      <w:r w:rsidRPr="006076A8">
        <w:t>pārsaimēšanu</w:t>
      </w:r>
      <w:proofErr w:type="spellEnd"/>
      <w:r w:rsidRPr="006076A8">
        <w:t xml:space="preserve"> atbilstoši īstenotajām funkcijām, nodrošinot divu automašīnu nomu, kas paredzētas, lai veiktu likumā noteiktās pārbaudes prakses vietās, nodrošinot likumā noteikto Sistēmas un administratoru pretendentu saraksta – elektroniskās rindas darbības pilnveidi un pārprogrammēšanu, kā arī likumā noteiktajā apjomā nodrošinot tiesiskās aizsardzības procesa uzraugošo personu un administratoru darbības publicitāti.</w:t>
      </w:r>
    </w:p>
    <w:p w:rsidR="006076A8" w:rsidRDefault="006076A8" w:rsidP="006076A8">
      <w:pPr>
        <w:spacing w:before="60"/>
        <w:ind w:firstLine="709"/>
        <w:jc w:val="both"/>
      </w:pPr>
      <w:r w:rsidRPr="00426D2D">
        <w:t xml:space="preserve">Līdz ar to, būtu paredzams, ka turpmāk Maksātnespējas administrācijas darbība pamatā tiek finansēta no iestādei novirzāmās </w:t>
      </w:r>
      <w:r w:rsidR="008C666D" w:rsidRPr="00426D2D">
        <w:t>URVN</w:t>
      </w:r>
      <w:r w:rsidRPr="00426D2D">
        <w:t xml:space="preserve"> daļas, nosakot attiecīgu iestādei novirzāmās </w:t>
      </w:r>
      <w:r w:rsidR="008C666D" w:rsidRPr="00426D2D">
        <w:t>URVN</w:t>
      </w:r>
      <w:r w:rsidRPr="00426D2D">
        <w:t xml:space="preserve"> daļas palielinājumu 2018.-2020.</w:t>
      </w:r>
      <w:r w:rsidR="0043337B" w:rsidRPr="00426D2D">
        <w:t> </w:t>
      </w:r>
      <w:r w:rsidRPr="00426D2D">
        <w:t xml:space="preserve">gadā. Maksātnespējas administrācijai novirzāmās </w:t>
      </w:r>
      <w:r w:rsidR="008C666D" w:rsidRPr="00426D2D">
        <w:t>URVN</w:t>
      </w:r>
      <w:r w:rsidRPr="00426D2D">
        <w:t xml:space="preserve"> daļas apmērs šobrīd ir 16</w:t>
      </w:r>
      <w:r w:rsidR="0043337B" w:rsidRPr="00426D2D">
        <w:t> </w:t>
      </w:r>
      <w:r w:rsidRPr="00426D2D">
        <w:t xml:space="preserve">% no iekasētās URVN nodevas gadā. 2018. gadā Maksātnespējas administrācijas darbības finansēšanai novirzāmās </w:t>
      </w:r>
      <w:r w:rsidR="008C666D" w:rsidRPr="00426D2D">
        <w:t>URVN</w:t>
      </w:r>
      <w:r w:rsidRPr="00426D2D">
        <w:t xml:space="preserve"> daļa būtu palielināma līdz 4</w:t>
      </w:r>
      <w:r w:rsidR="00DF5705" w:rsidRPr="00426D2D">
        <w:t>3</w:t>
      </w:r>
      <w:r w:rsidRPr="00426D2D">
        <w:t>% gadā, t.i., par 2</w:t>
      </w:r>
      <w:r w:rsidR="00DF5705" w:rsidRPr="00426D2D">
        <w:t>7</w:t>
      </w:r>
      <w:r w:rsidRPr="00426D2D">
        <w:t xml:space="preserve"> %. Savukārt, sākot no 2019. gada, Maksātnespējas administrācijas darbības finansēšanai novirzāmās </w:t>
      </w:r>
      <w:r w:rsidR="008C666D" w:rsidRPr="00426D2D">
        <w:t>URVN</w:t>
      </w:r>
      <w:r w:rsidRPr="00426D2D">
        <w:t xml:space="preserve"> daļa būtu palielināma vidēji līdz 3</w:t>
      </w:r>
      <w:r w:rsidR="00DF5705" w:rsidRPr="00426D2D">
        <w:t>7</w:t>
      </w:r>
      <w:r w:rsidR="0043337B" w:rsidRPr="00426D2D">
        <w:t> </w:t>
      </w:r>
      <w:r w:rsidRPr="00426D2D">
        <w:t xml:space="preserve">% gadā, t.i. par </w:t>
      </w:r>
      <w:r w:rsidR="00DF5705" w:rsidRPr="00426D2D">
        <w:t>21</w:t>
      </w:r>
      <w:r w:rsidR="0043337B" w:rsidRPr="00426D2D">
        <w:t> </w:t>
      </w:r>
      <w:r w:rsidRPr="00426D2D">
        <w:t>%.</w:t>
      </w:r>
      <w:r w:rsidRPr="006076A8">
        <w:t xml:space="preserve">  </w:t>
      </w:r>
    </w:p>
    <w:p w:rsidR="003A7ABB" w:rsidRPr="008B2154" w:rsidRDefault="003A7ABB" w:rsidP="003A7ABB">
      <w:pPr>
        <w:spacing w:before="60"/>
        <w:ind w:firstLine="720"/>
        <w:jc w:val="both"/>
        <w:rPr>
          <w:iCs/>
        </w:rPr>
      </w:pPr>
      <w:r w:rsidRPr="008B2154">
        <w:rPr>
          <w:iCs/>
        </w:rPr>
        <w:t>Paralēli ir risināms jautājums par veidu, kā Maksātnespējas administrācijai tiek novirzīta URVN daļa. Šobrīd pašu ieņēmumos maksātnespējas procesa pārvaldības izmaksu segšanai ieskaitāmā URVN daļa un veids, kādā tā tiek ieskaitīta, ir noteikts M</w:t>
      </w:r>
      <w:r>
        <w:rPr>
          <w:iCs/>
        </w:rPr>
        <w:t>inistru kabineta</w:t>
      </w:r>
      <w:r w:rsidRPr="008B2154">
        <w:rPr>
          <w:iCs/>
        </w:rPr>
        <w:t xml:space="preserve"> 2016.</w:t>
      </w:r>
      <w:r>
        <w:rPr>
          <w:iCs/>
        </w:rPr>
        <w:t> </w:t>
      </w:r>
      <w:r w:rsidRPr="008B2154">
        <w:rPr>
          <w:iCs/>
        </w:rPr>
        <w:t>gada 20.</w:t>
      </w:r>
      <w:r>
        <w:rPr>
          <w:iCs/>
        </w:rPr>
        <w:t> </w:t>
      </w:r>
      <w:r w:rsidRPr="008B2154">
        <w:rPr>
          <w:iCs/>
        </w:rPr>
        <w:t>decembra noteikumos Nr.</w:t>
      </w:r>
      <w:r>
        <w:rPr>
          <w:iCs/>
        </w:rPr>
        <w:t> </w:t>
      </w:r>
      <w:r w:rsidRPr="008B2154">
        <w:rPr>
          <w:iCs/>
        </w:rPr>
        <w:t>836 “Noteikumi par uzņēmējdarbības riska valsts nodevu 2017.</w:t>
      </w:r>
      <w:r>
        <w:rPr>
          <w:iCs/>
        </w:rPr>
        <w:t> </w:t>
      </w:r>
      <w:r w:rsidRPr="008B2154">
        <w:rPr>
          <w:iCs/>
        </w:rPr>
        <w:t xml:space="preserve">gadā”. </w:t>
      </w:r>
    </w:p>
    <w:p w:rsidR="003A7ABB" w:rsidRPr="008B2154" w:rsidRDefault="003A7ABB" w:rsidP="003A7ABB">
      <w:pPr>
        <w:spacing w:before="60"/>
        <w:ind w:firstLine="720"/>
        <w:jc w:val="both"/>
        <w:rPr>
          <w:iCs/>
        </w:rPr>
      </w:pPr>
      <w:r w:rsidRPr="008B2154">
        <w:rPr>
          <w:iCs/>
        </w:rPr>
        <w:t>Valsts kase, kā šajos noteikumos paredzēto normu izpildītāja, ir norādījusi, ka</w:t>
      </w:r>
      <w:r>
        <w:rPr>
          <w:iCs/>
        </w:rPr>
        <w:t>,</w:t>
      </w:r>
      <w:r w:rsidRPr="008B2154">
        <w:rPr>
          <w:iCs/>
        </w:rPr>
        <w:t xml:space="preserve"> realizējot pašreizējo finansēšanas modeli, pēc jaunu URVN sadales principu noteikšanas ir jāveic izmaiņas savās informācijas sistēmās, kā arī jāpārskata iekšējie procesi, kontroles, riski un rezultātā atbilstoši rīcībai jāaktualizē kvalitātes vadības sistēmas dokumenti. Pēc minēto darbību veikšanas valsts kase atbilstoši noteikumos noteiktajam veic URVN sadales 2-3 reizes mēnesī un šis process ir nesamērīgs gan patērēto resursu ziņā, gan pret vēlāko praktisko rīcību.</w:t>
      </w:r>
    </w:p>
    <w:p w:rsidR="003A7ABB" w:rsidRPr="008B2154" w:rsidRDefault="003A7ABB" w:rsidP="003A7ABB">
      <w:pPr>
        <w:spacing w:before="60"/>
        <w:ind w:firstLine="720"/>
        <w:jc w:val="both"/>
        <w:rPr>
          <w:iCs/>
        </w:rPr>
      </w:pPr>
      <w:r w:rsidRPr="008B2154">
        <w:rPr>
          <w:iCs/>
        </w:rPr>
        <w:t xml:space="preserve">Valsts budžeta veidošanas pamatprincipi paredz, ka valsts nodevas ieskaita vispārējos valsts budžeta ieņēmumos, kas veido pamatu dotācijai no vispārējiem ieņēmumiem, ko piešķir budžeta izpildītājiem atbilstoši normatīvajiem aktiem par asignējumu piešķiršanas un izpildes kārtību, izņemot tiesību aktos noteiktos izņēmumus. Katrs izņēmums ietekmē kopējā valsts budžeta plānošanas un izpildes procesa efektivitāti. </w:t>
      </w:r>
    </w:p>
    <w:p w:rsidR="00812D1C" w:rsidRDefault="003A7ABB" w:rsidP="003A7ABB">
      <w:pPr>
        <w:spacing w:before="60"/>
        <w:ind w:firstLine="720"/>
        <w:jc w:val="both"/>
        <w:rPr>
          <w:iCs/>
        </w:rPr>
      </w:pPr>
      <w:r w:rsidRPr="008B2154">
        <w:rPr>
          <w:iCs/>
        </w:rPr>
        <w:t>Maksātnespējas administrācija ir valsts pārvaldes iestāde un ietilpst valsts tiešās pārvaldes institucionālajā sistēmā, līdz ar to atbilstoši likumam "Par budžetu un finanšu vadību" iestādes finansēšanai tiek novirzīta vispārējā kārtībā sadalāmā dotācija no vispārējiem ieņēmumiem. Minētais finansēšanas modelis ir atzīstams par piemērotāko risinājumu iestādes darbības finansēšanai, jo nodrošina stabilu un vienmērīgu uzdevumu realizēšanai nepieciešamo finansējumu, kas nav atkarīgs no URVN ieņēmumiem attiecīgajā mēnesī.</w:t>
      </w:r>
      <w:r w:rsidR="00410697">
        <w:rPr>
          <w:iCs/>
        </w:rPr>
        <w:t xml:space="preserve"> </w:t>
      </w:r>
    </w:p>
    <w:p w:rsidR="003A7ABB" w:rsidRPr="008B2154" w:rsidRDefault="00410697" w:rsidP="003A7ABB">
      <w:pPr>
        <w:spacing w:before="60"/>
        <w:ind w:firstLine="720"/>
        <w:jc w:val="both"/>
        <w:rPr>
          <w:iCs/>
        </w:rPr>
      </w:pPr>
      <w:r>
        <w:rPr>
          <w:iCs/>
        </w:rPr>
        <w:t>Līdz ar to</w:t>
      </w:r>
      <w:r w:rsidR="003A7ABB" w:rsidRPr="008B2154">
        <w:rPr>
          <w:iCs/>
        </w:rPr>
        <w:t xml:space="preserve"> atbilstošākais veids, kādā URVN daļa tiek novirzīta maksātnespējas procesa pārvaldības izmaksu segšanai, ir šo daļu ieskaitīt vispārējos valsts budžeta ieņēmumos, bet Maksātnespējas administrācijai nepieciešamo finansējumu piešķirt kā dotāciju no vispārējiem ieņēmumiem.</w:t>
      </w:r>
    </w:p>
    <w:p w:rsidR="003A7ABB" w:rsidRDefault="00410697" w:rsidP="003A7ABB">
      <w:pPr>
        <w:spacing w:before="60"/>
        <w:ind w:firstLine="720"/>
        <w:jc w:val="both"/>
      </w:pPr>
      <w:r>
        <w:t>Līdz ar to</w:t>
      </w:r>
      <w:r w:rsidR="003A7ABB" w:rsidRPr="008B2154">
        <w:t xml:space="preserve"> 2018.-2020.</w:t>
      </w:r>
      <w:r w:rsidR="003A7ABB">
        <w:t> </w:t>
      </w:r>
      <w:r w:rsidR="003A7ABB" w:rsidRPr="008B2154">
        <w:t>gadam būtu paredzams šāds URVN sadalījums</w:t>
      </w:r>
      <w:r w:rsidR="003A7ABB">
        <w:t xml:space="preserve"> </w:t>
      </w:r>
      <w:r w:rsidR="003A7ABB">
        <w:rPr>
          <w:rFonts w:eastAsia="Calibri"/>
        </w:rPr>
        <w:t>(skat. tabulu Nr. 8)</w:t>
      </w:r>
      <w:r w:rsidR="003A7ABB" w:rsidRPr="006076A8">
        <w:t>:</w:t>
      </w:r>
    </w:p>
    <w:p w:rsidR="00812D1C" w:rsidRPr="006076A8" w:rsidRDefault="00812D1C" w:rsidP="003A7ABB">
      <w:pPr>
        <w:spacing w:before="60"/>
        <w:ind w:firstLine="720"/>
        <w:jc w:val="both"/>
      </w:pPr>
      <w:bookmarkStart w:id="4" w:name="_GoBack"/>
      <w:bookmarkEnd w:id="4"/>
    </w:p>
    <w:p w:rsidR="003A7ABB" w:rsidRDefault="003A7ABB" w:rsidP="003A7ABB">
      <w:pPr>
        <w:spacing w:before="120"/>
        <w:ind w:firstLine="720"/>
        <w:jc w:val="right"/>
        <w:rPr>
          <w:rFonts w:eastAsia="Calibri"/>
        </w:rPr>
      </w:pPr>
      <w:r w:rsidRPr="0082481C">
        <w:rPr>
          <w:rFonts w:eastAsia="Calibri"/>
        </w:rPr>
        <w:t>Tabula Nr.</w:t>
      </w:r>
      <w:r>
        <w:rPr>
          <w:rFonts w:eastAsia="Calibri"/>
        </w:rPr>
        <w:t> 8</w:t>
      </w:r>
    </w:p>
    <w:p w:rsidR="003A7ABB" w:rsidRPr="008B2154" w:rsidRDefault="003A7ABB" w:rsidP="003A7ABB">
      <w:pPr>
        <w:spacing w:before="60"/>
        <w:ind w:firstLine="709"/>
        <w:jc w:val="center"/>
      </w:pPr>
      <w:r>
        <w:rPr>
          <w:rFonts w:eastAsia="Calibri"/>
          <w:b/>
        </w:rPr>
        <w:t>Plānotie URVN ieņēmumi un to sadalījums 2017.-2020. gadā</w:t>
      </w:r>
    </w:p>
    <w:p w:rsidR="003A7ABB" w:rsidRPr="008B2154" w:rsidRDefault="003A7ABB" w:rsidP="003A7ABB">
      <w:pPr>
        <w:spacing w:before="60"/>
        <w:jc w:val="both"/>
      </w:pPr>
    </w:p>
    <w:tbl>
      <w:tblPr>
        <w:tblW w:w="9209" w:type="dxa"/>
        <w:jc w:val="center"/>
        <w:tblLook w:val="04A0" w:firstRow="1" w:lastRow="0" w:firstColumn="1" w:lastColumn="0" w:noHBand="0" w:noVBand="1"/>
      </w:tblPr>
      <w:tblGrid>
        <w:gridCol w:w="4172"/>
        <w:gridCol w:w="1277"/>
        <w:gridCol w:w="1277"/>
        <w:gridCol w:w="1277"/>
        <w:gridCol w:w="1206"/>
      </w:tblGrid>
      <w:tr w:rsidR="003A7ABB" w:rsidRPr="008B2154" w:rsidTr="008C666D">
        <w:trPr>
          <w:trHeight w:val="315"/>
          <w:jc w:val="center"/>
        </w:trPr>
        <w:tc>
          <w:tcPr>
            <w:tcW w:w="41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ABB" w:rsidRPr="008B2154" w:rsidRDefault="003A7ABB" w:rsidP="008C666D">
            <w:pPr>
              <w:rPr>
                <w:sz w:val="20"/>
                <w:szCs w:val="20"/>
              </w:rPr>
            </w:pPr>
            <w:r w:rsidRPr="008B2154">
              <w:rPr>
                <w:sz w:val="20"/>
                <w:szCs w:val="20"/>
              </w:rPr>
              <w:t> </w:t>
            </w:r>
          </w:p>
        </w:tc>
        <w:tc>
          <w:tcPr>
            <w:tcW w:w="1277" w:type="dxa"/>
            <w:tcBorders>
              <w:top w:val="single" w:sz="4" w:space="0" w:color="auto"/>
              <w:left w:val="nil"/>
              <w:bottom w:val="single" w:sz="4" w:space="0" w:color="auto"/>
              <w:right w:val="single" w:sz="4" w:space="0" w:color="auto"/>
            </w:tcBorders>
            <w:shd w:val="clear" w:color="000000" w:fill="DDEBF7"/>
            <w:vAlign w:val="center"/>
            <w:hideMark/>
          </w:tcPr>
          <w:p w:rsidR="003A7ABB" w:rsidRPr="008B2154" w:rsidRDefault="003A7ABB" w:rsidP="008C666D">
            <w:pPr>
              <w:jc w:val="center"/>
              <w:rPr>
                <w:b/>
                <w:bCs/>
                <w:sz w:val="20"/>
                <w:szCs w:val="20"/>
              </w:rPr>
            </w:pPr>
            <w:r w:rsidRPr="008B2154">
              <w:rPr>
                <w:b/>
                <w:bCs/>
                <w:sz w:val="20"/>
                <w:szCs w:val="20"/>
              </w:rPr>
              <w:t>2017. gads</w:t>
            </w:r>
          </w:p>
        </w:tc>
        <w:tc>
          <w:tcPr>
            <w:tcW w:w="1277" w:type="dxa"/>
            <w:tcBorders>
              <w:top w:val="single" w:sz="4" w:space="0" w:color="auto"/>
              <w:left w:val="nil"/>
              <w:bottom w:val="single" w:sz="4" w:space="0" w:color="auto"/>
              <w:right w:val="single" w:sz="4" w:space="0" w:color="auto"/>
            </w:tcBorders>
            <w:shd w:val="clear" w:color="000000" w:fill="DDEBF7"/>
            <w:vAlign w:val="center"/>
            <w:hideMark/>
          </w:tcPr>
          <w:p w:rsidR="003A7ABB" w:rsidRPr="008B2154" w:rsidRDefault="003A7ABB" w:rsidP="008C666D">
            <w:pPr>
              <w:jc w:val="center"/>
              <w:rPr>
                <w:b/>
                <w:bCs/>
                <w:sz w:val="20"/>
                <w:szCs w:val="20"/>
              </w:rPr>
            </w:pPr>
            <w:r w:rsidRPr="008B2154">
              <w:rPr>
                <w:b/>
                <w:bCs/>
                <w:sz w:val="20"/>
                <w:szCs w:val="20"/>
              </w:rPr>
              <w:t>2018. gads</w:t>
            </w:r>
          </w:p>
        </w:tc>
        <w:tc>
          <w:tcPr>
            <w:tcW w:w="1277" w:type="dxa"/>
            <w:tcBorders>
              <w:top w:val="single" w:sz="4" w:space="0" w:color="auto"/>
              <w:left w:val="nil"/>
              <w:bottom w:val="single" w:sz="4" w:space="0" w:color="auto"/>
              <w:right w:val="single" w:sz="4" w:space="0" w:color="auto"/>
            </w:tcBorders>
            <w:shd w:val="clear" w:color="000000" w:fill="DDEBF7"/>
            <w:vAlign w:val="center"/>
            <w:hideMark/>
          </w:tcPr>
          <w:p w:rsidR="003A7ABB" w:rsidRPr="008B2154" w:rsidRDefault="003A7ABB" w:rsidP="008C666D">
            <w:pPr>
              <w:jc w:val="center"/>
              <w:rPr>
                <w:b/>
                <w:bCs/>
                <w:sz w:val="20"/>
                <w:szCs w:val="20"/>
              </w:rPr>
            </w:pPr>
            <w:r w:rsidRPr="008B2154">
              <w:rPr>
                <w:b/>
                <w:bCs/>
                <w:sz w:val="20"/>
                <w:szCs w:val="20"/>
              </w:rPr>
              <w:t>2019. gads</w:t>
            </w:r>
          </w:p>
        </w:tc>
        <w:tc>
          <w:tcPr>
            <w:tcW w:w="1206" w:type="dxa"/>
            <w:tcBorders>
              <w:top w:val="single" w:sz="4" w:space="0" w:color="auto"/>
              <w:left w:val="nil"/>
              <w:bottom w:val="single" w:sz="4" w:space="0" w:color="auto"/>
              <w:right w:val="single" w:sz="4" w:space="0" w:color="auto"/>
            </w:tcBorders>
            <w:shd w:val="clear" w:color="000000" w:fill="DDEBF7"/>
            <w:vAlign w:val="center"/>
          </w:tcPr>
          <w:p w:rsidR="003A7ABB" w:rsidRPr="008B2154" w:rsidRDefault="003A7ABB" w:rsidP="008C666D">
            <w:pPr>
              <w:jc w:val="center"/>
              <w:rPr>
                <w:b/>
                <w:bCs/>
                <w:sz w:val="20"/>
                <w:szCs w:val="20"/>
              </w:rPr>
            </w:pPr>
            <w:r w:rsidRPr="008B2154">
              <w:rPr>
                <w:b/>
                <w:bCs/>
                <w:sz w:val="20"/>
                <w:szCs w:val="20"/>
              </w:rPr>
              <w:t>2020.</w:t>
            </w:r>
            <w:r>
              <w:rPr>
                <w:b/>
                <w:bCs/>
                <w:sz w:val="20"/>
                <w:szCs w:val="20"/>
              </w:rPr>
              <w:t> </w:t>
            </w:r>
            <w:r w:rsidRPr="008B2154">
              <w:rPr>
                <w:b/>
                <w:bCs/>
                <w:sz w:val="20"/>
                <w:szCs w:val="20"/>
              </w:rPr>
              <w:t>gads</w:t>
            </w:r>
          </w:p>
        </w:tc>
      </w:tr>
      <w:tr w:rsidR="003A7ABB" w:rsidRPr="008B2154" w:rsidTr="008C666D">
        <w:trPr>
          <w:trHeight w:val="407"/>
          <w:jc w:val="center"/>
        </w:trPr>
        <w:tc>
          <w:tcPr>
            <w:tcW w:w="4172" w:type="dxa"/>
            <w:tcBorders>
              <w:top w:val="nil"/>
              <w:left w:val="single" w:sz="4" w:space="0" w:color="auto"/>
              <w:bottom w:val="single" w:sz="4" w:space="0" w:color="auto"/>
              <w:right w:val="single" w:sz="4" w:space="0" w:color="auto"/>
            </w:tcBorders>
            <w:shd w:val="clear" w:color="auto" w:fill="auto"/>
            <w:hideMark/>
          </w:tcPr>
          <w:p w:rsidR="003A7ABB" w:rsidRPr="008B2154" w:rsidRDefault="003A7ABB" w:rsidP="008C666D">
            <w:pPr>
              <w:jc w:val="both"/>
              <w:rPr>
                <w:sz w:val="20"/>
                <w:szCs w:val="20"/>
              </w:rPr>
            </w:pPr>
            <w:r w:rsidRPr="008B2154">
              <w:rPr>
                <w:sz w:val="20"/>
                <w:szCs w:val="20"/>
              </w:rPr>
              <w:t xml:space="preserve">URVN ieņēmumi (likme 0.36 </w:t>
            </w:r>
            <w:proofErr w:type="spellStart"/>
            <w:r w:rsidRPr="008B2154">
              <w:rPr>
                <w:i/>
                <w:iCs/>
                <w:sz w:val="20"/>
                <w:szCs w:val="20"/>
              </w:rPr>
              <w:t>euro</w:t>
            </w:r>
            <w:proofErr w:type="spellEnd"/>
            <w:r w:rsidRPr="008B2154">
              <w:rPr>
                <w:sz w:val="20"/>
                <w:szCs w:val="20"/>
              </w:rPr>
              <w:t xml:space="preserve"> mēnesī), </w:t>
            </w:r>
            <w:proofErr w:type="spellStart"/>
            <w:r w:rsidRPr="008B2154">
              <w:rPr>
                <w:i/>
                <w:iCs/>
                <w:sz w:val="20"/>
                <w:szCs w:val="20"/>
              </w:rPr>
              <w:t>euro</w:t>
            </w:r>
            <w:proofErr w:type="spellEnd"/>
            <w:r w:rsidRPr="008B2154">
              <w:rPr>
                <w:i/>
                <w:iCs/>
                <w:sz w:val="20"/>
                <w:szCs w:val="20"/>
              </w:rPr>
              <w:t xml:space="preserve"> </w:t>
            </w:r>
          </w:p>
        </w:tc>
        <w:tc>
          <w:tcPr>
            <w:tcW w:w="1277" w:type="dxa"/>
            <w:tcBorders>
              <w:top w:val="nil"/>
              <w:left w:val="nil"/>
              <w:bottom w:val="single" w:sz="4" w:space="0" w:color="auto"/>
              <w:right w:val="single" w:sz="4" w:space="0" w:color="auto"/>
            </w:tcBorders>
            <w:shd w:val="clear" w:color="auto" w:fill="auto"/>
            <w:vAlign w:val="center"/>
            <w:hideMark/>
          </w:tcPr>
          <w:p w:rsidR="003A7ABB" w:rsidRPr="008B2154" w:rsidRDefault="003A7ABB" w:rsidP="008C666D">
            <w:pPr>
              <w:jc w:val="center"/>
              <w:rPr>
                <w:sz w:val="20"/>
                <w:szCs w:val="20"/>
              </w:rPr>
            </w:pPr>
            <w:r w:rsidRPr="008B2154">
              <w:rPr>
                <w:sz w:val="20"/>
                <w:szCs w:val="20"/>
              </w:rPr>
              <w:t>3 044 935</w:t>
            </w:r>
          </w:p>
        </w:tc>
        <w:tc>
          <w:tcPr>
            <w:tcW w:w="1277" w:type="dxa"/>
            <w:tcBorders>
              <w:top w:val="nil"/>
              <w:left w:val="nil"/>
              <w:bottom w:val="single" w:sz="4" w:space="0" w:color="auto"/>
              <w:right w:val="single" w:sz="4" w:space="0" w:color="auto"/>
            </w:tcBorders>
            <w:shd w:val="clear" w:color="auto" w:fill="auto"/>
            <w:vAlign w:val="center"/>
            <w:hideMark/>
          </w:tcPr>
          <w:p w:rsidR="003A7ABB" w:rsidRPr="008B2154" w:rsidRDefault="003A7ABB" w:rsidP="008C666D">
            <w:pPr>
              <w:jc w:val="center"/>
              <w:rPr>
                <w:sz w:val="20"/>
                <w:szCs w:val="20"/>
              </w:rPr>
            </w:pPr>
            <w:r w:rsidRPr="008B2154">
              <w:rPr>
                <w:sz w:val="20"/>
                <w:szCs w:val="20"/>
              </w:rPr>
              <w:t>3 047 980</w:t>
            </w:r>
          </w:p>
        </w:tc>
        <w:tc>
          <w:tcPr>
            <w:tcW w:w="1277" w:type="dxa"/>
            <w:tcBorders>
              <w:top w:val="nil"/>
              <w:left w:val="nil"/>
              <w:bottom w:val="single" w:sz="4" w:space="0" w:color="auto"/>
              <w:right w:val="single" w:sz="4" w:space="0" w:color="auto"/>
            </w:tcBorders>
            <w:shd w:val="clear" w:color="auto" w:fill="auto"/>
            <w:vAlign w:val="center"/>
            <w:hideMark/>
          </w:tcPr>
          <w:p w:rsidR="003A7ABB" w:rsidRPr="008B2154" w:rsidRDefault="003A7ABB" w:rsidP="008C666D">
            <w:pPr>
              <w:jc w:val="center"/>
              <w:rPr>
                <w:sz w:val="20"/>
                <w:szCs w:val="20"/>
              </w:rPr>
            </w:pPr>
            <w:r w:rsidRPr="008B2154">
              <w:rPr>
                <w:sz w:val="20"/>
                <w:szCs w:val="20"/>
              </w:rPr>
              <w:t>3 051 026</w:t>
            </w:r>
          </w:p>
        </w:tc>
        <w:tc>
          <w:tcPr>
            <w:tcW w:w="1206" w:type="dxa"/>
            <w:tcBorders>
              <w:top w:val="nil"/>
              <w:left w:val="nil"/>
              <w:bottom w:val="single" w:sz="4" w:space="0" w:color="auto"/>
              <w:right w:val="single" w:sz="4" w:space="0" w:color="auto"/>
            </w:tcBorders>
            <w:vAlign w:val="center"/>
          </w:tcPr>
          <w:p w:rsidR="003A7ABB" w:rsidRPr="008B2154" w:rsidRDefault="003A7ABB" w:rsidP="008C666D">
            <w:pPr>
              <w:jc w:val="center"/>
              <w:rPr>
                <w:sz w:val="20"/>
                <w:szCs w:val="20"/>
              </w:rPr>
            </w:pPr>
            <w:r w:rsidRPr="008B2154">
              <w:rPr>
                <w:sz w:val="20"/>
                <w:szCs w:val="20"/>
              </w:rPr>
              <w:t>3 051 026</w:t>
            </w:r>
          </w:p>
        </w:tc>
      </w:tr>
      <w:tr w:rsidR="003A7ABB" w:rsidRPr="008B2154" w:rsidTr="008C666D">
        <w:trPr>
          <w:trHeight w:val="315"/>
          <w:jc w:val="center"/>
        </w:trPr>
        <w:tc>
          <w:tcPr>
            <w:tcW w:w="4172" w:type="dxa"/>
            <w:tcBorders>
              <w:top w:val="nil"/>
              <w:left w:val="single" w:sz="4" w:space="0" w:color="auto"/>
              <w:bottom w:val="single" w:sz="4" w:space="0" w:color="auto"/>
              <w:right w:val="single" w:sz="4" w:space="0" w:color="auto"/>
            </w:tcBorders>
            <w:shd w:val="clear" w:color="000000" w:fill="DDEBF7"/>
            <w:noWrap/>
            <w:vAlign w:val="center"/>
            <w:hideMark/>
          </w:tcPr>
          <w:p w:rsidR="003A7ABB" w:rsidRPr="008B2154" w:rsidRDefault="003A7ABB" w:rsidP="008C666D">
            <w:pPr>
              <w:rPr>
                <w:b/>
                <w:bCs/>
                <w:sz w:val="20"/>
                <w:szCs w:val="20"/>
              </w:rPr>
            </w:pPr>
            <w:r w:rsidRPr="008B2154">
              <w:rPr>
                <w:b/>
                <w:bCs/>
                <w:sz w:val="20"/>
                <w:szCs w:val="20"/>
              </w:rPr>
              <w:t>URVN sadalījums:</w:t>
            </w:r>
          </w:p>
        </w:tc>
        <w:tc>
          <w:tcPr>
            <w:tcW w:w="1277" w:type="dxa"/>
            <w:tcBorders>
              <w:top w:val="nil"/>
              <w:left w:val="nil"/>
              <w:bottom w:val="single" w:sz="4" w:space="0" w:color="auto"/>
              <w:right w:val="single" w:sz="4" w:space="0" w:color="auto"/>
            </w:tcBorders>
            <w:shd w:val="clear" w:color="000000" w:fill="DDEBF7"/>
            <w:noWrap/>
            <w:vAlign w:val="center"/>
          </w:tcPr>
          <w:p w:rsidR="003A7ABB" w:rsidRPr="008B2154" w:rsidRDefault="003A7ABB" w:rsidP="008C666D">
            <w:pPr>
              <w:jc w:val="center"/>
              <w:rPr>
                <w:b/>
                <w:bCs/>
                <w:sz w:val="20"/>
                <w:szCs w:val="20"/>
              </w:rPr>
            </w:pPr>
          </w:p>
        </w:tc>
        <w:tc>
          <w:tcPr>
            <w:tcW w:w="1277" w:type="dxa"/>
            <w:tcBorders>
              <w:top w:val="nil"/>
              <w:left w:val="nil"/>
              <w:bottom w:val="single" w:sz="4" w:space="0" w:color="auto"/>
              <w:right w:val="single" w:sz="4" w:space="0" w:color="auto"/>
            </w:tcBorders>
            <w:shd w:val="clear" w:color="000000" w:fill="DDEBF7"/>
            <w:noWrap/>
            <w:vAlign w:val="center"/>
          </w:tcPr>
          <w:p w:rsidR="003A7ABB" w:rsidRPr="008B2154" w:rsidRDefault="003A7ABB" w:rsidP="008C666D">
            <w:pPr>
              <w:jc w:val="center"/>
              <w:rPr>
                <w:b/>
                <w:bCs/>
                <w:sz w:val="20"/>
                <w:szCs w:val="20"/>
              </w:rPr>
            </w:pPr>
          </w:p>
        </w:tc>
        <w:tc>
          <w:tcPr>
            <w:tcW w:w="1277" w:type="dxa"/>
            <w:tcBorders>
              <w:top w:val="nil"/>
              <w:left w:val="nil"/>
              <w:bottom w:val="single" w:sz="4" w:space="0" w:color="auto"/>
              <w:right w:val="single" w:sz="4" w:space="0" w:color="auto"/>
            </w:tcBorders>
            <w:shd w:val="clear" w:color="000000" w:fill="DDEBF7"/>
            <w:noWrap/>
            <w:vAlign w:val="center"/>
          </w:tcPr>
          <w:p w:rsidR="003A7ABB" w:rsidRPr="008B2154" w:rsidRDefault="003A7ABB" w:rsidP="008C666D">
            <w:pPr>
              <w:jc w:val="center"/>
              <w:rPr>
                <w:b/>
                <w:bCs/>
                <w:sz w:val="20"/>
                <w:szCs w:val="20"/>
              </w:rPr>
            </w:pPr>
          </w:p>
        </w:tc>
        <w:tc>
          <w:tcPr>
            <w:tcW w:w="1206" w:type="dxa"/>
            <w:tcBorders>
              <w:top w:val="nil"/>
              <w:left w:val="nil"/>
              <w:bottom w:val="single" w:sz="4" w:space="0" w:color="auto"/>
              <w:right w:val="single" w:sz="4" w:space="0" w:color="auto"/>
            </w:tcBorders>
            <w:shd w:val="clear" w:color="000000" w:fill="DDEBF7"/>
          </w:tcPr>
          <w:p w:rsidR="003A7ABB" w:rsidRPr="008B2154" w:rsidRDefault="003A7ABB" w:rsidP="008C666D">
            <w:pPr>
              <w:jc w:val="center"/>
              <w:rPr>
                <w:b/>
                <w:bCs/>
                <w:sz w:val="20"/>
                <w:szCs w:val="20"/>
              </w:rPr>
            </w:pPr>
          </w:p>
        </w:tc>
      </w:tr>
      <w:tr w:rsidR="003A7ABB" w:rsidRPr="008B2154" w:rsidTr="008C666D">
        <w:trPr>
          <w:trHeight w:val="235"/>
          <w:jc w:val="center"/>
        </w:trPr>
        <w:tc>
          <w:tcPr>
            <w:tcW w:w="4172" w:type="dxa"/>
            <w:tcBorders>
              <w:top w:val="nil"/>
              <w:left w:val="single" w:sz="4" w:space="0" w:color="auto"/>
              <w:bottom w:val="single" w:sz="4" w:space="0" w:color="auto"/>
              <w:right w:val="single" w:sz="4" w:space="0" w:color="auto"/>
            </w:tcBorders>
            <w:shd w:val="clear" w:color="auto" w:fill="auto"/>
            <w:hideMark/>
          </w:tcPr>
          <w:p w:rsidR="003A7ABB" w:rsidRPr="008B2154" w:rsidRDefault="003A7ABB" w:rsidP="008C666D">
            <w:pPr>
              <w:jc w:val="both"/>
              <w:rPr>
                <w:sz w:val="20"/>
                <w:szCs w:val="20"/>
              </w:rPr>
            </w:pPr>
            <w:r w:rsidRPr="008B2154">
              <w:rPr>
                <w:sz w:val="20"/>
                <w:szCs w:val="20"/>
              </w:rPr>
              <w:t xml:space="preserve">Darbinieku prasījumu garantiju fondā ieskaitāmā daļa </w:t>
            </w:r>
            <w:proofErr w:type="spellStart"/>
            <w:r w:rsidRPr="008B2154">
              <w:rPr>
                <w:i/>
                <w:iCs/>
                <w:sz w:val="20"/>
                <w:szCs w:val="20"/>
              </w:rPr>
              <w:t>euro</w:t>
            </w:r>
            <w:proofErr w:type="spellEnd"/>
            <w:r w:rsidRPr="008B2154">
              <w:rPr>
                <w:sz w:val="20"/>
                <w:szCs w:val="20"/>
              </w:rPr>
              <w:t xml:space="preserve"> </w:t>
            </w:r>
          </w:p>
        </w:tc>
        <w:tc>
          <w:tcPr>
            <w:tcW w:w="1277" w:type="dxa"/>
            <w:tcBorders>
              <w:top w:val="nil"/>
              <w:left w:val="nil"/>
              <w:bottom w:val="single" w:sz="4" w:space="0" w:color="auto"/>
              <w:right w:val="single" w:sz="4" w:space="0" w:color="auto"/>
            </w:tcBorders>
            <w:shd w:val="clear" w:color="auto" w:fill="auto"/>
            <w:hideMark/>
          </w:tcPr>
          <w:p w:rsidR="003A7ABB" w:rsidRPr="008B2154" w:rsidRDefault="003A7ABB" w:rsidP="008C666D">
            <w:pPr>
              <w:jc w:val="center"/>
              <w:rPr>
                <w:sz w:val="20"/>
                <w:szCs w:val="20"/>
              </w:rPr>
            </w:pPr>
            <w:r w:rsidRPr="008B2154">
              <w:rPr>
                <w:sz w:val="20"/>
                <w:szCs w:val="20"/>
              </w:rPr>
              <w:t xml:space="preserve"> 2 560 397 </w:t>
            </w:r>
          </w:p>
        </w:tc>
        <w:tc>
          <w:tcPr>
            <w:tcW w:w="1277" w:type="dxa"/>
            <w:tcBorders>
              <w:top w:val="nil"/>
              <w:left w:val="nil"/>
              <w:bottom w:val="single" w:sz="4" w:space="0" w:color="auto"/>
              <w:right w:val="single" w:sz="4" w:space="0" w:color="auto"/>
            </w:tcBorders>
            <w:shd w:val="clear" w:color="auto" w:fill="auto"/>
            <w:hideMark/>
          </w:tcPr>
          <w:p w:rsidR="003A7ABB" w:rsidRPr="00426D2D" w:rsidRDefault="00824667" w:rsidP="008C666D">
            <w:pPr>
              <w:jc w:val="center"/>
              <w:rPr>
                <w:sz w:val="20"/>
                <w:szCs w:val="20"/>
              </w:rPr>
            </w:pPr>
            <w:r w:rsidRPr="00426D2D">
              <w:rPr>
                <w:sz w:val="20"/>
                <w:szCs w:val="20"/>
              </w:rPr>
              <w:t>1 739 862</w:t>
            </w:r>
            <w:r w:rsidR="003A7ABB" w:rsidRPr="00426D2D">
              <w:rPr>
                <w:sz w:val="20"/>
                <w:szCs w:val="20"/>
              </w:rPr>
              <w:t xml:space="preserve"> </w:t>
            </w:r>
          </w:p>
        </w:tc>
        <w:tc>
          <w:tcPr>
            <w:tcW w:w="1277" w:type="dxa"/>
            <w:tcBorders>
              <w:top w:val="nil"/>
              <w:left w:val="nil"/>
              <w:bottom w:val="single" w:sz="4" w:space="0" w:color="auto"/>
              <w:right w:val="single" w:sz="4" w:space="0" w:color="auto"/>
            </w:tcBorders>
            <w:shd w:val="clear" w:color="auto" w:fill="auto"/>
            <w:hideMark/>
          </w:tcPr>
          <w:p w:rsidR="003A7ABB" w:rsidRPr="00426D2D" w:rsidRDefault="003A7ABB" w:rsidP="00824667">
            <w:pPr>
              <w:jc w:val="center"/>
              <w:rPr>
                <w:sz w:val="20"/>
                <w:szCs w:val="20"/>
              </w:rPr>
            </w:pPr>
            <w:r w:rsidRPr="00426D2D">
              <w:rPr>
                <w:sz w:val="20"/>
                <w:szCs w:val="20"/>
              </w:rPr>
              <w:t xml:space="preserve"> </w:t>
            </w:r>
            <w:r w:rsidR="00824667" w:rsidRPr="00426D2D">
              <w:rPr>
                <w:sz w:val="20"/>
                <w:szCs w:val="20"/>
              </w:rPr>
              <w:t>1 936 678</w:t>
            </w:r>
          </w:p>
        </w:tc>
        <w:tc>
          <w:tcPr>
            <w:tcW w:w="1206" w:type="dxa"/>
            <w:tcBorders>
              <w:top w:val="nil"/>
              <w:left w:val="nil"/>
              <w:bottom w:val="single" w:sz="4" w:space="0" w:color="auto"/>
              <w:right w:val="single" w:sz="4" w:space="0" w:color="auto"/>
            </w:tcBorders>
          </w:tcPr>
          <w:p w:rsidR="003A7ABB" w:rsidRPr="00426D2D" w:rsidRDefault="003A7ABB" w:rsidP="00824667">
            <w:pPr>
              <w:jc w:val="center"/>
              <w:rPr>
                <w:color w:val="000000"/>
                <w:sz w:val="20"/>
                <w:szCs w:val="20"/>
              </w:rPr>
            </w:pPr>
            <w:r w:rsidRPr="00426D2D">
              <w:rPr>
                <w:sz w:val="20"/>
                <w:szCs w:val="20"/>
              </w:rPr>
              <w:t xml:space="preserve"> 1</w:t>
            </w:r>
            <w:r w:rsidR="00824667" w:rsidRPr="00426D2D">
              <w:rPr>
                <w:sz w:val="20"/>
                <w:szCs w:val="20"/>
              </w:rPr>
              <w:t> 911 678</w:t>
            </w:r>
            <w:r w:rsidRPr="00426D2D">
              <w:rPr>
                <w:sz w:val="20"/>
                <w:szCs w:val="20"/>
              </w:rPr>
              <w:t xml:space="preserve"> </w:t>
            </w:r>
          </w:p>
        </w:tc>
      </w:tr>
      <w:tr w:rsidR="003A7ABB" w:rsidRPr="008B2154" w:rsidTr="008C666D">
        <w:trPr>
          <w:trHeight w:val="329"/>
          <w:jc w:val="center"/>
        </w:trPr>
        <w:tc>
          <w:tcPr>
            <w:tcW w:w="4172" w:type="dxa"/>
            <w:tcBorders>
              <w:top w:val="nil"/>
              <w:left w:val="single" w:sz="4" w:space="0" w:color="auto"/>
              <w:bottom w:val="single" w:sz="4" w:space="0" w:color="auto"/>
              <w:right w:val="single" w:sz="4" w:space="0" w:color="auto"/>
            </w:tcBorders>
            <w:shd w:val="clear" w:color="auto" w:fill="auto"/>
            <w:hideMark/>
          </w:tcPr>
          <w:p w:rsidR="003A7ABB" w:rsidRPr="008B2154" w:rsidRDefault="003A7ABB" w:rsidP="008C666D">
            <w:pPr>
              <w:rPr>
                <w:sz w:val="20"/>
                <w:szCs w:val="20"/>
              </w:rPr>
            </w:pPr>
            <w:r w:rsidRPr="008B2154">
              <w:rPr>
                <w:sz w:val="20"/>
                <w:szCs w:val="20"/>
              </w:rPr>
              <w:t xml:space="preserve">Vispārējos valsts budžeta ieņēmumos ieskaitāmā daļa </w:t>
            </w:r>
            <w:proofErr w:type="spellStart"/>
            <w:r w:rsidRPr="008B2154">
              <w:rPr>
                <w:i/>
                <w:iCs/>
                <w:sz w:val="20"/>
                <w:szCs w:val="20"/>
              </w:rPr>
              <w:t>euro</w:t>
            </w:r>
            <w:proofErr w:type="spellEnd"/>
            <w:r w:rsidRPr="008B2154">
              <w:rPr>
                <w:sz w:val="20"/>
                <w:szCs w:val="20"/>
              </w:rPr>
              <w:t xml:space="preserve"> </w:t>
            </w:r>
          </w:p>
        </w:tc>
        <w:tc>
          <w:tcPr>
            <w:tcW w:w="1277" w:type="dxa"/>
            <w:tcBorders>
              <w:top w:val="nil"/>
              <w:left w:val="nil"/>
              <w:bottom w:val="single" w:sz="4" w:space="0" w:color="auto"/>
              <w:right w:val="single" w:sz="4" w:space="0" w:color="auto"/>
            </w:tcBorders>
            <w:shd w:val="clear" w:color="auto" w:fill="auto"/>
            <w:hideMark/>
          </w:tcPr>
          <w:p w:rsidR="003A7ABB" w:rsidRPr="008B2154" w:rsidRDefault="003A7ABB" w:rsidP="008C666D">
            <w:pPr>
              <w:jc w:val="center"/>
              <w:rPr>
                <w:sz w:val="20"/>
                <w:szCs w:val="20"/>
              </w:rPr>
            </w:pPr>
            <w:r w:rsidRPr="008B2154">
              <w:rPr>
                <w:sz w:val="20"/>
                <w:szCs w:val="20"/>
              </w:rPr>
              <w:t xml:space="preserve"> 484 538 </w:t>
            </w:r>
          </w:p>
        </w:tc>
        <w:tc>
          <w:tcPr>
            <w:tcW w:w="1277" w:type="dxa"/>
            <w:tcBorders>
              <w:top w:val="nil"/>
              <w:left w:val="nil"/>
              <w:bottom w:val="single" w:sz="4" w:space="0" w:color="auto"/>
              <w:right w:val="single" w:sz="4" w:space="0" w:color="auto"/>
            </w:tcBorders>
            <w:shd w:val="clear" w:color="auto" w:fill="auto"/>
            <w:hideMark/>
          </w:tcPr>
          <w:p w:rsidR="003A7ABB" w:rsidRPr="00426D2D" w:rsidRDefault="003A7ABB" w:rsidP="00824667">
            <w:pPr>
              <w:jc w:val="center"/>
              <w:rPr>
                <w:sz w:val="20"/>
                <w:szCs w:val="20"/>
              </w:rPr>
            </w:pPr>
            <w:r w:rsidRPr="00426D2D">
              <w:rPr>
                <w:sz w:val="20"/>
                <w:szCs w:val="20"/>
              </w:rPr>
              <w:t xml:space="preserve"> 1</w:t>
            </w:r>
            <w:r w:rsidR="00824667" w:rsidRPr="00426D2D">
              <w:rPr>
                <w:sz w:val="20"/>
                <w:szCs w:val="20"/>
              </w:rPr>
              <w:t> 308 118</w:t>
            </w:r>
            <w:r w:rsidRPr="00426D2D">
              <w:rPr>
                <w:sz w:val="20"/>
                <w:szCs w:val="20"/>
              </w:rPr>
              <w:t xml:space="preserve"> </w:t>
            </w:r>
          </w:p>
        </w:tc>
        <w:tc>
          <w:tcPr>
            <w:tcW w:w="1277" w:type="dxa"/>
            <w:tcBorders>
              <w:top w:val="nil"/>
              <w:left w:val="nil"/>
              <w:bottom w:val="single" w:sz="4" w:space="0" w:color="auto"/>
              <w:right w:val="single" w:sz="4" w:space="0" w:color="auto"/>
            </w:tcBorders>
            <w:shd w:val="clear" w:color="auto" w:fill="auto"/>
            <w:hideMark/>
          </w:tcPr>
          <w:p w:rsidR="003A7ABB" w:rsidRPr="00426D2D" w:rsidRDefault="003A7ABB" w:rsidP="00824667">
            <w:pPr>
              <w:jc w:val="center"/>
              <w:rPr>
                <w:sz w:val="20"/>
                <w:szCs w:val="20"/>
              </w:rPr>
            </w:pPr>
            <w:r w:rsidRPr="00426D2D">
              <w:rPr>
                <w:sz w:val="20"/>
                <w:szCs w:val="20"/>
              </w:rPr>
              <w:t xml:space="preserve"> 1</w:t>
            </w:r>
            <w:r w:rsidR="00824667" w:rsidRPr="00426D2D">
              <w:rPr>
                <w:sz w:val="20"/>
                <w:szCs w:val="20"/>
              </w:rPr>
              <w:t> 114 348</w:t>
            </w:r>
          </w:p>
        </w:tc>
        <w:tc>
          <w:tcPr>
            <w:tcW w:w="1206" w:type="dxa"/>
            <w:tcBorders>
              <w:top w:val="nil"/>
              <w:left w:val="nil"/>
              <w:bottom w:val="single" w:sz="4" w:space="0" w:color="auto"/>
              <w:right w:val="single" w:sz="4" w:space="0" w:color="auto"/>
            </w:tcBorders>
          </w:tcPr>
          <w:p w:rsidR="003A7ABB" w:rsidRPr="00426D2D" w:rsidRDefault="003A7ABB" w:rsidP="00824667">
            <w:pPr>
              <w:jc w:val="center"/>
              <w:rPr>
                <w:sz w:val="20"/>
                <w:szCs w:val="20"/>
              </w:rPr>
            </w:pPr>
            <w:r w:rsidRPr="00426D2D">
              <w:rPr>
                <w:sz w:val="20"/>
                <w:szCs w:val="20"/>
              </w:rPr>
              <w:t xml:space="preserve"> 1</w:t>
            </w:r>
            <w:r w:rsidR="00824667" w:rsidRPr="00426D2D">
              <w:rPr>
                <w:sz w:val="20"/>
                <w:szCs w:val="20"/>
              </w:rPr>
              <w:t> 139 348</w:t>
            </w:r>
            <w:r w:rsidRPr="00426D2D">
              <w:rPr>
                <w:sz w:val="20"/>
                <w:szCs w:val="20"/>
              </w:rPr>
              <w:t xml:space="preserve"> </w:t>
            </w:r>
          </w:p>
        </w:tc>
      </w:tr>
    </w:tbl>
    <w:p w:rsidR="003A7ABB" w:rsidRPr="008B2154" w:rsidRDefault="003A7ABB" w:rsidP="003A7ABB">
      <w:pPr>
        <w:spacing w:before="60"/>
        <w:ind w:firstLine="720"/>
        <w:jc w:val="both"/>
        <w:rPr>
          <w:iCs/>
        </w:rPr>
      </w:pPr>
    </w:p>
    <w:p w:rsidR="003A7ABB" w:rsidRPr="006076A8" w:rsidRDefault="003A7ABB" w:rsidP="003A7ABB">
      <w:pPr>
        <w:spacing w:before="60"/>
        <w:ind w:firstLine="720"/>
        <w:jc w:val="both"/>
      </w:pPr>
      <w:r w:rsidRPr="00426D2D">
        <w:rPr>
          <w:iCs/>
        </w:rPr>
        <w:t xml:space="preserve">Ņemot vērā iepriekš minēto, sagatavojot noteikumu par </w:t>
      </w:r>
      <w:r w:rsidR="008C666D" w:rsidRPr="00426D2D">
        <w:rPr>
          <w:iCs/>
        </w:rPr>
        <w:t>URVN</w:t>
      </w:r>
      <w:r w:rsidRPr="00426D2D">
        <w:rPr>
          <w:iCs/>
        </w:rPr>
        <w:t xml:space="preserve"> kārtējā gadā projektu, ir jāparedz Darbinieku prasījumu garantiju fondā ieskaitāmā daļa 2018. gadā 5</w:t>
      </w:r>
      <w:r w:rsidR="00BA4FDC" w:rsidRPr="00426D2D">
        <w:rPr>
          <w:iCs/>
        </w:rPr>
        <w:t>7</w:t>
      </w:r>
      <w:r w:rsidRPr="00426D2D">
        <w:rPr>
          <w:iCs/>
        </w:rPr>
        <w:t> % apmērā, bet vispārējos valsts budžeta ieņēmumos 4</w:t>
      </w:r>
      <w:r w:rsidR="00BA4FDC" w:rsidRPr="00426D2D">
        <w:rPr>
          <w:iCs/>
        </w:rPr>
        <w:t>3</w:t>
      </w:r>
      <w:r w:rsidRPr="00426D2D">
        <w:rPr>
          <w:iCs/>
        </w:rPr>
        <w:t> % no ieskaitītās URVN</w:t>
      </w:r>
      <w:r w:rsidR="00BA4FDC" w:rsidRPr="00426D2D">
        <w:rPr>
          <w:iCs/>
        </w:rPr>
        <w:t>,</w:t>
      </w:r>
      <w:r w:rsidRPr="00426D2D">
        <w:rPr>
          <w:iCs/>
        </w:rPr>
        <w:t xml:space="preserve"> </w:t>
      </w:r>
      <w:r w:rsidR="00D70FA7" w:rsidRPr="00426D2D">
        <w:rPr>
          <w:iCs/>
        </w:rPr>
        <w:t xml:space="preserve">Darbinieku prasījumu garantiju fondā ieskaitāmā daļa </w:t>
      </w:r>
      <w:r w:rsidRPr="00426D2D">
        <w:rPr>
          <w:iCs/>
        </w:rPr>
        <w:t>2019. gadā</w:t>
      </w:r>
      <w:r w:rsidR="00BA4FDC" w:rsidRPr="00426D2D">
        <w:rPr>
          <w:iCs/>
        </w:rPr>
        <w:t xml:space="preserve"> 63</w:t>
      </w:r>
      <w:r w:rsidR="00D70FA7" w:rsidRPr="00426D2D">
        <w:rPr>
          <w:iCs/>
        </w:rPr>
        <w:t>.5</w:t>
      </w:r>
      <w:r w:rsidR="00BA4FDC" w:rsidRPr="00426D2D">
        <w:rPr>
          <w:iCs/>
        </w:rPr>
        <w:t> %</w:t>
      </w:r>
      <w:r w:rsidR="00D70FA7" w:rsidRPr="00426D2D">
        <w:rPr>
          <w:iCs/>
        </w:rPr>
        <w:t xml:space="preserve"> apmērā, bet vispārējos valsts budžeta ieņēmumos 36.5 % no ieskaitītās URVN, </w:t>
      </w:r>
      <w:r w:rsidRPr="00426D2D">
        <w:rPr>
          <w:iCs/>
        </w:rPr>
        <w:t xml:space="preserve">un </w:t>
      </w:r>
      <w:r w:rsidR="00D70FA7" w:rsidRPr="00426D2D">
        <w:rPr>
          <w:iCs/>
        </w:rPr>
        <w:t xml:space="preserve">2020. gadā un </w:t>
      </w:r>
      <w:r w:rsidRPr="00426D2D">
        <w:rPr>
          <w:iCs/>
        </w:rPr>
        <w:t>turpmāk - Darbinieku prasījumu garantiju fondā ieskaitāmā daļa 6</w:t>
      </w:r>
      <w:r w:rsidR="00D70FA7" w:rsidRPr="00426D2D">
        <w:rPr>
          <w:iCs/>
        </w:rPr>
        <w:t>2.6</w:t>
      </w:r>
      <w:r w:rsidRPr="00426D2D">
        <w:rPr>
          <w:iCs/>
        </w:rPr>
        <w:t> % apmērā, bet vispārējos valsts budžeta ieņēmumos 3</w:t>
      </w:r>
      <w:r w:rsidR="00D70FA7" w:rsidRPr="00426D2D">
        <w:rPr>
          <w:iCs/>
        </w:rPr>
        <w:t>7.4</w:t>
      </w:r>
      <w:r w:rsidRPr="00426D2D">
        <w:rPr>
          <w:iCs/>
        </w:rPr>
        <w:t> % no ieskaitītās URVN.</w:t>
      </w:r>
      <w:r w:rsidR="00410697">
        <w:rPr>
          <w:iCs/>
        </w:rPr>
        <w:t xml:space="preserve"> </w:t>
      </w:r>
      <w:r>
        <w:rPr>
          <w:iCs/>
        </w:rPr>
        <w:t xml:space="preserve">Atbilstoši ir jāprecizē pamatbudžeta bāzes izdevumi </w:t>
      </w:r>
      <w:r w:rsidRPr="0038119F">
        <w:rPr>
          <w:iCs/>
        </w:rPr>
        <w:t>2018.–2020.</w:t>
      </w:r>
      <w:r>
        <w:rPr>
          <w:iCs/>
        </w:rPr>
        <w:t> </w:t>
      </w:r>
      <w:r w:rsidRPr="0038119F">
        <w:rPr>
          <w:iCs/>
        </w:rPr>
        <w:t xml:space="preserve">gadam </w:t>
      </w:r>
      <w:r>
        <w:rPr>
          <w:rFonts w:eastAsia="Calibri"/>
        </w:rPr>
        <w:t>(skat. tabulu Nr. 9)</w:t>
      </w:r>
      <w:r w:rsidR="00410697">
        <w:rPr>
          <w:rFonts w:eastAsia="Calibri"/>
        </w:rPr>
        <w:t>.</w:t>
      </w:r>
    </w:p>
    <w:p w:rsidR="00812D1C" w:rsidRDefault="00812D1C" w:rsidP="003A7ABB">
      <w:pPr>
        <w:spacing w:before="120"/>
        <w:ind w:firstLine="720"/>
        <w:jc w:val="right"/>
        <w:rPr>
          <w:rFonts w:eastAsia="Calibri"/>
        </w:rPr>
      </w:pPr>
    </w:p>
    <w:p w:rsidR="00B00476" w:rsidRDefault="003A7ABB" w:rsidP="003A7ABB">
      <w:pPr>
        <w:spacing w:before="120"/>
        <w:ind w:firstLine="720"/>
        <w:jc w:val="right"/>
        <w:rPr>
          <w:rFonts w:eastAsia="Calibri"/>
        </w:rPr>
      </w:pPr>
      <w:r w:rsidRPr="0082481C">
        <w:rPr>
          <w:rFonts w:eastAsia="Calibri"/>
        </w:rPr>
        <w:t>Tabula Nr.</w:t>
      </w:r>
      <w:r>
        <w:rPr>
          <w:rFonts w:eastAsia="Calibri"/>
        </w:rPr>
        <w:t> 9</w:t>
      </w:r>
    </w:p>
    <w:p w:rsidR="00B00476" w:rsidRDefault="00B00476" w:rsidP="003A7ABB">
      <w:pPr>
        <w:spacing w:before="120"/>
        <w:ind w:firstLine="720"/>
        <w:jc w:val="right"/>
        <w:rPr>
          <w:rFonts w:eastAsia="Calibri"/>
        </w:rPr>
      </w:pPr>
    </w:p>
    <w:tbl>
      <w:tblPr>
        <w:tblW w:w="10632"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4A0" w:firstRow="1" w:lastRow="0" w:firstColumn="1" w:lastColumn="0" w:noHBand="0" w:noVBand="1"/>
      </w:tblPr>
      <w:tblGrid>
        <w:gridCol w:w="1635"/>
        <w:gridCol w:w="1114"/>
        <w:gridCol w:w="871"/>
        <w:gridCol w:w="992"/>
        <w:gridCol w:w="1114"/>
        <w:gridCol w:w="864"/>
        <w:gridCol w:w="924"/>
        <w:gridCol w:w="1134"/>
        <w:gridCol w:w="992"/>
        <w:gridCol w:w="992"/>
      </w:tblGrid>
      <w:tr w:rsidR="00B00476" w:rsidRPr="00B00476" w:rsidTr="004B7F81">
        <w:trPr>
          <w:trHeight w:val="345"/>
        </w:trPr>
        <w:tc>
          <w:tcPr>
            <w:tcW w:w="10632" w:type="dxa"/>
            <w:gridSpan w:val="10"/>
            <w:shd w:val="clear" w:color="auto" w:fill="C6D9F1" w:themeFill="text2" w:themeFillTint="33"/>
            <w:noWrap/>
            <w:vAlign w:val="bottom"/>
            <w:hideMark/>
          </w:tcPr>
          <w:p w:rsidR="00B00476" w:rsidRPr="00B00476" w:rsidRDefault="00B00476" w:rsidP="00B00476">
            <w:pPr>
              <w:spacing w:before="60"/>
              <w:ind w:firstLine="720"/>
              <w:jc w:val="center"/>
              <w:rPr>
                <w:rFonts w:eastAsia="Calibri"/>
                <w:b/>
              </w:rPr>
            </w:pPr>
            <w:r w:rsidRPr="00B00476">
              <w:rPr>
                <w:rFonts w:eastAsia="Calibri"/>
                <w:b/>
              </w:rPr>
              <w:t>Budžeta apakšprogrammu 06.03.00 "Maksātnespējas procesa pārvaldība" un 06.04.00 "Darbinieku prasījumu garantiju fonds" plānotās izmaiņas 2018.-2020. gadā</w:t>
            </w:r>
          </w:p>
        </w:tc>
      </w:tr>
      <w:tr w:rsidR="00B00476" w:rsidRPr="00B00476" w:rsidTr="004B7F81">
        <w:trPr>
          <w:trHeight w:val="300"/>
        </w:trPr>
        <w:tc>
          <w:tcPr>
            <w:tcW w:w="1635" w:type="dxa"/>
            <w:vMerge w:val="restart"/>
            <w:shd w:val="clear" w:color="auto" w:fill="auto"/>
            <w:vAlign w:val="bottom"/>
            <w:hideMark/>
          </w:tcPr>
          <w:p w:rsidR="00B00476" w:rsidRPr="00B00476" w:rsidRDefault="00B00476" w:rsidP="00B00476">
            <w:pPr>
              <w:ind w:left="-956"/>
              <w:rPr>
                <w:color w:val="000000"/>
                <w:sz w:val="20"/>
                <w:szCs w:val="20"/>
              </w:rPr>
            </w:pPr>
            <w:r w:rsidRPr="00B00476">
              <w:rPr>
                <w:color w:val="000000"/>
                <w:sz w:val="20"/>
                <w:szCs w:val="20"/>
              </w:rPr>
              <w:t> </w:t>
            </w:r>
          </w:p>
        </w:tc>
        <w:tc>
          <w:tcPr>
            <w:tcW w:w="1114"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Pamatbudžeta bāze 2018. gadam</w:t>
            </w:r>
          </w:p>
        </w:tc>
        <w:tc>
          <w:tcPr>
            <w:tcW w:w="871"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 xml:space="preserve">izmaiņas </w:t>
            </w:r>
          </w:p>
          <w:p w:rsidR="00B00476" w:rsidRPr="00B00476" w:rsidRDefault="00B00476" w:rsidP="00B00476">
            <w:pPr>
              <w:jc w:val="center"/>
              <w:rPr>
                <w:color w:val="000000"/>
                <w:sz w:val="16"/>
                <w:szCs w:val="16"/>
              </w:rPr>
            </w:pPr>
            <w:r w:rsidRPr="00B00476">
              <w:rPr>
                <w:color w:val="000000"/>
                <w:sz w:val="16"/>
                <w:szCs w:val="16"/>
              </w:rPr>
              <w:t>(+, -)</w:t>
            </w:r>
          </w:p>
        </w:tc>
        <w:tc>
          <w:tcPr>
            <w:tcW w:w="992"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Precizētais 2018.</w:t>
            </w:r>
            <w:r w:rsidRPr="00B00476">
              <w:t> </w:t>
            </w:r>
            <w:r w:rsidRPr="00B00476">
              <w:rPr>
                <w:color w:val="000000"/>
                <w:sz w:val="16"/>
                <w:szCs w:val="16"/>
              </w:rPr>
              <w:t>gada plāns</w:t>
            </w:r>
          </w:p>
        </w:tc>
        <w:tc>
          <w:tcPr>
            <w:tcW w:w="1114"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Pamatbudžeta bāze 2019. gadam</w:t>
            </w:r>
          </w:p>
        </w:tc>
        <w:tc>
          <w:tcPr>
            <w:tcW w:w="864"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izmaiņas (+, -)</w:t>
            </w:r>
          </w:p>
        </w:tc>
        <w:tc>
          <w:tcPr>
            <w:tcW w:w="924"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Precizētais 2019. gada plāns</w:t>
            </w:r>
          </w:p>
        </w:tc>
        <w:tc>
          <w:tcPr>
            <w:tcW w:w="1134"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Pamatbudžeta bāze 2020. gadam</w:t>
            </w:r>
          </w:p>
        </w:tc>
        <w:tc>
          <w:tcPr>
            <w:tcW w:w="992"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izmaiņas (+, -)</w:t>
            </w:r>
          </w:p>
        </w:tc>
        <w:tc>
          <w:tcPr>
            <w:tcW w:w="992" w:type="dxa"/>
            <w:vMerge w:val="restart"/>
            <w:shd w:val="clear" w:color="auto" w:fill="C6D9F1" w:themeFill="text2" w:themeFillTint="33"/>
            <w:vAlign w:val="center"/>
            <w:hideMark/>
          </w:tcPr>
          <w:p w:rsidR="00B00476" w:rsidRPr="00B00476" w:rsidRDefault="00B00476" w:rsidP="00B00476">
            <w:pPr>
              <w:jc w:val="center"/>
              <w:rPr>
                <w:color w:val="000000"/>
                <w:sz w:val="16"/>
                <w:szCs w:val="16"/>
              </w:rPr>
            </w:pPr>
            <w:r w:rsidRPr="00B00476">
              <w:rPr>
                <w:color w:val="000000"/>
                <w:sz w:val="16"/>
                <w:szCs w:val="16"/>
              </w:rPr>
              <w:t>Precizētais 2020. gada plāns</w:t>
            </w:r>
          </w:p>
        </w:tc>
      </w:tr>
      <w:tr w:rsidR="00B00476" w:rsidRPr="00B00476" w:rsidTr="004B7F81">
        <w:trPr>
          <w:trHeight w:val="517"/>
        </w:trPr>
        <w:tc>
          <w:tcPr>
            <w:tcW w:w="1635" w:type="dxa"/>
            <w:vMerge/>
            <w:shd w:val="clear" w:color="auto" w:fill="auto"/>
            <w:vAlign w:val="center"/>
            <w:hideMark/>
          </w:tcPr>
          <w:p w:rsidR="00B00476" w:rsidRPr="00B00476" w:rsidRDefault="00B00476" w:rsidP="00B00476">
            <w:pPr>
              <w:rPr>
                <w:color w:val="000000"/>
                <w:sz w:val="20"/>
                <w:szCs w:val="20"/>
              </w:rPr>
            </w:pPr>
          </w:p>
        </w:tc>
        <w:tc>
          <w:tcPr>
            <w:tcW w:w="111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871"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111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86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2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113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r>
      <w:tr w:rsidR="00B00476" w:rsidRPr="00B00476" w:rsidTr="00410697">
        <w:trPr>
          <w:trHeight w:val="517"/>
        </w:trPr>
        <w:tc>
          <w:tcPr>
            <w:tcW w:w="1635" w:type="dxa"/>
            <w:vMerge/>
            <w:shd w:val="clear" w:color="auto" w:fill="auto"/>
            <w:vAlign w:val="center"/>
            <w:hideMark/>
          </w:tcPr>
          <w:p w:rsidR="00B00476" w:rsidRPr="00B00476" w:rsidRDefault="00B00476" w:rsidP="00B00476">
            <w:pPr>
              <w:rPr>
                <w:color w:val="000000"/>
                <w:sz w:val="20"/>
                <w:szCs w:val="20"/>
              </w:rPr>
            </w:pPr>
          </w:p>
        </w:tc>
        <w:tc>
          <w:tcPr>
            <w:tcW w:w="111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871"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111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86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2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1134"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c>
          <w:tcPr>
            <w:tcW w:w="992" w:type="dxa"/>
            <w:vMerge/>
            <w:shd w:val="clear" w:color="auto" w:fill="C6D9F1" w:themeFill="text2" w:themeFillTint="33"/>
            <w:vAlign w:val="center"/>
            <w:hideMark/>
          </w:tcPr>
          <w:p w:rsidR="00B00476" w:rsidRPr="00B00476" w:rsidRDefault="00B00476" w:rsidP="00B00476">
            <w:pPr>
              <w:rPr>
                <w:color w:val="000000"/>
                <w:sz w:val="16"/>
                <w:szCs w:val="16"/>
              </w:rPr>
            </w:pPr>
          </w:p>
        </w:tc>
      </w:tr>
      <w:tr w:rsidR="00B00476" w:rsidRPr="00B00476" w:rsidTr="004B7F81">
        <w:trPr>
          <w:trHeight w:val="300"/>
        </w:trPr>
        <w:tc>
          <w:tcPr>
            <w:tcW w:w="1635" w:type="dxa"/>
            <w:shd w:val="clear" w:color="auto" w:fill="auto"/>
            <w:vAlign w:val="center"/>
            <w:hideMark/>
          </w:tcPr>
          <w:p w:rsidR="00B00476" w:rsidRPr="00B00476" w:rsidRDefault="00B00476" w:rsidP="00B00476">
            <w:pPr>
              <w:jc w:val="center"/>
              <w:rPr>
                <w:color w:val="000000"/>
                <w:sz w:val="20"/>
                <w:szCs w:val="20"/>
              </w:rPr>
            </w:pPr>
            <w:r w:rsidRPr="00B00476">
              <w:rPr>
                <w:color w:val="000000"/>
                <w:sz w:val="20"/>
                <w:szCs w:val="20"/>
              </w:rPr>
              <w:t>1</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3</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9</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10</w:t>
            </w: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06.03.00 "Maksātnespējas procesa pārvaldība"</w:t>
            </w:r>
          </w:p>
        </w:tc>
        <w:tc>
          <w:tcPr>
            <w:tcW w:w="111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871"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111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86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2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113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Resursi izdevumu segšanai</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1 228 245</w:t>
            </w:r>
          </w:p>
        </w:tc>
        <w:tc>
          <w:tcPr>
            <w:tcW w:w="871"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673 580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1 901 825</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1 228 245</w:t>
            </w:r>
          </w:p>
        </w:tc>
        <w:tc>
          <w:tcPr>
            <w:tcW w:w="86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479 810</w:t>
            </w: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1 708 055</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1 228 245</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504 810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1 733 055</w:t>
            </w: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Ieņēmumi no maksas pakalpojumiem un citi pašu ieņēmumi – kopā, t.sk.</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499 478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499 478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499 478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Ieņēmumi no uzņēmējdarbības riska valsts nodevas</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-484 538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Citi ieņēmumi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14 940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Dotācija no vispārējiem ieņēmumiem, t.sk.</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728 767</w:t>
            </w:r>
          </w:p>
        </w:tc>
        <w:tc>
          <w:tcPr>
            <w:tcW w:w="871"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1 158 118</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1 886 885</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728 767</w:t>
            </w:r>
          </w:p>
        </w:tc>
        <w:tc>
          <w:tcPr>
            <w:tcW w:w="86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964 348</w:t>
            </w: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1 693 115</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728 767</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989 348</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1 718 115</w:t>
            </w:r>
          </w:p>
        </w:tc>
      </w:tr>
      <w:tr w:rsidR="00B00476" w:rsidRPr="00B00476" w:rsidTr="004B7F81">
        <w:trPr>
          <w:trHeight w:val="300"/>
        </w:trPr>
        <w:tc>
          <w:tcPr>
            <w:tcW w:w="1635" w:type="dxa"/>
            <w:shd w:val="clear" w:color="auto" w:fill="auto"/>
            <w:vAlign w:val="bottom"/>
          </w:tcPr>
          <w:p w:rsidR="00B00476" w:rsidRPr="00B00476" w:rsidRDefault="00B00476" w:rsidP="00B00476">
            <w:pPr>
              <w:rPr>
                <w:bCs/>
                <w:color w:val="000000"/>
                <w:sz w:val="16"/>
                <w:szCs w:val="16"/>
                <w:highlight w:val="yellow"/>
              </w:rPr>
            </w:pPr>
            <w:r w:rsidRPr="00B00476">
              <w:rPr>
                <w:bCs/>
                <w:color w:val="000000"/>
                <w:sz w:val="16"/>
                <w:szCs w:val="16"/>
              </w:rPr>
              <w:t>Samazinājums</w:t>
            </w:r>
          </w:p>
        </w:tc>
        <w:tc>
          <w:tcPr>
            <w:tcW w:w="1114" w:type="dxa"/>
            <w:shd w:val="clear" w:color="auto" w:fill="auto"/>
            <w:vAlign w:val="center"/>
          </w:tcPr>
          <w:p w:rsidR="00B00476" w:rsidRPr="00B00476" w:rsidRDefault="00B00476" w:rsidP="00B00476">
            <w:pPr>
              <w:jc w:val="center"/>
              <w:rPr>
                <w:bCs/>
                <w:color w:val="000000"/>
                <w:sz w:val="16"/>
                <w:szCs w:val="16"/>
                <w:highlight w:val="yellow"/>
              </w:rPr>
            </w:pPr>
          </w:p>
        </w:tc>
        <w:tc>
          <w:tcPr>
            <w:tcW w:w="871" w:type="dxa"/>
            <w:shd w:val="clear" w:color="auto" w:fill="auto"/>
            <w:vAlign w:val="center"/>
          </w:tcPr>
          <w:p w:rsidR="00B00476" w:rsidRPr="00B00476" w:rsidRDefault="00B00476" w:rsidP="00B00476">
            <w:pPr>
              <w:jc w:val="center"/>
              <w:rPr>
                <w:bCs/>
                <w:color w:val="000000"/>
                <w:sz w:val="16"/>
                <w:szCs w:val="16"/>
                <w:highlight w:val="yellow"/>
              </w:rPr>
            </w:pPr>
            <w:r w:rsidRPr="00B00476">
              <w:rPr>
                <w:bCs/>
                <w:color w:val="000000"/>
                <w:sz w:val="16"/>
                <w:szCs w:val="16"/>
              </w:rPr>
              <w:t>-150 000</w:t>
            </w:r>
          </w:p>
        </w:tc>
        <w:tc>
          <w:tcPr>
            <w:tcW w:w="992" w:type="dxa"/>
            <w:shd w:val="clear" w:color="auto" w:fill="auto"/>
            <w:vAlign w:val="center"/>
          </w:tcPr>
          <w:p w:rsidR="00B00476" w:rsidRPr="00B00476" w:rsidRDefault="00B00476" w:rsidP="00B00476">
            <w:pPr>
              <w:jc w:val="center"/>
              <w:rPr>
                <w:bCs/>
                <w:color w:val="000000"/>
                <w:sz w:val="16"/>
                <w:szCs w:val="16"/>
              </w:rPr>
            </w:pPr>
          </w:p>
        </w:tc>
        <w:tc>
          <w:tcPr>
            <w:tcW w:w="1114" w:type="dxa"/>
            <w:shd w:val="clear" w:color="auto" w:fill="auto"/>
            <w:vAlign w:val="center"/>
          </w:tcPr>
          <w:p w:rsidR="00B00476" w:rsidRPr="00B00476" w:rsidRDefault="00B00476" w:rsidP="00B00476">
            <w:pPr>
              <w:jc w:val="center"/>
              <w:rPr>
                <w:bCs/>
                <w:color w:val="000000"/>
                <w:sz w:val="16"/>
                <w:szCs w:val="16"/>
                <w:highlight w:val="yellow"/>
              </w:rPr>
            </w:pPr>
          </w:p>
        </w:tc>
        <w:tc>
          <w:tcPr>
            <w:tcW w:w="864" w:type="dxa"/>
            <w:shd w:val="clear" w:color="auto" w:fill="auto"/>
            <w:vAlign w:val="center"/>
          </w:tcPr>
          <w:p w:rsidR="00B00476" w:rsidRPr="00B00476" w:rsidRDefault="00B00476" w:rsidP="00B00476">
            <w:pPr>
              <w:jc w:val="center"/>
              <w:rPr>
                <w:bCs/>
                <w:color w:val="000000"/>
                <w:sz w:val="16"/>
                <w:szCs w:val="16"/>
                <w:highlight w:val="yellow"/>
              </w:rPr>
            </w:pPr>
            <w:r w:rsidRPr="00B00476">
              <w:rPr>
                <w:bCs/>
                <w:color w:val="000000"/>
                <w:sz w:val="16"/>
                <w:szCs w:val="16"/>
              </w:rPr>
              <w:t>-150 000</w:t>
            </w:r>
          </w:p>
        </w:tc>
        <w:tc>
          <w:tcPr>
            <w:tcW w:w="924" w:type="dxa"/>
            <w:shd w:val="clear" w:color="auto" w:fill="auto"/>
            <w:vAlign w:val="center"/>
          </w:tcPr>
          <w:p w:rsidR="00B00476" w:rsidRPr="00B00476" w:rsidRDefault="00B00476" w:rsidP="00B00476">
            <w:pPr>
              <w:jc w:val="center"/>
              <w:rPr>
                <w:bCs/>
                <w:color w:val="000000"/>
                <w:sz w:val="16"/>
                <w:szCs w:val="16"/>
              </w:rPr>
            </w:pPr>
          </w:p>
        </w:tc>
        <w:tc>
          <w:tcPr>
            <w:tcW w:w="1134" w:type="dxa"/>
            <w:shd w:val="clear" w:color="auto" w:fill="auto"/>
            <w:vAlign w:val="center"/>
          </w:tcPr>
          <w:p w:rsidR="00B00476" w:rsidRPr="00B00476" w:rsidRDefault="00B00476" w:rsidP="00B00476">
            <w:pPr>
              <w:jc w:val="center"/>
              <w:rPr>
                <w:bCs/>
                <w:color w:val="000000"/>
                <w:sz w:val="16"/>
                <w:szCs w:val="16"/>
                <w:highlight w:val="yellow"/>
              </w:rPr>
            </w:pPr>
          </w:p>
        </w:tc>
        <w:tc>
          <w:tcPr>
            <w:tcW w:w="992" w:type="dxa"/>
            <w:shd w:val="clear" w:color="auto" w:fill="auto"/>
            <w:vAlign w:val="center"/>
          </w:tcPr>
          <w:p w:rsidR="00B00476" w:rsidRPr="00B00476" w:rsidRDefault="00B00476" w:rsidP="00B00476">
            <w:pPr>
              <w:jc w:val="center"/>
              <w:rPr>
                <w:bCs/>
                <w:color w:val="000000"/>
                <w:sz w:val="16"/>
                <w:szCs w:val="16"/>
                <w:highlight w:val="yellow"/>
              </w:rPr>
            </w:pPr>
            <w:r w:rsidRPr="00B00476">
              <w:rPr>
                <w:bCs/>
                <w:color w:val="000000"/>
                <w:sz w:val="16"/>
                <w:szCs w:val="16"/>
              </w:rPr>
              <w:t>- 150 000</w:t>
            </w:r>
          </w:p>
        </w:tc>
        <w:tc>
          <w:tcPr>
            <w:tcW w:w="992" w:type="dxa"/>
            <w:shd w:val="clear" w:color="auto" w:fill="auto"/>
            <w:vAlign w:val="center"/>
          </w:tcPr>
          <w:p w:rsidR="00B00476" w:rsidRPr="00B00476" w:rsidRDefault="00B00476" w:rsidP="00B00476">
            <w:pPr>
              <w:jc w:val="center"/>
              <w:rPr>
                <w:bCs/>
                <w:color w:val="000000"/>
                <w:sz w:val="16"/>
                <w:szCs w:val="16"/>
              </w:rPr>
            </w:pPr>
          </w:p>
        </w:tc>
      </w:tr>
      <w:tr w:rsidR="00B00476" w:rsidRPr="00B00476" w:rsidTr="004B7F81">
        <w:trPr>
          <w:trHeight w:val="300"/>
        </w:trPr>
        <w:tc>
          <w:tcPr>
            <w:tcW w:w="1635" w:type="dxa"/>
            <w:shd w:val="clear" w:color="auto" w:fill="auto"/>
            <w:vAlign w:val="bottom"/>
          </w:tcPr>
          <w:p w:rsidR="00B00476" w:rsidRPr="00B00476" w:rsidRDefault="00B00476" w:rsidP="00B00476">
            <w:pPr>
              <w:rPr>
                <w:bCs/>
                <w:color w:val="000000"/>
                <w:sz w:val="16"/>
                <w:szCs w:val="16"/>
                <w:highlight w:val="yellow"/>
              </w:rPr>
            </w:pPr>
            <w:r w:rsidRPr="00B00476">
              <w:rPr>
                <w:bCs/>
                <w:color w:val="000000"/>
                <w:sz w:val="16"/>
                <w:szCs w:val="16"/>
              </w:rPr>
              <w:t>Palielinājums no URVN</w:t>
            </w:r>
          </w:p>
        </w:tc>
        <w:tc>
          <w:tcPr>
            <w:tcW w:w="1114" w:type="dxa"/>
            <w:shd w:val="clear" w:color="auto" w:fill="auto"/>
            <w:vAlign w:val="center"/>
          </w:tcPr>
          <w:p w:rsidR="00B00476" w:rsidRPr="00B00476" w:rsidRDefault="00B00476" w:rsidP="00B00476">
            <w:pPr>
              <w:jc w:val="center"/>
              <w:rPr>
                <w:bCs/>
                <w:color w:val="000000"/>
                <w:sz w:val="16"/>
                <w:szCs w:val="16"/>
              </w:rPr>
            </w:pPr>
          </w:p>
        </w:tc>
        <w:tc>
          <w:tcPr>
            <w:tcW w:w="871" w:type="dxa"/>
            <w:shd w:val="clear" w:color="auto" w:fill="auto"/>
            <w:vAlign w:val="center"/>
          </w:tcPr>
          <w:p w:rsidR="00B00476" w:rsidRPr="00B00476" w:rsidRDefault="00B00476" w:rsidP="00B00476">
            <w:pPr>
              <w:jc w:val="center"/>
              <w:rPr>
                <w:bCs/>
                <w:color w:val="000000"/>
                <w:sz w:val="16"/>
                <w:szCs w:val="16"/>
              </w:rPr>
            </w:pPr>
            <w:r w:rsidRPr="00B00476">
              <w:rPr>
                <w:bCs/>
                <w:color w:val="000000"/>
                <w:sz w:val="16"/>
                <w:szCs w:val="16"/>
              </w:rPr>
              <w:t>1 308 118</w:t>
            </w:r>
          </w:p>
        </w:tc>
        <w:tc>
          <w:tcPr>
            <w:tcW w:w="992" w:type="dxa"/>
            <w:shd w:val="clear" w:color="auto" w:fill="auto"/>
            <w:vAlign w:val="center"/>
          </w:tcPr>
          <w:p w:rsidR="00B00476" w:rsidRPr="00B00476" w:rsidRDefault="00B00476" w:rsidP="00B00476">
            <w:pPr>
              <w:jc w:val="center"/>
              <w:rPr>
                <w:bCs/>
                <w:color w:val="000000"/>
                <w:sz w:val="16"/>
                <w:szCs w:val="16"/>
              </w:rPr>
            </w:pPr>
          </w:p>
        </w:tc>
        <w:tc>
          <w:tcPr>
            <w:tcW w:w="1114" w:type="dxa"/>
            <w:shd w:val="clear" w:color="auto" w:fill="auto"/>
            <w:vAlign w:val="center"/>
          </w:tcPr>
          <w:p w:rsidR="00B00476" w:rsidRPr="00B00476" w:rsidRDefault="00B00476" w:rsidP="00B00476">
            <w:pPr>
              <w:jc w:val="center"/>
              <w:rPr>
                <w:bCs/>
                <w:color w:val="000000"/>
                <w:sz w:val="16"/>
                <w:szCs w:val="16"/>
              </w:rPr>
            </w:pPr>
          </w:p>
        </w:tc>
        <w:tc>
          <w:tcPr>
            <w:tcW w:w="864" w:type="dxa"/>
            <w:shd w:val="clear" w:color="auto" w:fill="auto"/>
            <w:vAlign w:val="center"/>
          </w:tcPr>
          <w:p w:rsidR="00B00476" w:rsidRPr="00B00476" w:rsidRDefault="00B00476" w:rsidP="00B00476">
            <w:pPr>
              <w:jc w:val="center"/>
              <w:rPr>
                <w:bCs/>
                <w:color w:val="000000"/>
                <w:sz w:val="16"/>
                <w:szCs w:val="16"/>
              </w:rPr>
            </w:pPr>
            <w:r w:rsidRPr="00B00476">
              <w:rPr>
                <w:bCs/>
                <w:color w:val="000000"/>
                <w:sz w:val="16"/>
                <w:szCs w:val="16"/>
              </w:rPr>
              <w:t>1 114 348</w:t>
            </w:r>
          </w:p>
        </w:tc>
        <w:tc>
          <w:tcPr>
            <w:tcW w:w="924" w:type="dxa"/>
            <w:shd w:val="clear" w:color="auto" w:fill="auto"/>
            <w:vAlign w:val="center"/>
          </w:tcPr>
          <w:p w:rsidR="00B00476" w:rsidRPr="00B00476" w:rsidRDefault="00B00476" w:rsidP="00B00476">
            <w:pPr>
              <w:jc w:val="center"/>
              <w:rPr>
                <w:bCs/>
                <w:color w:val="000000"/>
                <w:sz w:val="16"/>
                <w:szCs w:val="16"/>
              </w:rPr>
            </w:pPr>
          </w:p>
        </w:tc>
        <w:tc>
          <w:tcPr>
            <w:tcW w:w="1134" w:type="dxa"/>
            <w:shd w:val="clear" w:color="auto" w:fill="auto"/>
            <w:vAlign w:val="center"/>
          </w:tcPr>
          <w:p w:rsidR="00B00476" w:rsidRPr="00B00476" w:rsidRDefault="00B00476" w:rsidP="00B00476">
            <w:pPr>
              <w:jc w:val="center"/>
              <w:rPr>
                <w:bCs/>
                <w:color w:val="000000"/>
                <w:sz w:val="16"/>
                <w:szCs w:val="16"/>
              </w:rPr>
            </w:pPr>
          </w:p>
        </w:tc>
        <w:tc>
          <w:tcPr>
            <w:tcW w:w="992" w:type="dxa"/>
            <w:shd w:val="clear" w:color="auto" w:fill="auto"/>
            <w:vAlign w:val="center"/>
          </w:tcPr>
          <w:p w:rsidR="00B00476" w:rsidRPr="00B00476" w:rsidRDefault="00B00476" w:rsidP="00B00476">
            <w:pPr>
              <w:jc w:val="center"/>
              <w:rPr>
                <w:bCs/>
                <w:color w:val="000000"/>
                <w:sz w:val="16"/>
                <w:szCs w:val="16"/>
              </w:rPr>
            </w:pPr>
            <w:r w:rsidRPr="00B00476">
              <w:rPr>
                <w:bCs/>
                <w:color w:val="000000"/>
                <w:sz w:val="16"/>
                <w:szCs w:val="16"/>
              </w:rPr>
              <w:t>1 139 348</w:t>
            </w:r>
          </w:p>
        </w:tc>
        <w:tc>
          <w:tcPr>
            <w:tcW w:w="992" w:type="dxa"/>
            <w:shd w:val="clear" w:color="auto" w:fill="auto"/>
            <w:vAlign w:val="center"/>
          </w:tcPr>
          <w:p w:rsidR="00B00476" w:rsidRPr="00B00476" w:rsidRDefault="00B00476" w:rsidP="00B00476">
            <w:pPr>
              <w:jc w:val="center"/>
              <w:rPr>
                <w:bCs/>
                <w:color w:val="000000"/>
                <w:sz w:val="16"/>
                <w:szCs w:val="16"/>
              </w:rPr>
            </w:pP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Izdevumi – kopā</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1 232 834</w:t>
            </w:r>
          </w:p>
        </w:tc>
        <w:tc>
          <w:tcPr>
            <w:tcW w:w="871"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673 580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1 906 414</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1 228 245</w:t>
            </w:r>
          </w:p>
        </w:tc>
        <w:tc>
          <w:tcPr>
            <w:tcW w:w="86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479 810</w:t>
            </w: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1 708 055</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1 228 245</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504 810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1 733 055</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Atlīdzība</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1 031 348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372 642</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1 403 990</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1 031 348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372 642</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1 403 990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1 031 348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372 642</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1 403 990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Atalgojums</w:t>
            </w:r>
          </w:p>
        </w:tc>
        <w:tc>
          <w:tcPr>
            <w:tcW w:w="1114" w:type="dxa"/>
            <w:shd w:val="clear" w:color="auto" w:fill="auto"/>
            <w:noWrap/>
            <w:vAlign w:val="center"/>
            <w:hideMark/>
          </w:tcPr>
          <w:p w:rsidR="00B00476" w:rsidRPr="00B00476" w:rsidRDefault="00B00476" w:rsidP="00B00476">
            <w:pPr>
              <w:jc w:val="center"/>
              <w:rPr>
                <w:rFonts w:ascii="Calibri" w:hAnsi="Calibri"/>
                <w:color w:val="000000"/>
                <w:sz w:val="16"/>
                <w:szCs w:val="16"/>
              </w:rPr>
            </w:pPr>
            <w:r w:rsidRPr="00B00476">
              <w:rPr>
                <w:rFonts w:ascii="Calibri" w:hAnsi="Calibri"/>
                <w:color w:val="000000"/>
                <w:sz w:val="16"/>
                <w:szCs w:val="16"/>
              </w:rPr>
              <w:t>821 251</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294 883</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1 116 134</w:t>
            </w:r>
          </w:p>
        </w:tc>
        <w:tc>
          <w:tcPr>
            <w:tcW w:w="1114" w:type="dxa"/>
            <w:shd w:val="clear" w:color="auto" w:fill="auto"/>
            <w:noWrap/>
            <w:vAlign w:val="center"/>
            <w:hideMark/>
          </w:tcPr>
          <w:p w:rsidR="00B00476" w:rsidRPr="00B00476" w:rsidRDefault="00B00476" w:rsidP="00B00476">
            <w:pPr>
              <w:jc w:val="center"/>
              <w:rPr>
                <w:rFonts w:ascii="Calibri" w:hAnsi="Calibri"/>
                <w:color w:val="000000"/>
                <w:sz w:val="16"/>
                <w:szCs w:val="16"/>
              </w:rPr>
            </w:pPr>
            <w:r w:rsidRPr="00B00476">
              <w:rPr>
                <w:rFonts w:ascii="Calibri" w:hAnsi="Calibri"/>
                <w:color w:val="000000"/>
                <w:sz w:val="16"/>
                <w:szCs w:val="16"/>
              </w:rPr>
              <w:t>821 251</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294 883</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1 116 134</w:t>
            </w:r>
          </w:p>
        </w:tc>
        <w:tc>
          <w:tcPr>
            <w:tcW w:w="1134" w:type="dxa"/>
            <w:shd w:val="clear" w:color="auto" w:fill="auto"/>
            <w:noWrap/>
            <w:vAlign w:val="center"/>
            <w:hideMark/>
          </w:tcPr>
          <w:p w:rsidR="00B00476" w:rsidRPr="00B00476" w:rsidRDefault="00B00476" w:rsidP="00B00476">
            <w:pPr>
              <w:jc w:val="center"/>
              <w:rPr>
                <w:rFonts w:ascii="Calibri" w:hAnsi="Calibri"/>
                <w:color w:val="000000"/>
                <w:sz w:val="16"/>
                <w:szCs w:val="16"/>
              </w:rPr>
            </w:pPr>
            <w:r w:rsidRPr="00B00476">
              <w:rPr>
                <w:rFonts w:ascii="Calibri" w:hAnsi="Calibri"/>
                <w:color w:val="000000"/>
                <w:sz w:val="16"/>
                <w:szCs w:val="16"/>
              </w:rPr>
              <w:t>821 251</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294 883</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1 116 134</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Preces un pakalpojumi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195 536</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289 438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484 974</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190 947</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107 168</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298 115</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190 947</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132 168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323 115</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Kapitālie izdevumi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5 950</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11 500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17 450</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5 950</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5 950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5 950</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5 950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Finansiālā bilance</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-4 589</w:t>
            </w:r>
          </w:p>
        </w:tc>
        <w:tc>
          <w:tcPr>
            <w:tcW w:w="871" w:type="dxa"/>
            <w:shd w:val="clear" w:color="auto" w:fill="auto"/>
            <w:vAlign w:val="center"/>
            <w:hideMark/>
          </w:tcPr>
          <w:p w:rsidR="00B00476" w:rsidRPr="00B00476" w:rsidRDefault="00B00476" w:rsidP="00B00476">
            <w:pPr>
              <w:jc w:val="center"/>
              <w:rPr>
                <w:b/>
                <w:bCs/>
                <w:color w:val="000000"/>
                <w:sz w:val="16"/>
                <w:szCs w:val="16"/>
              </w:rPr>
            </w:pP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-4 589</w:t>
            </w:r>
          </w:p>
        </w:tc>
        <w:tc>
          <w:tcPr>
            <w:tcW w:w="1114" w:type="dxa"/>
            <w:shd w:val="clear" w:color="auto" w:fill="auto"/>
            <w:vAlign w:val="center"/>
            <w:hideMark/>
          </w:tcPr>
          <w:p w:rsidR="00B00476" w:rsidRPr="00B00476" w:rsidRDefault="00B00476" w:rsidP="00B00476">
            <w:pPr>
              <w:jc w:val="center"/>
              <w:rPr>
                <w:b/>
                <w:bCs/>
                <w:color w:val="000000"/>
                <w:sz w:val="16"/>
                <w:szCs w:val="16"/>
              </w:rPr>
            </w:pPr>
          </w:p>
        </w:tc>
        <w:tc>
          <w:tcPr>
            <w:tcW w:w="864" w:type="dxa"/>
            <w:shd w:val="clear" w:color="auto" w:fill="auto"/>
            <w:vAlign w:val="center"/>
            <w:hideMark/>
          </w:tcPr>
          <w:p w:rsidR="00B00476" w:rsidRPr="00B00476" w:rsidRDefault="00B00476" w:rsidP="00B00476">
            <w:pPr>
              <w:jc w:val="center"/>
              <w:rPr>
                <w:sz w:val="16"/>
                <w:szCs w:val="16"/>
              </w:rPr>
            </w:pPr>
          </w:p>
        </w:tc>
        <w:tc>
          <w:tcPr>
            <w:tcW w:w="924" w:type="dxa"/>
            <w:shd w:val="clear" w:color="auto" w:fill="auto"/>
            <w:vAlign w:val="center"/>
            <w:hideMark/>
          </w:tcPr>
          <w:p w:rsidR="00B00476" w:rsidRPr="00B00476" w:rsidRDefault="00B00476" w:rsidP="00B00476">
            <w:pPr>
              <w:jc w:val="center"/>
              <w:rPr>
                <w:sz w:val="16"/>
                <w:szCs w:val="16"/>
              </w:rPr>
            </w:pPr>
          </w:p>
        </w:tc>
        <w:tc>
          <w:tcPr>
            <w:tcW w:w="1134"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Finansēšana</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1114" w:type="dxa"/>
            <w:shd w:val="clear" w:color="auto" w:fill="auto"/>
            <w:vAlign w:val="center"/>
            <w:hideMark/>
          </w:tcPr>
          <w:p w:rsidR="00B00476" w:rsidRPr="00B00476" w:rsidRDefault="00B00476" w:rsidP="00B00476">
            <w:pPr>
              <w:jc w:val="center"/>
              <w:rPr>
                <w:color w:val="000000"/>
                <w:sz w:val="16"/>
                <w:szCs w:val="16"/>
              </w:rPr>
            </w:pPr>
          </w:p>
        </w:tc>
        <w:tc>
          <w:tcPr>
            <w:tcW w:w="864" w:type="dxa"/>
            <w:shd w:val="clear" w:color="auto" w:fill="auto"/>
            <w:vAlign w:val="center"/>
            <w:hideMark/>
          </w:tcPr>
          <w:p w:rsidR="00B00476" w:rsidRPr="00B00476" w:rsidRDefault="00B00476" w:rsidP="00B00476">
            <w:pPr>
              <w:jc w:val="center"/>
              <w:rPr>
                <w:sz w:val="16"/>
                <w:szCs w:val="16"/>
              </w:rPr>
            </w:pPr>
          </w:p>
        </w:tc>
        <w:tc>
          <w:tcPr>
            <w:tcW w:w="924" w:type="dxa"/>
            <w:shd w:val="clear" w:color="auto" w:fill="auto"/>
            <w:vAlign w:val="center"/>
            <w:hideMark/>
          </w:tcPr>
          <w:p w:rsidR="00B00476" w:rsidRPr="00B00476" w:rsidRDefault="00B00476" w:rsidP="00B00476">
            <w:pPr>
              <w:jc w:val="center"/>
              <w:rPr>
                <w:sz w:val="16"/>
                <w:szCs w:val="16"/>
              </w:rPr>
            </w:pPr>
          </w:p>
        </w:tc>
        <w:tc>
          <w:tcPr>
            <w:tcW w:w="1134"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Naudas līdzekļi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1114" w:type="dxa"/>
            <w:shd w:val="clear" w:color="auto" w:fill="auto"/>
            <w:vAlign w:val="center"/>
            <w:hideMark/>
          </w:tcPr>
          <w:p w:rsidR="00B00476" w:rsidRPr="00B00476" w:rsidRDefault="00B00476" w:rsidP="00B00476">
            <w:pPr>
              <w:jc w:val="center"/>
              <w:rPr>
                <w:color w:val="000000"/>
                <w:sz w:val="16"/>
                <w:szCs w:val="16"/>
              </w:rPr>
            </w:pPr>
          </w:p>
        </w:tc>
        <w:tc>
          <w:tcPr>
            <w:tcW w:w="864" w:type="dxa"/>
            <w:shd w:val="clear" w:color="auto" w:fill="auto"/>
            <w:vAlign w:val="center"/>
            <w:hideMark/>
          </w:tcPr>
          <w:p w:rsidR="00B00476" w:rsidRPr="00B00476" w:rsidRDefault="00B00476" w:rsidP="00B00476">
            <w:pPr>
              <w:jc w:val="center"/>
              <w:rPr>
                <w:sz w:val="16"/>
                <w:szCs w:val="16"/>
              </w:rPr>
            </w:pPr>
          </w:p>
        </w:tc>
        <w:tc>
          <w:tcPr>
            <w:tcW w:w="924" w:type="dxa"/>
            <w:shd w:val="clear" w:color="auto" w:fill="auto"/>
            <w:vAlign w:val="center"/>
            <w:hideMark/>
          </w:tcPr>
          <w:p w:rsidR="00B00476" w:rsidRPr="00B00476" w:rsidRDefault="00B00476" w:rsidP="00B00476">
            <w:pPr>
              <w:jc w:val="center"/>
              <w:rPr>
                <w:sz w:val="16"/>
                <w:szCs w:val="16"/>
              </w:rPr>
            </w:pPr>
          </w:p>
        </w:tc>
        <w:tc>
          <w:tcPr>
            <w:tcW w:w="1134"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r>
      <w:tr w:rsidR="00B00476" w:rsidRPr="00B00476" w:rsidTr="004B7F81">
        <w:trPr>
          <w:trHeight w:val="103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Maksas pakalpojumu un citu pašu ieņēmumu naudas līdzekļu atlikumu izmaiņas palielinājums (-) vai samazinājums (+)</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4 589</w:t>
            </w:r>
          </w:p>
        </w:tc>
        <w:tc>
          <w:tcPr>
            <w:tcW w:w="1114" w:type="dxa"/>
            <w:shd w:val="clear" w:color="auto" w:fill="auto"/>
            <w:vAlign w:val="center"/>
            <w:hideMark/>
          </w:tcPr>
          <w:p w:rsidR="00B00476" w:rsidRPr="00B00476" w:rsidRDefault="00B00476" w:rsidP="00B00476">
            <w:pPr>
              <w:jc w:val="center"/>
              <w:rPr>
                <w:color w:val="000000"/>
                <w:sz w:val="16"/>
                <w:szCs w:val="16"/>
              </w:rPr>
            </w:pPr>
          </w:p>
        </w:tc>
        <w:tc>
          <w:tcPr>
            <w:tcW w:w="864" w:type="dxa"/>
            <w:shd w:val="clear" w:color="auto" w:fill="auto"/>
            <w:vAlign w:val="center"/>
            <w:hideMark/>
          </w:tcPr>
          <w:p w:rsidR="00B00476" w:rsidRPr="00B00476" w:rsidRDefault="00B00476" w:rsidP="00B00476">
            <w:pPr>
              <w:jc w:val="center"/>
              <w:rPr>
                <w:sz w:val="16"/>
                <w:szCs w:val="16"/>
              </w:rPr>
            </w:pPr>
          </w:p>
        </w:tc>
        <w:tc>
          <w:tcPr>
            <w:tcW w:w="924" w:type="dxa"/>
            <w:shd w:val="clear" w:color="auto" w:fill="auto"/>
            <w:vAlign w:val="center"/>
            <w:hideMark/>
          </w:tcPr>
          <w:p w:rsidR="00B00476" w:rsidRPr="00B00476" w:rsidRDefault="00B00476" w:rsidP="00B00476">
            <w:pPr>
              <w:jc w:val="center"/>
              <w:rPr>
                <w:sz w:val="16"/>
                <w:szCs w:val="16"/>
              </w:rPr>
            </w:pPr>
          </w:p>
        </w:tc>
        <w:tc>
          <w:tcPr>
            <w:tcW w:w="1134"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c>
          <w:tcPr>
            <w:tcW w:w="992" w:type="dxa"/>
            <w:shd w:val="clear" w:color="auto" w:fill="auto"/>
            <w:vAlign w:val="center"/>
            <w:hideMark/>
          </w:tcPr>
          <w:p w:rsidR="00B00476" w:rsidRPr="00B00476" w:rsidRDefault="00B00476" w:rsidP="00B00476">
            <w:pPr>
              <w:jc w:val="center"/>
              <w:rPr>
                <w:sz w:val="16"/>
                <w:szCs w:val="16"/>
              </w:rPr>
            </w:pP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06.04.00 "Darbinieku prasījumu garantiju fonds"</w:t>
            </w:r>
          </w:p>
        </w:tc>
        <w:tc>
          <w:tcPr>
            <w:tcW w:w="111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871"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111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86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2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1134"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c>
          <w:tcPr>
            <w:tcW w:w="992"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 </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Resursi izdevumu segšanai</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2 728 442</w:t>
            </w:r>
          </w:p>
        </w:tc>
        <w:tc>
          <w:tcPr>
            <w:tcW w:w="871"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-823 580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1 904 862</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2 731 488</w:t>
            </w:r>
          </w:p>
        </w:tc>
        <w:tc>
          <w:tcPr>
            <w:tcW w:w="86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-629 810</w:t>
            </w: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2 101 678</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2 731 488</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-654 810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2 076 678</w:t>
            </w: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Ieņēmumi no maksas pakalpojumiem un citi pašu ieņēmumi – kopā, t.sk.</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2 728 442</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-823 580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1 904 862</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2 731 488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-629 810</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2 101 678</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2 731 488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-654 810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2 076 678</w:t>
            </w:r>
          </w:p>
        </w:tc>
      </w:tr>
      <w:tr w:rsidR="00B00476" w:rsidRPr="00B00476" w:rsidTr="004B7F81">
        <w:trPr>
          <w:trHeight w:val="52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Ieņēmumi no uzņēmējdarbības riska valsts nodevas</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2 563 442</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-823 580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1 739 862</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2 566 488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-629 810</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1 936 678</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2 566 488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-654 810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1 911 678</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Atgūtie līdzekļi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165 000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Izdevumi – kopā</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1 701 724</w:t>
            </w:r>
          </w:p>
        </w:tc>
        <w:tc>
          <w:tcPr>
            <w:tcW w:w="871" w:type="dxa"/>
            <w:shd w:val="clear" w:color="auto" w:fill="auto"/>
            <w:vAlign w:val="center"/>
            <w:hideMark/>
          </w:tcPr>
          <w:p w:rsidR="00B00476" w:rsidRPr="00B00476" w:rsidRDefault="00B00476" w:rsidP="00B00476">
            <w:pPr>
              <w:jc w:val="center"/>
              <w:rPr>
                <w:b/>
                <w:bCs/>
                <w:color w:val="000000"/>
                <w:sz w:val="16"/>
                <w:szCs w:val="16"/>
              </w:rPr>
            </w:pP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1 701 724</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1 947 000</w:t>
            </w:r>
          </w:p>
        </w:tc>
        <w:tc>
          <w:tcPr>
            <w:tcW w:w="864" w:type="dxa"/>
            <w:shd w:val="clear" w:color="auto" w:fill="auto"/>
            <w:vAlign w:val="center"/>
            <w:hideMark/>
          </w:tcPr>
          <w:p w:rsidR="00B00476" w:rsidRPr="00B00476" w:rsidRDefault="00B00476" w:rsidP="00B00476">
            <w:pPr>
              <w:jc w:val="center"/>
              <w:rPr>
                <w:b/>
                <w:bCs/>
                <w:color w:val="000000"/>
                <w:sz w:val="16"/>
                <w:szCs w:val="16"/>
              </w:rPr>
            </w:pP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1 947 000</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1 947 000</w:t>
            </w:r>
          </w:p>
        </w:tc>
        <w:tc>
          <w:tcPr>
            <w:tcW w:w="992" w:type="dxa"/>
            <w:shd w:val="clear" w:color="auto" w:fill="auto"/>
            <w:vAlign w:val="center"/>
            <w:hideMark/>
          </w:tcPr>
          <w:p w:rsidR="00B00476" w:rsidRPr="00B00476" w:rsidRDefault="00B00476" w:rsidP="00B00476">
            <w:pPr>
              <w:jc w:val="center"/>
              <w:rPr>
                <w:b/>
                <w:bCs/>
                <w:color w:val="000000"/>
                <w:sz w:val="16"/>
                <w:szCs w:val="16"/>
              </w:rPr>
            </w:pP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1 947 000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Preces un pakalpojumi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724 366</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724 366</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829 217</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829 217</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829 217</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829 217</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Subsīdijas, dotācijas un sociālie pabalsti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977 358</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977 358</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1 117 783</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1 117 783</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1 117 783</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1 117 783</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Subsīdijas un dotācijas</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10 989</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10 989</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11 533</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11 533</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11 533</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11 533</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Sociālie pabalsti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966 369</w:t>
            </w:r>
          </w:p>
        </w:tc>
        <w:tc>
          <w:tcPr>
            <w:tcW w:w="871"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966 369</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1 106 250</w:t>
            </w:r>
          </w:p>
        </w:tc>
        <w:tc>
          <w:tcPr>
            <w:tcW w:w="864" w:type="dxa"/>
            <w:shd w:val="clear" w:color="auto" w:fill="auto"/>
            <w:vAlign w:val="center"/>
            <w:hideMark/>
          </w:tcPr>
          <w:p w:rsidR="00B00476" w:rsidRPr="00B00476" w:rsidRDefault="00B00476" w:rsidP="00B00476">
            <w:pPr>
              <w:jc w:val="center"/>
              <w:rPr>
                <w:color w:val="000000"/>
                <w:sz w:val="16"/>
                <w:szCs w:val="16"/>
              </w:rPr>
            </w:pP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1 106 250</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1 106 250</w:t>
            </w:r>
          </w:p>
        </w:tc>
        <w:tc>
          <w:tcPr>
            <w:tcW w:w="992" w:type="dxa"/>
            <w:shd w:val="clear" w:color="auto" w:fill="auto"/>
            <w:vAlign w:val="center"/>
            <w:hideMark/>
          </w:tcPr>
          <w:p w:rsidR="00B00476" w:rsidRPr="00B00476" w:rsidRDefault="00B00476" w:rsidP="00B00476">
            <w:pPr>
              <w:jc w:val="center"/>
              <w:rPr>
                <w:color w:val="000000"/>
                <w:sz w:val="16"/>
                <w:szCs w:val="16"/>
              </w:rPr>
            </w:pP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1 106 250</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b/>
                <w:bCs/>
                <w:color w:val="000000"/>
                <w:sz w:val="16"/>
                <w:szCs w:val="16"/>
              </w:rPr>
            </w:pPr>
            <w:r w:rsidRPr="00B00476">
              <w:rPr>
                <w:b/>
                <w:bCs/>
                <w:color w:val="000000"/>
                <w:sz w:val="16"/>
                <w:szCs w:val="16"/>
              </w:rPr>
              <w:t>Finansiālā bilance</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1 026 718</w:t>
            </w:r>
          </w:p>
        </w:tc>
        <w:tc>
          <w:tcPr>
            <w:tcW w:w="871"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-823 580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203 138</w:t>
            </w:r>
          </w:p>
        </w:tc>
        <w:tc>
          <w:tcPr>
            <w:tcW w:w="111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784 488</w:t>
            </w:r>
          </w:p>
        </w:tc>
        <w:tc>
          <w:tcPr>
            <w:tcW w:w="86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-629 810</w:t>
            </w:r>
          </w:p>
        </w:tc>
        <w:tc>
          <w:tcPr>
            <w:tcW w:w="92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154 678</w:t>
            </w:r>
          </w:p>
        </w:tc>
        <w:tc>
          <w:tcPr>
            <w:tcW w:w="1134"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784 488</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-654 810</w:t>
            </w:r>
          </w:p>
        </w:tc>
        <w:tc>
          <w:tcPr>
            <w:tcW w:w="992" w:type="dxa"/>
            <w:shd w:val="clear" w:color="auto" w:fill="auto"/>
            <w:vAlign w:val="center"/>
            <w:hideMark/>
          </w:tcPr>
          <w:p w:rsidR="00B00476" w:rsidRPr="00B00476" w:rsidRDefault="00B00476" w:rsidP="00B00476">
            <w:pPr>
              <w:jc w:val="center"/>
              <w:rPr>
                <w:b/>
                <w:bCs/>
                <w:color w:val="000000"/>
                <w:sz w:val="16"/>
                <w:szCs w:val="16"/>
              </w:rPr>
            </w:pPr>
            <w:r w:rsidRPr="00B00476">
              <w:rPr>
                <w:b/>
                <w:bCs/>
                <w:color w:val="000000"/>
                <w:sz w:val="16"/>
                <w:szCs w:val="16"/>
              </w:rPr>
              <w:t>129 678</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Finansēšana</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-1 026 718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823 580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-203 138</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629 810</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-154 678</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654 810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-129 678</w:t>
            </w:r>
          </w:p>
        </w:tc>
      </w:tr>
      <w:tr w:rsidR="00B00476" w:rsidRPr="00B00476" w:rsidTr="004B7F81">
        <w:trPr>
          <w:trHeight w:val="300"/>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Naudas līdzekļi</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-1 026 718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823 580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-203 138</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629 810</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-154 678</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654 810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-129 678</w:t>
            </w:r>
          </w:p>
        </w:tc>
      </w:tr>
      <w:tr w:rsidR="00B00476" w:rsidRPr="00B00476" w:rsidTr="004B7F81">
        <w:trPr>
          <w:trHeight w:val="1035"/>
        </w:trPr>
        <w:tc>
          <w:tcPr>
            <w:tcW w:w="1635" w:type="dxa"/>
            <w:shd w:val="clear" w:color="auto" w:fill="auto"/>
            <w:vAlign w:val="bottom"/>
            <w:hideMark/>
          </w:tcPr>
          <w:p w:rsidR="00B00476" w:rsidRPr="00B00476" w:rsidRDefault="00B00476" w:rsidP="00B00476">
            <w:pPr>
              <w:rPr>
                <w:color w:val="000000"/>
                <w:sz w:val="16"/>
                <w:szCs w:val="16"/>
              </w:rPr>
            </w:pPr>
            <w:r w:rsidRPr="00B00476">
              <w:rPr>
                <w:color w:val="000000"/>
                <w:sz w:val="16"/>
                <w:szCs w:val="16"/>
              </w:rPr>
              <w:t>Maksas pakalpojumu un citu pašu ieņēmumu naudas līdzekļu atlikumu izmaiņas palielinājums (-) vai samazinājums (+)</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-1 026 718</w:t>
            </w:r>
          </w:p>
        </w:tc>
        <w:tc>
          <w:tcPr>
            <w:tcW w:w="871"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823 580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-203 138</w:t>
            </w:r>
          </w:p>
        </w:tc>
        <w:tc>
          <w:tcPr>
            <w:tcW w:w="111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86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629 810</w:t>
            </w:r>
          </w:p>
        </w:tc>
        <w:tc>
          <w:tcPr>
            <w:tcW w:w="92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-154 678</w:t>
            </w:r>
          </w:p>
        </w:tc>
        <w:tc>
          <w:tcPr>
            <w:tcW w:w="1134"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-784 488</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654 810</w:t>
            </w:r>
          </w:p>
        </w:tc>
        <w:tc>
          <w:tcPr>
            <w:tcW w:w="992" w:type="dxa"/>
            <w:shd w:val="clear" w:color="auto" w:fill="auto"/>
            <w:vAlign w:val="center"/>
            <w:hideMark/>
          </w:tcPr>
          <w:p w:rsidR="00B00476" w:rsidRPr="00B00476" w:rsidRDefault="00B00476" w:rsidP="00B00476">
            <w:pPr>
              <w:jc w:val="center"/>
              <w:rPr>
                <w:color w:val="000000"/>
                <w:sz w:val="16"/>
                <w:szCs w:val="16"/>
              </w:rPr>
            </w:pPr>
            <w:r w:rsidRPr="00B00476">
              <w:rPr>
                <w:color w:val="000000"/>
                <w:sz w:val="16"/>
                <w:szCs w:val="16"/>
              </w:rPr>
              <w:t>-129 678</w:t>
            </w:r>
          </w:p>
        </w:tc>
      </w:tr>
    </w:tbl>
    <w:p w:rsidR="003A7ABB" w:rsidRDefault="003A7ABB" w:rsidP="003A7ABB">
      <w:pPr>
        <w:spacing w:before="120"/>
        <w:ind w:firstLine="720"/>
        <w:jc w:val="right"/>
        <w:rPr>
          <w:rFonts w:asciiTheme="minorHAnsi" w:eastAsiaTheme="minorHAnsi" w:hAnsiTheme="minorHAnsi" w:cstheme="minorBidi"/>
          <w:sz w:val="22"/>
          <w:szCs w:val="22"/>
          <w:lang w:eastAsia="en-US"/>
        </w:rPr>
      </w:pPr>
      <w:r>
        <w:fldChar w:fldCharType="begin"/>
      </w:r>
      <w:r>
        <w:instrText xml:space="preserve"> LINK Excel.Sheet.12 "\\\\ts.gov.lv\\TMDFS1\\BB\\BUDZETA.DEPARTAMENTS\\8-ANOTACIJAS KONCEPCIJAS\\2017\\4_Zinoj.par MNA attistibu\\8_14.06.2017\\MNA_izmainas_2017-2018.xlsx" "06_03__06_04!R2K1:R35K10" \a \f 4 \h  \* MERGEFORMAT </w:instrText>
      </w:r>
      <w:r>
        <w:fldChar w:fldCharType="separate"/>
      </w:r>
    </w:p>
    <w:p w:rsidR="005B1AFF" w:rsidRPr="00B72493" w:rsidRDefault="003A7ABB" w:rsidP="008B2056">
      <w:pPr>
        <w:spacing w:before="60"/>
        <w:ind w:firstLine="720"/>
        <w:jc w:val="both"/>
        <w:rPr>
          <w:b/>
        </w:rPr>
      </w:pPr>
      <w:r>
        <w:rPr>
          <w:iCs/>
        </w:rPr>
        <w:fldChar w:fldCharType="end"/>
      </w:r>
      <w:r w:rsidR="00E43107" w:rsidRPr="00B72493">
        <w:rPr>
          <w:b/>
        </w:rPr>
        <w:t>2</w:t>
      </w:r>
      <w:r w:rsidR="005B1AFF" w:rsidRPr="00B72493">
        <w:rPr>
          <w:b/>
        </w:rPr>
        <w:t>. </w:t>
      </w:r>
      <w:r w:rsidR="008F04A7" w:rsidRPr="00B72493">
        <w:rPr>
          <w:b/>
        </w:rPr>
        <w:t>Noteikta p</w:t>
      </w:r>
      <w:r w:rsidR="005B1AFF" w:rsidRPr="00B72493">
        <w:rPr>
          <w:b/>
        </w:rPr>
        <w:t>rocentuāla da</w:t>
      </w:r>
      <w:r w:rsidR="009413CD" w:rsidRPr="00B72493">
        <w:rPr>
          <w:b/>
        </w:rPr>
        <w:t>ļa no administratora atlīdzības</w:t>
      </w:r>
    </w:p>
    <w:p w:rsidR="00BE42F7" w:rsidRDefault="005E0E9F" w:rsidP="00745475">
      <w:pPr>
        <w:spacing w:before="60"/>
        <w:ind w:firstLine="709"/>
        <w:jc w:val="both"/>
      </w:pPr>
      <w:r>
        <w:t>Kā viens no i</w:t>
      </w:r>
      <w:r w:rsidR="00236475" w:rsidRPr="00080DF1">
        <w:t>espējam</w:t>
      </w:r>
      <w:r w:rsidR="001B186B" w:rsidRPr="00080DF1">
        <w:t>a</w:t>
      </w:r>
      <w:r>
        <w:t>j</w:t>
      </w:r>
      <w:r w:rsidR="001B186B" w:rsidRPr="00080DF1">
        <w:t>i</w:t>
      </w:r>
      <w:r>
        <w:t>em</w:t>
      </w:r>
      <w:r w:rsidR="00236475" w:rsidRPr="00080DF1">
        <w:t xml:space="preserve"> </w:t>
      </w:r>
      <w:r w:rsidR="001B186B" w:rsidRPr="00080DF1">
        <w:t>alternatīva</w:t>
      </w:r>
      <w:r>
        <w:t>j</w:t>
      </w:r>
      <w:r w:rsidR="001B186B" w:rsidRPr="00080DF1">
        <w:t>i</w:t>
      </w:r>
      <w:r>
        <w:t>em</w:t>
      </w:r>
      <w:r w:rsidR="001B186B" w:rsidRPr="00080DF1">
        <w:t xml:space="preserve"> </w:t>
      </w:r>
      <w:r w:rsidR="00236475" w:rsidRPr="00080DF1">
        <w:t>finansēšanas avot</w:t>
      </w:r>
      <w:r>
        <w:t>iem</w:t>
      </w:r>
      <w:r w:rsidR="00236475" w:rsidRPr="00080DF1">
        <w:t xml:space="preserve"> </w:t>
      </w:r>
      <w:r w:rsidR="007D6CEC" w:rsidRPr="00080DF1">
        <w:t>Maksātnespēja</w:t>
      </w:r>
      <w:r>
        <w:t>s</w:t>
      </w:r>
      <w:r w:rsidR="007D6CEC" w:rsidRPr="00080DF1">
        <w:t xml:space="preserve"> administrācijas darbības nodrošināšanai</w:t>
      </w:r>
      <w:r>
        <w:t xml:space="preserve"> ir izvērtēts risinājums, kas paredz uzraudzības nodrošināšanai novirzīt </w:t>
      </w:r>
      <w:r w:rsidR="006324AF" w:rsidRPr="00080DF1">
        <w:t>noteikt</w:t>
      </w:r>
      <w:r>
        <w:t>u</w:t>
      </w:r>
      <w:r w:rsidR="006324AF" w:rsidRPr="00080DF1">
        <w:t xml:space="preserve"> procentuāl</w:t>
      </w:r>
      <w:r>
        <w:t>o</w:t>
      </w:r>
      <w:r w:rsidR="006324AF" w:rsidRPr="00080DF1">
        <w:t xml:space="preserve"> daļ</w:t>
      </w:r>
      <w:r>
        <w:t>u</w:t>
      </w:r>
      <w:r w:rsidR="006324AF" w:rsidRPr="00080DF1">
        <w:t xml:space="preserve"> no administratora atlīdzības. Apkopojot informāciju par 2015.</w:t>
      </w:r>
      <w:r w:rsidR="00A375A0">
        <w:t> </w:t>
      </w:r>
      <w:r w:rsidR="006324AF" w:rsidRPr="006324AF">
        <w:t>gadā pabeigtiem juridiskās personas maksātnespējas procesiem</w:t>
      </w:r>
      <w:r w:rsidR="002C07CF">
        <w:t xml:space="preserve">, tostarp </w:t>
      </w:r>
      <w:r w:rsidR="006324AF" w:rsidRPr="006324AF">
        <w:t>noslēgumu pārskatos sniegto informāciju par</w:t>
      </w:r>
      <w:r w:rsidR="002C07CF">
        <w:t xml:space="preserve"> maksātnespējas</w:t>
      </w:r>
      <w:r w:rsidR="006324AF" w:rsidRPr="006324AF">
        <w:t xml:space="preserve"> procesa izmaksām un administratoru </w:t>
      </w:r>
      <w:r w:rsidR="002C07CF" w:rsidRPr="006324AF">
        <w:t>atlīdzīb</w:t>
      </w:r>
      <w:r w:rsidR="002C07CF">
        <w:t>u</w:t>
      </w:r>
      <w:r w:rsidR="006324AF" w:rsidRPr="006324AF">
        <w:t xml:space="preserve">, </w:t>
      </w:r>
      <w:r w:rsidR="002C07CF">
        <w:t>var secināt</w:t>
      </w:r>
      <w:r w:rsidR="006324AF" w:rsidRPr="006324AF">
        <w:t>, ka</w:t>
      </w:r>
      <w:r w:rsidR="002C07CF">
        <w:t xml:space="preserve"> maksātnespējas procesa </w:t>
      </w:r>
      <w:r w:rsidR="006324AF" w:rsidRPr="006324AF">
        <w:t xml:space="preserve">izmaksas </w:t>
      </w:r>
      <w:r w:rsidR="00A375A0">
        <w:t xml:space="preserve">veido </w:t>
      </w:r>
      <w:r w:rsidR="006324AF" w:rsidRPr="006324AF">
        <w:t>15 599 168</w:t>
      </w:r>
      <w:r w:rsidR="00206993">
        <w:t> </w:t>
      </w:r>
      <w:proofErr w:type="spellStart"/>
      <w:r w:rsidR="006324AF" w:rsidRPr="00080DF1">
        <w:rPr>
          <w:i/>
        </w:rPr>
        <w:t>euro</w:t>
      </w:r>
      <w:proofErr w:type="spellEnd"/>
      <w:r w:rsidR="006324AF" w:rsidRPr="006324AF">
        <w:t xml:space="preserve">, </w:t>
      </w:r>
      <w:r w:rsidR="002C07CF">
        <w:t xml:space="preserve">savukārt administratora </w:t>
      </w:r>
      <w:r w:rsidR="006324AF" w:rsidRPr="006324AF">
        <w:t>atlīdzība</w:t>
      </w:r>
      <w:r w:rsidR="00A375A0">
        <w:t> –</w:t>
      </w:r>
      <w:r w:rsidR="006324AF" w:rsidRPr="006324AF">
        <w:t xml:space="preserve"> 1 227 596</w:t>
      </w:r>
      <w:r w:rsidR="00A375A0">
        <w:t> </w:t>
      </w:r>
      <w:proofErr w:type="spellStart"/>
      <w:r w:rsidR="006324AF" w:rsidRPr="00080DF1">
        <w:rPr>
          <w:i/>
        </w:rPr>
        <w:t>euro</w:t>
      </w:r>
      <w:proofErr w:type="spellEnd"/>
      <w:r w:rsidR="006324AF" w:rsidRPr="006324AF">
        <w:t xml:space="preserve">. </w:t>
      </w:r>
      <w:r w:rsidR="002C07CF">
        <w:t>Novirzot Maksātnespējas administrācijas finansēšanai</w:t>
      </w:r>
      <w:r w:rsidR="00F82255">
        <w:t xml:space="preserve">, piemēram, </w:t>
      </w:r>
      <w:r w:rsidR="002C07CF">
        <w:t>5% no</w:t>
      </w:r>
      <w:r w:rsidR="006324AF" w:rsidRPr="006324AF">
        <w:t xml:space="preserve"> administratoru atlīdzības</w:t>
      </w:r>
      <w:r w:rsidR="002C07CF">
        <w:t>,</w:t>
      </w:r>
      <w:r w:rsidR="006324AF" w:rsidRPr="006324AF">
        <w:t xml:space="preserve"> konkrētajā gadījumā tie būtu 61 380</w:t>
      </w:r>
      <w:r w:rsidR="00A375A0">
        <w:t> </w:t>
      </w:r>
      <w:proofErr w:type="spellStart"/>
      <w:r w:rsidR="006324AF" w:rsidRPr="00080DF1">
        <w:rPr>
          <w:i/>
        </w:rPr>
        <w:t>euro</w:t>
      </w:r>
      <w:proofErr w:type="spellEnd"/>
      <w:r w:rsidR="006324AF" w:rsidRPr="006324AF">
        <w:t xml:space="preserve">. </w:t>
      </w:r>
    </w:p>
    <w:p w:rsidR="006324AF" w:rsidRPr="008171C5" w:rsidRDefault="00F71F63" w:rsidP="00745475">
      <w:pPr>
        <w:spacing w:before="60"/>
        <w:ind w:firstLine="709"/>
        <w:jc w:val="both"/>
        <w:rPr>
          <w:color w:val="FF0000"/>
        </w:rPr>
      </w:pPr>
      <w:r>
        <w:t>Lai gan</w:t>
      </w:r>
      <w:r w:rsidRPr="006324AF">
        <w:t xml:space="preserve"> 2016.</w:t>
      </w:r>
      <w:r w:rsidR="002524AB">
        <w:t> </w:t>
      </w:r>
      <w:r w:rsidRPr="006324AF">
        <w:t>gada 16</w:t>
      </w:r>
      <w:r>
        <w:t>.</w:t>
      </w:r>
      <w:r w:rsidR="002524AB">
        <w:t> </w:t>
      </w:r>
      <w:r w:rsidRPr="006324AF">
        <w:t>augusta Saeimas Parlamentārās izmeklēšanas komisijas sēdē</w:t>
      </w:r>
      <w:r>
        <w:t xml:space="preserve"> tika izteikts</w:t>
      </w:r>
      <w:r w:rsidRPr="006324AF">
        <w:t>, ka kreditori būtu gatavi finansēt Maksātnespējas administrāciju</w:t>
      </w:r>
      <w:r>
        <w:t>, i</w:t>
      </w:r>
      <w:r w:rsidR="002C07CF">
        <w:t xml:space="preserve">zvēloties šādu finansēšanas variantu, </w:t>
      </w:r>
      <w:r w:rsidR="006324AF" w:rsidRPr="006324AF">
        <w:t xml:space="preserve">pastāv risks, ka administratori mēģinās iegūt savu atlīdzību caur izmaksām, lai </w:t>
      </w:r>
      <w:r w:rsidR="002C07CF">
        <w:t xml:space="preserve">mākslīgi samazinātu </w:t>
      </w:r>
      <w:r w:rsidR="006324AF" w:rsidRPr="006324AF">
        <w:t>Maksātnespējas administrācija</w:t>
      </w:r>
      <w:r w:rsidR="002C07CF">
        <w:t>s finansēšanai novirzāmo līdzekļu daļu</w:t>
      </w:r>
      <w:r w:rsidR="006324AF" w:rsidRPr="006324AF">
        <w:t xml:space="preserve">. </w:t>
      </w:r>
      <w:r w:rsidR="002C07CF">
        <w:t>Vienlaikus jānorāda, ka s</w:t>
      </w:r>
      <w:r w:rsidR="006324AF" w:rsidRPr="006324AF">
        <w:t>askaņā ar Valsts ieņēmumu dienesta sniegto informāciju, 2014.</w:t>
      </w:r>
      <w:r w:rsidR="005D0DF6">
        <w:t> </w:t>
      </w:r>
      <w:r w:rsidR="006324AF" w:rsidRPr="006324AF">
        <w:t>gadā un 2015.</w:t>
      </w:r>
      <w:r w:rsidR="005D0DF6">
        <w:t> </w:t>
      </w:r>
      <w:r w:rsidR="006324AF" w:rsidRPr="006324AF">
        <w:t>gadā administratori kā saimnieciskās darbības veicēji norādījuši ienākumus no saimnieciskās darbības 22 294 676</w:t>
      </w:r>
      <w:r w:rsidR="00A375A0">
        <w:t> </w:t>
      </w:r>
      <w:proofErr w:type="spellStart"/>
      <w:r w:rsidR="006324AF" w:rsidRPr="00611687">
        <w:rPr>
          <w:i/>
        </w:rPr>
        <w:t>euro</w:t>
      </w:r>
      <w:proofErr w:type="spellEnd"/>
      <w:r w:rsidR="00850C2E">
        <w:t xml:space="preserve"> apmērā</w:t>
      </w:r>
      <w:r w:rsidR="001B186B">
        <w:t xml:space="preserve">. Turklāt viens no </w:t>
      </w:r>
      <w:r w:rsidR="001B186B" w:rsidRPr="001B186B">
        <w:t>Pamatnostādņu īstenošanas darba plānā paredzēt</w:t>
      </w:r>
      <w:r w:rsidR="001B186B">
        <w:t>ajiem</w:t>
      </w:r>
      <w:r w:rsidR="001B186B" w:rsidRPr="001B186B">
        <w:t xml:space="preserve"> pasākum</w:t>
      </w:r>
      <w:r w:rsidR="001B186B">
        <w:t>iem ir "tirgus atvēršana" maksātnespējas procesu administrēšanai. Mainoties subjektu</w:t>
      </w:r>
      <w:r w:rsidR="00080DF1">
        <w:t>,</w:t>
      </w:r>
      <w:r w:rsidR="00080DF1" w:rsidRPr="00080DF1">
        <w:t xml:space="preserve"> kuriem ir tiesības administrēt maksātnespējas procesu</w:t>
      </w:r>
      <w:r w:rsidR="00080DF1">
        <w:t>,</w:t>
      </w:r>
      <w:r w:rsidR="001B186B">
        <w:t xml:space="preserve"> lokam, nav iespējams prognozēt apmēru, no kura būtu aprēķināma Maksātnespējas administrācijas finansēšanai novirzāmā līdzekļu daļa. Ievērojot minēto, nav atbalstāma </w:t>
      </w:r>
      <w:r w:rsidR="001B186B" w:rsidRPr="001B186B">
        <w:t>noteikta</w:t>
      </w:r>
      <w:r w:rsidR="001B186B">
        <w:t>s</w:t>
      </w:r>
      <w:r w:rsidR="001B186B" w:rsidRPr="001B186B">
        <w:t xml:space="preserve"> procentuāla</w:t>
      </w:r>
      <w:r w:rsidR="001B186B">
        <w:t>s</w:t>
      </w:r>
      <w:r w:rsidR="001B186B" w:rsidRPr="001B186B">
        <w:t xml:space="preserve"> daļa</w:t>
      </w:r>
      <w:r w:rsidR="001B186B">
        <w:t>s</w:t>
      </w:r>
      <w:r w:rsidR="001B186B" w:rsidRPr="001B186B">
        <w:t xml:space="preserve"> no administratora atlīdzības</w:t>
      </w:r>
      <w:r w:rsidR="001B186B">
        <w:t xml:space="preserve"> novirzīšana </w:t>
      </w:r>
      <w:r w:rsidR="001B186B" w:rsidRPr="001B186B">
        <w:t>Maksātnespēja administrācijas darbības nodrošināšanai</w:t>
      </w:r>
      <w:r w:rsidR="001B186B">
        <w:t>.</w:t>
      </w:r>
    </w:p>
    <w:p w:rsidR="00FC2270" w:rsidRPr="0058301F" w:rsidRDefault="00E43107" w:rsidP="0062156C">
      <w:pPr>
        <w:spacing w:before="240"/>
        <w:ind w:firstLine="720"/>
        <w:jc w:val="both"/>
        <w:rPr>
          <w:b/>
        </w:rPr>
      </w:pPr>
      <w:r>
        <w:rPr>
          <w:b/>
        </w:rPr>
        <w:t>3</w:t>
      </w:r>
      <w:r w:rsidR="00FC2270" w:rsidRPr="0058301F">
        <w:rPr>
          <w:b/>
        </w:rPr>
        <w:t>.</w:t>
      </w:r>
      <w:r w:rsidR="00A375A0">
        <w:rPr>
          <w:b/>
        </w:rPr>
        <w:t> </w:t>
      </w:r>
      <w:r w:rsidR="00FC2270" w:rsidRPr="0058301F">
        <w:rPr>
          <w:b/>
        </w:rPr>
        <w:t>Noteikta procentuāla daļa no kreditoriem izmaksājamās summas</w:t>
      </w:r>
      <w:r w:rsidR="000F6F9B">
        <w:rPr>
          <w:b/>
        </w:rPr>
        <w:t xml:space="preserve"> un</w:t>
      </w:r>
      <w:r w:rsidR="000F6F9B" w:rsidRPr="00B72493">
        <w:rPr>
          <w:b/>
        </w:rPr>
        <w:t xml:space="preserve"> </w:t>
      </w:r>
      <w:r w:rsidR="000F6F9B" w:rsidRPr="0058301F">
        <w:rPr>
          <w:b/>
        </w:rPr>
        <w:t>noteikta procentuāla daļa no mantas pārdošanas vērtības</w:t>
      </w:r>
    </w:p>
    <w:p w:rsidR="006324AF" w:rsidRDefault="000F6F9B" w:rsidP="00745475">
      <w:pPr>
        <w:spacing w:before="60"/>
        <w:ind w:firstLine="709"/>
        <w:jc w:val="both"/>
      </w:pPr>
      <w:r>
        <w:t>K</w:t>
      </w:r>
      <w:r w:rsidR="00F3370D" w:rsidRPr="006B0DFB">
        <w:t>ā alternatīvs</w:t>
      </w:r>
      <w:r w:rsidR="00F81432" w:rsidRPr="006B0DFB">
        <w:t xml:space="preserve"> finansējuma avots</w:t>
      </w:r>
      <w:r w:rsidR="00F3370D" w:rsidRPr="006B0DFB">
        <w:t xml:space="preserve"> </w:t>
      </w:r>
      <w:r w:rsidR="0052135E">
        <w:t>ir izvērtēta iespēja novirzīt Maksātnespējas administrācijas finansēšanai</w:t>
      </w:r>
      <w:r w:rsidR="00F81432" w:rsidRPr="006B0DFB">
        <w:t xml:space="preserve"> </w:t>
      </w:r>
      <w:r w:rsidR="006324AF" w:rsidRPr="006324AF">
        <w:t>noteikt</w:t>
      </w:r>
      <w:r w:rsidR="0052135E">
        <w:t>u</w:t>
      </w:r>
      <w:r w:rsidR="006324AF" w:rsidRPr="006324AF">
        <w:t xml:space="preserve"> procentuāl</w:t>
      </w:r>
      <w:r w:rsidR="0052135E">
        <w:t>o</w:t>
      </w:r>
      <w:r w:rsidR="006324AF" w:rsidRPr="006324AF">
        <w:t xml:space="preserve"> daļ</w:t>
      </w:r>
      <w:r w:rsidR="0052135E">
        <w:t>u</w:t>
      </w:r>
      <w:r w:rsidR="006324AF" w:rsidRPr="006324AF">
        <w:t xml:space="preserve"> no kreditoriem izmaksājamās summas atbilstoši pietei</w:t>
      </w:r>
      <w:r w:rsidR="00C913C8">
        <w:t>ktā kreditora prasījuma apmēram</w:t>
      </w:r>
      <w:r w:rsidR="00012AD1">
        <w:t xml:space="preserve">, kā arī </w:t>
      </w:r>
      <w:r w:rsidR="00012AD1" w:rsidRPr="006324AF">
        <w:t>noteikt</w:t>
      </w:r>
      <w:r w:rsidR="0052135E">
        <w:t>u</w:t>
      </w:r>
      <w:r w:rsidR="00012AD1" w:rsidRPr="006324AF">
        <w:t xml:space="preserve"> procentuāl</w:t>
      </w:r>
      <w:r w:rsidR="0052135E">
        <w:t>o</w:t>
      </w:r>
      <w:r w:rsidR="00012AD1" w:rsidRPr="006324AF">
        <w:t xml:space="preserve"> daļ</w:t>
      </w:r>
      <w:r w:rsidR="0052135E">
        <w:t>u</w:t>
      </w:r>
      <w:r w:rsidR="00012AD1">
        <w:t xml:space="preserve"> no mantas pārdošanas vērtības</w:t>
      </w:r>
      <w:r w:rsidR="006B0DFB">
        <w:t>, tomēr</w:t>
      </w:r>
      <w:r w:rsidR="00A10D40">
        <w:t xml:space="preserve"> </w:t>
      </w:r>
      <w:r w:rsidR="008171A4">
        <w:t>a</w:t>
      </w:r>
      <w:r w:rsidR="007019D9">
        <w:t>r šādu risinājumu</w:t>
      </w:r>
      <w:r w:rsidR="00C913C8">
        <w:t xml:space="preserve"> </w:t>
      </w:r>
      <w:r w:rsidR="007019D9">
        <w:t>netiktu ievērota Maksātnespējas likumā noteiktā kreditoru interešu aizsardzība un kreditoru</w:t>
      </w:r>
      <w:r w:rsidR="00C913C8">
        <w:t xml:space="preserve"> tiesības gūt pēc iespējas pilnīgāku savu prasījumu apmierināšanu maksātnespējas procesa ietvaros.</w:t>
      </w:r>
      <w:r w:rsidR="0052135E">
        <w:t xml:space="preserve"> Līdz ar to norādītais alternatīvais Maksātnespējas administrācijas finansēšanas modelis nav atbalstāms.</w:t>
      </w:r>
    </w:p>
    <w:p w:rsidR="004E2617" w:rsidRPr="00B72493" w:rsidRDefault="00E43107" w:rsidP="0062156C">
      <w:pPr>
        <w:spacing w:before="240"/>
        <w:ind w:firstLine="720"/>
        <w:jc w:val="both"/>
        <w:rPr>
          <w:b/>
        </w:rPr>
      </w:pPr>
      <w:r w:rsidRPr="00B72493">
        <w:rPr>
          <w:b/>
        </w:rPr>
        <w:t>4</w:t>
      </w:r>
      <w:r w:rsidR="004E2617" w:rsidRPr="00B72493">
        <w:rPr>
          <w:b/>
        </w:rPr>
        <w:t>.</w:t>
      </w:r>
      <w:r w:rsidR="00A375A0">
        <w:rPr>
          <w:b/>
        </w:rPr>
        <w:t> </w:t>
      </w:r>
      <w:r w:rsidR="004E2617" w:rsidRPr="00B72493">
        <w:rPr>
          <w:b/>
        </w:rPr>
        <w:t xml:space="preserve">Maksa par </w:t>
      </w:r>
      <w:r w:rsidR="00077081" w:rsidRPr="00B72493">
        <w:rPr>
          <w:b/>
        </w:rPr>
        <w:t>kreditora</w:t>
      </w:r>
      <w:r w:rsidR="004E2617" w:rsidRPr="00B72493">
        <w:rPr>
          <w:b/>
        </w:rPr>
        <w:t xml:space="preserve"> </w:t>
      </w:r>
      <w:r w:rsidR="00077081" w:rsidRPr="00B72493">
        <w:rPr>
          <w:b/>
        </w:rPr>
        <w:t>prasījuma</w:t>
      </w:r>
      <w:r w:rsidR="009413CD" w:rsidRPr="00B72493">
        <w:rPr>
          <w:b/>
        </w:rPr>
        <w:t xml:space="preserve"> pieteikšanu</w:t>
      </w:r>
    </w:p>
    <w:p w:rsidR="009464CA" w:rsidRPr="009464CA" w:rsidRDefault="009464CA" w:rsidP="009464CA">
      <w:pPr>
        <w:spacing w:before="60"/>
        <w:ind w:firstLine="709"/>
        <w:jc w:val="both"/>
      </w:pPr>
      <w:r w:rsidRPr="009464CA">
        <w:t>Lai nodrošinātu kreditoru vienlīdzību – taisnīgu režīmu visiem parādnieka kreditoriem, pēc maksātnespējas procesa pasludināšanas visi prasījumi pret parādnieku, tostarp arī prasījumi, par kuriem maksātnespējas procesa pasludināšanas brīdī norisinās tiesvedības, jāpiesaka administratoram Maksātnespējas likumā noteiktajā termiņā. Nevies prasījums pret parādnieku nevar tikt apmierināts ārpus maksātnespējas procesa un līdz ar to arī Maksātnespējas likumā noteiktās kārtības.</w:t>
      </w:r>
    </w:p>
    <w:p w:rsidR="009464CA" w:rsidRDefault="009464CA" w:rsidP="00745475">
      <w:pPr>
        <w:spacing w:before="60"/>
        <w:ind w:firstLine="709"/>
        <w:jc w:val="both"/>
      </w:pPr>
      <w:r>
        <w:t xml:space="preserve">Saskaņā ar </w:t>
      </w:r>
      <w:r w:rsidR="00CE7D79">
        <w:t xml:space="preserve">Maksātnespējas </w:t>
      </w:r>
      <w:r>
        <w:t>likuma 63. panta otro daļu, j</w:t>
      </w:r>
      <w:r w:rsidRPr="009464CA">
        <w:t xml:space="preserve">a sprieduma izpildes lietvedība uzsākta pirms juridiskās personas maksātnespējas procesa pasludināšanas, tā ir izbeidzama </w:t>
      </w:r>
      <w:hyperlink r:id="rId9" w:tgtFrame="_blank" w:history="1">
        <w:r w:rsidRPr="002E7F87">
          <w:t>Civilprocesa likumā</w:t>
        </w:r>
      </w:hyperlink>
      <w:r w:rsidRPr="009464CA">
        <w:t xml:space="preserve"> noteiktajā kārtībā. </w:t>
      </w:r>
      <w:r>
        <w:t xml:space="preserve">Vienlaikus </w:t>
      </w:r>
      <w:r w:rsidR="006611D2">
        <w:t>atbilstoši minētā panta trešajai daļai</w:t>
      </w:r>
      <w:r>
        <w:t xml:space="preserve"> p</w:t>
      </w:r>
      <w:r w:rsidRPr="009464CA">
        <w:t xml:space="preserve">arādnieka saistības, kuru izpildes termiņš iestājas pēc dienas, kad pasludināts juridiskās personas maksātnespējas process, uzskatāmas par tādām, kurām izpildes termiņš iestājies juridiskās personas maksātnespējas procesa pasludināšanas dienā. </w:t>
      </w:r>
      <w:r w:rsidR="006611D2">
        <w:t>Līdz ar to p</w:t>
      </w:r>
      <w:r w:rsidRPr="009464CA">
        <w:t xml:space="preserve">ēc juridiskās personas maksātnespējas procesa pasludināšanas kreditori piesaka prasījumus administratoram </w:t>
      </w:r>
      <w:r w:rsidR="00CE7D79">
        <w:t>M</w:t>
      </w:r>
      <w:r w:rsidR="006611D2">
        <w:t>aksātnespējas</w:t>
      </w:r>
      <w:r w:rsidRPr="009464CA">
        <w:t xml:space="preserve"> likumā noteiktajā kārtībā</w:t>
      </w:r>
      <w:r w:rsidR="006611D2">
        <w:t xml:space="preserve"> un termiņā</w:t>
      </w:r>
      <w:r w:rsidRPr="009464CA">
        <w:t>.</w:t>
      </w:r>
      <w:r w:rsidR="006611D2">
        <w:t xml:space="preserve"> Bez kreditora prasījuma iesniegšanas kreditors nevar pretendēt uz sava prasījuma apmierināšanu.</w:t>
      </w:r>
    </w:p>
    <w:p w:rsidR="009A1ED0" w:rsidRDefault="00A10D40" w:rsidP="00745475">
      <w:pPr>
        <w:spacing w:before="60"/>
        <w:ind w:firstLine="709"/>
        <w:jc w:val="both"/>
      </w:pPr>
      <w:r>
        <w:t xml:space="preserve">Nosakot, ka finansējuma avots ir </w:t>
      </w:r>
      <w:r w:rsidR="001C7C20">
        <w:t xml:space="preserve">maksa par </w:t>
      </w:r>
      <w:r w:rsidR="004076FF">
        <w:t>kreditor</w:t>
      </w:r>
      <w:r w:rsidR="00A91898">
        <w:t>a</w:t>
      </w:r>
      <w:r w:rsidR="00BB0904" w:rsidRPr="004076FF">
        <w:t xml:space="preserve"> </w:t>
      </w:r>
      <w:r w:rsidR="001C7C20">
        <w:t>prasījum</w:t>
      </w:r>
      <w:r w:rsidR="00A91898">
        <w:t>a</w:t>
      </w:r>
      <w:r w:rsidR="00466ECC">
        <w:t xml:space="preserve"> </w:t>
      </w:r>
      <w:r w:rsidR="001C7C20">
        <w:t>pieteikšanu</w:t>
      </w:r>
      <w:r>
        <w:t>,</w:t>
      </w:r>
      <w:r w:rsidR="00483608">
        <w:t xml:space="preserve"> </w:t>
      </w:r>
      <w:r w:rsidR="00FA60D5">
        <w:t>tiktu aizskartas kreditoru intereses, jo</w:t>
      </w:r>
      <w:r w:rsidR="00092121">
        <w:t>,</w:t>
      </w:r>
      <w:r w:rsidR="00FA60D5">
        <w:t xml:space="preserve"> </w:t>
      </w:r>
      <w:r w:rsidR="00AE2463">
        <w:t xml:space="preserve">veicot maksājumu par </w:t>
      </w:r>
      <w:r w:rsidR="00E10990">
        <w:t xml:space="preserve">kreditora </w:t>
      </w:r>
      <w:r w:rsidR="00AE2463">
        <w:t>prasījuma iesniegšanu, kreditors cie</w:t>
      </w:r>
      <w:r w:rsidR="00E10990">
        <w:t>s</w:t>
      </w:r>
      <w:r w:rsidR="00AE2463">
        <w:t>tu papildu zaudējumus</w:t>
      </w:r>
      <w:r w:rsidR="00E066D0">
        <w:t>,</w:t>
      </w:r>
      <w:r w:rsidR="00A67932">
        <w:t xml:space="preserve"> turklāt </w:t>
      </w:r>
      <w:r w:rsidR="00A84D20">
        <w:t>šāda maksājuma noteikšana</w:t>
      </w:r>
      <w:r w:rsidR="00917CBE">
        <w:t xml:space="preserve"> </w:t>
      </w:r>
      <w:r w:rsidR="00A84D20">
        <w:t xml:space="preserve">vēl </w:t>
      </w:r>
      <w:r w:rsidR="00BD2B44">
        <w:t>būtiskāk</w:t>
      </w:r>
      <w:r w:rsidR="00A76F72">
        <w:t xml:space="preserve"> </w:t>
      </w:r>
      <w:r w:rsidR="00EC67EC">
        <w:t xml:space="preserve">negatīvi </w:t>
      </w:r>
      <w:r w:rsidR="00917CBE">
        <w:t xml:space="preserve">skartu tos kreditorus, </w:t>
      </w:r>
      <w:r w:rsidR="004A751B">
        <w:t>kuru prasījuma summa</w:t>
      </w:r>
      <w:r w:rsidR="00A67932">
        <w:t xml:space="preserve"> </w:t>
      </w:r>
      <w:r w:rsidR="00BD2B44">
        <w:t>ir</w:t>
      </w:r>
      <w:r w:rsidR="0048199E">
        <w:t xml:space="preserve"> </w:t>
      </w:r>
      <w:r w:rsidR="00A67932">
        <w:t>salīdzino</w:t>
      </w:r>
      <w:r w:rsidR="004A751B">
        <w:t>ši neliela</w:t>
      </w:r>
      <w:r w:rsidR="00917CBE">
        <w:t>.</w:t>
      </w:r>
      <w:r w:rsidR="0052135E">
        <w:t xml:space="preserve"> Līdz ar to šis norādītais alternatīvais Maksātnespējas administrācijas finansēšanas modelis nav atbalstāms.</w:t>
      </w:r>
    </w:p>
    <w:p w:rsidR="00A91898" w:rsidRPr="00B72493" w:rsidRDefault="00E43107" w:rsidP="0062156C">
      <w:pPr>
        <w:spacing w:before="240"/>
        <w:ind w:firstLine="720"/>
        <w:jc w:val="both"/>
        <w:rPr>
          <w:b/>
        </w:rPr>
      </w:pPr>
      <w:r w:rsidRPr="00B72493">
        <w:rPr>
          <w:b/>
        </w:rPr>
        <w:t>5</w:t>
      </w:r>
      <w:r w:rsidR="00A91898" w:rsidRPr="00B72493">
        <w:rPr>
          <w:b/>
        </w:rPr>
        <w:t>.</w:t>
      </w:r>
      <w:r w:rsidR="00A375A0">
        <w:rPr>
          <w:b/>
        </w:rPr>
        <w:t> </w:t>
      </w:r>
      <w:r w:rsidR="00A91898" w:rsidRPr="00B72493">
        <w:rPr>
          <w:b/>
        </w:rPr>
        <w:t xml:space="preserve">Maksa par sūdzības iesniegšanu </w:t>
      </w:r>
      <w:r w:rsidR="009413CD" w:rsidRPr="00B72493">
        <w:rPr>
          <w:b/>
        </w:rPr>
        <w:t>Maksātnespējas administrācijā</w:t>
      </w:r>
    </w:p>
    <w:p w:rsidR="002F5C62" w:rsidRDefault="002F5C62" w:rsidP="00745475">
      <w:pPr>
        <w:spacing w:before="60"/>
        <w:ind w:firstLine="709"/>
        <w:jc w:val="both"/>
      </w:pPr>
      <w:r w:rsidRPr="002F5C62">
        <w:t>Saskaņā ar Maksātnespējas likuma 174.</w:t>
      </w:r>
      <w:r w:rsidR="002F77DC">
        <w:t> </w:t>
      </w:r>
      <w:r>
        <w:t>panta 2.</w:t>
      </w:r>
      <w:r w:rsidR="002F77DC">
        <w:t> </w:t>
      </w:r>
      <w:r>
        <w:t>punktu</w:t>
      </w:r>
      <w:r w:rsidRPr="002F5C62">
        <w:t xml:space="preserve">, lai īstenotu Maksātnespējas likuma </w:t>
      </w:r>
      <w:hyperlink r:id="rId10" w:anchor="p173" w:tgtFrame="_blank" w:history="1">
        <w:r w:rsidRPr="002E7F87">
          <w:t>173.</w:t>
        </w:r>
        <w:r w:rsidR="002F77DC">
          <w:t> </w:t>
        </w:r>
        <w:r w:rsidRPr="002E7F87">
          <w:t>pantā</w:t>
        </w:r>
      </w:hyperlink>
      <w:r w:rsidRPr="002F5C62">
        <w:t xml:space="preserve"> un citos normatīvajos aktos noteiktās funkcijas, Maksātnespējas administrācija</w:t>
      </w:r>
      <w:r>
        <w:t xml:space="preserve"> </w:t>
      </w:r>
      <w:r w:rsidRPr="002F5C62">
        <w:t>izskata sūdzības par administratora rīcību, izņemot tos likumā noteiktos gadījumus, kad sūdzības par administratora lēmumiem izskatāmas tiesā, kurā ierosināta attiecīgā maksātnespējas procesa lieta</w:t>
      </w:r>
      <w:r>
        <w:t>.</w:t>
      </w:r>
    </w:p>
    <w:p w:rsidR="006324AF" w:rsidRDefault="002F5C62" w:rsidP="00745475">
      <w:pPr>
        <w:spacing w:before="60"/>
        <w:ind w:firstLine="709"/>
        <w:jc w:val="both"/>
      </w:pPr>
      <w:r w:rsidRPr="002F5C62">
        <w:t xml:space="preserve"> </w:t>
      </w:r>
      <w:r w:rsidR="004A4919">
        <w:t>Kā alternatīvo finansējuma avotu nosakot maksājumus</w:t>
      </w:r>
      <w:r w:rsidR="001C7C20">
        <w:t xml:space="preserve"> par sūdzību iesniegšanu </w:t>
      </w:r>
      <w:r w:rsidR="009A1ED0">
        <w:t>Maksātnespējas administrācij</w:t>
      </w:r>
      <w:r w:rsidR="004A4919">
        <w:t>ā,</w:t>
      </w:r>
      <w:r w:rsidR="008E5794">
        <w:t xml:space="preserve"> </w:t>
      </w:r>
      <w:r w:rsidR="004A4919">
        <w:t>jāņem vērā apstāklis, ka</w:t>
      </w:r>
      <w:r w:rsidR="005F58B8">
        <w:t xml:space="preserve"> Maksātnespējas administrācija</w:t>
      </w:r>
      <w:r w:rsidR="00763DE3">
        <w:t xml:space="preserve"> ir tiešās pārvaldes iestāde</w:t>
      </w:r>
      <w:r w:rsidR="00997C97">
        <w:t>, kura</w:t>
      </w:r>
      <w:r w:rsidR="008A5B57">
        <w:t xml:space="preserve"> darbojas sabiedrības interesēs un īsteno</w:t>
      </w:r>
      <w:r w:rsidR="00997C97">
        <w:t xml:space="preserve"> </w:t>
      </w:r>
      <w:r w:rsidR="00997C97" w:rsidRPr="00997C97">
        <w:t xml:space="preserve">normatīvajos aktos </w:t>
      </w:r>
      <w:r w:rsidR="00CB2943" w:rsidRPr="00997C97">
        <w:t>noteikto kompetenci</w:t>
      </w:r>
      <w:r w:rsidR="008A5B57">
        <w:t>,</w:t>
      </w:r>
      <w:r w:rsidR="00CF0174">
        <w:t xml:space="preserve"> proti,</w:t>
      </w:r>
      <w:r w:rsidR="00F2585E">
        <w:t xml:space="preserve"> uzrauga</w:t>
      </w:r>
      <w:r w:rsidR="00CF0174">
        <w:t xml:space="preserve"> </w:t>
      </w:r>
      <w:r w:rsidR="00F2585E">
        <w:t>administratoru darbības likumību</w:t>
      </w:r>
      <w:r w:rsidR="00F2585E" w:rsidRPr="00F502B0">
        <w:t xml:space="preserve"> </w:t>
      </w:r>
      <w:r w:rsidR="006E1BAF">
        <w:t>un veic</w:t>
      </w:r>
      <w:r w:rsidR="00F2585E">
        <w:t xml:space="preserve"> maksātnespējas procesa norises kontroli, </w:t>
      </w:r>
      <w:r w:rsidR="0036698E" w:rsidRPr="0036698E">
        <w:t>aizsargā darbinieku intereses viņu darba devēja maksātnespējas gadījumā un likumā noteiktajā kārtībā īsteno valsts un sabiedrības interešu aizsardzību tiesiskās aizsardzības procesa un maksātnespējas procesa jautājumos</w:t>
      </w:r>
      <w:r w:rsidR="004A4919">
        <w:t xml:space="preserve">. Līdz ar to </w:t>
      </w:r>
      <w:r w:rsidR="008A5B57" w:rsidRPr="0036698E">
        <w:t xml:space="preserve">nebūtu samērīgi </w:t>
      </w:r>
      <w:r w:rsidR="00247B27">
        <w:t xml:space="preserve">un pamatoti </w:t>
      </w:r>
      <w:r w:rsidR="008A5B57" w:rsidRPr="0036698E">
        <w:t xml:space="preserve">par sūdzības iesniegšanu </w:t>
      </w:r>
      <w:r w:rsidR="00A86530">
        <w:t>noteikt</w:t>
      </w:r>
      <w:r w:rsidR="008A5B57" w:rsidRPr="0036698E">
        <w:t xml:space="preserve"> </w:t>
      </w:r>
      <w:r w:rsidR="006F2F9C">
        <w:t>personai veikt maks</w:t>
      </w:r>
      <w:r w:rsidR="00A86530">
        <w:t>ājumu</w:t>
      </w:r>
      <w:r w:rsidR="006F2F9C">
        <w:t xml:space="preserve">, </w:t>
      </w:r>
      <w:r w:rsidR="00C326B7">
        <w:t xml:space="preserve">jo </w:t>
      </w:r>
      <w:r w:rsidR="006F2F9C">
        <w:t xml:space="preserve">tādējādi </w:t>
      </w:r>
      <w:r w:rsidR="00C326B7">
        <w:t xml:space="preserve">tiktu </w:t>
      </w:r>
      <w:r w:rsidR="006F2F9C">
        <w:t>ierobe</w:t>
      </w:r>
      <w:r w:rsidR="00C326B7">
        <w:t>žota</w:t>
      </w:r>
      <w:r w:rsidR="006F2F9C">
        <w:t xml:space="preserve"> </w:t>
      </w:r>
      <w:r w:rsidR="001F1914">
        <w:t>šo personu interešu aizsardz</w:t>
      </w:r>
      <w:r w:rsidR="00C326B7">
        <w:t>ības nodrošināšana</w:t>
      </w:r>
      <w:r w:rsidR="006E1BAF">
        <w:t xml:space="preserve"> un nebūtu </w:t>
      </w:r>
      <w:r w:rsidR="000A1219">
        <w:t xml:space="preserve">pietiekami </w:t>
      </w:r>
      <w:r w:rsidR="006E1BAF">
        <w:t>īstenota uzraudzības funkcija.</w:t>
      </w:r>
      <w:r w:rsidR="007D4FFD">
        <w:t xml:space="preserve"> </w:t>
      </w:r>
      <w:proofErr w:type="gramStart"/>
      <w:r w:rsidR="007D4FFD">
        <w:t>Turklāt,</w:t>
      </w:r>
      <w:proofErr w:type="gramEnd"/>
      <w:r w:rsidR="007D4FFD">
        <w:t xml:space="preserve"> sūdzības iesniedzēji ir ar</w:t>
      </w:r>
      <w:r w:rsidR="00A940CB">
        <w:t>ī personas (piemēram, parādnieki)</w:t>
      </w:r>
      <w:r w:rsidR="00987BBA">
        <w:t>, kurām ir pasludināts maksātnespējas process</w:t>
      </w:r>
      <w:r w:rsidR="007D4FFD">
        <w:t xml:space="preserve"> </w:t>
      </w:r>
      <w:r w:rsidR="00987BBA">
        <w:t xml:space="preserve">un </w:t>
      </w:r>
      <w:r w:rsidR="007D4FFD">
        <w:t>kuru finansi</w:t>
      </w:r>
      <w:r w:rsidR="00987BBA">
        <w:t>ālie līdzekļi ir ierobežoti.</w:t>
      </w:r>
      <w:r w:rsidR="0052135E">
        <w:t xml:space="preserve"> Līdz ar to norādītais alternatīvais Maksātnespējas administrācijas finansēšanas modelis nav atbalstāms.</w:t>
      </w:r>
    </w:p>
    <w:p w:rsidR="00CE4992" w:rsidRPr="00B72493" w:rsidRDefault="00E43107" w:rsidP="0062156C">
      <w:pPr>
        <w:spacing w:before="240"/>
        <w:ind w:firstLine="720"/>
        <w:jc w:val="both"/>
        <w:rPr>
          <w:b/>
        </w:rPr>
      </w:pPr>
      <w:r w:rsidRPr="00B72493">
        <w:rPr>
          <w:b/>
        </w:rPr>
        <w:t>6</w:t>
      </w:r>
      <w:r w:rsidR="00CE4992" w:rsidRPr="00B72493">
        <w:rPr>
          <w:b/>
        </w:rPr>
        <w:t>.</w:t>
      </w:r>
      <w:r w:rsidR="00DA79E2">
        <w:rPr>
          <w:b/>
        </w:rPr>
        <w:t> </w:t>
      </w:r>
      <w:r w:rsidR="00CE4992" w:rsidRPr="00B72493">
        <w:rPr>
          <w:b/>
        </w:rPr>
        <w:t>Uzraudzības (licencēšanas) maksa par administratoru īstenoto uzraudzību</w:t>
      </w:r>
    </w:p>
    <w:p w:rsidR="006611D2" w:rsidRPr="006611D2" w:rsidRDefault="006611D2" w:rsidP="006611D2">
      <w:pPr>
        <w:spacing w:before="60"/>
        <w:ind w:firstLine="709"/>
        <w:jc w:val="both"/>
      </w:pPr>
      <w:r>
        <w:t>Saskaņā ar Maksātnespējas likuma 174.</w:t>
      </w:r>
      <w:r w:rsidR="002F77DC">
        <w:t> </w:t>
      </w:r>
      <w:r>
        <w:t>pantu, l</w:t>
      </w:r>
      <w:r w:rsidRPr="006611D2">
        <w:t xml:space="preserve">ai īstenotu </w:t>
      </w:r>
      <w:r>
        <w:t xml:space="preserve">Maksātnespējas </w:t>
      </w:r>
      <w:r w:rsidRPr="006611D2">
        <w:t xml:space="preserve">likuma </w:t>
      </w:r>
      <w:hyperlink r:id="rId11" w:anchor="p173" w:tgtFrame="_blank" w:history="1">
        <w:r w:rsidRPr="002E7F87">
          <w:t>173.</w:t>
        </w:r>
        <w:r w:rsidR="002F77DC">
          <w:t> </w:t>
        </w:r>
        <w:r w:rsidRPr="002E7F87">
          <w:t>pantā</w:t>
        </w:r>
      </w:hyperlink>
      <w:r w:rsidRPr="006611D2">
        <w:t xml:space="preserve"> un citos normatīvajos aktos noteiktās funkcijas, Maksātnespējas administrācija:</w:t>
      </w:r>
    </w:p>
    <w:p w:rsidR="006611D2" w:rsidRPr="006611D2" w:rsidRDefault="006611D2" w:rsidP="002E7F87">
      <w:pPr>
        <w:ind w:firstLine="709"/>
        <w:jc w:val="both"/>
      </w:pPr>
      <w:r>
        <w:t>- </w:t>
      </w:r>
      <w:r w:rsidRPr="006611D2">
        <w:t>veic administratoru uzraudzību;</w:t>
      </w:r>
    </w:p>
    <w:p w:rsidR="006611D2" w:rsidRPr="006611D2" w:rsidRDefault="006611D2" w:rsidP="002E7F87">
      <w:pPr>
        <w:ind w:firstLine="709"/>
        <w:jc w:val="both"/>
      </w:pPr>
      <w:r>
        <w:t>- </w:t>
      </w:r>
      <w:r w:rsidRPr="006611D2">
        <w:t>izskata sūdzības par administratora rīcību, izņemot tos likumā noteiktos gadījumus, kad sūdzības par administratora lēmumiem izskatāmas tiesā, kurā ierosināta attiecīgā maksātnespējas procesa lieta;</w:t>
      </w:r>
    </w:p>
    <w:p w:rsidR="006611D2" w:rsidRDefault="006611D2" w:rsidP="002E7F87">
      <w:pPr>
        <w:ind w:firstLine="709"/>
        <w:jc w:val="both"/>
      </w:pPr>
      <w:r>
        <w:noBreakHyphen/>
      </w:r>
      <w:r w:rsidRPr="006611D2">
        <w:t xml:space="preserve"> izskata administratīvo pārkāpumu lietas atbilstoši Latvijas Administratīvo pārkāpumu kodeksā noteiktajai kompetencei</w:t>
      </w:r>
      <w:r>
        <w:t>.</w:t>
      </w:r>
    </w:p>
    <w:p w:rsidR="00B75D7B" w:rsidRDefault="004E6AF8" w:rsidP="006611D2">
      <w:pPr>
        <w:spacing w:before="60"/>
        <w:ind w:firstLine="709"/>
        <w:jc w:val="both"/>
      </w:pPr>
      <w:r>
        <w:t xml:space="preserve">Paredzot </w:t>
      </w:r>
      <w:r w:rsidR="00B75D7B">
        <w:t>alternatīv</w:t>
      </w:r>
      <w:r w:rsidR="0052135E">
        <w:t>o</w:t>
      </w:r>
      <w:r w:rsidR="00B75D7B">
        <w:t xml:space="preserve"> finans</w:t>
      </w:r>
      <w:r w:rsidR="00C04CC7">
        <w:t>ējuma avot</w:t>
      </w:r>
      <w:r>
        <w:t>u</w:t>
      </w:r>
      <w:r w:rsidR="0052135E">
        <w:t> –</w:t>
      </w:r>
      <w:r w:rsidR="00C04CC7">
        <w:t xml:space="preserve"> </w:t>
      </w:r>
      <w:r w:rsidR="00B75D7B">
        <w:t>uzraudzības</w:t>
      </w:r>
      <w:r w:rsidR="003A2FA3">
        <w:t xml:space="preserve"> (</w:t>
      </w:r>
      <w:r w:rsidR="00B91458">
        <w:t>licencēšanas</w:t>
      </w:r>
      <w:r w:rsidR="003A2FA3">
        <w:t xml:space="preserve">) </w:t>
      </w:r>
      <w:r w:rsidR="00FF479E">
        <w:t>maks</w:t>
      </w:r>
      <w:r>
        <w:t>u</w:t>
      </w:r>
      <w:r w:rsidR="003773BD">
        <w:t xml:space="preserve"> par administratoru īstenoto uzraudz</w:t>
      </w:r>
      <w:r w:rsidR="000A35BA">
        <w:t>ību</w:t>
      </w:r>
      <w:r>
        <w:t>,</w:t>
      </w:r>
      <w:r w:rsidR="00B31A26">
        <w:t xml:space="preserve"> jāņem vērā, ka</w:t>
      </w:r>
      <w:r w:rsidR="003D794D">
        <w:t xml:space="preserve"> saskaņā ar Maksātnespējas likumu </w:t>
      </w:r>
      <w:r w:rsidR="000B4CD3">
        <w:t xml:space="preserve">administratori </w:t>
      </w:r>
      <w:r w:rsidR="00917684">
        <w:t xml:space="preserve">amata darbībā </w:t>
      </w:r>
      <w:r w:rsidR="000B4CD3">
        <w:t xml:space="preserve">ir pielīdzināmi valsts amatpersonām </w:t>
      </w:r>
      <w:r w:rsidR="003D794D">
        <w:t xml:space="preserve">un </w:t>
      </w:r>
      <w:r w:rsidR="0067503C">
        <w:t xml:space="preserve">valsts amatpersonas </w:t>
      </w:r>
      <w:r w:rsidR="003D794D">
        <w:t xml:space="preserve">statuss administratoriem ir noteikts </w:t>
      </w:r>
      <w:r w:rsidR="000B4CD3">
        <w:t>likumā</w:t>
      </w:r>
      <w:r w:rsidR="007271A5">
        <w:t xml:space="preserve"> </w:t>
      </w:r>
      <w:r w:rsidR="00D973A1">
        <w:t>"</w:t>
      </w:r>
      <w:r w:rsidR="000B4CD3" w:rsidRPr="005D18BE">
        <w:rPr>
          <w:bCs/>
        </w:rPr>
        <w:t>Par interešu konflikta novēr</w:t>
      </w:r>
      <w:r w:rsidR="00D973A1">
        <w:rPr>
          <w:bCs/>
        </w:rPr>
        <w:t>šanu valsts amatpersonu darbībā"</w:t>
      </w:r>
      <w:r w:rsidR="003D794D">
        <w:rPr>
          <w:bCs/>
        </w:rPr>
        <w:t xml:space="preserve">, tādējādi </w:t>
      </w:r>
      <w:r w:rsidR="00CA11F5">
        <w:t xml:space="preserve">uzraudzības (licencēšanas) </w:t>
      </w:r>
      <w:r w:rsidR="003D794D">
        <w:t>maks</w:t>
      </w:r>
      <w:r w:rsidR="00CA11F5">
        <w:t>as noteikšana</w:t>
      </w:r>
      <w:r w:rsidR="003D794D">
        <w:t xml:space="preserve"> </w:t>
      </w:r>
      <w:r w:rsidR="00CA11F5">
        <w:t xml:space="preserve">valsts amatpersonai </w:t>
      </w:r>
      <w:r w:rsidR="003D794D">
        <w:t>nav atbalstāma</w:t>
      </w:r>
      <w:r w:rsidR="00E51EC0">
        <w:t xml:space="preserve"> un pieļaujama</w:t>
      </w:r>
      <w:r w:rsidR="003D794D">
        <w:t>.</w:t>
      </w:r>
      <w:r w:rsidR="00107130">
        <w:t xml:space="preserve"> </w:t>
      </w:r>
      <w:r w:rsidR="00E51EC0">
        <w:t>Šāds alternatīvā finansējuma avots būtu apsverams gadījumā, ja administratori nebūtu pielīdzināti valsts amatpersonām.</w:t>
      </w:r>
      <w:r w:rsidR="0067503C" w:rsidRPr="0067503C">
        <w:t xml:space="preserve"> </w:t>
      </w:r>
      <w:r w:rsidR="0067503C">
        <w:t>Līdz ar to norādītais alternatīvais Maksātnespējas administrācijas finansēšanas modelis nav atbalstāms.</w:t>
      </w:r>
    </w:p>
    <w:p w:rsidR="00D5310C" w:rsidRPr="00B72493" w:rsidRDefault="00E43107" w:rsidP="0062156C">
      <w:pPr>
        <w:spacing w:before="240"/>
        <w:ind w:firstLine="720"/>
        <w:jc w:val="both"/>
        <w:rPr>
          <w:b/>
        </w:rPr>
      </w:pPr>
      <w:r w:rsidRPr="00B72493">
        <w:rPr>
          <w:b/>
        </w:rPr>
        <w:t>7</w:t>
      </w:r>
      <w:r w:rsidR="00D5310C" w:rsidRPr="00B72493">
        <w:rPr>
          <w:b/>
        </w:rPr>
        <w:t>.</w:t>
      </w:r>
      <w:r w:rsidR="009A259E">
        <w:rPr>
          <w:b/>
        </w:rPr>
        <w:t> </w:t>
      </w:r>
      <w:r w:rsidR="00D5310C" w:rsidRPr="00B72493">
        <w:rPr>
          <w:b/>
        </w:rPr>
        <w:t xml:space="preserve">Valsts nodeva par </w:t>
      </w:r>
      <w:r w:rsidR="00C66971" w:rsidRPr="00B72493">
        <w:rPr>
          <w:b/>
        </w:rPr>
        <w:t xml:space="preserve">administratoru </w:t>
      </w:r>
      <w:r w:rsidR="00D5310C" w:rsidRPr="00B72493">
        <w:rPr>
          <w:b/>
        </w:rPr>
        <w:t>iecelšanu amatā</w:t>
      </w:r>
    </w:p>
    <w:p w:rsidR="0043585A" w:rsidRDefault="001202F2" w:rsidP="001202F2">
      <w:pPr>
        <w:spacing w:before="60"/>
        <w:ind w:firstLine="709"/>
        <w:jc w:val="both"/>
      </w:pPr>
      <w:r w:rsidRPr="001202F2">
        <w:t>Saskaņā ar Ministru kabineta 2017. gada 30. maija noteikum</w:t>
      </w:r>
      <w:r>
        <w:t>u</w:t>
      </w:r>
      <w:r w:rsidRPr="001202F2">
        <w:t xml:space="preserve"> Nr.287</w:t>
      </w:r>
      <w:r>
        <w:t> </w:t>
      </w:r>
      <w:r w:rsidRPr="001202F2">
        <w:t>"</w:t>
      </w:r>
      <w:r w:rsidRPr="00DB3597">
        <w:rPr>
          <w:bCs/>
          <w:lang w:eastAsia="en-US"/>
        </w:rPr>
        <w:t>Maksātnespējas administrācijas maksas pakalpojumu cenrādis</w:t>
      </w:r>
      <w:r w:rsidRPr="005A4D31">
        <w:rPr>
          <w:bCs/>
          <w:lang w:eastAsia="en-US"/>
        </w:rPr>
        <w:t xml:space="preserve"> un samaksas kārtība</w:t>
      </w:r>
      <w:r w:rsidRPr="001202F2">
        <w:t xml:space="preserve">" </w:t>
      </w:r>
      <w:r>
        <w:t>pielikuma 1. un 2. punktu administratora eksāmena un kvalifikācijas eksāmena kārtošana ir maksas pakalpojums, kura</w:t>
      </w:r>
      <w:r w:rsidR="0043585A">
        <w:t xml:space="preserve"> maksu veido</w:t>
      </w:r>
      <w:r>
        <w:t xml:space="preserve"> tika</w:t>
      </w:r>
      <w:r w:rsidR="0043585A">
        <w:t>i</w:t>
      </w:r>
      <w:r>
        <w:t xml:space="preserve"> ar konkrēt</w:t>
      </w:r>
      <w:r w:rsidR="0043585A">
        <w:t>ā</w:t>
      </w:r>
      <w:r>
        <w:t xml:space="preserve"> maksas pakalpojuma sniegšanu saistītās izmaksas</w:t>
      </w:r>
      <w:r w:rsidR="0043585A">
        <w:t>. Vienlaikus pēc administratora eksāmena un kvalifikācijas eksāmena nokārtošanas administrators tiek iecelts amatā, izsniedzot amata apliecību – amata apliecības izsniegšana ir maksas pakalpojums, kura maksu veido</w:t>
      </w:r>
      <w:r w:rsidR="0043585A" w:rsidRPr="0043585A">
        <w:t xml:space="preserve"> tikai ar konkrētā maksas pakalpojuma sniegšanu saistītās izmaksas</w:t>
      </w:r>
      <w:r w:rsidR="0043585A">
        <w:t>. Citi maksājumi saistībā ar administratora iecelšanu amatā nav paredzēti.</w:t>
      </w:r>
    </w:p>
    <w:p w:rsidR="00855930" w:rsidRDefault="001202F2" w:rsidP="001202F2">
      <w:pPr>
        <w:spacing w:before="60"/>
        <w:ind w:firstLine="709"/>
        <w:jc w:val="both"/>
      </w:pPr>
      <w:r w:rsidRPr="001202F2">
        <w:t xml:space="preserve">Paredzot alternatīvo finansējuma avotu – </w:t>
      </w:r>
      <w:r w:rsidR="0043585A">
        <w:t>valsts nodevas par administratora iecelšanu amatā noteikšanu</w:t>
      </w:r>
      <w:r w:rsidRPr="001202F2">
        <w:t xml:space="preserve">, jāņem vērā </w:t>
      </w:r>
      <w:r w:rsidR="00AB29D1">
        <w:t xml:space="preserve">ka </w:t>
      </w:r>
      <w:r w:rsidR="009A5194">
        <w:t xml:space="preserve">šobrīd atbilstoši </w:t>
      </w:r>
      <w:r w:rsidR="00886829">
        <w:t>P</w:t>
      </w:r>
      <w:r w:rsidR="009A5194">
        <w:t xml:space="preserve">amatnostādnēs noteiktajām </w:t>
      </w:r>
      <w:r w:rsidR="006611D2">
        <w:t xml:space="preserve">vidējā termiņā ir paredzēts izvērtēt jautājumu </w:t>
      </w:r>
      <w:r w:rsidR="009A5194">
        <w:t xml:space="preserve">par personu loka, kas var būt par administratoru, paplašināšanu, bet tas </w:t>
      </w:r>
      <w:r w:rsidR="003915BB">
        <w:t xml:space="preserve">nav pilnībā atrisināts, </w:t>
      </w:r>
      <w:r w:rsidR="00855930">
        <w:t xml:space="preserve">nav iespējams noteikt ne iespējamo administratoru skaitu, kuriem </w:t>
      </w:r>
      <w:r w:rsidR="00855930" w:rsidRPr="00753C4F">
        <w:t>darbs administratora profesijā ir pamata nodarbošanās, ne to personu skaitu, kurām tiesības administrēt maksātnespējas procesu būtu noteiktas kā iespējamā papildu nodarbošanās, kā arī šo personu tiesības</w:t>
      </w:r>
      <w:r w:rsidR="00855930">
        <w:t xml:space="preserve"> un pienākumus saistībā ar maksātnespējas jautājumiem.</w:t>
      </w:r>
    </w:p>
    <w:p w:rsidR="00FB211E" w:rsidRPr="00B72493" w:rsidRDefault="00C20929" w:rsidP="00B72493">
      <w:pPr>
        <w:spacing w:before="60"/>
        <w:ind w:firstLine="709"/>
        <w:jc w:val="both"/>
      </w:pPr>
      <w:r>
        <w:t xml:space="preserve"> Līdz ar to</w:t>
      </w:r>
      <w:r w:rsidR="00AB29D1">
        <w:t xml:space="preserve"> varētu izveidoties situācija, ka administratoru rindas varētu ievērojami sarukt</w:t>
      </w:r>
      <w:r w:rsidR="002F5C62">
        <w:t>.</w:t>
      </w:r>
      <w:r w:rsidR="00AB29D1">
        <w:t xml:space="preserve"> </w:t>
      </w:r>
      <w:r w:rsidR="00590BF2">
        <w:t>Turklāt</w:t>
      </w:r>
      <w:r w:rsidR="00AB29D1">
        <w:t xml:space="preserve"> valsts nodevas ieņēmumu apmērs pa gadiem </w:t>
      </w:r>
      <w:r w:rsidR="00552AE3">
        <w:t>varētu būt</w:t>
      </w:r>
      <w:r w:rsidR="00AB29D1">
        <w:t xml:space="preserve"> neproporcionāls un to nebūs iespējams noteikt tik liel</w:t>
      </w:r>
      <w:r w:rsidR="00552AE3">
        <w:t>ā apmērā</w:t>
      </w:r>
      <w:r w:rsidR="00AB29D1">
        <w:t>, lai pilnībā varētu nosegt plānotās</w:t>
      </w:r>
      <w:r w:rsidR="00552AE3">
        <w:t xml:space="preserve"> Maksātnespējas administrācijas funkciju īstenošanas</w:t>
      </w:r>
      <w:r w:rsidR="00AB29D1">
        <w:t xml:space="preserve"> papildu izmaksas.</w:t>
      </w:r>
      <w:r w:rsidR="00552AE3" w:rsidRPr="00552AE3">
        <w:t xml:space="preserve"> </w:t>
      </w:r>
      <w:r w:rsidR="00552AE3">
        <w:t>Līdz ar to norādītais alternatīvais Maksātnespējas administrācijas finansēšanas modelis nav atbalstāms.</w:t>
      </w:r>
    </w:p>
    <w:p w:rsidR="00D84C0F" w:rsidRDefault="00D84C0F" w:rsidP="00192BE0">
      <w:pPr>
        <w:spacing w:before="240"/>
        <w:ind w:firstLine="720"/>
        <w:jc w:val="both"/>
        <w:rPr>
          <w:b/>
        </w:rPr>
      </w:pPr>
      <w:r w:rsidRPr="00D84C0F">
        <w:rPr>
          <w:b/>
        </w:rPr>
        <w:t>Kopsavilkums</w:t>
      </w:r>
    </w:p>
    <w:p w:rsidR="003A7ABB" w:rsidRDefault="008B2154" w:rsidP="003A7ABB">
      <w:pPr>
        <w:spacing w:before="60"/>
        <w:ind w:firstLine="720"/>
        <w:jc w:val="both"/>
        <w:rPr>
          <w:iCs/>
        </w:rPr>
      </w:pPr>
      <w:r w:rsidRPr="008B2154">
        <w:t xml:space="preserve">Ņemot vērā šā informatīvā ziņojuma 5. sadaļā veikto izvērtējumu, var secināt, ka Maksātnespējas administrācijas darbības finansēšanai turpmāk būtu jāparedz 5. sadaļas 1. punktā noteiktais modelis. Proti, </w:t>
      </w:r>
      <w:bookmarkStart w:id="5" w:name="_Hlk485286090"/>
      <w:r w:rsidRPr="008B2154">
        <w:t>ka Maksātnespējas administrācijas darbība pamatā tiek finansēta no iestādei novirzāmās uzņēmējdarbības riska valsts nodevas daļas, nosakot attiecīgu iestādei novirzāmās uzņēmējdarbības riska valsts nodevas daļas palielinājumu 2018. </w:t>
      </w:r>
      <w:r w:rsidRPr="008B2154">
        <w:noBreakHyphen/>
        <w:t xml:space="preserve"> 2020. gadā. </w:t>
      </w:r>
      <w:r w:rsidRPr="00426D2D">
        <w:t>2018. gadā Maksātnespējas administrācijas darbības finansēšanai novirzāmās uzņēmējdarbības riska valsts nodevas daļa būtu palielināma līdz 4</w:t>
      </w:r>
      <w:r w:rsidR="00C66ED3" w:rsidRPr="00426D2D">
        <w:t>3</w:t>
      </w:r>
      <w:r w:rsidR="0043337B" w:rsidRPr="00426D2D">
        <w:t> </w:t>
      </w:r>
      <w:r w:rsidRPr="00426D2D">
        <w:t xml:space="preserve">% gadā, </w:t>
      </w:r>
      <w:proofErr w:type="gramStart"/>
      <w:r w:rsidRPr="00426D2D">
        <w:t>savukārt,</w:t>
      </w:r>
      <w:proofErr w:type="gramEnd"/>
      <w:r w:rsidRPr="00426D2D">
        <w:t xml:space="preserve"> sākot no 2019. gada, Maksātnespējas administrācijas darbības finansēšanai novirzāmās uzņēmējdarbības riska valsts nodevas daļa būtu palielināma vidēji līdz 3</w:t>
      </w:r>
      <w:r w:rsidR="00C66ED3" w:rsidRPr="00426D2D">
        <w:t>7</w:t>
      </w:r>
      <w:r w:rsidR="0043337B" w:rsidRPr="00426D2D">
        <w:t> </w:t>
      </w:r>
      <w:r w:rsidRPr="00426D2D">
        <w:t>% gadā</w:t>
      </w:r>
      <w:r w:rsidR="003A7ABB">
        <w:t>,</w:t>
      </w:r>
      <w:r w:rsidRPr="008B2154">
        <w:t xml:space="preserve"> </w:t>
      </w:r>
      <w:r w:rsidR="003A7ABB" w:rsidRPr="008B2154">
        <w:rPr>
          <w:iCs/>
        </w:rPr>
        <w:t>URVN daļu ieskait</w:t>
      </w:r>
      <w:r w:rsidR="001A5CD8">
        <w:rPr>
          <w:iCs/>
        </w:rPr>
        <w:t>o</w:t>
      </w:r>
      <w:r w:rsidR="003A7ABB" w:rsidRPr="008B2154">
        <w:rPr>
          <w:iCs/>
        </w:rPr>
        <w:t>t vispārējos valsts budžeta ieņēmumos, bet Maksātnespējas administrācijai nepieciešamo finansējumu piešķirt kā dotāciju no vispārējiem ieņēmumiem.</w:t>
      </w:r>
    </w:p>
    <w:p w:rsidR="008E4202" w:rsidRPr="008B2154" w:rsidRDefault="008B2056" w:rsidP="003A7ABB">
      <w:pPr>
        <w:spacing w:before="60"/>
        <w:ind w:firstLine="720"/>
        <w:jc w:val="both"/>
        <w:rPr>
          <w:iCs/>
        </w:rPr>
      </w:pPr>
      <w:r>
        <w:rPr>
          <w:iCs/>
        </w:rPr>
        <w:t>Par šo informatīvo ziņojumu</w:t>
      </w:r>
      <w:r w:rsidR="008E4202">
        <w:rPr>
          <w:iCs/>
        </w:rPr>
        <w:t xml:space="preserve"> saņemta Ārvalstu investoru padomes Latvijā </w:t>
      </w:r>
      <w:r w:rsidR="00897D75" w:rsidRPr="00897D75">
        <w:rPr>
          <w:iCs/>
        </w:rPr>
        <w:t>2017. gada 28. jūnij</w:t>
      </w:r>
      <w:r>
        <w:rPr>
          <w:iCs/>
        </w:rPr>
        <w:t>a</w:t>
      </w:r>
      <w:r w:rsidR="00897D75" w:rsidRPr="00897D75">
        <w:rPr>
          <w:iCs/>
        </w:rPr>
        <w:t xml:space="preserve"> </w:t>
      </w:r>
      <w:r w:rsidR="00897D75">
        <w:rPr>
          <w:iCs/>
        </w:rPr>
        <w:t>vēstule Nr. </w:t>
      </w:r>
      <w:r w:rsidR="007B2A43">
        <w:rPr>
          <w:iCs/>
        </w:rPr>
        <w:t xml:space="preserve">82/2017, kurā pausts atbalsts Maksātnespējas administrācijas kapacitātes stiprināšanai, norādot, ka bez adekvāta (palielināta) finansējuma Maksātnespējas administrācijai nebūs iespēju nodrošināt Pamatnostādnēs un maksātnespējas likumā noteikto uzdevumu izpildi. Minētajā vēstulē norādīts, ka </w:t>
      </w:r>
      <w:r w:rsidR="007B2A43" w:rsidRPr="007B2A43">
        <w:rPr>
          <w:iCs/>
        </w:rPr>
        <w:t>Ārvalstu investoru padome Latvijā</w:t>
      </w:r>
      <w:r w:rsidR="007B2A43">
        <w:rPr>
          <w:iCs/>
        </w:rPr>
        <w:t xml:space="preserve"> atbalsta šajā informatīvajā ziņojumā piedāvāto URVN procentuālo sadalījumu kā tūlītēju un neatliekamu risinājumu Maksātnespējas administrācijas kapacitātes stiprināšanai, pie nosacījuma, ka attiecīgais risinājums neapdraud darbinieku prasījumu segšanu saskaņā ar normatīvajiem aktiem. </w:t>
      </w:r>
    </w:p>
    <w:bookmarkEnd w:id="5"/>
    <w:p w:rsidR="008B2154" w:rsidRDefault="008B2154" w:rsidP="008B2154">
      <w:pPr>
        <w:spacing w:before="60"/>
        <w:ind w:firstLine="720"/>
        <w:jc w:val="both"/>
      </w:pPr>
      <w:r w:rsidRPr="008B2154">
        <w:t xml:space="preserve">Maksātnespējas administrācijas kapacitātes un kompetences celšana, kopsakarā ar citiem Pamatnostādnēs un Maksātnespējas likumā paredzētajiem pasākumiem veicinās gan Pamatnostādnēs noteiktā mērķa – administratora profesijā strādā augsti kvalificēti profesionāļi ar amatam atbilstošām zināšanām, prasmēm, un personiskajām īpašībām – sasniegšanu, gan kopumā paaugstinās maksātnespējas procesa efektivitāti. </w:t>
      </w:r>
    </w:p>
    <w:p w:rsidR="00B00476" w:rsidRPr="00B00476" w:rsidRDefault="00B00476" w:rsidP="00B00476">
      <w:pPr>
        <w:spacing w:before="60"/>
        <w:ind w:firstLine="720"/>
        <w:jc w:val="both"/>
      </w:pPr>
      <w:proofErr w:type="gramStart"/>
      <w:r w:rsidRPr="00B00476">
        <w:t>Ieskaitot URVN daļu valsts budžetā,</w:t>
      </w:r>
      <w:proofErr w:type="gramEnd"/>
      <w:r w:rsidRPr="00B00476">
        <w:t xml:space="preserve"> un no tās nodrošinot Maksātnespējas administrācijas darbību, atbrīvotā dotācija ik gadu 150 000 </w:t>
      </w:r>
      <w:proofErr w:type="spellStart"/>
      <w:r w:rsidRPr="008B2056">
        <w:rPr>
          <w:i/>
        </w:rPr>
        <w:t>euro</w:t>
      </w:r>
      <w:proofErr w:type="spellEnd"/>
      <w:r w:rsidRPr="00B00476">
        <w:t xml:space="preserve"> apmērā tiek novirzīta Tieslietu ministrijai administratīvās kapacitātes stiprināšanai, lai nodrošinātu tieslietu politikas attīstību un tiesiskuma stiprināšanu.</w:t>
      </w:r>
    </w:p>
    <w:p w:rsidR="00CA369B" w:rsidRDefault="00CA369B" w:rsidP="00CE7D79">
      <w:pPr>
        <w:spacing w:before="60"/>
        <w:jc w:val="both"/>
      </w:pPr>
    </w:p>
    <w:p w:rsidR="00CA369B" w:rsidRDefault="00CA369B" w:rsidP="00CE7D79">
      <w:pPr>
        <w:spacing w:before="60"/>
        <w:jc w:val="both"/>
      </w:pPr>
    </w:p>
    <w:p w:rsidR="00CA369B" w:rsidRDefault="00CA369B" w:rsidP="00CE7D79">
      <w:pPr>
        <w:spacing w:before="60"/>
        <w:jc w:val="both"/>
      </w:pPr>
    </w:p>
    <w:p w:rsidR="00CA369B" w:rsidRPr="00CA369B" w:rsidRDefault="00CA369B" w:rsidP="00CA369B">
      <w:pPr>
        <w:spacing w:before="60"/>
        <w:jc w:val="both"/>
      </w:pPr>
      <w:r w:rsidRPr="00CA369B">
        <w:t xml:space="preserve">Tieslietu ministra vietā </w:t>
      </w:r>
    </w:p>
    <w:p w:rsidR="00CA369B" w:rsidRPr="00CA369B" w:rsidRDefault="00CA369B" w:rsidP="00CA369B">
      <w:pPr>
        <w:tabs>
          <w:tab w:val="left" w:pos="7513"/>
        </w:tabs>
        <w:spacing w:before="60"/>
        <w:jc w:val="both"/>
      </w:pPr>
      <w:r w:rsidRPr="00CA369B">
        <w:t xml:space="preserve">kultūras ministre </w:t>
      </w:r>
      <w:r w:rsidRPr="00CA369B">
        <w:tab/>
        <w:t xml:space="preserve"> Dace </w:t>
      </w:r>
      <w:proofErr w:type="spellStart"/>
      <w:r w:rsidRPr="00CA369B">
        <w:t>Melbārde</w:t>
      </w:r>
      <w:proofErr w:type="spellEnd"/>
    </w:p>
    <w:p w:rsidR="004030C2" w:rsidRDefault="004030C2" w:rsidP="00CE7D79">
      <w:pPr>
        <w:spacing w:before="60"/>
        <w:jc w:val="both"/>
      </w:pPr>
    </w:p>
    <w:p w:rsidR="00072930" w:rsidRDefault="00072930" w:rsidP="00CE7D79">
      <w:pPr>
        <w:spacing w:before="60"/>
        <w:jc w:val="both"/>
      </w:pPr>
    </w:p>
    <w:p w:rsidR="00072930" w:rsidRDefault="00072930" w:rsidP="00CE7D79">
      <w:pPr>
        <w:spacing w:before="60"/>
        <w:jc w:val="both"/>
      </w:pPr>
    </w:p>
    <w:p w:rsidR="003C5DFB" w:rsidRDefault="004030C2" w:rsidP="008B2056">
      <w:pPr>
        <w:jc w:val="both"/>
        <w:rPr>
          <w:sz w:val="22"/>
          <w:szCs w:val="22"/>
        </w:rPr>
      </w:pPr>
      <w:r w:rsidRPr="008E4202">
        <w:rPr>
          <w:sz w:val="22"/>
          <w:szCs w:val="22"/>
        </w:rPr>
        <w:t>B.Banga</w:t>
      </w:r>
      <w:r w:rsidR="003C5DFB">
        <w:rPr>
          <w:sz w:val="22"/>
          <w:szCs w:val="22"/>
        </w:rPr>
        <w:t xml:space="preserve">, </w:t>
      </w:r>
      <w:r w:rsidRPr="008E4202">
        <w:rPr>
          <w:sz w:val="22"/>
          <w:szCs w:val="22"/>
        </w:rPr>
        <w:t>67099123</w:t>
      </w:r>
    </w:p>
    <w:p w:rsidR="004030C2" w:rsidRPr="008E4202" w:rsidRDefault="00487FD1" w:rsidP="008B2056">
      <w:pPr>
        <w:jc w:val="both"/>
        <w:rPr>
          <w:sz w:val="22"/>
          <w:szCs w:val="22"/>
        </w:rPr>
      </w:pPr>
      <w:hyperlink r:id="rId12" w:history="1">
        <w:r w:rsidR="004030C2" w:rsidRPr="008E4202">
          <w:rPr>
            <w:rStyle w:val="Hyperlink"/>
            <w:sz w:val="22"/>
            <w:szCs w:val="22"/>
          </w:rPr>
          <w:t>baiba.banga@mna.gov.lv</w:t>
        </w:r>
      </w:hyperlink>
    </w:p>
    <w:p w:rsidR="003C5DFB" w:rsidRDefault="004030C2" w:rsidP="008B2056">
      <w:pPr>
        <w:jc w:val="both"/>
        <w:rPr>
          <w:sz w:val="22"/>
          <w:szCs w:val="22"/>
        </w:rPr>
      </w:pPr>
      <w:r w:rsidRPr="008E4202">
        <w:rPr>
          <w:sz w:val="22"/>
          <w:szCs w:val="22"/>
        </w:rPr>
        <w:t>A.Ličkovska</w:t>
      </w:r>
      <w:r w:rsidR="003C5DFB">
        <w:rPr>
          <w:sz w:val="22"/>
          <w:szCs w:val="22"/>
        </w:rPr>
        <w:t xml:space="preserve">, </w:t>
      </w:r>
      <w:r w:rsidRPr="008E4202">
        <w:rPr>
          <w:sz w:val="22"/>
          <w:szCs w:val="22"/>
        </w:rPr>
        <w:t>67099126</w:t>
      </w:r>
    </w:p>
    <w:p w:rsidR="004030C2" w:rsidRPr="008E4202" w:rsidRDefault="00487FD1" w:rsidP="008B2056">
      <w:pPr>
        <w:jc w:val="both"/>
        <w:rPr>
          <w:sz w:val="22"/>
          <w:szCs w:val="22"/>
        </w:rPr>
      </w:pPr>
      <w:hyperlink r:id="rId13" w:history="1">
        <w:r w:rsidR="004030C2" w:rsidRPr="008E4202">
          <w:rPr>
            <w:rStyle w:val="Hyperlink"/>
            <w:sz w:val="22"/>
            <w:szCs w:val="22"/>
          </w:rPr>
          <w:t>alla.lickovska@mna.gov.lv</w:t>
        </w:r>
      </w:hyperlink>
      <w:r w:rsidR="004030C2" w:rsidRPr="008E4202">
        <w:rPr>
          <w:sz w:val="22"/>
          <w:szCs w:val="22"/>
        </w:rPr>
        <w:t xml:space="preserve"> </w:t>
      </w:r>
    </w:p>
    <w:p w:rsidR="00CE7D79" w:rsidRPr="00C26E84" w:rsidRDefault="00CE7D79" w:rsidP="008B2056">
      <w:pPr>
        <w:jc w:val="both"/>
      </w:pPr>
    </w:p>
    <w:sectPr w:rsidR="00CE7D79" w:rsidRPr="00C26E84" w:rsidSect="00C1162D">
      <w:headerReference w:type="default" r:id="rId14"/>
      <w:footerReference w:type="default" r:id="rId15"/>
      <w:pgSz w:w="11906" w:h="16838"/>
      <w:pgMar w:top="1134" w:right="992" w:bottom="1134"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D1" w:rsidRDefault="00487FD1" w:rsidP="00997E31">
      <w:r>
        <w:separator/>
      </w:r>
    </w:p>
  </w:endnote>
  <w:endnote w:type="continuationSeparator" w:id="0">
    <w:p w:rsidR="00487FD1" w:rsidRDefault="00487FD1" w:rsidP="00997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EAKGHC+TimesNewRoman">
    <w:altName w:val="Times New Roman"/>
    <w:charset w:val="00"/>
    <w:family w:val="auto"/>
    <w:pitch w:val="default"/>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697" w:rsidRDefault="00410697">
    <w:pPr>
      <w:pStyle w:val="Footer"/>
    </w:pPr>
    <w:r>
      <w:t>TMZino_060717_MNA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D1" w:rsidRDefault="00487FD1" w:rsidP="00997E31">
      <w:r>
        <w:separator/>
      </w:r>
    </w:p>
  </w:footnote>
  <w:footnote w:type="continuationSeparator" w:id="0">
    <w:p w:rsidR="00487FD1" w:rsidRDefault="00487FD1" w:rsidP="00997E31">
      <w:r>
        <w:continuationSeparator/>
      </w:r>
    </w:p>
  </w:footnote>
  <w:footnote w:id="1">
    <w:p w:rsidR="00410697" w:rsidRPr="00D95833" w:rsidRDefault="00410697">
      <w:pPr>
        <w:pStyle w:val="FootnoteText"/>
      </w:pPr>
      <w:r>
        <w:rPr>
          <w:rStyle w:val="FootnoteReference"/>
        </w:rPr>
        <w:footnoteRef/>
      </w:r>
      <w:r>
        <w:t xml:space="preserve"> </w:t>
      </w:r>
      <w:r w:rsidRPr="00E015B0">
        <w:t xml:space="preserve">UNCITRAL </w:t>
      </w:r>
      <w:proofErr w:type="spellStart"/>
      <w:r w:rsidRPr="00E015B0">
        <w:t>Legislative</w:t>
      </w:r>
      <w:proofErr w:type="spellEnd"/>
      <w:r w:rsidRPr="00E015B0">
        <w:t xml:space="preserve"> </w:t>
      </w:r>
      <w:proofErr w:type="spellStart"/>
      <w:r w:rsidRPr="00E015B0">
        <w:t>Guide</w:t>
      </w:r>
      <w:proofErr w:type="spellEnd"/>
      <w:r w:rsidRPr="00E015B0">
        <w:t xml:space="preserve"> </w:t>
      </w:r>
      <w:proofErr w:type="spellStart"/>
      <w:r w:rsidRPr="00E015B0">
        <w:t>on</w:t>
      </w:r>
      <w:proofErr w:type="spellEnd"/>
      <w:r w:rsidRPr="00E015B0">
        <w:t xml:space="preserve"> </w:t>
      </w:r>
      <w:proofErr w:type="spellStart"/>
      <w:r w:rsidRPr="00E015B0">
        <w:t>Insolvency</w:t>
      </w:r>
      <w:proofErr w:type="spellEnd"/>
      <w:r w:rsidRPr="00E015B0">
        <w:t xml:space="preserve"> </w:t>
      </w:r>
      <w:proofErr w:type="spellStart"/>
      <w:r w:rsidRPr="00E015B0">
        <w:t>Law</w:t>
      </w:r>
      <w:proofErr w:type="spellEnd"/>
      <w:r w:rsidRPr="00E015B0">
        <w:t xml:space="preserve">. </w:t>
      </w:r>
      <w:proofErr w:type="spellStart"/>
      <w:r w:rsidRPr="00E015B0">
        <w:t>United</w:t>
      </w:r>
      <w:proofErr w:type="spellEnd"/>
      <w:r w:rsidRPr="00E015B0">
        <w:t xml:space="preserve"> </w:t>
      </w:r>
      <w:proofErr w:type="spellStart"/>
      <w:r w:rsidRPr="00E015B0">
        <w:t>Nations</w:t>
      </w:r>
      <w:proofErr w:type="spellEnd"/>
      <w:r w:rsidRPr="00E015B0">
        <w:t xml:space="preserve">. – </w:t>
      </w:r>
      <w:proofErr w:type="spellStart"/>
      <w:r w:rsidRPr="00E015B0">
        <w:t>New</w:t>
      </w:r>
      <w:proofErr w:type="spellEnd"/>
      <w:r w:rsidRPr="00E015B0">
        <w:t xml:space="preserve"> </w:t>
      </w:r>
      <w:proofErr w:type="spellStart"/>
      <w:r w:rsidRPr="00E015B0">
        <w:t>York</w:t>
      </w:r>
      <w:proofErr w:type="spellEnd"/>
      <w:r w:rsidRPr="00E015B0">
        <w:t xml:space="preserve">, 2005, p. 270, </w:t>
      </w:r>
      <w:proofErr w:type="spellStart"/>
      <w:r w:rsidRPr="00E015B0">
        <w:t>Part</w:t>
      </w:r>
      <w:proofErr w:type="spellEnd"/>
      <w:r w:rsidRPr="00E015B0">
        <w:t xml:space="preserve"> </w:t>
      </w:r>
      <w:proofErr w:type="spellStart"/>
      <w:r>
        <w:t>one</w:t>
      </w:r>
      <w:proofErr w:type="spellEnd"/>
      <w:r w:rsidRPr="00E015B0">
        <w:t xml:space="preserve">: </w:t>
      </w:r>
      <w:r>
        <w:t>III.</w:t>
      </w:r>
      <w:r w:rsidRPr="00E015B0">
        <w:t xml:space="preserve"> </w:t>
      </w:r>
      <w:proofErr w:type="spellStart"/>
      <w:r>
        <w:t>Institutional</w:t>
      </w:r>
      <w:proofErr w:type="spellEnd"/>
      <w:r>
        <w:t xml:space="preserve"> </w:t>
      </w:r>
      <w:proofErr w:type="spellStart"/>
      <w:r>
        <w:t>framework</w:t>
      </w:r>
      <w:proofErr w:type="spellEnd"/>
      <w:r w:rsidRPr="00E015B0">
        <w:t xml:space="preserve">, </w:t>
      </w:r>
      <w:r>
        <w:t>33</w:t>
      </w:r>
      <w:r w:rsidRPr="00E015B0">
        <w:t>.</w:t>
      </w:r>
      <w:r>
        <w:t>lpp.</w:t>
      </w:r>
      <w:r w:rsidRPr="00E015B0">
        <w:t xml:space="preserve">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8956711"/>
      <w:docPartObj>
        <w:docPartGallery w:val="Page Numbers (Top of Page)"/>
        <w:docPartUnique/>
      </w:docPartObj>
    </w:sdtPr>
    <w:sdtEndPr>
      <w:rPr>
        <w:noProof/>
      </w:rPr>
    </w:sdtEndPr>
    <w:sdtContent>
      <w:p w:rsidR="00410697" w:rsidRDefault="00410697">
        <w:pPr>
          <w:pStyle w:val="Header"/>
          <w:jc w:val="center"/>
        </w:pPr>
        <w:r>
          <w:fldChar w:fldCharType="begin"/>
        </w:r>
        <w:r>
          <w:instrText xml:space="preserve"> PAGE   \* MERGEFORMAT </w:instrText>
        </w:r>
        <w:r>
          <w:fldChar w:fldCharType="separate"/>
        </w:r>
        <w:r w:rsidR="00812D1C">
          <w:rPr>
            <w:noProof/>
          </w:rPr>
          <w:t>24</w:t>
        </w:r>
        <w:r>
          <w:rPr>
            <w:noProof/>
          </w:rPr>
          <w:fldChar w:fldCharType="end"/>
        </w:r>
      </w:p>
    </w:sdtContent>
  </w:sdt>
  <w:p w:rsidR="00410697" w:rsidRDefault="004106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40E22"/>
    <w:multiLevelType w:val="hybridMultilevel"/>
    <w:tmpl w:val="02B40C30"/>
    <w:lvl w:ilvl="0" w:tplc="6596BA9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82EEC"/>
    <w:multiLevelType w:val="hybridMultilevel"/>
    <w:tmpl w:val="9F8C522E"/>
    <w:lvl w:ilvl="0" w:tplc="04260011">
      <w:start w:val="1"/>
      <w:numFmt w:val="decimal"/>
      <w:lvlText w:val="%1)"/>
      <w:lvlJc w:val="left"/>
      <w:pPr>
        <w:ind w:left="108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75E469E"/>
    <w:multiLevelType w:val="multilevel"/>
    <w:tmpl w:val="30A0DF04"/>
    <w:lvl w:ilvl="0">
      <w:start w:val="1"/>
      <w:numFmt w:val="decimal"/>
      <w:lvlText w:val="%1."/>
      <w:lvlJc w:val="left"/>
      <w:pPr>
        <w:tabs>
          <w:tab w:val="num" w:pos="928"/>
        </w:tabs>
        <w:ind w:left="928" w:hanging="360"/>
      </w:pPr>
    </w:lvl>
    <w:lvl w:ilvl="1">
      <w:start w:val="1"/>
      <w:numFmt w:val="decimal"/>
      <w:isLgl/>
      <w:lvlText w:val="%1.%2."/>
      <w:lvlJc w:val="left"/>
      <w:pPr>
        <w:tabs>
          <w:tab w:val="num" w:pos="1440"/>
        </w:tabs>
        <w:ind w:left="1440" w:hanging="720"/>
      </w:pPr>
      <w:rPr>
        <w:b w:val="0"/>
        <w:bCs w:val="0"/>
      </w:rPr>
    </w:lvl>
    <w:lvl w:ilvl="2">
      <w:start w:val="1"/>
      <w:numFmt w:val="decimal"/>
      <w:isLgl/>
      <w:lvlText w:val="%3.%2.%3."/>
      <w:lvlJc w:val="left"/>
      <w:pPr>
        <w:tabs>
          <w:tab w:val="num" w:pos="1800"/>
        </w:tabs>
        <w:ind w:left="1800" w:hanging="720"/>
      </w:pPr>
    </w:lvl>
    <w:lvl w:ilvl="3">
      <w:start w:val="1"/>
      <w:numFmt w:val="decimal"/>
      <w:isLgl/>
      <w:lvlText w:val="%1.%2.%3.%4."/>
      <w:lvlJc w:val="left"/>
      <w:pPr>
        <w:tabs>
          <w:tab w:val="num" w:pos="2520"/>
        </w:tabs>
        <w:ind w:left="252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3" w15:restartNumberingAfterBreak="0">
    <w:nsid w:val="15660F84"/>
    <w:multiLevelType w:val="hybridMultilevel"/>
    <w:tmpl w:val="6EEA63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4476DB8"/>
    <w:multiLevelType w:val="hybridMultilevel"/>
    <w:tmpl w:val="60621A2E"/>
    <w:lvl w:ilvl="0" w:tplc="1BA860B6">
      <w:start w:val="2"/>
      <w:numFmt w:val="bullet"/>
      <w:lvlText w:val="-"/>
      <w:lvlJc w:val="left"/>
      <w:pPr>
        <w:ind w:left="720" w:hanging="360"/>
      </w:pPr>
      <w:rPr>
        <w:rFonts w:ascii="Calibri" w:eastAsiaTheme="minorHAnsi" w:hAnsi="Calibri" w:cstheme="minorBidi" w:hint="default"/>
      </w:rPr>
    </w:lvl>
    <w:lvl w:ilvl="1" w:tplc="DFBCF040">
      <w:start w:val="1"/>
      <w:numFmt w:val="lowerLetter"/>
      <w:lvlText w:val="%2)"/>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8115808"/>
    <w:multiLevelType w:val="hybridMultilevel"/>
    <w:tmpl w:val="DB9C8D4E"/>
    <w:lvl w:ilvl="0" w:tplc="27541524">
      <w:start w:val="1"/>
      <w:numFmt w:val="decimal"/>
      <w:lvlText w:val="%1."/>
      <w:lvlJc w:val="left"/>
      <w:pPr>
        <w:tabs>
          <w:tab w:val="num" w:pos="1155"/>
        </w:tabs>
        <w:ind w:left="1155" w:hanging="435"/>
      </w:p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6" w15:restartNumberingAfterBreak="0">
    <w:nsid w:val="28E17152"/>
    <w:multiLevelType w:val="hybridMultilevel"/>
    <w:tmpl w:val="F732E21E"/>
    <w:lvl w:ilvl="0" w:tplc="66B6DD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33F457FA"/>
    <w:multiLevelType w:val="hybridMultilevel"/>
    <w:tmpl w:val="20247F68"/>
    <w:lvl w:ilvl="0" w:tplc="EE26C612">
      <w:start w:val="11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6A16E96"/>
    <w:multiLevelType w:val="hybridMultilevel"/>
    <w:tmpl w:val="3C4475FE"/>
    <w:lvl w:ilvl="0" w:tplc="B944F1D6">
      <w:start w:val="65"/>
      <w:numFmt w:val="bullet"/>
      <w:lvlText w:val=""/>
      <w:lvlJc w:val="left"/>
      <w:pPr>
        <w:ind w:left="1080" w:hanging="360"/>
      </w:pPr>
      <w:rPr>
        <w:rFonts w:ascii="Symbol" w:eastAsia="Calibri"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8247F31"/>
    <w:multiLevelType w:val="hybridMultilevel"/>
    <w:tmpl w:val="617AEB96"/>
    <w:lvl w:ilvl="0" w:tplc="C3BEFD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1E76D3F"/>
    <w:multiLevelType w:val="hybridMultilevel"/>
    <w:tmpl w:val="340AB304"/>
    <w:lvl w:ilvl="0" w:tplc="51C421F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2092205"/>
    <w:multiLevelType w:val="hybridMultilevel"/>
    <w:tmpl w:val="2A30D3B4"/>
    <w:lvl w:ilvl="0" w:tplc="5E0C5968">
      <w:start w:val="3"/>
      <w:numFmt w:val="decimal"/>
      <w:lvlText w:val="%1)"/>
      <w:lvlJc w:val="left"/>
      <w:pPr>
        <w:ind w:left="1134" w:hanging="360"/>
      </w:pPr>
      <w:rPr>
        <w:rFonts w:ascii="Times New Roman" w:hAnsi="Times New Roman" w:hint="default"/>
        <w:sz w:val="24"/>
      </w:rPr>
    </w:lvl>
    <w:lvl w:ilvl="1" w:tplc="04260019" w:tentative="1">
      <w:start w:val="1"/>
      <w:numFmt w:val="lowerLetter"/>
      <w:lvlText w:val="%2."/>
      <w:lvlJc w:val="left"/>
      <w:pPr>
        <w:ind w:left="1854" w:hanging="360"/>
      </w:pPr>
    </w:lvl>
    <w:lvl w:ilvl="2" w:tplc="0426001B" w:tentative="1">
      <w:start w:val="1"/>
      <w:numFmt w:val="lowerRoman"/>
      <w:lvlText w:val="%3."/>
      <w:lvlJc w:val="right"/>
      <w:pPr>
        <w:ind w:left="2574" w:hanging="180"/>
      </w:pPr>
    </w:lvl>
    <w:lvl w:ilvl="3" w:tplc="0426000F" w:tentative="1">
      <w:start w:val="1"/>
      <w:numFmt w:val="decimal"/>
      <w:lvlText w:val="%4."/>
      <w:lvlJc w:val="left"/>
      <w:pPr>
        <w:ind w:left="3294" w:hanging="360"/>
      </w:pPr>
    </w:lvl>
    <w:lvl w:ilvl="4" w:tplc="04260019" w:tentative="1">
      <w:start w:val="1"/>
      <w:numFmt w:val="lowerLetter"/>
      <w:lvlText w:val="%5."/>
      <w:lvlJc w:val="left"/>
      <w:pPr>
        <w:ind w:left="4014" w:hanging="360"/>
      </w:pPr>
    </w:lvl>
    <w:lvl w:ilvl="5" w:tplc="0426001B" w:tentative="1">
      <w:start w:val="1"/>
      <w:numFmt w:val="lowerRoman"/>
      <w:lvlText w:val="%6."/>
      <w:lvlJc w:val="right"/>
      <w:pPr>
        <w:ind w:left="4734" w:hanging="180"/>
      </w:pPr>
    </w:lvl>
    <w:lvl w:ilvl="6" w:tplc="0426000F" w:tentative="1">
      <w:start w:val="1"/>
      <w:numFmt w:val="decimal"/>
      <w:lvlText w:val="%7."/>
      <w:lvlJc w:val="left"/>
      <w:pPr>
        <w:ind w:left="5454" w:hanging="360"/>
      </w:pPr>
    </w:lvl>
    <w:lvl w:ilvl="7" w:tplc="04260019" w:tentative="1">
      <w:start w:val="1"/>
      <w:numFmt w:val="lowerLetter"/>
      <w:lvlText w:val="%8."/>
      <w:lvlJc w:val="left"/>
      <w:pPr>
        <w:ind w:left="6174" w:hanging="360"/>
      </w:pPr>
    </w:lvl>
    <w:lvl w:ilvl="8" w:tplc="0426001B" w:tentative="1">
      <w:start w:val="1"/>
      <w:numFmt w:val="lowerRoman"/>
      <w:lvlText w:val="%9."/>
      <w:lvlJc w:val="right"/>
      <w:pPr>
        <w:ind w:left="6894" w:hanging="180"/>
      </w:pPr>
    </w:lvl>
  </w:abstractNum>
  <w:abstractNum w:abstractNumId="12" w15:restartNumberingAfterBreak="0">
    <w:nsid w:val="4BE261C7"/>
    <w:multiLevelType w:val="hybridMultilevel"/>
    <w:tmpl w:val="BF84AE0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CDE339B"/>
    <w:multiLevelType w:val="hybridMultilevel"/>
    <w:tmpl w:val="EA08CF90"/>
    <w:lvl w:ilvl="0" w:tplc="04260011">
      <w:start w:val="1"/>
      <w:numFmt w:val="decimal"/>
      <w:lvlText w:val="%1)"/>
      <w:lvlJc w:val="left"/>
      <w:pPr>
        <w:ind w:left="786" w:hanging="360"/>
      </w:pPr>
    </w:lvl>
    <w:lvl w:ilvl="1" w:tplc="04260019">
      <w:start w:val="1"/>
      <w:numFmt w:val="lowerLetter"/>
      <w:lvlText w:val="%2."/>
      <w:lvlJc w:val="left"/>
      <w:pPr>
        <w:ind w:left="1506" w:hanging="360"/>
      </w:pPr>
    </w:lvl>
    <w:lvl w:ilvl="2" w:tplc="0426001B">
      <w:start w:val="1"/>
      <w:numFmt w:val="lowerRoman"/>
      <w:lvlText w:val="%3."/>
      <w:lvlJc w:val="right"/>
      <w:pPr>
        <w:ind w:left="2226" w:hanging="180"/>
      </w:pPr>
    </w:lvl>
    <w:lvl w:ilvl="3" w:tplc="0426000F">
      <w:start w:val="1"/>
      <w:numFmt w:val="decimal"/>
      <w:lvlText w:val="%4."/>
      <w:lvlJc w:val="left"/>
      <w:pPr>
        <w:ind w:left="2946" w:hanging="360"/>
      </w:pPr>
    </w:lvl>
    <w:lvl w:ilvl="4" w:tplc="04260019">
      <w:start w:val="1"/>
      <w:numFmt w:val="lowerLetter"/>
      <w:lvlText w:val="%5."/>
      <w:lvlJc w:val="left"/>
      <w:pPr>
        <w:ind w:left="3666" w:hanging="360"/>
      </w:pPr>
    </w:lvl>
    <w:lvl w:ilvl="5" w:tplc="0426001B">
      <w:start w:val="1"/>
      <w:numFmt w:val="lowerRoman"/>
      <w:lvlText w:val="%6."/>
      <w:lvlJc w:val="right"/>
      <w:pPr>
        <w:ind w:left="4386" w:hanging="180"/>
      </w:pPr>
    </w:lvl>
    <w:lvl w:ilvl="6" w:tplc="0426000F">
      <w:start w:val="1"/>
      <w:numFmt w:val="decimal"/>
      <w:lvlText w:val="%7."/>
      <w:lvlJc w:val="left"/>
      <w:pPr>
        <w:ind w:left="5106" w:hanging="360"/>
      </w:pPr>
    </w:lvl>
    <w:lvl w:ilvl="7" w:tplc="04260019">
      <w:start w:val="1"/>
      <w:numFmt w:val="lowerLetter"/>
      <w:lvlText w:val="%8."/>
      <w:lvlJc w:val="left"/>
      <w:pPr>
        <w:ind w:left="5826" w:hanging="360"/>
      </w:pPr>
    </w:lvl>
    <w:lvl w:ilvl="8" w:tplc="0426001B">
      <w:start w:val="1"/>
      <w:numFmt w:val="lowerRoman"/>
      <w:lvlText w:val="%9."/>
      <w:lvlJc w:val="right"/>
      <w:pPr>
        <w:ind w:left="6546" w:hanging="180"/>
      </w:pPr>
    </w:lvl>
  </w:abstractNum>
  <w:abstractNum w:abstractNumId="14" w15:restartNumberingAfterBreak="0">
    <w:nsid w:val="4E072AD9"/>
    <w:multiLevelType w:val="hybridMultilevel"/>
    <w:tmpl w:val="4CB2C72E"/>
    <w:lvl w:ilvl="0" w:tplc="8AC4E5D8">
      <w:start w:val="48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32B5F2A"/>
    <w:multiLevelType w:val="hybridMultilevel"/>
    <w:tmpl w:val="BDB8E258"/>
    <w:lvl w:ilvl="0" w:tplc="6470B184">
      <w:start w:val="1"/>
      <w:numFmt w:val="decimal"/>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6" w15:restartNumberingAfterBreak="0">
    <w:nsid w:val="53A3577F"/>
    <w:multiLevelType w:val="hybridMultilevel"/>
    <w:tmpl w:val="D96CADC6"/>
    <w:lvl w:ilvl="0" w:tplc="04260011">
      <w:start w:val="1"/>
      <w:numFmt w:val="decimal"/>
      <w:lvlText w:val="%1)"/>
      <w:lvlJc w:val="left"/>
      <w:pPr>
        <w:ind w:left="720" w:hanging="360"/>
      </w:pPr>
      <w:rPr>
        <w:rFonts w:hint="default"/>
      </w:rPr>
    </w:lvl>
    <w:lvl w:ilvl="1" w:tplc="4B8C99E4">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4F75717"/>
    <w:multiLevelType w:val="hybridMultilevel"/>
    <w:tmpl w:val="07664F98"/>
    <w:lvl w:ilvl="0" w:tplc="F550B3D8">
      <w:start w:val="1"/>
      <w:numFmt w:val="upperRoman"/>
      <w:lvlText w:val="%1."/>
      <w:lvlJc w:val="left"/>
      <w:pPr>
        <w:ind w:left="1080" w:hanging="72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9334C4D"/>
    <w:multiLevelType w:val="hybridMultilevel"/>
    <w:tmpl w:val="DBCA7F2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9" w15:restartNumberingAfterBreak="0">
    <w:nsid w:val="595270CA"/>
    <w:multiLevelType w:val="hybridMultilevel"/>
    <w:tmpl w:val="8C60B794"/>
    <w:lvl w:ilvl="0" w:tplc="C3BEFDB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0" w15:restartNumberingAfterBreak="0">
    <w:nsid w:val="5D2F18B2"/>
    <w:multiLevelType w:val="hybridMultilevel"/>
    <w:tmpl w:val="A588C150"/>
    <w:lvl w:ilvl="0" w:tplc="378EB15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5F382EB4"/>
    <w:multiLevelType w:val="hybridMultilevel"/>
    <w:tmpl w:val="AF0E4650"/>
    <w:lvl w:ilvl="0" w:tplc="086C78A4">
      <w:start w:val="1"/>
      <w:numFmt w:val="upperRoman"/>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07B22C0"/>
    <w:multiLevelType w:val="hybridMultilevel"/>
    <w:tmpl w:val="DB1C4AA4"/>
    <w:lvl w:ilvl="0" w:tplc="548CF844">
      <w:start w:val="1"/>
      <w:numFmt w:val="decimal"/>
      <w:lvlText w:val="%1."/>
      <w:lvlJc w:val="left"/>
      <w:pPr>
        <w:ind w:left="1680" w:hanging="9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0C70BAC"/>
    <w:multiLevelType w:val="hybridMultilevel"/>
    <w:tmpl w:val="06D8DEDE"/>
    <w:lvl w:ilvl="0" w:tplc="2EE2DD36">
      <w:start w:val="3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61F25207"/>
    <w:multiLevelType w:val="hybridMultilevel"/>
    <w:tmpl w:val="611271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091466"/>
    <w:multiLevelType w:val="multilevel"/>
    <w:tmpl w:val="9AE24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C7B6C90"/>
    <w:multiLevelType w:val="hybridMultilevel"/>
    <w:tmpl w:val="9692FA06"/>
    <w:lvl w:ilvl="0" w:tplc="50E2890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FA2751F"/>
    <w:multiLevelType w:val="hybridMultilevel"/>
    <w:tmpl w:val="0D1C5F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31074DC"/>
    <w:multiLevelType w:val="hybridMultilevel"/>
    <w:tmpl w:val="651EC76C"/>
    <w:lvl w:ilvl="0" w:tplc="D1BC94A8">
      <w:start w:val="100"/>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9" w15:restartNumberingAfterBreak="0">
    <w:nsid w:val="762B2604"/>
    <w:multiLevelType w:val="hybridMultilevel"/>
    <w:tmpl w:val="88EA239C"/>
    <w:lvl w:ilvl="0" w:tplc="84DC6B66">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70F427E"/>
    <w:multiLevelType w:val="multilevel"/>
    <w:tmpl w:val="0C7AE2EC"/>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D66E66"/>
    <w:multiLevelType w:val="hybridMultilevel"/>
    <w:tmpl w:val="7EBEB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94C2BC5"/>
    <w:multiLevelType w:val="hybridMultilevel"/>
    <w:tmpl w:val="0D8E57A8"/>
    <w:lvl w:ilvl="0" w:tplc="D42A088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3" w15:restartNumberingAfterBreak="0">
    <w:nsid w:val="7F007232"/>
    <w:multiLevelType w:val="hybridMultilevel"/>
    <w:tmpl w:val="CBF4F38A"/>
    <w:lvl w:ilvl="0" w:tplc="A67455B0">
      <w:start w:val="1"/>
      <w:numFmt w:val="decimal"/>
      <w:lvlText w:val="%1)"/>
      <w:lvlJc w:val="left"/>
      <w:pPr>
        <w:ind w:left="1080" w:hanging="360"/>
      </w:pPr>
      <w:rPr>
        <w:rFonts w:ascii="Times New Roman" w:hAnsi="Times New Roman" w:cs="Times New Roman" w:hint="default"/>
        <w:color w:val="auto"/>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33"/>
  </w:num>
  <w:num w:numId="3">
    <w:abstractNumId w:val="30"/>
  </w:num>
  <w:num w:numId="4">
    <w:abstractNumId w:val="11"/>
  </w:num>
  <w:num w:numId="5">
    <w:abstractNumId w:val="27"/>
  </w:num>
  <w:num w:numId="6">
    <w:abstractNumId w:val="31"/>
  </w:num>
  <w:num w:numId="7">
    <w:abstractNumId w:val="4"/>
  </w:num>
  <w:num w:numId="8">
    <w:abstractNumId w:val="15"/>
  </w:num>
  <w:num w:numId="9">
    <w:abstractNumId w:val="12"/>
  </w:num>
  <w:num w:numId="10">
    <w:abstractNumId w:val="2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23"/>
  </w:num>
  <w:num w:numId="15">
    <w:abstractNumId w:val="28"/>
  </w:num>
  <w:num w:numId="16">
    <w:abstractNumId w:val="7"/>
  </w:num>
  <w:num w:numId="17">
    <w:abstractNumId w:val="20"/>
  </w:num>
  <w:num w:numId="18">
    <w:abstractNumId w:val="6"/>
  </w:num>
  <w:num w:numId="19">
    <w:abstractNumId w:val="17"/>
  </w:num>
  <w:num w:numId="20">
    <w:abstractNumId w:val="0"/>
  </w:num>
  <w:num w:numId="21">
    <w:abstractNumId w:val="21"/>
  </w:num>
  <w:num w:numId="22">
    <w:abstractNumId w:val="22"/>
  </w:num>
  <w:num w:numId="23">
    <w:abstractNumId w:val="26"/>
  </w:num>
  <w:num w:numId="24">
    <w:abstractNumId w:val="3"/>
  </w:num>
  <w:num w:numId="25">
    <w:abstractNumId w:val="32"/>
  </w:num>
  <w:num w:numId="26">
    <w:abstractNumId w:val="25"/>
  </w:num>
  <w:num w:numId="27">
    <w:abstractNumId w:val="10"/>
  </w:num>
  <w:num w:numId="28">
    <w:abstractNumId w:val="8"/>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9"/>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017"/>
    <w:rsid w:val="00000971"/>
    <w:rsid w:val="00001709"/>
    <w:rsid w:val="000017F2"/>
    <w:rsid w:val="00001F8A"/>
    <w:rsid w:val="00002247"/>
    <w:rsid w:val="000027A5"/>
    <w:rsid w:val="000029BB"/>
    <w:rsid w:val="00002A7B"/>
    <w:rsid w:val="000030AA"/>
    <w:rsid w:val="00005181"/>
    <w:rsid w:val="0000561D"/>
    <w:rsid w:val="00005832"/>
    <w:rsid w:val="00005AC9"/>
    <w:rsid w:val="000067EB"/>
    <w:rsid w:val="00006C46"/>
    <w:rsid w:val="00007E28"/>
    <w:rsid w:val="000103E3"/>
    <w:rsid w:val="00010581"/>
    <w:rsid w:val="0001090C"/>
    <w:rsid w:val="0001215A"/>
    <w:rsid w:val="00012AD1"/>
    <w:rsid w:val="000140AD"/>
    <w:rsid w:val="000143E8"/>
    <w:rsid w:val="0001481E"/>
    <w:rsid w:val="00014B23"/>
    <w:rsid w:val="00014EC7"/>
    <w:rsid w:val="000154F8"/>
    <w:rsid w:val="00015B9E"/>
    <w:rsid w:val="00015BF9"/>
    <w:rsid w:val="0001625B"/>
    <w:rsid w:val="000205B5"/>
    <w:rsid w:val="000212FA"/>
    <w:rsid w:val="0002178A"/>
    <w:rsid w:val="00021E09"/>
    <w:rsid w:val="00021FEF"/>
    <w:rsid w:val="00022319"/>
    <w:rsid w:val="00022915"/>
    <w:rsid w:val="000239E7"/>
    <w:rsid w:val="00023C97"/>
    <w:rsid w:val="00024DEC"/>
    <w:rsid w:val="000250CF"/>
    <w:rsid w:val="0002536C"/>
    <w:rsid w:val="00025A88"/>
    <w:rsid w:val="00025EB4"/>
    <w:rsid w:val="00026756"/>
    <w:rsid w:val="00026F76"/>
    <w:rsid w:val="00027A09"/>
    <w:rsid w:val="00027FBC"/>
    <w:rsid w:val="00030A1C"/>
    <w:rsid w:val="00030C45"/>
    <w:rsid w:val="000310FA"/>
    <w:rsid w:val="000313A2"/>
    <w:rsid w:val="000314DA"/>
    <w:rsid w:val="0003198D"/>
    <w:rsid w:val="00032009"/>
    <w:rsid w:val="0003248E"/>
    <w:rsid w:val="0003294B"/>
    <w:rsid w:val="00032E0C"/>
    <w:rsid w:val="000330DD"/>
    <w:rsid w:val="00034441"/>
    <w:rsid w:val="000353AA"/>
    <w:rsid w:val="0003540E"/>
    <w:rsid w:val="00035843"/>
    <w:rsid w:val="00035C20"/>
    <w:rsid w:val="00035F41"/>
    <w:rsid w:val="000364EC"/>
    <w:rsid w:val="00036873"/>
    <w:rsid w:val="000370AF"/>
    <w:rsid w:val="00037BE1"/>
    <w:rsid w:val="000409F5"/>
    <w:rsid w:val="0004147C"/>
    <w:rsid w:val="00042942"/>
    <w:rsid w:val="00044ACB"/>
    <w:rsid w:val="000459D6"/>
    <w:rsid w:val="00047EAB"/>
    <w:rsid w:val="000500B7"/>
    <w:rsid w:val="00050195"/>
    <w:rsid w:val="000502A7"/>
    <w:rsid w:val="00051AC2"/>
    <w:rsid w:val="00051D44"/>
    <w:rsid w:val="000523AC"/>
    <w:rsid w:val="000524E4"/>
    <w:rsid w:val="0005285D"/>
    <w:rsid w:val="00052BC7"/>
    <w:rsid w:val="000533BC"/>
    <w:rsid w:val="0005349E"/>
    <w:rsid w:val="00053A9B"/>
    <w:rsid w:val="000545B4"/>
    <w:rsid w:val="00054E56"/>
    <w:rsid w:val="000550CF"/>
    <w:rsid w:val="00056062"/>
    <w:rsid w:val="00056586"/>
    <w:rsid w:val="00057A7D"/>
    <w:rsid w:val="00057B84"/>
    <w:rsid w:val="00057D42"/>
    <w:rsid w:val="00057FDA"/>
    <w:rsid w:val="00060180"/>
    <w:rsid w:val="00064057"/>
    <w:rsid w:val="0006460F"/>
    <w:rsid w:val="00064E65"/>
    <w:rsid w:val="00065420"/>
    <w:rsid w:val="00065AC6"/>
    <w:rsid w:val="00066225"/>
    <w:rsid w:val="00072930"/>
    <w:rsid w:val="00073055"/>
    <w:rsid w:val="00073C9B"/>
    <w:rsid w:val="00074210"/>
    <w:rsid w:val="00074992"/>
    <w:rsid w:val="0007547A"/>
    <w:rsid w:val="0007568C"/>
    <w:rsid w:val="000759E8"/>
    <w:rsid w:val="0007633B"/>
    <w:rsid w:val="0007669E"/>
    <w:rsid w:val="00076C93"/>
    <w:rsid w:val="00076FDC"/>
    <w:rsid w:val="00077081"/>
    <w:rsid w:val="00077D58"/>
    <w:rsid w:val="00077F6D"/>
    <w:rsid w:val="00080DF1"/>
    <w:rsid w:val="000811D7"/>
    <w:rsid w:val="0008196C"/>
    <w:rsid w:val="00081AD0"/>
    <w:rsid w:val="00081F73"/>
    <w:rsid w:val="000822D6"/>
    <w:rsid w:val="000822F6"/>
    <w:rsid w:val="00083160"/>
    <w:rsid w:val="00083D60"/>
    <w:rsid w:val="0008469D"/>
    <w:rsid w:val="0008493E"/>
    <w:rsid w:val="00084C13"/>
    <w:rsid w:val="00085E1D"/>
    <w:rsid w:val="0008651F"/>
    <w:rsid w:val="00086817"/>
    <w:rsid w:val="00086E5A"/>
    <w:rsid w:val="00086F36"/>
    <w:rsid w:val="00087240"/>
    <w:rsid w:val="000902EC"/>
    <w:rsid w:val="00090753"/>
    <w:rsid w:val="0009076A"/>
    <w:rsid w:val="00090978"/>
    <w:rsid w:val="00090CBC"/>
    <w:rsid w:val="00091598"/>
    <w:rsid w:val="000917AA"/>
    <w:rsid w:val="00091CC1"/>
    <w:rsid w:val="00091D81"/>
    <w:rsid w:val="00092121"/>
    <w:rsid w:val="00092415"/>
    <w:rsid w:val="000925CD"/>
    <w:rsid w:val="00092810"/>
    <w:rsid w:val="0009330E"/>
    <w:rsid w:val="00093451"/>
    <w:rsid w:val="000938FE"/>
    <w:rsid w:val="00093945"/>
    <w:rsid w:val="00095CAA"/>
    <w:rsid w:val="00095F17"/>
    <w:rsid w:val="00096120"/>
    <w:rsid w:val="00096A67"/>
    <w:rsid w:val="00096F53"/>
    <w:rsid w:val="00097215"/>
    <w:rsid w:val="000975B9"/>
    <w:rsid w:val="000975E7"/>
    <w:rsid w:val="000976BE"/>
    <w:rsid w:val="00097A8C"/>
    <w:rsid w:val="00097BC2"/>
    <w:rsid w:val="000A0A64"/>
    <w:rsid w:val="000A0B48"/>
    <w:rsid w:val="000A1219"/>
    <w:rsid w:val="000A16D9"/>
    <w:rsid w:val="000A1C33"/>
    <w:rsid w:val="000A2140"/>
    <w:rsid w:val="000A23C6"/>
    <w:rsid w:val="000A2425"/>
    <w:rsid w:val="000A3035"/>
    <w:rsid w:val="000A35BA"/>
    <w:rsid w:val="000A426F"/>
    <w:rsid w:val="000A587B"/>
    <w:rsid w:val="000A5952"/>
    <w:rsid w:val="000A5974"/>
    <w:rsid w:val="000A5B88"/>
    <w:rsid w:val="000A5C5C"/>
    <w:rsid w:val="000A678B"/>
    <w:rsid w:val="000A7186"/>
    <w:rsid w:val="000A7EF9"/>
    <w:rsid w:val="000B00DD"/>
    <w:rsid w:val="000B11A1"/>
    <w:rsid w:val="000B19AF"/>
    <w:rsid w:val="000B31E1"/>
    <w:rsid w:val="000B3D98"/>
    <w:rsid w:val="000B433C"/>
    <w:rsid w:val="000B43A5"/>
    <w:rsid w:val="000B49BF"/>
    <w:rsid w:val="000B4CD3"/>
    <w:rsid w:val="000B547D"/>
    <w:rsid w:val="000B5F38"/>
    <w:rsid w:val="000B60AE"/>
    <w:rsid w:val="000B6433"/>
    <w:rsid w:val="000B7882"/>
    <w:rsid w:val="000C078E"/>
    <w:rsid w:val="000C0816"/>
    <w:rsid w:val="000C0FD1"/>
    <w:rsid w:val="000C193D"/>
    <w:rsid w:val="000C1ABA"/>
    <w:rsid w:val="000C2EBC"/>
    <w:rsid w:val="000C3C1A"/>
    <w:rsid w:val="000C3E3D"/>
    <w:rsid w:val="000C45D6"/>
    <w:rsid w:val="000C4F68"/>
    <w:rsid w:val="000C54CB"/>
    <w:rsid w:val="000C5690"/>
    <w:rsid w:val="000C585D"/>
    <w:rsid w:val="000C61E4"/>
    <w:rsid w:val="000C622F"/>
    <w:rsid w:val="000C6BAD"/>
    <w:rsid w:val="000C7792"/>
    <w:rsid w:val="000D0942"/>
    <w:rsid w:val="000D1406"/>
    <w:rsid w:val="000D2A0F"/>
    <w:rsid w:val="000D32C5"/>
    <w:rsid w:val="000D3599"/>
    <w:rsid w:val="000D5261"/>
    <w:rsid w:val="000D5A4C"/>
    <w:rsid w:val="000D5A6B"/>
    <w:rsid w:val="000D5BDF"/>
    <w:rsid w:val="000D67E6"/>
    <w:rsid w:val="000D7E6B"/>
    <w:rsid w:val="000E1011"/>
    <w:rsid w:val="000E1483"/>
    <w:rsid w:val="000E19C4"/>
    <w:rsid w:val="000E1EEC"/>
    <w:rsid w:val="000E38B0"/>
    <w:rsid w:val="000E3BE1"/>
    <w:rsid w:val="000E3D24"/>
    <w:rsid w:val="000E3DB4"/>
    <w:rsid w:val="000E4B96"/>
    <w:rsid w:val="000E4D1D"/>
    <w:rsid w:val="000E5E67"/>
    <w:rsid w:val="000E7E13"/>
    <w:rsid w:val="000F0705"/>
    <w:rsid w:val="000F09A1"/>
    <w:rsid w:val="000F1A1E"/>
    <w:rsid w:val="000F1C3E"/>
    <w:rsid w:val="000F2857"/>
    <w:rsid w:val="000F29F8"/>
    <w:rsid w:val="000F2FB3"/>
    <w:rsid w:val="000F3262"/>
    <w:rsid w:val="000F3454"/>
    <w:rsid w:val="000F3A62"/>
    <w:rsid w:val="000F3AC0"/>
    <w:rsid w:val="000F4C9D"/>
    <w:rsid w:val="000F5F7A"/>
    <w:rsid w:val="000F6161"/>
    <w:rsid w:val="000F6A43"/>
    <w:rsid w:val="000F6B55"/>
    <w:rsid w:val="000F6CE4"/>
    <w:rsid w:val="000F6F3F"/>
    <w:rsid w:val="000F6F9B"/>
    <w:rsid w:val="000F7940"/>
    <w:rsid w:val="00101E9D"/>
    <w:rsid w:val="00102430"/>
    <w:rsid w:val="00102B28"/>
    <w:rsid w:val="0010300F"/>
    <w:rsid w:val="00103F33"/>
    <w:rsid w:val="00105AAD"/>
    <w:rsid w:val="00105E1F"/>
    <w:rsid w:val="001069DA"/>
    <w:rsid w:val="00107130"/>
    <w:rsid w:val="0010746E"/>
    <w:rsid w:val="00112655"/>
    <w:rsid w:val="00112DA3"/>
    <w:rsid w:val="001136AD"/>
    <w:rsid w:val="001146CF"/>
    <w:rsid w:val="00114A0D"/>
    <w:rsid w:val="00114FF2"/>
    <w:rsid w:val="0011514E"/>
    <w:rsid w:val="00115E50"/>
    <w:rsid w:val="00115F27"/>
    <w:rsid w:val="001162F4"/>
    <w:rsid w:val="001167D2"/>
    <w:rsid w:val="00116D88"/>
    <w:rsid w:val="00116E27"/>
    <w:rsid w:val="00116F08"/>
    <w:rsid w:val="001172D6"/>
    <w:rsid w:val="001173B9"/>
    <w:rsid w:val="00117F65"/>
    <w:rsid w:val="001202F2"/>
    <w:rsid w:val="001210FB"/>
    <w:rsid w:val="00122332"/>
    <w:rsid w:val="00122A1D"/>
    <w:rsid w:val="001233DE"/>
    <w:rsid w:val="0012346E"/>
    <w:rsid w:val="00123ADB"/>
    <w:rsid w:val="00123D6D"/>
    <w:rsid w:val="00123E61"/>
    <w:rsid w:val="00125BC3"/>
    <w:rsid w:val="00127FE2"/>
    <w:rsid w:val="0013054E"/>
    <w:rsid w:val="001322C1"/>
    <w:rsid w:val="001326E8"/>
    <w:rsid w:val="00132B75"/>
    <w:rsid w:val="0013361A"/>
    <w:rsid w:val="00134FDE"/>
    <w:rsid w:val="00135CA2"/>
    <w:rsid w:val="00135D93"/>
    <w:rsid w:val="001368BD"/>
    <w:rsid w:val="00136E0D"/>
    <w:rsid w:val="0013753D"/>
    <w:rsid w:val="00140097"/>
    <w:rsid w:val="001401A7"/>
    <w:rsid w:val="0014031C"/>
    <w:rsid w:val="001409C3"/>
    <w:rsid w:val="00140DF8"/>
    <w:rsid w:val="00141861"/>
    <w:rsid w:val="00141E91"/>
    <w:rsid w:val="00141EF6"/>
    <w:rsid w:val="001422AF"/>
    <w:rsid w:val="00142433"/>
    <w:rsid w:val="00143609"/>
    <w:rsid w:val="00143C08"/>
    <w:rsid w:val="00146362"/>
    <w:rsid w:val="0014667C"/>
    <w:rsid w:val="0014756E"/>
    <w:rsid w:val="00147F42"/>
    <w:rsid w:val="0015058D"/>
    <w:rsid w:val="00150874"/>
    <w:rsid w:val="00150CB9"/>
    <w:rsid w:val="00151386"/>
    <w:rsid w:val="001513C6"/>
    <w:rsid w:val="00151825"/>
    <w:rsid w:val="001519F5"/>
    <w:rsid w:val="00151F80"/>
    <w:rsid w:val="00152748"/>
    <w:rsid w:val="00152800"/>
    <w:rsid w:val="00152FF0"/>
    <w:rsid w:val="00153317"/>
    <w:rsid w:val="001545C7"/>
    <w:rsid w:val="00155A34"/>
    <w:rsid w:val="00155B3F"/>
    <w:rsid w:val="00155DA1"/>
    <w:rsid w:val="00156373"/>
    <w:rsid w:val="00156E7B"/>
    <w:rsid w:val="00157C30"/>
    <w:rsid w:val="00157EDF"/>
    <w:rsid w:val="001601FE"/>
    <w:rsid w:val="00160C6F"/>
    <w:rsid w:val="00160E34"/>
    <w:rsid w:val="001610A4"/>
    <w:rsid w:val="0016110B"/>
    <w:rsid w:val="00161841"/>
    <w:rsid w:val="00161A0B"/>
    <w:rsid w:val="00161AFB"/>
    <w:rsid w:val="00162743"/>
    <w:rsid w:val="00162E84"/>
    <w:rsid w:val="00163652"/>
    <w:rsid w:val="001637BA"/>
    <w:rsid w:val="001649D4"/>
    <w:rsid w:val="001661B8"/>
    <w:rsid w:val="00166A0A"/>
    <w:rsid w:val="00167072"/>
    <w:rsid w:val="0016750B"/>
    <w:rsid w:val="00167EE0"/>
    <w:rsid w:val="00170156"/>
    <w:rsid w:val="0017106C"/>
    <w:rsid w:val="00172AFB"/>
    <w:rsid w:val="00174464"/>
    <w:rsid w:val="0017501B"/>
    <w:rsid w:val="001755B2"/>
    <w:rsid w:val="00175AD7"/>
    <w:rsid w:val="001763E3"/>
    <w:rsid w:val="001769A3"/>
    <w:rsid w:val="00180378"/>
    <w:rsid w:val="00180918"/>
    <w:rsid w:val="00180DC0"/>
    <w:rsid w:val="00181C25"/>
    <w:rsid w:val="00182701"/>
    <w:rsid w:val="0018293E"/>
    <w:rsid w:val="001853CF"/>
    <w:rsid w:val="00186734"/>
    <w:rsid w:val="00186B45"/>
    <w:rsid w:val="00187A14"/>
    <w:rsid w:val="00187E0C"/>
    <w:rsid w:val="0019062B"/>
    <w:rsid w:val="00191F31"/>
    <w:rsid w:val="00191FCF"/>
    <w:rsid w:val="0019210E"/>
    <w:rsid w:val="00192A8F"/>
    <w:rsid w:val="00192BE0"/>
    <w:rsid w:val="00192C02"/>
    <w:rsid w:val="0019310F"/>
    <w:rsid w:val="00193991"/>
    <w:rsid w:val="00193F79"/>
    <w:rsid w:val="00194338"/>
    <w:rsid w:val="00194458"/>
    <w:rsid w:val="00194557"/>
    <w:rsid w:val="00194837"/>
    <w:rsid w:val="001949A6"/>
    <w:rsid w:val="00195020"/>
    <w:rsid w:val="00195A58"/>
    <w:rsid w:val="0019608A"/>
    <w:rsid w:val="001961AA"/>
    <w:rsid w:val="00197292"/>
    <w:rsid w:val="0019750D"/>
    <w:rsid w:val="00197FF8"/>
    <w:rsid w:val="001A26BD"/>
    <w:rsid w:val="001A26D0"/>
    <w:rsid w:val="001A2814"/>
    <w:rsid w:val="001A39EC"/>
    <w:rsid w:val="001A3B36"/>
    <w:rsid w:val="001A415F"/>
    <w:rsid w:val="001A4450"/>
    <w:rsid w:val="001A45F0"/>
    <w:rsid w:val="001A499B"/>
    <w:rsid w:val="001A49EF"/>
    <w:rsid w:val="001A55D5"/>
    <w:rsid w:val="001A5C48"/>
    <w:rsid w:val="001A5CD8"/>
    <w:rsid w:val="001A6BEA"/>
    <w:rsid w:val="001A726C"/>
    <w:rsid w:val="001A75EC"/>
    <w:rsid w:val="001A7622"/>
    <w:rsid w:val="001A764D"/>
    <w:rsid w:val="001A7B86"/>
    <w:rsid w:val="001A7FAE"/>
    <w:rsid w:val="001B0223"/>
    <w:rsid w:val="001B11B7"/>
    <w:rsid w:val="001B186B"/>
    <w:rsid w:val="001B2163"/>
    <w:rsid w:val="001B2220"/>
    <w:rsid w:val="001B2AEF"/>
    <w:rsid w:val="001B42E6"/>
    <w:rsid w:val="001B439D"/>
    <w:rsid w:val="001B46A9"/>
    <w:rsid w:val="001B4A6B"/>
    <w:rsid w:val="001B5773"/>
    <w:rsid w:val="001B5AE3"/>
    <w:rsid w:val="001B5CD0"/>
    <w:rsid w:val="001B6EAC"/>
    <w:rsid w:val="001B71EE"/>
    <w:rsid w:val="001B7A90"/>
    <w:rsid w:val="001B7FE2"/>
    <w:rsid w:val="001B7FE6"/>
    <w:rsid w:val="001C06DE"/>
    <w:rsid w:val="001C0B63"/>
    <w:rsid w:val="001C12AC"/>
    <w:rsid w:val="001C1FDF"/>
    <w:rsid w:val="001C2229"/>
    <w:rsid w:val="001C26E1"/>
    <w:rsid w:val="001C3B50"/>
    <w:rsid w:val="001C53A6"/>
    <w:rsid w:val="001C5660"/>
    <w:rsid w:val="001C5822"/>
    <w:rsid w:val="001C5B71"/>
    <w:rsid w:val="001C5EB8"/>
    <w:rsid w:val="001C69C0"/>
    <w:rsid w:val="001C6C09"/>
    <w:rsid w:val="001C7C20"/>
    <w:rsid w:val="001C7F32"/>
    <w:rsid w:val="001D0334"/>
    <w:rsid w:val="001D15C6"/>
    <w:rsid w:val="001D1E73"/>
    <w:rsid w:val="001D1F56"/>
    <w:rsid w:val="001D2190"/>
    <w:rsid w:val="001D25A8"/>
    <w:rsid w:val="001D3658"/>
    <w:rsid w:val="001D3D1C"/>
    <w:rsid w:val="001D4305"/>
    <w:rsid w:val="001D47E2"/>
    <w:rsid w:val="001D4BA3"/>
    <w:rsid w:val="001D54E2"/>
    <w:rsid w:val="001D55EE"/>
    <w:rsid w:val="001D594E"/>
    <w:rsid w:val="001D62AA"/>
    <w:rsid w:val="001D631C"/>
    <w:rsid w:val="001D7041"/>
    <w:rsid w:val="001D718F"/>
    <w:rsid w:val="001D72ED"/>
    <w:rsid w:val="001D7B7B"/>
    <w:rsid w:val="001E0436"/>
    <w:rsid w:val="001E21A1"/>
    <w:rsid w:val="001E2F25"/>
    <w:rsid w:val="001E3F90"/>
    <w:rsid w:val="001E4C11"/>
    <w:rsid w:val="001E5340"/>
    <w:rsid w:val="001E66BE"/>
    <w:rsid w:val="001E6882"/>
    <w:rsid w:val="001E7285"/>
    <w:rsid w:val="001E74E4"/>
    <w:rsid w:val="001E78D7"/>
    <w:rsid w:val="001F10F8"/>
    <w:rsid w:val="001F1152"/>
    <w:rsid w:val="001F1322"/>
    <w:rsid w:val="001F1914"/>
    <w:rsid w:val="001F22D3"/>
    <w:rsid w:val="001F2452"/>
    <w:rsid w:val="001F28F7"/>
    <w:rsid w:val="001F2D6D"/>
    <w:rsid w:val="001F2DDD"/>
    <w:rsid w:val="001F313C"/>
    <w:rsid w:val="001F3396"/>
    <w:rsid w:val="001F45DC"/>
    <w:rsid w:val="001F46BE"/>
    <w:rsid w:val="001F48AC"/>
    <w:rsid w:val="001F4952"/>
    <w:rsid w:val="001F4C90"/>
    <w:rsid w:val="001F4F70"/>
    <w:rsid w:val="001F56A0"/>
    <w:rsid w:val="001F633A"/>
    <w:rsid w:val="001F67FC"/>
    <w:rsid w:val="001F69B7"/>
    <w:rsid w:val="001F6EAB"/>
    <w:rsid w:val="001F7610"/>
    <w:rsid w:val="001F786B"/>
    <w:rsid w:val="001F7EDC"/>
    <w:rsid w:val="002006CD"/>
    <w:rsid w:val="00201E07"/>
    <w:rsid w:val="00201ED8"/>
    <w:rsid w:val="00202206"/>
    <w:rsid w:val="0020277B"/>
    <w:rsid w:val="00202ED4"/>
    <w:rsid w:val="002032B1"/>
    <w:rsid w:val="002035C5"/>
    <w:rsid w:val="00203678"/>
    <w:rsid w:val="00203C9D"/>
    <w:rsid w:val="002040FD"/>
    <w:rsid w:val="00204437"/>
    <w:rsid w:val="00204900"/>
    <w:rsid w:val="00204AD2"/>
    <w:rsid w:val="00204C14"/>
    <w:rsid w:val="00206485"/>
    <w:rsid w:val="00206993"/>
    <w:rsid w:val="00206BB3"/>
    <w:rsid w:val="002078D9"/>
    <w:rsid w:val="00207CAD"/>
    <w:rsid w:val="00210005"/>
    <w:rsid w:val="00210418"/>
    <w:rsid w:val="00211581"/>
    <w:rsid w:val="00211593"/>
    <w:rsid w:val="00211B04"/>
    <w:rsid w:val="00212055"/>
    <w:rsid w:val="00212D3B"/>
    <w:rsid w:val="00212FD4"/>
    <w:rsid w:val="00214847"/>
    <w:rsid w:val="0021487A"/>
    <w:rsid w:val="00214A08"/>
    <w:rsid w:val="00214CBC"/>
    <w:rsid w:val="002155A3"/>
    <w:rsid w:val="00215680"/>
    <w:rsid w:val="00216C77"/>
    <w:rsid w:val="00216CE6"/>
    <w:rsid w:val="0021730F"/>
    <w:rsid w:val="0021787A"/>
    <w:rsid w:val="00217D4A"/>
    <w:rsid w:val="002201FD"/>
    <w:rsid w:val="00220CE0"/>
    <w:rsid w:val="00221A5D"/>
    <w:rsid w:val="00222254"/>
    <w:rsid w:val="0022308A"/>
    <w:rsid w:val="002231D6"/>
    <w:rsid w:val="00223C78"/>
    <w:rsid w:val="0022536D"/>
    <w:rsid w:val="00225A61"/>
    <w:rsid w:val="002264D7"/>
    <w:rsid w:val="00227014"/>
    <w:rsid w:val="002275BB"/>
    <w:rsid w:val="002277B5"/>
    <w:rsid w:val="0023012C"/>
    <w:rsid w:val="002314A8"/>
    <w:rsid w:val="0023279E"/>
    <w:rsid w:val="002331EE"/>
    <w:rsid w:val="002339F5"/>
    <w:rsid w:val="002339FF"/>
    <w:rsid w:val="00233E74"/>
    <w:rsid w:val="002343B6"/>
    <w:rsid w:val="00235730"/>
    <w:rsid w:val="00235C5A"/>
    <w:rsid w:val="0023645D"/>
    <w:rsid w:val="00236475"/>
    <w:rsid w:val="002366B6"/>
    <w:rsid w:val="002369C7"/>
    <w:rsid w:val="002422B7"/>
    <w:rsid w:val="002425CF"/>
    <w:rsid w:val="00243217"/>
    <w:rsid w:val="00244A09"/>
    <w:rsid w:val="0024571F"/>
    <w:rsid w:val="0024607C"/>
    <w:rsid w:val="002461DE"/>
    <w:rsid w:val="0024699B"/>
    <w:rsid w:val="0024716A"/>
    <w:rsid w:val="002478A7"/>
    <w:rsid w:val="00247A10"/>
    <w:rsid w:val="00247B27"/>
    <w:rsid w:val="00247DA5"/>
    <w:rsid w:val="00250ACF"/>
    <w:rsid w:val="0025110D"/>
    <w:rsid w:val="002514EA"/>
    <w:rsid w:val="002519AA"/>
    <w:rsid w:val="002524AB"/>
    <w:rsid w:val="00252785"/>
    <w:rsid w:val="0025291A"/>
    <w:rsid w:val="00252D84"/>
    <w:rsid w:val="002535C4"/>
    <w:rsid w:val="002536E8"/>
    <w:rsid w:val="00253C75"/>
    <w:rsid w:val="00254A75"/>
    <w:rsid w:val="00255D0B"/>
    <w:rsid w:val="0025646A"/>
    <w:rsid w:val="00256B75"/>
    <w:rsid w:val="00256D36"/>
    <w:rsid w:val="002573C3"/>
    <w:rsid w:val="0025767A"/>
    <w:rsid w:val="002578C2"/>
    <w:rsid w:val="002579ED"/>
    <w:rsid w:val="00257A26"/>
    <w:rsid w:val="00260909"/>
    <w:rsid w:val="0026090B"/>
    <w:rsid w:val="00260969"/>
    <w:rsid w:val="00260A93"/>
    <w:rsid w:val="00261F67"/>
    <w:rsid w:val="002620C6"/>
    <w:rsid w:val="00262770"/>
    <w:rsid w:val="00262992"/>
    <w:rsid w:val="00263165"/>
    <w:rsid w:val="00264651"/>
    <w:rsid w:val="002646E3"/>
    <w:rsid w:val="00264731"/>
    <w:rsid w:val="00264A82"/>
    <w:rsid w:val="00264E44"/>
    <w:rsid w:val="00266FEF"/>
    <w:rsid w:val="00266FF0"/>
    <w:rsid w:val="002677AF"/>
    <w:rsid w:val="00267871"/>
    <w:rsid w:val="00267D2A"/>
    <w:rsid w:val="00270EEA"/>
    <w:rsid w:val="0027150A"/>
    <w:rsid w:val="00271920"/>
    <w:rsid w:val="00271F2D"/>
    <w:rsid w:val="00273621"/>
    <w:rsid w:val="002745F4"/>
    <w:rsid w:val="0027553D"/>
    <w:rsid w:val="002759E8"/>
    <w:rsid w:val="00275B63"/>
    <w:rsid w:val="00276AF7"/>
    <w:rsid w:val="00276B26"/>
    <w:rsid w:val="00276EDE"/>
    <w:rsid w:val="00276FE9"/>
    <w:rsid w:val="00277193"/>
    <w:rsid w:val="00280C8F"/>
    <w:rsid w:val="00280FA7"/>
    <w:rsid w:val="002815A0"/>
    <w:rsid w:val="00281BAF"/>
    <w:rsid w:val="0028275A"/>
    <w:rsid w:val="00282BEB"/>
    <w:rsid w:val="00282BF3"/>
    <w:rsid w:val="00282E34"/>
    <w:rsid w:val="00283145"/>
    <w:rsid w:val="00283169"/>
    <w:rsid w:val="002831DA"/>
    <w:rsid w:val="00283250"/>
    <w:rsid w:val="0028326E"/>
    <w:rsid w:val="00284198"/>
    <w:rsid w:val="00284F54"/>
    <w:rsid w:val="002851FB"/>
    <w:rsid w:val="00286DFC"/>
    <w:rsid w:val="00287674"/>
    <w:rsid w:val="00290223"/>
    <w:rsid w:val="00290620"/>
    <w:rsid w:val="00290EE8"/>
    <w:rsid w:val="00290F5A"/>
    <w:rsid w:val="00290FF0"/>
    <w:rsid w:val="00291874"/>
    <w:rsid w:val="00291BF6"/>
    <w:rsid w:val="00291D53"/>
    <w:rsid w:val="00292402"/>
    <w:rsid w:val="00292A96"/>
    <w:rsid w:val="00292DB6"/>
    <w:rsid w:val="002935AC"/>
    <w:rsid w:val="00293D07"/>
    <w:rsid w:val="002940EC"/>
    <w:rsid w:val="00294110"/>
    <w:rsid w:val="002941F1"/>
    <w:rsid w:val="002956E1"/>
    <w:rsid w:val="00295777"/>
    <w:rsid w:val="00295C4B"/>
    <w:rsid w:val="00295E4E"/>
    <w:rsid w:val="00295FA9"/>
    <w:rsid w:val="00296CA5"/>
    <w:rsid w:val="00296E5F"/>
    <w:rsid w:val="00297140"/>
    <w:rsid w:val="00297F2F"/>
    <w:rsid w:val="00297F36"/>
    <w:rsid w:val="002A12E9"/>
    <w:rsid w:val="002A181D"/>
    <w:rsid w:val="002A18F6"/>
    <w:rsid w:val="002A1BD5"/>
    <w:rsid w:val="002A289D"/>
    <w:rsid w:val="002A3104"/>
    <w:rsid w:val="002A31E9"/>
    <w:rsid w:val="002A3716"/>
    <w:rsid w:val="002A46B2"/>
    <w:rsid w:val="002A56A3"/>
    <w:rsid w:val="002A596F"/>
    <w:rsid w:val="002A607F"/>
    <w:rsid w:val="002A669D"/>
    <w:rsid w:val="002A6B43"/>
    <w:rsid w:val="002A7833"/>
    <w:rsid w:val="002A78EC"/>
    <w:rsid w:val="002A7AD1"/>
    <w:rsid w:val="002B0258"/>
    <w:rsid w:val="002B0470"/>
    <w:rsid w:val="002B08C9"/>
    <w:rsid w:val="002B12F6"/>
    <w:rsid w:val="002B1444"/>
    <w:rsid w:val="002B1458"/>
    <w:rsid w:val="002B34C5"/>
    <w:rsid w:val="002B38F9"/>
    <w:rsid w:val="002B4DD7"/>
    <w:rsid w:val="002B4F3B"/>
    <w:rsid w:val="002B554C"/>
    <w:rsid w:val="002B588D"/>
    <w:rsid w:val="002B592C"/>
    <w:rsid w:val="002B5EA6"/>
    <w:rsid w:val="002B6489"/>
    <w:rsid w:val="002B7A0C"/>
    <w:rsid w:val="002B7F18"/>
    <w:rsid w:val="002B7FBD"/>
    <w:rsid w:val="002C051E"/>
    <w:rsid w:val="002C07CF"/>
    <w:rsid w:val="002C0A9C"/>
    <w:rsid w:val="002C0BCB"/>
    <w:rsid w:val="002C0DE9"/>
    <w:rsid w:val="002C17CC"/>
    <w:rsid w:val="002C21B5"/>
    <w:rsid w:val="002C2402"/>
    <w:rsid w:val="002C2CBD"/>
    <w:rsid w:val="002C417C"/>
    <w:rsid w:val="002C4A80"/>
    <w:rsid w:val="002C54A8"/>
    <w:rsid w:val="002C5511"/>
    <w:rsid w:val="002C5E32"/>
    <w:rsid w:val="002C613B"/>
    <w:rsid w:val="002C61E8"/>
    <w:rsid w:val="002C6995"/>
    <w:rsid w:val="002C7838"/>
    <w:rsid w:val="002C7A05"/>
    <w:rsid w:val="002C7BEF"/>
    <w:rsid w:val="002D2B88"/>
    <w:rsid w:val="002D30EB"/>
    <w:rsid w:val="002D3143"/>
    <w:rsid w:val="002D3180"/>
    <w:rsid w:val="002D376B"/>
    <w:rsid w:val="002D3881"/>
    <w:rsid w:val="002D569D"/>
    <w:rsid w:val="002D5F95"/>
    <w:rsid w:val="002D6005"/>
    <w:rsid w:val="002D63E4"/>
    <w:rsid w:val="002D6DCD"/>
    <w:rsid w:val="002D785C"/>
    <w:rsid w:val="002E00D2"/>
    <w:rsid w:val="002E17FD"/>
    <w:rsid w:val="002E2379"/>
    <w:rsid w:val="002E287A"/>
    <w:rsid w:val="002E3391"/>
    <w:rsid w:val="002E3A2F"/>
    <w:rsid w:val="002E3CA3"/>
    <w:rsid w:val="002E3F8A"/>
    <w:rsid w:val="002E4511"/>
    <w:rsid w:val="002E4E46"/>
    <w:rsid w:val="002E60A6"/>
    <w:rsid w:val="002E67DE"/>
    <w:rsid w:val="002E6EE2"/>
    <w:rsid w:val="002E6F0C"/>
    <w:rsid w:val="002E714A"/>
    <w:rsid w:val="002E7368"/>
    <w:rsid w:val="002E79FE"/>
    <w:rsid w:val="002E7F87"/>
    <w:rsid w:val="002F14DB"/>
    <w:rsid w:val="002F1627"/>
    <w:rsid w:val="002F5C62"/>
    <w:rsid w:val="002F5FFF"/>
    <w:rsid w:val="002F600B"/>
    <w:rsid w:val="002F67CB"/>
    <w:rsid w:val="002F6FE5"/>
    <w:rsid w:val="002F74AA"/>
    <w:rsid w:val="002F77DC"/>
    <w:rsid w:val="002F7E24"/>
    <w:rsid w:val="0030094E"/>
    <w:rsid w:val="00300DAB"/>
    <w:rsid w:val="003017A2"/>
    <w:rsid w:val="003040FE"/>
    <w:rsid w:val="00304D36"/>
    <w:rsid w:val="0030507A"/>
    <w:rsid w:val="003050BD"/>
    <w:rsid w:val="003057C4"/>
    <w:rsid w:val="00305DF1"/>
    <w:rsid w:val="00307534"/>
    <w:rsid w:val="003102EB"/>
    <w:rsid w:val="00310964"/>
    <w:rsid w:val="0031144C"/>
    <w:rsid w:val="00311518"/>
    <w:rsid w:val="00311A2C"/>
    <w:rsid w:val="00312BD6"/>
    <w:rsid w:val="003130C5"/>
    <w:rsid w:val="0031338C"/>
    <w:rsid w:val="00313A15"/>
    <w:rsid w:val="00314BFF"/>
    <w:rsid w:val="00314FAE"/>
    <w:rsid w:val="003150D1"/>
    <w:rsid w:val="003155BE"/>
    <w:rsid w:val="003158CE"/>
    <w:rsid w:val="00316197"/>
    <w:rsid w:val="00316247"/>
    <w:rsid w:val="0031642D"/>
    <w:rsid w:val="00316B89"/>
    <w:rsid w:val="00317805"/>
    <w:rsid w:val="00317B30"/>
    <w:rsid w:val="00320A76"/>
    <w:rsid w:val="00320CFC"/>
    <w:rsid w:val="00322256"/>
    <w:rsid w:val="003222E6"/>
    <w:rsid w:val="0032235E"/>
    <w:rsid w:val="00322767"/>
    <w:rsid w:val="00322DD9"/>
    <w:rsid w:val="003231F2"/>
    <w:rsid w:val="00323AE0"/>
    <w:rsid w:val="00324164"/>
    <w:rsid w:val="00325450"/>
    <w:rsid w:val="00325A89"/>
    <w:rsid w:val="00325FF2"/>
    <w:rsid w:val="0032608C"/>
    <w:rsid w:val="0032635B"/>
    <w:rsid w:val="00326583"/>
    <w:rsid w:val="00326600"/>
    <w:rsid w:val="00326B2D"/>
    <w:rsid w:val="0032724B"/>
    <w:rsid w:val="00330691"/>
    <w:rsid w:val="00332A9A"/>
    <w:rsid w:val="00333683"/>
    <w:rsid w:val="003338F2"/>
    <w:rsid w:val="00333985"/>
    <w:rsid w:val="00333BC9"/>
    <w:rsid w:val="003347D6"/>
    <w:rsid w:val="00335556"/>
    <w:rsid w:val="00336CC5"/>
    <w:rsid w:val="00337444"/>
    <w:rsid w:val="00340253"/>
    <w:rsid w:val="00341228"/>
    <w:rsid w:val="003414DE"/>
    <w:rsid w:val="003427A9"/>
    <w:rsid w:val="003427FD"/>
    <w:rsid w:val="00342C7B"/>
    <w:rsid w:val="00343442"/>
    <w:rsid w:val="00343F66"/>
    <w:rsid w:val="0034499E"/>
    <w:rsid w:val="00345078"/>
    <w:rsid w:val="00345476"/>
    <w:rsid w:val="00345A17"/>
    <w:rsid w:val="0034627B"/>
    <w:rsid w:val="0034663A"/>
    <w:rsid w:val="00347B28"/>
    <w:rsid w:val="00347B9E"/>
    <w:rsid w:val="003503BF"/>
    <w:rsid w:val="00350930"/>
    <w:rsid w:val="00351013"/>
    <w:rsid w:val="00351411"/>
    <w:rsid w:val="003525EB"/>
    <w:rsid w:val="0035306A"/>
    <w:rsid w:val="003535B5"/>
    <w:rsid w:val="00353A77"/>
    <w:rsid w:val="00354538"/>
    <w:rsid w:val="00354749"/>
    <w:rsid w:val="00355256"/>
    <w:rsid w:val="0035533E"/>
    <w:rsid w:val="003558D2"/>
    <w:rsid w:val="00360640"/>
    <w:rsid w:val="003624F0"/>
    <w:rsid w:val="00362E9A"/>
    <w:rsid w:val="0036306B"/>
    <w:rsid w:val="003639AC"/>
    <w:rsid w:val="00363B5D"/>
    <w:rsid w:val="003642A3"/>
    <w:rsid w:val="0036477F"/>
    <w:rsid w:val="0036698E"/>
    <w:rsid w:val="003676FC"/>
    <w:rsid w:val="00367892"/>
    <w:rsid w:val="00367989"/>
    <w:rsid w:val="00370551"/>
    <w:rsid w:val="003713E0"/>
    <w:rsid w:val="0037196A"/>
    <w:rsid w:val="003723C7"/>
    <w:rsid w:val="00372A04"/>
    <w:rsid w:val="00372DC9"/>
    <w:rsid w:val="00372F8D"/>
    <w:rsid w:val="00373218"/>
    <w:rsid w:val="00373C5C"/>
    <w:rsid w:val="003747DF"/>
    <w:rsid w:val="003754D4"/>
    <w:rsid w:val="00375690"/>
    <w:rsid w:val="00375A35"/>
    <w:rsid w:val="00375C4C"/>
    <w:rsid w:val="003773BD"/>
    <w:rsid w:val="00377CB6"/>
    <w:rsid w:val="00380F2A"/>
    <w:rsid w:val="0038119F"/>
    <w:rsid w:val="003816C1"/>
    <w:rsid w:val="00381C1A"/>
    <w:rsid w:val="00382246"/>
    <w:rsid w:val="00382FF9"/>
    <w:rsid w:val="00383150"/>
    <w:rsid w:val="00383530"/>
    <w:rsid w:val="00384666"/>
    <w:rsid w:val="00384CF5"/>
    <w:rsid w:val="00385FDB"/>
    <w:rsid w:val="0038770F"/>
    <w:rsid w:val="00387765"/>
    <w:rsid w:val="003877C1"/>
    <w:rsid w:val="00390486"/>
    <w:rsid w:val="00390AF4"/>
    <w:rsid w:val="003915BB"/>
    <w:rsid w:val="00391CD6"/>
    <w:rsid w:val="00392536"/>
    <w:rsid w:val="00393746"/>
    <w:rsid w:val="00395803"/>
    <w:rsid w:val="003965F8"/>
    <w:rsid w:val="00396954"/>
    <w:rsid w:val="00397017"/>
    <w:rsid w:val="0039779C"/>
    <w:rsid w:val="003A00EF"/>
    <w:rsid w:val="003A10A1"/>
    <w:rsid w:val="003A153C"/>
    <w:rsid w:val="003A18CF"/>
    <w:rsid w:val="003A2C5A"/>
    <w:rsid w:val="003A2FA3"/>
    <w:rsid w:val="003A309B"/>
    <w:rsid w:val="003A39A8"/>
    <w:rsid w:val="003A45A4"/>
    <w:rsid w:val="003A4ABE"/>
    <w:rsid w:val="003A5339"/>
    <w:rsid w:val="003A5A65"/>
    <w:rsid w:val="003A60B1"/>
    <w:rsid w:val="003A6444"/>
    <w:rsid w:val="003A6FCF"/>
    <w:rsid w:val="003A7ABB"/>
    <w:rsid w:val="003A7AE2"/>
    <w:rsid w:val="003A7B95"/>
    <w:rsid w:val="003B1247"/>
    <w:rsid w:val="003B25AD"/>
    <w:rsid w:val="003B3FF8"/>
    <w:rsid w:val="003B4880"/>
    <w:rsid w:val="003B51CF"/>
    <w:rsid w:val="003B5AC2"/>
    <w:rsid w:val="003B78AD"/>
    <w:rsid w:val="003B7C7F"/>
    <w:rsid w:val="003C04ED"/>
    <w:rsid w:val="003C094D"/>
    <w:rsid w:val="003C0B9E"/>
    <w:rsid w:val="003C3AFB"/>
    <w:rsid w:val="003C3D76"/>
    <w:rsid w:val="003C4747"/>
    <w:rsid w:val="003C4EA1"/>
    <w:rsid w:val="003C5076"/>
    <w:rsid w:val="003C57A9"/>
    <w:rsid w:val="003C5C64"/>
    <w:rsid w:val="003C5DFB"/>
    <w:rsid w:val="003C635A"/>
    <w:rsid w:val="003C6BBD"/>
    <w:rsid w:val="003C734A"/>
    <w:rsid w:val="003C7450"/>
    <w:rsid w:val="003D1775"/>
    <w:rsid w:val="003D17CA"/>
    <w:rsid w:val="003D1D2E"/>
    <w:rsid w:val="003D1E89"/>
    <w:rsid w:val="003D1F0A"/>
    <w:rsid w:val="003D226A"/>
    <w:rsid w:val="003D388E"/>
    <w:rsid w:val="003D3BA6"/>
    <w:rsid w:val="003D41F0"/>
    <w:rsid w:val="003D4773"/>
    <w:rsid w:val="003D539B"/>
    <w:rsid w:val="003D5A46"/>
    <w:rsid w:val="003D6021"/>
    <w:rsid w:val="003D62EF"/>
    <w:rsid w:val="003D794D"/>
    <w:rsid w:val="003D79B8"/>
    <w:rsid w:val="003E0B4B"/>
    <w:rsid w:val="003E0DA3"/>
    <w:rsid w:val="003E1AD9"/>
    <w:rsid w:val="003E1BEF"/>
    <w:rsid w:val="003E2431"/>
    <w:rsid w:val="003E29A2"/>
    <w:rsid w:val="003E331B"/>
    <w:rsid w:val="003E445E"/>
    <w:rsid w:val="003E49B8"/>
    <w:rsid w:val="003E542E"/>
    <w:rsid w:val="003E5B74"/>
    <w:rsid w:val="003E5E0A"/>
    <w:rsid w:val="003E6334"/>
    <w:rsid w:val="003E7C5F"/>
    <w:rsid w:val="003F0B99"/>
    <w:rsid w:val="003F186B"/>
    <w:rsid w:val="003F1A23"/>
    <w:rsid w:val="003F22BA"/>
    <w:rsid w:val="003F2BFC"/>
    <w:rsid w:val="003F362A"/>
    <w:rsid w:val="003F3B2C"/>
    <w:rsid w:val="003F3B76"/>
    <w:rsid w:val="003F41F4"/>
    <w:rsid w:val="003F6AB0"/>
    <w:rsid w:val="003F6D05"/>
    <w:rsid w:val="003F6DEE"/>
    <w:rsid w:val="003F7671"/>
    <w:rsid w:val="00400016"/>
    <w:rsid w:val="00400789"/>
    <w:rsid w:val="0040090B"/>
    <w:rsid w:val="00401963"/>
    <w:rsid w:val="00401DF9"/>
    <w:rsid w:val="00401EE5"/>
    <w:rsid w:val="00402106"/>
    <w:rsid w:val="0040264B"/>
    <w:rsid w:val="0040292A"/>
    <w:rsid w:val="00402AE8"/>
    <w:rsid w:val="00402CEF"/>
    <w:rsid w:val="00402E26"/>
    <w:rsid w:val="0040300A"/>
    <w:rsid w:val="004030C2"/>
    <w:rsid w:val="00403657"/>
    <w:rsid w:val="00403697"/>
    <w:rsid w:val="00403D8D"/>
    <w:rsid w:val="00404215"/>
    <w:rsid w:val="00404573"/>
    <w:rsid w:val="0040479B"/>
    <w:rsid w:val="00404A24"/>
    <w:rsid w:val="00404A5E"/>
    <w:rsid w:val="0040503D"/>
    <w:rsid w:val="00405C54"/>
    <w:rsid w:val="00406980"/>
    <w:rsid w:val="004076FF"/>
    <w:rsid w:val="00407D0F"/>
    <w:rsid w:val="0041035F"/>
    <w:rsid w:val="00410697"/>
    <w:rsid w:val="00410EC5"/>
    <w:rsid w:val="00410EE3"/>
    <w:rsid w:val="00411B23"/>
    <w:rsid w:val="00411E13"/>
    <w:rsid w:val="00411FB8"/>
    <w:rsid w:val="004120AE"/>
    <w:rsid w:val="00412387"/>
    <w:rsid w:val="004126A0"/>
    <w:rsid w:val="00412D96"/>
    <w:rsid w:val="00412F2F"/>
    <w:rsid w:val="004139AC"/>
    <w:rsid w:val="004139E3"/>
    <w:rsid w:val="00413B4A"/>
    <w:rsid w:val="00414D17"/>
    <w:rsid w:val="00415052"/>
    <w:rsid w:val="0041510F"/>
    <w:rsid w:val="004152E5"/>
    <w:rsid w:val="00415B3C"/>
    <w:rsid w:val="00415B6C"/>
    <w:rsid w:val="004161D6"/>
    <w:rsid w:val="004163A6"/>
    <w:rsid w:val="00416DED"/>
    <w:rsid w:val="004174B5"/>
    <w:rsid w:val="00420ACD"/>
    <w:rsid w:val="00420BFF"/>
    <w:rsid w:val="0042135D"/>
    <w:rsid w:val="0042153A"/>
    <w:rsid w:val="00421E37"/>
    <w:rsid w:val="0042260E"/>
    <w:rsid w:val="004229E9"/>
    <w:rsid w:val="00422CEC"/>
    <w:rsid w:val="0042370C"/>
    <w:rsid w:val="00424600"/>
    <w:rsid w:val="00424EBD"/>
    <w:rsid w:val="00425466"/>
    <w:rsid w:val="0042591E"/>
    <w:rsid w:val="0042614A"/>
    <w:rsid w:val="00426325"/>
    <w:rsid w:val="00426369"/>
    <w:rsid w:val="0042684C"/>
    <w:rsid w:val="00426D2D"/>
    <w:rsid w:val="0042707A"/>
    <w:rsid w:val="004272BC"/>
    <w:rsid w:val="00427ABD"/>
    <w:rsid w:val="00427BB3"/>
    <w:rsid w:val="00430CC9"/>
    <w:rsid w:val="00431107"/>
    <w:rsid w:val="00431DE9"/>
    <w:rsid w:val="004322F9"/>
    <w:rsid w:val="004325B8"/>
    <w:rsid w:val="0043337B"/>
    <w:rsid w:val="004339E2"/>
    <w:rsid w:val="0043585A"/>
    <w:rsid w:val="00435FF7"/>
    <w:rsid w:val="00436642"/>
    <w:rsid w:val="00436EEB"/>
    <w:rsid w:val="004372BE"/>
    <w:rsid w:val="00440545"/>
    <w:rsid w:val="00440691"/>
    <w:rsid w:val="00440951"/>
    <w:rsid w:val="00440DC8"/>
    <w:rsid w:val="00441987"/>
    <w:rsid w:val="00441AFE"/>
    <w:rsid w:val="00442B78"/>
    <w:rsid w:val="00444572"/>
    <w:rsid w:val="00444646"/>
    <w:rsid w:val="004446A8"/>
    <w:rsid w:val="00445017"/>
    <w:rsid w:val="00445B8A"/>
    <w:rsid w:val="00446143"/>
    <w:rsid w:val="004467A4"/>
    <w:rsid w:val="004473E4"/>
    <w:rsid w:val="00447559"/>
    <w:rsid w:val="00447894"/>
    <w:rsid w:val="00447A5A"/>
    <w:rsid w:val="00447B21"/>
    <w:rsid w:val="00447B42"/>
    <w:rsid w:val="00450337"/>
    <w:rsid w:val="004516FF"/>
    <w:rsid w:val="004519F6"/>
    <w:rsid w:val="00452B47"/>
    <w:rsid w:val="00453754"/>
    <w:rsid w:val="004540C9"/>
    <w:rsid w:val="004558FB"/>
    <w:rsid w:val="00455C35"/>
    <w:rsid w:val="00456583"/>
    <w:rsid w:val="00456B88"/>
    <w:rsid w:val="0045703C"/>
    <w:rsid w:val="00457C27"/>
    <w:rsid w:val="0046073A"/>
    <w:rsid w:val="00461C02"/>
    <w:rsid w:val="00462F9F"/>
    <w:rsid w:val="004641AB"/>
    <w:rsid w:val="00464CC6"/>
    <w:rsid w:val="004656ED"/>
    <w:rsid w:val="00465D19"/>
    <w:rsid w:val="00465FBC"/>
    <w:rsid w:val="004662EF"/>
    <w:rsid w:val="0046698B"/>
    <w:rsid w:val="00466ECC"/>
    <w:rsid w:val="0046723B"/>
    <w:rsid w:val="004675BE"/>
    <w:rsid w:val="00467917"/>
    <w:rsid w:val="004704CA"/>
    <w:rsid w:val="00470BC2"/>
    <w:rsid w:val="00471DA0"/>
    <w:rsid w:val="00472287"/>
    <w:rsid w:val="00473152"/>
    <w:rsid w:val="0047356A"/>
    <w:rsid w:val="00473F39"/>
    <w:rsid w:val="00473F67"/>
    <w:rsid w:val="004740A7"/>
    <w:rsid w:val="00474DAD"/>
    <w:rsid w:val="00475788"/>
    <w:rsid w:val="00475BBB"/>
    <w:rsid w:val="00475ECE"/>
    <w:rsid w:val="00476AF8"/>
    <w:rsid w:val="00476E2F"/>
    <w:rsid w:val="00477024"/>
    <w:rsid w:val="00477E53"/>
    <w:rsid w:val="0048070E"/>
    <w:rsid w:val="0048169A"/>
    <w:rsid w:val="004818E5"/>
    <w:rsid w:val="0048199E"/>
    <w:rsid w:val="00481CB7"/>
    <w:rsid w:val="00482018"/>
    <w:rsid w:val="00482FE8"/>
    <w:rsid w:val="004830D8"/>
    <w:rsid w:val="004831B2"/>
    <w:rsid w:val="004832F1"/>
    <w:rsid w:val="00483608"/>
    <w:rsid w:val="00483EA2"/>
    <w:rsid w:val="0048400A"/>
    <w:rsid w:val="00484BF3"/>
    <w:rsid w:val="00484E4C"/>
    <w:rsid w:val="0048513B"/>
    <w:rsid w:val="00485194"/>
    <w:rsid w:val="0048588B"/>
    <w:rsid w:val="00486287"/>
    <w:rsid w:val="004868F0"/>
    <w:rsid w:val="004869C7"/>
    <w:rsid w:val="00487393"/>
    <w:rsid w:val="00487BDF"/>
    <w:rsid w:val="00487D57"/>
    <w:rsid w:val="00487FD1"/>
    <w:rsid w:val="004910C5"/>
    <w:rsid w:val="00491914"/>
    <w:rsid w:val="0049219F"/>
    <w:rsid w:val="00492B36"/>
    <w:rsid w:val="00492EB1"/>
    <w:rsid w:val="004935D0"/>
    <w:rsid w:val="004938A2"/>
    <w:rsid w:val="00493CE7"/>
    <w:rsid w:val="00494106"/>
    <w:rsid w:val="004945D7"/>
    <w:rsid w:val="00494E21"/>
    <w:rsid w:val="004952D7"/>
    <w:rsid w:val="004966E8"/>
    <w:rsid w:val="00496C4B"/>
    <w:rsid w:val="00497B34"/>
    <w:rsid w:val="004A0D0F"/>
    <w:rsid w:val="004A174C"/>
    <w:rsid w:val="004A192C"/>
    <w:rsid w:val="004A3753"/>
    <w:rsid w:val="004A3B50"/>
    <w:rsid w:val="004A40F8"/>
    <w:rsid w:val="004A4743"/>
    <w:rsid w:val="004A4919"/>
    <w:rsid w:val="004A492A"/>
    <w:rsid w:val="004A5C28"/>
    <w:rsid w:val="004A71F0"/>
    <w:rsid w:val="004A751B"/>
    <w:rsid w:val="004A7816"/>
    <w:rsid w:val="004A7F27"/>
    <w:rsid w:val="004A7FDD"/>
    <w:rsid w:val="004B032F"/>
    <w:rsid w:val="004B0446"/>
    <w:rsid w:val="004B0A7D"/>
    <w:rsid w:val="004B0FFA"/>
    <w:rsid w:val="004B14C6"/>
    <w:rsid w:val="004B1ACE"/>
    <w:rsid w:val="004B3531"/>
    <w:rsid w:val="004B3BD6"/>
    <w:rsid w:val="004B4025"/>
    <w:rsid w:val="004B592F"/>
    <w:rsid w:val="004B675F"/>
    <w:rsid w:val="004B7A02"/>
    <w:rsid w:val="004B7F4D"/>
    <w:rsid w:val="004B7F81"/>
    <w:rsid w:val="004C0157"/>
    <w:rsid w:val="004C2206"/>
    <w:rsid w:val="004C3E91"/>
    <w:rsid w:val="004C4D1B"/>
    <w:rsid w:val="004C53B1"/>
    <w:rsid w:val="004C5772"/>
    <w:rsid w:val="004C5879"/>
    <w:rsid w:val="004C5F87"/>
    <w:rsid w:val="004C60E5"/>
    <w:rsid w:val="004C6541"/>
    <w:rsid w:val="004C683C"/>
    <w:rsid w:val="004C690B"/>
    <w:rsid w:val="004C728E"/>
    <w:rsid w:val="004D0F3A"/>
    <w:rsid w:val="004D1473"/>
    <w:rsid w:val="004D148A"/>
    <w:rsid w:val="004D1509"/>
    <w:rsid w:val="004D2226"/>
    <w:rsid w:val="004D3BDA"/>
    <w:rsid w:val="004D3C66"/>
    <w:rsid w:val="004D3E3D"/>
    <w:rsid w:val="004D507A"/>
    <w:rsid w:val="004D5D56"/>
    <w:rsid w:val="004D5E84"/>
    <w:rsid w:val="004D6576"/>
    <w:rsid w:val="004D6C2A"/>
    <w:rsid w:val="004D7E88"/>
    <w:rsid w:val="004D7F95"/>
    <w:rsid w:val="004E04D0"/>
    <w:rsid w:val="004E12DD"/>
    <w:rsid w:val="004E17D7"/>
    <w:rsid w:val="004E1933"/>
    <w:rsid w:val="004E1D4B"/>
    <w:rsid w:val="004E247F"/>
    <w:rsid w:val="004E2617"/>
    <w:rsid w:val="004E290D"/>
    <w:rsid w:val="004E2C86"/>
    <w:rsid w:val="004E3AC5"/>
    <w:rsid w:val="004E3CBC"/>
    <w:rsid w:val="004E413C"/>
    <w:rsid w:val="004E4251"/>
    <w:rsid w:val="004E471F"/>
    <w:rsid w:val="004E4AE4"/>
    <w:rsid w:val="004E542F"/>
    <w:rsid w:val="004E54D5"/>
    <w:rsid w:val="004E566B"/>
    <w:rsid w:val="004E5920"/>
    <w:rsid w:val="004E6AF8"/>
    <w:rsid w:val="004E6CA6"/>
    <w:rsid w:val="004E6EE2"/>
    <w:rsid w:val="004E73DB"/>
    <w:rsid w:val="004F00B9"/>
    <w:rsid w:val="004F146A"/>
    <w:rsid w:val="004F1CAD"/>
    <w:rsid w:val="004F1E75"/>
    <w:rsid w:val="004F2008"/>
    <w:rsid w:val="004F2194"/>
    <w:rsid w:val="004F3E9E"/>
    <w:rsid w:val="004F4179"/>
    <w:rsid w:val="004F47F2"/>
    <w:rsid w:val="004F4D5A"/>
    <w:rsid w:val="004F6032"/>
    <w:rsid w:val="004F6723"/>
    <w:rsid w:val="004F67C7"/>
    <w:rsid w:val="004F7080"/>
    <w:rsid w:val="004F7616"/>
    <w:rsid w:val="004F7D01"/>
    <w:rsid w:val="00500DA8"/>
    <w:rsid w:val="00501656"/>
    <w:rsid w:val="00501EE9"/>
    <w:rsid w:val="00502E1A"/>
    <w:rsid w:val="005032FE"/>
    <w:rsid w:val="005033F1"/>
    <w:rsid w:val="00503614"/>
    <w:rsid w:val="00503CDE"/>
    <w:rsid w:val="0050482A"/>
    <w:rsid w:val="00504B6E"/>
    <w:rsid w:val="0050516E"/>
    <w:rsid w:val="005056BE"/>
    <w:rsid w:val="00505852"/>
    <w:rsid w:val="00505D44"/>
    <w:rsid w:val="00506217"/>
    <w:rsid w:val="005073F8"/>
    <w:rsid w:val="0050778E"/>
    <w:rsid w:val="00507CA6"/>
    <w:rsid w:val="005104E1"/>
    <w:rsid w:val="005107B4"/>
    <w:rsid w:val="005107B5"/>
    <w:rsid w:val="005108B9"/>
    <w:rsid w:val="005108D5"/>
    <w:rsid w:val="00510E61"/>
    <w:rsid w:val="00512047"/>
    <w:rsid w:val="005124CB"/>
    <w:rsid w:val="00512571"/>
    <w:rsid w:val="005125A7"/>
    <w:rsid w:val="005144BA"/>
    <w:rsid w:val="00515A7D"/>
    <w:rsid w:val="005169E6"/>
    <w:rsid w:val="00516ACD"/>
    <w:rsid w:val="00516B4D"/>
    <w:rsid w:val="00517CAB"/>
    <w:rsid w:val="0052135E"/>
    <w:rsid w:val="005213DC"/>
    <w:rsid w:val="00521777"/>
    <w:rsid w:val="00521848"/>
    <w:rsid w:val="00522953"/>
    <w:rsid w:val="00522BC8"/>
    <w:rsid w:val="00522F1D"/>
    <w:rsid w:val="00524861"/>
    <w:rsid w:val="00524BB0"/>
    <w:rsid w:val="00525065"/>
    <w:rsid w:val="005255F4"/>
    <w:rsid w:val="00525D34"/>
    <w:rsid w:val="00527EFD"/>
    <w:rsid w:val="00530718"/>
    <w:rsid w:val="00530A8F"/>
    <w:rsid w:val="00530ADE"/>
    <w:rsid w:val="00530E19"/>
    <w:rsid w:val="00530F9B"/>
    <w:rsid w:val="00531E96"/>
    <w:rsid w:val="0053202B"/>
    <w:rsid w:val="00533174"/>
    <w:rsid w:val="0053326A"/>
    <w:rsid w:val="00534038"/>
    <w:rsid w:val="00534270"/>
    <w:rsid w:val="005343AB"/>
    <w:rsid w:val="00534C1E"/>
    <w:rsid w:val="00534D5C"/>
    <w:rsid w:val="00534E74"/>
    <w:rsid w:val="00534F25"/>
    <w:rsid w:val="00535001"/>
    <w:rsid w:val="0053515A"/>
    <w:rsid w:val="005361DF"/>
    <w:rsid w:val="0053781A"/>
    <w:rsid w:val="00537A1D"/>
    <w:rsid w:val="00537C15"/>
    <w:rsid w:val="00540840"/>
    <w:rsid w:val="00540BFB"/>
    <w:rsid w:val="005419AE"/>
    <w:rsid w:val="00542820"/>
    <w:rsid w:val="00542866"/>
    <w:rsid w:val="00542E92"/>
    <w:rsid w:val="00543592"/>
    <w:rsid w:val="00543959"/>
    <w:rsid w:val="00544CCF"/>
    <w:rsid w:val="00546198"/>
    <w:rsid w:val="00546652"/>
    <w:rsid w:val="005469E2"/>
    <w:rsid w:val="00547389"/>
    <w:rsid w:val="005513FD"/>
    <w:rsid w:val="0055167F"/>
    <w:rsid w:val="00551A26"/>
    <w:rsid w:val="00551EFB"/>
    <w:rsid w:val="00552742"/>
    <w:rsid w:val="005527CC"/>
    <w:rsid w:val="00552AE3"/>
    <w:rsid w:val="00552B00"/>
    <w:rsid w:val="0055314E"/>
    <w:rsid w:val="00553407"/>
    <w:rsid w:val="00554922"/>
    <w:rsid w:val="00555208"/>
    <w:rsid w:val="00555634"/>
    <w:rsid w:val="00556B8B"/>
    <w:rsid w:val="00556CA7"/>
    <w:rsid w:val="00556FB1"/>
    <w:rsid w:val="0055780C"/>
    <w:rsid w:val="00557999"/>
    <w:rsid w:val="0056005B"/>
    <w:rsid w:val="005601B2"/>
    <w:rsid w:val="00560E45"/>
    <w:rsid w:val="00560F20"/>
    <w:rsid w:val="00561624"/>
    <w:rsid w:val="0056165C"/>
    <w:rsid w:val="005621A2"/>
    <w:rsid w:val="00562FEB"/>
    <w:rsid w:val="00563030"/>
    <w:rsid w:val="00563606"/>
    <w:rsid w:val="00563F12"/>
    <w:rsid w:val="00564F02"/>
    <w:rsid w:val="005656E9"/>
    <w:rsid w:val="00565C05"/>
    <w:rsid w:val="00566B68"/>
    <w:rsid w:val="00566FD3"/>
    <w:rsid w:val="00567247"/>
    <w:rsid w:val="00567F40"/>
    <w:rsid w:val="005700A9"/>
    <w:rsid w:val="005713A8"/>
    <w:rsid w:val="00572E31"/>
    <w:rsid w:val="0057456D"/>
    <w:rsid w:val="00575055"/>
    <w:rsid w:val="005756CA"/>
    <w:rsid w:val="00575A54"/>
    <w:rsid w:val="00576689"/>
    <w:rsid w:val="005767E3"/>
    <w:rsid w:val="0057726A"/>
    <w:rsid w:val="00577305"/>
    <w:rsid w:val="00580AE0"/>
    <w:rsid w:val="005817BD"/>
    <w:rsid w:val="0058189D"/>
    <w:rsid w:val="005819B0"/>
    <w:rsid w:val="00581FAD"/>
    <w:rsid w:val="005826A7"/>
    <w:rsid w:val="00582733"/>
    <w:rsid w:val="00583018"/>
    <w:rsid w:val="0058301F"/>
    <w:rsid w:val="005833AE"/>
    <w:rsid w:val="0058398F"/>
    <w:rsid w:val="005839A0"/>
    <w:rsid w:val="005843B2"/>
    <w:rsid w:val="00584953"/>
    <w:rsid w:val="0058682F"/>
    <w:rsid w:val="00587692"/>
    <w:rsid w:val="0059073E"/>
    <w:rsid w:val="00590BF2"/>
    <w:rsid w:val="00591C87"/>
    <w:rsid w:val="00592DDC"/>
    <w:rsid w:val="005942C6"/>
    <w:rsid w:val="005953AB"/>
    <w:rsid w:val="005953F6"/>
    <w:rsid w:val="00595C10"/>
    <w:rsid w:val="00596CEA"/>
    <w:rsid w:val="00597D3B"/>
    <w:rsid w:val="005A14DA"/>
    <w:rsid w:val="005A155F"/>
    <w:rsid w:val="005A1D5A"/>
    <w:rsid w:val="005A23B7"/>
    <w:rsid w:val="005A2B37"/>
    <w:rsid w:val="005A3408"/>
    <w:rsid w:val="005A3B64"/>
    <w:rsid w:val="005A44AF"/>
    <w:rsid w:val="005A474A"/>
    <w:rsid w:val="005A4BCF"/>
    <w:rsid w:val="005A4CAA"/>
    <w:rsid w:val="005A4D31"/>
    <w:rsid w:val="005A5A30"/>
    <w:rsid w:val="005A5B91"/>
    <w:rsid w:val="005A5F36"/>
    <w:rsid w:val="005A6D26"/>
    <w:rsid w:val="005B03EF"/>
    <w:rsid w:val="005B0410"/>
    <w:rsid w:val="005B074F"/>
    <w:rsid w:val="005B117C"/>
    <w:rsid w:val="005B189C"/>
    <w:rsid w:val="005B1AA7"/>
    <w:rsid w:val="005B1AFF"/>
    <w:rsid w:val="005B1FE8"/>
    <w:rsid w:val="005B2210"/>
    <w:rsid w:val="005B2489"/>
    <w:rsid w:val="005B2AAE"/>
    <w:rsid w:val="005B2C9B"/>
    <w:rsid w:val="005B3928"/>
    <w:rsid w:val="005B4277"/>
    <w:rsid w:val="005B5B74"/>
    <w:rsid w:val="005B6377"/>
    <w:rsid w:val="005B7698"/>
    <w:rsid w:val="005C00A4"/>
    <w:rsid w:val="005C05CA"/>
    <w:rsid w:val="005C1048"/>
    <w:rsid w:val="005C1EBE"/>
    <w:rsid w:val="005C1FA8"/>
    <w:rsid w:val="005C2020"/>
    <w:rsid w:val="005C23A8"/>
    <w:rsid w:val="005C302B"/>
    <w:rsid w:val="005C3289"/>
    <w:rsid w:val="005C335B"/>
    <w:rsid w:val="005C3CCB"/>
    <w:rsid w:val="005C52D7"/>
    <w:rsid w:val="005C586F"/>
    <w:rsid w:val="005C66BB"/>
    <w:rsid w:val="005C6EF9"/>
    <w:rsid w:val="005C73C8"/>
    <w:rsid w:val="005C779B"/>
    <w:rsid w:val="005C7AAC"/>
    <w:rsid w:val="005C7C54"/>
    <w:rsid w:val="005D0AC2"/>
    <w:rsid w:val="005D0DF6"/>
    <w:rsid w:val="005D0EFD"/>
    <w:rsid w:val="005D10D6"/>
    <w:rsid w:val="005D19AF"/>
    <w:rsid w:val="005D1EF8"/>
    <w:rsid w:val="005D28E7"/>
    <w:rsid w:val="005D2B87"/>
    <w:rsid w:val="005D2DDC"/>
    <w:rsid w:val="005D3178"/>
    <w:rsid w:val="005D3534"/>
    <w:rsid w:val="005D4E41"/>
    <w:rsid w:val="005D54BC"/>
    <w:rsid w:val="005D6341"/>
    <w:rsid w:val="005D6A54"/>
    <w:rsid w:val="005D6AF1"/>
    <w:rsid w:val="005D6C3E"/>
    <w:rsid w:val="005D7F6F"/>
    <w:rsid w:val="005E0831"/>
    <w:rsid w:val="005E0E9F"/>
    <w:rsid w:val="005E1235"/>
    <w:rsid w:val="005E18D2"/>
    <w:rsid w:val="005E1D0D"/>
    <w:rsid w:val="005E2685"/>
    <w:rsid w:val="005E2AA7"/>
    <w:rsid w:val="005E3676"/>
    <w:rsid w:val="005E3F06"/>
    <w:rsid w:val="005E5517"/>
    <w:rsid w:val="005E62C6"/>
    <w:rsid w:val="005E67CD"/>
    <w:rsid w:val="005E6EBA"/>
    <w:rsid w:val="005E776C"/>
    <w:rsid w:val="005F00DF"/>
    <w:rsid w:val="005F0705"/>
    <w:rsid w:val="005F07A6"/>
    <w:rsid w:val="005F0B6D"/>
    <w:rsid w:val="005F0C29"/>
    <w:rsid w:val="005F0D9B"/>
    <w:rsid w:val="005F1146"/>
    <w:rsid w:val="005F16EE"/>
    <w:rsid w:val="005F1A3D"/>
    <w:rsid w:val="005F289E"/>
    <w:rsid w:val="005F2B0A"/>
    <w:rsid w:val="005F2EB2"/>
    <w:rsid w:val="005F358A"/>
    <w:rsid w:val="005F4724"/>
    <w:rsid w:val="005F48B3"/>
    <w:rsid w:val="005F52A5"/>
    <w:rsid w:val="005F58B8"/>
    <w:rsid w:val="005F6036"/>
    <w:rsid w:val="005F6D03"/>
    <w:rsid w:val="005F7088"/>
    <w:rsid w:val="005F71BC"/>
    <w:rsid w:val="005F7A9C"/>
    <w:rsid w:val="00600C72"/>
    <w:rsid w:val="006014D1"/>
    <w:rsid w:val="0060165F"/>
    <w:rsid w:val="00601F9C"/>
    <w:rsid w:val="0060228C"/>
    <w:rsid w:val="00602807"/>
    <w:rsid w:val="00602F7C"/>
    <w:rsid w:val="0060304D"/>
    <w:rsid w:val="0060331A"/>
    <w:rsid w:val="0060382A"/>
    <w:rsid w:val="00603A6D"/>
    <w:rsid w:val="00603DAC"/>
    <w:rsid w:val="00604A50"/>
    <w:rsid w:val="00605BDC"/>
    <w:rsid w:val="00606649"/>
    <w:rsid w:val="00607482"/>
    <w:rsid w:val="006076A8"/>
    <w:rsid w:val="006078E0"/>
    <w:rsid w:val="00607C1C"/>
    <w:rsid w:val="00611687"/>
    <w:rsid w:val="006118F9"/>
    <w:rsid w:val="00612720"/>
    <w:rsid w:val="006129C8"/>
    <w:rsid w:val="00612D9F"/>
    <w:rsid w:val="0061316D"/>
    <w:rsid w:val="00613C79"/>
    <w:rsid w:val="006150E4"/>
    <w:rsid w:val="00615523"/>
    <w:rsid w:val="006155E6"/>
    <w:rsid w:val="00615776"/>
    <w:rsid w:val="00615E82"/>
    <w:rsid w:val="00616DAF"/>
    <w:rsid w:val="00616E82"/>
    <w:rsid w:val="00617EE2"/>
    <w:rsid w:val="0062012C"/>
    <w:rsid w:val="00620435"/>
    <w:rsid w:val="0062156C"/>
    <w:rsid w:val="00622137"/>
    <w:rsid w:val="00622A09"/>
    <w:rsid w:val="0062306B"/>
    <w:rsid w:val="006246B8"/>
    <w:rsid w:val="006246C6"/>
    <w:rsid w:val="00625E1C"/>
    <w:rsid w:val="00626135"/>
    <w:rsid w:val="00626647"/>
    <w:rsid w:val="00626AF7"/>
    <w:rsid w:val="00630D5C"/>
    <w:rsid w:val="00631C4D"/>
    <w:rsid w:val="00631E1C"/>
    <w:rsid w:val="006324AF"/>
    <w:rsid w:val="00632758"/>
    <w:rsid w:val="00632AAF"/>
    <w:rsid w:val="00632B93"/>
    <w:rsid w:val="00632D15"/>
    <w:rsid w:val="00632D34"/>
    <w:rsid w:val="006332F5"/>
    <w:rsid w:val="0063390C"/>
    <w:rsid w:val="00634AA9"/>
    <w:rsid w:val="00635346"/>
    <w:rsid w:val="006355C2"/>
    <w:rsid w:val="00635D58"/>
    <w:rsid w:val="00636BE8"/>
    <w:rsid w:val="006376CD"/>
    <w:rsid w:val="00640050"/>
    <w:rsid w:val="00640057"/>
    <w:rsid w:val="00640DDE"/>
    <w:rsid w:val="0064221A"/>
    <w:rsid w:val="00643065"/>
    <w:rsid w:val="006436BF"/>
    <w:rsid w:val="00643C23"/>
    <w:rsid w:val="00643C2F"/>
    <w:rsid w:val="00644BEC"/>
    <w:rsid w:val="00644F76"/>
    <w:rsid w:val="006455EE"/>
    <w:rsid w:val="006457CD"/>
    <w:rsid w:val="006461D5"/>
    <w:rsid w:val="006468B5"/>
    <w:rsid w:val="00646C73"/>
    <w:rsid w:val="00646C8B"/>
    <w:rsid w:val="0064722E"/>
    <w:rsid w:val="00650F11"/>
    <w:rsid w:val="0065120E"/>
    <w:rsid w:val="0065133F"/>
    <w:rsid w:val="00651528"/>
    <w:rsid w:val="0065196A"/>
    <w:rsid w:val="00652091"/>
    <w:rsid w:val="0065237F"/>
    <w:rsid w:val="00652493"/>
    <w:rsid w:val="00652632"/>
    <w:rsid w:val="0065319B"/>
    <w:rsid w:val="006537C4"/>
    <w:rsid w:val="00653CB7"/>
    <w:rsid w:val="00653F7A"/>
    <w:rsid w:val="00654B83"/>
    <w:rsid w:val="00655774"/>
    <w:rsid w:val="00655927"/>
    <w:rsid w:val="00655BD7"/>
    <w:rsid w:val="00655C8B"/>
    <w:rsid w:val="006567C0"/>
    <w:rsid w:val="0066022E"/>
    <w:rsid w:val="006611D2"/>
    <w:rsid w:val="0066253F"/>
    <w:rsid w:val="006627C7"/>
    <w:rsid w:val="00662886"/>
    <w:rsid w:val="00662FF1"/>
    <w:rsid w:val="00663083"/>
    <w:rsid w:val="0066327C"/>
    <w:rsid w:val="0066357C"/>
    <w:rsid w:val="006636C4"/>
    <w:rsid w:val="00663E38"/>
    <w:rsid w:val="00664A73"/>
    <w:rsid w:val="006652BC"/>
    <w:rsid w:val="006658C6"/>
    <w:rsid w:val="00666197"/>
    <w:rsid w:val="0066672A"/>
    <w:rsid w:val="00666DC3"/>
    <w:rsid w:val="006707FD"/>
    <w:rsid w:val="00670965"/>
    <w:rsid w:val="006709BE"/>
    <w:rsid w:val="00670AF7"/>
    <w:rsid w:val="00670B19"/>
    <w:rsid w:val="00670BBE"/>
    <w:rsid w:val="0067107D"/>
    <w:rsid w:val="006713E4"/>
    <w:rsid w:val="0067140E"/>
    <w:rsid w:val="0067165D"/>
    <w:rsid w:val="00672A37"/>
    <w:rsid w:val="00672AFE"/>
    <w:rsid w:val="00672F54"/>
    <w:rsid w:val="00673A86"/>
    <w:rsid w:val="00673BFE"/>
    <w:rsid w:val="006745FA"/>
    <w:rsid w:val="00674A02"/>
    <w:rsid w:val="00674C3A"/>
    <w:rsid w:val="0067503C"/>
    <w:rsid w:val="00675441"/>
    <w:rsid w:val="0067583A"/>
    <w:rsid w:val="00675B7D"/>
    <w:rsid w:val="006763DD"/>
    <w:rsid w:val="00676A0C"/>
    <w:rsid w:val="00677BD9"/>
    <w:rsid w:val="00680798"/>
    <w:rsid w:val="00680839"/>
    <w:rsid w:val="00680C9B"/>
    <w:rsid w:val="00680D3D"/>
    <w:rsid w:val="00681268"/>
    <w:rsid w:val="00681B39"/>
    <w:rsid w:val="00681BAA"/>
    <w:rsid w:val="00681EF4"/>
    <w:rsid w:val="006827FF"/>
    <w:rsid w:val="006829E8"/>
    <w:rsid w:val="00682BCB"/>
    <w:rsid w:val="00682F3E"/>
    <w:rsid w:val="006831DA"/>
    <w:rsid w:val="006836EB"/>
    <w:rsid w:val="00683CE3"/>
    <w:rsid w:val="00683E80"/>
    <w:rsid w:val="00684205"/>
    <w:rsid w:val="006845E7"/>
    <w:rsid w:val="006848C7"/>
    <w:rsid w:val="00685FCD"/>
    <w:rsid w:val="00686C29"/>
    <w:rsid w:val="00690A43"/>
    <w:rsid w:val="006915EB"/>
    <w:rsid w:val="00691D1C"/>
    <w:rsid w:val="00692841"/>
    <w:rsid w:val="00692ABD"/>
    <w:rsid w:val="00693891"/>
    <w:rsid w:val="00694347"/>
    <w:rsid w:val="00694388"/>
    <w:rsid w:val="00695063"/>
    <w:rsid w:val="00695807"/>
    <w:rsid w:val="006960CD"/>
    <w:rsid w:val="006966F8"/>
    <w:rsid w:val="00696AE0"/>
    <w:rsid w:val="00696C3F"/>
    <w:rsid w:val="00697E74"/>
    <w:rsid w:val="006A149D"/>
    <w:rsid w:val="006A156E"/>
    <w:rsid w:val="006A30EA"/>
    <w:rsid w:val="006A4076"/>
    <w:rsid w:val="006A441B"/>
    <w:rsid w:val="006A45E0"/>
    <w:rsid w:val="006A4893"/>
    <w:rsid w:val="006A4E36"/>
    <w:rsid w:val="006A534F"/>
    <w:rsid w:val="006A53E2"/>
    <w:rsid w:val="006A5698"/>
    <w:rsid w:val="006A6C8C"/>
    <w:rsid w:val="006A740E"/>
    <w:rsid w:val="006A775E"/>
    <w:rsid w:val="006A7A97"/>
    <w:rsid w:val="006A7B76"/>
    <w:rsid w:val="006A7DA3"/>
    <w:rsid w:val="006A7DB6"/>
    <w:rsid w:val="006B068A"/>
    <w:rsid w:val="006B0DFB"/>
    <w:rsid w:val="006B1B2D"/>
    <w:rsid w:val="006B2166"/>
    <w:rsid w:val="006B2620"/>
    <w:rsid w:val="006B38C3"/>
    <w:rsid w:val="006B45E4"/>
    <w:rsid w:val="006B631D"/>
    <w:rsid w:val="006B647C"/>
    <w:rsid w:val="006B762D"/>
    <w:rsid w:val="006B7CFD"/>
    <w:rsid w:val="006B7EAF"/>
    <w:rsid w:val="006C0F53"/>
    <w:rsid w:val="006C10E2"/>
    <w:rsid w:val="006C24A0"/>
    <w:rsid w:val="006C2F7B"/>
    <w:rsid w:val="006C4680"/>
    <w:rsid w:val="006C57E0"/>
    <w:rsid w:val="006C58F2"/>
    <w:rsid w:val="006C6077"/>
    <w:rsid w:val="006C6119"/>
    <w:rsid w:val="006C6A50"/>
    <w:rsid w:val="006C7184"/>
    <w:rsid w:val="006D0188"/>
    <w:rsid w:val="006D0775"/>
    <w:rsid w:val="006D0776"/>
    <w:rsid w:val="006D15FD"/>
    <w:rsid w:val="006D2BE3"/>
    <w:rsid w:val="006D40B1"/>
    <w:rsid w:val="006D4645"/>
    <w:rsid w:val="006D5017"/>
    <w:rsid w:val="006D5416"/>
    <w:rsid w:val="006D5D7F"/>
    <w:rsid w:val="006D63AC"/>
    <w:rsid w:val="006D720A"/>
    <w:rsid w:val="006D78F0"/>
    <w:rsid w:val="006D7991"/>
    <w:rsid w:val="006E0C55"/>
    <w:rsid w:val="006E1BAF"/>
    <w:rsid w:val="006E247B"/>
    <w:rsid w:val="006E2853"/>
    <w:rsid w:val="006E2A11"/>
    <w:rsid w:val="006E2B2D"/>
    <w:rsid w:val="006E2C0C"/>
    <w:rsid w:val="006E5640"/>
    <w:rsid w:val="006E5A51"/>
    <w:rsid w:val="006E615F"/>
    <w:rsid w:val="006E639E"/>
    <w:rsid w:val="006E6B2A"/>
    <w:rsid w:val="006E6C0C"/>
    <w:rsid w:val="006E7364"/>
    <w:rsid w:val="006E7477"/>
    <w:rsid w:val="006E77FA"/>
    <w:rsid w:val="006E7A12"/>
    <w:rsid w:val="006F041C"/>
    <w:rsid w:val="006F047A"/>
    <w:rsid w:val="006F1866"/>
    <w:rsid w:val="006F1B43"/>
    <w:rsid w:val="006F24A6"/>
    <w:rsid w:val="006F2F9C"/>
    <w:rsid w:val="006F3BEE"/>
    <w:rsid w:val="006F4C92"/>
    <w:rsid w:val="006F6768"/>
    <w:rsid w:val="006F6D39"/>
    <w:rsid w:val="006F76D5"/>
    <w:rsid w:val="006F7E83"/>
    <w:rsid w:val="006F7F0A"/>
    <w:rsid w:val="006F7F63"/>
    <w:rsid w:val="00700922"/>
    <w:rsid w:val="00701127"/>
    <w:rsid w:val="0070137C"/>
    <w:rsid w:val="007013AB"/>
    <w:rsid w:val="00701566"/>
    <w:rsid w:val="00701870"/>
    <w:rsid w:val="007019D9"/>
    <w:rsid w:val="00701FCC"/>
    <w:rsid w:val="00702724"/>
    <w:rsid w:val="00703084"/>
    <w:rsid w:val="007033F6"/>
    <w:rsid w:val="00704644"/>
    <w:rsid w:val="00704CDF"/>
    <w:rsid w:val="00704E31"/>
    <w:rsid w:val="00705F09"/>
    <w:rsid w:val="0070664D"/>
    <w:rsid w:val="0070691B"/>
    <w:rsid w:val="00706B93"/>
    <w:rsid w:val="00707273"/>
    <w:rsid w:val="00707A35"/>
    <w:rsid w:val="00707A7E"/>
    <w:rsid w:val="007102A6"/>
    <w:rsid w:val="0071163D"/>
    <w:rsid w:val="00712B93"/>
    <w:rsid w:val="00713CCA"/>
    <w:rsid w:val="00713E49"/>
    <w:rsid w:val="00713E98"/>
    <w:rsid w:val="007144E8"/>
    <w:rsid w:val="00714C8D"/>
    <w:rsid w:val="00714F2B"/>
    <w:rsid w:val="00716369"/>
    <w:rsid w:val="0072081F"/>
    <w:rsid w:val="00721FFE"/>
    <w:rsid w:val="00722962"/>
    <w:rsid w:val="0072311C"/>
    <w:rsid w:val="007237AE"/>
    <w:rsid w:val="00724A3A"/>
    <w:rsid w:val="0072633D"/>
    <w:rsid w:val="00726593"/>
    <w:rsid w:val="00726857"/>
    <w:rsid w:val="00726D51"/>
    <w:rsid w:val="007271A5"/>
    <w:rsid w:val="00727362"/>
    <w:rsid w:val="00727718"/>
    <w:rsid w:val="00727972"/>
    <w:rsid w:val="007279B4"/>
    <w:rsid w:val="007316D0"/>
    <w:rsid w:val="00731E2C"/>
    <w:rsid w:val="00732C82"/>
    <w:rsid w:val="007336C0"/>
    <w:rsid w:val="00734256"/>
    <w:rsid w:val="00735443"/>
    <w:rsid w:val="007364EA"/>
    <w:rsid w:val="007364FC"/>
    <w:rsid w:val="007377E6"/>
    <w:rsid w:val="007378F0"/>
    <w:rsid w:val="00737D9D"/>
    <w:rsid w:val="00737DB4"/>
    <w:rsid w:val="0074004B"/>
    <w:rsid w:val="00740318"/>
    <w:rsid w:val="007406B4"/>
    <w:rsid w:val="00740B1B"/>
    <w:rsid w:val="007412E9"/>
    <w:rsid w:val="00741EFC"/>
    <w:rsid w:val="00742684"/>
    <w:rsid w:val="007433E4"/>
    <w:rsid w:val="00743A9A"/>
    <w:rsid w:val="00744960"/>
    <w:rsid w:val="007449D0"/>
    <w:rsid w:val="00744B17"/>
    <w:rsid w:val="00745475"/>
    <w:rsid w:val="00745AB6"/>
    <w:rsid w:val="00745CBD"/>
    <w:rsid w:val="007460B8"/>
    <w:rsid w:val="007464CD"/>
    <w:rsid w:val="00746B4F"/>
    <w:rsid w:val="00747A51"/>
    <w:rsid w:val="00747F8B"/>
    <w:rsid w:val="0075087F"/>
    <w:rsid w:val="00751706"/>
    <w:rsid w:val="00751B3F"/>
    <w:rsid w:val="00752403"/>
    <w:rsid w:val="00752946"/>
    <w:rsid w:val="0075387D"/>
    <w:rsid w:val="00753C4F"/>
    <w:rsid w:val="00754130"/>
    <w:rsid w:val="00754482"/>
    <w:rsid w:val="00754568"/>
    <w:rsid w:val="007561E3"/>
    <w:rsid w:val="0075620E"/>
    <w:rsid w:val="00756395"/>
    <w:rsid w:val="00756E2B"/>
    <w:rsid w:val="00760AB4"/>
    <w:rsid w:val="0076118F"/>
    <w:rsid w:val="007611B0"/>
    <w:rsid w:val="007614EC"/>
    <w:rsid w:val="007619D5"/>
    <w:rsid w:val="00761E41"/>
    <w:rsid w:val="00761EF6"/>
    <w:rsid w:val="007621D2"/>
    <w:rsid w:val="00762602"/>
    <w:rsid w:val="00762F2D"/>
    <w:rsid w:val="00763568"/>
    <w:rsid w:val="00763DE3"/>
    <w:rsid w:val="00764EA9"/>
    <w:rsid w:val="0076717D"/>
    <w:rsid w:val="007671BB"/>
    <w:rsid w:val="007674C8"/>
    <w:rsid w:val="00767BCF"/>
    <w:rsid w:val="0077014D"/>
    <w:rsid w:val="007708DB"/>
    <w:rsid w:val="00771906"/>
    <w:rsid w:val="0077285C"/>
    <w:rsid w:val="007732D2"/>
    <w:rsid w:val="00773335"/>
    <w:rsid w:val="007734A2"/>
    <w:rsid w:val="007740EB"/>
    <w:rsid w:val="00774460"/>
    <w:rsid w:val="00774B72"/>
    <w:rsid w:val="00774E53"/>
    <w:rsid w:val="00775229"/>
    <w:rsid w:val="00775577"/>
    <w:rsid w:val="007755AD"/>
    <w:rsid w:val="007767DC"/>
    <w:rsid w:val="00776C5B"/>
    <w:rsid w:val="00780427"/>
    <w:rsid w:val="00780B22"/>
    <w:rsid w:val="00781412"/>
    <w:rsid w:val="00781F32"/>
    <w:rsid w:val="00783181"/>
    <w:rsid w:val="00783E89"/>
    <w:rsid w:val="00784053"/>
    <w:rsid w:val="00784312"/>
    <w:rsid w:val="0078453C"/>
    <w:rsid w:val="00784ADF"/>
    <w:rsid w:val="00785000"/>
    <w:rsid w:val="007853F5"/>
    <w:rsid w:val="00785578"/>
    <w:rsid w:val="00785D1A"/>
    <w:rsid w:val="00785EBA"/>
    <w:rsid w:val="00786F95"/>
    <w:rsid w:val="00787174"/>
    <w:rsid w:val="00787702"/>
    <w:rsid w:val="00790CB2"/>
    <w:rsid w:val="007911C9"/>
    <w:rsid w:val="0079165A"/>
    <w:rsid w:val="00792660"/>
    <w:rsid w:val="00792E03"/>
    <w:rsid w:val="00793567"/>
    <w:rsid w:val="00793D7F"/>
    <w:rsid w:val="00794365"/>
    <w:rsid w:val="00794B05"/>
    <w:rsid w:val="00795215"/>
    <w:rsid w:val="0079776D"/>
    <w:rsid w:val="007977AA"/>
    <w:rsid w:val="00797813"/>
    <w:rsid w:val="00797882"/>
    <w:rsid w:val="007A03C4"/>
    <w:rsid w:val="007A0696"/>
    <w:rsid w:val="007A0BF0"/>
    <w:rsid w:val="007A0D07"/>
    <w:rsid w:val="007A0E0F"/>
    <w:rsid w:val="007A1371"/>
    <w:rsid w:val="007A13E0"/>
    <w:rsid w:val="007A1BAF"/>
    <w:rsid w:val="007A23FB"/>
    <w:rsid w:val="007A27EC"/>
    <w:rsid w:val="007A37D9"/>
    <w:rsid w:val="007A3A50"/>
    <w:rsid w:val="007A3DEB"/>
    <w:rsid w:val="007A455B"/>
    <w:rsid w:val="007A48E6"/>
    <w:rsid w:val="007A4F13"/>
    <w:rsid w:val="007A562A"/>
    <w:rsid w:val="007A5D19"/>
    <w:rsid w:val="007A5EE2"/>
    <w:rsid w:val="007A6CE3"/>
    <w:rsid w:val="007A6D8E"/>
    <w:rsid w:val="007A7911"/>
    <w:rsid w:val="007B0C7C"/>
    <w:rsid w:val="007B1938"/>
    <w:rsid w:val="007B244A"/>
    <w:rsid w:val="007B24DD"/>
    <w:rsid w:val="007B2873"/>
    <w:rsid w:val="007B2A43"/>
    <w:rsid w:val="007B3127"/>
    <w:rsid w:val="007B31DD"/>
    <w:rsid w:val="007B3A0B"/>
    <w:rsid w:val="007B4D73"/>
    <w:rsid w:val="007B58B1"/>
    <w:rsid w:val="007B5A75"/>
    <w:rsid w:val="007B5ACA"/>
    <w:rsid w:val="007B5B87"/>
    <w:rsid w:val="007B6B06"/>
    <w:rsid w:val="007B71D9"/>
    <w:rsid w:val="007B77B3"/>
    <w:rsid w:val="007B781E"/>
    <w:rsid w:val="007B7AC2"/>
    <w:rsid w:val="007C01A9"/>
    <w:rsid w:val="007C0763"/>
    <w:rsid w:val="007C1936"/>
    <w:rsid w:val="007C20FF"/>
    <w:rsid w:val="007C231E"/>
    <w:rsid w:val="007C248B"/>
    <w:rsid w:val="007C261F"/>
    <w:rsid w:val="007C2A0D"/>
    <w:rsid w:val="007C2A6E"/>
    <w:rsid w:val="007C2FE1"/>
    <w:rsid w:val="007C3587"/>
    <w:rsid w:val="007C35C9"/>
    <w:rsid w:val="007C3E27"/>
    <w:rsid w:val="007C3FAA"/>
    <w:rsid w:val="007C47DC"/>
    <w:rsid w:val="007C662C"/>
    <w:rsid w:val="007C71E0"/>
    <w:rsid w:val="007C7503"/>
    <w:rsid w:val="007D0A0D"/>
    <w:rsid w:val="007D0EBB"/>
    <w:rsid w:val="007D2608"/>
    <w:rsid w:val="007D2B8C"/>
    <w:rsid w:val="007D307B"/>
    <w:rsid w:val="007D30D1"/>
    <w:rsid w:val="007D3270"/>
    <w:rsid w:val="007D35D1"/>
    <w:rsid w:val="007D3C71"/>
    <w:rsid w:val="007D4C62"/>
    <w:rsid w:val="007D4FFD"/>
    <w:rsid w:val="007D5E5A"/>
    <w:rsid w:val="007D5F17"/>
    <w:rsid w:val="007D6CEC"/>
    <w:rsid w:val="007D7399"/>
    <w:rsid w:val="007D78F5"/>
    <w:rsid w:val="007D7B0D"/>
    <w:rsid w:val="007D7BCF"/>
    <w:rsid w:val="007E0E9A"/>
    <w:rsid w:val="007E0EA5"/>
    <w:rsid w:val="007E1032"/>
    <w:rsid w:val="007E1674"/>
    <w:rsid w:val="007E173E"/>
    <w:rsid w:val="007E2DD7"/>
    <w:rsid w:val="007E316B"/>
    <w:rsid w:val="007E4AB7"/>
    <w:rsid w:val="007E526C"/>
    <w:rsid w:val="007E5B9E"/>
    <w:rsid w:val="007E5E4B"/>
    <w:rsid w:val="007E653F"/>
    <w:rsid w:val="007E68FC"/>
    <w:rsid w:val="007E6B44"/>
    <w:rsid w:val="007E7637"/>
    <w:rsid w:val="007F001F"/>
    <w:rsid w:val="007F05B6"/>
    <w:rsid w:val="007F071E"/>
    <w:rsid w:val="007F136B"/>
    <w:rsid w:val="007F2B3B"/>
    <w:rsid w:val="007F3B9E"/>
    <w:rsid w:val="007F4CB3"/>
    <w:rsid w:val="007F4CE3"/>
    <w:rsid w:val="007F4E6C"/>
    <w:rsid w:val="007F4EFF"/>
    <w:rsid w:val="007F5122"/>
    <w:rsid w:val="007F51E5"/>
    <w:rsid w:val="007F55DF"/>
    <w:rsid w:val="007F5B7C"/>
    <w:rsid w:val="007F5D5B"/>
    <w:rsid w:val="007F664D"/>
    <w:rsid w:val="007F68DD"/>
    <w:rsid w:val="007F73C7"/>
    <w:rsid w:val="007F78ED"/>
    <w:rsid w:val="008008BD"/>
    <w:rsid w:val="00801071"/>
    <w:rsid w:val="00801286"/>
    <w:rsid w:val="0080149B"/>
    <w:rsid w:val="00802623"/>
    <w:rsid w:val="0080288B"/>
    <w:rsid w:val="008029A7"/>
    <w:rsid w:val="00803604"/>
    <w:rsid w:val="0080399F"/>
    <w:rsid w:val="00803AFD"/>
    <w:rsid w:val="00805AE9"/>
    <w:rsid w:val="00805E3A"/>
    <w:rsid w:val="00806961"/>
    <w:rsid w:val="00807E99"/>
    <w:rsid w:val="00810597"/>
    <w:rsid w:val="0081097F"/>
    <w:rsid w:val="008110EF"/>
    <w:rsid w:val="00811C65"/>
    <w:rsid w:val="00812D1C"/>
    <w:rsid w:val="00812E01"/>
    <w:rsid w:val="008131C7"/>
    <w:rsid w:val="008132FB"/>
    <w:rsid w:val="00813CAE"/>
    <w:rsid w:val="0081415A"/>
    <w:rsid w:val="0081423B"/>
    <w:rsid w:val="0081524D"/>
    <w:rsid w:val="00815558"/>
    <w:rsid w:val="00815C61"/>
    <w:rsid w:val="00815DBE"/>
    <w:rsid w:val="008168E1"/>
    <w:rsid w:val="00816E2F"/>
    <w:rsid w:val="008171A4"/>
    <w:rsid w:val="008171C5"/>
    <w:rsid w:val="0081784D"/>
    <w:rsid w:val="0082053F"/>
    <w:rsid w:val="00820EA9"/>
    <w:rsid w:val="00820FBA"/>
    <w:rsid w:val="008212A3"/>
    <w:rsid w:val="0082164D"/>
    <w:rsid w:val="0082179D"/>
    <w:rsid w:val="008218EC"/>
    <w:rsid w:val="008222D0"/>
    <w:rsid w:val="0082311D"/>
    <w:rsid w:val="00823179"/>
    <w:rsid w:val="00823247"/>
    <w:rsid w:val="0082348D"/>
    <w:rsid w:val="00823B72"/>
    <w:rsid w:val="0082419B"/>
    <w:rsid w:val="00824667"/>
    <w:rsid w:val="0082481C"/>
    <w:rsid w:val="008249FC"/>
    <w:rsid w:val="00824DA1"/>
    <w:rsid w:val="008258CC"/>
    <w:rsid w:val="00825A45"/>
    <w:rsid w:val="00826669"/>
    <w:rsid w:val="00827656"/>
    <w:rsid w:val="00827672"/>
    <w:rsid w:val="008309C8"/>
    <w:rsid w:val="008313BA"/>
    <w:rsid w:val="00831E60"/>
    <w:rsid w:val="008320CD"/>
    <w:rsid w:val="008322A0"/>
    <w:rsid w:val="0083343B"/>
    <w:rsid w:val="0083350B"/>
    <w:rsid w:val="00834200"/>
    <w:rsid w:val="008344DD"/>
    <w:rsid w:val="00834531"/>
    <w:rsid w:val="00834768"/>
    <w:rsid w:val="00834FC6"/>
    <w:rsid w:val="00835169"/>
    <w:rsid w:val="00836059"/>
    <w:rsid w:val="008367BD"/>
    <w:rsid w:val="00837D23"/>
    <w:rsid w:val="008403CA"/>
    <w:rsid w:val="008406B8"/>
    <w:rsid w:val="00840CE8"/>
    <w:rsid w:val="00840D14"/>
    <w:rsid w:val="008412AB"/>
    <w:rsid w:val="00841FB6"/>
    <w:rsid w:val="00842331"/>
    <w:rsid w:val="00842EE8"/>
    <w:rsid w:val="00843912"/>
    <w:rsid w:val="00843C5B"/>
    <w:rsid w:val="0084404E"/>
    <w:rsid w:val="0084458A"/>
    <w:rsid w:val="00845060"/>
    <w:rsid w:val="0084533A"/>
    <w:rsid w:val="0084554D"/>
    <w:rsid w:val="00845632"/>
    <w:rsid w:val="0084590A"/>
    <w:rsid w:val="00845C59"/>
    <w:rsid w:val="00846146"/>
    <w:rsid w:val="00847072"/>
    <w:rsid w:val="0084747F"/>
    <w:rsid w:val="00847802"/>
    <w:rsid w:val="00850AE5"/>
    <w:rsid w:val="00850C2E"/>
    <w:rsid w:val="00850EE8"/>
    <w:rsid w:val="008514B9"/>
    <w:rsid w:val="00851572"/>
    <w:rsid w:val="008519F2"/>
    <w:rsid w:val="00851B12"/>
    <w:rsid w:val="00851C15"/>
    <w:rsid w:val="00851D8B"/>
    <w:rsid w:val="00852A17"/>
    <w:rsid w:val="008547CD"/>
    <w:rsid w:val="00854F69"/>
    <w:rsid w:val="00855930"/>
    <w:rsid w:val="0085610F"/>
    <w:rsid w:val="00857573"/>
    <w:rsid w:val="008576C6"/>
    <w:rsid w:val="0086187C"/>
    <w:rsid w:val="008619B4"/>
    <w:rsid w:val="00861B93"/>
    <w:rsid w:val="008623DB"/>
    <w:rsid w:val="008624CC"/>
    <w:rsid w:val="00862663"/>
    <w:rsid w:val="0086372E"/>
    <w:rsid w:val="00866A01"/>
    <w:rsid w:val="00866A8D"/>
    <w:rsid w:val="0086783E"/>
    <w:rsid w:val="00867AC7"/>
    <w:rsid w:val="00871AA6"/>
    <w:rsid w:val="008729A2"/>
    <w:rsid w:val="00872F12"/>
    <w:rsid w:val="00873015"/>
    <w:rsid w:val="00873394"/>
    <w:rsid w:val="008738DE"/>
    <w:rsid w:val="00873B5E"/>
    <w:rsid w:val="00874C3F"/>
    <w:rsid w:val="00875D9E"/>
    <w:rsid w:val="00877EED"/>
    <w:rsid w:val="008800E0"/>
    <w:rsid w:val="00880FD5"/>
    <w:rsid w:val="00881D16"/>
    <w:rsid w:val="008828DD"/>
    <w:rsid w:val="008841BC"/>
    <w:rsid w:val="00884EA3"/>
    <w:rsid w:val="00885264"/>
    <w:rsid w:val="00886655"/>
    <w:rsid w:val="00886829"/>
    <w:rsid w:val="00887673"/>
    <w:rsid w:val="00891058"/>
    <w:rsid w:val="008917EB"/>
    <w:rsid w:val="008918BC"/>
    <w:rsid w:val="00891E43"/>
    <w:rsid w:val="008929CE"/>
    <w:rsid w:val="00892B7C"/>
    <w:rsid w:val="00892CE6"/>
    <w:rsid w:val="00895D9C"/>
    <w:rsid w:val="00895E2D"/>
    <w:rsid w:val="008960BC"/>
    <w:rsid w:val="0089651F"/>
    <w:rsid w:val="008966F9"/>
    <w:rsid w:val="00896B07"/>
    <w:rsid w:val="00897645"/>
    <w:rsid w:val="0089780B"/>
    <w:rsid w:val="00897D75"/>
    <w:rsid w:val="00897E30"/>
    <w:rsid w:val="008A03AF"/>
    <w:rsid w:val="008A0880"/>
    <w:rsid w:val="008A1190"/>
    <w:rsid w:val="008A2690"/>
    <w:rsid w:val="008A26FD"/>
    <w:rsid w:val="008A3428"/>
    <w:rsid w:val="008A3465"/>
    <w:rsid w:val="008A35B6"/>
    <w:rsid w:val="008A3ADB"/>
    <w:rsid w:val="008A3C78"/>
    <w:rsid w:val="008A3D7A"/>
    <w:rsid w:val="008A5B57"/>
    <w:rsid w:val="008A624C"/>
    <w:rsid w:val="008A6661"/>
    <w:rsid w:val="008A759E"/>
    <w:rsid w:val="008A7707"/>
    <w:rsid w:val="008B0905"/>
    <w:rsid w:val="008B1043"/>
    <w:rsid w:val="008B15C9"/>
    <w:rsid w:val="008B2056"/>
    <w:rsid w:val="008B2154"/>
    <w:rsid w:val="008B25B7"/>
    <w:rsid w:val="008B2784"/>
    <w:rsid w:val="008B2A7A"/>
    <w:rsid w:val="008B2DEE"/>
    <w:rsid w:val="008B302B"/>
    <w:rsid w:val="008B322A"/>
    <w:rsid w:val="008B39AD"/>
    <w:rsid w:val="008B3E62"/>
    <w:rsid w:val="008B49D5"/>
    <w:rsid w:val="008B4A64"/>
    <w:rsid w:val="008B4C42"/>
    <w:rsid w:val="008B4C80"/>
    <w:rsid w:val="008B5540"/>
    <w:rsid w:val="008B59FB"/>
    <w:rsid w:val="008B62EC"/>
    <w:rsid w:val="008B7759"/>
    <w:rsid w:val="008B78BD"/>
    <w:rsid w:val="008B7AC0"/>
    <w:rsid w:val="008C0F05"/>
    <w:rsid w:val="008C15CC"/>
    <w:rsid w:val="008C1860"/>
    <w:rsid w:val="008C1A16"/>
    <w:rsid w:val="008C2852"/>
    <w:rsid w:val="008C28F7"/>
    <w:rsid w:val="008C29C3"/>
    <w:rsid w:val="008C2D60"/>
    <w:rsid w:val="008C2F42"/>
    <w:rsid w:val="008C3B99"/>
    <w:rsid w:val="008C3C09"/>
    <w:rsid w:val="008C457E"/>
    <w:rsid w:val="008C4722"/>
    <w:rsid w:val="008C59CA"/>
    <w:rsid w:val="008C5DEA"/>
    <w:rsid w:val="008C64B0"/>
    <w:rsid w:val="008C666D"/>
    <w:rsid w:val="008C68FA"/>
    <w:rsid w:val="008C7E43"/>
    <w:rsid w:val="008D0015"/>
    <w:rsid w:val="008D04AF"/>
    <w:rsid w:val="008D0A74"/>
    <w:rsid w:val="008D0B61"/>
    <w:rsid w:val="008D0BAF"/>
    <w:rsid w:val="008D0FAB"/>
    <w:rsid w:val="008D123E"/>
    <w:rsid w:val="008D1E57"/>
    <w:rsid w:val="008D1E60"/>
    <w:rsid w:val="008D201D"/>
    <w:rsid w:val="008D215C"/>
    <w:rsid w:val="008D2771"/>
    <w:rsid w:val="008D2B5D"/>
    <w:rsid w:val="008D2CCF"/>
    <w:rsid w:val="008D3D13"/>
    <w:rsid w:val="008D3DE7"/>
    <w:rsid w:val="008D41CA"/>
    <w:rsid w:val="008D45DF"/>
    <w:rsid w:val="008D468C"/>
    <w:rsid w:val="008D58CA"/>
    <w:rsid w:val="008D5C26"/>
    <w:rsid w:val="008D5C9E"/>
    <w:rsid w:val="008D5D3F"/>
    <w:rsid w:val="008D5F2C"/>
    <w:rsid w:val="008D7A68"/>
    <w:rsid w:val="008D7F34"/>
    <w:rsid w:val="008E0172"/>
    <w:rsid w:val="008E0C02"/>
    <w:rsid w:val="008E15B2"/>
    <w:rsid w:val="008E161D"/>
    <w:rsid w:val="008E19F0"/>
    <w:rsid w:val="008E1A95"/>
    <w:rsid w:val="008E215E"/>
    <w:rsid w:val="008E226D"/>
    <w:rsid w:val="008E267A"/>
    <w:rsid w:val="008E2CAD"/>
    <w:rsid w:val="008E3750"/>
    <w:rsid w:val="008E3924"/>
    <w:rsid w:val="008E3B5C"/>
    <w:rsid w:val="008E3EDF"/>
    <w:rsid w:val="008E413B"/>
    <w:rsid w:val="008E4202"/>
    <w:rsid w:val="008E42DA"/>
    <w:rsid w:val="008E4676"/>
    <w:rsid w:val="008E5794"/>
    <w:rsid w:val="008E61D7"/>
    <w:rsid w:val="008E666A"/>
    <w:rsid w:val="008E688E"/>
    <w:rsid w:val="008E699B"/>
    <w:rsid w:val="008E6D36"/>
    <w:rsid w:val="008E7574"/>
    <w:rsid w:val="008E7955"/>
    <w:rsid w:val="008E7B39"/>
    <w:rsid w:val="008F006A"/>
    <w:rsid w:val="008F04A7"/>
    <w:rsid w:val="008F102B"/>
    <w:rsid w:val="008F124D"/>
    <w:rsid w:val="008F3164"/>
    <w:rsid w:val="008F3232"/>
    <w:rsid w:val="008F3A0C"/>
    <w:rsid w:val="008F3F9C"/>
    <w:rsid w:val="008F4BFD"/>
    <w:rsid w:val="008F619E"/>
    <w:rsid w:val="008F7B51"/>
    <w:rsid w:val="008F7B8F"/>
    <w:rsid w:val="009001A6"/>
    <w:rsid w:val="00900513"/>
    <w:rsid w:val="009007FF"/>
    <w:rsid w:val="0090277B"/>
    <w:rsid w:val="009028FD"/>
    <w:rsid w:val="009029E1"/>
    <w:rsid w:val="00902EB7"/>
    <w:rsid w:val="009033F6"/>
    <w:rsid w:val="009035B3"/>
    <w:rsid w:val="0090380F"/>
    <w:rsid w:val="0090404D"/>
    <w:rsid w:val="00904612"/>
    <w:rsid w:val="0090489C"/>
    <w:rsid w:val="00904EA9"/>
    <w:rsid w:val="00905AD7"/>
    <w:rsid w:val="00905CD3"/>
    <w:rsid w:val="00905E80"/>
    <w:rsid w:val="009065D3"/>
    <w:rsid w:val="00907013"/>
    <w:rsid w:val="0090748E"/>
    <w:rsid w:val="00907F41"/>
    <w:rsid w:val="009107B5"/>
    <w:rsid w:val="00910D3B"/>
    <w:rsid w:val="0091320E"/>
    <w:rsid w:val="0091393F"/>
    <w:rsid w:val="00914042"/>
    <w:rsid w:val="009149BA"/>
    <w:rsid w:val="00914DBA"/>
    <w:rsid w:val="00914F1D"/>
    <w:rsid w:val="009151F2"/>
    <w:rsid w:val="00915E0C"/>
    <w:rsid w:val="00916026"/>
    <w:rsid w:val="0091636F"/>
    <w:rsid w:val="00917684"/>
    <w:rsid w:val="00917726"/>
    <w:rsid w:val="00917861"/>
    <w:rsid w:val="00917CBE"/>
    <w:rsid w:val="00920194"/>
    <w:rsid w:val="00920B64"/>
    <w:rsid w:val="00920FAA"/>
    <w:rsid w:val="00921767"/>
    <w:rsid w:val="00921B64"/>
    <w:rsid w:val="009225C5"/>
    <w:rsid w:val="009244A9"/>
    <w:rsid w:val="00924556"/>
    <w:rsid w:val="0092538D"/>
    <w:rsid w:val="00925A97"/>
    <w:rsid w:val="00925ED7"/>
    <w:rsid w:val="009265D3"/>
    <w:rsid w:val="00926610"/>
    <w:rsid w:val="00926692"/>
    <w:rsid w:val="00926ACA"/>
    <w:rsid w:val="00931101"/>
    <w:rsid w:val="009315DA"/>
    <w:rsid w:val="009316E9"/>
    <w:rsid w:val="00931925"/>
    <w:rsid w:val="00932C59"/>
    <w:rsid w:val="009331C2"/>
    <w:rsid w:val="009333D1"/>
    <w:rsid w:val="00933577"/>
    <w:rsid w:val="0093408E"/>
    <w:rsid w:val="009346A5"/>
    <w:rsid w:val="00935B5D"/>
    <w:rsid w:val="00935E16"/>
    <w:rsid w:val="0093657A"/>
    <w:rsid w:val="00936607"/>
    <w:rsid w:val="009372DF"/>
    <w:rsid w:val="009409F1"/>
    <w:rsid w:val="00940FCE"/>
    <w:rsid w:val="009413CD"/>
    <w:rsid w:val="00941699"/>
    <w:rsid w:val="009422DC"/>
    <w:rsid w:val="00942784"/>
    <w:rsid w:val="00942AF0"/>
    <w:rsid w:val="00943C5F"/>
    <w:rsid w:val="0094424A"/>
    <w:rsid w:val="00944CC4"/>
    <w:rsid w:val="00945059"/>
    <w:rsid w:val="00945594"/>
    <w:rsid w:val="00945667"/>
    <w:rsid w:val="00945EC6"/>
    <w:rsid w:val="009460D3"/>
    <w:rsid w:val="009464CA"/>
    <w:rsid w:val="009465D7"/>
    <w:rsid w:val="0094661D"/>
    <w:rsid w:val="00946B46"/>
    <w:rsid w:val="0094701B"/>
    <w:rsid w:val="00947109"/>
    <w:rsid w:val="00947BFF"/>
    <w:rsid w:val="00947FBA"/>
    <w:rsid w:val="00950D48"/>
    <w:rsid w:val="00951814"/>
    <w:rsid w:val="00952396"/>
    <w:rsid w:val="0095260D"/>
    <w:rsid w:val="00952757"/>
    <w:rsid w:val="009529AD"/>
    <w:rsid w:val="00952D57"/>
    <w:rsid w:val="009530DD"/>
    <w:rsid w:val="009532A5"/>
    <w:rsid w:val="009533EE"/>
    <w:rsid w:val="00954232"/>
    <w:rsid w:val="009546C7"/>
    <w:rsid w:val="00954DE4"/>
    <w:rsid w:val="00955B84"/>
    <w:rsid w:val="0095604D"/>
    <w:rsid w:val="00956973"/>
    <w:rsid w:val="00956DD5"/>
    <w:rsid w:val="00957317"/>
    <w:rsid w:val="0095777C"/>
    <w:rsid w:val="00960185"/>
    <w:rsid w:val="00961A70"/>
    <w:rsid w:val="009622A5"/>
    <w:rsid w:val="00962538"/>
    <w:rsid w:val="009629BE"/>
    <w:rsid w:val="00962BF8"/>
    <w:rsid w:val="009633C7"/>
    <w:rsid w:val="00963462"/>
    <w:rsid w:val="00963815"/>
    <w:rsid w:val="00963A15"/>
    <w:rsid w:val="00963DAD"/>
    <w:rsid w:val="0096449E"/>
    <w:rsid w:val="00964971"/>
    <w:rsid w:val="00964B4E"/>
    <w:rsid w:val="009654A3"/>
    <w:rsid w:val="009665AE"/>
    <w:rsid w:val="00966633"/>
    <w:rsid w:val="00967139"/>
    <w:rsid w:val="00970540"/>
    <w:rsid w:val="0097056E"/>
    <w:rsid w:val="00971278"/>
    <w:rsid w:val="009747E3"/>
    <w:rsid w:val="00974E7D"/>
    <w:rsid w:val="00975970"/>
    <w:rsid w:val="00975A3F"/>
    <w:rsid w:val="00975A63"/>
    <w:rsid w:val="00975ABA"/>
    <w:rsid w:val="00975E84"/>
    <w:rsid w:val="0097686C"/>
    <w:rsid w:val="009769AB"/>
    <w:rsid w:val="00977DE8"/>
    <w:rsid w:val="009809A9"/>
    <w:rsid w:val="00980B87"/>
    <w:rsid w:val="009819D0"/>
    <w:rsid w:val="00981A83"/>
    <w:rsid w:val="00981F87"/>
    <w:rsid w:val="00982574"/>
    <w:rsid w:val="00982E70"/>
    <w:rsid w:val="00984109"/>
    <w:rsid w:val="00984670"/>
    <w:rsid w:val="0098518B"/>
    <w:rsid w:val="0098599C"/>
    <w:rsid w:val="009862CF"/>
    <w:rsid w:val="0098677D"/>
    <w:rsid w:val="00986938"/>
    <w:rsid w:val="0098772C"/>
    <w:rsid w:val="00987BBA"/>
    <w:rsid w:val="00987BC0"/>
    <w:rsid w:val="00987F94"/>
    <w:rsid w:val="009902CF"/>
    <w:rsid w:val="00990D4D"/>
    <w:rsid w:val="00991493"/>
    <w:rsid w:val="00991751"/>
    <w:rsid w:val="0099283C"/>
    <w:rsid w:val="00992BA4"/>
    <w:rsid w:val="00992D85"/>
    <w:rsid w:val="00993161"/>
    <w:rsid w:val="0099355F"/>
    <w:rsid w:val="009941B2"/>
    <w:rsid w:val="00994C58"/>
    <w:rsid w:val="00995120"/>
    <w:rsid w:val="009961A9"/>
    <w:rsid w:val="0099710B"/>
    <w:rsid w:val="00997C97"/>
    <w:rsid w:val="00997E31"/>
    <w:rsid w:val="009A023B"/>
    <w:rsid w:val="009A0A51"/>
    <w:rsid w:val="009A19C1"/>
    <w:rsid w:val="009A1ED0"/>
    <w:rsid w:val="009A229C"/>
    <w:rsid w:val="009A259E"/>
    <w:rsid w:val="009A5194"/>
    <w:rsid w:val="009A5748"/>
    <w:rsid w:val="009A5B44"/>
    <w:rsid w:val="009A6D35"/>
    <w:rsid w:val="009A6F1E"/>
    <w:rsid w:val="009A73BE"/>
    <w:rsid w:val="009A758F"/>
    <w:rsid w:val="009A790E"/>
    <w:rsid w:val="009B1BAC"/>
    <w:rsid w:val="009B1CF2"/>
    <w:rsid w:val="009B1FE8"/>
    <w:rsid w:val="009B227E"/>
    <w:rsid w:val="009B28BB"/>
    <w:rsid w:val="009B3D8E"/>
    <w:rsid w:val="009B40AE"/>
    <w:rsid w:val="009B47CB"/>
    <w:rsid w:val="009B6C61"/>
    <w:rsid w:val="009C0B08"/>
    <w:rsid w:val="009C0D6C"/>
    <w:rsid w:val="009C161F"/>
    <w:rsid w:val="009C2862"/>
    <w:rsid w:val="009C2EF2"/>
    <w:rsid w:val="009C2FF3"/>
    <w:rsid w:val="009C3384"/>
    <w:rsid w:val="009C42EE"/>
    <w:rsid w:val="009C4E0D"/>
    <w:rsid w:val="009C57B4"/>
    <w:rsid w:val="009C6C19"/>
    <w:rsid w:val="009D12C8"/>
    <w:rsid w:val="009D1735"/>
    <w:rsid w:val="009D2A40"/>
    <w:rsid w:val="009D2E66"/>
    <w:rsid w:val="009D3383"/>
    <w:rsid w:val="009D3CDE"/>
    <w:rsid w:val="009D4569"/>
    <w:rsid w:val="009D50E3"/>
    <w:rsid w:val="009D539D"/>
    <w:rsid w:val="009D6389"/>
    <w:rsid w:val="009D7EC4"/>
    <w:rsid w:val="009E08F2"/>
    <w:rsid w:val="009E1212"/>
    <w:rsid w:val="009E196B"/>
    <w:rsid w:val="009E3106"/>
    <w:rsid w:val="009E34A7"/>
    <w:rsid w:val="009E3988"/>
    <w:rsid w:val="009E3B8E"/>
    <w:rsid w:val="009E3E0A"/>
    <w:rsid w:val="009E41B8"/>
    <w:rsid w:val="009E4E97"/>
    <w:rsid w:val="009E565E"/>
    <w:rsid w:val="009E5936"/>
    <w:rsid w:val="009E6523"/>
    <w:rsid w:val="009E7B1D"/>
    <w:rsid w:val="009F0791"/>
    <w:rsid w:val="009F4BDC"/>
    <w:rsid w:val="009F5404"/>
    <w:rsid w:val="009F5A95"/>
    <w:rsid w:val="009F63AA"/>
    <w:rsid w:val="009F6AED"/>
    <w:rsid w:val="009F6C6C"/>
    <w:rsid w:val="009F7BDA"/>
    <w:rsid w:val="009F7E18"/>
    <w:rsid w:val="00A0058F"/>
    <w:rsid w:val="00A007A3"/>
    <w:rsid w:val="00A018B8"/>
    <w:rsid w:val="00A01FB8"/>
    <w:rsid w:val="00A02D8C"/>
    <w:rsid w:val="00A0380C"/>
    <w:rsid w:val="00A03A49"/>
    <w:rsid w:val="00A0473C"/>
    <w:rsid w:val="00A04B4F"/>
    <w:rsid w:val="00A04CE1"/>
    <w:rsid w:val="00A0542C"/>
    <w:rsid w:val="00A06108"/>
    <w:rsid w:val="00A0614D"/>
    <w:rsid w:val="00A066E4"/>
    <w:rsid w:val="00A068BF"/>
    <w:rsid w:val="00A06CF7"/>
    <w:rsid w:val="00A1030D"/>
    <w:rsid w:val="00A10365"/>
    <w:rsid w:val="00A10D40"/>
    <w:rsid w:val="00A10E35"/>
    <w:rsid w:val="00A10E83"/>
    <w:rsid w:val="00A11A84"/>
    <w:rsid w:val="00A125A0"/>
    <w:rsid w:val="00A133E4"/>
    <w:rsid w:val="00A136C0"/>
    <w:rsid w:val="00A1403B"/>
    <w:rsid w:val="00A1416A"/>
    <w:rsid w:val="00A151BB"/>
    <w:rsid w:val="00A16089"/>
    <w:rsid w:val="00A160BE"/>
    <w:rsid w:val="00A161FB"/>
    <w:rsid w:val="00A16C63"/>
    <w:rsid w:val="00A1750D"/>
    <w:rsid w:val="00A17B95"/>
    <w:rsid w:val="00A17D1C"/>
    <w:rsid w:val="00A20643"/>
    <w:rsid w:val="00A2366F"/>
    <w:rsid w:val="00A23710"/>
    <w:rsid w:val="00A24F3D"/>
    <w:rsid w:val="00A2521D"/>
    <w:rsid w:val="00A25A70"/>
    <w:rsid w:val="00A25ECE"/>
    <w:rsid w:val="00A26186"/>
    <w:rsid w:val="00A262B3"/>
    <w:rsid w:val="00A26450"/>
    <w:rsid w:val="00A26653"/>
    <w:rsid w:val="00A26CDA"/>
    <w:rsid w:val="00A26E4D"/>
    <w:rsid w:val="00A26EB8"/>
    <w:rsid w:val="00A31682"/>
    <w:rsid w:val="00A31785"/>
    <w:rsid w:val="00A32B66"/>
    <w:rsid w:val="00A32F31"/>
    <w:rsid w:val="00A335D7"/>
    <w:rsid w:val="00A336ED"/>
    <w:rsid w:val="00A33750"/>
    <w:rsid w:val="00A351EC"/>
    <w:rsid w:val="00A35F56"/>
    <w:rsid w:val="00A36047"/>
    <w:rsid w:val="00A3651D"/>
    <w:rsid w:val="00A36668"/>
    <w:rsid w:val="00A36909"/>
    <w:rsid w:val="00A375A0"/>
    <w:rsid w:val="00A375E9"/>
    <w:rsid w:val="00A4000C"/>
    <w:rsid w:val="00A40279"/>
    <w:rsid w:val="00A40481"/>
    <w:rsid w:val="00A40F33"/>
    <w:rsid w:val="00A418C3"/>
    <w:rsid w:val="00A41971"/>
    <w:rsid w:val="00A41C02"/>
    <w:rsid w:val="00A41DE4"/>
    <w:rsid w:val="00A4202B"/>
    <w:rsid w:val="00A4360D"/>
    <w:rsid w:val="00A43DA4"/>
    <w:rsid w:val="00A44416"/>
    <w:rsid w:val="00A44E5D"/>
    <w:rsid w:val="00A44FD8"/>
    <w:rsid w:val="00A454AA"/>
    <w:rsid w:val="00A4594A"/>
    <w:rsid w:val="00A4662F"/>
    <w:rsid w:val="00A472BA"/>
    <w:rsid w:val="00A47888"/>
    <w:rsid w:val="00A50222"/>
    <w:rsid w:val="00A504B5"/>
    <w:rsid w:val="00A50BD8"/>
    <w:rsid w:val="00A51A63"/>
    <w:rsid w:val="00A51CAF"/>
    <w:rsid w:val="00A5210C"/>
    <w:rsid w:val="00A5253D"/>
    <w:rsid w:val="00A52E8D"/>
    <w:rsid w:val="00A5437C"/>
    <w:rsid w:val="00A54A20"/>
    <w:rsid w:val="00A553C0"/>
    <w:rsid w:val="00A5568A"/>
    <w:rsid w:val="00A55D9F"/>
    <w:rsid w:val="00A56006"/>
    <w:rsid w:val="00A560EB"/>
    <w:rsid w:val="00A566C9"/>
    <w:rsid w:val="00A5797D"/>
    <w:rsid w:val="00A60190"/>
    <w:rsid w:val="00A6031F"/>
    <w:rsid w:val="00A6076F"/>
    <w:rsid w:val="00A60FB7"/>
    <w:rsid w:val="00A612AE"/>
    <w:rsid w:val="00A61308"/>
    <w:rsid w:val="00A6141D"/>
    <w:rsid w:val="00A61B7D"/>
    <w:rsid w:val="00A636A7"/>
    <w:rsid w:val="00A63F68"/>
    <w:rsid w:val="00A64069"/>
    <w:rsid w:val="00A666AB"/>
    <w:rsid w:val="00A666D7"/>
    <w:rsid w:val="00A67080"/>
    <w:rsid w:val="00A67932"/>
    <w:rsid w:val="00A67A54"/>
    <w:rsid w:val="00A67E9D"/>
    <w:rsid w:val="00A71D06"/>
    <w:rsid w:val="00A7222F"/>
    <w:rsid w:val="00A7394D"/>
    <w:rsid w:val="00A73A00"/>
    <w:rsid w:val="00A73E50"/>
    <w:rsid w:val="00A74152"/>
    <w:rsid w:val="00A7585B"/>
    <w:rsid w:val="00A75D62"/>
    <w:rsid w:val="00A769FB"/>
    <w:rsid w:val="00A76F72"/>
    <w:rsid w:val="00A77C0F"/>
    <w:rsid w:val="00A80531"/>
    <w:rsid w:val="00A80810"/>
    <w:rsid w:val="00A82197"/>
    <w:rsid w:val="00A830DE"/>
    <w:rsid w:val="00A83423"/>
    <w:rsid w:val="00A83934"/>
    <w:rsid w:val="00A84305"/>
    <w:rsid w:val="00A848DA"/>
    <w:rsid w:val="00A84A41"/>
    <w:rsid w:val="00A84B09"/>
    <w:rsid w:val="00A84D20"/>
    <w:rsid w:val="00A8524E"/>
    <w:rsid w:val="00A85421"/>
    <w:rsid w:val="00A854AD"/>
    <w:rsid w:val="00A86530"/>
    <w:rsid w:val="00A86D72"/>
    <w:rsid w:val="00A8782A"/>
    <w:rsid w:val="00A90197"/>
    <w:rsid w:val="00A902CC"/>
    <w:rsid w:val="00A9035F"/>
    <w:rsid w:val="00A90570"/>
    <w:rsid w:val="00A90A9C"/>
    <w:rsid w:val="00A90BAA"/>
    <w:rsid w:val="00A90BBE"/>
    <w:rsid w:val="00A91253"/>
    <w:rsid w:val="00A91542"/>
    <w:rsid w:val="00A91898"/>
    <w:rsid w:val="00A91916"/>
    <w:rsid w:val="00A91E08"/>
    <w:rsid w:val="00A92C00"/>
    <w:rsid w:val="00A9306D"/>
    <w:rsid w:val="00A940CB"/>
    <w:rsid w:val="00A9447A"/>
    <w:rsid w:val="00A9468F"/>
    <w:rsid w:val="00A94F93"/>
    <w:rsid w:val="00A95082"/>
    <w:rsid w:val="00A956B5"/>
    <w:rsid w:val="00A959CC"/>
    <w:rsid w:val="00A959D7"/>
    <w:rsid w:val="00A962C6"/>
    <w:rsid w:val="00A9631C"/>
    <w:rsid w:val="00A96565"/>
    <w:rsid w:val="00A965BA"/>
    <w:rsid w:val="00A96625"/>
    <w:rsid w:val="00A967C9"/>
    <w:rsid w:val="00A96E64"/>
    <w:rsid w:val="00A96F1B"/>
    <w:rsid w:val="00A9747C"/>
    <w:rsid w:val="00A97C03"/>
    <w:rsid w:val="00A97C5B"/>
    <w:rsid w:val="00A97D84"/>
    <w:rsid w:val="00AA0587"/>
    <w:rsid w:val="00AA05CB"/>
    <w:rsid w:val="00AA08E3"/>
    <w:rsid w:val="00AA0CFA"/>
    <w:rsid w:val="00AA10FE"/>
    <w:rsid w:val="00AA1CDD"/>
    <w:rsid w:val="00AA2A06"/>
    <w:rsid w:val="00AA2CE7"/>
    <w:rsid w:val="00AA35BA"/>
    <w:rsid w:val="00AA365E"/>
    <w:rsid w:val="00AA3B0A"/>
    <w:rsid w:val="00AA410F"/>
    <w:rsid w:val="00AA4268"/>
    <w:rsid w:val="00AA4518"/>
    <w:rsid w:val="00AA4857"/>
    <w:rsid w:val="00AA4EF6"/>
    <w:rsid w:val="00AA50DB"/>
    <w:rsid w:val="00AA5A72"/>
    <w:rsid w:val="00AA5B9F"/>
    <w:rsid w:val="00AA5E52"/>
    <w:rsid w:val="00AB05F8"/>
    <w:rsid w:val="00AB0BAA"/>
    <w:rsid w:val="00AB0FDB"/>
    <w:rsid w:val="00AB110D"/>
    <w:rsid w:val="00AB17B6"/>
    <w:rsid w:val="00AB267A"/>
    <w:rsid w:val="00AB284F"/>
    <w:rsid w:val="00AB29D1"/>
    <w:rsid w:val="00AB384A"/>
    <w:rsid w:val="00AB5DA3"/>
    <w:rsid w:val="00AB61C8"/>
    <w:rsid w:val="00AB68F0"/>
    <w:rsid w:val="00AB6B4F"/>
    <w:rsid w:val="00AB6DE9"/>
    <w:rsid w:val="00AB6F19"/>
    <w:rsid w:val="00AB7181"/>
    <w:rsid w:val="00AB7219"/>
    <w:rsid w:val="00AB7886"/>
    <w:rsid w:val="00AB7CF6"/>
    <w:rsid w:val="00AC057D"/>
    <w:rsid w:val="00AC0FF6"/>
    <w:rsid w:val="00AC204D"/>
    <w:rsid w:val="00AC2455"/>
    <w:rsid w:val="00AC2627"/>
    <w:rsid w:val="00AC2AA8"/>
    <w:rsid w:val="00AC2C97"/>
    <w:rsid w:val="00AC4856"/>
    <w:rsid w:val="00AC4E3D"/>
    <w:rsid w:val="00AC5DA6"/>
    <w:rsid w:val="00AC6340"/>
    <w:rsid w:val="00AC649A"/>
    <w:rsid w:val="00AC6DA7"/>
    <w:rsid w:val="00AC6E8A"/>
    <w:rsid w:val="00AD002E"/>
    <w:rsid w:val="00AD00BA"/>
    <w:rsid w:val="00AD15C8"/>
    <w:rsid w:val="00AD24B4"/>
    <w:rsid w:val="00AD34DA"/>
    <w:rsid w:val="00AD4B4E"/>
    <w:rsid w:val="00AD4D0A"/>
    <w:rsid w:val="00AD5702"/>
    <w:rsid w:val="00AD62AD"/>
    <w:rsid w:val="00AD7192"/>
    <w:rsid w:val="00AD750F"/>
    <w:rsid w:val="00AD7600"/>
    <w:rsid w:val="00AD7EB6"/>
    <w:rsid w:val="00AE0275"/>
    <w:rsid w:val="00AE0532"/>
    <w:rsid w:val="00AE06C7"/>
    <w:rsid w:val="00AE07DC"/>
    <w:rsid w:val="00AE0CE9"/>
    <w:rsid w:val="00AE132D"/>
    <w:rsid w:val="00AE1468"/>
    <w:rsid w:val="00AE2311"/>
    <w:rsid w:val="00AE2463"/>
    <w:rsid w:val="00AE28BE"/>
    <w:rsid w:val="00AE329C"/>
    <w:rsid w:val="00AE3DBF"/>
    <w:rsid w:val="00AE41BF"/>
    <w:rsid w:val="00AE466F"/>
    <w:rsid w:val="00AE5B51"/>
    <w:rsid w:val="00AE5E16"/>
    <w:rsid w:val="00AE5F27"/>
    <w:rsid w:val="00AE605E"/>
    <w:rsid w:val="00AE60BD"/>
    <w:rsid w:val="00AE68AE"/>
    <w:rsid w:val="00AE76E0"/>
    <w:rsid w:val="00AE76F0"/>
    <w:rsid w:val="00AE7DB5"/>
    <w:rsid w:val="00AE7E36"/>
    <w:rsid w:val="00AE7F1A"/>
    <w:rsid w:val="00AE7F95"/>
    <w:rsid w:val="00AF11EE"/>
    <w:rsid w:val="00AF1CDE"/>
    <w:rsid w:val="00AF205A"/>
    <w:rsid w:val="00AF3033"/>
    <w:rsid w:val="00AF3BAB"/>
    <w:rsid w:val="00AF42EC"/>
    <w:rsid w:val="00AF45AA"/>
    <w:rsid w:val="00AF4B11"/>
    <w:rsid w:val="00AF4E46"/>
    <w:rsid w:val="00AF5E8F"/>
    <w:rsid w:val="00AF5F54"/>
    <w:rsid w:val="00AF61EC"/>
    <w:rsid w:val="00AF6FA6"/>
    <w:rsid w:val="00AF7A59"/>
    <w:rsid w:val="00AF7FB8"/>
    <w:rsid w:val="00B00476"/>
    <w:rsid w:val="00B00568"/>
    <w:rsid w:val="00B00A88"/>
    <w:rsid w:val="00B018E1"/>
    <w:rsid w:val="00B01FFE"/>
    <w:rsid w:val="00B024B4"/>
    <w:rsid w:val="00B0367F"/>
    <w:rsid w:val="00B03D58"/>
    <w:rsid w:val="00B05F18"/>
    <w:rsid w:val="00B0677F"/>
    <w:rsid w:val="00B0683B"/>
    <w:rsid w:val="00B07563"/>
    <w:rsid w:val="00B1005E"/>
    <w:rsid w:val="00B10403"/>
    <w:rsid w:val="00B111DB"/>
    <w:rsid w:val="00B1204D"/>
    <w:rsid w:val="00B12CC8"/>
    <w:rsid w:val="00B13AE6"/>
    <w:rsid w:val="00B13F0C"/>
    <w:rsid w:val="00B14462"/>
    <w:rsid w:val="00B14DDD"/>
    <w:rsid w:val="00B152E3"/>
    <w:rsid w:val="00B15568"/>
    <w:rsid w:val="00B1596A"/>
    <w:rsid w:val="00B15E49"/>
    <w:rsid w:val="00B17084"/>
    <w:rsid w:val="00B17899"/>
    <w:rsid w:val="00B204D0"/>
    <w:rsid w:val="00B2078E"/>
    <w:rsid w:val="00B211C0"/>
    <w:rsid w:val="00B212CC"/>
    <w:rsid w:val="00B220F3"/>
    <w:rsid w:val="00B2219A"/>
    <w:rsid w:val="00B225FC"/>
    <w:rsid w:val="00B2287F"/>
    <w:rsid w:val="00B22F54"/>
    <w:rsid w:val="00B231F9"/>
    <w:rsid w:val="00B2321C"/>
    <w:rsid w:val="00B23C6D"/>
    <w:rsid w:val="00B257D0"/>
    <w:rsid w:val="00B2583C"/>
    <w:rsid w:val="00B25D08"/>
    <w:rsid w:val="00B27824"/>
    <w:rsid w:val="00B30626"/>
    <w:rsid w:val="00B3088E"/>
    <w:rsid w:val="00B30E84"/>
    <w:rsid w:val="00B313FB"/>
    <w:rsid w:val="00B31830"/>
    <w:rsid w:val="00B31A26"/>
    <w:rsid w:val="00B31D30"/>
    <w:rsid w:val="00B3445A"/>
    <w:rsid w:val="00B34D78"/>
    <w:rsid w:val="00B34FBA"/>
    <w:rsid w:val="00B35661"/>
    <w:rsid w:val="00B35AD1"/>
    <w:rsid w:val="00B35D68"/>
    <w:rsid w:val="00B36A12"/>
    <w:rsid w:val="00B36EA0"/>
    <w:rsid w:val="00B37891"/>
    <w:rsid w:val="00B40040"/>
    <w:rsid w:val="00B402C2"/>
    <w:rsid w:val="00B4144D"/>
    <w:rsid w:val="00B433DC"/>
    <w:rsid w:val="00B43606"/>
    <w:rsid w:val="00B45286"/>
    <w:rsid w:val="00B45298"/>
    <w:rsid w:val="00B4558D"/>
    <w:rsid w:val="00B464F3"/>
    <w:rsid w:val="00B465C7"/>
    <w:rsid w:val="00B46B46"/>
    <w:rsid w:val="00B47EE8"/>
    <w:rsid w:val="00B5049C"/>
    <w:rsid w:val="00B508A1"/>
    <w:rsid w:val="00B50B73"/>
    <w:rsid w:val="00B50BAD"/>
    <w:rsid w:val="00B517DA"/>
    <w:rsid w:val="00B51BBC"/>
    <w:rsid w:val="00B52533"/>
    <w:rsid w:val="00B52548"/>
    <w:rsid w:val="00B52E23"/>
    <w:rsid w:val="00B533D0"/>
    <w:rsid w:val="00B53884"/>
    <w:rsid w:val="00B53A34"/>
    <w:rsid w:val="00B53E95"/>
    <w:rsid w:val="00B53F0D"/>
    <w:rsid w:val="00B5511C"/>
    <w:rsid w:val="00B57000"/>
    <w:rsid w:val="00B5746A"/>
    <w:rsid w:val="00B57C52"/>
    <w:rsid w:val="00B605CD"/>
    <w:rsid w:val="00B60BE4"/>
    <w:rsid w:val="00B618B4"/>
    <w:rsid w:val="00B61D31"/>
    <w:rsid w:val="00B628E0"/>
    <w:rsid w:val="00B63DFC"/>
    <w:rsid w:val="00B656BC"/>
    <w:rsid w:val="00B65738"/>
    <w:rsid w:val="00B6578D"/>
    <w:rsid w:val="00B65841"/>
    <w:rsid w:val="00B65A17"/>
    <w:rsid w:val="00B66B9F"/>
    <w:rsid w:val="00B66E63"/>
    <w:rsid w:val="00B67381"/>
    <w:rsid w:val="00B674D9"/>
    <w:rsid w:val="00B67FF3"/>
    <w:rsid w:val="00B701F1"/>
    <w:rsid w:val="00B704A2"/>
    <w:rsid w:val="00B707A1"/>
    <w:rsid w:val="00B70800"/>
    <w:rsid w:val="00B71015"/>
    <w:rsid w:val="00B7190C"/>
    <w:rsid w:val="00B71C98"/>
    <w:rsid w:val="00B72060"/>
    <w:rsid w:val="00B72493"/>
    <w:rsid w:val="00B72613"/>
    <w:rsid w:val="00B72AF5"/>
    <w:rsid w:val="00B72C82"/>
    <w:rsid w:val="00B7321A"/>
    <w:rsid w:val="00B732A3"/>
    <w:rsid w:val="00B73F01"/>
    <w:rsid w:val="00B757F9"/>
    <w:rsid w:val="00B75C4D"/>
    <w:rsid w:val="00B75D7B"/>
    <w:rsid w:val="00B76807"/>
    <w:rsid w:val="00B76DF3"/>
    <w:rsid w:val="00B76ECD"/>
    <w:rsid w:val="00B77682"/>
    <w:rsid w:val="00B8030A"/>
    <w:rsid w:val="00B80850"/>
    <w:rsid w:val="00B81880"/>
    <w:rsid w:val="00B820A7"/>
    <w:rsid w:val="00B824FB"/>
    <w:rsid w:val="00B83172"/>
    <w:rsid w:val="00B83BB7"/>
    <w:rsid w:val="00B83D44"/>
    <w:rsid w:val="00B83FD6"/>
    <w:rsid w:val="00B84188"/>
    <w:rsid w:val="00B84554"/>
    <w:rsid w:val="00B84CDC"/>
    <w:rsid w:val="00B85415"/>
    <w:rsid w:val="00B85BFF"/>
    <w:rsid w:val="00B85D27"/>
    <w:rsid w:val="00B862DF"/>
    <w:rsid w:val="00B867C8"/>
    <w:rsid w:val="00B86AD4"/>
    <w:rsid w:val="00B872D3"/>
    <w:rsid w:val="00B90602"/>
    <w:rsid w:val="00B91458"/>
    <w:rsid w:val="00B91659"/>
    <w:rsid w:val="00B91A3D"/>
    <w:rsid w:val="00B9210F"/>
    <w:rsid w:val="00B927A2"/>
    <w:rsid w:val="00B92E7E"/>
    <w:rsid w:val="00B94065"/>
    <w:rsid w:val="00B9461A"/>
    <w:rsid w:val="00B9488C"/>
    <w:rsid w:val="00B94EBD"/>
    <w:rsid w:val="00B952DD"/>
    <w:rsid w:val="00B960D5"/>
    <w:rsid w:val="00B967C5"/>
    <w:rsid w:val="00B9702B"/>
    <w:rsid w:val="00B97F10"/>
    <w:rsid w:val="00BA01EC"/>
    <w:rsid w:val="00BA0A68"/>
    <w:rsid w:val="00BA13A2"/>
    <w:rsid w:val="00BA26DA"/>
    <w:rsid w:val="00BA27C8"/>
    <w:rsid w:val="00BA2B17"/>
    <w:rsid w:val="00BA2DAD"/>
    <w:rsid w:val="00BA2DAF"/>
    <w:rsid w:val="00BA2E22"/>
    <w:rsid w:val="00BA3506"/>
    <w:rsid w:val="00BA3660"/>
    <w:rsid w:val="00BA37DA"/>
    <w:rsid w:val="00BA38BB"/>
    <w:rsid w:val="00BA441B"/>
    <w:rsid w:val="00BA454A"/>
    <w:rsid w:val="00BA4C5A"/>
    <w:rsid w:val="00BA4D6F"/>
    <w:rsid w:val="00BA4F24"/>
    <w:rsid w:val="00BA4FDC"/>
    <w:rsid w:val="00BA5C5D"/>
    <w:rsid w:val="00BA6630"/>
    <w:rsid w:val="00BA6D9A"/>
    <w:rsid w:val="00BA704C"/>
    <w:rsid w:val="00BA73BD"/>
    <w:rsid w:val="00BA7E1B"/>
    <w:rsid w:val="00BB03D0"/>
    <w:rsid w:val="00BB056A"/>
    <w:rsid w:val="00BB0904"/>
    <w:rsid w:val="00BB0C75"/>
    <w:rsid w:val="00BB0E40"/>
    <w:rsid w:val="00BB137A"/>
    <w:rsid w:val="00BB3073"/>
    <w:rsid w:val="00BB3137"/>
    <w:rsid w:val="00BB332D"/>
    <w:rsid w:val="00BB3B56"/>
    <w:rsid w:val="00BB3DDF"/>
    <w:rsid w:val="00BB3F49"/>
    <w:rsid w:val="00BB4114"/>
    <w:rsid w:val="00BB4A9A"/>
    <w:rsid w:val="00BB515B"/>
    <w:rsid w:val="00BB55E1"/>
    <w:rsid w:val="00BB5609"/>
    <w:rsid w:val="00BB63A5"/>
    <w:rsid w:val="00BB658B"/>
    <w:rsid w:val="00BB65EB"/>
    <w:rsid w:val="00BB66E3"/>
    <w:rsid w:val="00BB67D0"/>
    <w:rsid w:val="00BC0459"/>
    <w:rsid w:val="00BC06E8"/>
    <w:rsid w:val="00BC0E9B"/>
    <w:rsid w:val="00BC3042"/>
    <w:rsid w:val="00BC3B97"/>
    <w:rsid w:val="00BC3D0D"/>
    <w:rsid w:val="00BC4750"/>
    <w:rsid w:val="00BC4B88"/>
    <w:rsid w:val="00BC4E49"/>
    <w:rsid w:val="00BC4E4C"/>
    <w:rsid w:val="00BC5F07"/>
    <w:rsid w:val="00BC5F12"/>
    <w:rsid w:val="00BC62F3"/>
    <w:rsid w:val="00BC6A50"/>
    <w:rsid w:val="00BC6A8E"/>
    <w:rsid w:val="00BC6AAD"/>
    <w:rsid w:val="00BC6D63"/>
    <w:rsid w:val="00BC7607"/>
    <w:rsid w:val="00BC7647"/>
    <w:rsid w:val="00BC7B8E"/>
    <w:rsid w:val="00BD08FC"/>
    <w:rsid w:val="00BD0989"/>
    <w:rsid w:val="00BD0C64"/>
    <w:rsid w:val="00BD1B71"/>
    <w:rsid w:val="00BD2081"/>
    <w:rsid w:val="00BD2893"/>
    <w:rsid w:val="00BD2B44"/>
    <w:rsid w:val="00BD2C72"/>
    <w:rsid w:val="00BD4BFF"/>
    <w:rsid w:val="00BD5079"/>
    <w:rsid w:val="00BD618B"/>
    <w:rsid w:val="00BD62D8"/>
    <w:rsid w:val="00BD6C30"/>
    <w:rsid w:val="00BD6E8E"/>
    <w:rsid w:val="00BD6FE2"/>
    <w:rsid w:val="00BD735D"/>
    <w:rsid w:val="00BD7A8A"/>
    <w:rsid w:val="00BE0647"/>
    <w:rsid w:val="00BE0C73"/>
    <w:rsid w:val="00BE0E0C"/>
    <w:rsid w:val="00BE16C6"/>
    <w:rsid w:val="00BE3526"/>
    <w:rsid w:val="00BE40A5"/>
    <w:rsid w:val="00BE42F7"/>
    <w:rsid w:val="00BE51E9"/>
    <w:rsid w:val="00BE5223"/>
    <w:rsid w:val="00BE6274"/>
    <w:rsid w:val="00BE62BD"/>
    <w:rsid w:val="00BE7383"/>
    <w:rsid w:val="00BE7462"/>
    <w:rsid w:val="00BE755E"/>
    <w:rsid w:val="00BF0999"/>
    <w:rsid w:val="00BF0A72"/>
    <w:rsid w:val="00BF0DAC"/>
    <w:rsid w:val="00BF19D7"/>
    <w:rsid w:val="00BF1FF1"/>
    <w:rsid w:val="00BF243A"/>
    <w:rsid w:val="00BF45C5"/>
    <w:rsid w:val="00BF46A7"/>
    <w:rsid w:val="00BF4C1A"/>
    <w:rsid w:val="00BF51ED"/>
    <w:rsid w:val="00BF6C6E"/>
    <w:rsid w:val="00BF76B4"/>
    <w:rsid w:val="00BF78A1"/>
    <w:rsid w:val="00BF793F"/>
    <w:rsid w:val="00BF7DB6"/>
    <w:rsid w:val="00BF7FFD"/>
    <w:rsid w:val="00C0076D"/>
    <w:rsid w:val="00C00C97"/>
    <w:rsid w:val="00C00E26"/>
    <w:rsid w:val="00C01453"/>
    <w:rsid w:val="00C01CB0"/>
    <w:rsid w:val="00C02605"/>
    <w:rsid w:val="00C029FF"/>
    <w:rsid w:val="00C02CC5"/>
    <w:rsid w:val="00C02D36"/>
    <w:rsid w:val="00C0337D"/>
    <w:rsid w:val="00C033B8"/>
    <w:rsid w:val="00C038BA"/>
    <w:rsid w:val="00C03D40"/>
    <w:rsid w:val="00C043DA"/>
    <w:rsid w:val="00C04CC7"/>
    <w:rsid w:val="00C04D1A"/>
    <w:rsid w:val="00C04D60"/>
    <w:rsid w:val="00C05A3C"/>
    <w:rsid w:val="00C05B87"/>
    <w:rsid w:val="00C05BFB"/>
    <w:rsid w:val="00C06662"/>
    <w:rsid w:val="00C07395"/>
    <w:rsid w:val="00C0793B"/>
    <w:rsid w:val="00C07A17"/>
    <w:rsid w:val="00C07B0F"/>
    <w:rsid w:val="00C1162D"/>
    <w:rsid w:val="00C11C20"/>
    <w:rsid w:val="00C125C4"/>
    <w:rsid w:val="00C129F5"/>
    <w:rsid w:val="00C13C22"/>
    <w:rsid w:val="00C1448F"/>
    <w:rsid w:val="00C1468D"/>
    <w:rsid w:val="00C152E5"/>
    <w:rsid w:val="00C15406"/>
    <w:rsid w:val="00C15843"/>
    <w:rsid w:val="00C15C4C"/>
    <w:rsid w:val="00C15EA5"/>
    <w:rsid w:val="00C15F21"/>
    <w:rsid w:val="00C16184"/>
    <w:rsid w:val="00C16541"/>
    <w:rsid w:val="00C16E58"/>
    <w:rsid w:val="00C17A02"/>
    <w:rsid w:val="00C2021A"/>
    <w:rsid w:val="00C20379"/>
    <w:rsid w:val="00C203D5"/>
    <w:rsid w:val="00C20929"/>
    <w:rsid w:val="00C21378"/>
    <w:rsid w:val="00C21D00"/>
    <w:rsid w:val="00C22E3C"/>
    <w:rsid w:val="00C23182"/>
    <w:rsid w:val="00C239A0"/>
    <w:rsid w:val="00C25121"/>
    <w:rsid w:val="00C25400"/>
    <w:rsid w:val="00C25862"/>
    <w:rsid w:val="00C263CA"/>
    <w:rsid w:val="00C26E84"/>
    <w:rsid w:val="00C2763C"/>
    <w:rsid w:val="00C27E44"/>
    <w:rsid w:val="00C30E78"/>
    <w:rsid w:val="00C31915"/>
    <w:rsid w:val="00C321CC"/>
    <w:rsid w:val="00C326B7"/>
    <w:rsid w:val="00C33CFB"/>
    <w:rsid w:val="00C35273"/>
    <w:rsid w:val="00C352E6"/>
    <w:rsid w:val="00C35AE5"/>
    <w:rsid w:val="00C35BAA"/>
    <w:rsid w:val="00C364F3"/>
    <w:rsid w:val="00C36982"/>
    <w:rsid w:val="00C36C0E"/>
    <w:rsid w:val="00C36CED"/>
    <w:rsid w:val="00C36DAB"/>
    <w:rsid w:val="00C36E85"/>
    <w:rsid w:val="00C3702C"/>
    <w:rsid w:val="00C37772"/>
    <w:rsid w:val="00C378F5"/>
    <w:rsid w:val="00C37D6E"/>
    <w:rsid w:val="00C40180"/>
    <w:rsid w:val="00C40B45"/>
    <w:rsid w:val="00C40DBE"/>
    <w:rsid w:val="00C417BC"/>
    <w:rsid w:val="00C42B09"/>
    <w:rsid w:val="00C42F5E"/>
    <w:rsid w:val="00C42FC2"/>
    <w:rsid w:val="00C43017"/>
    <w:rsid w:val="00C431A8"/>
    <w:rsid w:val="00C433CD"/>
    <w:rsid w:val="00C44107"/>
    <w:rsid w:val="00C44132"/>
    <w:rsid w:val="00C4524A"/>
    <w:rsid w:val="00C45C0C"/>
    <w:rsid w:val="00C46F1F"/>
    <w:rsid w:val="00C476E6"/>
    <w:rsid w:val="00C47E3C"/>
    <w:rsid w:val="00C47E93"/>
    <w:rsid w:val="00C47FE0"/>
    <w:rsid w:val="00C500B9"/>
    <w:rsid w:val="00C50E13"/>
    <w:rsid w:val="00C51922"/>
    <w:rsid w:val="00C51FB8"/>
    <w:rsid w:val="00C527FC"/>
    <w:rsid w:val="00C52B20"/>
    <w:rsid w:val="00C53001"/>
    <w:rsid w:val="00C53026"/>
    <w:rsid w:val="00C530F1"/>
    <w:rsid w:val="00C53F45"/>
    <w:rsid w:val="00C53FE1"/>
    <w:rsid w:val="00C54C17"/>
    <w:rsid w:val="00C5529B"/>
    <w:rsid w:val="00C56544"/>
    <w:rsid w:val="00C570F3"/>
    <w:rsid w:val="00C57376"/>
    <w:rsid w:val="00C57459"/>
    <w:rsid w:val="00C60766"/>
    <w:rsid w:val="00C60DDA"/>
    <w:rsid w:val="00C60ED3"/>
    <w:rsid w:val="00C621DA"/>
    <w:rsid w:val="00C62712"/>
    <w:rsid w:val="00C62957"/>
    <w:rsid w:val="00C629FB"/>
    <w:rsid w:val="00C633AD"/>
    <w:rsid w:val="00C63AEB"/>
    <w:rsid w:val="00C63CE5"/>
    <w:rsid w:val="00C645BC"/>
    <w:rsid w:val="00C64F89"/>
    <w:rsid w:val="00C65235"/>
    <w:rsid w:val="00C6560C"/>
    <w:rsid w:val="00C65F65"/>
    <w:rsid w:val="00C66158"/>
    <w:rsid w:val="00C66971"/>
    <w:rsid w:val="00C66C09"/>
    <w:rsid w:val="00C66ED3"/>
    <w:rsid w:val="00C671EE"/>
    <w:rsid w:val="00C6754B"/>
    <w:rsid w:val="00C67D23"/>
    <w:rsid w:val="00C701D7"/>
    <w:rsid w:val="00C707BC"/>
    <w:rsid w:val="00C710E0"/>
    <w:rsid w:val="00C7131A"/>
    <w:rsid w:val="00C7131F"/>
    <w:rsid w:val="00C71C64"/>
    <w:rsid w:val="00C71F1A"/>
    <w:rsid w:val="00C72FAB"/>
    <w:rsid w:val="00C73115"/>
    <w:rsid w:val="00C73310"/>
    <w:rsid w:val="00C73592"/>
    <w:rsid w:val="00C735C1"/>
    <w:rsid w:val="00C73F04"/>
    <w:rsid w:val="00C74D2B"/>
    <w:rsid w:val="00C75AF3"/>
    <w:rsid w:val="00C76471"/>
    <w:rsid w:val="00C769B5"/>
    <w:rsid w:val="00C76E57"/>
    <w:rsid w:val="00C808CE"/>
    <w:rsid w:val="00C80CCE"/>
    <w:rsid w:val="00C80DBE"/>
    <w:rsid w:val="00C8132F"/>
    <w:rsid w:val="00C8144F"/>
    <w:rsid w:val="00C81CC3"/>
    <w:rsid w:val="00C82132"/>
    <w:rsid w:val="00C822B8"/>
    <w:rsid w:val="00C8263F"/>
    <w:rsid w:val="00C82A8F"/>
    <w:rsid w:val="00C8341E"/>
    <w:rsid w:val="00C83A14"/>
    <w:rsid w:val="00C83B77"/>
    <w:rsid w:val="00C8551E"/>
    <w:rsid w:val="00C86D25"/>
    <w:rsid w:val="00C875D5"/>
    <w:rsid w:val="00C87EA7"/>
    <w:rsid w:val="00C90222"/>
    <w:rsid w:val="00C90AD8"/>
    <w:rsid w:val="00C90FCC"/>
    <w:rsid w:val="00C913C8"/>
    <w:rsid w:val="00C9199C"/>
    <w:rsid w:val="00C91BF5"/>
    <w:rsid w:val="00C91C1C"/>
    <w:rsid w:val="00C91E8C"/>
    <w:rsid w:val="00C937A8"/>
    <w:rsid w:val="00C93826"/>
    <w:rsid w:val="00C93FAA"/>
    <w:rsid w:val="00C953BD"/>
    <w:rsid w:val="00C9572E"/>
    <w:rsid w:val="00C9578C"/>
    <w:rsid w:val="00C9586B"/>
    <w:rsid w:val="00C95F3A"/>
    <w:rsid w:val="00C95FAC"/>
    <w:rsid w:val="00C964A3"/>
    <w:rsid w:val="00C96A71"/>
    <w:rsid w:val="00CA0AD5"/>
    <w:rsid w:val="00CA11F5"/>
    <w:rsid w:val="00CA185C"/>
    <w:rsid w:val="00CA1942"/>
    <w:rsid w:val="00CA2CC8"/>
    <w:rsid w:val="00CA30C9"/>
    <w:rsid w:val="00CA369B"/>
    <w:rsid w:val="00CA4300"/>
    <w:rsid w:val="00CA4A1E"/>
    <w:rsid w:val="00CA4D5D"/>
    <w:rsid w:val="00CA5212"/>
    <w:rsid w:val="00CA5289"/>
    <w:rsid w:val="00CA53B5"/>
    <w:rsid w:val="00CA5D54"/>
    <w:rsid w:val="00CA6E77"/>
    <w:rsid w:val="00CA7543"/>
    <w:rsid w:val="00CA76A6"/>
    <w:rsid w:val="00CA7D08"/>
    <w:rsid w:val="00CB27D3"/>
    <w:rsid w:val="00CB2943"/>
    <w:rsid w:val="00CB2980"/>
    <w:rsid w:val="00CB3211"/>
    <w:rsid w:val="00CB359F"/>
    <w:rsid w:val="00CB58C1"/>
    <w:rsid w:val="00CB59C3"/>
    <w:rsid w:val="00CB5A4E"/>
    <w:rsid w:val="00CB6793"/>
    <w:rsid w:val="00CB6C9D"/>
    <w:rsid w:val="00CB6CD8"/>
    <w:rsid w:val="00CB705D"/>
    <w:rsid w:val="00CB78AD"/>
    <w:rsid w:val="00CB79DC"/>
    <w:rsid w:val="00CC0BCA"/>
    <w:rsid w:val="00CC1A5B"/>
    <w:rsid w:val="00CC1A6F"/>
    <w:rsid w:val="00CC1E95"/>
    <w:rsid w:val="00CC25A4"/>
    <w:rsid w:val="00CC3722"/>
    <w:rsid w:val="00CC439A"/>
    <w:rsid w:val="00CC5037"/>
    <w:rsid w:val="00CC5177"/>
    <w:rsid w:val="00CC59A5"/>
    <w:rsid w:val="00CC5D63"/>
    <w:rsid w:val="00CD0930"/>
    <w:rsid w:val="00CD102F"/>
    <w:rsid w:val="00CD1A11"/>
    <w:rsid w:val="00CD1D54"/>
    <w:rsid w:val="00CD1E72"/>
    <w:rsid w:val="00CD2995"/>
    <w:rsid w:val="00CD2E07"/>
    <w:rsid w:val="00CD31C2"/>
    <w:rsid w:val="00CD3BE7"/>
    <w:rsid w:val="00CD408A"/>
    <w:rsid w:val="00CD48C0"/>
    <w:rsid w:val="00CD567C"/>
    <w:rsid w:val="00CD69E1"/>
    <w:rsid w:val="00CD7F99"/>
    <w:rsid w:val="00CE01FE"/>
    <w:rsid w:val="00CE17CB"/>
    <w:rsid w:val="00CE1891"/>
    <w:rsid w:val="00CE26FC"/>
    <w:rsid w:val="00CE2B35"/>
    <w:rsid w:val="00CE2D4A"/>
    <w:rsid w:val="00CE3018"/>
    <w:rsid w:val="00CE365E"/>
    <w:rsid w:val="00CE3972"/>
    <w:rsid w:val="00CE3EB0"/>
    <w:rsid w:val="00CE4992"/>
    <w:rsid w:val="00CE5C4A"/>
    <w:rsid w:val="00CE6140"/>
    <w:rsid w:val="00CE693C"/>
    <w:rsid w:val="00CE744C"/>
    <w:rsid w:val="00CE785C"/>
    <w:rsid w:val="00CE7D79"/>
    <w:rsid w:val="00CF0174"/>
    <w:rsid w:val="00CF0F15"/>
    <w:rsid w:val="00CF1624"/>
    <w:rsid w:val="00CF1CB8"/>
    <w:rsid w:val="00CF24A2"/>
    <w:rsid w:val="00CF2E0E"/>
    <w:rsid w:val="00CF3175"/>
    <w:rsid w:val="00CF399A"/>
    <w:rsid w:val="00CF4118"/>
    <w:rsid w:val="00CF4220"/>
    <w:rsid w:val="00CF5FAD"/>
    <w:rsid w:val="00CF625A"/>
    <w:rsid w:val="00CF6CB7"/>
    <w:rsid w:val="00CF6EF6"/>
    <w:rsid w:val="00CF738B"/>
    <w:rsid w:val="00D0051E"/>
    <w:rsid w:val="00D00BEB"/>
    <w:rsid w:val="00D00D83"/>
    <w:rsid w:val="00D019D2"/>
    <w:rsid w:val="00D02012"/>
    <w:rsid w:val="00D021BF"/>
    <w:rsid w:val="00D021D0"/>
    <w:rsid w:val="00D02604"/>
    <w:rsid w:val="00D02A89"/>
    <w:rsid w:val="00D02F86"/>
    <w:rsid w:val="00D03DE7"/>
    <w:rsid w:val="00D0426F"/>
    <w:rsid w:val="00D0462E"/>
    <w:rsid w:val="00D04EA9"/>
    <w:rsid w:val="00D05A32"/>
    <w:rsid w:val="00D05ADC"/>
    <w:rsid w:val="00D06E78"/>
    <w:rsid w:val="00D073A1"/>
    <w:rsid w:val="00D07D2E"/>
    <w:rsid w:val="00D07E57"/>
    <w:rsid w:val="00D11228"/>
    <w:rsid w:val="00D114BC"/>
    <w:rsid w:val="00D12584"/>
    <w:rsid w:val="00D1344D"/>
    <w:rsid w:val="00D13723"/>
    <w:rsid w:val="00D13B2D"/>
    <w:rsid w:val="00D14938"/>
    <w:rsid w:val="00D14BD2"/>
    <w:rsid w:val="00D15110"/>
    <w:rsid w:val="00D15E04"/>
    <w:rsid w:val="00D167A1"/>
    <w:rsid w:val="00D20576"/>
    <w:rsid w:val="00D2105B"/>
    <w:rsid w:val="00D21B36"/>
    <w:rsid w:val="00D21D76"/>
    <w:rsid w:val="00D21F7C"/>
    <w:rsid w:val="00D22223"/>
    <w:rsid w:val="00D22568"/>
    <w:rsid w:val="00D23212"/>
    <w:rsid w:val="00D23505"/>
    <w:rsid w:val="00D23A91"/>
    <w:rsid w:val="00D2445B"/>
    <w:rsid w:val="00D24477"/>
    <w:rsid w:val="00D244DF"/>
    <w:rsid w:val="00D24D86"/>
    <w:rsid w:val="00D25141"/>
    <w:rsid w:val="00D26022"/>
    <w:rsid w:val="00D26349"/>
    <w:rsid w:val="00D26813"/>
    <w:rsid w:val="00D26AF7"/>
    <w:rsid w:val="00D27405"/>
    <w:rsid w:val="00D27925"/>
    <w:rsid w:val="00D27A48"/>
    <w:rsid w:val="00D27DC7"/>
    <w:rsid w:val="00D303BE"/>
    <w:rsid w:val="00D3157F"/>
    <w:rsid w:val="00D31EA3"/>
    <w:rsid w:val="00D329DC"/>
    <w:rsid w:val="00D33E56"/>
    <w:rsid w:val="00D344BE"/>
    <w:rsid w:val="00D34541"/>
    <w:rsid w:val="00D352C6"/>
    <w:rsid w:val="00D352F2"/>
    <w:rsid w:val="00D365EC"/>
    <w:rsid w:val="00D36AD7"/>
    <w:rsid w:val="00D372AB"/>
    <w:rsid w:val="00D37E4B"/>
    <w:rsid w:val="00D40538"/>
    <w:rsid w:val="00D4193C"/>
    <w:rsid w:val="00D42F35"/>
    <w:rsid w:val="00D45557"/>
    <w:rsid w:val="00D46C08"/>
    <w:rsid w:val="00D47559"/>
    <w:rsid w:val="00D479DA"/>
    <w:rsid w:val="00D47E5B"/>
    <w:rsid w:val="00D47E6F"/>
    <w:rsid w:val="00D50229"/>
    <w:rsid w:val="00D50AE9"/>
    <w:rsid w:val="00D50F6B"/>
    <w:rsid w:val="00D513CF"/>
    <w:rsid w:val="00D52463"/>
    <w:rsid w:val="00D52AA5"/>
    <w:rsid w:val="00D52CD5"/>
    <w:rsid w:val="00D52E1A"/>
    <w:rsid w:val="00D5310C"/>
    <w:rsid w:val="00D53A00"/>
    <w:rsid w:val="00D5559C"/>
    <w:rsid w:val="00D5571C"/>
    <w:rsid w:val="00D566BF"/>
    <w:rsid w:val="00D5688A"/>
    <w:rsid w:val="00D57716"/>
    <w:rsid w:val="00D577FF"/>
    <w:rsid w:val="00D57ACD"/>
    <w:rsid w:val="00D57C6A"/>
    <w:rsid w:val="00D57DC7"/>
    <w:rsid w:val="00D61532"/>
    <w:rsid w:val="00D62A2D"/>
    <w:rsid w:val="00D62D19"/>
    <w:rsid w:val="00D63540"/>
    <w:rsid w:val="00D63647"/>
    <w:rsid w:val="00D6413B"/>
    <w:rsid w:val="00D643D6"/>
    <w:rsid w:val="00D645C6"/>
    <w:rsid w:val="00D6478C"/>
    <w:rsid w:val="00D64ADC"/>
    <w:rsid w:val="00D64AF5"/>
    <w:rsid w:val="00D65DB7"/>
    <w:rsid w:val="00D65E95"/>
    <w:rsid w:val="00D66018"/>
    <w:rsid w:val="00D6647D"/>
    <w:rsid w:val="00D6744B"/>
    <w:rsid w:val="00D676D9"/>
    <w:rsid w:val="00D70A21"/>
    <w:rsid w:val="00D70FA7"/>
    <w:rsid w:val="00D71923"/>
    <w:rsid w:val="00D725F2"/>
    <w:rsid w:val="00D72CCE"/>
    <w:rsid w:val="00D73EC4"/>
    <w:rsid w:val="00D74722"/>
    <w:rsid w:val="00D762F0"/>
    <w:rsid w:val="00D77478"/>
    <w:rsid w:val="00D774F7"/>
    <w:rsid w:val="00D77F4B"/>
    <w:rsid w:val="00D80AFD"/>
    <w:rsid w:val="00D80D22"/>
    <w:rsid w:val="00D80EE7"/>
    <w:rsid w:val="00D82EB8"/>
    <w:rsid w:val="00D832EF"/>
    <w:rsid w:val="00D837BE"/>
    <w:rsid w:val="00D84C0F"/>
    <w:rsid w:val="00D850E8"/>
    <w:rsid w:val="00D8574D"/>
    <w:rsid w:val="00D857EF"/>
    <w:rsid w:val="00D8584E"/>
    <w:rsid w:val="00D85916"/>
    <w:rsid w:val="00D85C00"/>
    <w:rsid w:val="00D85C05"/>
    <w:rsid w:val="00D85FC9"/>
    <w:rsid w:val="00D861A6"/>
    <w:rsid w:val="00D86CF4"/>
    <w:rsid w:val="00D87BDA"/>
    <w:rsid w:val="00D90046"/>
    <w:rsid w:val="00D9155B"/>
    <w:rsid w:val="00D91CC7"/>
    <w:rsid w:val="00D9283A"/>
    <w:rsid w:val="00D93329"/>
    <w:rsid w:val="00D938F7"/>
    <w:rsid w:val="00D93A96"/>
    <w:rsid w:val="00D947A4"/>
    <w:rsid w:val="00D951B5"/>
    <w:rsid w:val="00D95833"/>
    <w:rsid w:val="00D96483"/>
    <w:rsid w:val="00D96E66"/>
    <w:rsid w:val="00D9702F"/>
    <w:rsid w:val="00D97388"/>
    <w:rsid w:val="00D973A1"/>
    <w:rsid w:val="00D97884"/>
    <w:rsid w:val="00D97E90"/>
    <w:rsid w:val="00DA1069"/>
    <w:rsid w:val="00DA156A"/>
    <w:rsid w:val="00DA1E01"/>
    <w:rsid w:val="00DA2246"/>
    <w:rsid w:val="00DA24AD"/>
    <w:rsid w:val="00DA2963"/>
    <w:rsid w:val="00DA35DE"/>
    <w:rsid w:val="00DA3820"/>
    <w:rsid w:val="00DA405A"/>
    <w:rsid w:val="00DA41FD"/>
    <w:rsid w:val="00DA4AD6"/>
    <w:rsid w:val="00DA4CA3"/>
    <w:rsid w:val="00DA6ABB"/>
    <w:rsid w:val="00DA6EE4"/>
    <w:rsid w:val="00DA79E2"/>
    <w:rsid w:val="00DB0BE7"/>
    <w:rsid w:val="00DB11EE"/>
    <w:rsid w:val="00DB20AD"/>
    <w:rsid w:val="00DB2142"/>
    <w:rsid w:val="00DB2BD9"/>
    <w:rsid w:val="00DB3100"/>
    <w:rsid w:val="00DB3165"/>
    <w:rsid w:val="00DB3597"/>
    <w:rsid w:val="00DB3D04"/>
    <w:rsid w:val="00DB424F"/>
    <w:rsid w:val="00DB4827"/>
    <w:rsid w:val="00DB4B22"/>
    <w:rsid w:val="00DB61A0"/>
    <w:rsid w:val="00DB6FA1"/>
    <w:rsid w:val="00DB707D"/>
    <w:rsid w:val="00DB7107"/>
    <w:rsid w:val="00DB7908"/>
    <w:rsid w:val="00DC00DC"/>
    <w:rsid w:val="00DC063E"/>
    <w:rsid w:val="00DC0BCB"/>
    <w:rsid w:val="00DC0EB9"/>
    <w:rsid w:val="00DC1332"/>
    <w:rsid w:val="00DC1A53"/>
    <w:rsid w:val="00DC2490"/>
    <w:rsid w:val="00DC291E"/>
    <w:rsid w:val="00DC3327"/>
    <w:rsid w:val="00DC36E4"/>
    <w:rsid w:val="00DC3AA2"/>
    <w:rsid w:val="00DC3F63"/>
    <w:rsid w:val="00DC47B6"/>
    <w:rsid w:val="00DC47D3"/>
    <w:rsid w:val="00DC621C"/>
    <w:rsid w:val="00DC7020"/>
    <w:rsid w:val="00DC7173"/>
    <w:rsid w:val="00DC759A"/>
    <w:rsid w:val="00DC7F81"/>
    <w:rsid w:val="00DD043D"/>
    <w:rsid w:val="00DD0924"/>
    <w:rsid w:val="00DD0E1E"/>
    <w:rsid w:val="00DD1A70"/>
    <w:rsid w:val="00DD1F91"/>
    <w:rsid w:val="00DD2354"/>
    <w:rsid w:val="00DD302F"/>
    <w:rsid w:val="00DD396F"/>
    <w:rsid w:val="00DD671C"/>
    <w:rsid w:val="00DD6BE0"/>
    <w:rsid w:val="00DD735B"/>
    <w:rsid w:val="00DE0650"/>
    <w:rsid w:val="00DE0BEE"/>
    <w:rsid w:val="00DE0C39"/>
    <w:rsid w:val="00DE10F9"/>
    <w:rsid w:val="00DE12F7"/>
    <w:rsid w:val="00DE1775"/>
    <w:rsid w:val="00DE1EC1"/>
    <w:rsid w:val="00DE300F"/>
    <w:rsid w:val="00DE35AA"/>
    <w:rsid w:val="00DE3F28"/>
    <w:rsid w:val="00DE46CA"/>
    <w:rsid w:val="00DE546B"/>
    <w:rsid w:val="00DE61F5"/>
    <w:rsid w:val="00DE7160"/>
    <w:rsid w:val="00DE73F3"/>
    <w:rsid w:val="00DF009B"/>
    <w:rsid w:val="00DF07CB"/>
    <w:rsid w:val="00DF29A6"/>
    <w:rsid w:val="00DF5420"/>
    <w:rsid w:val="00DF5705"/>
    <w:rsid w:val="00DF5AA1"/>
    <w:rsid w:val="00DF5BFA"/>
    <w:rsid w:val="00DF5C99"/>
    <w:rsid w:val="00DF6DCD"/>
    <w:rsid w:val="00DF7A4C"/>
    <w:rsid w:val="00DF7A9C"/>
    <w:rsid w:val="00E015B0"/>
    <w:rsid w:val="00E018D4"/>
    <w:rsid w:val="00E0213F"/>
    <w:rsid w:val="00E0219B"/>
    <w:rsid w:val="00E03AEA"/>
    <w:rsid w:val="00E05780"/>
    <w:rsid w:val="00E05BC5"/>
    <w:rsid w:val="00E05CB0"/>
    <w:rsid w:val="00E066D0"/>
    <w:rsid w:val="00E06DCF"/>
    <w:rsid w:val="00E070C0"/>
    <w:rsid w:val="00E071A9"/>
    <w:rsid w:val="00E076C8"/>
    <w:rsid w:val="00E07739"/>
    <w:rsid w:val="00E07E81"/>
    <w:rsid w:val="00E10644"/>
    <w:rsid w:val="00E107D1"/>
    <w:rsid w:val="00E10990"/>
    <w:rsid w:val="00E111E7"/>
    <w:rsid w:val="00E1120B"/>
    <w:rsid w:val="00E1293F"/>
    <w:rsid w:val="00E12A1D"/>
    <w:rsid w:val="00E134F7"/>
    <w:rsid w:val="00E13D5C"/>
    <w:rsid w:val="00E145E5"/>
    <w:rsid w:val="00E14F9E"/>
    <w:rsid w:val="00E15035"/>
    <w:rsid w:val="00E151E0"/>
    <w:rsid w:val="00E155DF"/>
    <w:rsid w:val="00E16E54"/>
    <w:rsid w:val="00E209A7"/>
    <w:rsid w:val="00E20CBA"/>
    <w:rsid w:val="00E21402"/>
    <w:rsid w:val="00E22700"/>
    <w:rsid w:val="00E227C0"/>
    <w:rsid w:val="00E2294A"/>
    <w:rsid w:val="00E23CD6"/>
    <w:rsid w:val="00E240B0"/>
    <w:rsid w:val="00E2413F"/>
    <w:rsid w:val="00E2536C"/>
    <w:rsid w:val="00E25430"/>
    <w:rsid w:val="00E254FE"/>
    <w:rsid w:val="00E25E73"/>
    <w:rsid w:val="00E2667A"/>
    <w:rsid w:val="00E26BD9"/>
    <w:rsid w:val="00E2707A"/>
    <w:rsid w:val="00E30882"/>
    <w:rsid w:val="00E3134B"/>
    <w:rsid w:val="00E31D84"/>
    <w:rsid w:val="00E31E8A"/>
    <w:rsid w:val="00E33024"/>
    <w:rsid w:val="00E33063"/>
    <w:rsid w:val="00E3453B"/>
    <w:rsid w:val="00E3453E"/>
    <w:rsid w:val="00E349FA"/>
    <w:rsid w:val="00E364AA"/>
    <w:rsid w:val="00E3678D"/>
    <w:rsid w:val="00E36ACB"/>
    <w:rsid w:val="00E36B10"/>
    <w:rsid w:val="00E37AE3"/>
    <w:rsid w:val="00E40036"/>
    <w:rsid w:val="00E40301"/>
    <w:rsid w:val="00E4036E"/>
    <w:rsid w:val="00E4062C"/>
    <w:rsid w:val="00E40C2D"/>
    <w:rsid w:val="00E41660"/>
    <w:rsid w:val="00E423F9"/>
    <w:rsid w:val="00E43107"/>
    <w:rsid w:val="00E43E9B"/>
    <w:rsid w:val="00E4488A"/>
    <w:rsid w:val="00E449A6"/>
    <w:rsid w:val="00E45292"/>
    <w:rsid w:val="00E45334"/>
    <w:rsid w:val="00E4567D"/>
    <w:rsid w:val="00E4652E"/>
    <w:rsid w:val="00E46C57"/>
    <w:rsid w:val="00E47144"/>
    <w:rsid w:val="00E47413"/>
    <w:rsid w:val="00E47AF1"/>
    <w:rsid w:val="00E47F3B"/>
    <w:rsid w:val="00E51024"/>
    <w:rsid w:val="00E51EC0"/>
    <w:rsid w:val="00E52215"/>
    <w:rsid w:val="00E522DE"/>
    <w:rsid w:val="00E5244E"/>
    <w:rsid w:val="00E52914"/>
    <w:rsid w:val="00E53039"/>
    <w:rsid w:val="00E53638"/>
    <w:rsid w:val="00E537C9"/>
    <w:rsid w:val="00E53E5A"/>
    <w:rsid w:val="00E54042"/>
    <w:rsid w:val="00E54517"/>
    <w:rsid w:val="00E54D53"/>
    <w:rsid w:val="00E55039"/>
    <w:rsid w:val="00E55358"/>
    <w:rsid w:val="00E55746"/>
    <w:rsid w:val="00E567E2"/>
    <w:rsid w:val="00E570FC"/>
    <w:rsid w:val="00E57189"/>
    <w:rsid w:val="00E57D33"/>
    <w:rsid w:val="00E603F5"/>
    <w:rsid w:val="00E60779"/>
    <w:rsid w:val="00E61353"/>
    <w:rsid w:val="00E614D0"/>
    <w:rsid w:val="00E625DB"/>
    <w:rsid w:val="00E6331D"/>
    <w:rsid w:val="00E63444"/>
    <w:rsid w:val="00E63EF4"/>
    <w:rsid w:val="00E64C63"/>
    <w:rsid w:val="00E65D7B"/>
    <w:rsid w:val="00E65F54"/>
    <w:rsid w:val="00E66870"/>
    <w:rsid w:val="00E66EDF"/>
    <w:rsid w:val="00E707A2"/>
    <w:rsid w:val="00E71099"/>
    <w:rsid w:val="00E71619"/>
    <w:rsid w:val="00E71A19"/>
    <w:rsid w:val="00E71AF8"/>
    <w:rsid w:val="00E7249B"/>
    <w:rsid w:val="00E7302A"/>
    <w:rsid w:val="00E738E2"/>
    <w:rsid w:val="00E73A48"/>
    <w:rsid w:val="00E73AFB"/>
    <w:rsid w:val="00E74246"/>
    <w:rsid w:val="00E74CEC"/>
    <w:rsid w:val="00E75017"/>
    <w:rsid w:val="00E75413"/>
    <w:rsid w:val="00E75D8D"/>
    <w:rsid w:val="00E7601C"/>
    <w:rsid w:val="00E76647"/>
    <w:rsid w:val="00E76A00"/>
    <w:rsid w:val="00E76F78"/>
    <w:rsid w:val="00E7752A"/>
    <w:rsid w:val="00E77A00"/>
    <w:rsid w:val="00E77B1A"/>
    <w:rsid w:val="00E8061E"/>
    <w:rsid w:val="00E809CE"/>
    <w:rsid w:val="00E81D67"/>
    <w:rsid w:val="00E82536"/>
    <w:rsid w:val="00E82637"/>
    <w:rsid w:val="00E82D63"/>
    <w:rsid w:val="00E833B4"/>
    <w:rsid w:val="00E83473"/>
    <w:rsid w:val="00E834A4"/>
    <w:rsid w:val="00E83A2D"/>
    <w:rsid w:val="00E83C73"/>
    <w:rsid w:val="00E8487C"/>
    <w:rsid w:val="00E851CB"/>
    <w:rsid w:val="00E8532E"/>
    <w:rsid w:val="00E854C0"/>
    <w:rsid w:val="00E8642C"/>
    <w:rsid w:val="00E86BE3"/>
    <w:rsid w:val="00E87BB1"/>
    <w:rsid w:val="00E87F8C"/>
    <w:rsid w:val="00E9000F"/>
    <w:rsid w:val="00E9011E"/>
    <w:rsid w:val="00E90175"/>
    <w:rsid w:val="00E906F4"/>
    <w:rsid w:val="00E92949"/>
    <w:rsid w:val="00E93109"/>
    <w:rsid w:val="00E93298"/>
    <w:rsid w:val="00E93C21"/>
    <w:rsid w:val="00E9564E"/>
    <w:rsid w:val="00E96855"/>
    <w:rsid w:val="00E9711E"/>
    <w:rsid w:val="00E97513"/>
    <w:rsid w:val="00E97691"/>
    <w:rsid w:val="00EA0782"/>
    <w:rsid w:val="00EA1947"/>
    <w:rsid w:val="00EA2117"/>
    <w:rsid w:val="00EA25DB"/>
    <w:rsid w:val="00EA34B4"/>
    <w:rsid w:val="00EA3C74"/>
    <w:rsid w:val="00EA4320"/>
    <w:rsid w:val="00EA4AC3"/>
    <w:rsid w:val="00EA4E9B"/>
    <w:rsid w:val="00EA500A"/>
    <w:rsid w:val="00EA5F91"/>
    <w:rsid w:val="00EA6AE3"/>
    <w:rsid w:val="00EA70CB"/>
    <w:rsid w:val="00EB1B59"/>
    <w:rsid w:val="00EB2A8D"/>
    <w:rsid w:val="00EB2B0F"/>
    <w:rsid w:val="00EB3F12"/>
    <w:rsid w:val="00EB41C9"/>
    <w:rsid w:val="00EB4284"/>
    <w:rsid w:val="00EB4A5F"/>
    <w:rsid w:val="00EB4E30"/>
    <w:rsid w:val="00EB4F34"/>
    <w:rsid w:val="00EB52D7"/>
    <w:rsid w:val="00EB602F"/>
    <w:rsid w:val="00EB614F"/>
    <w:rsid w:val="00EB61EC"/>
    <w:rsid w:val="00EB67BA"/>
    <w:rsid w:val="00EB7717"/>
    <w:rsid w:val="00EB7D10"/>
    <w:rsid w:val="00EC07BE"/>
    <w:rsid w:val="00EC1254"/>
    <w:rsid w:val="00EC128F"/>
    <w:rsid w:val="00EC1932"/>
    <w:rsid w:val="00EC1F5C"/>
    <w:rsid w:val="00EC2178"/>
    <w:rsid w:val="00EC23FE"/>
    <w:rsid w:val="00EC2518"/>
    <w:rsid w:val="00EC2E62"/>
    <w:rsid w:val="00EC3045"/>
    <w:rsid w:val="00EC320C"/>
    <w:rsid w:val="00EC3738"/>
    <w:rsid w:val="00EC3A77"/>
    <w:rsid w:val="00EC44D1"/>
    <w:rsid w:val="00EC4848"/>
    <w:rsid w:val="00EC48ED"/>
    <w:rsid w:val="00EC49F1"/>
    <w:rsid w:val="00EC4E40"/>
    <w:rsid w:val="00EC67EC"/>
    <w:rsid w:val="00EC72DB"/>
    <w:rsid w:val="00EC7523"/>
    <w:rsid w:val="00ED1560"/>
    <w:rsid w:val="00ED1753"/>
    <w:rsid w:val="00ED19EB"/>
    <w:rsid w:val="00ED20CE"/>
    <w:rsid w:val="00ED2BD9"/>
    <w:rsid w:val="00ED3456"/>
    <w:rsid w:val="00ED3D70"/>
    <w:rsid w:val="00ED44FD"/>
    <w:rsid w:val="00ED45F8"/>
    <w:rsid w:val="00ED51D8"/>
    <w:rsid w:val="00ED5BD2"/>
    <w:rsid w:val="00ED649D"/>
    <w:rsid w:val="00ED6523"/>
    <w:rsid w:val="00ED6AA0"/>
    <w:rsid w:val="00ED72D8"/>
    <w:rsid w:val="00ED73F3"/>
    <w:rsid w:val="00ED7AF9"/>
    <w:rsid w:val="00EE01C8"/>
    <w:rsid w:val="00EE02CB"/>
    <w:rsid w:val="00EE0481"/>
    <w:rsid w:val="00EE04CE"/>
    <w:rsid w:val="00EE0FD4"/>
    <w:rsid w:val="00EE106F"/>
    <w:rsid w:val="00EE164A"/>
    <w:rsid w:val="00EE1947"/>
    <w:rsid w:val="00EE3677"/>
    <w:rsid w:val="00EE4963"/>
    <w:rsid w:val="00EE4BE5"/>
    <w:rsid w:val="00EE4C81"/>
    <w:rsid w:val="00EE5129"/>
    <w:rsid w:val="00EE6795"/>
    <w:rsid w:val="00EE7197"/>
    <w:rsid w:val="00EE7FD9"/>
    <w:rsid w:val="00EF15D4"/>
    <w:rsid w:val="00EF1F6F"/>
    <w:rsid w:val="00EF20FE"/>
    <w:rsid w:val="00EF25E7"/>
    <w:rsid w:val="00EF3184"/>
    <w:rsid w:val="00EF37EC"/>
    <w:rsid w:val="00EF425E"/>
    <w:rsid w:val="00EF44B0"/>
    <w:rsid w:val="00EF4856"/>
    <w:rsid w:val="00EF4BB6"/>
    <w:rsid w:val="00EF4EDA"/>
    <w:rsid w:val="00EF5CDB"/>
    <w:rsid w:val="00EF625B"/>
    <w:rsid w:val="00EF6291"/>
    <w:rsid w:val="00EF665D"/>
    <w:rsid w:val="00EF724B"/>
    <w:rsid w:val="00EF7469"/>
    <w:rsid w:val="00EF76DB"/>
    <w:rsid w:val="00EF7BF7"/>
    <w:rsid w:val="00F00259"/>
    <w:rsid w:val="00F0189B"/>
    <w:rsid w:val="00F01B4C"/>
    <w:rsid w:val="00F0216A"/>
    <w:rsid w:val="00F02A77"/>
    <w:rsid w:val="00F03155"/>
    <w:rsid w:val="00F03811"/>
    <w:rsid w:val="00F03A6C"/>
    <w:rsid w:val="00F04B9B"/>
    <w:rsid w:val="00F04F67"/>
    <w:rsid w:val="00F05367"/>
    <w:rsid w:val="00F0553C"/>
    <w:rsid w:val="00F05A87"/>
    <w:rsid w:val="00F06304"/>
    <w:rsid w:val="00F064AB"/>
    <w:rsid w:val="00F06A80"/>
    <w:rsid w:val="00F07434"/>
    <w:rsid w:val="00F07775"/>
    <w:rsid w:val="00F07B6B"/>
    <w:rsid w:val="00F07B8A"/>
    <w:rsid w:val="00F07CAE"/>
    <w:rsid w:val="00F1293F"/>
    <w:rsid w:val="00F13641"/>
    <w:rsid w:val="00F14F03"/>
    <w:rsid w:val="00F1574E"/>
    <w:rsid w:val="00F15C22"/>
    <w:rsid w:val="00F1625E"/>
    <w:rsid w:val="00F1661C"/>
    <w:rsid w:val="00F16625"/>
    <w:rsid w:val="00F174E9"/>
    <w:rsid w:val="00F17A81"/>
    <w:rsid w:val="00F2097E"/>
    <w:rsid w:val="00F218E2"/>
    <w:rsid w:val="00F2285A"/>
    <w:rsid w:val="00F240A9"/>
    <w:rsid w:val="00F243B7"/>
    <w:rsid w:val="00F2585E"/>
    <w:rsid w:val="00F26194"/>
    <w:rsid w:val="00F26522"/>
    <w:rsid w:val="00F265AB"/>
    <w:rsid w:val="00F265B6"/>
    <w:rsid w:val="00F26E30"/>
    <w:rsid w:val="00F27469"/>
    <w:rsid w:val="00F30287"/>
    <w:rsid w:val="00F308D9"/>
    <w:rsid w:val="00F30F14"/>
    <w:rsid w:val="00F30FF4"/>
    <w:rsid w:val="00F31B34"/>
    <w:rsid w:val="00F33259"/>
    <w:rsid w:val="00F336A5"/>
    <w:rsid w:val="00F3370D"/>
    <w:rsid w:val="00F33CDA"/>
    <w:rsid w:val="00F35FBB"/>
    <w:rsid w:val="00F365A1"/>
    <w:rsid w:val="00F36FF9"/>
    <w:rsid w:val="00F37836"/>
    <w:rsid w:val="00F378C4"/>
    <w:rsid w:val="00F4017D"/>
    <w:rsid w:val="00F4031D"/>
    <w:rsid w:val="00F4074D"/>
    <w:rsid w:val="00F41564"/>
    <w:rsid w:val="00F415F4"/>
    <w:rsid w:val="00F417D2"/>
    <w:rsid w:val="00F41945"/>
    <w:rsid w:val="00F41C3A"/>
    <w:rsid w:val="00F41EB6"/>
    <w:rsid w:val="00F423BF"/>
    <w:rsid w:val="00F424E4"/>
    <w:rsid w:val="00F42E95"/>
    <w:rsid w:val="00F44655"/>
    <w:rsid w:val="00F447A2"/>
    <w:rsid w:val="00F4578A"/>
    <w:rsid w:val="00F45A45"/>
    <w:rsid w:val="00F45B3B"/>
    <w:rsid w:val="00F45D25"/>
    <w:rsid w:val="00F46E63"/>
    <w:rsid w:val="00F50145"/>
    <w:rsid w:val="00F502B0"/>
    <w:rsid w:val="00F51215"/>
    <w:rsid w:val="00F51369"/>
    <w:rsid w:val="00F521FF"/>
    <w:rsid w:val="00F5271F"/>
    <w:rsid w:val="00F52C94"/>
    <w:rsid w:val="00F52D23"/>
    <w:rsid w:val="00F53869"/>
    <w:rsid w:val="00F54031"/>
    <w:rsid w:val="00F556D3"/>
    <w:rsid w:val="00F55929"/>
    <w:rsid w:val="00F60BC7"/>
    <w:rsid w:val="00F61897"/>
    <w:rsid w:val="00F61F7A"/>
    <w:rsid w:val="00F61F98"/>
    <w:rsid w:val="00F64F13"/>
    <w:rsid w:val="00F65131"/>
    <w:rsid w:val="00F6667C"/>
    <w:rsid w:val="00F66B78"/>
    <w:rsid w:val="00F67415"/>
    <w:rsid w:val="00F67730"/>
    <w:rsid w:val="00F70123"/>
    <w:rsid w:val="00F7019F"/>
    <w:rsid w:val="00F7104C"/>
    <w:rsid w:val="00F71BEB"/>
    <w:rsid w:val="00F71F63"/>
    <w:rsid w:val="00F73386"/>
    <w:rsid w:val="00F7360E"/>
    <w:rsid w:val="00F7386F"/>
    <w:rsid w:val="00F73B72"/>
    <w:rsid w:val="00F74630"/>
    <w:rsid w:val="00F74F73"/>
    <w:rsid w:val="00F75B0E"/>
    <w:rsid w:val="00F761F1"/>
    <w:rsid w:val="00F76AB1"/>
    <w:rsid w:val="00F76FDD"/>
    <w:rsid w:val="00F80576"/>
    <w:rsid w:val="00F806A1"/>
    <w:rsid w:val="00F81432"/>
    <w:rsid w:val="00F81D87"/>
    <w:rsid w:val="00F81FB2"/>
    <w:rsid w:val="00F82255"/>
    <w:rsid w:val="00F82289"/>
    <w:rsid w:val="00F825E8"/>
    <w:rsid w:val="00F826DB"/>
    <w:rsid w:val="00F82983"/>
    <w:rsid w:val="00F831E4"/>
    <w:rsid w:val="00F8370D"/>
    <w:rsid w:val="00F83763"/>
    <w:rsid w:val="00F84044"/>
    <w:rsid w:val="00F84515"/>
    <w:rsid w:val="00F8468B"/>
    <w:rsid w:val="00F84EDD"/>
    <w:rsid w:val="00F851D6"/>
    <w:rsid w:val="00F856AC"/>
    <w:rsid w:val="00F861B9"/>
    <w:rsid w:val="00F8625F"/>
    <w:rsid w:val="00F90108"/>
    <w:rsid w:val="00F90399"/>
    <w:rsid w:val="00F905EF"/>
    <w:rsid w:val="00F91444"/>
    <w:rsid w:val="00F91BF2"/>
    <w:rsid w:val="00F92D4A"/>
    <w:rsid w:val="00F92D7F"/>
    <w:rsid w:val="00F9300B"/>
    <w:rsid w:val="00F9312C"/>
    <w:rsid w:val="00F94EF4"/>
    <w:rsid w:val="00F9588D"/>
    <w:rsid w:val="00F95976"/>
    <w:rsid w:val="00F97C95"/>
    <w:rsid w:val="00F97D37"/>
    <w:rsid w:val="00FA0315"/>
    <w:rsid w:val="00FA064F"/>
    <w:rsid w:val="00FA0697"/>
    <w:rsid w:val="00FA090B"/>
    <w:rsid w:val="00FA0B5E"/>
    <w:rsid w:val="00FA1378"/>
    <w:rsid w:val="00FA141A"/>
    <w:rsid w:val="00FA2875"/>
    <w:rsid w:val="00FA313D"/>
    <w:rsid w:val="00FA418F"/>
    <w:rsid w:val="00FA60D5"/>
    <w:rsid w:val="00FA72CC"/>
    <w:rsid w:val="00FA7BF8"/>
    <w:rsid w:val="00FA7DB7"/>
    <w:rsid w:val="00FB1351"/>
    <w:rsid w:val="00FB211E"/>
    <w:rsid w:val="00FB2267"/>
    <w:rsid w:val="00FB236C"/>
    <w:rsid w:val="00FB2C02"/>
    <w:rsid w:val="00FB3285"/>
    <w:rsid w:val="00FB4261"/>
    <w:rsid w:val="00FB4A20"/>
    <w:rsid w:val="00FB4C18"/>
    <w:rsid w:val="00FB5F57"/>
    <w:rsid w:val="00FB6075"/>
    <w:rsid w:val="00FB64CC"/>
    <w:rsid w:val="00FB6990"/>
    <w:rsid w:val="00FB78BB"/>
    <w:rsid w:val="00FB7EC2"/>
    <w:rsid w:val="00FC0325"/>
    <w:rsid w:val="00FC0B36"/>
    <w:rsid w:val="00FC0E3F"/>
    <w:rsid w:val="00FC2270"/>
    <w:rsid w:val="00FC2A5C"/>
    <w:rsid w:val="00FC2B2A"/>
    <w:rsid w:val="00FC34B3"/>
    <w:rsid w:val="00FC367A"/>
    <w:rsid w:val="00FC3825"/>
    <w:rsid w:val="00FC47A7"/>
    <w:rsid w:val="00FC4B37"/>
    <w:rsid w:val="00FC4B4F"/>
    <w:rsid w:val="00FC4F88"/>
    <w:rsid w:val="00FC51DD"/>
    <w:rsid w:val="00FC5239"/>
    <w:rsid w:val="00FC52DF"/>
    <w:rsid w:val="00FC52F9"/>
    <w:rsid w:val="00FC5346"/>
    <w:rsid w:val="00FC579E"/>
    <w:rsid w:val="00FC57C7"/>
    <w:rsid w:val="00FC66E3"/>
    <w:rsid w:val="00FC7269"/>
    <w:rsid w:val="00FC7489"/>
    <w:rsid w:val="00FC759A"/>
    <w:rsid w:val="00FC7B35"/>
    <w:rsid w:val="00FD02DF"/>
    <w:rsid w:val="00FD0565"/>
    <w:rsid w:val="00FD0BF9"/>
    <w:rsid w:val="00FD1102"/>
    <w:rsid w:val="00FD1E88"/>
    <w:rsid w:val="00FD298F"/>
    <w:rsid w:val="00FD380F"/>
    <w:rsid w:val="00FD3F0D"/>
    <w:rsid w:val="00FD4001"/>
    <w:rsid w:val="00FD4E52"/>
    <w:rsid w:val="00FD4F49"/>
    <w:rsid w:val="00FD519A"/>
    <w:rsid w:val="00FD540C"/>
    <w:rsid w:val="00FD5F62"/>
    <w:rsid w:val="00FD62D2"/>
    <w:rsid w:val="00FD6956"/>
    <w:rsid w:val="00FD73A1"/>
    <w:rsid w:val="00FD7418"/>
    <w:rsid w:val="00FD7FBA"/>
    <w:rsid w:val="00FE0F9B"/>
    <w:rsid w:val="00FE1447"/>
    <w:rsid w:val="00FE1B8E"/>
    <w:rsid w:val="00FE1BC1"/>
    <w:rsid w:val="00FE1C31"/>
    <w:rsid w:val="00FE20F1"/>
    <w:rsid w:val="00FE2400"/>
    <w:rsid w:val="00FE27F5"/>
    <w:rsid w:val="00FE38A7"/>
    <w:rsid w:val="00FE3BD9"/>
    <w:rsid w:val="00FE3D51"/>
    <w:rsid w:val="00FE41A5"/>
    <w:rsid w:val="00FE45F5"/>
    <w:rsid w:val="00FE4718"/>
    <w:rsid w:val="00FE4943"/>
    <w:rsid w:val="00FE4F12"/>
    <w:rsid w:val="00FE56FF"/>
    <w:rsid w:val="00FE6985"/>
    <w:rsid w:val="00FE6A3E"/>
    <w:rsid w:val="00FE6CC7"/>
    <w:rsid w:val="00FE7015"/>
    <w:rsid w:val="00FE7F66"/>
    <w:rsid w:val="00FF08A3"/>
    <w:rsid w:val="00FF1438"/>
    <w:rsid w:val="00FF1ED6"/>
    <w:rsid w:val="00FF255F"/>
    <w:rsid w:val="00FF3971"/>
    <w:rsid w:val="00FF3C18"/>
    <w:rsid w:val="00FF407E"/>
    <w:rsid w:val="00FF479E"/>
    <w:rsid w:val="00FF48A4"/>
    <w:rsid w:val="00FF4ABB"/>
    <w:rsid w:val="00FF4CB8"/>
    <w:rsid w:val="00FF56DB"/>
    <w:rsid w:val="00FF5B71"/>
    <w:rsid w:val="00FF64BC"/>
    <w:rsid w:val="00FF72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2D1F29-DE51-4F19-BD88-00795C21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2F2"/>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14938"/>
    <w:pPr>
      <w:keepNext/>
      <w:keepLines/>
      <w:spacing w:before="240"/>
      <w:outlineLvl w:val="0"/>
    </w:pPr>
    <w:rPr>
      <w:rFonts w:asciiTheme="majorHAnsi" w:eastAsiaTheme="majorEastAsia" w:hAnsiTheme="majorHAnsi" w:cstheme="majorBidi"/>
      <w:color w:val="365F91" w:themeColor="accent1" w:themeShade="BF"/>
      <w:sz w:val="32"/>
      <w:szCs w:val="32"/>
      <w:lang w:eastAsia="en-US"/>
    </w:rPr>
  </w:style>
  <w:style w:type="paragraph" w:styleId="Heading3">
    <w:name w:val="heading 3"/>
    <w:basedOn w:val="Normal"/>
    <w:next w:val="Normal"/>
    <w:link w:val="Heading3Char"/>
    <w:uiPriority w:val="9"/>
    <w:semiHidden/>
    <w:unhideWhenUsed/>
    <w:qFormat/>
    <w:rsid w:val="00A8782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E31"/>
    <w:pPr>
      <w:tabs>
        <w:tab w:val="center" w:pos="4153"/>
        <w:tab w:val="right" w:pos="8306"/>
      </w:tabs>
    </w:pPr>
    <w:rPr>
      <w:sz w:val="20"/>
      <w:szCs w:val="20"/>
      <w:lang w:eastAsia="en-US"/>
    </w:rPr>
  </w:style>
  <w:style w:type="character" w:customStyle="1" w:styleId="HeaderChar">
    <w:name w:val="Header Char"/>
    <w:basedOn w:val="DefaultParagraphFont"/>
    <w:link w:val="Header"/>
    <w:uiPriority w:val="99"/>
    <w:rsid w:val="00997E31"/>
    <w:rPr>
      <w:rFonts w:ascii="Times New Roman" w:eastAsia="Times New Roman" w:hAnsi="Times New Roman" w:cs="Times New Roman"/>
      <w:sz w:val="20"/>
      <w:szCs w:val="20"/>
      <w:lang w:val="en-AU"/>
    </w:rPr>
  </w:style>
  <w:style w:type="paragraph" w:styleId="Footer">
    <w:name w:val="footer"/>
    <w:basedOn w:val="Normal"/>
    <w:link w:val="FooterChar"/>
    <w:uiPriority w:val="99"/>
    <w:unhideWhenUsed/>
    <w:rsid w:val="00997E31"/>
    <w:pPr>
      <w:tabs>
        <w:tab w:val="center" w:pos="4153"/>
        <w:tab w:val="right" w:pos="8306"/>
      </w:tabs>
    </w:pPr>
    <w:rPr>
      <w:sz w:val="20"/>
      <w:szCs w:val="20"/>
      <w:lang w:eastAsia="en-US"/>
    </w:rPr>
  </w:style>
  <w:style w:type="character" w:customStyle="1" w:styleId="FooterChar">
    <w:name w:val="Footer Char"/>
    <w:basedOn w:val="DefaultParagraphFont"/>
    <w:link w:val="Footer"/>
    <w:uiPriority w:val="99"/>
    <w:rsid w:val="00997E31"/>
    <w:rPr>
      <w:rFonts w:ascii="Times New Roman" w:eastAsia="Times New Roman" w:hAnsi="Times New Roman" w:cs="Times New Roman"/>
      <w:sz w:val="20"/>
      <w:szCs w:val="20"/>
      <w:lang w:val="en-AU"/>
    </w:rPr>
  </w:style>
  <w:style w:type="paragraph" w:styleId="ListParagraph">
    <w:name w:val="List Paragraph"/>
    <w:basedOn w:val="Normal"/>
    <w:uiPriority w:val="34"/>
    <w:qFormat/>
    <w:rsid w:val="000C0FD1"/>
    <w:pPr>
      <w:ind w:left="720"/>
      <w:contextualSpacing/>
    </w:pPr>
    <w:rPr>
      <w:sz w:val="20"/>
      <w:szCs w:val="20"/>
      <w:lang w:eastAsia="en-US"/>
    </w:rPr>
  </w:style>
  <w:style w:type="character" w:customStyle="1" w:styleId="apple-converted-space">
    <w:name w:val="apple-converted-space"/>
    <w:rsid w:val="000029BB"/>
  </w:style>
  <w:style w:type="character" w:customStyle="1" w:styleId="DefaultChar">
    <w:name w:val="Default Char"/>
    <w:basedOn w:val="DefaultParagraphFont"/>
    <w:link w:val="Default"/>
    <w:locked/>
    <w:rsid w:val="006745FA"/>
    <w:rPr>
      <w:rFonts w:ascii="EAKGHC+TimesNewRoman" w:hAnsi="EAKGHC+TimesNewRoman"/>
      <w:color w:val="000000"/>
    </w:rPr>
  </w:style>
  <w:style w:type="paragraph" w:customStyle="1" w:styleId="Default">
    <w:name w:val="Default"/>
    <w:basedOn w:val="Normal"/>
    <w:link w:val="DefaultChar"/>
    <w:rsid w:val="006745FA"/>
    <w:pPr>
      <w:autoSpaceDE w:val="0"/>
      <w:autoSpaceDN w:val="0"/>
    </w:pPr>
    <w:rPr>
      <w:rFonts w:ascii="EAKGHC+TimesNewRoman" w:eastAsiaTheme="minorHAnsi" w:hAnsi="EAKGHC+TimesNewRoman" w:cstheme="minorBidi"/>
      <w:color w:val="000000"/>
      <w:sz w:val="22"/>
      <w:szCs w:val="22"/>
      <w:lang w:eastAsia="en-US"/>
    </w:rPr>
  </w:style>
  <w:style w:type="table" w:styleId="TableGrid">
    <w:name w:val="Table Grid"/>
    <w:basedOn w:val="TableNormal"/>
    <w:uiPriority w:val="59"/>
    <w:rsid w:val="002E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3614"/>
    <w:rPr>
      <w:b/>
      <w:bCs/>
    </w:rPr>
  </w:style>
  <w:style w:type="character" w:styleId="CommentReference">
    <w:name w:val="annotation reference"/>
    <w:basedOn w:val="DefaultParagraphFont"/>
    <w:uiPriority w:val="99"/>
    <w:semiHidden/>
    <w:unhideWhenUsed/>
    <w:rsid w:val="00E45334"/>
    <w:rPr>
      <w:sz w:val="16"/>
      <w:szCs w:val="16"/>
    </w:rPr>
  </w:style>
  <w:style w:type="paragraph" w:styleId="CommentText">
    <w:name w:val="annotation text"/>
    <w:basedOn w:val="Normal"/>
    <w:link w:val="CommentTextChar"/>
    <w:uiPriority w:val="99"/>
    <w:semiHidden/>
    <w:unhideWhenUsed/>
    <w:rsid w:val="00E45334"/>
    <w:rPr>
      <w:sz w:val="20"/>
      <w:szCs w:val="20"/>
      <w:lang w:eastAsia="en-US"/>
    </w:rPr>
  </w:style>
  <w:style w:type="character" w:customStyle="1" w:styleId="CommentTextChar">
    <w:name w:val="Comment Text Char"/>
    <w:basedOn w:val="DefaultParagraphFont"/>
    <w:link w:val="CommentText"/>
    <w:uiPriority w:val="99"/>
    <w:semiHidden/>
    <w:rsid w:val="00E45334"/>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E45334"/>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E45334"/>
    <w:rPr>
      <w:rFonts w:ascii="Tahoma" w:eastAsia="Times New Roman" w:hAnsi="Tahoma" w:cs="Tahoma"/>
      <w:sz w:val="16"/>
      <w:szCs w:val="16"/>
      <w:lang w:val="en-AU"/>
    </w:rPr>
  </w:style>
  <w:style w:type="character" w:customStyle="1" w:styleId="Heading1Char">
    <w:name w:val="Heading 1 Char"/>
    <w:basedOn w:val="DefaultParagraphFont"/>
    <w:link w:val="Heading1"/>
    <w:uiPriority w:val="9"/>
    <w:rsid w:val="00D14938"/>
    <w:rPr>
      <w:rFonts w:asciiTheme="majorHAnsi" w:eastAsiaTheme="majorEastAsia" w:hAnsiTheme="majorHAnsi" w:cstheme="majorBidi"/>
      <w:color w:val="365F91" w:themeColor="accent1" w:themeShade="BF"/>
      <w:sz w:val="32"/>
      <w:szCs w:val="32"/>
      <w:lang w:val="en-AU"/>
    </w:rPr>
  </w:style>
  <w:style w:type="paragraph" w:styleId="FootnoteText">
    <w:name w:val="footnote text"/>
    <w:basedOn w:val="Normal"/>
    <w:link w:val="FootnoteTextChar"/>
    <w:uiPriority w:val="99"/>
    <w:semiHidden/>
    <w:unhideWhenUsed/>
    <w:rsid w:val="00E015B0"/>
    <w:rPr>
      <w:sz w:val="20"/>
      <w:szCs w:val="20"/>
      <w:lang w:eastAsia="en-US"/>
    </w:rPr>
  </w:style>
  <w:style w:type="character" w:customStyle="1" w:styleId="FootnoteTextChar">
    <w:name w:val="Footnote Text Char"/>
    <w:basedOn w:val="DefaultParagraphFont"/>
    <w:link w:val="FootnoteText"/>
    <w:uiPriority w:val="99"/>
    <w:semiHidden/>
    <w:rsid w:val="00E015B0"/>
    <w:rPr>
      <w:rFonts w:ascii="Times New Roman" w:eastAsia="Times New Roman" w:hAnsi="Times New Roman" w:cs="Times New Roman"/>
      <w:sz w:val="20"/>
      <w:szCs w:val="20"/>
      <w:lang w:val="en-AU"/>
    </w:rPr>
  </w:style>
  <w:style w:type="character" w:styleId="FootnoteReference">
    <w:name w:val="footnote reference"/>
    <w:basedOn w:val="DefaultParagraphFont"/>
    <w:uiPriority w:val="99"/>
    <w:semiHidden/>
    <w:unhideWhenUsed/>
    <w:rsid w:val="00E015B0"/>
    <w:rPr>
      <w:vertAlign w:val="superscript"/>
    </w:rPr>
  </w:style>
  <w:style w:type="character" w:styleId="Hyperlink">
    <w:name w:val="Hyperlink"/>
    <w:basedOn w:val="DefaultParagraphFont"/>
    <w:uiPriority w:val="99"/>
    <w:unhideWhenUsed/>
    <w:rsid w:val="003E542E"/>
    <w:rPr>
      <w:color w:val="0000FF" w:themeColor="hyperlink"/>
      <w:u w:val="single"/>
    </w:rPr>
  </w:style>
  <w:style w:type="character" w:customStyle="1" w:styleId="Bodytext2">
    <w:name w:val="Body text (2)_"/>
    <w:basedOn w:val="DefaultParagraphFont"/>
    <w:link w:val="Bodytext20"/>
    <w:rsid w:val="005E6EBA"/>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5E6EBA"/>
    <w:pPr>
      <w:widowControl w:val="0"/>
      <w:shd w:val="clear" w:color="auto" w:fill="FFFFFF"/>
      <w:spacing w:before="240" w:after="300" w:line="0" w:lineRule="atLeast"/>
      <w:jc w:val="center"/>
    </w:pPr>
    <w:rPr>
      <w:sz w:val="22"/>
      <w:szCs w:val="22"/>
      <w:lang w:eastAsia="en-US"/>
    </w:rPr>
  </w:style>
  <w:style w:type="character" w:customStyle="1" w:styleId="Bodytext7">
    <w:name w:val="Body text (7)_"/>
    <w:basedOn w:val="DefaultParagraphFont"/>
    <w:link w:val="Bodytext70"/>
    <w:rsid w:val="00086F36"/>
    <w:rPr>
      <w:rFonts w:ascii="Times New Roman" w:eastAsia="Times New Roman" w:hAnsi="Times New Roman" w:cs="Times New Roman"/>
      <w:i/>
      <w:iCs/>
      <w:sz w:val="20"/>
      <w:szCs w:val="20"/>
      <w:shd w:val="clear" w:color="auto" w:fill="FFFFFF"/>
    </w:rPr>
  </w:style>
  <w:style w:type="paragraph" w:customStyle="1" w:styleId="Bodytext70">
    <w:name w:val="Body text (7)"/>
    <w:basedOn w:val="Normal"/>
    <w:link w:val="Bodytext7"/>
    <w:rsid w:val="00086F36"/>
    <w:pPr>
      <w:widowControl w:val="0"/>
      <w:shd w:val="clear" w:color="auto" w:fill="FFFFFF"/>
      <w:spacing w:before="480" w:line="0" w:lineRule="atLeast"/>
    </w:pPr>
    <w:rPr>
      <w:i/>
      <w:iCs/>
      <w:sz w:val="20"/>
      <w:szCs w:val="20"/>
      <w:lang w:eastAsia="en-US"/>
    </w:rPr>
  </w:style>
  <w:style w:type="paragraph" w:styleId="CommentSubject">
    <w:name w:val="annotation subject"/>
    <w:basedOn w:val="CommentText"/>
    <w:next w:val="CommentText"/>
    <w:link w:val="CommentSubjectChar"/>
    <w:uiPriority w:val="99"/>
    <w:semiHidden/>
    <w:unhideWhenUsed/>
    <w:rsid w:val="006F3BEE"/>
    <w:rPr>
      <w:b/>
      <w:bCs/>
    </w:rPr>
  </w:style>
  <w:style w:type="character" w:customStyle="1" w:styleId="CommentSubjectChar">
    <w:name w:val="Comment Subject Char"/>
    <w:basedOn w:val="CommentTextChar"/>
    <w:link w:val="CommentSubject"/>
    <w:uiPriority w:val="99"/>
    <w:semiHidden/>
    <w:rsid w:val="006F3BEE"/>
    <w:rPr>
      <w:rFonts w:ascii="Times New Roman" w:eastAsia="Times New Roman" w:hAnsi="Times New Roman" w:cs="Times New Roman"/>
      <w:b/>
      <w:bCs/>
      <w:sz w:val="20"/>
      <w:szCs w:val="20"/>
      <w:lang w:val="en-AU"/>
    </w:rPr>
  </w:style>
  <w:style w:type="paragraph" w:styleId="BodyText">
    <w:name w:val="Body Text"/>
    <w:basedOn w:val="Normal"/>
    <w:link w:val="BodyTextChar"/>
    <w:unhideWhenUsed/>
    <w:rsid w:val="00D45557"/>
    <w:pPr>
      <w:ind w:firstLine="851"/>
      <w:contextualSpacing/>
      <w:jc w:val="both"/>
    </w:pPr>
    <w:rPr>
      <w:sz w:val="28"/>
      <w:lang w:eastAsia="en-US"/>
    </w:rPr>
  </w:style>
  <w:style w:type="character" w:customStyle="1" w:styleId="BodyTextChar">
    <w:name w:val="Body Text Char"/>
    <w:basedOn w:val="DefaultParagraphFont"/>
    <w:link w:val="BodyText"/>
    <w:rsid w:val="00D45557"/>
    <w:rPr>
      <w:rFonts w:ascii="Times New Roman" w:eastAsia="Times New Roman" w:hAnsi="Times New Roman" w:cs="Times New Roman"/>
      <w:sz w:val="28"/>
      <w:szCs w:val="24"/>
    </w:rPr>
  </w:style>
  <w:style w:type="paragraph" w:customStyle="1" w:styleId="tv2132">
    <w:name w:val="tv2132"/>
    <w:basedOn w:val="Normal"/>
    <w:rsid w:val="0042153A"/>
    <w:pPr>
      <w:spacing w:line="360" w:lineRule="auto"/>
      <w:ind w:firstLine="300"/>
    </w:pPr>
    <w:rPr>
      <w:color w:val="414142"/>
      <w:sz w:val="20"/>
      <w:szCs w:val="20"/>
    </w:rPr>
  </w:style>
  <w:style w:type="character" w:styleId="FollowedHyperlink">
    <w:name w:val="FollowedHyperlink"/>
    <w:basedOn w:val="DefaultParagraphFont"/>
    <w:uiPriority w:val="99"/>
    <w:semiHidden/>
    <w:unhideWhenUsed/>
    <w:rsid w:val="00296E5F"/>
    <w:rPr>
      <w:color w:val="800080" w:themeColor="followedHyperlink"/>
      <w:u w:val="single"/>
    </w:rPr>
  </w:style>
  <w:style w:type="paragraph" w:styleId="Revision">
    <w:name w:val="Revision"/>
    <w:hidden/>
    <w:uiPriority w:val="99"/>
    <w:semiHidden/>
    <w:rsid w:val="000409F5"/>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305DF1"/>
  </w:style>
  <w:style w:type="character" w:styleId="Emphasis">
    <w:name w:val="Emphasis"/>
    <w:basedOn w:val="DefaultParagraphFont"/>
    <w:uiPriority w:val="20"/>
    <w:qFormat/>
    <w:rsid w:val="00305DF1"/>
    <w:rPr>
      <w:i/>
      <w:iCs/>
    </w:rPr>
  </w:style>
  <w:style w:type="paragraph" w:styleId="BodyTextIndent">
    <w:name w:val="Body Text Indent"/>
    <w:basedOn w:val="Normal"/>
    <w:link w:val="BodyTextIndentChar"/>
    <w:uiPriority w:val="99"/>
    <w:semiHidden/>
    <w:unhideWhenUsed/>
    <w:rsid w:val="00B5511C"/>
    <w:pPr>
      <w:spacing w:after="120"/>
      <w:ind w:left="283"/>
    </w:pPr>
  </w:style>
  <w:style w:type="character" w:customStyle="1" w:styleId="BodyTextIndentChar">
    <w:name w:val="Body Text Indent Char"/>
    <w:basedOn w:val="DefaultParagraphFont"/>
    <w:link w:val="BodyTextIndent"/>
    <w:uiPriority w:val="99"/>
    <w:semiHidden/>
    <w:rsid w:val="00B5511C"/>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semiHidden/>
    <w:rsid w:val="00A8782A"/>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2321">
      <w:bodyDiv w:val="1"/>
      <w:marLeft w:val="0"/>
      <w:marRight w:val="0"/>
      <w:marTop w:val="0"/>
      <w:marBottom w:val="0"/>
      <w:divBdr>
        <w:top w:val="none" w:sz="0" w:space="0" w:color="auto"/>
        <w:left w:val="none" w:sz="0" w:space="0" w:color="auto"/>
        <w:bottom w:val="none" w:sz="0" w:space="0" w:color="auto"/>
        <w:right w:val="none" w:sz="0" w:space="0" w:color="auto"/>
      </w:divBdr>
    </w:div>
    <w:div w:id="2505917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64299643">
      <w:bodyDiv w:val="1"/>
      <w:marLeft w:val="0"/>
      <w:marRight w:val="0"/>
      <w:marTop w:val="0"/>
      <w:marBottom w:val="0"/>
      <w:divBdr>
        <w:top w:val="none" w:sz="0" w:space="0" w:color="auto"/>
        <w:left w:val="none" w:sz="0" w:space="0" w:color="auto"/>
        <w:bottom w:val="none" w:sz="0" w:space="0" w:color="auto"/>
        <w:right w:val="none" w:sz="0" w:space="0" w:color="auto"/>
      </w:divBdr>
    </w:div>
    <w:div w:id="90008984">
      <w:bodyDiv w:val="1"/>
      <w:marLeft w:val="0"/>
      <w:marRight w:val="0"/>
      <w:marTop w:val="0"/>
      <w:marBottom w:val="0"/>
      <w:divBdr>
        <w:top w:val="none" w:sz="0" w:space="0" w:color="auto"/>
        <w:left w:val="none" w:sz="0" w:space="0" w:color="auto"/>
        <w:bottom w:val="none" w:sz="0" w:space="0" w:color="auto"/>
        <w:right w:val="none" w:sz="0" w:space="0" w:color="auto"/>
      </w:divBdr>
    </w:div>
    <w:div w:id="134690801">
      <w:bodyDiv w:val="1"/>
      <w:marLeft w:val="0"/>
      <w:marRight w:val="0"/>
      <w:marTop w:val="0"/>
      <w:marBottom w:val="0"/>
      <w:divBdr>
        <w:top w:val="none" w:sz="0" w:space="0" w:color="auto"/>
        <w:left w:val="none" w:sz="0" w:space="0" w:color="auto"/>
        <w:bottom w:val="none" w:sz="0" w:space="0" w:color="auto"/>
        <w:right w:val="none" w:sz="0" w:space="0" w:color="auto"/>
      </w:divBdr>
    </w:div>
    <w:div w:id="216018094">
      <w:bodyDiv w:val="1"/>
      <w:marLeft w:val="0"/>
      <w:marRight w:val="0"/>
      <w:marTop w:val="0"/>
      <w:marBottom w:val="0"/>
      <w:divBdr>
        <w:top w:val="none" w:sz="0" w:space="0" w:color="auto"/>
        <w:left w:val="none" w:sz="0" w:space="0" w:color="auto"/>
        <w:bottom w:val="none" w:sz="0" w:space="0" w:color="auto"/>
        <w:right w:val="none" w:sz="0" w:space="0" w:color="auto"/>
      </w:divBdr>
    </w:div>
    <w:div w:id="229924160">
      <w:bodyDiv w:val="1"/>
      <w:marLeft w:val="0"/>
      <w:marRight w:val="0"/>
      <w:marTop w:val="0"/>
      <w:marBottom w:val="0"/>
      <w:divBdr>
        <w:top w:val="none" w:sz="0" w:space="0" w:color="auto"/>
        <w:left w:val="none" w:sz="0" w:space="0" w:color="auto"/>
        <w:bottom w:val="none" w:sz="0" w:space="0" w:color="auto"/>
        <w:right w:val="none" w:sz="0" w:space="0" w:color="auto"/>
      </w:divBdr>
    </w:div>
    <w:div w:id="267465441">
      <w:bodyDiv w:val="1"/>
      <w:marLeft w:val="0"/>
      <w:marRight w:val="0"/>
      <w:marTop w:val="0"/>
      <w:marBottom w:val="0"/>
      <w:divBdr>
        <w:top w:val="none" w:sz="0" w:space="0" w:color="auto"/>
        <w:left w:val="none" w:sz="0" w:space="0" w:color="auto"/>
        <w:bottom w:val="none" w:sz="0" w:space="0" w:color="auto"/>
        <w:right w:val="none" w:sz="0" w:space="0" w:color="auto"/>
      </w:divBdr>
    </w:div>
    <w:div w:id="285934645">
      <w:bodyDiv w:val="1"/>
      <w:marLeft w:val="0"/>
      <w:marRight w:val="0"/>
      <w:marTop w:val="0"/>
      <w:marBottom w:val="0"/>
      <w:divBdr>
        <w:top w:val="none" w:sz="0" w:space="0" w:color="auto"/>
        <w:left w:val="none" w:sz="0" w:space="0" w:color="auto"/>
        <w:bottom w:val="none" w:sz="0" w:space="0" w:color="auto"/>
        <w:right w:val="none" w:sz="0" w:space="0" w:color="auto"/>
      </w:divBdr>
    </w:div>
    <w:div w:id="287013143">
      <w:bodyDiv w:val="1"/>
      <w:marLeft w:val="0"/>
      <w:marRight w:val="0"/>
      <w:marTop w:val="0"/>
      <w:marBottom w:val="0"/>
      <w:divBdr>
        <w:top w:val="none" w:sz="0" w:space="0" w:color="auto"/>
        <w:left w:val="none" w:sz="0" w:space="0" w:color="auto"/>
        <w:bottom w:val="none" w:sz="0" w:space="0" w:color="auto"/>
        <w:right w:val="none" w:sz="0" w:space="0" w:color="auto"/>
      </w:divBdr>
    </w:div>
    <w:div w:id="296684932">
      <w:bodyDiv w:val="1"/>
      <w:marLeft w:val="0"/>
      <w:marRight w:val="0"/>
      <w:marTop w:val="0"/>
      <w:marBottom w:val="0"/>
      <w:divBdr>
        <w:top w:val="none" w:sz="0" w:space="0" w:color="auto"/>
        <w:left w:val="none" w:sz="0" w:space="0" w:color="auto"/>
        <w:bottom w:val="none" w:sz="0" w:space="0" w:color="auto"/>
        <w:right w:val="none" w:sz="0" w:space="0" w:color="auto"/>
      </w:divBdr>
    </w:div>
    <w:div w:id="310209902">
      <w:bodyDiv w:val="1"/>
      <w:marLeft w:val="0"/>
      <w:marRight w:val="0"/>
      <w:marTop w:val="0"/>
      <w:marBottom w:val="0"/>
      <w:divBdr>
        <w:top w:val="none" w:sz="0" w:space="0" w:color="auto"/>
        <w:left w:val="none" w:sz="0" w:space="0" w:color="auto"/>
        <w:bottom w:val="none" w:sz="0" w:space="0" w:color="auto"/>
        <w:right w:val="none" w:sz="0" w:space="0" w:color="auto"/>
      </w:divBdr>
      <w:divsChild>
        <w:div w:id="151987233">
          <w:marLeft w:val="0"/>
          <w:marRight w:val="0"/>
          <w:marTop w:val="0"/>
          <w:marBottom w:val="0"/>
          <w:divBdr>
            <w:top w:val="none" w:sz="0" w:space="0" w:color="auto"/>
            <w:left w:val="none" w:sz="0" w:space="0" w:color="auto"/>
            <w:bottom w:val="none" w:sz="0" w:space="0" w:color="auto"/>
            <w:right w:val="none" w:sz="0" w:space="0" w:color="auto"/>
          </w:divBdr>
          <w:divsChild>
            <w:div w:id="416366446">
              <w:marLeft w:val="0"/>
              <w:marRight w:val="0"/>
              <w:marTop w:val="0"/>
              <w:marBottom w:val="0"/>
              <w:divBdr>
                <w:top w:val="none" w:sz="0" w:space="0" w:color="auto"/>
                <w:left w:val="none" w:sz="0" w:space="0" w:color="auto"/>
                <w:bottom w:val="none" w:sz="0" w:space="0" w:color="auto"/>
                <w:right w:val="none" w:sz="0" w:space="0" w:color="auto"/>
              </w:divBdr>
              <w:divsChild>
                <w:div w:id="1815946790">
                  <w:marLeft w:val="0"/>
                  <w:marRight w:val="0"/>
                  <w:marTop w:val="0"/>
                  <w:marBottom w:val="0"/>
                  <w:divBdr>
                    <w:top w:val="none" w:sz="0" w:space="0" w:color="auto"/>
                    <w:left w:val="none" w:sz="0" w:space="0" w:color="auto"/>
                    <w:bottom w:val="none" w:sz="0" w:space="0" w:color="auto"/>
                    <w:right w:val="none" w:sz="0" w:space="0" w:color="auto"/>
                  </w:divBdr>
                  <w:divsChild>
                    <w:div w:id="108404347">
                      <w:marLeft w:val="0"/>
                      <w:marRight w:val="0"/>
                      <w:marTop w:val="0"/>
                      <w:marBottom w:val="0"/>
                      <w:divBdr>
                        <w:top w:val="none" w:sz="0" w:space="0" w:color="auto"/>
                        <w:left w:val="none" w:sz="0" w:space="0" w:color="auto"/>
                        <w:bottom w:val="none" w:sz="0" w:space="0" w:color="auto"/>
                        <w:right w:val="none" w:sz="0" w:space="0" w:color="auto"/>
                      </w:divBdr>
                      <w:divsChild>
                        <w:div w:id="1545681429">
                          <w:marLeft w:val="0"/>
                          <w:marRight w:val="0"/>
                          <w:marTop w:val="0"/>
                          <w:marBottom w:val="0"/>
                          <w:divBdr>
                            <w:top w:val="none" w:sz="0" w:space="0" w:color="auto"/>
                            <w:left w:val="none" w:sz="0" w:space="0" w:color="auto"/>
                            <w:bottom w:val="none" w:sz="0" w:space="0" w:color="auto"/>
                            <w:right w:val="none" w:sz="0" w:space="0" w:color="auto"/>
                          </w:divBdr>
                          <w:divsChild>
                            <w:div w:id="210646013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210010">
      <w:bodyDiv w:val="1"/>
      <w:marLeft w:val="0"/>
      <w:marRight w:val="0"/>
      <w:marTop w:val="0"/>
      <w:marBottom w:val="0"/>
      <w:divBdr>
        <w:top w:val="none" w:sz="0" w:space="0" w:color="auto"/>
        <w:left w:val="none" w:sz="0" w:space="0" w:color="auto"/>
        <w:bottom w:val="none" w:sz="0" w:space="0" w:color="auto"/>
        <w:right w:val="none" w:sz="0" w:space="0" w:color="auto"/>
      </w:divBdr>
    </w:div>
    <w:div w:id="518545237">
      <w:bodyDiv w:val="1"/>
      <w:marLeft w:val="0"/>
      <w:marRight w:val="0"/>
      <w:marTop w:val="0"/>
      <w:marBottom w:val="0"/>
      <w:divBdr>
        <w:top w:val="none" w:sz="0" w:space="0" w:color="auto"/>
        <w:left w:val="none" w:sz="0" w:space="0" w:color="auto"/>
        <w:bottom w:val="none" w:sz="0" w:space="0" w:color="auto"/>
        <w:right w:val="none" w:sz="0" w:space="0" w:color="auto"/>
      </w:divBdr>
    </w:div>
    <w:div w:id="527254185">
      <w:bodyDiv w:val="1"/>
      <w:marLeft w:val="0"/>
      <w:marRight w:val="0"/>
      <w:marTop w:val="0"/>
      <w:marBottom w:val="0"/>
      <w:divBdr>
        <w:top w:val="none" w:sz="0" w:space="0" w:color="auto"/>
        <w:left w:val="none" w:sz="0" w:space="0" w:color="auto"/>
        <w:bottom w:val="none" w:sz="0" w:space="0" w:color="auto"/>
        <w:right w:val="none" w:sz="0" w:space="0" w:color="auto"/>
      </w:divBdr>
    </w:div>
    <w:div w:id="542057077">
      <w:bodyDiv w:val="1"/>
      <w:marLeft w:val="0"/>
      <w:marRight w:val="0"/>
      <w:marTop w:val="0"/>
      <w:marBottom w:val="0"/>
      <w:divBdr>
        <w:top w:val="none" w:sz="0" w:space="0" w:color="auto"/>
        <w:left w:val="none" w:sz="0" w:space="0" w:color="auto"/>
        <w:bottom w:val="none" w:sz="0" w:space="0" w:color="auto"/>
        <w:right w:val="none" w:sz="0" w:space="0" w:color="auto"/>
      </w:divBdr>
    </w:div>
    <w:div w:id="689834957">
      <w:bodyDiv w:val="1"/>
      <w:marLeft w:val="0"/>
      <w:marRight w:val="0"/>
      <w:marTop w:val="0"/>
      <w:marBottom w:val="0"/>
      <w:divBdr>
        <w:top w:val="none" w:sz="0" w:space="0" w:color="auto"/>
        <w:left w:val="none" w:sz="0" w:space="0" w:color="auto"/>
        <w:bottom w:val="none" w:sz="0" w:space="0" w:color="auto"/>
        <w:right w:val="none" w:sz="0" w:space="0" w:color="auto"/>
      </w:divBdr>
    </w:div>
    <w:div w:id="758644928">
      <w:bodyDiv w:val="1"/>
      <w:marLeft w:val="0"/>
      <w:marRight w:val="0"/>
      <w:marTop w:val="0"/>
      <w:marBottom w:val="0"/>
      <w:divBdr>
        <w:top w:val="none" w:sz="0" w:space="0" w:color="auto"/>
        <w:left w:val="none" w:sz="0" w:space="0" w:color="auto"/>
        <w:bottom w:val="none" w:sz="0" w:space="0" w:color="auto"/>
        <w:right w:val="none" w:sz="0" w:space="0" w:color="auto"/>
      </w:divBdr>
    </w:div>
    <w:div w:id="805974462">
      <w:bodyDiv w:val="1"/>
      <w:marLeft w:val="0"/>
      <w:marRight w:val="0"/>
      <w:marTop w:val="0"/>
      <w:marBottom w:val="0"/>
      <w:divBdr>
        <w:top w:val="none" w:sz="0" w:space="0" w:color="auto"/>
        <w:left w:val="none" w:sz="0" w:space="0" w:color="auto"/>
        <w:bottom w:val="none" w:sz="0" w:space="0" w:color="auto"/>
        <w:right w:val="none" w:sz="0" w:space="0" w:color="auto"/>
      </w:divBdr>
      <w:divsChild>
        <w:div w:id="754781987">
          <w:marLeft w:val="0"/>
          <w:marRight w:val="0"/>
          <w:marTop w:val="0"/>
          <w:marBottom w:val="0"/>
          <w:divBdr>
            <w:top w:val="none" w:sz="0" w:space="0" w:color="auto"/>
            <w:left w:val="none" w:sz="0" w:space="0" w:color="auto"/>
            <w:bottom w:val="none" w:sz="0" w:space="0" w:color="auto"/>
            <w:right w:val="none" w:sz="0" w:space="0" w:color="auto"/>
          </w:divBdr>
          <w:divsChild>
            <w:div w:id="560139956">
              <w:marLeft w:val="0"/>
              <w:marRight w:val="0"/>
              <w:marTop w:val="0"/>
              <w:marBottom w:val="0"/>
              <w:divBdr>
                <w:top w:val="none" w:sz="0" w:space="0" w:color="auto"/>
                <w:left w:val="none" w:sz="0" w:space="0" w:color="auto"/>
                <w:bottom w:val="none" w:sz="0" w:space="0" w:color="auto"/>
                <w:right w:val="none" w:sz="0" w:space="0" w:color="auto"/>
              </w:divBdr>
              <w:divsChild>
                <w:div w:id="1499467354">
                  <w:marLeft w:val="0"/>
                  <w:marRight w:val="0"/>
                  <w:marTop w:val="0"/>
                  <w:marBottom w:val="0"/>
                  <w:divBdr>
                    <w:top w:val="none" w:sz="0" w:space="0" w:color="auto"/>
                    <w:left w:val="none" w:sz="0" w:space="0" w:color="auto"/>
                    <w:bottom w:val="none" w:sz="0" w:space="0" w:color="auto"/>
                    <w:right w:val="none" w:sz="0" w:space="0" w:color="auto"/>
                  </w:divBdr>
                  <w:divsChild>
                    <w:div w:id="415250788">
                      <w:marLeft w:val="0"/>
                      <w:marRight w:val="0"/>
                      <w:marTop w:val="0"/>
                      <w:marBottom w:val="0"/>
                      <w:divBdr>
                        <w:top w:val="none" w:sz="0" w:space="0" w:color="auto"/>
                        <w:left w:val="none" w:sz="0" w:space="0" w:color="auto"/>
                        <w:bottom w:val="none" w:sz="0" w:space="0" w:color="auto"/>
                        <w:right w:val="none" w:sz="0" w:space="0" w:color="auto"/>
                      </w:divBdr>
                      <w:divsChild>
                        <w:div w:id="348146286">
                          <w:marLeft w:val="0"/>
                          <w:marRight w:val="0"/>
                          <w:marTop w:val="0"/>
                          <w:marBottom w:val="0"/>
                          <w:divBdr>
                            <w:top w:val="none" w:sz="0" w:space="0" w:color="auto"/>
                            <w:left w:val="none" w:sz="0" w:space="0" w:color="auto"/>
                            <w:bottom w:val="none" w:sz="0" w:space="0" w:color="auto"/>
                            <w:right w:val="none" w:sz="0" w:space="0" w:color="auto"/>
                          </w:divBdr>
                          <w:divsChild>
                            <w:div w:id="203056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377795">
      <w:bodyDiv w:val="1"/>
      <w:marLeft w:val="0"/>
      <w:marRight w:val="0"/>
      <w:marTop w:val="0"/>
      <w:marBottom w:val="0"/>
      <w:divBdr>
        <w:top w:val="none" w:sz="0" w:space="0" w:color="auto"/>
        <w:left w:val="none" w:sz="0" w:space="0" w:color="auto"/>
        <w:bottom w:val="none" w:sz="0" w:space="0" w:color="auto"/>
        <w:right w:val="none" w:sz="0" w:space="0" w:color="auto"/>
      </w:divBdr>
    </w:div>
    <w:div w:id="880745297">
      <w:bodyDiv w:val="1"/>
      <w:marLeft w:val="0"/>
      <w:marRight w:val="0"/>
      <w:marTop w:val="0"/>
      <w:marBottom w:val="0"/>
      <w:divBdr>
        <w:top w:val="none" w:sz="0" w:space="0" w:color="auto"/>
        <w:left w:val="none" w:sz="0" w:space="0" w:color="auto"/>
        <w:bottom w:val="none" w:sz="0" w:space="0" w:color="auto"/>
        <w:right w:val="none" w:sz="0" w:space="0" w:color="auto"/>
      </w:divBdr>
    </w:div>
    <w:div w:id="971711720">
      <w:bodyDiv w:val="1"/>
      <w:marLeft w:val="0"/>
      <w:marRight w:val="0"/>
      <w:marTop w:val="0"/>
      <w:marBottom w:val="0"/>
      <w:divBdr>
        <w:top w:val="none" w:sz="0" w:space="0" w:color="auto"/>
        <w:left w:val="none" w:sz="0" w:space="0" w:color="auto"/>
        <w:bottom w:val="none" w:sz="0" w:space="0" w:color="auto"/>
        <w:right w:val="none" w:sz="0" w:space="0" w:color="auto"/>
      </w:divBdr>
    </w:div>
    <w:div w:id="1025713838">
      <w:bodyDiv w:val="1"/>
      <w:marLeft w:val="0"/>
      <w:marRight w:val="0"/>
      <w:marTop w:val="0"/>
      <w:marBottom w:val="0"/>
      <w:divBdr>
        <w:top w:val="none" w:sz="0" w:space="0" w:color="auto"/>
        <w:left w:val="none" w:sz="0" w:space="0" w:color="auto"/>
        <w:bottom w:val="none" w:sz="0" w:space="0" w:color="auto"/>
        <w:right w:val="none" w:sz="0" w:space="0" w:color="auto"/>
      </w:divBdr>
    </w:div>
    <w:div w:id="1036539985">
      <w:bodyDiv w:val="1"/>
      <w:marLeft w:val="0"/>
      <w:marRight w:val="0"/>
      <w:marTop w:val="0"/>
      <w:marBottom w:val="0"/>
      <w:divBdr>
        <w:top w:val="none" w:sz="0" w:space="0" w:color="auto"/>
        <w:left w:val="none" w:sz="0" w:space="0" w:color="auto"/>
        <w:bottom w:val="none" w:sz="0" w:space="0" w:color="auto"/>
        <w:right w:val="none" w:sz="0" w:space="0" w:color="auto"/>
      </w:divBdr>
      <w:divsChild>
        <w:div w:id="1507670515">
          <w:marLeft w:val="0"/>
          <w:marRight w:val="0"/>
          <w:marTop w:val="0"/>
          <w:marBottom w:val="0"/>
          <w:divBdr>
            <w:top w:val="none" w:sz="0" w:space="0" w:color="auto"/>
            <w:left w:val="none" w:sz="0" w:space="0" w:color="auto"/>
            <w:bottom w:val="none" w:sz="0" w:space="0" w:color="auto"/>
            <w:right w:val="none" w:sz="0" w:space="0" w:color="auto"/>
          </w:divBdr>
          <w:divsChild>
            <w:div w:id="452096577">
              <w:marLeft w:val="0"/>
              <w:marRight w:val="0"/>
              <w:marTop w:val="0"/>
              <w:marBottom w:val="0"/>
              <w:divBdr>
                <w:top w:val="none" w:sz="0" w:space="0" w:color="auto"/>
                <w:left w:val="none" w:sz="0" w:space="0" w:color="auto"/>
                <w:bottom w:val="none" w:sz="0" w:space="0" w:color="auto"/>
                <w:right w:val="none" w:sz="0" w:space="0" w:color="auto"/>
              </w:divBdr>
              <w:divsChild>
                <w:div w:id="517499862">
                  <w:marLeft w:val="0"/>
                  <w:marRight w:val="0"/>
                  <w:marTop w:val="0"/>
                  <w:marBottom w:val="0"/>
                  <w:divBdr>
                    <w:top w:val="none" w:sz="0" w:space="0" w:color="auto"/>
                    <w:left w:val="none" w:sz="0" w:space="0" w:color="auto"/>
                    <w:bottom w:val="none" w:sz="0" w:space="0" w:color="auto"/>
                    <w:right w:val="none" w:sz="0" w:space="0" w:color="auto"/>
                  </w:divBdr>
                  <w:divsChild>
                    <w:div w:id="17065649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38314874">
      <w:bodyDiv w:val="1"/>
      <w:marLeft w:val="0"/>
      <w:marRight w:val="0"/>
      <w:marTop w:val="0"/>
      <w:marBottom w:val="0"/>
      <w:divBdr>
        <w:top w:val="none" w:sz="0" w:space="0" w:color="auto"/>
        <w:left w:val="none" w:sz="0" w:space="0" w:color="auto"/>
        <w:bottom w:val="none" w:sz="0" w:space="0" w:color="auto"/>
        <w:right w:val="none" w:sz="0" w:space="0" w:color="auto"/>
      </w:divBdr>
    </w:div>
    <w:div w:id="1067219199">
      <w:bodyDiv w:val="1"/>
      <w:marLeft w:val="0"/>
      <w:marRight w:val="0"/>
      <w:marTop w:val="0"/>
      <w:marBottom w:val="0"/>
      <w:divBdr>
        <w:top w:val="none" w:sz="0" w:space="0" w:color="auto"/>
        <w:left w:val="none" w:sz="0" w:space="0" w:color="auto"/>
        <w:bottom w:val="none" w:sz="0" w:space="0" w:color="auto"/>
        <w:right w:val="none" w:sz="0" w:space="0" w:color="auto"/>
      </w:divBdr>
    </w:div>
    <w:div w:id="1132558236">
      <w:bodyDiv w:val="1"/>
      <w:marLeft w:val="0"/>
      <w:marRight w:val="0"/>
      <w:marTop w:val="0"/>
      <w:marBottom w:val="0"/>
      <w:divBdr>
        <w:top w:val="none" w:sz="0" w:space="0" w:color="auto"/>
        <w:left w:val="none" w:sz="0" w:space="0" w:color="auto"/>
        <w:bottom w:val="none" w:sz="0" w:space="0" w:color="auto"/>
        <w:right w:val="none" w:sz="0" w:space="0" w:color="auto"/>
      </w:divBdr>
    </w:div>
    <w:div w:id="1134713445">
      <w:bodyDiv w:val="1"/>
      <w:marLeft w:val="0"/>
      <w:marRight w:val="0"/>
      <w:marTop w:val="0"/>
      <w:marBottom w:val="0"/>
      <w:divBdr>
        <w:top w:val="none" w:sz="0" w:space="0" w:color="auto"/>
        <w:left w:val="none" w:sz="0" w:space="0" w:color="auto"/>
        <w:bottom w:val="none" w:sz="0" w:space="0" w:color="auto"/>
        <w:right w:val="none" w:sz="0" w:space="0" w:color="auto"/>
      </w:divBdr>
      <w:divsChild>
        <w:div w:id="684015799">
          <w:marLeft w:val="0"/>
          <w:marRight w:val="0"/>
          <w:marTop w:val="0"/>
          <w:marBottom w:val="0"/>
          <w:divBdr>
            <w:top w:val="none" w:sz="0" w:space="0" w:color="auto"/>
            <w:left w:val="none" w:sz="0" w:space="0" w:color="auto"/>
            <w:bottom w:val="none" w:sz="0" w:space="0" w:color="auto"/>
            <w:right w:val="none" w:sz="0" w:space="0" w:color="auto"/>
          </w:divBdr>
          <w:divsChild>
            <w:div w:id="872154550">
              <w:marLeft w:val="0"/>
              <w:marRight w:val="0"/>
              <w:marTop w:val="0"/>
              <w:marBottom w:val="0"/>
              <w:divBdr>
                <w:top w:val="none" w:sz="0" w:space="0" w:color="auto"/>
                <w:left w:val="none" w:sz="0" w:space="0" w:color="auto"/>
                <w:bottom w:val="none" w:sz="0" w:space="0" w:color="auto"/>
                <w:right w:val="none" w:sz="0" w:space="0" w:color="auto"/>
              </w:divBdr>
              <w:divsChild>
                <w:div w:id="1681079852">
                  <w:marLeft w:val="0"/>
                  <w:marRight w:val="0"/>
                  <w:marTop w:val="0"/>
                  <w:marBottom w:val="0"/>
                  <w:divBdr>
                    <w:top w:val="none" w:sz="0" w:space="0" w:color="auto"/>
                    <w:left w:val="none" w:sz="0" w:space="0" w:color="auto"/>
                    <w:bottom w:val="none" w:sz="0" w:space="0" w:color="auto"/>
                    <w:right w:val="none" w:sz="0" w:space="0" w:color="auto"/>
                  </w:divBdr>
                  <w:divsChild>
                    <w:div w:id="1229459950">
                      <w:marLeft w:val="0"/>
                      <w:marRight w:val="0"/>
                      <w:marTop w:val="0"/>
                      <w:marBottom w:val="0"/>
                      <w:divBdr>
                        <w:top w:val="none" w:sz="0" w:space="0" w:color="auto"/>
                        <w:left w:val="none" w:sz="0" w:space="0" w:color="auto"/>
                        <w:bottom w:val="none" w:sz="0" w:space="0" w:color="auto"/>
                        <w:right w:val="none" w:sz="0" w:space="0" w:color="auto"/>
                      </w:divBdr>
                      <w:divsChild>
                        <w:div w:id="110323092">
                          <w:marLeft w:val="0"/>
                          <w:marRight w:val="0"/>
                          <w:marTop w:val="0"/>
                          <w:marBottom w:val="0"/>
                          <w:divBdr>
                            <w:top w:val="none" w:sz="0" w:space="0" w:color="auto"/>
                            <w:left w:val="none" w:sz="0" w:space="0" w:color="auto"/>
                            <w:bottom w:val="none" w:sz="0" w:space="0" w:color="auto"/>
                            <w:right w:val="none" w:sz="0" w:space="0" w:color="auto"/>
                          </w:divBdr>
                          <w:divsChild>
                            <w:div w:id="14262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628487">
      <w:bodyDiv w:val="1"/>
      <w:marLeft w:val="0"/>
      <w:marRight w:val="0"/>
      <w:marTop w:val="0"/>
      <w:marBottom w:val="0"/>
      <w:divBdr>
        <w:top w:val="none" w:sz="0" w:space="0" w:color="auto"/>
        <w:left w:val="none" w:sz="0" w:space="0" w:color="auto"/>
        <w:bottom w:val="none" w:sz="0" w:space="0" w:color="auto"/>
        <w:right w:val="none" w:sz="0" w:space="0" w:color="auto"/>
      </w:divBdr>
    </w:div>
    <w:div w:id="1171946548">
      <w:bodyDiv w:val="1"/>
      <w:marLeft w:val="0"/>
      <w:marRight w:val="0"/>
      <w:marTop w:val="0"/>
      <w:marBottom w:val="0"/>
      <w:divBdr>
        <w:top w:val="none" w:sz="0" w:space="0" w:color="auto"/>
        <w:left w:val="none" w:sz="0" w:space="0" w:color="auto"/>
        <w:bottom w:val="none" w:sz="0" w:space="0" w:color="auto"/>
        <w:right w:val="none" w:sz="0" w:space="0" w:color="auto"/>
      </w:divBdr>
    </w:div>
    <w:div w:id="1273631305">
      <w:bodyDiv w:val="1"/>
      <w:marLeft w:val="0"/>
      <w:marRight w:val="0"/>
      <w:marTop w:val="0"/>
      <w:marBottom w:val="0"/>
      <w:divBdr>
        <w:top w:val="none" w:sz="0" w:space="0" w:color="auto"/>
        <w:left w:val="none" w:sz="0" w:space="0" w:color="auto"/>
        <w:bottom w:val="none" w:sz="0" w:space="0" w:color="auto"/>
        <w:right w:val="none" w:sz="0" w:space="0" w:color="auto"/>
      </w:divBdr>
    </w:div>
    <w:div w:id="1307710719">
      <w:bodyDiv w:val="1"/>
      <w:marLeft w:val="0"/>
      <w:marRight w:val="0"/>
      <w:marTop w:val="0"/>
      <w:marBottom w:val="0"/>
      <w:divBdr>
        <w:top w:val="none" w:sz="0" w:space="0" w:color="auto"/>
        <w:left w:val="none" w:sz="0" w:space="0" w:color="auto"/>
        <w:bottom w:val="none" w:sz="0" w:space="0" w:color="auto"/>
        <w:right w:val="none" w:sz="0" w:space="0" w:color="auto"/>
      </w:divBdr>
    </w:div>
    <w:div w:id="1322192597">
      <w:bodyDiv w:val="1"/>
      <w:marLeft w:val="0"/>
      <w:marRight w:val="0"/>
      <w:marTop w:val="0"/>
      <w:marBottom w:val="0"/>
      <w:divBdr>
        <w:top w:val="none" w:sz="0" w:space="0" w:color="auto"/>
        <w:left w:val="none" w:sz="0" w:space="0" w:color="auto"/>
        <w:bottom w:val="none" w:sz="0" w:space="0" w:color="auto"/>
        <w:right w:val="none" w:sz="0" w:space="0" w:color="auto"/>
      </w:divBdr>
    </w:div>
    <w:div w:id="1325739750">
      <w:bodyDiv w:val="1"/>
      <w:marLeft w:val="0"/>
      <w:marRight w:val="0"/>
      <w:marTop w:val="0"/>
      <w:marBottom w:val="0"/>
      <w:divBdr>
        <w:top w:val="none" w:sz="0" w:space="0" w:color="auto"/>
        <w:left w:val="none" w:sz="0" w:space="0" w:color="auto"/>
        <w:bottom w:val="none" w:sz="0" w:space="0" w:color="auto"/>
        <w:right w:val="none" w:sz="0" w:space="0" w:color="auto"/>
      </w:divBdr>
      <w:divsChild>
        <w:div w:id="857233052">
          <w:marLeft w:val="0"/>
          <w:marRight w:val="0"/>
          <w:marTop w:val="0"/>
          <w:marBottom w:val="0"/>
          <w:divBdr>
            <w:top w:val="none" w:sz="0" w:space="0" w:color="auto"/>
            <w:left w:val="none" w:sz="0" w:space="0" w:color="auto"/>
            <w:bottom w:val="none" w:sz="0" w:space="0" w:color="auto"/>
            <w:right w:val="none" w:sz="0" w:space="0" w:color="auto"/>
          </w:divBdr>
          <w:divsChild>
            <w:div w:id="1296369606">
              <w:marLeft w:val="0"/>
              <w:marRight w:val="0"/>
              <w:marTop w:val="0"/>
              <w:marBottom w:val="0"/>
              <w:divBdr>
                <w:top w:val="none" w:sz="0" w:space="0" w:color="auto"/>
                <w:left w:val="none" w:sz="0" w:space="0" w:color="auto"/>
                <w:bottom w:val="none" w:sz="0" w:space="0" w:color="auto"/>
                <w:right w:val="none" w:sz="0" w:space="0" w:color="auto"/>
              </w:divBdr>
              <w:divsChild>
                <w:div w:id="2071607882">
                  <w:marLeft w:val="0"/>
                  <w:marRight w:val="0"/>
                  <w:marTop w:val="0"/>
                  <w:marBottom w:val="0"/>
                  <w:divBdr>
                    <w:top w:val="none" w:sz="0" w:space="0" w:color="auto"/>
                    <w:left w:val="none" w:sz="0" w:space="0" w:color="auto"/>
                    <w:bottom w:val="none" w:sz="0" w:space="0" w:color="auto"/>
                    <w:right w:val="none" w:sz="0" w:space="0" w:color="auto"/>
                  </w:divBdr>
                  <w:divsChild>
                    <w:div w:id="1524513452">
                      <w:marLeft w:val="0"/>
                      <w:marRight w:val="0"/>
                      <w:marTop w:val="0"/>
                      <w:marBottom w:val="0"/>
                      <w:divBdr>
                        <w:top w:val="none" w:sz="0" w:space="0" w:color="auto"/>
                        <w:left w:val="none" w:sz="0" w:space="0" w:color="auto"/>
                        <w:bottom w:val="none" w:sz="0" w:space="0" w:color="auto"/>
                        <w:right w:val="none" w:sz="0" w:space="0" w:color="auto"/>
                      </w:divBdr>
                      <w:divsChild>
                        <w:div w:id="2113162551">
                          <w:marLeft w:val="0"/>
                          <w:marRight w:val="0"/>
                          <w:marTop w:val="0"/>
                          <w:marBottom w:val="0"/>
                          <w:divBdr>
                            <w:top w:val="none" w:sz="0" w:space="0" w:color="auto"/>
                            <w:left w:val="none" w:sz="0" w:space="0" w:color="auto"/>
                            <w:bottom w:val="none" w:sz="0" w:space="0" w:color="auto"/>
                            <w:right w:val="none" w:sz="0" w:space="0" w:color="auto"/>
                          </w:divBdr>
                          <w:divsChild>
                            <w:div w:id="19684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5304385">
      <w:bodyDiv w:val="1"/>
      <w:marLeft w:val="0"/>
      <w:marRight w:val="0"/>
      <w:marTop w:val="0"/>
      <w:marBottom w:val="0"/>
      <w:divBdr>
        <w:top w:val="none" w:sz="0" w:space="0" w:color="auto"/>
        <w:left w:val="none" w:sz="0" w:space="0" w:color="auto"/>
        <w:bottom w:val="none" w:sz="0" w:space="0" w:color="auto"/>
        <w:right w:val="none" w:sz="0" w:space="0" w:color="auto"/>
      </w:divBdr>
    </w:div>
    <w:div w:id="1443378361">
      <w:bodyDiv w:val="1"/>
      <w:marLeft w:val="0"/>
      <w:marRight w:val="0"/>
      <w:marTop w:val="0"/>
      <w:marBottom w:val="0"/>
      <w:divBdr>
        <w:top w:val="none" w:sz="0" w:space="0" w:color="auto"/>
        <w:left w:val="none" w:sz="0" w:space="0" w:color="auto"/>
        <w:bottom w:val="none" w:sz="0" w:space="0" w:color="auto"/>
        <w:right w:val="none" w:sz="0" w:space="0" w:color="auto"/>
      </w:divBdr>
    </w:div>
    <w:div w:id="1608344881">
      <w:bodyDiv w:val="1"/>
      <w:marLeft w:val="0"/>
      <w:marRight w:val="0"/>
      <w:marTop w:val="0"/>
      <w:marBottom w:val="0"/>
      <w:divBdr>
        <w:top w:val="none" w:sz="0" w:space="0" w:color="auto"/>
        <w:left w:val="none" w:sz="0" w:space="0" w:color="auto"/>
        <w:bottom w:val="none" w:sz="0" w:space="0" w:color="auto"/>
        <w:right w:val="none" w:sz="0" w:space="0" w:color="auto"/>
      </w:divBdr>
    </w:div>
    <w:div w:id="1612980111">
      <w:bodyDiv w:val="1"/>
      <w:marLeft w:val="0"/>
      <w:marRight w:val="0"/>
      <w:marTop w:val="0"/>
      <w:marBottom w:val="0"/>
      <w:divBdr>
        <w:top w:val="none" w:sz="0" w:space="0" w:color="auto"/>
        <w:left w:val="none" w:sz="0" w:space="0" w:color="auto"/>
        <w:bottom w:val="none" w:sz="0" w:space="0" w:color="auto"/>
        <w:right w:val="none" w:sz="0" w:space="0" w:color="auto"/>
      </w:divBdr>
    </w:div>
    <w:div w:id="1631128698">
      <w:bodyDiv w:val="1"/>
      <w:marLeft w:val="0"/>
      <w:marRight w:val="0"/>
      <w:marTop w:val="0"/>
      <w:marBottom w:val="0"/>
      <w:divBdr>
        <w:top w:val="none" w:sz="0" w:space="0" w:color="auto"/>
        <w:left w:val="none" w:sz="0" w:space="0" w:color="auto"/>
        <w:bottom w:val="none" w:sz="0" w:space="0" w:color="auto"/>
        <w:right w:val="none" w:sz="0" w:space="0" w:color="auto"/>
      </w:divBdr>
    </w:div>
    <w:div w:id="1635217398">
      <w:bodyDiv w:val="1"/>
      <w:marLeft w:val="0"/>
      <w:marRight w:val="0"/>
      <w:marTop w:val="0"/>
      <w:marBottom w:val="0"/>
      <w:divBdr>
        <w:top w:val="none" w:sz="0" w:space="0" w:color="auto"/>
        <w:left w:val="none" w:sz="0" w:space="0" w:color="auto"/>
        <w:bottom w:val="none" w:sz="0" w:space="0" w:color="auto"/>
        <w:right w:val="none" w:sz="0" w:space="0" w:color="auto"/>
      </w:divBdr>
    </w:div>
    <w:div w:id="1775899846">
      <w:bodyDiv w:val="1"/>
      <w:marLeft w:val="0"/>
      <w:marRight w:val="0"/>
      <w:marTop w:val="0"/>
      <w:marBottom w:val="0"/>
      <w:divBdr>
        <w:top w:val="none" w:sz="0" w:space="0" w:color="auto"/>
        <w:left w:val="none" w:sz="0" w:space="0" w:color="auto"/>
        <w:bottom w:val="none" w:sz="0" w:space="0" w:color="auto"/>
        <w:right w:val="none" w:sz="0" w:space="0" w:color="auto"/>
      </w:divBdr>
    </w:div>
    <w:div w:id="1814910584">
      <w:bodyDiv w:val="1"/>
      <w:marLeft w:val="0"/>
      <w:marRight w:val="0"/>
      <w:marTop w:val="0"/>
      <w:marBottom w:val="0"/>
      <w:divBdr>
        <w:top w:val="none" w:sz="0" w:space="0" w:color="auto"/>
        <w:left w:val="none" w:sz="0" w:space="0" w:color="auto"/>
        <w:bottom w:val="none" w:sz="0" w:space="0" w:color="auto"/>
        <w:right w:val="none" w:sz="0" w:space="0" w:color="auto"/>
      </w:divBdr>
    </w:div>
    <w:div w:id="1840925551">
      <w:bodyDiv w:val="1"/>
      <w:marLeft w:val="0"/>
      <w:marRight w:val="0"/>
      <w:marTop w:val="0"/>
      <w:marBottom w:val="0"/>
      <w:divBdr>
        <w:top w:val="none" w:sz="0" w:space="0" w:color="auto"/>
        <w:left w:val="none" w:sz="0" w:space="0" w:color="auto"/>
        <w:bottom w:val="none" w:sz="0" w:space="0" w:color="auto"/>
        <w:right w:val="none" w:sz="0" w:space="0" w:color="auto"/>
      </w:divBdr>
    </w:div>
    <w:div w:id="1862353340">
      <w:bodyDiv w:val="1"/>
      <w:marLeft w:val="0"/>
      <w:marRight w:val="0"/>
      <w:marTop w:val="0"/>
      <w:marBottom w:val="0"/>
      <w:divBdr>
        <w:top w:val="none" w:sz="0" w:space="0" w:color="auto"/>
        <w:left w:val="none" w:sz="0" w:space="0" w:color="auto"/>
        <w:bottom w:val="none" w:sz="0" w:space="0" w:color="auto"/>
        <w:right w:val="none" w:sz="0" w:space="0" w:color="auto"/>
      </w:divBdr>
    </w:div>
    <w:div w:id="1890418297">
      <w:bodyDiv w:val="1"/>
      <w:marLeft w:val="0"/>
      <w:marRight w:val="0"/>
      <w:marTop w:val="0"/>
      <w:marBottom w:val="0"/>
      <w:divBdr>
        <w:top w:val="none" w:sz="0" w:space="0" w:color="auto"/>
        <w:left w:val="none" w:sz="0" w:space="0" w:color="auto"/>
        <w:bottom w:val="none" w:sz="0" w:space="0" w:color="auto"/>
        <w:right w:val="none" w:sz="0" w:space="0" w:color="auto"/>
      </w:divBdr>
    </w:div>
    <w:div w:id="1894460617">
      <w:bodyDiv w:val="1"/>
      <w:marLeft w:val="0"/>
      <w:marRight w:val="0"/>
      <w:marTop w:val="0"/>
      <w:marBottom w:val="0"/>
      <w:divBdr>
        <w:top w:val="none" w:sz="0" w:space="0" w:color="auto"/>
        <w:left w:val="none" w:sz="0" w:space="0" w:color="auto"/>
        <w:bottom w:val="none" w:sz="0" w:space="0" w:color="auto"/>
        <w:right w:val="none" w:sz="0" w:space="0" w:color="auto"/>
      </w:divBdr>
    </w:div>
    <w:div w:id="1929655171">
      <w:bodyDiv w:val="1"/>
      <w:marLeft w:val="0"/>
      <w:marRight w:val="0"/>
      <w:marTop w:val="0"/>
      <w:marBottom w:val="0"/>
      <w:divBdr>
        <w:top w:val="none" w:sz="0" w:space="0" w:color="auto"/>
        <w:left w:val="none" w:sz="0" w:space="0" w:color="auto"/>
        <w:bottom w:val="none" w:sz="0" w:space="0" w:color="auto"/>
        <w:right w:val="none" w:sz="0" w:space="0" w:color="auto"/>
      </w:divBdr>
    </w:div>
    <w:div w:id="1930887247">
      <w:bodyDiv w:val="1"/>
      <w:marLeft w:val="0"/>
      <w:marRight w:val="0"/>
      <w:marTop w:val="0"/>
      <w:marBottom w:val="0"/>
      <w:divBdr>
        <w:top w:val="none" w:sz="0" w:space="0" w:color="auto"/>
        <w:left w:val="none" w:sz="0" w:space="0" w:color="auto"/>
        <w:bottom w:val="none" w:sz="0" w:space="0" w:color="auto"/>
        <w:right w:val="none" w:sz="0" w:space="0" w:color="auto"/>
      </w:divBdr>
    </w:div>
    <w:div w:id="1946813641">
      <w:bodyDiv w:val="1"/>
      <w:marLeft w:val="0"/>
      <w:marRight w:val="0"/>
      <w:marTop w:val="0"/>
      <w:marBottom w:val="0"/>
      <w:divBdr>
        <w:top w:val="none" w:sz="0" w:space="0" w:color="auto"/>
        <w:left w:val="none" w:sz="0" w:space="0" w:color="auto"/>
        <w:bottom w:val="none" w:sz="0" w:space="0" w:color="auto"/>
        <w:right w:val="none" w:sz="0" w:space="0" w:color="auto"/>
      </w:divBdr>
    </w:div>
    <w:div w:id="1959946327">
      <w:bodyDiv w:val="1"/>
      <w:marLeft w:val="0"/>
      <w:marRight w:val="0"/>
      <w:marTop w:val="0"/>
      <w:marBottom w:val="0"/>
      <w:divBdr>
        <w:top w:val="none" w:sz="0" w:space="0" w:color="auto"/>
        <w:left w:val="none" w:sz="0" w:space="0" w:color="auto"/>
        <w:bottom w:val="none" w:sz="0" w:space="0" w:color="auto"/>
        <w:right w:val="none" w:sz="0" w:space="0" w:color="auto"/>
      </w:divBdr>
    </w:div>
    <w:div w:id="2001735923">
      <w:bodyDiv w:val="1"/>
      <w:marLeft w:val="0"/>
      <w:marRight w:val="0"/>
      <w:marTop w:val="0"/>
      <w:marBottom w:val="0"/>
      <w:divBdr>
        <w:top w:val="none" w:sz="0" w:space="0" w:color="auto"/>
        <w:left w:val="none" w:sz="0" w:space="0" w:color="auto"/>
        <w:bottom w:val="none" w:sz="0" w:space="0" w:color="auto"/>
        <w:right w:val="none" w:sz="0" w:space="0" w:color="auto"/>
      </w:divBdr>
      <w:divsChild>
        <w:div w:id="142695827">
          <w:marLeft w:val="0"/>
          <w:marRight w:val="0"/>
          <w:marTop w:val="0"/>
          <w:marBottom w:val="0"/>
          <w:divBdr>
            <w:top w:val="none" w:sz="0" w:space="0" w:color="auto"/>
            <w:left w:val="none" w:sz="0" w:space="0" w:color="auto"/>
            <w:bottom w:val="none" w:sz="0" w:space="0" w:color="auto"/>
            <w:right w:val="none" w:sz="0" w:space="0" w:color="auto"/>
          </w:divBdr>
          <w:divsChild>
            <w:div w:id="285896215">
              <w:marLeft w:val="0"/>
              <w:marRight w:val="0"/>
              <w:marTop w:val="0"/>
              <w:marBottom w:val="0"/>
              <w:divBdr>
                <w:top w:val="none" w:sz="0" w:space="0" w:color="auto"/>
                <w:left w:val="none" w:sz="0" w:space="0" w:color="auto"/>
                <w:bottom w:val="none" w:sz="0" w:space="0" w:color="auto"/>
                <w:right w:val="none" w:sz="0" w:space="0" w:color="auto"/>
              </w:divBdr>
              <w:divsChild>
                <w:div w:id="1108230696">
                  <w:marLeft w:val="0"/>
                  <w:marRight w:val="0"/>
                  <w:marTop w:val="0"/>
                  <w:marBottom w:val="0"/>
                  <w:divBdr>
                    <w:top w:val="none" w:sz="0" w:space="0" w:color="auto"/>
                    <w:left w:val="none" w:sz="0" w:space="0" w:color="auto"/>
                    <w:bottom w:val="none" w:sz="0" w:space="0" w:color="auto"/>
                    <w:right w:val="none" w:sz="0" w:space="0" w:color="auto"/>
                  </w:divBdr>
                  <w:divsChild>
                    <w:div w:id="1477986254">
                      <w:marLeft w:val="0"/>
                      <w:marRight w:val="0"/>
                      <w:marTop w:val="0"/>
                      <w:marBottom w:val="0"/>
                      <w:divBdr>
                        <w:top w:val="none" w:sz="0" w:space="0" w:color="auto"/>
                        <w:left w:val="none" w:sz="0" w:space="0" w:color="auto"/>
                        <w:bottom w:val="none" w:sz="0" w:space="0" w:color="auto"/>
                        <w:right w:val="none" w:sz="0" w:space="0" w:color="auto"/>
                      </w:divBdr>
                      <w:divsChild>
                        <w:div w:id="1581211259">
                          <w:marLeft w:val="0"/>
                          <w:marRight w:val="0"/>
                          <w:marTop w:val="0"/>
                          <w:marBottom w:val="0"/>
                          <w:divBdr>
                            <w:top w:val="none" w:sz="0" w:space="0" w:color="auto"/>
                            <w:left w:val="none" w:sz="0" w:space="0" w:color="auto"/>
                            <w:bottom w:val="none" w:sz="0" w:space="0" w:color="auto"/>
                            <w:right w:val="none" w:sz="0" w:space="0" w:color="auto"/>
                          </w:divBdr>
                          <w:divsChild>
                            <w:div w:id="1585185404">
                              <w:marLeft w:val="0"/>
                              <w:marRight w:val="0"/>
                              <w:marTop w:val="0"/>
                              <w:marBottom w:val="567"/>
                              <w:divBdr>
                                <w:top w:val="none" w:sz="0" w:space="0" w:color="auto"/>
                                <w:left w:val="none" w:sz="0" w:space="0" w:color="auto"/>
                                <w:bottom w:val="none" w:sz="0" w:space="0" w:color="auto"/>
                                <w:right w:val="none" w:sz="0" w:space="0" w:color="auto"/>
                              </w:divBdr>
                            </w:div>
                            <w:div w:id="165887588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771919">
      <w:bodyDiv w:val="1"/>
      <w:marLeft w:val="0"/>
      <w:marRight w:val="0"/>
      <w:marTop w:val="0"/>
      <w:marBottom w:val="0"/>
      <w:divBdr>
        <w:top w:val="none" w:sz="0" w:space="0" w:color="auto"/>
        <w:left w:val="none" w:sz="0" w:space="0" w:color="auto"/>
        <w:bottom w:val="none" w:sz="0" w:space="0" w:color="auto"/>
        <w:right w:val="none" w:sz="0" w:space="0" w:color="auto"/>
      </w:divBdr>
    </w:div>
    <w:div w:id="2067298174">
      <w:bodyDiv w:val="1"/>
      <w:marLeft w:val="0"/>
      <w:marRight w:val="0"/>
      <w:marTop w:val="0"/>
      <w:marBottom w:val="0"/>
      <w:divBdr>
        <w:top w:val="none" w:sz="0" w:space="0" w:color="auto"/>
        <w:left w:val="none" w:sz="0" w:space="0" w:color="auto"/>
        <w:bottom w:val="none" w:sz="0" w:space="0" w:color="auto"/>
        <w:right w:val="none" w:sz="0" w:space="0" w:color="auto"/>
      </w:divBdr>
    </w:div>
    <w:div w:id="2091926477">
      <w:bodyDiv w:val="1"/>
      <w:marLeft w:val="0"/>
      <w:marRight w:val="0"/>
      <w:marTop w:val="0"/>
      <w:marBottom w:val="0"/>
      <w:divBdr>
        <w:top w:val="none" w:sz="0" w:space="0" w:color="auto"/>
        <w:left w:val="none" w:sz="0" w:space="0" w:color="auto"/>
        <w:bottom w:val="none" w:sz="0" w:space="0" w:color="auto"/>
        <w:right w:val="none" w:sz="0" w:space="0" w:color="auto"/>
      </w:divBdr>
    </w:div>
    <w:div w:id="2105489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21287-maksatnespejas-procesa-administratoru-pretendentu-apmacibas-un-maksatnespejas-procesa-administratoru-sertificesanas-kartiba" TargetMode="External"/><Relationship Id="rId13" Type="http://schemas.openxmlformats.org/officeDocument/2006/relationships/hyperlink" Target="mailto:alla.lickovska@mn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iba.banga@mna.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1459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likumi.lv/doc.php?id=214590" TargetMode="External"/><Relationship Id="rId4" Type="http://schemas.openxmlformats.org/officeDocument/2006/relationships/settings" Target="settings.xml"/><Relationship Id="rId9" Type="http://schemas.openxmlformats.org/officeDocument/2006/relationships/hyperlink" Target="https://likumi.lv/ta/id/50500-civilprocesa-likum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EC231-AE71-4F80-BAC5-0A711971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57384</Words>
  <Characters>32709</Characters>
  <Application>Microsoft Office Word</Application>
  <DocSecurity>0</DocSecurity>
  <Lines>272</Lines>
  <Paragraphs>179</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Informatīvais ziņojums "Par Maksātnespējas administrācijas attīstību"</vt:lpstr>
      <vt:lpstr>Informatīvais ziņojums "Par Maksātnespējas administrācijas attīstību"</vt:lpstr>
      <vt:lpstr/>
    </vt:vector>
  </TitlesOfParts>
  <Company>Tieslietu Sektors</Company>
  <LinksUpToDate>false</LinksUpToDate>
  <CharactersWithSpaces>89914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Maksātnespējas administrācijas attīstību"</dc:title>
  <dc:creator>Baiba.Banga@mna.gov.lv;Alla.Lickovska@mna.gov.lv</dc:creator>
  <cp:keywords>Informatīvais ziņojums</cp:keywords>
  <dc:description>Baiba Banga 
67099123, baiba.banga@mna.gov.lv
A. Ličkovska
67099126, 
alla.lickovska@mna.gov.lv</dc:description>
  <cp:lastModifiedBy>Alla Ličkovska</cp:lastModifiedBy>
  <cp:revision>13</cp:revision>
  <cp:lastPrinted>2017-07-06T08:35:00Z</cp:lastPrinted>
  <dcterms:created xsi:type="dcterms:W3CDTF">2017-07-06T07:16:00Z</dcterms:created>
  <dcterms:modified xsi:type="dcterms:W3CDTF">2017-07-06T08:39:00Z</dcterms:modified>
</cp:coreProperties>
</file>