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FF406" w14:textId="77777777" w:rsidR="006214DC" w:rsidRPr="00300BD3" w:rsidRDefault="006214DC" w:rsidP="006214DC">
      <w:pPr>
        <w:jc w:val="right"/>
        <w:rPr>
          <w:sz w:val="28"/>
          <w:szCs w:val="28"/>
        </w:rPr>
      </w:pPr>
      <w:r w:rsidRPr="00300BD3">
        <w:rPr>
          <w:i/>
          <w:iCs/>
          <w:sz w:val="28"/>
          <w:szCs w:val="28"/>
        </w:rPr>
        <w:t>Projekts</w:t>
      </w:r>
    </w:p>
    <w:p w14:paraId="2BD142C1" w14:textId="77777777" w:rsidR="006214DC" w:rsidRPr="00300BD3" w:rsidRDefault="006214DC" w:rsidP="006214DC">
      <w:pPr>
        <w:rPr>
          <w:sz w:val="28"/>
          <w:szCs w:val="28"/>
        </w:rPr>
      </w:pPr>
    </w:p>
    <w:p w14:paraId="15FA9EE9" w14:textId="77777777" w:rsidR="006214DC" w:rsidRPr="00300BD3" w:rsidRDefault="006214DC" w:rsidP="006214DC">
      <w:pPr>
        <w:jc w:val="center"/>
        <w:rPr>
          <w:sz w:val="28"/>
          <w:szCs w:val="28"/>
        </w:rPr>
      </w:pPr>
      <w:r w:rsidRPr="00300BD3">
        <w:rPr>
          <w:sz w:val="28"/>
          <w:szCs w:val="28"/>
        </w:rPr>
        <w:t>LATVIJAS REPUBLIKAS MINISTRU KABINETS</w:t>
      </w:r>
    </w:p>
    <w:p w14:paraId="4AAF1E58" w14:textId="77777777" w:rsidR="006214DC" w:rsidRPr="00300BD3" w:rsidRDefault="006214DC" w:rsidP="006214DC">
      <w:pPr>
        <w:rPr>
          <w:sz w:val="28"/>
          <w:szCs w:val="28"/>
        </w:rPr>
      </w:pPr>
    </w:p>
    <w:p w14:paraId="3B2BFDAC" w14:textId="77777777" w:rsidR="006214DC" w:rsidRPr="00300BD3" w:rsidRDefault="006214DC" w:rsidP="006214DC">
      <w:pPr>
        <w:tabs>
          <w:tab w:val="right" w:pos="9000"/>
        </w:tabs>
        <w:rPr>
          <w:color w:val="000000"/>
          <w:sz w:val="28"/>
          <w:szCs w:val="28"/>
        </w:rPr>
      </w:pPr>
      <w:r w:rsidRPr="00300BD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00BD3">
        <w:rPr>
          <w:sz w:val="28"/>
          <w:szCs w:val="28"/>
        </w:rPr>
        <w:t>. gada __. ___</w:t>
      </w:r>
      <w:r w:rsidRPr="00300BD3">
        <w:rPr>
          <w:sz w:val="28"/>
          <w:szCs w:val="28"/>
        </w:rPr>
        <w:tab/>
      </w:r>
      <w:r w:rsidRPr="00300BD3">
        <w:rPr>
          <w:color w:val="000000"/>
          <w:sz w:val="28"/>
          <w:szCs w:val="28"/>
        </w:rPr>
        <w:t>Noteikumi Nr. __</w:t>
      </w:r>
    </w:p>
    <w:p w14:paraId="21AF71F3" w14:textId="77777777" w:rsidR="006214DC" w:rsidRPr="00300BD3" w:rsidRDefault="006214DC" w:rsidP="006214DC">
      <w:pPr>
        <w:tabs>
          <w:tab w:val="right" w:pos="9000"/>
        </w:tabs>
        <w:rPr>
          <w:color w:val="000000"/>
          <w:sz w:val="28"/>
          <w:szCs w:val="28"/>
        </w:rPr>
      </w:pPr>
      <w:r w:rsidRPr="00300BD3">
        <w:rPr>
          <w:color w:val="000000"/>
          <w:sz w:val="28"/>
          <w:szCs w:val="28"/>
        </w:rPr>
        <w:t>Rīgā</w:t>
      </w:r>
      <w:r w:rsidRPr="00300BD3">
        <w:rPr>
          <w:color w:val="000000"/>
          <w:sz w:val="28"/>
          <w:szCs w:val="28"/>
        </w:rPr>
        <w:tab/>
        <w:t>(prot. Nr. __ __. §)</w:t>
      </w:r>
    </w:p>
    <w:p w14:paraId="62B32F2C" w14:textId="77777777" w:rsidR="006214DC" w:rsidRDefault="006214DC" w:rsidP="006214DC">
      <w:pPr>
        <w:rPr>
          <w:b/>
          <w:bCs/>
          <w:color w:val="000000"/>
          <w:sz w:val="28"/>
          <w:szCs w:val="28"/>
        </w:rPr>
      </w:pPr>
    </w:p>
    <w:p w14:paraId="0F259828" w14:textId="77777777" w:rsidR="006214DC" w:rsidRPr="00300BD3" w:rsidRDefault="006214DC" w:rsidP="006214DC">
      <w:pPr>
        <w:rPr>
          <w:b/>
          <w:bCs/>
          <w:color w:val="000000"/>
          <w:sz w:val="28"/>
          <w:szCs w:val="28"/>
        </w:rPr>
      </w:pPr>
    </w:p>
    <w:p w14:paraId="304B02F6" w14:textId="77777777" w:rsidR="006214DC" w:rsidRPr="00300BD3" w:rsidRDefault="006214DC" w:rsidP="006214D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Grozījumi</w:t>
      </w:r>
      <w:r w:rsidRPr="00300BD3">
        <w:rPr>
          <w:b/>
          <w:bCs/>
          <w:color w:val="000000"/>
          <w:sz w:val="28"/>
          <w:szCs w:val="28"/>
        </w:rPr>
        <w:t xml:space="preserve"> Ministru kabineta 20</w:t>
      </w:r>
      <w:r w:rsidR="00D17814">
        <w:rPr>
          <w:b/>
          <w:bCs/>
          <w:color w:val="000000"/>
          <w:sz w:val="28"/>
          <w:szCs w:val="28"/>
        </w:rPr>
        <w:t>13</w:t>
      </w:r>
      <w:r w:rsidRPr="00300BD3">
        <w:rPr>
          <w:b/>
          <w:bCs/>
          <w:color w:val="000000"/>
          <w:sz w:val="28"/>
          <w:szCs w:val="28"/>
        </w:rPr>
        <w:t xml:space="preserve">. gada </w:t>
      </w:r>
      <w:r w:rsidR="00D17814">
        <w:rPr>
          <w:b/>
          <w:bCs/>
          <w:color w:val="000000"/>
          <w:sz w:val="28"/>
          <w:szCs w:val="28"/>
        </w:rPr>
        <w:t>12</w:t>
      </w:r>
      <w:r w:rsidRPr="00300BD3">
        <w:rPr>
          <w:b/>
          <w:bCs/>
          <w:color w:val="000000"/>
          <w:sz w:val="28"/>
          <w:szCs w:val="28"/>
        </w:rPr>
        <w:t>. </w:t>
      </w:r>
      <w:r w:rsidR="00D17814">
        <w:rPr>
          <w:b/>
          <w:bCs/>
          <w:color w:val="000000"/>
          <w:sz w:val="28"/>
          <w:szCs w:val="28"/>
        </w:rPr>
        <w:t>februāra</w:t>
      </w:r>
      <w:r w:rsidRPr="00300BD3">
        <w:rPr>
          <w:b/>
          <w:bCs/>
          <w:color w:val="000000"/>
          <w:sz w:val="28"/>
          <w:szCs w:val="28"/>
        </w:rPr>
        <w:t xml:space="preserve"> noteikumos Nr. </w:t>
      </w:r>
      <w:r w:rsidR="00D17814">
        <w:rPr>
          <w:b/>
          <w:bCs/>
          <w:color w:val="000000"/>
          <w:sz w:val="28"/>
          <w:szCs w:val="28"/>
        </w:rPr>
        <w:t>85</w:t>
      </w:r>
      <w:r w:rsidRPr="00300BD3">
        <w:rPr>
          <w:b/>
          <w:bCs/>
          <w:color w:val="000000"/>
          <w:sz w:val="28"/>
          <w:szCs w:val="28"/>
        </w:rPr>
        <w:t xml:space="preserve"> </w:t>
      </w:r>
      <w:r w:rsidRPr="00887661">
        <w:rPr>
          <w:b/>
          <w:bCs/>
          <w:sz w:val="28"/>
          <w:szCs w:val="28"/>
        </w:rPr>
        <w:t>"</w:t>
      </w:r>
      <w:r w:rsidR="00D17814">
        <w:rPr>
          <w:b/>
          <w:bCs/>
          <w:sz w:val="28"/>
          <w:szCs w:val="28"/>
        </w:rPr>
        <w:t>Kārtība, kādā administratīvajā lietā iemaksā, atmaksā un atlīdzina valsts nodevu un iemaksā un atmaksā drošības naudu</w:t>
      </w:r>
      <w:r w:rsidRPr="00887661">
        <w:rPr>
          <w:b/>
          <w:bCs/>
          <w:sz w:val="28"/>
          <w:szCs w:val="28"/>
        </w:rPr>
        <w:t>"</w:t>
      </w:r>
    </w:p>
    <w:p w14:paraId="48BD5555" w14:textId="77777777" w:rsidR="006214DC" w:rsidRDefault="006214DC" w:rsidP="006214DC">
      <w:pPr>
        <w:jc w:val="center"/>
        <w:rPr>
          <w:b/>
          <w:bCs/>
          <w:color w:val="000000"/>
          <w:sz w:val="28"/>
          <w:szCs w:val="28"/>
        </w:rPr>
      </w:pPr>
    </w:p>
    <w:p w14:paraId="227F8009" w14:textId="77777777" w:rsidR="006214DC" w:rsidRPr="00300BD3" w:rsidRDefault="006214DC" w:rsidP="006214DC">
      <w:pPr>
        <w:jc w:val="center"/>
        <w:rPr>
          <w:b/>
          <w:bCs/>
          <w:color w:val="000000"/>
          <w:sz w:val="28"/>
          <w:szCs w:val="28"/>
        </w:rPr>
      </w:pPr>
    </w:p>
    <w:p w14:paraId="105FB12A" w14:textId="77777777" w:rsidR="00D17814" w:rsidRDefault="00D17814" w:rsidP="00BE1E39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Izdoti saskaņā ar</w:t>
      </w:r>
    </w:p>
    <w:p w14:paraId="421C4E35" w14:textId="77777777" w:rsidR="00BE1E39" w:rsidRDefault="00D17814" w:rsidP="00D17814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Administratīvā procesa l</w:t>
      </w:r>
      <w:r w:rsidR="00BE1E39">
        <w:rPr>
          <w:rFonts w:ascii="Times New Roman" w:hAnsi="Times New Roman"/>
          <w:i w:val="0"/>
          <w:sz w:val="28"/>
          <w:szCs w:val="28"/>
        </w:rPr>
        <w:t>ikuma</w:t>
      </w:r>
      <w:r>
        <w:rPr>
          <w:rFonts w:ascii="Times New Roman" w:hAnsi="Times New Roman"/>
          <w:i w:val="0"/>
          <w:sz w:val="28"/>
          <w:szCs w:val="28"/>
        </w:rPr>
        <w:t xml:space="preserve"> 129.</w:t>
      </w:r>
      <w:r w:rsidRPr="00D17814">
        <w:rPr>
          <w:rFonts w:ascii="Times New Roman" w:hAnsi="Times New Roman"/>
          <w:i w:val="0"/>
          <w:sz w:val="28"/>
          <w:szCs w:val="28"/>
          <w:vertAlign w:val="superscript"/>
        </w:rPr>
        <w:t>3</w:t>
      </w:r>
      <w:r>
        <w:rPr>
          <w:rFonts w:ascii="Times New Roman" w:hAnsi="Times New Roman"/>
          <w:i w:val="0"/>
          <w:sz w:val="28"/>
          <w:szCs w:val="28"/>
        </w:rPr>
        <w:t> pantu</w:t>
      </w:r>
    </w:p>
    <w:p w14:paraId="52F118B3" w14:textId="77777777" w:rsidR="006214DC" w:rsidRDefault="006214DC" w:rsidP="006214DC">
      <w:pPr>
        <w:jc w:val="both"/>
        <w:rPr>
          <w:bCs/>
          <w:sz w:val="28"/>
          <w:szCs w:val="28"/>
        </w:rPr>
      </w:pPr>
    </w:p>
    <w:p w14:paraId="064D75E1" w14:textId="77777777" w:rsidR="00D17814" w:rsidRPr="0052006F" w:rsidRDefault="00D17814" w:rsidP="006214DC">
      <w:pPr>
        <w:jc w:val="both"/>
        <w:rPr>
          <w:bCs/>
          <w:sz w:val="28"/>
          <w:szCs w:val="28"/>
        </w:rPr>
      </w:pPr>
    </w:p>
    <w:p w14:paraId="64AFECF6" w14:textId="77777777" w:rsidR="006214DC" w:rsidRPr="007D51F5" w:rsidRDefault="00D17814" w:rsidP="006214DC">
      <w:pPr>
        <w:pStyle w:val="Sarakstarindkop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2013. gada 12. februāra noteikumos Nr. 85</w:t>
      </w:r>
      <w:r w:rsidR="006214DC" w:rsidRPr="0052006F">
        <w:rPr>
          <w:sz w:val="28"/>
          <w:szCs w:val="28"/>
        </w:rPr>
        <w:t xml:space="preserve"> </w:t>
      </w:r>
      <w:r w:rsidR="006214DC" w:rsidRPr="005A2849">
        <w:rPr>
          <w:sz w:val="28"/>
          <w:szCs w:val="28"/>
        </w:rPr>
        <w:t>"</w:t>
      </w:r>
      <w:r w:rsidRPr="007D51F5">
        <w:rPr>
          <w:bCs/>
          <w:sz w:val="28"/>
          <w:szCs w:val="28"/>
        </w:rPr>
        <w:t>Kārtība, kādā administratīvajā lietā iemaksā, atmaksā un atlīdzina valsts nodevu un iemaksā un atmaksā drošības naudu</w:t>
      </w:r>
      <w:r w:rsidRPr="007D51F5">
        <w:rPr>
          <w:sz w:val="28"/>
          <w:szCs w:val="28"/>
        </w:rPr>
        <w:t xml:space="preserve"> " (Latvijas Vēstnesis, 2013, 32. nr.</w:t>
      </w:r>
      <w:r w:rsidR="006214DC" w:rsidRPr="007D51F5">
        <w:rPr>
          <w:sz w:val="28"/>
          <w:szCs w:val="28"/>
        </w:rPr>
        <w:t>) šādus grozījumus:</w:t>
      </w:r>
    </w:p>
    <w:p w14:paraId="4C228A5C" w14:textId="77777777" w:rsidR="006214DC" w:rsidRPr="007D51F5" w:rsidRDefault="006214DC" w:rsidP="006214DC">
      <w:pPr>
        <w:pStyle w:val="Sarakstarindkopa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6422C1F6" w14:textId="77777777" w:rsidR="007D51F5" w:rsidRPr="007D51F5" w:rsidRDefault="007D51F5" w:rsidP="007D51F5">
      <w:pPr>
        <w:pStyle w:val="Sarakstarindkopa"/>
        <w:ind w:left="709"/>
        <w:jc w:val="both"/>
        <w:rPr>
          <w:sz w:val="28"/>
          <w:szCs w:val="28"/>
        </w:rPr>
      </w:pPr>
      <w:r w:rsidRPr="007D51F5">
        <w:rPr>
          <w:sz w:val="28"/>
          <w:szCs w:val="28"/>
        </w:rPr>
        <w:t>1. Izteikt 3. punktu šādā redakcijā:</w:t>
      </w:r>
    </w:p>
    <w:p w14:paraId="2477F2B4" w14:textId="4FAEBCDF" w:rsidR="007D51F5" w:rsidRPr="007D51F5" w:rsidRDefault="007D51F5" w:rsidP="007D51F5">
      <w:pPr>
        <w:pStyle w:val="Sarakstarindkopa"/>
        <w:ind w:left="0" w:firstLine="709"/>
        <w:jc w:val="both"/>
        <w:rPr>
          <w:sz w:val="28"/>
          <w:szCs w:val="28"/>
        </w:rPr>
      </w:pPr>
      <w:r w:rsidRPr="007D51F5">
        <w:rPr>
          <w:sz w:val="28"/>
          <w:szCs w:val="28"/>
        </w:rPr>
        <w:t>"3. Drošības naudu par blakus sūdzību, lūgumu par pagaidu aizsardzību vai pieteikumu par lietas jaunu izskatīšanu sakarā ar jaunatklātiem apstākļiem persona iemaksā:</w:t>
      </w:r>
    </w:p>
    <w:p w14:paraId="28A6B24B" w14:textId="77777777" w:rsidR="007D51F5" w:rsidRPr="007D51F5" w:rsidRDefault="007D51F5" w:rsidP="007D51F5">
      <w:pPr>
        <w:pStyle w:val="Sarakstarindkopa"/>
        <w:ind w:left="0" w:firstLine="709"/>
        <w:jc w:val="both"/>
        <w:rPr>
          <w:sz w:val="28"/>
          <w:szCs w:val="28"/>
        </w:rPr>
      </w:pPr>
      <w:r w:rsidRPr="007D51F5">
        <w:rPr>
          <w:sz w:val="28"/>
          <w:szCs w:val="28"/>
        </w:rPr>
        <w:t xml:space="preserve">3.1. Augstākās tiesas norādītajā kontā Valsts kasē, ja attiecīgo lēmumu pieņem Augstākā tiesa; </w:t>
      </w:r>
    </w:p>
    <w:p w14:paraId="1E12A4FD" w14:textId="77777777" w:rsidR="007D51F5" w:rsidRPr="007D51F5" w:rsidRDefault="007D51F5" w:rsidP="007D51F5">
      <w:pPr>
        <w:pStyle w:val="Sarakstarindkopa"/>
        <w:ind w:left="0" w:firstLine="709"/>
        <w:jc w:val="both"/>
        <w:rPr>
          <w:sz w:val="28"/>
          <w:szCs w:val="28"/>
        </w:rPr>
      </w:pPr>
      <w:r w:rsidRPr="007D51F5">
        <w:rPr>
          <w:sz w:val="28"/>
          <w:szCs w:val="28"/>
        </w:rPr>
        <w:t>3.2. Tiesu administrācijas norādītajā kontā Valsts kasē, ja attiecīgo lēmumu pieņem Administratīvā rajona tiesa vai Administratīvā apgabaltiesa."</w:t>
      </w:r>
    </w:p>
    <w:p w14:paraId="4C504B29" w14:textId="77777777" w:rsidR="007D51F5" w:rsidRDefault="007D51F5" w:rsidP="007D51F5">
      <w:pPr>
        <w:pStyle w:val="Sarakstarindkopa"/>
        <w:ind w:left="0" w:firstLine="709"/>
        <w:jc w:val="both"/>
        <w:rPr>
          <w:sz w:val="28"/>
          <w:szCs w:val="28"/>
        </w:rPr>
      </w:pPr>
    </w:p>
    <w:p w14:paraId="3F604826" w14:textId="77777777" w:rsidR="001510BA" w:rsidRDefault="001510BA" w:rsidP="007D51F5">
      <w:pPr>
        <w:pStyle w:val="Sarakstarindkop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Svītrot 4. punktā vārdus "deponēto līdzekļu".</w:t>
      </w:r>
    </w:p>
    <w:p w14:paraId="6BBCB4FD" w14:textId="77777777" w:rsidR="001510BA" w:rsidRPr="007D51F5" w:rsidRDefault="001510BA" w:rsidP="007D51F5">
      <w:pPr>
        <w:pStyle w:val="Sarakstarindkopa"/>
        <w:ind w:left="0" w:firstLine="709"/>
        <w:jc w:val="both"/>
        <w:rPr>
          <w:sz w:val="28"/>
          <w:szCs w:val="28"/>
        </w:rPr>
      </w:pPr>
    </w:p>
    <w:p w14:paraId="41785049" w14:textId="3B72C1A7" w:rsidR="007D51F5" w:rsidRPr="007D51F5" w:rsidRDefault="001510BA" w:rsidP="007D51F5">
      <w:pPr>
        <w:pStyle w:val="Sarakstarindkopa"/>
        <w:ind w:left="0" w:firstLine="709"/>
        <w:jc w:val="both"/>
        <w:rPr>
          <w:sz w:val="28"/>
          <w:szCs w:val="28"/>
        </w:rPr>
      </w:pPr>
      <w:bookmarkStart w:id="0" w:name="_Hlk487461492"/>
      <w:r>
        <w:rPr>
          <w:sz w:val="28"/>
          <w:szCs w:val="28"/>
        </w:rPr>
        <w:t>3</w:t>
      </w:r>
      <w:r w:rsidR="007D51F5" w:rsidRPr="007D51F5">
        <w:rPr>
          <w:sz w:val="28"/>
          <w:szCs w:val="28"/>
        </w:rPr>
        <w:t>. Papildināt noteikumu</w:t>
      </w:r>
      <w:r w:rsidR="005428F3">
        <w:rPr>
          <w:sz w:val="28"/>
          <w:szCs w:val="28"/>
        </w:rPr>
        <w:t xml:space="preserve"> II</w:t>
      </w:r>
      <w:r w:rsidR="00DC413C">
        <w:rPr>
          <w:sz w:val="28"/>
          <w:szCs w:val="28"/>
        </w:rPr>
        <w:t> nodaļu</w:t>
      </w:r>
      <w:r w:rsidR="007D51F5" w:rsidRPr="007D51F5">
        <w:rPr>
          <w:sz w:val="28"/>
          <w:szCs w:val="28"/>
        </w:rPr>
        <w:t xml:space="preserve"> ar 7.</w:t>
      </w:r>
      <w:r w:rsidR="007D51F5" w:rsidRPr="007D51F5">
        <w:rPr>
          <w:sz w:val="28"/>
          <w:szCs w:val="28"/>
          <w:vertAlign w:val="superscript"/>
        </w:rPr>
        <w:t>1</w:t>
      </w:r>
      <w:r w:rsidR="007D51F5" w:rsidRPr="007D51F5">
        <w:rPr>
          <w:sz w:val="28"/>
          <w:szCs w:val="28"/>
        </w:rPr>
        <w:t> punktu šādā redakcijā:</w:t>
      </w:r>
    </w:p>
    <w:p w14:paraId="3FACDC75" w14:textId="77777777" w:rsidR="007D51F5" w:rsidRPr="007D51F5" w:rsidRDefault="007D51F5" w:rsidP="007D51F5">
      <w:pPr>
        <w:pStyle w:val="Sarakstarindkopa"/>
        <w:ind w:left="0" w:firstLine="709"/>
        <w:jc w:val="both"/>
        <w:rPr>
          <w:sz w:val="28"/>
          <w:szCs w:val="28"/>
        </w:rPr>
      </w:pPr>
      <w:r w:rsidRPr="007D51F5">
        <w:rPr>
          <w:sz w:val="28"/>
          <w:szCs w:val="28"/>
        </w:rPr>
        <w:t>"7.</w:t>
      </w:r>
      <w:r w:rsidRPr="007D51F5">
        <w:rPr>
          <w:sz w:val="28"/>
          <w:szCs w:val="28"/>
          <w:vertAlign w:val="superscript"/>
        </w:rPr>
        <w:t xml:space="preserve">1 </w:t>
      </w:r>
      <w:r w:rsidRPr="007D51F5">
        <w:rPr>
          <w:sz w:val="28"/>
          <w:szCs w:val="28"/>
        </w:rPr>
        <w:t>Ja</w:t>
      </w:r>
      <w:r w:rsidRPr="007D51F5">
        <w:rPr>
          <w:sz w:val="28"/>
          <w:szCs w:val="28"/>
          <w:vertAlign w:val="superscript"/>
        </w:rPr>
        <w:t xml:space="preserve"> </w:t>
      </w:r>
      <w:r w:rsidRPr="007D51F5">
        <w:rPr>
          <w:sz w:val="28"/>
          <w:szCs w:val="28"/>
        </w:rPr>
        <w:t>valsts nodeva vai drošības nauda ir iemaksāta neatbilstoši šo noteikumu 3.1. un 3.2. apakšpunktam (nepareizā tiesas kontā), Augstākā tiesa vai Tiesu administrācija, pamatojoties uz tiesneša</w:t>
      </w:r>
      <w:r w:rsidR="00CD4799">
        <w:rPr>
          <w:sz w:val="28"/>
          <w:szCs w:val="28"/>
        </w:rPr>
        <w:t>, kurš to konstatējis,</w:t>
      </w:r>
      <w:r w:rsidRPr="007D51F5">
        <w:rPr>
          <w:sz w:val="28"/>
          <w:szCs w:val="28"/>
        </w:rPr>
        <w:t xml:space="preserve"> lēmumu (rezolūcijas veidā), </w:t>
      </w:r>
      <w:r w:rsidR="00CD4799">
        <w:rPr>
          <w:sz w:val="28"/>
          <w:szCs w:val="28"/>
        </w:rPr>
        <w:t>valsts nodevu vai drošības naudu</w:t>
      </w:r>
      <w:r w:rsidRPr="007D51F5">
        <w:rPr>
          <w:sz w:val="28"/>
          <w:szCs w:val="28"/>
        </w:rPr>
        <w:t xml:space="preserve"> var pārskaitīt atbilstošajā kontā."</w:t>
      </w:r>
    </w:p>
    <w:bookmarkEnd w:id="0"/>
    <w:p w14:paraId="65924978" w14:textId="77777777" w:rsidR="009F6E6B" w:rsidRDefault="009F6E6B" w:rsidP="006214DC">
      <w:pPr>
        <w:pStyle w:val="Sarakstarindkopa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3819800C" w14:textId="77777777" w:rsidR="00447BD8" w:rsidRPr="00D7528F" w:rsidRDefault="001510BA" w:rsidP="00447BD8">
      <w:pPr>
        <w:pStyle w:val="Sarakstarindkop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528F">
        <w:rPr>
          <w:sz w:val="28"/>
          <w:szCs w:val="28"/>
        </w:rPr>
        <w:t>4</w:t>
      </w:r>
      <w:r w:rsidR="00447BD8" w:rsidRPr="00D7528F">
        <w:rPr>
          <w:sz w:val="28"/>
          <w:szCs w:val="28"/>
        </w:rPr>
        <w:t>. Izteikt 8. punktu šādā redakcijā:</w:t>
      </w:r>
    </w:p>
    <w:p w14:paraId="45522513" w14:textId="77777777" w:rsidR="00447BD8" w:rsidRPr="00D7528F" w:rsidRDefault="00447BD8" w:rsidP="00447BD8">
      <w:pPr>
        <w:pStyle w:val="Sarakstarindkop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528F">
        <w:rPr>
          <w:sz w:val="28"/>
          <w:szCs w:val="28"/>
        </w:rPr>
        <w:t xml:space="preserve">"8. Valsts nodevu atmaksā Administratīvā procesa likuma 125. pantā minētajos gadījumos no valsts budžeta līdzekļiem likumā "Par nodokļiem un </w:t>
      </w:r>
      <w:r w:rsidRPr="00D7528F">
        <w:rPr>
          <w:sz w:val="28"/>
          <w:szCs w:val="28"/>
        </w:rPr>
        <w:lastRenderedPageBreak/>
        <w:t xml:space="preserve">nodevām" noteiktajā termiņā pēc attiecīga iesnieguma iesniegšanas Valsts ieņēmumu dienestā." </w:t>
      </w:r>
    </w:p>
    <w:p w14:paraId="7B652623" w14:textId="77777777" w:rsidR="00447BD8" w:rsidRPr="00D7528F" w:rsidRDefault="00447BD8" w:rsidP="006214DC">
      <w:pPr>
        <w:pStyle w:val="Sarakstarindkopa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7274FD8E" w14:textId="77777777" w:rsidR="00FD1FA6" w:rsidRPr="00D7528F" w:rsidRDefault="001510BA" w:rsidP="00FD1F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7528F">
        <w:rPr>
          <w:sz w:val="28"/>
          <w:szCs w:val="28"/>
        </w:rPr>
        <w:t>5</w:t>
      </w:r>
      <w:r w:rsidR="00FD1FA6" w:rsidRPr="00D7528F">
        <w:rPr>
          <w:sz w:val="28"/>
          <w:szCs w:val="28"/>
        </w:rPr>
        <w:t xml:space="preserve">. Aizstāt 9.6. apakšpunktā vārdus "iesniegts iesniegums par nepareizi iemaksātas </w:t>
      </w:r>
      <w:bookmarkStart w:id="1" w:name="_Hlk487196861"/>
      <w:r w:rsidR="00FD1FA6" w:rsidRPr="00D7528F">
        <w:rPr>
          <w:sz w:val="28"/>
          <w:szCs w:val="28"/>
        </w:rPr>
        <w:t xml:space="preserve">valsts nodevas </w:t>
      </w:r>
      <w:bookmarkEnd w:id="1"/>
      <w:r w:rsidR="00FD1FA6" w:rsidRPr="00D7528F">
        <w:rPr>
          <w:sz w:val="28"/>
          <w:szCs w:val="28"/>
        </w:rPr>
        <w:t>atmaksu" ar vārdiem "atmaksa jāveic Administratīvā procesa likuma 125. panta ceturtajā daļā minētajos gadījumos".</w:t>
      </w:r>
    </w:p>
    <w:p w14:paraId="0D301FB5" w14:textId="77777777" w:rsidR="00FD1FA6" w:rsidRPr="00D7528F" w:rsidRDefault="00FD1FA6" w:rsidP="00FD1FA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A3D249F" w14:textId="77777777" w:rsidR="00FD1FA6" w:rsidRPr="00D7528F" w:rsidRDefault="001510BA" w:rsidP="00FD1F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7528F">
        <w:rPr>
          <w:sz w:val="28"/>
          <w:szCs w:val="28"/>
        </w:rPr>
        <w:t>6</w:t>
      </w:r>
      <w:r w:rsidR="00FD1FA6" w:rsidRPr="00D7528F">
        <w:rPr>
          <w:sz w:val="28"/>
          <w:szCs w:val="28"/>
        </w:rPr>
        <w:t xml:space="preserve">. Aizstāt 10. punktā vārdus "iesniegts iesniegums par nepareizi iemaksātas </w:t>
      </w:r>
      <w:r w:rsidR="00447BD8" w:rsidRPr="00D7528F">
        <w:rPr>
          <w:sz w:val="28"/>
          <w:szCs w:val="28"/>
        </w:rPr>
        <w:t xml:space="preserve">valsts nodevas </w:t>
      </w:r>
      <w:r w:rsidR="00FD1FA6" w:rsidRPr="00D7528F">
        <w:rPr>
          <w:sz w:val="28"/>
          <w:szCs w:val="28"/>
        </w:rPr>
        <w:t>atmaksu" ar vārdiem "atmaksa jāveic Administratīvā procesa likuma 12</w:t>
      </w:r>
      <w:r w:rsidR="00447BD8" w:rsidRPr="00D7528F">
        <w:rPr>
          <w:sz w:val="28"/>
          <w:szCs w:val="28"/>
        </w:rPr>
        <w:t>5</w:t>
      </w:r>
      <w:r w:rsidR="00FD1FA6" w:rsidRPr="00D7528F">
        <w:rPr>
          <w:sz w:val="28"/>
          <w:szCs w:val="28"/>
        </w:rPr>
        <w:t xml:space="preserve">. panta </w:t>
      </w:r>
      <w:r w:rsidR="00447BD8" w:rsidRPr="00D7528F">
        <w:rPr>
          <w:sz w:val="28"/>
          <w:szCs w:val="28"/>
        </w:rPr>
        <w:t>ce</w:t>
      </w:r>
      <w:r w:rsidR="00FD1FA6" w:rsidRPr="00D7528F">
        <w:rPr>
          <w:sz w:val="28"/>
          <w:szCs w:val="28"/>
        </w:rPr>
        <w:t>t</w:t>
      </w:r>
      <w:r w:rsidR="00447BD8" w:rsidRPr="00D7528F">
        <w:rPr>
          <w:sz w:val="28"/>
          <w:szCs w:val="28"/>
        </w:rPr>
        <w:t>u</w:t>
      </w:r>
      <w:r w:rsidR="00FD1FA6" w:rsidRPr="00D7528F">
        <w:rPr>
          <w:sz w:val="28"/>
          <w:szCs w:val="28"/>
        </w:rPr>
        <w:t>r</w:t>
      </w:r>
      <w:r w:rsidR="00447BD8" w:rsidRPr="00D7528F">
        <w:rPr>
          <w:sz w:val="28"/>
          <w:szCs w:val="28"/>
        </w:rPr>
        <w:t>ta</w:t>
      </w:r>
      <w:r w:rsidR="00FD1FA6" w:rsidRPr="00D7528F">
        <w:rPr>
          <w:sz w:val="28"/>
          <w:szCs w:val="28"/>
        </w:rPr>
        <w:t>jā daļā minētajos gadījumos".</w:t>
      </w:r>
    </w:p>
    <w:p w14:paraId="66B28E46" w14:textId="77777777" w:rsidR="00FD1FA6" w:rsidRPr="00D7528F" w:rsidRDefault="00FD1FA6" w:rsidP="006214DC">
      <w:pPr>
        <w:pStyle w:val="Sarakstarindkopa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6B08FB34" w14:textId="77777777" w:rsidR="00FD1FA6" w:rsidRPr="00D7528F" w:rsidRDefault="001510BA" w:rsidP="00FD1FA6">
      <w:pPr>
        <w:pStyle w:val="Sarakstarindkopa"/>
        <w:ind w:left="709"/>
        <w:rPr>
          <w:sz w:val="28"/>
          <w:szCs w:val="28"/>
        </w:rPr>
      </w:pPr>
      <w:r w:rsidRPr="00D7528F">
        <w:rPr>
          <w:sz w:val="28"/>
          <w:szCs w:val="28"/>
        </w:rPr>
        <w:t>7</w:t>
      </w:r>
      <w:r w:rsidR="00FD1FA6" w:rsidRPr="00D7528F">
        <w:rPr>
          <w:sz w:val="28"/>
          <w:szCs w:val="28"/>
        </w:rPr>
        <w:t xml:space="preserve">. Svītrot 12. punktu. </w:t>
      </w:r>
    </w:p>
    <w:p w14:paraId="5299E9AF" w14:textId="77777777" w:rsidR="00FD1FA6" w:rsidRPr="00D7528F" w:rsidRDefault="00FD1FA6" w:rsidP="006214DC">
      <w:pPr>
        <w:pStyle w:val="Sarakstarindkopa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75A6B8B6" w14:textId="77777777" w:rsidR="00C51EB3" w:rsidRPr="00D7528F" w:rsidRDefault="001510BA" w:rsidP="00172C83">
      <w:pPr>
        <w:pStyle w:val="Sarakstarindkop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528F">
        <w:rPr>
          <w:sz w:val="28"/>
          <w:szCs w:val="28"/>
        </w:rPr>
        <w:t>8</w:t>
      </w:r>
      <w:r w:rsidR="00803AB9" w:rsidRPr="00D7528F">
        <w:rPr>
          <w:sz w:val="28"/>
          <w:szCs w:val="28"/>
        </w:rPr>
        <w:t>. </w:t>
      </w:r>
      <w:r w:rsidR="000C1922" w:rsidRPr="00D7528F">
        <w:rPr>
          <w:sz w:val="28"/>
          <w:szCs w:val="28"/>
        </w:rPr>
        <w:t>Izteikt 15.</w:t>
      </w:r>
      <w:r w:rsidR="00425CB4" w:rsidRPr="00D7528F">
        <w:rPr>
          <w:sz w:val="28"/>
          <w:szCs w:val="28"/>
        </w:rPr>
        <w:t> </w:t>
      </w:r>
      <w:r w:rsidR="000C1922" w:rsidRPr="00D7528F">
        <w:rPr>
          <w:sz w:val="28"/>
          <w:szCs w:val="28"/>
        </w:rPr>
        <w:t>punktu šādā redakcijā:</w:t>
      </w:r>
    </w:p>
    <w:p w14:paraId="18090BAA" w14:textId="77777777" w:rsidR="000C1922" w:rsidRPr="00D7528F" w:rsidRDefault="000C1922" w:rsidP="00172C83">
      <w:pPr>
        <w:pStyle w:val="Sarakstarindkop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528F">
        <w:rPr>
          <w:sz w:val="28"/>
          <w:szCs w:val="28"/>
        </w:rPr>
        <w:t>"15. Drošības naudu</w:t>
      </w:r>
      <w:r w:rsidR="00EC5301" w:rsidRPr="00D7528F">
        <w:rPr>
          <w:sz w:val="28"/>
          <w:szCs w:val="28"/>
        </w:rPr>
        <w:t>, kas iemaksāta šo noteikumu 3.</w:t>
      </w:r>
      <w:r w:rsidR="00340D90" w:rsidRPr="00D7528F">
        <w:rPr>
          <w:sz w:val="28"/>
          <w:szCs w:val="28"/>
        </w:rPr>
        <w:t> </w:t>
      </w:r>
      <w:r w:rsidR="00FD1FA6" w:rsidRPr="00D7528F">
        <w:rPr>
          <w:sz w:val="28"/>
          <w:szCs w:val="28"/>
        </w:rPr>
        <w:t>un 4. punktā</w:t>
      </w:r>
      <w:r w:rsidR="00EC5301" w:rsidRPr="00D7528F">
        <w:rPr>
          <w:sz w:val="28"/>
          <w:szCs w:val="28"/>
        </w:rPr>
        <w:t xml:space="preserve"> noteiktajā kārtībā, </w:t>
      </w:r>
      <w:r w:rsidR="00FD1FA6" w:rsidRPr="00D7528F">
        <w:rPr>
          <w:sz w:val="28"/>
          <w:szCs w:val="28"/>
        </w:rPr>
        <w:t>pamatojoties uz personas iesniegumu</w:t>
      </w:r>
      <w:r w:rsidR="00DC413C">
        <w:rPr>
          <w:sz w:val="28"/>
          <w:szCs w:val="28"/>
        </w:rPr>
        <w:t>,</w:t>
      </w:r>
      <w:r w:rsidR="00FD1FA6" w:rsidRPr="00D7528F">
        <w:rPr>
          <w:sz w:val="28"/>
          <w:szCs w:val="28"/>
        </w:rPr>
        <w:t xml:space="preserve"> </w:t>
      </w:r>
      <w:r w:rsidR="00EC5301" w:rsidRPr="00D7528F">
        <w:rPr>
          <w:sz w:val="28"/>
          <w:szCs w:val="28"/>
        </w:rPr>
        <w:t xml:space="preserve">atmaksā </w:t>
      </w:r>
      <w:r w:rsidR="00FD1FA6" w:rsidRPr="00D7528F">
        <w:rPr>
          <w:sz w:val="28"/>
          <w:szCs w:val="28"/>
        </w:rPr>
        <w:t>Administratīvā procesa likuma 129.</w:t>
      </w:r>
      <w:r w:rsidR="00FD1FA6" w:rsidRPr="00D7528F">
        <w:rPr>
          <w:sz w:val="28"/>
          <w:szCs w:val="28"/>
          <w:vertAlign w:val="superscript"/>
        </w:rPr>
        <w:t>1</w:t>
      </w:r>
      <w:r w:rsidR="00FD1FA6" w:rsidRPr="00D7528F">
        <w:rPr>
          <w:sz w:val="28"/>
          <w:szCs w:val="28"/>
        </w:rPr>
        <w:t> pantā minētajos gadījumos Augstākā tiesa vai Tiesu administrācija, kuras kontā Valsts kasē drošības nauda tika iemaksāta</w:t>
      </w:r>
      <w:r w:rsidR="00EC5301" w:rsidRPr="00D7528F">
        <w:rPr>
          <w:sz w:val="28"/>
          <w:szCs w:val="28"/>
        </w:rPr>
        <w:t xml:space="preserve">." </w:t>
      </w:r>
    </w:p>
    <w:p w14:paraId="2E1141D0" w14:textId="77777777" w:rsidR="00FD1FA6" w:rsidRPr="00D7528F" w:rsidRDefault="00FD1FA6" w:rsidP="00FD1FA6">
      <w:pPr>
        <w:pStyle w:val="Sarakstarindkopa"/>
        <w:ind w:left="709"/>
        <w:rPr>
          <w:sz w:val="28"/>
          <w:szCs w:val="28"/>
        </w:rPr>
      </w:pPr>
    </w:p>
    <w:p w14:paraId="6716A639" w14:textId="77777777" w:rsidR="00FD1FA6" w:rsidRPr="00D7528F" w:rsidRDefault="001510BA" w:rsidP="00FD1FA6">
      <w:pPr>
        <w:pStyle w:val="Sarakstarindkopa"/>
        <w:ind w:left="709"/>
        <w:rPr>
          <w:sz w:val="28"/>
          <w:szCs w:val="28"/>
        </w:rPr>
      </w:pPr>
      <w:r w:rsidRPr="00D7528F">
        <w:rPr>
          <w:sz w:val="28"/>
          <w:szCs w:val="28"/>
        </w:rPr>
        <w:t>9</w:t>
      </w:r>
      <w:r w:rsidR="00FD1FA6" w:rsidRPr="00D7528F">
        <w:rPr>
          <w:sz w:val="28"/>
          <w:szCs w:val="28"/>
        </w:rPr>
        <w:t xml:space="preserve">. Svītrot 16. punktu. </w:t>
      </w:r>
    </w:p>
    <w:p w14:paraId="6AF3B47E" w14:textId="77777777" w:rsidR="00FD1FA6" w:rsidRPr="00D7528F" w:rsidRDefault="00FD1FA6" w:rsidP="006214DC">
      <w:pPr>
        <w:pStyle w:val="Sarakstarindkopa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2260332C" w14:textId="77777777" w:rsidR="00546CC3" w:rsidRPr="00D7528F" w:rsidRDefault="001510BA" w:rsidP="00546C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7528F">
        <w:rPr>
          <w:sz w:val="28"/>
          <w:szCs w:val="28"/>
        </w:rPr>
        <w:t>10</w:t>
      </w:r>
      <w:r w:rsidR="00546CC3" w:rsidRPr="00D7528F">
        <w:rPr>
          <w:sz w:val="28"/>
          <w:szCs w:val="28"/>
        </w:rPr>
        <w:t>. Aizstāt 17.6. apakšpunktā vārdus "iesniegts iesniegums par nepareizi iemaksātas drošības naudas atmaksu" ar vārdiem "atmaksa jāveic Administratīvā procesa likuma 129.</w:t>
      </w:r>
      <w:r w:rsidR="00546CC3" w:rsidRPr="00D7528F">
        <w:rPr>
          <w:sz w:val="28"/>
          <w:szCs w:val="28"/>
          <w:vertAlign w:val="superscript"/>
        </w:rPr>
        <w:t>1</w:t>
      </w:r>
      <w:r w:rsidR="00546CC3" w:rsidRPr="00D7528F">
        <w:rPr>
          <w:sz w:val="28"/>
          <w:szCs w:val="28"/>
        </w:rPr>
        <w:t> panta trešajā daļā minētajos gadījumos".</w:t>
      </w:r>
    </w:p>
    <w:p w14:paraId="5F97D9F4" w14:textId="77777777" w:rsidR="00E3035A" w:rsidRPr="00D7528F" w:rsidRDefault="00E3035A" w:rsidP="00546CC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5F913D9B" w14:textId="77777777" w:rsidR="00546CC3" w:rsidRPr="00D7528F" w:rsidRDefault="00447BD8" w:rsidP="00546C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7528F">
        <w:rPr>
          <w:sz w:val="28"/>
          <w:szCs w:val="28"/>
        </w:rPr>
        <w:t>1</w:t>
      </w:r>
      <w:r w:rsidR="001510BA" w:rsidRPr="00D7528F">
        <w:rPr>
          <w:sz w:val="28"/>
          <w:szCs w:val="28"/>
        </w:rPr>
        <w:t>1</w:t>
      </w:r>
      <w:r w:rsidR="00546CC3" w:rsidRPr="00D7528F">
        <w:rPr>
          <w:sz w:val="28"/>
          <w:szCs w:val="28"/>
        </w:rPr>
        <w:t>. Aizstāt 18. punktā vārdus "iesniegts iesniegums par nepareizi iemaksātas drošības naudas atmaksu" ar vārdiem "atmaksa jāveic Administratīvā procesa likuma 129.</w:t>
      </w:r>
      <w:r w:rsidR="00546CC3" w:rsidRPr="00D7528F">
        <w:rPr>
          <w:sz w:val="28"/>
          <w:szCs w:val="28"/>
          <w:vertAlign w:val="superscript"/>
        </w:rPr>
        <w:t>1</w:t>
      </w:r>
      <w:r w:rsidR="00546CC3" w:rsidRPr="00D7528F">
        <w:rPr>
          <w:sz w:val="28"/>
          <w:szCs w:val="28"/>
        </w:rPr>
        <w:t> panta trešajā daļā minētajos gadījumos".</w:t>
      </w:r>
    </w:p>
    <w:p w14:paraId="61F54696" w14:textId="77777777" w:rsidR="005F0102" w:rsidRPr="00D7528F" w:rsidRDefault="005F0102" w:rsidP="006214DC">
      <w:pPr>
        <w:pStyle w:val="Sarakstarindkopa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19A1DC2F" w14:textId="77777777" w:rsidR="00F56434" w:rsidRPr="00D7528F" w:rsidRDefault="00447BD8" w:rsidP="00F56434">
      <w:pPr>
        <w:pStyle w:val="Sarakstarindkopa"/>
        <w:ind w:left="709"/>
        <w:rPr>
          <w:sz w:val="28"/>
          <w:szCs w:val="28"/>
        </w:rPr>
      </w:pPr>
      <w:bookmarkStart w:id="2" w:name="_Hlk487196472"/>
      <w:r w:rsidRPr="00D7528F">
        <w:rPr>
          <w:sz w:val="28"/>
          <w:szCs w:val="28"/>
        </w:rPr>
        <w:t>1</w:t>
      </w:r>
      <w:r w:rsidR="001510BA" w:rsidRPr="00D7528F">
        <w:rPr>
          <w:sz w:val="28"/>
          <w:szCs w:val="28"/>
        </w:rPr>
        <w:t>2</w:t>
      </w:r>
      <w:r w:rsidR="00F56434" w:rsidRPr="00D7528F">
        <w:rPr>
          <w:sz w:val="28"/>
          <w:szCs w:val="28"/>
        </w:rPr>
        <w:t xml:space="preserve">. Svītrot 20. punktu. </w:t>
      </w:r>
    </w:p>
    <w:bookmarkEnd w:id="2"/>
    <w:p w14:paraId="7188BBEE" w14:textId="77777777" w:rsidR="00F56434" w:rsidRPr="00D7528F" w:rsidRDefault="00F56434" w:rsidP="006214DC">
      <w:pPr>
        <w:pStyle w:val="Sarakstarindkopa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259E96E5" w14:textId="77777777" w:rsidR="001336F6" w:rsidRDefault="00447BD8" w:rsidP="001336F6">
      <w:pPr>
        <w:pStyle w:val="Sarakstarindkop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528F">
        <w:rPr>
          <w:sz w:val="28"/>
          <w:szCs w:val="28"/>
        </w:rPr>
        <w:t>1</w:t>
      </w:r>
      <w:r w:rsidR="001510BA" w:rsidRPr="00D7528F">
        <w:rPr>
          <w:sz w:val="28"/>
          <w:szCs w:val="28"/>
        </w:rPr>
        <w:t>3</w:t>
      </w:r>
      <w:r w:rsidR="001336F6" w:rsidRPr="00D7528F">
        <w:rPr>
          <w:sz w:val="28"/>
          <w:szCs w:val="28"/>
        </w:rPr>
        <w:t>. </w:t>
      </w:r>
      <w:r w:rsidR="00A93D83" w:rsidRPr="00D7528F">
        <w:rPr>
          <w:sz w:val="28"/>
          <w:szCs w:val="28"/>
        </w:rPr>
        <w:t>Svītrot</w:t>
      </w:r>
      <w:r w:rsidR="001336F6" w:rsidRPr="00D7528F">
        <w:rPr>
          <w:sz w:val="28"/>
          <w:szCs w:val="28"/>
        </w:rPr>
        <w:t xml:space="preserve"> 23. punkt</w:t>
      </w:r>
      <w:r w:rsidR="00A93D83" w:rsidRPr="00D7528F">
        <w:rPr>
          <w:sz w:val="28"/>
          <w:szCs w:val="28"/>
        </w:rPr>
        <w:t>u.</w:t>
      </w:r>
      <w:r w:rsidR="00A93D83">
        <w:rPr>
          <w:sz w:val="28"/>
          <w:szCs w:val="28"/>
        </w:rPr>
        <w:t xml:space="preserve"> </w:t>
      </w:r>
    </w:p>
    <w:p w14:paraId="500F855D" w14:textId="77777777" w:rsidR="006214DC" w:rsidRDefault="006214DC" w:rsidP="006214DC">
      <w:pPr>
        <w:tabs>
          <w:tab w:val="left" w:pos="993"/>
        </w:tabs>
        <w:jc w:val="both"/>
        <w:rPr>
          <w:sz w:val="28"/>
          <w:szCs w:val="28"/>
        </w:rPr>
      </w:pPr>
    </w:p>
    <w:p w14:paraId="7E7C2722" w14:textId="77777777" w:rsidR="00447BD8" w:rsidRDefault="00447BD8" w:rsidP="006214DC">
      <w:pPr>
        <w:tabs>
          <w:tab w:val="left" w:pos="993"/>
        </w:tabs>
        <w:jc w:val="both"/>
        <w:rPr>
          <w:sz w:val="28"/>
          <w:szCs w:val="28"/>
        </w:rPr>
      </w:pPr>
    </w:p>
    <w:p w14:paraId="7BF64832" w14:textId="77777777" w:rsidR="006214DC" w:rsidRDefault="006214DC" w:rsidP="006214DC">
      <w:pPr>
        <w:tabs>
          <w:tab w:val="left" w:pos="993"/>
        </w:tabs>
        <w:jc w:val="both"/>
        <w:rPr>
          <w:sz w:val="28"/>
          <w:szCs w:val="28"/>
        </w:rPr>
      </w:pPr>
    </w:p>
    <w:p w14:paraId="323CA851" w14:textId="77777777" w:rsidR="006214DC" w:rsidRDefault="006214DC" w:rsidP="006214DC">
      <w:pPr>
        <w:pStyle w:val="Sarakstarindkopa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Ministru prezidents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Māris Kučinskis</w:t>
      </w:r>
    </w:p>
    <w:p w14:paraId="5C11F288" w14:textId="77777777" w:rsidR="006214DC" w:rsidRPr="00CB37B6" w:rsidRDefault="006214DC" w:rsidP="006214DC">
      <w:pPr>
        <w:pStyle w:val="Sarakstarindkopa"/>
        <w:ind w:left="0"/>
        <w:jc w:val="both"/>
        <w:rPr>
          <w:color w:val="000000"/>
          <w:sz w:val="28"/>
          <w:szCs w:val="28"/>
        </w:rPr>
      </w:pPr>
    </w:p>
    <w:p w14:paraId="379233B5" w14:textId="77777777" w:rsidR="006214DC" w:rsidRPr="000E48D3" w:rsidRDefault="006214DC" w:rsidP="006214DC">
      <w:pPr>
        <w:spacing w:before="75" w:after="75"/>
        <w:jc w:val="both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Dzintars Rasnačs</w:t>
      </w:r>
    </w:p>
    <w:p w14:paraId="7ED67A98" w14:textId="77777777" w:rsidR="006214DC" w:rsidRPr="00562A10" w:rsidRDefault="006214DC" w:rsidP="006214DC">
      <w:pPr>
        <w:spacing w:before="75" w:after="75"/>
        <w:jc w:val="both"/>
        <w:rPr>
          <w:sz w:val="28"/>
          <w:szCs w:val="28"/>
        </w:rPr>
      </w:pPr>
    </w:p>
    <w:p w14:paraId="052A233E" w14:textId="77777777" w:rsidR="006214DC" w:rsidRDefault="006214DC" w:rsidP="006214DC">
      <w:pPr>
        <w:spacing w:before="75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3C96A51D" w14:textId="77777777" w:rsidR="006214DC" w:rsidRDefault="000B4226" w:rsidP="006214DC">
      <w:pPr>
        <w:jc w:val="both"/>
        <w:rPr>
          <w:rFonts w:eastAsia="Calibri"/>
          <w:sz w:val="14"/>
          <w:szCs w:val="28"/>
          <w:lang w:eastAsia="en-US"/>
        </w:rPr>
      </w:pPr>
      <w:r>
        <w:rPr>
          <w:sz w:val="28"/>
          <w:szCs w:val="28"/>
        </w:rPr>
        <w:t>Tieslietu ministrijas valsts sekretārs</w:t>
      </w:r>
      <w:r w:rsidR="00153656">
        <w:rPr>
          <w:sz w:val="28"/>
          <w:szCs w:val="28"/>
        </w:rPr>
        <w:tab/>
      </w:r>
      <w:r w:rsidR="00153656">
        <w:rPr>
          <w:sz w:val="28"/>
          <w:szCs w:val="28"/>
        </w:rPr>
        <w:tab/>
      </w:r>
      <w:r w:rsidR="00153656">
        <w:rPr>
          <w:sz w:val="28"/>
          <w:szCs w:val="28"/>
        </w:rPr>
        <w:tab/>
      </w:r>
      <w:bookmarkStart w:id="3" w:name="_GoBack"/>
      <w:bookmarkEnd w:id="3"/>
      <w:r>
        <w:rPr>
          <w:sz w:val="28"/>
          <w:szCs w:val="28"/>
        </w:rPr>
        <w:tab/>
        <w:t>Raivis Kronbergs</w:t>
      </w:r>
    </w:p>
    <w:sectPr w:rsidR="006214DC" w:rsidSect="006214DC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C210C" w14:textId="77777777" w:rsidR="00AB49A8" w:rsidRDefault="00AB49A8">
      <w:r>
        <w:separator/>
      </w:r>
    </w:p>
  </w:endnote>
  <w:endnote w:type="continuationSeparator" w:id="0">
    <w:p w14:paraId="10428AE4" w14:textId="77777777" w:rsidR="00AB49A8" w:rsidRDefault="00AB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11945" w14:textId="1648091E" w:rsidR="006327B0" w:rsidRPr="004D0F98" w:rsidRDefault="00DC413C" w:rsidP="004D0F98">
    <w:pPr>
      <w:jc w:val="both"/>
      <w:rPr>
        <w:sz w:val="20"/>
        <w:szCs w:val="20"/>
      </w:rPr>
    </w:pPr>
    <w:r>
      <w:rPr>
        <w:sz w:val="20"/>
        <w:szCs w:val="20"/>
      </w:rPr>
      <w:t>TMnot_100717_groz85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54DCE" w14:textId="02DBC5EC" w:rsidR="006327B0" w:rsidRPr="004B1ACE" w:rsidRDefault="00DC413C" w:rsidP="004B1ACE">
    <w:pPr>
      <w:jc w:val="both"/>
      <w:rPr>
        <w:sz w:val="20"/>
        <w:szCs w:val="20"/>
      </w:rPr>
    </w:pPr>
    <w:r>
      <w:rPr>
        <w:sz w:val="20"/>
        <w:szCs w:val="20"/>
      </w:rPr>
      <w:t>TMnot_100717_groz85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487BB" w14:textId="77777777" w:rsidR="00AB49A8" w:rsidRDefault="00AB49A8">
      <w:r>
        <w:separator/>
      </w:r>
    </w:p>
  </w:footnote>
  <w:footnote w:type="continuationSeparator" w:id="0">
    <w:p w14:paraId="31CDAA14" w14:textId="77777777" w:rsidR="00AB49A8" w:rsidRDefault="00AB4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2610598"/>
      <w:docPartObj>
        <w:docPartGallery w:val="Page Numbers (Top of Page)"/>
        <w:docPartUnique/>
      </w:docPartObj>
    </w:sdtPr>
    <w:sdtEndPr/>
    <w:sdtContent>
      <w:p w14:paraId="4B83D2E0" w14:textId="79AE0D6F" w:rsidR="00933689" w:rsidRDefault="00805C44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8F3">
          <w:rPr>
            <w:noProof/>
          </w:rPr>
          <w:t>2</w:t>
        </w:r>
        <w:r>
          <w:fldChar w:fldCharType="end"/>
        </w:r>
      </w:p>
    </w:sdtContent>
  </w:sdt>
  <w:p w14:paraId="1B3DC554" w14:textId="77777777" w:rsidR="006327B0" w:rsidRDefault="005428F3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DC"/>
    <w:rsid w:val="00077142"/>
    <w:rsid w:val="000B4226"/>
    <w:rsid w:val="000C1922"/>
    <w:rsid w:val="001336F6"/>
    <w:rsid w:val="001510BA"/>
    <w:rsid w:val="00153656"/>
    <w:rsid w:val="00172C83"/>
    <w:rsid w:val="00192818"/>
    <w:rsid w:val="001A4E60"/>
    <w:rsid w:val="00293372"/>
    <w:rsid w:val="002A23B9"/>
    <w:rsid w:val="002E3AAA"/>
    <w:rsid w:val="003051F7"/>
    <w:rsid w:val="00340D90"/>
    <w:rsid w:val="00380A78"/>
    <w:rsid w:val="0039362E"/>
    <w:rsid w:val="003C7FAC"/>
    <w:rsid w:val="00425CB4"/>
    <w:rsid w:val="00447BD8"/>
    <w:rsid w:val="00490E0B"/>
    <w:rsid w:val="004D0F98"/>
    <w:rsid w:val="004D3E77"/>
    <w:rsid w:val="0051437F"/>
    <w:rsid w:val="005428F3"/>
    <w:rsid w:val="00546CC3"/>
    <w:rsid w:val="00562A10"/>
    <w:rsid w:val="00580F1D"/>
    <w:rsid w:val="00584690"/>
    <w:rsid w:val="005A2849"/>
    <w:rsid w:val="005F0102"/>
    <w:rsid w:val="006214DC"/>
    <w:rsid w:val="007015B5"/>
    <w:rsid w:val="00746912"/>
    <w:rsid w:val="00747B35"/>
    <w:rsid w:val="00770B17"/>
    <w:rsid w:val="007D51F5"/>
    <w:rsid w:val="00803AB9"/>
    <w:rsid w:val="00805C44"/>
    <w:rsid w:val="008824F2"/>
    <w:rsid w:val="00914CDB"/>
    <w:rsid w:val="009707F5"/>
    <w:rsid w:val="009A0DF7"/>
    <w:rsid w:val="009F6E6B"/>
    <w:rsid w:val="00A93D83"/>
    <w:rsid w:val="00AB49A8"/>
    <w:rsid w:val="00AF6AA0"/>
    <w:rsid w:val="00B06BA9"/>
    <w:rsid w:val="00B71162"/>
    <w:rsid w:val="00BA2051"/>
    <w:rsid w:val="00BD51AC"/>
    <w:rsid w:val="00BD68D2"/>
    <w:rsid w:val="00BE1E39"/>
    <w:rsid w:val="00C319C5"/>
    <w:rsid w:val="00C51EB3"/>
    <w:rsid w:val="00CD4799"/>
    <w:rsid w:val="00D17814"/>
    <w:rsid w:val="00D749FB"/>
    <w:rsid w:val="00D7528F"/>
    <w:rsid w:val="00D77C53"/>
    <w:rsid w:val="00DC413C"/>
    <w:rsid w:val="00E26C8B"/>
    <w:rsid w:val="00E3035A"/>
    <w:rsid w:val="00EC5301"/>
    <w:rsid w:val="00EF55FD"/>
    <w:rsid w:val="00F46241"/>
    <w:rsid w:val="00F56434"/>
    <w:rsid w:val="00F937A8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32BF"/>
  <w15:docId w15:val="{0359C3D3-5B7F-4B89-8156-7FDBFCA5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21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6214D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214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6214D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214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Parasts"/>
    <w:rsid w:val="006214DC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Hipersaite">
    <w:name w:val="Hyperlink"/>
    <w:basedOn w:val="Noklusjumarindkopasfonts"/>
    <w:uiPriority w:val="99"/>
    <w:rsid w:val="006214DC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6214DC"/>
    <w:pPr>
      <w:ind w:left="720"/>
    </w:pPr>
  </w:style>
  <w:style w:type="paragraph" w:customStyle="1" w:styleId="tv90087921">
    <w:name w:val="tv900_87_921"/>
    <w:basedOn w:val="Parasts"/>
    <w:rsid w:val="006214DC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214D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214DC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15365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15365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15365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5365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5365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32">
    <w:name w:val="tv2132"/>
    <w:basedOn w:val="Parasts"/>
    <w:rsid w:val="005F0102"/>
    <w:pPr>
      <w:spacing w:line="360" w:lineRule="auto"/>
      <w:ind w:firstLine="300"/>
    </w:pPr>
    <w:rPr>
      <w:color w:val="414142"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C192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C192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0C1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9328D-5236-42BC-9FAC-E7B5A6FC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2031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2013. gada 12. februāra noteikumos Nr. 85 "Kārtība, kādā administratīvajā lietā iemaksā, atmaksā un atlīdzina valsts nodevu un iemaksā un atmaksā drošības naudu"</vt:lpstr>
    </vt:vector>
  </TitlesOfParts>
  <Company>Tieslietu ministrija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 gada 12. februāra noteikumos Nr. 85 "Kārtība, kādā administratīvajā lietā iemaksā, atmaksā un atlīdzina valsts nodevu un iemaksā un atmaksā drošības naudu"</dc:title>
  <dc:subject>Noteikumu projekts</dc:subject>
  <dc:creator>Laura Līce</dc:creator>
  <dc:description>67036789, Laura.Lice@tm.gov.lv</dc:description>
  <cp:lastModifiedBy>Vineta Reinika</cp:lastModifiedBy>
  <cp:revision>9</cp:revision>
  <cp:lastPrinted>2017-07-06T06:54:00Z</cp:lastPrinted>
  <dcterms:created xsi:type="dcterms:W3CDTF">2017-07-07T09:36:00Z</dcterms:created>
  <dcterms:modified xsi:type="dcterms:W3CDTF">2017-07-10T11:59:00Z</dcterms:modified>
</cp:coreProperties>
</file>