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1E" w:rsidRPr="009A3E9F" w:rsidRDefault="00CA261E" w:rsidP="00CA261E">
      <w:pPr>
        <w:shd w:val="clear" w:color="auto" w:fill="FFFFFF"/>
        <w:spacing w:after="0" w:line="240" w:lineRule="auto"/>
        <w:jc w:val="center"/>
        <w:rPr>
          <w:rFonts w:ascii="Times New Roman" w:eastAsia="Times New Roman" w:hAnsi="Times New Roman" w:cs="Times New Roman"/>
          <w:b/>
          <w:bCs/>
          <w:sz w:val="24"/>
          <w:szCs w:val="24"/>
          <w:lang w:eastAsia="lv-LV"/>
        </w:rPr>
      </w:pPr>
      <w:r w:rsidRPr="009A3E9F">
        <w:rPr>
          <w:rFonts w:ascii="Times New Roman" w:eastAsia="Times New Roman" w:hAnsi="Times New Roman" w:cs="Times New Roman"/>
          <w:b/>
          <w:bCs/>
          <w:sz w:val="24"/>
          <w:szCs w:val="24"/>
          <w:lang w:eastAsia="lv-LV"/>
        </w:rPr>
        <w:t xml:space="preserve">Ministru kabineta </w:t>
      </w:r>
      <w:r w:rsidR="007D2EA1" w:rsidRPr="009A3E9F">
        <w:rPr>
          <w:rFonts w:ascii="Times New Roman" w:eastAsia="Times New Roman" w:hAnsi="Times New Roman" w:cs="Times New Roman"/>
          <w:b/>
          <w:bCs/>
          <w:sz w:val="24"/>
          <w:szCs w:val="24"/>
          <w:lang w:eastAsia="lv-LV"/>
        </w:rPr>
        <w:t>rīkojuma</w:t>
      </w:r>
      <w:r w:rsidRPr="009A3E9F">
        <w:rPr>
          <w:rFonts w:ascii="Times New Roman" w:eastAsia="Times New Roman" w:hAnsi="Times New Roman" w:cs="Times New Roman"/>
          <w:b/>
          <w:bCs/>
          <w:sz w:val="24"/>
          <w:szCs w:val="24"/>
          <w:lang w:eastAsia="lv-LV"/>
        </w:rPr>
        <w:t xml:space="preserve"> projekta</w:t>
      </w:r>
    </w:p>
    <w:p w:rsidR="00894C55" w:rsidRPr="009A3E9F" w:rsidRDefault="007D2EA1" w:rsidP="00CA261E">
      <w:pPr>
        <w:shd w:val="clear" w:color="auto" w:fill="FFFFFF"/>
        <w:spacing w:after="0" w:line="240" w:lineRule="auto"/>
        <w:jc w:val="center"/>
        <w:rPr>
          <w:rFonts w:ascii="Times New Roman" w:eastAsia="Times New Roman" w:hAnsi="Times New Roman" w:cs="Times New Roman"/>
          <w:b/>
          <w:bCs/>
          <w:sz w:val="24"/>
          <w:szCs w:val="24"/>
          <w:lang w:eastAsia="lv-LV"/>
        </w:rPr>
      </w:pPr>
      <w:r w:rsidRPr="009A3E9F">
        <w:rPr>
          <w:rFonts w:ascii="Times New Roman" w:hAnsi="Times New Roman" w:cs="Times New Roman"/>
          <w:b/>
          <w:sz w:val="24"/>
          <w:szCs w:val="24"/>
        </w:rPr>
        <w:t xml:space="preserve">„Par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Pr="009A3E9F">
          <w:rPr>
            <w:rFonts w:ascii="Times New Roman" w:hAnsi="Times New Roman" w:cs="Times New Roman"/>
            <w:b/>
            <w:sz w:val="24"/>
            <w:szCs w:val="24"/>
          </w:rPr>
          <w:t>ziņojums</w:t>
        </w:r>
      </w:smartTag>
      <w:r w:rsidRPr="009A3E9F">
        <w:rPr>
          <w:rFonts w:ascii="Times New Roman" w:hAnsi="Times New Roman" w:cs="Times New Roman"/>
          <w:b/>
          <w:sz w:val="24"/>
          <w:szCs w:val="24"/>
        </w:rPr>
        <w:t xml:space="preserve"> (anotācija)</w:t>
      </w:r>
    </w:p>
    <w:p w:rsidR="00894C55" w:rsidRPr="009A3E9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A261E" w:rsidRPr="009A3E9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A3E9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A3E9F">
              <w:rPr>
                <w:rFonts w:ascii="Times New Roman" w:eastAsia="Times New Roman" w:hAnsi="Times New Roman" w:cs="Times New Roman"/>
                <w:b/>
                <w:bCs/>
                <w:sz w:val="24"/>
                <w:szCs w:val="24"/>
                <w:lang w:eastAsia="lv-LV"/>
              </w:rPr>
              <w:t>I.</w:t>
            </w:r>
            <w:r w:rsidR="0050178F" w:rsidRPr="009A3E9F">
              <w:rPr>
                <w:rFonts w:ascii="Times New Roman" w:eastAsia="Times New Roman" w:hAnsi="Times New Roman" w:cs="Times New Roman"/>
                <w:b/>
                <w:bCs/>
                <w:sz w:val="24"/>
                <w:szCs w:val="24"/>
                <w:lang w:eastAsia="lv-LV"/>
              </w:rPr>
              <w:t> </w:t>
            </w:r>
            <w:r w:rsidRPr="009A3E9F">
              <w:rPr>
                <w:rFonts w:ascii="Times New Roman" w:eastAsia="Times New Roman" w:hAnsi="Times New Roman" w:cs="Times New Roman"/>
                <w:b/>
                <w:bCs/>
                <w:sz w:val="24"/>
                <w:szCs w:val="24"/>
                <w:lang w:eastAsia="lv-LV"/>
              </w:rPr>
              <w:t>Tiesību akta projekta izstrādes nepieciešamība</w:t>
            </w:r>
          </w:p>
        </w:tc>
      </w:tr>
      <w:tr w:rsidR="00CA261E" w:rsidRPr="009A3E9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A3E9F" w:rsidRDefault="007D2EA1" w:rsidP="00295CC2">
            <w:pPr>
              <w:spacing w:after="0" w:line="240" w:lineRule="auto"/>
              <w:ind w:left="110" w:right="108"/>
              <w:jc w:val="both"/>
              <w:rPr>
                <w:rFonts w:ascii="Times New Roman" w:eastAsia="Times New Roman" w:hAnsi="Times New Roman" w:cs="Times New Roman"/>
                <w:sz w:val="24"/>
                <w:szCs w:val="24"/>
                <w:lang w:eastAsia="lv-LV"/>
              </w:rPr>
            </w:pPr>
            <w:r w:rsidRPr="009A3E9F">
              <w:rPr>
                <w:rFonts w:ascii="Times New Roman" w:hAnsi="Times New Roman" w:cs="Times New Roman"/>
                <w:color w:val="000000"/>
                <w:sz w:val="24"/>
                <w:szCs w:val="24"/>
              </w:rPr>
              <w:t>Ministru kabineta rīkojuma projekts paredz uzdevumu</w:t>
            </w:r>
            <w:r w:rsidRPr="009A3E9F">
              <w:rPr>
                <w:rFonts w:ascii="Times New Roman" w:hAnsi="Times New Roman" w:cs="Times New Roman"/>
                <w:sz w:val="24"/>
                <w:szCs w:val="24"/>
              </w:rPr>
              <w:t xml:space="preserve"> </w:t>
            </w:r>
            <w:r w:rsidRPr="009A3E9F">
              <w:rPr>
                <w:rFonts w:ascii="Times New Roman" w:hAnsi="Times New Roman" w:cs="Times New Roman"/>
                <w:color w:val="000000"/>
                <w:sz w:val="24"/>
                <w:szCs w:val="24"/>
              </w:rPr>
              <w:t xml:space="preserve">Finanšu ministrijai no valsts budžeta programmas 02.00.00 „Līdzekļi neparedzētiem gadījumiem” piešķirt </w:t>
            </w:r>
            <w:r w:rsidRPr="009A3E9F">
              <w:rPr>
                <w:rFonts w:ascii="Times New Roman" w:hAnsi="Times New Roman" w:cs="Times New Roman"/>
                <w:sz w:val="24"/>
                <w:szCs w:val="24"/>
              </w:rPr>
              <w:t>Vides aizsardzības un reģionālās attīstības ministrijai</w:t>
            </w:r>
            <w:r w:rsidRPr="009A3E9F">
              <w:rPr>
                <w:rFonts w:ascii="Times New Roman" w:hAnsi="Times New Roman" w:cs="Times New Roman"/>
                <w:color w:val="000000"/>
                <w:sz w:val="24"/>
                <w:szCs w:val="24"/>
              </w:rPr>
              <w:t xml:space="preserve"> </w:t>
            </w:r>
            <w:r w:rsidR="005C237C">
              <w:rPr>
                <w:rFonts w:ascii="Times New Roman" w:hAnsi="Times New Roman" w:cs="Times New Roman"/>
                <w:color w:val="000000"/>
                <w:sz w:val="24"/>
                <w:szCs w:val="24"/>
              </w:rPr>
              <w:t xml:space="preserve">līdz </w:t>
            </w:r>
            <w:r w:rsidR="00D41FE6">
              <w:rPr>
                <w:rFonts w:ascii="Times New Roman" w:hAnsi="Times New Roman" w:cs="Times New Roman"/>
                <w:sz w:val="24"/>
                <w:szCs w:val="24"/>
              </w:rPr>
              <w:t>70</w:t>
            </w:r>
            <w:r w:rsidR="00295CC2" w:rsidRPr="009A3E9F">
              <w:rPr>
                <w:rFonts w:ascii="Times New Roman" w:hAnsi="Times New Roman" w:cs="Times New Roman"/>
                <w:sz w:val="24"/>
                <w:szCs w:val="24"/>
              </w:rPr>
              <w:t>0 000</w:t>
            </w:r>
            <w:r w:rsidRPr="009A3E9F">
              <w:rPr>
                <w:rFonts w:ascii="Times New Roman" w:hAnsi="Times New Roman" w:cs="Times New Roman"/>
                <w:sz w:val="24"/>
                <w:szCs w:val="24"/>
              </w:rPr>
              <w:t xml:space="preserve"> </w:t>
            </w:r>
            <w:r w:rsidRPr="009A3E9F">
              <w:rPr>
                <w:rFonts w:ascii="Times New Roman" w:hAnsi="Times New Roman" w:cs="Times New Roman"/>
                <w:i/>
                <w:sz w:val="24"/>
                <w:szCs w:val="24"/>
              </w:rPr>
              <w:t>euro</w:t>
            </w:r>
            <w:r w:rsidRPr="009A3E9F">
              <w:rPr>
                <w:rFonts w:ascii="Times New Roman" w:hAnsi="Times New Roman" w:cs="Times New Roman"/>
                <w:sz w:val="24"/>
                <w:szCs w:val="24"/>
              </w:rPr>
              <w:t xml:space="preserve"> anotācijas I sadaļas 2.punktā minētās problēmas risināšanai 2017. gadā.</w:t>
            </w:r>
          </w:p>
        </w:tc>
      </w:tr>
      <w:tr w:rsidR="00CA261E" w:rsidRPr="009A3E9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1366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D2EA1" w:rsidRPr="009A3E9F" w:rsidRDefault="007D2EA1" w:rsidP="00295CC2">
            <w:pPr>
              <w:spacing w:after="0" w:line="240" w:lineRule="auto"/>
              <w:jc w:val="both"/>
              <w:rPr>
                <w:rFonts w:ascii="Times New Roman" w:hAnsi="Times New Roman" w:cs="Times New Roman"/>
                <w:color w:val="000000"/>
                <w:sz w:val="24"/>
                <w:szCs w:val="24"/>
              </w:rPr>
            </w:pPr>
            <w:r w:rsidRPr="009A3E9F">
              <w:rPr>
                <w:rFonts w:ascii="Times New Roman" w:hAnsi="Times New Roman" w:cs="Times New Roman"/>
                <w:color w:val="000000"/>
                <w:sz w:val="24"/>
                <w:szCs w:val="24"/>
              </w:rPr>
              <w:t xml:space="preserve">18.06.2017. tika saņemta informācija par paaugstinātas bīstamības </w:t>
            </w:r>
            <w:r w:rsidRPr="00CF0F60">
              <w:rPr>
                <w:rFonts w:ascii="Times New Roman" w:hAnsi="Times New Roman" w:cs="Times New Roman"/>
                <w:color w:val="000000"/>
                <w:sz w:val="24"/>
                <w:szCs w:val="24"/>
              </w:rPr>
              <w:t xml:space="preserve">ugunsgrēku Ventspils šosejā 47, Jūrmalā. Tika konstatēta atkritumu degšana visā teritorijā, aptuveni </w:t>
            </w:r>
            <w:r w:rsidRPr="00947E0F">
              <w:rPr>
                <w:rFonts w:ascii="Times New Roman" w:hAnsi="Times New Roman" w:cs="Times New Roman"/>
                <w:color w:val="000000"/>
                <w:sz w:val="24"/>
                <w:szCs w:val="24"/>
              </w:rPr>
              <w:t>12</w:t>
            </w:r>
            <w:r w:rsidR="005C237C">
              <w:rPr>
                <w:rFonts w:ascii="Times New Roman" w:hAnsi="Times New Roman" w:cs="Times New Roman"/>
                <w:color w:val="000000"/>
                <w:sz w:val="24"/>
                <w:szCs w:val="24"/>
              </w:rPr>
              <w:t xml:space="preserve"> 0</w:t>
            </w:r>
            <w:r w:rsidRPr="00947E0F">
              <w:rPr>
                <w:rFonts w:ascii="Times New Roman" w:hAnsi="Times New Roman" w:cs="Times New Roman"/>
                <w:color w:val="000000"/>
                <w:sz w:val="24"/>
                <w:szCs w:val="24"/>
              </w:rPr>
              <w:t>00-14</w:t>
            </w:r>
            <w:r w:rsidR="005C237C">
              <w:rPr>
                <w:rFonts w:ascii="Times New Roman" w:hAnsi="Times New Roman" w:cs="Times New Roman"/>
                <w:color w:val="000000"/>
                <w:sz w:val="24"/>
                <w:szCs w:val="24"/>
              </w:rPr>
              <w:t> 0</w:t>
            </w:r>
            <w:r w:rsidRPr="00947E0F">
              <w:rPr>
                <w:rFonts w:ascii="Times New Roman" w:hAnsi="Times New Roman" w:cs="Times New Roman"/>
                <w:color w:val="000000"/>
                <w:sz w:val="24"/>
                <w:szCs w:val="24"/>
              </w:rPr>
              <w:t>00</w:t>
            </w:r>
            <w:r w:rsidR="005C237C">
              <w:rPr>
                <w:rFonts w:ascii="Times New Roman" w:hAnsi="Times New Roman" w:cs="Times New Roman"/>
                <w:color w:val="000000"/>
                <w:sz w:val="24"/>
                <w:szCs w:val="24"/>
              </w:rPr>
              <w:t xml:space="preserve"> </w:t>
            </w:r>
            <w:r w:rsidRPr="00947E0F">
              <w:rPr>
                <w:rFonts w:ascii="Times New Roman" w:hAnsi="Times New Roman" w:cs="Times New Roman"/>
                <w:color w:val="000000"/>
                <w:sz w:val="24"/>
                <w:szCs w:val="24"/>
              </w:rPr>
              <w:t>m</w:t>
            </w:r>
            <w:r w:rsidRPr="00947E0F">
              <w:rPr>
                <w:rFonts w:ascii="Times New Roman" w:hAnsi="Times New Roman" w:cs="Times New Roman"/>
                <w:color w:val="000000"/>
                <w:sz w:val="24"/>
                <w:szCs w:val="24"/>
                <w:vertAlign w:val="superscript"/>
              </w:rPr>
              <w:t>2</w:t>
            </w:r>
            <w:r w:rsidRPr="00947E0F">
              <w:rPr>
                <w:rFonts w:ascii="Times New Roman" w:hAnsi="Times New Roman" w:cs="Times New Roman"/>
                <w:color w:val="000000"/>
                <w:sz w:val="24"/>
                <w:szCs w:val="24"/>
              </w:rPr>
              <w:t xml:space="preserve"> lielā platībā</w:t>
            </w:r>
            <w:r w:rsidRPr="00CF0F60">
              <w:rPr>
                <w:rFonts w:ascii="Times New Roman" w:hAnsi="Times New Roman" w:cs="Times New Roman"/>
                <w:color w:val="000000"/>
                <w:sz w:val="24"/>
                <w:szCs w:val="24"/>
              </w:rPr>
              <w:t>. Degšana radīja lielu sadūmojumu, kurš izplatījās atmosfēras augšējos slāņos mākoņu veidā ievērojamā teritorijā.</w:t>
            </w:r>
            <w:r w:rsidR="009A3E9F" w:rsidRPr="009A3E9F">
              <w:rPr>
                <w:rFonts w:ascii="Times New Roman" w:hAnsi="Times New Roman" w:cs="Times New Roman"/>
                <w:color w:val="000000"/>
                <w:sz w:val="24"/>
                <w:szCs w:val="24"/>
              </w:rPr>
              <w:t xml:space="preserve"> </w:t>
            </w:r>
          </w:p>
          <w:p w:rsidR="007D2EA1" w:rsidRPr="009A3E9F" w:rsidRDefault="007D2EA1" w:rsidP="007D2EA1">
            <w:pPr>
              <w:spacing w:after="0" w:line="240" w:lineRule="auto"/>
              <w:rPr>
                <w:rFonts w:ascii="Times New Roman" w:hAnsi="Times New Roman" w:cs="Times New Roman"/>
                <w:color w:val="000000"/>
                <w:sz w:val="24"/>
                <w:szCs w:val="24"/>
              </w:rPr>
            </w:pPr>
          </w:p>
          <w:p w:rsidR="007D2EA1" w:rsidRPr="009A3E9F" w:rsidRDefault="007D2EA1" w:rsidP="007D2EA1">
            <w:pPr>
              <w:spacing w:after="0" w:line="240" w:lineRule="auto"/>
              <w:jc w:val="both"/>
              <w:rPr>
                <w:rFonts w:ascii="Times New Roman" w:hAnsi="Times New Roman" w:cs="Times New Roman"/>
                <w:color w:val="000000"/>
                <w:sz w:val="24"/>
                <w:szCs w:val="24"/>
              </w:rPr>
            </w:pPr>
            <w:r w:rsidRPr="004D53BB">
              <w:rPr>
                <w:rFonts w:ascii="Times New Roman" w:hAnsi="Times New Roman" w:cs="Times New Roman"/>
                <w:color w:val="000000"/>
                <w:sz w:val="24"/>
                <w:szCs w:val="24"/>
              </w:rPr>
              <w:t>Šādās nekontrolētās atkritumu degšanas pie salīdzinoši zemām temperatūrām rada paaugstinātu gaisa piesārņojumu ar slāpekļa oksīdiem, putekļiem, organisko oglekli, fluorūdeņradi, sēra dioksīdu, gāzveida hlorīdiem, dioksīniem un furāniem.</w:t>
            </w:r>
            <w:r w:rsidR="009A3E9F" w:rsidRPr="004D53BB">
              <w:rPr>
                <w:rFonts w:ascii="Times New Roman" w:hAnsi="Times New Roman" w:cs="Times New Roman"/>
                <w:color w:val="000000"/>
                <w:sz w:val="24"/>
                <w:szCs w:val="24"/>
              </w:rPr>
              <w:t xml:space="preserve"> Rezultātā ir radies</w:t>
            </w:r>
            <w:r w:rsidR="004D53BB" w:rsidRPr="004D53BB">
              <w:rPr>
                <w:rFonts w:ascii="Times New Roman" w:hAnsi="Times New Roman" w:cs="Times New Roman"/>
                <w:color w:val="000000"/>
                <w:sz w:val="24"/>
                <w:szCs w:val="24"/>
              </w:rPr>
              <w:t xml:space="preserve"> ievērojams</w:t>
            </w:r>
            <w:r w:rsidR="009A3E9F" w:rsidRPr="004D53BB">
              <w:rPr>
                <w:rFonts w:ascii="Times New Roman" w:hAnsi="Times New Roman" w:cs="Times New Roman"/>
                <w:color w:val="000000"/>
                <w:sz w:val="24"/>
                <w:szCs w:val="24"/>
              </w:rPr>
              <w:t xml:space="preserve"> kaitējums </w:t>
            </w:r>
            <w:r w:rsidR="004D53BB" w:rsidRPr="004D53BB">
              <w:rPr>
                <w:rFonts w:ascii="Times New Roman" w:hAnsi="Times New Roman" w:cs="Times New Roman"/>
                <w:color w:val="000000"/>
                <w:sz w:val="24"/>
                <w:szCs w:val="24"/>
              </w:rPr>
              <w:t>videi</w:t>
            </w:r>
            <w:r w:rsidR="004D53BB">
              <w:rPr>
                <w:rFonts w:ascii="Times New Roman" w:hAnsi="Times New Roman" w:cs="Times New Roman"/>
                <w:color w:val="000000"/>
                <w:sz w:val="24"/>
                <w:szCs w:val="24"/>
              </w:rPr>
              <w:t>, kurš ir jānovērš pēc iespējas īsākā laika periodā</w:t>
            </w:r>
            <w:r w:rsidR="004D53BB" w:rsidRPr="004D53BB">
              <w:rPr>
                <w:rFonts w:ascii="Times New Roman" w:hAnsi="Times New Roman" w:cs="Times New Roman"/>
                <w:color w:val="000000"/>
                <w:sz w:val="24"/>
                <w:szCs w:val="24"/>
              </w:rPr>
              <w:t>.</w:t>
            </w:r>
            <w:r w:rsidR="004D53BB">
              <w:rPr>
                <w:rFonts w:ascii="Times New Roman" w:hAnsi="Times New Roman" w:cs="Times New Roman"/>
                <w:color w:val="000000"/>
                <w:sz w:val="24"/>
                <w:szCs w:val="24"/>
              </w:rPr>
              <w:t xml:space="preserve"> </w:t>
            </w:r>
          </w:p>
          <w:p w:rsidR="007D2EA1" w:rsidRPr="009A3E9F" w:rsidRDefault="007D2EA1" w:rsidP="007D2EA1">
            <w:pPr>
              <w:spacing w:after="0" w:line="240" w:lineRule="auto"/>
              <w:rPr>
                <w:rFonts w:ascii="Times New Roman" w:hAnsi="Times New Roman" w:cs="Times New Roman"/>
                <w:sz w:val="24"/>
                <w:szCs w:val="24"/>
              </w:rPr>
            </w:pPr>
          </w:p>
          <w:p w:rsidR="00413665" w:rsidRDefault="00295CC2" w:rsidP="00295CC2">
            <w:pPr>
              <w:jc w:val="both"/>
              <w:rPr>
                <w:rFonts w:ascii="Times New Roman" w:hAnsi="Times New Roman" w:cs="Times New Roman"/>
                <w:sz w:val="24"/>
                <w:szCs w:val="24"/>
              </w:rPr>
            </w:pPr>
            <w:r w:rsidRPr="009A3E9F">
              <w:rPr>
                <w:rFonts w:ascii="Times New Roman" w:hAnsi="Times New Roman" w:cs="Times New Roman"/>
                <w:sz w:val="24"/>
                <w:szCs w:val="24"/>
              </w:rPr>
              <w:t>Saskaņā ar Vides aizsardzības likuma 28.panta 4.daļas 4.punktu Valsts vides dienestam ir jāorganizē neatliekamo pasākumu veikšanu, ja nav konstatēts operators, kura profesionālā darbība izraisījusi kaitējumu videi, vai ja operators neveic šos pasākumus, vai ja operators neievēro šīs daļas 2.punktā minētos saistošos norādījumus.</w:t>
            </w:r>
          </w:p>
          <w:p w:rsidR="000A7DC9" w:rsidRPr="009A3E9F" w:rsidRDefault="005C237C" w:rsidP="005C237C">
            <w:pPr>
              <w:jc w:val="both"/>
              <w:rPr>
                <w:rFonts w:ascii="Times New Roman" w:hAnsi="Times New Roman" w:cs="Times New Roman"/>
                <w:sz w:val="24"/>
                <w:szCs w:val="24"/>
              </w:rPr>
            </w:pPr>
            <w:r>
              <w:rPr>
                <w:rFonts w:ascii="Times New Roman" w:hAnsi="Times New Roman" w:cs="Times New Roman"/>
                <w:sz w:val="24"/>
                <w:szCs w:val="24"/>
              </w:rPr>
              <w:t xml:space="preserve">Atbilstoši Vides aizsardzības likumam izdevumi, kas saistīti ar neatliekamo pasākumu veikšanu </w:t>
            </w:r>
            <w:r>
              <w:rPr>
                <w:rFonts w:ascii="Times New Roman" w:hAnsi="Times New Roman" w:cs="Times New Roman"/>
                <w:sz w:val="24"/>
                <w:szCs w:val="24"/>
              </w:rPr>
              <w:t>par nodarīto kaitējumu videi</w:t>
            </w:r>
            <w:r>
              <w:rPr>
                <w:rFonts w:ascii="Times New Roman" w:hAnsi="Times New Roman" w:cs="Times New Roman"/>
                <w:sz w:val="24"/>
                <w:szCs w:val="24"/>
              </w:rPr>
              <w:t xml:space="preserve"> seku likvidēšanu, tiks</w:t>
            </w:r>
            <w:r>
              <w:rPr>
                <w:rFonts w:ascii="Times New Roman" w:hAnsi="Times New Roman" w:cs="Times New Roman"/>
                <w:sz w:val="24"/>
                <w:szCs w:val="24"/>
              </w:rPr>
              <w:t xml:space="preserve"> </w:t>
            </w:r>
            <w:r>
              <w:rPr>
                <w:rFonts w:ascii="Times New Roman" w:hAnsi="Times New Roman" w:cs="Times New Roman"/>
                <w:sz w:val="24"/>
                <w:szCs w:val="24"/>
              </w:rPr>
              <w:t xml:space="preserve">piedzīti no operatora. </w:t>
            </w:r>
            <w:bookmarkStart w:id="0" w:name="_GoBack"/>
            <w:bookmarkEnd w:id="0"/>
          </w:p>
        </w:tc>
      </w:tr>
      <w:tr w:rsidR="00CA261E" w:rsidRPr="009A3E9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13665" w:rsidRPr="009A3E9F" w:rsidRDefault="0041366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Valsts vides dienests</w:t>
            </w:r>
          </w:p>
        </w:tc>
      </w:tr>
      <w:tr w:rsidR="00CA261E" w:rsidRPr="009A3E9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A3E9F" w:rsidRDefault="00234766"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Nav</w:t>
            </w:r>
          </w:p>
        </w:tc>
      </w:tr>
    </w:tbl>
    <w:p w:rsidR="00894C55" w:rsidRPr="009A3E9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A261E" w:rsidRPr="009A3E9F"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9A3E9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A3E9F">
              <w:rPr>
                <w:rFonts w:ascii="Times New Roman" w:eastAsia="Times New Roman" w:hAnsi="Times New Roman" w:cs="Times New Roman"/>
                <w:b/>
                <w:bCs/>
                <w:sz w:val="24"/>
                <w:szCs w:val="24"/>
                <w:lang w:eastAsia="lv-LV"/>
              </w:rPr>
              <w:t>II.</w:t>
            </w:r>
            <w:r w:rsidR="0050178F" w:rsidRPr="009A3E9F">
              <w:rPr>
                <w:rFonts w:ascii="Times New Roman" w:eastAsia="Times New Roman" w:hAnsi="Times New Roman" w:cs="Times New Roman"/>
                <w:b/>
                <w:bCs/>
                <w:sz w:val="24"/>
                <w:szCs w:val="24"/>
                <w:lang w:eastAsia="lv-LV"/>
              </w:rPr>
              <w:t> </w:t>
            </w:r>
            <w:r w:rsidRPr="009A3E9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D2EA1" w:rsidRPr="009A3E9F" w:rsidTr="007D2EA1">
        <w:trPr>
          <w:trHeight w:val="372"/>
        </w:trPr>
        <w:tc>
          <w:tcPr>
            <w:tcW w:w="5000" w:type="pct"/>
            <w:tcBorders>
              <w:top w:val="outset" w:sz="6" w:space="0" w:color="414142"/>
              <w:left w:val="outset" w:sz="6" w:space="0" w:color="414142"/>
              <w:bottom w:val="outset" w:sz="6" w:space="0" w:color="414142"/>
              <w:right w:val="outset" w:sz="6" w:space="0" w:color="414142"/>
            </w:tcBorders>
          </w:tcPr>
          <w:p w:rsidR="007D2EA1" w:rsidRPr="009A3E9F" w:rsidRDefault="007D2EA1" w:rsidP="007D2EA1">
            <w:pPr>
              <w:spacing w:after="0" w:line="240" w:lineRule="auto"/>
              <w:jc w:val="center"/>
              <w:rPr>
                <w:rFonts w:ascii="Times New Roman" w:eastAsia="Times New Roman" w:hAnsi="Times New Roman" w:cs="Times New Roman"/>
                <w:sz w:val="24"/>
                <w:szCs w:val="24"/>
                <w:lang w:eastAsia="lv-LV"/>
              </w:rPr>
            </w:pPr>
            <w:r w:rsidRPr="009A3E9F">
              <w:rPr>
                <w:rFonts w:ascii="Times New Roman" w:hAnsi="Times New Roman" w:cs="Times New Roman"/>
                <w:i/>
                <w:iCs/>
                <w:sz w:val="24"/>
                <w:szCs w:val="24"/>
              </w:rPr>
              <w:t>Projekts šo jomu neskar</w:t>
            </w:r>
          </w:p>
        </w:tc>
      </w:tr>
    </w:tbl>
    <w:p w:rsidR="00894C55" w:rsidRPr="009A3E9F" w:rsidRDefault="00894C55" w:rsidP="007104AB">
      <w:pPr>
        <w:shd w:val="clear" w:color="auto" w:fill="FFFFFF"/>
        <w:spacing w:after="0" w:line="240" w:lineRule="auto"/>
        <w:rPr>
          <w:rFonts w:ascii="Times New Roman" w:eastAsia="Times New Roman" w:hAnsi="Times New Roman" w:cs="Times New Roman"/>
          <w:sz w:val="24"/>
          <w:szCs w:val="24"/>
          <w:lang w:eastAsia="lv-LV"/>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97"/>
        <w:gridCol w:w="1499"/>
        <w:gridCol w:w="1498"/>
        <w:gridCol w:w="1498"/>
        <w:gridCol w:w="1498"/>
      </w:tblGrid>
      <w:tr w:rsidR="007D2EA1" w:rsidRPr="009A3E9F" w:rsidTr="008449B0">
        <w:trPr>
          <w:trHeight w:val="329"/>
          <w:jc w:val="center"/>
        </w:trPr>
        <w:tc>
          <w:tcPr>
            <w:tcW w:w="9133" w:type="dxa"/>
            <w:gridSpan w:val="6"/>
          </w:tcPr>
          <w:p w:rsidR="007D2EA1" w:rsidRPr="009A3E9F" w:rsidRDefault="007D2EA1" w:rsidP="008449B0">
            <w:pPr>
              <w:pStyle w:val="naisnod"/>
              <w:spacing w:before="120" w:after="120"/>
              <w:rPr>
                <w:i/>
              </w:rPr>
            </w:pPr>
            <w:r w:rsidRPr="009A3E9F">
              <w:br w:type="page"/>
              <w:t>III. Tiesību akta projekta ietekme uz valsts budžetu un pašvaldību budžetiem</w:t>
            </w:r>
          </w:p>
        </w:tc>
      </w:tr>
      <w:tr w:rsidR="007D2EA1" w:rsidRPr="009A3E9F" w:rsidTr="008449B0">
        <w:trPr>
          <w:jc w:val="center"/>
        </w:trPr>
        <w:tc>
          <w:tcPr>
            <w:tcW w:w="1843" w:type="dxa"/>
            <w:vMerge w:val="restart"/>
            <w:vAlign w:val="center"/>
          </w:tcPr>
          <w:p w:rsidR="007D2EA1" w:rsidRPr="009A3E9F" w:rsidRDefault="007D2EA1" w:rsidP="008449B0">
            <w:pPr>
              <w:pStyle w:val="naisf"/>
              <w:spacing w:before="0" w:after="0"/>
              <w:ind w:firstLine="0"/>
              <w:jc w:val="center"/>
              <w:rPr>
                <w:b/>
              </w:rPr>
            </w:pPr>
            <w:r w:rsidRPr="009A3E9F">
              <w:rPr>
                <w:b/>
              </w:rPr>
              <w:t>Rādītāji</w:t>
            </w:r>
          </w:p>
        </w:tc>
        <w:tc>
          <w:tcPr>
            <w:tcW w:w="2796" w:type="dxa"/>
            <w:gridSpan w:val="2"/>
            <w:vMerge w:val="restart"/>
            <w:vAlign w:val="center"/>
          </w:tcPr>
          <w:p w:rsidR="007D2EA1" w:rsidRPr="009A3E9F" w:rsidRDefault="007D2EA1" w:rsidP="007D2EA1">
            <w:pPr>
              <w:pStyle w:val="naisf"/>
              <w:spacing w:before="0" w:after="0"/>
              <w:ind w:firstLine="0"/>
              <w:jc w:val="center"/>
              <w:rPr>
                <w:b/>
              </w:rPr>
            </w:pPr>
            <w:r w:rsidRPr="009A3E9F">
              <w:rPr>
                <w:b/>
              </w:rPr>
              <w:t>2017.gads</w:t>
            </w:r>
          </w:p>
        </w:tc>
        <w:tc>
          <w:tcPr>
            <w:tcW w:w="4494" w:type="dxa"/>
            <w:gridSpan w:val="3"/>
            <w:vAlign w:val="center"/>
          </w:tcPr>
          <w:p w:rsidR="007D2EA1" w:rsidRPr="009A3E9F" w:rsidRDefault="007D2EA1" w:rsidP="008449B0">
            <w:pPr>
              <w:pStyle w:val="naisf"/>
              <w:spacing w:before="0" w:after="0"/>
              <w:ind w:firstLine="0"/>
              <w:jc w:val="center"/>
              <w:rPr>
                <w:b/>
                <w:i/>
              </w:rPr>
            </w:pPr>
            <w:r w:rsidRPr="009A3E9F">
              <w:t>Turpmākie trīs gadi (</w:t>
            </w:r>
            <w:r w:rsidRPr="009A3E9F">
              <w:rPr>
                <w:i/>
              </w:rPr>
              <w:t>euro</w:t>
            </w:r>
            <w:r w:rsidRPr="009A3E9F">
              <w:t>)</w:t>
            </w:r>
          </w:p>
        </w:tc>
      </w:tr>
      <w:tr w:rsidR="007D2EA1" w:rsidRPr="009A3E9F" w:rsidTr="008449B0">
        <w:trPr>
          <w:jc w:val="center"/>
        </w:trPr>
        <w:tc>
          <w:tcPr>
            <w:tcW w:w="1843" w:type="dxa"/>
            <w:vMerge/>
            <w:vAlign w:val="center"/>
          </w:tcPr>
          <w:p w:rsidR="007D2EA1" w:rsidRPr="009A3E9F" w:rsidRDefault="007D2EA1" w:rsidP="008449B0">
            <w:pPr>
              <w:pStyle w:val="naisf"/>
              <w:spacing w:before="0" w:after="0"/>
              <w:ind w:firstLine="0"/>
              <w:jc w:val="center"/>
              <w:rPr>
                <w:b/>
                <w:i/>
              </w:rPr>
            </w:pPr>
          </w:p>
        </w:tc>
        <w:tc>
          <w:tcPr>
            <w:tcW w:w="2796" w:type="dxa"/>
            <w:gridSpan w:val="2"/>
            <w:vMerge/>
            <w:vAlign w:val="center"/>
          </w:tcPr>
          <w:p w:rsidR="007D2EA1" w:rsidRPr="009A3E9F" w:rsidRDefault="007D2EA1" w:rsidP="008449B0">
            <w:pPr>
              <w:pStyle w:val="naisf"/>
              <w:spacing w:before="0" w:after="0"/>
              <w:ind w:firstLine="0"/>
              <w:jc w:val="center"/>
              <w:rPr>
                <w:b/>
                <w:i/>
              </w:rPr>
            </w:pPr>
          </w:p>
        </w:tc>
        <w:tc>
          <w:tcPr>
            <w:tcW w:w="1498" w:type="dxa"/>
            <w:vAlign w:val="center"/>
          </w:tcPr>
          <w:p w:rsidR="007D2EA1" w:rsidRPr="009A3E9F" w:rsidRDefault="007D2EA1" w:rsidP="007D2EA1">
            <w:pPr>
              <w:pStyle w:val="naisf"/>
              <w:spacing w:before="0" w:after="0"/>
              <w:ind w:firstLine="0"/>
              <w:jc w:val="center"/>
              <w:rPr>
                <w:b/>
                <w:i/>
              </w:rPr>
            </w:pPr>
            <w:r w:rsidRPr="009A3E9F">
              <w:rPr>
                <w:b/>
                <w:bCs/>
              </w:rPr>
              <w:t>2018.gads</w:t>
            </w:r>
          </w:p>
        </w:tc>
        <w:tc>
          <w:tcPr>
            <w:tcW w:w="1498" w:type="dxa"/>
            <w:vAlign w:val="center"/>
          </w:tcPr>
          <w:p w:rsidR="007D2EA1" w:rsidRPr="009A3E9F" w:rsidRDefault="007D2EA1" w:rsidP="008449B0">
            <w:pPr>
              <w:pStyle w:val="naisf"/>
              <w:spacing w:before="0" w:after="0"/>
              <w:ind w:firstLine="0"/>
              <w:jc w:val="center"/>
              <w:rPr>
                <w:b/>
                <w:i/>
              </w:rPr>
            </w:pPr>
            <w:r w:rsidRPr="009A3E9F">
              <w:rPr>
                <w:b/>
                <w:bCs/>
              </w:rPr>
              <w:t>2019.gads</w:t>
            </w:r>
          </w:p>
        </w:tc>
        <w:tc>
          <w:tcPr>
            <w:tcW w:w="1498" w:type="dxa"/>
            <w:vAlign w:val="center"/>
          </w:tcPr>
          <w:p w:rsidR="007D2EA1" w:rsidRPr="009A3E9F" w:rsidRDefault="007D2EA1" w:rsidP="007D2EA1">
            <w:pPr>
              <w:pStyle w:val="naisf"/>
              <w:spacing w:before="0" w:after="0"/>
              <w:ind w:firstLine="0"/>
              <w:jc w:val="center"/>
              <w:rPr>
                <w:b/>
                <w:i/>
              </w:rPr>
            </w:pPr>
            <w:r w:rsidRPr="009A3E9F">
              <w:rPr>
                <w:b/>
                <w:bCs/>
              </w:rPr>
              <w:t>2020.gads</w:t>
            </w:r>
          </w:p>
        </w:tc>
      </w:tr>
      <w:tr w:rsidR="007D2EA1" w:rsidRPr="009A3E9F" w:rsidTr="008449B0">
        <w:trPr>
          <w:jc w:val="center"/>
        </w:trPr>
        <w:tc>
          <w:tcPr>
            <w:tcW w:w="1843" w:type="dxa"/>
            <w:vMerge/>
            <w:vAlign w:val="center"/>
          </w:tcPr>
          <w:p w:rsidR="007D2EA1" w:rsidRPr="009A3E9F" w:rsidRDefault="007D2EA1" w:rsidP="008449B0">
            <w:pPr>
              <w:pStyle w:val="naisf"/>
              <w:spacing w:before="0" w:after="0"/>
              <w:ind w:firstLine="0"/>
              <w:jc w:val="center"/>
              <w:rPr>
                <w:b/>
                <w:i/>
              </w:rPr>
            </w:pPr>
          </w:p>
        </w:tc>
        <w:tc>
          <w:tcPr>
            <w:tcW w:w="1297" w:type="dxa"/>
            <w:vAlign w:val="center"/>
          </w:tcPr>
          <w:p w:rsidR="007D2EA1" w:rsidRPr="009A3E9F" w:rsidRDefault="007D2EA1" w:rsidP="008449B0">
            <w:pPr>
              <w:pStyle w:val="naisf"/>
              <w:spacing w:before="0" w:after="0"/>
              <w:ind w:firstLine="0"/>
              <w:jc w:val="center"/>
              <w:rPr>
                <w:b/>
                <w:i/>
              </w:rPr>
            </w:pPr>
            <w:r w:rsidRPr="009A3E9F">
              <w:t>Saskaņā ar valsts budžetu kārtējam gadam</w:t>
            </w:r>
          </w:p>
        </w:tc>
        <w:tc>
          <w:tcPr>
            <w:tcW w:w="1499" w:type="dxa"/>
            <w:vAlign w:val="center"/>
          </w:tcPr>
          <w:p w:rsidR="007D2EA1" w:rsidRPr="009A3E9F" w:rsidRDefault="007D2EA1" w:rsidP="008449B0">
            <w:pPr>
              <w:pStyle w:val="naisf"/>
              <w:spacing w:before="0" w:after="0"/>
              <w:ind w:firstLine="0"/>
              <w:jc w:val="center"/>
              <w:rPr>
                <w:b/>
                <w:i/>
              </w:rPr>
            </w:pPr>
            <w:r w:rsidRPr="009A3E9F">
              <w:t>Izmaiņas kārtējā gadā, salīdzinot ar budžetu kārtējam gadam</w:t>
            </w:r>
          </w:p>
        </w:tc>
        <w:tc>
          <w:tcPr>
            <w:tcW w:w="1498" w:type="dxa"/>
            <w:vAlign w:val="center"/>
          </w:tcPr>
          <w:p w:rsidR="007D2EA1" w:rsidRPr="009A3E9F" w:rsidRDefault="007D2EA1" w:rsidP="008449B0">
            <w:pPr>
              <w:pStyle w:val="naisf"/>
              <w:spacing w:before="0" w:after="0"/>
              <w:ind w:firstLine="0"/>
              <w:jc w:val="center"/>
            </w:pPr>
            <w:r w:rsidRPr="009A3E9F">
              <w:t>Izmai</w:t>
            </w:r>
            <w:r w:rsidR="00D41FE6">
              <w:t>ņas, salīdzinot ar kārtējo (2017</w:t>
            </w:r>
            <w:r w:rsidRPr="009A3E9F">
              <w:t>)</w:t>
            </w:r>
          </w:p>
          <w:p w:rsidR="007D2EA1" w:rsidRPr="009A3E9F" w:rsidRDefault="007D2EA1" w:rsidP="008449B0">
            <w:pPr>
              <w:pStyle w:val="naisf"/>
              <w:spacing w:before="0" w:after="0"/>
              <w:ind w:firstLine="0"/>
              <w:jc w:val="center"/>
              <w:rPr>
                <w:b/>
                <w:i/>
              </w:rPr>
            </w:pPr>
            <w:r w:rsidRPr="009A3E9F">
              <w:t>gadu</w:t>
            </w:r>
          </w:p>
        </w:tc>
        <w:tc>
          <w:tcPr>
            <w:tcW w:w="1498" w:type="dxa"/>
            <w:vAlign w:val="center"/>
          </w:tcPr>
          <w:p w:rsidR="007D2EA1" w:rsidRPr="009A3E9F" w:rsidRDefault="007D2EA1" w:rsidP="008449B0">
            <w:pPr>
              <w:pStyle w:val="naisf"/>
              <w:spacing w:before="0" w:after="0"/>
              <w:ind w:firstLine="0"/>
              <w:jc w:val="center"/>
            </w:pPr>
            <w:r w:rsidRPr="009A3E9F">
              <w:t>Izmai</w:t>
            </w:r>
            <w:r w:rsidR="00D41FE6">
              <w:t>ņas, salīdzinot ar kārtējo (2017</w:t>
            </w:r>
            <w:r w:rsidRPr="009A3E9F">
              <w:t>)</w:t>
            </w:r>
          </w:p>
          <w:p w:rsidR="007D2EA1" w:rsidRPr="009A3E9F" w:rsidRDefault="007D2EA1" w:rsidP="008449B0">
            <w:pPr>
              <w:pStyle w:val="naisf"/>
              <w:spacing w:before="0" w:after="0"/>
              <w:ind w:firstLine="0"/>
              <w:jc w:val="center"/>
              <w:rPr>
                <w:b/>
                <w:i/>
              </w:rPr>
            </w:pPr>
            <w:r w:rsidRPr="009A3E9F">
              <w:t>gadu</w:t>
            </w:r>
          </w:p>
        </w:tc>
        <w:tc>
          <w:tcPr>
            <w:tcW w:w="1498" w:type="dxa"/>
            <w:vAlign w:val="center"/>
          </w:tcPr>
          <w:p w:rsidR="007D2EA1" w:rsidRPr="009A3E9F" w:rsidRDefault="007D2EA1" w:rsidP="008449B0">
            <w:pPr>
              <w:pStyle w:val="naisf"/>
              <w:spacing w:before="0" w:after="0"/>
              <w:ind w:firstLine="0"/>
              <w:jc w:val="center"/>
            </w:pPr>
            <w:r w:rsidRPr="009A3E9F">
              <w:t>Izmaiņas, salīdzinot ar kārtējo (201</w:t>
            </w:r>
            <w:r w:rsidR="00D41FE6">
              <w:t>7</w:t>
            </w:r>
            <w:r w:rsidRPr="009A3E9F">
              <w:t>)</w:t>
            </w:r>
          </w:p>
          <w:p w:rsidR="007D2EA1" w:rsidRPr="009A3E9F" w:rsidRDefault="007D2EA1" w:rsidP="008449B0">
            <w:pPr>
              <w:pStyle w:val="naisf"/>
              <w:spacing w:before="0" w:after="0"/>
              <w:ind w:firstLine="0"/>
              <w:jc w:val="center"/>
              <w:rPr>
                <w:b/>
                <w:i/>
              </w:rPr>
            </w:pPr>
            <w:r w:rsidRPr="009A3E9F">
              <w:t>gadu</w:t>
            </w:r>
          </w:p>
        </w:tc>
      </w:tr>
      <w:tr w:rsidR="007D2EA1" w:rsidRPr="009A3E9F" w:rsidTr="008449B0">
        <w:trPr>
          <w:jc w:val="center"/>
        </w:trPr>
        <w:tc>
          <w:tcPr>
            <w:tcW w:w="1843" w:type="dxa"/>
            <w:vAlign w:val="center"/>
          </w:tcPr>
          <w:p w:rsidR="007D2EA1" w:rsidRPr="009A3E9F" w:rsidRDefault="007D2EA1" w:rsidP="008449B0">
            <w:pPr>
              <w:pStyle w:val="naisf"/>
              <w:spacing w:before="0" w:after="0"/>
              <w:ind w:firstLine="0"/>
              <w:jc w:val="center"/>
              <w:rPr>
                <w:bCs/>
              </w:rPr>
            </w:pPr>
            <w:r w:rsidRPr="009A3E9F">
              <w:rPr>
                <w:bCs/>
              </w:rPr>
              <w:t>1</w:t>
            </w:r>
          </w:p>
        </w:tc>
        <w:tc>
          <w:tcPr>
            <w:tcW w:w="1297" w:type="dxa"/>
            <w:vAlign w:val="center"/>
          </w:tcPr>
          <w:p w:rsidR="007D2EA1" w:rsidRPr="009A3E9F" w:rsidRDefault="007D2EA1" w:rsidP="008449B0">
            <w:pPr>
              <w:pStyle w:val="naisf"/>
              <w:spacing w:before="0" w:after="0"/>
              <w:ind w:firstLine="0"/>
              <w:jc w:val="center"/>
              <w:rPr>
                <w:bCs/>
              </w:rPr>
            </w:pPr>
            <w:r w:rsidRPr="009A3E9F">
              <w:rPr>
                <w:bCs/>
              </w:rPr>
              <w:t>2</w:t>
            </w:r>
          </w:p>
        </w:tc>
        <w:tc>
          <w:tcPr>
            <w:tcW w:w="1499" w:type="dxa"/>
            <w:vAlign w:val="center"/>
          </w:tcPr>
          <w:p w:rsidR="007D2EA1" w:rsidRPr="009A3E9F" w:rsidRDefault="007D2EA1" w:rsidP="008449B0">
            <w:pPr>
              <w:pStyle w:val="naisf"/>
              <w:spacing w:before="0" w:after="0"/>
              <w:ind w:firstLine="0"/>
              <w:jc w:val="center"/>
              <w:rPr>
                <w:bCs/>
              </w:rPr>
            </w:pPr>
            <w:r w:rsidRPr="009A3E9F">
              <w:rPr>
                <w:bCs/>
              </w:rPr>
              <w:t>3</w:t>
            </w:r>
          </w:p>
        </w:tc>
        <w:tc>
          <w:tcPr>
            <w:tcW w:w="1498" w:type="dxa"/>
            <w:vAlign w:val="center"/>
          </w:tcPr>
          <w:p w:rsidR="007D2EA1" w:rsidRPr="009A3E9F" w:rsidRDefault="007D2EA1" w:rsidP="008449B0">
            <w:pPr>
              <w:pStyle w:val="naisf"/>
              <w:spacing w:before="0" w:after="0"/>
              <w:ind w:firstLine="0"/>
              <w:jc w:val="center"/>
              <w:rPr>
                <w:bCs/>
              </w:rPr>
            </w:pPr>
            <w:r w:rsidRPr="009A3E9F">
              <w:rPr>
                <w:bCs/>
              </w:rPr>
              <w:t>4</w:t>
            </w:r>
          </w:p>
        </w:tc>
        <w:tc>
          <w:tcPr>
            <w:tcW w:w="1498" w:type="dxa"/>
            <w:vAlign w:val="center"/>
          </w:tcPr>
          <w:p w:rsidR="007D2EA1" w:rsidRPr="009A3E9F" w:rsidRDefault="007D2EA1" w:rsidP="008449B0">
            <w:pPr>
              <w:pStyle w:val="naisf"/>
              <w:spacing w:before="0" w:after="0"/>
              <w:ind w:firstLine="0"/>
              <w:jc w:val="center"/>
              <w:rPr>
                <w:bCs/>
              </w:rPr>
            </w:pPr>
            <w:r w:rsidRPr="009A3E9F">
              <w:rPr>
                <w:bCs/>
              </w:rPr>
              <w:t>5</w:t>
            </w:r>
          </w:p>
        </w:tc>
        <w:tc>
          <w:tcPr>
            <w:tcW w:w="1498" w:type="dxa"/>
            <w:vAlign w:val="center"/>
          </w:tcPr>
          <w:p w:rsidR="007D2EA1" w:rsidRPr="009A3E9F" w:rsidRDefault="007D2EA1" w:rsidP="008449B0">
            <w:pPr>
              <w:pStyle w:val="naisf"/>
              <w:spacing w:before="0" w:after="0"/>
              <w:ind w:firstLine="0"/>
              <w:jc w:val="center"/>
              <w:rPr>
                <w:bCs/>
              </w:rPr>
            </w:pPr>
            <w:r w:rsidRPr="009A3E9F">
              <w:rPr>
                <w:bCs/>
              </w:rPr>
              <w:t>6</w:t>
            </w:r>
          </w:p>
        </w:tc>
      </w:tr>
      <w:tr w:rsidR="007D2EA1" w:rsidRPr="009A3E9F" w:rsidTr="008449B0">
        <w:trPr>
          <w:jc w:val="center"/>
        </w:trPr>
        <w:tc>
          <w:tcPr>
            <w:tcW w:w="1843" w:type="dxa"/>
          </w:tcPr>
          <w:p w:rsidR="007D2EA1" w:rsidRPr="009A3E9F" w:rsidRDefault="007D2EA1" w:rsidP="008449B0">
            <w:pPr>
              <w:pStyle w:val="naisf"/>
              <w:spacing w:before="0" w:after="0"/>
              <w:ind w:firstLine="0"/>
              <w:rPr>
                <w:b/>
                <w:i/>
              </w:rPr>
            </w:pPr>
            <w:r w:rsidRPr="009A3E9F">
              <w:rPr>
                <w:b/>
              </w:rPr>
              <w:t>1. Budžeta ieņēmumi:</w:t>
            </w:r>
          </w:p>
        </w:tc>
        <w:tc>
          <w:tcPr>
            <w:tcW w:w="1297"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0 </w:t>
            </w:r>
          </w:p>
        </w:tc>
        <w:tc>
          <w:tcPr>
            <w:tcW w:w="1499"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rPr>
                <w:b/>
              </w:rP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rPr>
                <w:b/>
              </w:rP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rPr>
                <w:b/>
              </w:rP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rPr>
                <w:b/>
              </w:rPr>
            </w:pPr>
            <w:r w:rsidRPr="009A3E9F">
              <w:t>0</w:t>
            </w:r>
          </w:p>
        </w:tc>
      </w:tr>
      <w:tr w:rsidR="007D2EA1" w:rsidRPr="009A3E9F" w:rsidTr="008449B0">
        <w:trPr>
          <w:jc w:val="center"/>
        </w:trPr>
        <w:tc>
          <w:tcPr>
            <w:tcW w:w="1843" w:type="dxa"/>
          </w:tcPr>
          <w:p w:rsidR="007D2EA1" w:rsidRPr="009A3E9F" w:rsidRDefault="007D2EA1" w:rsidP="008449B0">
            <w:pPr>
              <w:pStyle w:val="naisf"/>
              <w:spacing w:before="0" w:after="0"/>
              <w:ind w:firstLine="0"/>
              <w:rPr>
                <w:b/>
              </w:rPr>
            </w:pPr>
            <w:r w:rsidRPr="009A3E9F">
              <w:rPr>
                <w:b/>
              </w:rPr>
              <w:t>1.1. valsts pamatbudžets, tai skaitā ieņēmumi no maksas pakalpojumiem un citi pašu ieņēmumi</w:t>
            </w:r>
          </w:p>
        </w:tc>
        <w:tc>
          <w:tcPr>
            <w:tcW w:w="1297" w:type="dxa"/>
          </w:tcPr>
          <w:p w:rsidR="007D2EA1" w:rsidRPr="009A3E9F" w:rsidRDefault="007D2EA1" w:rsidP="008449B0">
            <w:pPr>
              <w:pStyle w:val="naisf"/>
              <w:spacing w:before="0" w:after="0"/>
              <w:ind w:firstLine="0"/>
              <w:rPr>
                <w:i/>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p w:rsidR="007D2EA1" w:rsidRPr="009A3E9F" w:rsidRDefault="007D2EA1" w:rsidP="008449B0">
            <w:pPr>
              <w:rPr>
                <w:rFonts w:ascii="Times New Roman" w:hAnsi="Times New Roman" w:cs="Times New Roman"/>
                <w:sz w:val="24"/>
                <w:szCs w:val="24"/>
              </w:rPr>
            </w:pPr>
          </w:p>
          <w:p w:rsidR="007D2EA1" w:rsidRPr="009A3E9F" w:rsidRDefault="007D2EA1" w:rsidP="008449B0">
            <w:pPr>
              <w:rPr>
                <w:rFonts w:ascii="Times New Roman" w:hAnsi="Times New Roman" w:cs="Times New Roman"/>
                <w:sz w:val="24"/>
                <w:szCs w:val="24"/>
              </w:rPr>
            </w:pPr>
          </w:p>
          <w:p w:rsidR="007D2EA1" w:rsidRPr="009A3E9F" w:rsidRDefault="007D2EA1" w:rsidP="008449B0">
            <w:pPr>
              <w:rPr>
                <w:rFonts w:ascii="Times New Roman" w:hAnsi="Times New Roman" w:cs="Times New Roman"/>
                <w:sz w:val="24"/>
                <w:szCs w:val="24"/>
              </w:rPr>
            </w:pP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pStyle w:val="naisf"/>
              <w:spacing w:before="0" w:after="0"/>
              <w:ind w:firstLine="0"/>
              <w:rPr>
                <w:i/>
              </w:rPr>
            </w:pPr>
            <w:r w:rsidRPr="009A3E9F">
              <w:t>1.2. valsts speciālais budžets</w:t>
            </w:r>
          </w:p>
        </w:tc>
        <w:tc>
          <w:tcPr>
            <w:tcW w:w="1297" w:type="dxa"/>
          </w:tcPr>
          <w:p w:rsidR="007D2EA1" w:rsidRPr="009A3E9F" w:rsidRDefault="007D2EA1" w:rsidP="008449B0">
            <w:pP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 xml:space="preserve"> 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pStyle w:val="naisf"/>
              <w:spacing w:before="0" w:after="0"/>
              <w:ind w:firstLine="0"/>
              <w:rPr>
                <w:i/>
              </w:rPr>
            </w:pPr>
            <w:r w:rsidRPr="009A3E9F">
              <w:t>1.3. pašvaldību budžets</w:t>
            </w:r>
          </w:p>
        </w:tc>
        <w:tc>
          <w:tcPr>
            <w:tcW w:w="1297"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 xml:space="preserve"> </w:t>
            </w: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9"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trHeight w:val="588"/>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2. Budžeta izdevumi:</w:t>
            </w:r>
          </w:p>
        </w:tc>
        <w:tc>
          <w:tcPr>
            <w:tcW w:w="1297"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pStyle w:val="naisf"/>
              <w:spacing w:before="0" w:after="0"/>
              <w:ind w:firstLine="0"/>
              <w:jc w:val="center"/>
            </w:pPr>
            <w:r w:rsidRPr="009A3E9F">
              <w:t xml:space="preserve"> 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9A3E9F" w:rsidP="008449B0">
            <w:pPr>
              <w:pStyle w:val="naisf"/>
              <w:spacing w:before="0" w:after="0"/>
              <w:ind w:firstLine="0"/>
              <w:jc w:val="center"/>
              <w:rPr>
                <w:i/>
              </w:rPr>
            </w:pPr>
            <w:r w:rsidRPr="009A3E9F">
              <w:t>70</w:t>
            </w:r>
            <w:r w:rsidR="007D2EA1" w:rsidRPr="009A3E9F">
              <w:t>0 000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rPr>
                <w:b/>
                <w:highlight w:val="yellow"/>
              </w:rPr>
            </w:pPr>
          </w:p>
          <w:p w:rsidR="007D2EA1" w:rsidRPr="009A3E9F" w:rsidRDefault="007D2EA1" w:rsidP="008449B0">
            <w:pPr>
              <w:pStyle w:val="naisf"/>
              <w:spacing w:before="0" w:after="0"/>
              <w:ind w:firstLine="0"/>
              <w:jc w:val="center"/>
              <w:rPr>
                <w:b/>
                <w:highlight w:val="yellow"/>
              </w:rP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2.1. valsts pamatbudžets</w:t>
            </w:r>
          </w:p>
        </w:tc>
        <w:tc>
          <w:tcPr>
            <w:tcW w:w="1297"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9A3E9F" w:rsidP="008449B0">
            <w:pPr>
              <w:pStyle w:val="naisf"/>
              <w:spacing w:before="0" w:after="0"/>
              <w:ind w:firstLine="0"/>
              <w:jc w:val="center"/>
              <w:rPr>
                <w:i/>
              </w:rPr>
            </w:pPr>
            <w:r w:rsidRPr="009A3E9F">
              <w:t>70</w:t>
            </w:r>
            <w:r w:rsidR="007D2EA1" w:rsidRPr="009A3E9F">
              <w:t>0 000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rPr>
                <w:b/>
                <w:highlight w:val="yellow"/>
              </w:rPr>
            </w:pPr>
          </w:p>
          <w:p w:rsidR="007D2EA1" w:rsidRPr="009A3E9F" w:rsidRDefault="007D2EA1" w:rsidP="008449B0">
            <w:pPr>
              <w:pStyle w:val="naisf"/>
              <w:spacing w:before="0" w:after="0"/>
              <w:ind w:firstLine="0"/>
              <w:jc w:val="center"/>
              <w:rPr>
                <w:highlight w:val="yellow"/>
              </w:rP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rPr>
                <w:i/>
              </w:rPr>
            </w:pPr>
            <w:r w:rsidRPr="009A3E9F">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2.2. valsts speciālais budžets</w:t>
            </w:r>
          </w:p>
        </w:tc>
        <w:tc>
          <w:tcPr>
            <w:tcW w:w="1297"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9"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 xml:space="preserve">2.3. pašvaldību budžets </w:t>
            </w:r>
          </w:p>
        </w:tc>
        <w:tc>
          <w:tcPr>
            <w:tcW w:w="1297"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color w:val="FF0000"/>
                <w:sz w:val="24"/>
                <w:szCs w:val="24"/>
              </w:rPr>
            </w:pPr>
            <w:r w:rsidRPr="009A3E9F">
              <w:rPr>
                <w:rFonts w:ascii="Times New Roman" w:hAnsi="Times New Roman" w:cs="Times New Roman"/>
                <w:sz w:val="24"/>
                <w:szCs w:val="24"/>
              </w:rPr>
              <w:t>0</w:t>
            </w:r>
          </w:p>
        </w:tc>
        <w:tc>
          <w:tcPr>
            <w:tcW w:w="1499"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3. Finansiālā ietekme:</w:t>
            </w:r>
          </w:p>
        </w:tc>
        <w:tc>
          <w:tcPr>
            <w:tcW w:w="1297" w:type="dxa"/>
            <w:shd w:val="clear" w:color="auto" w:fill="auto"/>
          </w:tcPr>
          <w:p w:rsidR="007D2EA1" w:rsidRPr="009A3E9F" w:rsidRDefault="007D2EA1" w:rsidP="008449B0">
            <w:pPr>
              <w:pStyle w:val="naisf"/>
              <w:spacing w:before="0" w:after="0"/>
              <w:ind w:firstLine="0"/>
            </w:pPr>
          </w:p>
          <w:p w:rsidR="007D2EA1" w:rsidRPr="009A3E9F" w:rsidRDefault="007D2EA1" w:rsidP="008449B0">
            <w:pPr>
              <w:pStyle w:val="naisf"/>
              <w:spacing w:before="0" w:after="0"/>
              <w:ind w:firstLine="0"/>
              <w:jc w:val="center"/>
              <w:rPr>
                <w:b/>
              </w:rPr>
            </w:pPr>
            <w:r w:rsidRPr="009A3E9F">
              <w:t>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9A3E9F" w:rsidP="008449B0">
            <w:pPr>
              <w:pStyle w:val="naisf"/>
              <w:spacing w:before="0" w:after="0"/>
              <w:ind w:firstLine="0"/>
              <w:jc w:val="center"/>
              <w:rPr>
                <w:i/>
              </w:rPr>
            </w:pPr>
            <w:r w:rsidRPr="009A3E9F">
              <w:t>70</w:t>
            </w:r>
            <w:r w:rsidR="007D2EA1" w:rsidRPr="009A3E9F">
              <w:t>0 000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rPr>
                <w:b/>
                <w:highlight w:val="yellow"/>
              </w:rPr>
            </w:pPr>
          </w:p>
          <w:p w:rsidR="007D2EA1" w:rsidRPr="009A3E9F" w:rsidRDefault="007D2EA1" w:rsidP="008449B0">
            <w:pPr>
              <w:pStyle w:val="naisf"/>
              <w:spacing w:before="0" w:after="0"/>
              <w:ind w:firstLine="0"/>
              <w:jc w:val="center"/>
              <w:rPr>
                <w:b/>
                <w:highlight w:val="yellow"/>
              </w:rPr>
            </w:pPr>
            <w:r w:rsidRPr="009A3E9F">
              <w:t>0</w:t>
            </w:r>
          </w:p>
        </w:tc>
        <w:tc>
          <w:tcPr>
            <w:tcW w:w="1498" w:type="dxa"/>
          </w:tcPr>
          <w:p w:rsidR="007D2EA1" w:rsidRPr="009A3E9F" w:rsidRDefault="007D2EA1" w:rsidP="008449B0">
            <w:pPr>
              <w:pStyle w:val="naisf"/>
              <w:spacing w:before="0" w:after="0"/>
              <w:ind w:firstLine="0"/>
              <w:jc w:val="center"/>
              <w:rPr>
                <w:i/>
              </w:rPr>
            </w:pPr>
          </w:p>
          <w:p w:rsidR="007D2EA1" w:rsidRPr="009A3E9F" w:rsidRDefault="007D2EA1" w:rsidP="008449B0">
            <w:pPr>
              <w:pStyle w:val="naisf"/>
              <w:spacing w:before="0" w:after="0"/>
              <w:ind w:firstLine="0"/>
              <w:jc w:val="center"/>
              <w:rPr>
                <w:b/>
              </w:rPr>
            </w:pPr>
            <w:r w:rsidRPr="009A3E9F">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3.1. valsts pamatbudžets</w:t>
            </w:r>
          </w:p>
        </w:tc>
        <w:tc>
          <w:tcPr>
            <w:tcW w:w="1297" w:type="dxa"/>
            <w:shd w:val="clear" w:color="auto" w:fill="auto"/>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9A3E9F" w:rsidP="008449B0">
            <w:pPr>
              <w:pStyle w:val="naisf"/>
              <w:spacing w:before="0" w:after="0"/>
              <w:ind w:firstLine="0"/>
              <w:jc w:val="center"/>
              <w:rPr>
                <w:i/>
              </w:rPr>
            </w:pPr>
            <w:r w:rsidRPr="009A3E9F">
              <w:t>70</w:t>
            </w:r>
            <w:r w:rsidR="007D2EA1" w:rsidRPr="009A3E9F">
              <w:t>0 000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rPr>
                <w:b/>
                <w:highlight w:val="yellow"/>
              </w:rPr>
            </w:pPr>
          </w:p>
          <w:p w:rsidR="007D2EA1" w:rsidRPr="009A3E9F" w:rsidRDefault="007D2EA1" w:rsidP="008449B0">
            <w:pPr>
              <w:pStyle w:val="naisf"/>
              <w:spacing w:before="0" w:after="0"/>
              <w:ind w:firstLine="0"/>
              <w:jc w:val="center"/>
              <w:rPr>
                <w:b/>
                <w:highlight w:val="yellow"/>
              </w:rPr>
            </w:pPr>
            <w:r w:rsidRPr="009A3E9F">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3.2. speciālais budžets</w:t>
            </w:r>
          </w:p>
        </w:tc>
        <w:tc>
          <w:tcPr>
            <w:tcW w:w="1297" w:type="dxa"/>
            <w:shd w:val="clear" w:color="auto" w:fill="auto"/>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rPr>
                <w:rFonts w:ascii="Times New Roman" w:hAnsi="Times New Roman" w:cs="Times New Roman"/>
                <w:sz w:val="24"/>
                <w:szCs w:val="24"/>
              </w:rPr>
            </w:pPr>
            <w:r w:rsidRPr="009A3E9F">
              <w:rPr>
                <w:rFonts w:ascii="Times New Roman" w:hAnsi="Times New Roman" w:cs="Times New Roman"/>
                <w:sz w:val="24"/>
                <w:szCs w:val="24"/>
              </w:rPr>
              <w:t xml:space="preserve">3.3. pašvaldību budžets </w:t>
            </w:r>
          </w:p>
        </w:tc>
        <w:tc>
          <w:tcPr>
            <w:tcW w:w="1297" w:type="dxa"/>
            <w:shd w:val="clear" w:color="auto" w:fill="auto"/>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9"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lastRenderedPageBreak/>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lastRenderedPageBreak/>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lastRenderedPageBreak/>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lastRenderedPageBreak/>
              <w:t>0</w:t>
            </w:r>
          </w:p>
        </w:tc>
      </w:tr>
      <w:tr w:rsidR="007D2EA1" w:rsidRPr="009A3E9F" w:rsidTr="008449B0">
        <w:trPr>
          <w:trHeight w:val="708"/>
          <w:jc w:val="center"/>
        </w:trPr>
        <w:tc>
          <w:tcPr>
            <w:tcW w:w="1843" w:type="dxa"/>
            <w:vMerge w:val="restart"/>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lastRenderedPageBreak/>
              <w:t>4. Finanšu līdzekļi papildu izde</w:t>
            </w:r>
            <w:r w:rsidRPr="009A3E9F">
              <w:rPr>
                <w:rFonts w:ascii="Times New Roman" w:hAnsi="Times New Roman" w:cs="Times New Roman"/>
                <w:sz w:val="24"/>
                <w:szCs w:val="24"/>
              </w:rPr>
              <w:softHyphen/>
              <w:t>vumu finansēšanai (kompensējošu izdevumu samazinājumu norāda ar "+" zīmi)</w:t>
            </w:r>
          </w:p>
        </w:tc>
        <w:tc>
          <w:tcPr>
            <w:tcW w:w="1297" w:type="dxa"/>
            <w:vMerge w:val="restart"/>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pStyle w:val="naisf"/>
              <w:spacing w:before="0" w:after="0"/>
              <w:ind w:firstLine="0"/>
              <w:jc w:val="center"/>
            </w:pPr>
            <w:r w:rsidRPr="009A3E9F">
              <w:t>X</w:t>
            </w:r>
          </w:p>
        </w:tc>
        <w:tc>
          <w:tcPr>
            <w:tcW w:w="1499" w:type="dxa"/>
            <w:vMerge w:val="restart"/>
          </w:tcPr>
          <w:p w:rsidR="007D2EA1" w:rsidRPr="009A3E9F" w:rsidRDefault="007D2EA1" w:rsidP="008449B0">
            <w:pPr>
              <w:jc w:val="center"/>
              <w:rPr>
                <w:rFonts w:ascii="Times New Roman" w:hAnsi="Times New Roman" w:cs="Times New Roman"/>
                <w:i/>
                <w:sz w:val="24"/>
                <w:szCs w:val="24"/>
              </w:rPr>
            </w:pPr>
          </w:p>
          <w:p w:rsidR="007D2EA1" w:rsidRPr="009A3E9F" w:rsidRDefault="009A3E9F" w:rsidP="008449B0">
            <w:pPr>
              <w:pStyle w:val="naisf"/>
              <w:spacing w:before="0" w:after="0"/>
              <w:ind w:firstLine="0"/>
              <w:jc w:val="center"/>
              <w:rPr>
                <w:i/>
              </w:rPr>
            </w:pPr>
            <w:r w:rsidRPr="009A3E9F">
              <w:t>70</w:t>
            </w:r>
            <w:r w:rsidR="007D2EA1" w:rsidRPr="009A3E9F">
              <w:t>0 000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vMerge/>
          </w:tcPr>
          <w:p w:rsidR="007D2EA1" w:rsidRPr="009A3E9F" w:rsidRDefault="007D2EA1" w:rsidP="008449B0">
            <w:pPr>
              <w:jc w:val="both"/>
              <w:rPr>
                <w:rFonts w:ascii="Times New Roman" w:hAnsi="Times New Roman" w:cs="Times New Roman"/>
                <w:sz w:val="24"/>
                <w:szCs w:val="24"/>
              </w:rPr>
            </w:pPr>
          </w:p>
        </w:tc>
        <w:tc>
          <w:tcPr>
            <w:tcW w:w="1297" w:type="dxa"/>
            <w:vMerge/>
          </w:tcPr>
          <w:p w:rsidR="007D2EA1" w:rsidRPr="009A3E9F" w:rsidRDefault="007D2EA1" w:rsidP="008449B0">
            <w:pPr>
              <w:pStyle w:val="naisf"/>
              <w:spacing w:before="0" w:after="0"/>
              <w:ind w:firstLine="0"/>
              <w:jc w:val="center"/>
            </w:pPr>
          </w:p>
        </w:tc>
        <w:tc>
          <w:tcPr>
            <w:tcW w:w="1499" w:type="dxa"/>
            <w:vMerge/>
          </w:tcPr>
          <w:p w:rsidR="007D2EA1" w:rsidRPr="009A3E9F" w:rsidRDefault="007D2EA1" w:rsidP="008449B0">
            <w:pPr>
              <w:jc w:val="center"/>
              <w:rPr>
                <w:rFonts w:ascii="Times New Roman" w:hAnsi="Times New Roman" w:cs="Times New Roman"/>
                <w:color w:val="FF0000"/>
                <w:sz w:val="24"/>
                <w:szCs w:val="24"/>
              </w:rPr>
            </w:pP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vMerge/>
          </w:tcPr>
          <w:p w:rsidR="007D2EA1" w:rsidRPr="009A3E9F" w:rsidRDefault="007D2EA1" w:rsidP="008449B0">
            <w:pPr>
              <w:jc w:val="both"/>
              <w:rPr>
                <w:rFonts w:ascii="Times New Roman" w:hAnsi="Times New Roman" w:cs="Times New Roman"/>
                <w:sz w:val="24"/>
                <w:szCs w:val="24"/>
              </w:rPr>
            </w:pPr>
          </w:p>
        </w:tc>
        <w:tc>
          <w:tcPr>
            <w:tcW w:w="1297" w:type="dxa"/>
            <w:vMerge/>
          </w:tcPr>
          <w:p w:rsidR="007D2EA1" w:rsidRPr="009A3E9F" w:rsidRDefault="007D2EA1" w:rsidP="008449B0">
            <w:pPr>
              <w:pStyle w:val="naisf"/>
              <w:spacing w:before="0" w:after="0"/>
              <w:ind w:firstLine="0"/>
              <w:jc w:val="center"/>
            </w:pPr>
          </w:p>
        </w:tc>
        <w:tc>
          <w:tcPr>
            <w:tcW w:w="1499" w:type="dxa"/>
            <w:vMerge/>
          </w:tcPr>
          <w:p w:rsidR="007D2EA1" w:rsidRPr="009A3E9F" w:rsidRDefault="007D2EA1" w:rsidP="008449B0">
            <w:pPr>
              <w:jc w:val="center"/>
              <w:rPr>
                <w:rFonts w:ascii="Times New Roman" w:hAnsi="Times New Roman" w:cs="Times New Roman"/>
                <w:color w:val="FF0000"/>
                <w:sz w:val="24"/>
                <w:szCs w:val="24"/>
              </w:rPr>
            </w:pP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5. Precizēta finansiālā ietekme:</w:t>
            </w:r>
          </w:p>
        </w:tc>
        <w:tc>
          <w:tcPr>
            <w:tcW w:w="1297" w:type="dxa"/>
            <w:vMerge w:val="restart"/>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pStyle w:val="naisf"/>
              <w:spacing w:before="0" w:after="0"/>
              <w:ind w:firstLine="0"/>
              <w:jc w:val="center"/>
            </w:pPr>
            <w:r w:rsidRPr="009A3E9F">
              <w:t>X</w:t>
            </w:r>
          </w:p>
        </w:tc>
        <w:tc>
          <w:tcPr>
            <w:tcW w:w="1499"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5.1. valsts pamatbudžets</w:t>
            </w:r>
          </w:p>
        </w:tc>
        <w:tc>
          <w:tcPr>
            <w:tcW w:w="1297" w:type="dxa"/>
            <w:vMerge/>
            <w:vAlign w:val="center"/>
          </w:tcPr>
          <w:p w:rsidR="007D2EA1" w:rsidRPr="009A3E9F" w:rsidRDefault="007D2EA1" w:rsidP="008449B0">
            <w:pPr>
              <w:pStyle w:val="naisf"/>
              <w:spacing w:before="0" w:after="0"/>
              <w:ind w:firstLine="0"/>
              <w:jc w:val="center"/>
              <w:rPr>
                <w:i/>
              </w:rPr>
            </w:pPr>
          </w:p>
        </w:tc>
        <w:tc>
          <w:tcPr>
            <w:tcW w:w="1499"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pStyle w:val="naisf"/>
              <w:spacing w:before="0" w:after="0"/>
              <w:ind w:firstLine="0"/>
              <w:jc w:val="center"/>
            </w:pPr>
          </w:p>
          <w:p w:rsidR="007D2EA1" w:rsidRPr="009A3E9F" w:rsidRDefault="007D2EA1" w:rsidP="008449B0">
            <w:pPr>
              <w:pStyle w:val="naisf"/>
              <w:spacing w:before="0" w:after="0"/>
              <w:ind w:firstLine="0"/>
              <w:jc w:val="center"/>
            </w:pPr>
            <w:r w:rsidRPr="009A3E9F">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5.2. speciālais budžets</w:t>
            </w:r>
          </w:p>
        </w:tc>
        <w:tc>
          <w:tcPr>
            <w:tcW w:w="1297" w:type="dxa"/>
            <w:vMerge/>
            <w:vAlign w:val="center"/>
          </w:tcPr>
          <w:p w:rsidR="007D2EA1" w:rsidRPr="009A3E9F" w:rsidRDefault="007D2EA1" w:rsidP="008449B0">
            <w:pPr>
              <w:pStyle w:val="naisf"/>
              <w:spacing w:before="0" w:after="0"/>
              <w:ind w:firstLine="0"/>
              <w:jc w:val="center"/>
              <w:rPr>
                <w:i/>
              </w:rPr>
            </w:pPr>
          </w:p>
        </w:tc>
        <w:tc>
          <w:tcPr>
            <w:tcW w:w="1499"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 xml:space="preserve">5.3. pašvaldību budžets </w:t>
            </w:r>
          </w:p>
        </w:tc>
        <w:tc>
          <w:tcPr>
            <w:tcW w:w="1297" w:type="dxa"/>
            <w:vMerge/>
            <w:vAlign w:val="center"/>
          </w:tcPr>
          <w:p w:rsidR="007D2EA1" w:rsidRPr="009A3E9F" w:rsidRDefault="007D2EA1" w:rsidP="008449B0">
            <w:pPr>
              <w:pStyle w:val="naisf"/>
              <w:spacing w:before="0" w:after="0"/>
              <w:ind w:firstLine="0"/>
              <w:jc w:val="center"/>
              <w:rPr>
                <w:i/>
              </w:rPr>
            </w:pPr>
          </w:p>
        </w:tc>
        <w:tc>
          <w:tcPr>
            <w:tcW w:w="1499"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c>
          <w:tcPr>
            <w:tcW w:w="1498" w:type="dxa"/>
          </w:tcPr>
          <w:p w:rsidR="007D2EA1" w:rsidRPr="009A3E9F" w:rsidRDefault="007D2EA1" w:rsidP="008449B0">
            <w:pPr>
              <w:jc w:val="center"/>
              <w:rPr>
                <w:rFonts w:ascii="Times New Roman" w:hAnsi="Times New Roman" w:cs="Times New Roman"/>
                <w:i/>
                <w:sz w:val="24"/>
                <w:szCs w:val="24"/>
              </w:rPr>
            </w:pPr>
          </w:p>
          <w:p w:rsidR="007D2EA1" w:rsidRPr="009A3E9F" w:rsidRDefault="007D2EA1" w:rsidP="008449B0">
            <w:pPr>
              <w:jc w:val="center"/>
              <w:rPr>
                <w:rFonts w:ascii="Times New Roman" w:hAnsi="Times New Roman" w:cs="Times New Roman"/>
                <w:sz w:val="24"/>
                <w:szCs w:val="24"/>
              </w:rPr>
            </w:pPr>
            <w:r w:rsidRPr="009A3E9F">
              <w:rPr>
                <w:rFonts w:ascii="Times New Roman" w:hAnsi="Times New Roman" w:cs="Times New Roman"/>
                <w:sz w:val="24"/>
                <w:szCs w:val="24"/>
              </w:rPr>
              <w:t>0</w:t>
            </w: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6. Detalizēts ieņēmumu un izdevu</w:t>
            </w:r>
            <w:r w:rsidRPr="009A3E9F">
              <w:rPr>
                <w:rFonts w:ascii="Times New Roman" w:hAnsi="Times New Roman" w:cs="Times New Roman"/>
                <w:sz w:val="24"/>
                <w:szCs w:val="24"/>
              </w:rPr>
              <w:softHyphen/>
              <w:t>mu aprēķins (ja nepieciešams, detalizētu ieņēmumu un izdevumu aprēķinu var pievienot anotācijas pielikumā):</w:t>
            </w:r>
          </w:p>
        </w:tc>
        <w:tc>
          <w:tcPr>
            <w:tcW w:w="7290" w:type="dxa"/>
            <w:gridSpan w:val="5"/>
            <w:vMerge w:val="restart"/>
          </w:tcPr>
          <w:p w:rsidR="00295CC2" w:rsidRPr="009A3E9F" w:rsidRDefault="00295CC2" w:rsidP="009A3E9F">
            <w:pPr>
              <w:jc w:val="both"/>
              <w:rPr>
                <w:rFonts w:ascii="Times New Roman" w:hAnsi="Times New Roman" w:cs="Times New Roman"/>
                <w:sz w:val="24"/>
                <w:szCs w:val="24"/>
              </w:rPr>
            </w:pPr>
            <w:r w:rsidRPr="009A3E9F">
              <w:rPr>
                <w:rFonts w:ascii="Times New Roman" w:hAnsi="Times New Roman" w:cs="Times New Roman"/>
                <w:sz w:val="24"/>
                <w:szCs w:val="24"/>
              </w:rPr>
              <w:t>Pēc Valsts vides dienesta sniegtās informācijas, pašlaik uzglabāšanas vietā atrodas aptuveni 1</w:t>
            </w:r>
            <w:r w:rsidR="009A3E9F" w:rsidRPr="009A3E9F">
              <w:rPr>
                <w:rFonts w:ascii="Times New Roman" w:hAnsi="Times New Roman" w:cs="Times New Roman"/>
                <w:sz w:val="24"/>
                <w:szCs w:val="24"/>
              </w:rPr>
              <w:t>4</w:t>
            </w:r>
            <w:r w:rsidRPr="009A3E9F">
              <w:rPr>
                <w:rFonts w:ascii="Times New Roman" w:hAnsi="Times New Roman" w:cs="Times New Roman"/>
                <w:sz w:val="24"/>
                <w:szCs w:val="24"/>
              </w:rPr>
              <w:t xml:space="preserve"> 000 t atkritumu. Lai sakoptu Ventspils šoseja 47 teritoriju un apsaimniekotu atkritumus, kas ir palikuši pēc ugunsgrēka, Valsts vides dienests veiks </w:t>
            </w:r>
            <w:r w:rsidR="009A3E9F" w:rsidRPr="009A3E9F">
              <w:rPr>
                <w:rFonts w:ascii="Times New Roman" w:hAnsi="Times New Roman" w:cs="Times New Roman"/>
                <w:sz w:val="24"/>
                <w:szCs w:val="24"/>
              </w:rPr>
              <w:t>iepirkumu un provizoriskās izmaksas sastādīs</w:t>
            </w:r>
            <w:r w:rsidR="00947E0F">
              <w:rPr>
                <w:rFonts w:ascii="Times New Roman" w:hAnsi="Times New Roman" w:cs="Times New Roman"/>
                <w:sz w:val="24"/>
                <w:szCs w:val="24"/>
              </w:rPr>
              <w:t xml:space="preserve"> </w:t>
            </w:r>
            <w:r w:rsidR="00947E0F" w:rsidRPr="00E303AD">
              <w:rPr>
                <w:rFonts w:ascii="Times New Roman" w:hAnsi="Times New Roman" w:cs="Times New Roman"/>
                <w:sz w:val="24"/>
                <w:szCs w:val="24"/>
                <w:u w:val="single"/>
              </w:rPr>
              <w:t>līdz</w:t>
            </w:r>
            <w:r w:rsidR="009A3E9F" w:rsidRPr="009A3E9F">
              <w:rPr>
                <w:rFonts w:ascii="Times New Roman" w:hAnsi="Times New Roman" w:cs="Times New Roman"/>
                <w:sz w:val="24"/>
                <w:szCs w:val="24"/>
              </w:rPr>
              <w:t xml:space="preserve"> 50 </w:t>
            </w:r>
            <w:r w:rsidR="009A3E9F" w:rsidRPr="009A3E9F">
              <w:rPr>
                <w:rFonts w:ascii="Times New Roman" w:hAnsi="Times New Roman" w:cs="Times New Roman"/>
                <w:i/>
                <w:sz w:val="24"/>
                <w:szCs w:val="24"/>
              </w:rPr>
              <w:t>euro ar PVN</w:t>
            </w:r>
            <w:r w:rsidR="009A3E9F" w:rsidRPr="009A3E9F">
              <w:rPr>
                <w:rFonts w:ascii="Times New Roman" w:hAnsi="Times New Roman" w:cs="Times New Roman"/>
                <w:sz w:val="24"/>
                <w:szCs w:val="24"/>
              </w:rPr>
              <w:t xml:space="preserve"> par 1 tonnu, iekļaujot sevī arī teritorijas sakopšanas</w:t>
            </w:r>
            <w:r w:rsidR="00CF0F60">
              <w:rPr>
                <w:rFonts w:ascii="Times New Roman" w:hAnsi="Times New Roman" w:cs="Times New Roman"/>
                <w:sz w:val="24"/>
                <w:szCs w:val="24"/>
              </w:rPr>
              <w:t>, loģistikas</w:t>
            </w:r>
            <w:r w:rsidR="00E303AD">
              <w:rPr>
                <w:rFonts w:ascii="Times New Roman" w:hAnsi="Times New Roman" w:cs="Times New Roman"/>
                <w:sz w:val="24"/>
                <w:szCs w:val="24"/>
              </w:rPr>
              <w:t xml:space="preserve">, </w:t>
            </w:r>
            <w:r w:rsidR="00CF0F60">
              <w:rPr>
                <w:rFonts w:ascii="Times New Roman" w:hAnsi="Times New Roman" w:cs="Times New Roman"/>
                <w:sz w:val="24"/>
                <w:szCs w:val="24"/>
              </w:rPr>
              <w:t>monitoringa</w:t>
            </w:r>
            <w:r w:rsidR="009A3E9F" w:rsidRPr="009A3E9F">
              <w:rPr>
                <w:rFonts w:ascii="Times New Roman" w:hAnsi="Times New Roman" w:cs="Times New Roman"/>
                <w:sz w:val="24"/>
                <w:szCs w:val="24"/>
              </w:rPr>
              <w:t xml:space="preserve"> </w:t>
            </w:r>
            <w:r w:rsidR="00E303AD">
              <w:rPr>
                <w:rFonts w:ascii="Times New Roman" w:hAnsi="Times New Roman" w:cs="Times New Roman"/>
                <w:sz w:val="24"/>
                <w:szCs w:val="24"/>
              </w:rPr>
              <w:t xml:space="preserve">un citas saistītās </w:t>
            </w:r>
            <w:r w:rsidR="009A3E9F" w:rsidRPr="009A3E9F">
              <w:rPr>
                <w:rFonts w:ascii="Times New Roman" w:hAnsi="Times New Roman" w:cs="Times New Roman"/>
                <w:sz w:val="24"/>
                <w:szCs w:val="24"/>
              </w:rPr>
              <w:t>izmaksas</w:t>
            </w:r>
            <w:r w:rsidR="00E303AD">
              <w:rPr>
                <w:rFonts w:ascii="Times New Roman" w:hAnsi="Times New Roman" w:cs="Times New Roman"/>
                <w:sz w:val="24"/>
                <w:szCs w:val="24"/>
              </w:rPr>
              <w:t xml:space="preserve"> seku pilnīgai likvidācijai</w:t>
            </w:r>
            <w:r w:rsidR="009A3E9F" w:rsidRPr="009A3E9F">
              <w:rPr>
                <w:rFonts w:ascii="Times New Roman" w:hAnsi="Times New Roman" w:cs="Times New Roman"/>
                <w:sz w:val="24"/>
                <w:szCs w:val="24"/>
              </w:rPr>
              <w:t>.</w:t>
            </w:r>
          </w:p>
          <w:p w:rsidR="009A3E9F" w:rsidRPr="009A3E9F" w:rsidRDefault="009A3E9F" w:rsidP="009A3E9F">
            <w:pPr>
              <w:jc w:val="center"/>
              <w:rPr>
                <w:rFonts w:ascii="Times New Roman" w:hAnsi="Times New Roman" w:cs="Times New Roman"/>
                <w:i/>
                <w:sz w:val="24"/>
                <w:szCs w:val="24"/>
              </w:rPr>
            </w:pPr>
            <w:r w:rsidRPr="009A3E9F">
              <w:rPr>
                <w:rFonts w:ascii="Times New Roman" w:hAnsi="Times New Roman" w:cs="Times New Roman"/>
                <w:sz w:val="24"/>
                <w:szCs w:val="24"/>
              </w:rPr>
              <w:t xml:space="preserve">14 000 x 50 = 700 000 </w:t>
            </w:r>
            <w:r w:rsidRPr="009A3E9F">
              <w:rPr>
                <w:rFonts w:ascii="Times New Roman" w:hAnsi="Times New Roman" w:cs="Times New Roman"/>
                <w:i/>
                <w:sz w:val="24"/>
                <w:szCs w:val="24"/>
              </w:rPr>
              <w:t>euro</w:t>
            </w:r>
          </w:p>
          <w:p w:rsidR="009A3E9F" w:rsidRDefault="009A3E9F" w:rsidP="009A3E9F">
            <w:pPr>
              <w:jc w:val="both"/>
              <w:rPr>
                <w:rFonts w:ascii="Times New Roman" w:hAnsi="Times New Roman" w:cs="Times New Roman"/>
                <w:sz w:val="24"/>
                <w:szCs w:val="24"/>
              </w:rPr>
            </w:pPr>
            <w:r w:rsidRPr="009A3E9F">
              <w:rPr>
                <w:rFonts w:ascii="Times New Roman" w:hAnsi="Times New Roman" w:cs="Times New Roman"/>
                <w:sz w:val="24"/>
                <w:szCs w:val="24"/>
              </w:rPr>
              <w:t xml:space="preserve">VARAM vērš uzmanību, ka </w:t>
            </w:r>
            <w:r w:rsidRPr="00E303AD">
              <w:rPr>
                <w:rFonts w:ascii="Times New Roman" w:hAnsi="Times New Roman" w:cs="Times New Roman"/>
                <w:sz w:val="24"/>
                <w:szCs w:val="24"/>
                <w:u w:val="single"/>
              </w:rPr>
              <w:t>šie cipari ir indikatīvi un var mainīties</w:t>
            </w:r>
            <w:r w:rsidRPr="009A3E9F">
              <w:rPr>
                <w:rFonts w:ascii="Times New Roman" w:hAnsi="Times New Roman" w:cs="Times New Roman"/>
                <w:sz w:val="24"/>
                <w:szCs w:val="24"/>
              </w:rPr>
              <w:t>. Ja būs nepieciešami papildus līdzekļi</w:t>
            </w:r>
            <w:r w:rsidR="00CF0F60">
              <w:rPr>
                <w:rFonts w:ascii="Times New Roman" w:hAnsi="Times New Roman" w:cs="Times New Roman"/>
                <w:sz w:val="24"/>
                <w:szCs w:val="24"/>
              </w:rPr>
              <w:t>,</w:t>
            </w:r>
            <w:r w:rsidRPr="009A3E9F">
              <w:rPr>
                <w:rFonts w:ascii="Times New Roman" w:hAnsi="Times New Roman" w:cs="Times New Roman"/>
                <w:sz w:val="24"/>
                <w:szCs w:val="24"/>
              </w:rPr>
              <w:t xml:space="preserve"> tad VARAM vērsīsies atkārtoti pēc papildus finansējuma pieprasījuma.</w:t>
            </w:r>
          </w:p>
          <w:p w:rsidR="00255869" w:rsidRPr="009A3E9F" w:rsidRDefault="00255869" w:rsidP="009A3E9F">
            <w:pPr>
              <w:jc w:val="both"/>
              <w:rPr>
                <w:rFonts w:ascii="Times New Roman" w:hAnsi="Times New Roman" w:cs="Times New Roman"/>
                <w:sz w:val="24"/>
                <w:szCs w:val="24"/>
              </w:rPr>
            </w:pP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6.1. detalizēts ieņēmumu aprēķins</w:t>
            </w:r>
          </w:p>
        </w:tc>
        <w:tc>
          <w:tcPr>
            <w:tcW w:w="7290" w:type="dxa"/>
            <w:gridSpan w:val="5"/>
            <w:vMerge/>
          </w:tcPr>
          <w:p w:rsidR="007D2EA1" w:rsidRPr="009A3E9F" w:rsidRDefault="007D2EA1" w:rsidP="008449B0">
            <w:pPr>
              <w:pStyle w:val="naisf"/>
              <w:spacing w:before="0" w:after="0"/>
              <w:ind w:firstLine="0"/>
              <w:rPr>
                <w:b/>
                <w:i/>
              </w:rPr>
            </w:pP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6.2. detalizēts izdevumu aprēķins</w:t>
            </w:r>
          </w:p>
        </w:tc>
        <w:tc>
          <w:tcPr>
            <w:tcW w:w="7290" w:type="dxa"/>
            <w:gridSpan w:val="5"/>
            <w:vMerge/>
          </w:tcPr>
          <w:p w:rsidR="007D2EA1" w:rsidRPr="009A3E9F" w:rsidRDefault="007D2EA1" w:rsidP="008449B0">
            <w:pPr>
              <w:pStyle w:val="naisf"/>
              <w:spacing w:before="0" w:after="0"/>
              <w:ind w:firstLine="0"/>
              <w:rPr>
                <w:b/>
                <w:i/>
              </w:rPr>
            </w:pPr>
          </w:p>
        </w:tc>
      </w:tr>
      <w:tr w:rsidR="007D2EA1" w:rsidRPr="009A3E9F" w:rsidTr="008449B0">
        <w:trPr>
          <w:jc w:val="center"/>
        </w:trPr>
        <w:tc>
          <w:tcPr>
            <w:tcW w:w="1843" w:type="dxa"/>
          </w:tcPr>
          <w:p w:rsidR="007D2EA1" w:rsidRPr="009A3E9F" w:rsidRDefault="007D2EA1" w:rsidP="008449B0">
            <w:pPr>
              <w:jc w:val="both"/>
              <w:rPr>
                <w:rFonts w:ascii="Times New Roman" w:hAnsi="Times New Roman" w:cs="Times New Roman"/>
                <w:sz w:val="24"/>
                <w:szCs w:val="24"/>
              </w:rPr>
            </w:pPr>
            <w:r w:rsidRPr="009A3E9F">
              <w:rPr>
                <w:rFonts w:ascii="Times New Roman" w:hAnsi="Times New Roman" w:cs="Times New Roman"/>
                <w:sz w:val="24"/>
                <w:szCs w:val="24"/>
              </w:rPr>
              <w:t>7.Cita informācija</w:t>
            </w:r>
          </w:p>
        </w:tc>
        <w:tc>
          <w:tcPr>
            <w:tcW w:w="7290" w:type="dxa"/>
            <w:gridSpan w:val="5"/>
          </w:tcPr>
          <w:p w:rsidR="007D2EA1" w:rsidRPr="009A3E9F" w:rsidRDefault="007D2EA1" w:rsidP="008449B0">
            <w:pPr>
              <w:pStyle w:val="naisf"/>
              <w:tabs>
                <w:tab w:val="left" w:pos="4644"/>
              </w:tabs>
              <w:spacing w:before="0" w:after="0"/>
              <w:ind w:firstLine="0"/>
            </w:pPr>
          </w:p>
        </w:tc>
      </w:tr>
    </w:tbl>
    <w:p w:rsidR="007D2EA1" w:rsidRPr="009A3E9F" w:rsidRDefault="007D2EA1" w:rsidP="007104AB">
      <w:pPr>
        <w:shd w:val="clear" w:color="auto" w:fill="FFFFFF"/>
        <w:spacing w:after="0" w:line="240" w:lineRule="auto"/>
        <w:rPr>
          <w:rFonts w:ascii="Times New Roman" w:eastAsia="Times New Roman" w:hAnsi="Times New Roman" w:cs="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14"/>
        <w:gridCol w:w="4379"/>
      </w:tblGrid>
      <w:tr w:rsidR="009A3E9F" w:rsidRPr="009A3E9F" w:rsidTr="008449B0">
        <w:tc>
          <w:tcPr>
            <w:tcW w:w="9179" w:type="dxa"/>
            <w:gridSpan w:val="3"/>
          </w:tcPr>
          <w:p w:rsidR="009A3E9F" w:rsidRPr="009A3E9F" w:rsidRDefault="009A3E9F" w:rsidP="008449B0">
            <w:pPr>
              <w:pStyle w:val="naisf"/>
              <w:spacing w:before="120" w:after="120"/>
              <w:ind w:firstLine="0"/>
              <w:jc w:val="center"/>
              <w:rPr>
                <w:b/>
              </w:rPr>
            </w:pPr>
            <w:r w:rsidRPr="009A3E9F">
              <w:rPr>
                <w:b/>
              </w:rPr>
              <w:t>IV. Tiesību akta projekta ietekme uz spēkā esošo tiesību normu sistēmu</w:t>
            </w:r>
          </w:p>
        </w:tc>
      </w:tr>
      <w:tr w:rsidR="009A3E9F" w:rsidRPr="009A3E9F" w:rsidTr="008449B0">
        <w:tc>
          <w:tcPr>
            <w:tcW w:w="567" w:type="dxa"/>
          </w:tcPr>
          <w:p w:rsidR="009A3E9F" w:rsidRPr="009A3E9F" w:rsidRDefault="009A3E9F" w:rsidP="008449B0">
            <w:pPr>
              <w:pStyle w:val="naiskr"/>
              <w:tabs>
                <w:tab w:val="left" w:pos="2628"/>
              </w:tabs>
              <w:spacing w:before="0" w:after="0"/>
              <w:jc w:val="center"/>
              <w:rPr>
                <w:iCs/>
              </w:rPr>
            </w:pPr>
            <w:r w:rsidRPr="009A3E9F">
              <w:rPr>
                <w:iCs/>
              </w:rPr>
              <w:t>1.</w:t>
            </w:r>
          </w:p>
        </w:tc>
        <w:tc>
          <w:tcPr>
            <w:tcW w:w="4111" w:type="dxa"/>
          </w:tcPr>
          <w:p w:rsidR="009A3E9F" w:rsidRPr="009A3E9F" w:rsidRDefault="009A3E9F" w:rsidP="008449B0">
            <w:pPr>
              <w:pStyle w:val="naiskr"/>
              <w:tabs>
                <w:tab w:val="left" w:pos="2628"/>
              </w:tabs>
              <w:spacing w:before="0" w:after="0"/>
              <w:jc w:val="both"/>
              <w:rPr>
                <w:iCs/>
              </w:rPr>
            </w:pPr>
            <w:r w:rsidRPr="009A3E9F">
              <w:t>Nepieciešamie saistītie tiesību aktu projekti</w:t>
            </w:r>
          </w:p>
        </w:tc>
        <w:tc>
          <w:tcPr>
            <w:tcW w:w="4501" w:type="dxa"/>
          </w:tcPr>
          <w:p w:rsidR="009A3E9F" w:rsidRPr="009A3E9F" w:rsidRDefault="009A3E9F" w:rsidP="008449B0">
            <w:pPr>
              <w:ind w:right="-194"/>
              <w:jc w:val="both"/>
              <w:rPr>
                <w:rFonts w:ascii="Times New Roman" w:hAnsi="Times New Roman" w:cs="Times New Roman"/>
                <w:sz w:val="24"/>
                <w:szCs w:val="24"/>
              </w:rPr>
            </w:pPr>
            <w:r w:rsidRPr="009A3E9F">
              <w:rPr>
                <w:rFonts w:ascii="Times New Roman" w:hAnsi="Times New Roman" w:cs="Times New Roman"/>
                <w:sz w:val="24"/>
                <w:szCs w:val="24"/>
              </w:rPr>
              <w:t>Nav attiecināms</w:t>
            </w:r>
          </w:p>
        </w:tc>
      </w:tr>
      <w:tr w:rsidR="009A3E9F" w:rsidRPr="009A3E9F" w:rsidTr="008449B0">
        <w:tc>
          <w:tcPr>
            <w:tcW w:w="567" w:type="dxa"/>
          </w:tcPr>
          <w:p w:rsidR="009A3E9F" w:rsidRPr="009A3E9F" w:rsidRDefault="009A3E9F" w:rsidP="008449B0">
            <w:pPr>
              <w:pStyle w:val="naiskr"/>
              <w:tabs>
                <w:tab w:val="left" w:pos="2628"/>
              </w:tabs>
              <w:spacing w:before="0" w:after="0"/>
              <w:jc w:val="center"/>
              <w:rPr>
                <w:iCs/>
              </w:rPr>
            </w:pPr>
            <w:r w:rsidRPr="009A3E9F">
              <w:rPr>
                <w:iCs/>
              </w:rPr>
              <w:t>2.</w:t>
            </w:r>
          </w:p>
        </w:tc>
        <w:tc>
          <w:tcPr>
            <w:tcW w:w="4111" w:type="dxa"/>
          </w:tcPr>
          <w:p w:rsidR="009A3E9F" w:rsidRPr="009A3E9F" w:rsidRDefault="009A3E9F" w:rsidP="008449B0">
            <w:pPr>
              <w:pStyle w:val="naiskr"/>
              <w:tabs>
                <w:tab w:val="left" w:pos="2628"/>
              </w:tabs>
              <w:spacing w:before="0" w:after="0"/>
              <w:jc w:val="both"/>
            </w:pPr>
            <w:r w:rsidRPr="009A3E9F">
              <w:t>Atbildīgā institūcija</w:t>
            </w:r>
          </w:p>
        </w:tc>
        <w:tc>
          <w:tcPr>
            <w:tcW w:w="4501" w:type="dxa"/>
          </w:tcPr>
          <w:p w:rsidR="009A3E9F" w:rsidRPr="009A3E9F" w:rsidRDefault="009A3E9F" w:rsidP="008449B0">
            <w:pPr>
              <w:spacing w:after="120"/>
              <w:jc w:val="both"/>
              <w:rPr>
                <w:rFonts w:ascii="Times New Roman" w:hAnsi="Times New Roman" w:cs="Times New Roman"/>
                <w:sz w:val="24"/>
                <w:szCs w:val="24"/>
              </w:rPr>
            </w:pPr>
            <w:r w:rsidRPr="009A3E9F">
              <w:rPr>
                <w:rFonts w:ascii="Times New Roman" w:hAnsi="Times New Roman" w:cs="Times New Roman"/>
                <w:sz w:val="24"/>
                <w:szCs w:val="24"/>
              </w:rPr>
              <w:t>Vides aizsardzības un reģionālās attīstības ministrija</w:t>
            </w:r>
          </w:p>
        </w:tc>
      </w:tr>
      <w:tr w:rsidR="009A3E9F" w:rsidRPr="009A3E9F" w:rsidTr="008449B0">
        <w:tc>
          <w:tcPr>
            <w:tcW w:w="567" w:type="dxa"/>
          </w:tcPr>
          <w:p w:rsidR="009A3E9F" w:rsidRPr="009A3E9F" w:rsidRDefault="009A3E9F" w:rsidP="008449B0">
            <w:pPr>
              <w:pStyle w:val="naiskr"/>
              <w:tabs>
                <w:tab w:val="left" w:pos="2628"/>
              </w:tabs>
              <w:spacing w:before="0" w:after="0"/>
              <w:jc w:val="center"/>
              <w:rPr>
                <w:iCs/>
              </w:rPr>
            </w:pPr>
            <w:r w:rsidRPr="009A3E9F">
              <w:rPr>
                <w:iCs/>
              </w:rPr>
              <w:t>3.</w:t>
            </w:r>
          </w:p>
        </w:tc>
        <w:tc>
          <w:tcPr>
            <w:tcW w:w="4111" w:type="dxa"/>
          </w:tcPr>
          <w:p w:rsidR="009A3E9F" w:rsidRPr="009A3E9F" w:rsidRDefault="009A3E9F" w:rsidP="008449B0">
            <w:pPr>
              <w:pStyle w:val="naiskr"/>
              <w:tabs>
                <w:tab w:val="left" w:pos="2628"/>
              </w:tabs>
              <w:spacing w:before="0" w:after="0"/>
              <w:jc w:val="both"/>
              <w:rPr>
                <w:iCs/>
              </w:rPr>
            </w:pPr>
            <w:r w:rsidRPr="009A3E9F">
              <w:t>Cita informācija</w:t>
            </w:r>
          </w:p>
        </w:tc>
        <w:tc>
          <w:tcPr>
            <w:tcW w:w="4501" w:type="dxa"/>
          </w:tcPr>
          <w:p w:rsidR="009A3E9F" w:rsidRPr="009A3E9F" w:rsidRDefault="009A3E9F" w:rsidP="008449B0">
            <w:pPr>
              <w:spacing w:after="120"/>
              <w:jc w:val="both"/>
              <w:rPr>
                <w:rFonts w:ascii="Times New Roman" w:hAnsi="Times New Roman" w:cs="Times New Roman"/>
                <w:sz w:val="24"/>
                <w:szCs w:val="24"/>
                <w:u w:val="single"/>
              </w:rPr>
            </w:pPr>
            <w:r w:rsidRPr="009A3E9F">
              <w:rPr>
                <w:rFonts w:ascii="Times New Roman" w:hAnsi="Times New Roman" w:cs="Times New Roman"/>
                <w:sz w:val="24"/>
                <w:szCs w:val="24"/>
              </w:rPr>
              <w:t>Nav</w:t>
            </w:r>
            <w:r w:rsidRPr="009A3E9F">
              <w:rPr>
                <w:rFonts w:ascii="Times New Roman" w:hAnsi="Times New Roman" w:cs="Times New Roman"/>
                <w:sz w:val="24"/>
                <w:szCs w:val="24"/>
                <w:u w:val="single"/>
              </w:rPr>
              <w:t xml:space="preserve"> </w:t>
            </w:r>
            <w:r w:rsidRPr="009A3E9F">
              <w:rPr>
                <w:rFonts w:ascii="Times New Roman" w:hAnsi="Times New Roman" w:cs="Times New Roman"/>
                <w:sz w:val="24"/>
                <w:szCs w:val="24"/>
              </w:rPr>
              <w:t xml:space="preserve"> </w:t>
            </w:r>
          </w:p>
        </w:tc>
      </w:tr>
    </w:tbl>
    <w:p w:rsidR="007D2EA1" w:rsidRPr="009A3E9F" w:rsidRDefault="007D2EA1" w:rsidP="007104AB">
      <w:pPr>
        <w:shd w:val="clear" w:color="auto" w:fill="FFFFFF"/>
        <w:spacing w:after="0" w:line="240" w:lineRule="auto"/>
        <w:rPr>
          <w:rFonts w:ascii="Times New Roman" w:eastAsia="Times New Roman" w:hAnsi="Times New Roman" w:cs="Times New Roman"/>
          <w:sz w:val="24"/>
          <w:szCs w:val="24"/>
          <w:lang w:eastAsia="lv-LV"/>
        </w:rPr>
      </w:pPr>
    </w:p>
    <w:tbl>
      <w:tblPr>
        <w:tblW w:w="920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01"/>
      </w:tblGrid>
      <w:tr w:rsidR="009A3E9F" w:rsidRPr="009A3E9F" w:rsidTr="008449B0">
        <w:trPr>
          <w:jc w:val="center"/>
        </w:trPr>
        <w:tc>
          <w:tcPr>
            <w:tcW w:w="9201" w:type="dxa"/>
            <w:tcBorders>
              <w:top w:val="outset" w:sz="6" w:space="0" w:color="auto"/>
              <w:left w:val="outset" w:sz="6" w:space="0" w:color="auto"/>
              <w:bottom w:val="outset" w:sz="6" w:space="0" w:color="auto"/>
              <w:right w:val="outset" w:sz="6" w:space="0" w:color="auto"/>
            </w:tcBorders>
            <w:vAlign w:val="center"/>
          </w:tcPr>
          <w:p w:rsidR="009A3E9F" w:rsidRPr="009A3E9F" w:rsidRDefault="009A3E9F" w:rsidP="008449B0">
            <w:pPr>
              <w:jc w:val="center"/>
              <w:rPr>
                <w:rFonts w:ascii="Times New Roman" w:hAnsi="Times New Roman" w:cs="Times New Roman"/>
                <w:b/>
                <w:sz w:val="24"/>
                <w:szCs w:val="24"/>
              </w:rPr>
            </w:pPr>
            <w:r w:rsidRPr="009A3E9F">
              <w:rPr>
                <w:rFonts w:ascii="Times New Roman" w:hAnsi="Times New Roman" w:cs="Times New Roman"/>
                <w:b/>
                <w:sz w:val="24"/>
                <w:szCs w:val="24"/>
              </w:rPr>
              <w:t>V. Tiesību akta projekta atbilstība Latvijas Republikas starptautiskajām saistībām</w:t>
            </w:r>
          </w:p>
        </w:tc>
      </w:tr>
      <w:tr w:rsidR="009A3E9F" w:rsidRPr="009A3E9F" w:rsidTr="008449B0">
        <w:trPr>
          <w:jc w:val="center"/>
        </w:trPr>
        <w:tc>
          <w:tcPr>
            <w:tcW w:w="9201" w:type="dxa"/>
            <w:tcBorders>
              <w:top w:val="outset" w:sz="6" w:space="0" w:color="auto"/>
              <w:left w:val="outset" w:sz="6" w:space="0" w:color="auto"/>
              <w:bottom w:val="outset" w:sz="6" w:space="0" w:color="auto"/>
              <w:right w:val="outset" w:sz="6" w:space="0" w:color="auto"/>
            </w:tcBorders>
          </w:tcPr>
          <w:p w:rsidR="009A3E9F" w:rsidRPr="009A3E9F" w:rsidRDefault="009A3E9F" w:rsidP="008449B0">
            <w:pPr>
              <w:ind w:left="57"/>
              <w:jc w:val="center"/>
              <w:rPr>
                <w:rFonts w:ascii="Times New Roman" w:hAnsi="Times New Roman" w:cs="Times New Roman"/>
                <w:sz w:val="24"/>
                <w:szCs w:val="24"/>
              </w:rPr>
            </w:pPr>
            <w:r w:rsidRPr="009A3E9F">
              <w:rPr>
                <w:rFonts w:ascii="Times New Roman" w:hAnsi="Times New Roman" w:cs="Times New Roman"/>
                <w:i/>
                <w:iCs/>
                <w:sz w:val="24"/>
                <w:szCs w:val="24"/>
              </w:rPr>
              <w:t>Projekts šo jomu neskar</w:t>
            </w:r>
          </w:p>
        </w:tc>
      </w:tr>
    </w:tbl>
    <w:p w:rsidR="009A3E9F" w:rsidRPr="009A3E9F" w:rsidRDefault="009A3E9F" w:rsidP="007104AB">
      <w:pPr>
        <w:shd w:val="clear" w:color="auto" w:fill="FFFFFF"/>
        <w:spacing w:after="0" w:line="240" w:lineRule="auto"/>
        <w:rPr>
          <w:rFonts w:ascii="Times New Roman" w:eastAsia="Times New Roman" w:hAnsi="Times New Roman" w:cs="Times New Roman"/>
          <w:sz w:val="24"/>
          <w:szCs w:val="24"/>
          <w:lang w:eastAsia="lv-LV"/>
        </w:rPr>
      </w:pPr>
    </w:p>
    <w:p w:rsidR="009A3E9F" w:rsidRPr="009A3E9F" w:rsidRDefault="009A3E9F" w:rsidP="007104A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CA261E" w:rsidRPr="009A3E9F"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A3E9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A3E9F">
              <w:rPr>
                <w:rFonts w:ascii="Times New Roman" w:eastAsia="Times New Roman" w:hAnsi="Times New Roman" w:cs="Times New Roman"/>
                <w:b/>
                <w:bCs/>
                <w:sz w:val="24"/>
                <w:szCs w:val="24"/>
                <w:lang w:eastAsia="lv-LV"/>
              </w:rPr>
              <w:t>VI.</w:t>
            </w:r>
            <w:r w:rsidR="00816C11" w:rsidRPr="009A3E9F">
              <w:rPr>
                <w:rFonts w:ascii="Times New Roman" w:eastAsia="Times New Roman" w:hAnsi="Times New Roman" w:cs="Times New Roman"/>
                <w:b/>
                <w:bCs/>
                <w:sz w:val="24"/>
                <w:szCs w:val="24"/>
                <w:lang w:eastAsia="lv-LV"/>
              </w:rPr>
              <w:t> </w:t>
            </w:r>
            <w:r w:rsidRPr="009A3E9F">
              <w:rPr>
                <w:rFonts w:ascii="Times New Roman" w:eastAsia="Times New Roman" w:hAnsi="Times New Roman" w:cs="Times New Roman"/>
                <w:b/>
                <w:bCs/>
                <w:sz w:val="24"/>
                <w:szCs w:val="24"/>
                <w:lang w:eastAsia="lv-LV"/>
              </w:rPr>
              <w:t>Sabiedrības līdzdalība un komunikācijas aktivitātes</w:t>
            </w:r>
          </w:p>
        </w:tc>
      </w:tr>
      <w:tr w:rsidR="00CA261E" w:rsidRPr="009A3E9F"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9A3E9F" w:rsidRDefault="009A3E9F" w:rsidP="0029518E">
            <w:pPr>
              <w:spacing w:after="0" w:line="240" w:lineRule="auto"/>
              <w:jc w:val="both"/>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Nav attiecināms</w:t>
            </w:r>
          </w:p>
        </w:tc>
      </w:tr>
      <w:tr w:rsidR="009A3E9F" w:rsidRPr="009A3E9F"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9A3E9F" w:rsidRPr="009A3E9F" w:rsidRDefault="009A3E9F"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A3E9F" w:rsidRPr="009A3E9F" w:rsidRDefault="009A3E9F"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A3E9F" w:rsidRPr="009A3E9F" w:rsidRDefault="009A3E9F">
            <w:pPr>
              <w:rPr>
                <w:rFonts w:ascii="Times New Roman" w:hAnsi="Times New Roman" w:cs="Times New Roman"/>
                <w:sz w:val="24"/>
                <w:szCs w:val="24"/>
              </w:rPr>
            </w:pPr>
            <w:r w:rsidRPr="009A3E9F">
              <w:rPr>
                <w:rFonts w:ascii="Times New Roman" w:hAnsi="Times New Roman" w:cs="Times New Roman"/>
                <w:iCs/>
                <w:sz w:val="24"/>
                <w:szCs w:val="24"/>
              </w:rPr>
              <w:t>Konsultācijas nav notikušas</w:t>
            </w:r>
          </w:p>
        </w:tc>
      </w:tr>
      <w:tr w:rsidR="009A3E9F" w:rsidRPr="009A3E9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9A3E9F" w:rsidRPr="009A3E9F" w:rsidRDefault="009A3E9F"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A3E9F" w:rsidRPr="009A3E9F" w:rsidRDefault="009A3E9F"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A3E9F" w:rsidRPr="009A3E9F" w:rsidRDefault="009A3E9F">
            <w:pPr>
              <w:rPr>
                <w:rFonts w:ascii="Times New Roman" w:hAnsi="Times New Roman" w:cs="Times New Roman"/>
                <w:sz w:val="24"/>
                <w:szCs w:val="24"/>
              </w:rPr>
            </w:pPr>
            <w:r w:rsidRPr="009A3E9F">
              <w:rPr>
                <w:rFonts w:ascii="Times New Roman" w:hAnsi="Times New Roman" w:cs="Times New Roman"/>
                <w:iCs/>
                <w:sz w:val="24"/>
                <w:szCs w:val="24"/>
              </w:rPr>
              <w:t>Konsultācijas nav notikušas</w:t>
            </w:r>
          </w:p>
        </w:tc>
      </w:tr>
      <w:tr w:rsidR="00CA261E" w:rsidRPr="009A3E9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9A3E9F" w:rsidRDefault="00E9013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Nav</w:t>
            </w:r>
          </w:p>
        </w:tc>
      </w:tr>
    </w:tbl>
    <w:p w:rsidR="00894C55" w:rsidRPr="009A3E9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A261E" w:rsidRPr="009A3E9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A3E9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A3E9F">
              <w:rPr>
                <w:rFonts w:ascii="Times New Roman" w:eastAsia="Times New Roman" w:hAnsi="Times New Roman" w:cs="Times New Roman"/>
                <w:b/>
                <w:bCs/>
                <w:sz w:val="24"/>
                <w:szCs w:val="24"/>
                <w:lang w:eastAsia="lv-LV"/>
              </w:rPr>
              <w:t>VII.</w:t>
            </w:r>
            <w:r w:rsidR="00816C11" w:rsidRPr="009A3E9F">
              <w:rPr>
                <w:rFonts w:ascii="Times New Roman" w:eastAsia="Times New Roman" w:hAnsi="Times New Roman" w:cs="Times New Roman"/>
                <w:b/>
                <w:bCs/>
                <w:sz w:val="24"/>
                <w:szCs w:val="24"/>
                <w:lang w:eastAsia="lv-LV"/>
              </w:rPr>
              <w:t> </w:t>
            </w:r>
            <w:r w:rsidRPr="009A3E9F">
              <w:rPr>
                <w:rFonts w:ascii="Times New Roman" w:eastAsia="Times New Roman" w:hAnsi="Times New Roman" w:cs="Times New Roman"/>
                <w:b/>
                <w:bCs/>
                <w:sz w:val="24"/>
                <w:szCs w:val="24"/>
                <w:lang w:eastAsia="lv-LV"/>
              </w:rPr>
              <w:t>Tiesību akta projekta izpildes nodrošināšana un tās ietekme uz institūcijām</w:t>
            </w:r>
          </w:p>
        </w:tc>
      </w:tr>
      <w:tr w:rsidR="00CA261E" w:rsidRPr="009A3E9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A3E9F" w:rsidRDefault="00B72C00"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Valsts vides dienests</w:t>
            </w:r>
            <w:r w:rsidR="009A3E9F" w:rsidRPr="009A3E9F">
              <w:rPr>
                <w:rFonts w:ascii="Times New Roman" w:eastAsia="Times New Roman" w:hAnsi="Times New Roman" w:cs="Times New Roman"/>
                <w:sz w:val="24"/>
                <w:szCs w:val="24"/>
                <w:lang w:eastAsia="lv-LV"/>
              </w:rPr>
              <w:t>, Finanšu ministrija</w:t>
            </w:r>
          </w:p>
        </w:tc>
      </w:tr>
      <w:tr w:rsidR="00CA261E" w:rsidRPr="009A3E9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Projekta izpildes ietekme uz pārvaldes funkcijām un institucionālo struktūru.</w:t>
            </w:r>
          </w:p>
          <w:p w:rsidR="00894C55" w:rsidRPr="009A3E9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A3E9F" w:rsidRDefault="009A3E9F" w:rsidP="00C93C16">
            <w:pPr>
              <w:spacing w:before="100" w:beforeAutospacing="1" w:after="100" w:afterAutospacing="1" w:line="293" w:lineRule="atLeast"/>
              <w:rPr>
                <w:rFonts w:ascii="Times New Roman" w:eastAsia="Times New Roman" w:hAnsi="Times New Roman" w:cs="Times New Roman"/>
                <w:sz w:val="24"/>
                <w:szCs w:val="24"/>
                <w:lang w:eastAsia="lv-LV"/>
              </w:rPr>
            </w:pPr>
            <w:r w:rsidRPr="009A3E9F">
              <w:rPr>
                <w:rFonts w:ascii="Times New Roman" w:hAnsi="Times New Roman" w:cs="Times New Roman"/>
                <w:color w:val="000000"/>
                <w:sz w:val="24"/>
                <w:szCs w:val="24"/>
              </w:rPr>
              <w:t>Nav ietekmes</w:t>
            </w:r>
          </w:p>
        </w:tc>
      </w:tr>
      <w:tr w:rsidR="00CA261E" w:rsidRPr="009A3E9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A3E9F" w:rsidRDefault="00894C55" w:rsidP="00894C55">
            <w:pPr>
              <w:spacing w:after="0" w:line="240" w:lineRule="auto"/>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A3E9F" w:rsidRDefault="00C93C16"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A3E9F">
              <w:rPr>
                <w:rFonts w:ascii="Times New Roman" w:eastAsia="Times New Roman" w:hAnsi="Times New Roman" w:cs="Times New Roman"/>
                <w:sz w:val="24"/>
                <w:szCs w:val="24"/>
                <w:lang w:eastAsia="lv-LV"/>
              </w:rPr>
              <w:t>Nav</w:t>
            </w:r>
          </w:p>
        </w:tc>
      </w:tr>
    </w:tbl>
    <w:p w:rsidR="00C25B49" w:rsidRPr="009A3E9F" w:rsidRDefault="00C25B49" w:rsidP="00894C55">
      <w:pPr>
        <w:spacing w:after="0" w:line="240" w:lineRule="auto"/>
        <w:rPr>
          <w:rFonts w:ascii="Times New Roman" w:hAnsi="Times New Roman" w:cs="Times New Roman"/>
          <w:sz w:val="24"/>
          <w:szCs w:val="24"/>
        </w:rPr>
      </w:pPr>
    </w:p>
    <w:p w:rsidR="00C93C16" w:rsidRPr="009A3E9F" w:rsidRDefault="00C93C16" w:rsidP="00C93C16">
      <w:pPr>
        <w:rPr>
          <w:rFonts w:ascii="Times New Roman" w:hAnsi="Times New Roman" w:cs="Times New Roman"/>
          <w:sz w:val="24"/>
          <w:szCs w:val="24"/>
        </w:rPr>
      </w:pPr>
      <w:r w:rsidRPr="009A3E9F">
        <w:rPr>
          <w:rFonts w:ascii="Times New Roman" w:hAnsi="Times New Roman" w:cs="Times New Roman"/>
          <w:sz w:val="24"/>
          <w:szCs w:val="24"/>
        </w:rPr>
        <w:t>  </w:t>
      </w:r>
      <w:r w:rsidRPr="009A3E9F">
        <w:rPr>
          <w:rFonts w:ascii="Times New Roman" w:hAnsi="Times New Roman" w:cs="Times New Roman"/>
          <w:i/>
          <w:sz w:val="24"/>
          <w:szCs w:val="24"/>
        </w:rPr>
        <w:t>Anotācijas III, IV un V sadaļa – projekts šīs jomas neskar.</w:t>
      </w:r>
    </w:p>
    <w:p w:rsidR="00C93C16" w:rsidRPr="009A3E9F" w:rsidRDefault="00C93C16" w:rsidP="00894C55">
      <w:pPr>
        <w:spacing w:after="0" w:line="240" w:lineRule="auto"/>
        <w:rPr>
          <w:rFonts w:ascii="Times New Roman" w:hAnsi="Times New Roman" w:cs="Times New Roman"/>
          <w:sz w:val="24"/>
          <w:szCs w:val="24"/>
        </w:rPr>
      </w:pPr>
    </w:p>
    <w:p w:rsidR="002B2847" w:rsidRPr="009A3E9F" w:rsidRDefault="002B2847" w:rsidP="002B2847">
      <w:pPr>
        <w:tabs>
          <w:tab w:val="left" w:pos="6237"/>
        </w:tabs>
        <w:spacing w:after="0" w:line="240" w:lineRule="auto"/>
        <w:rPr>
          <w:rFonts w:ascii="Times New Roman" w:hAnsi="Times New Roman" w:cs="Times New Roman"/>
          <w:sz w:val="24"/>
          <w:szCs w:val="24"/>
        </w:rPr>
      </w:pPr>
      <w:r w:rsidRPr="009A3E9F">
        <w:rPr>
          <w:rFonts w:ascii="Times New Roman" w:hAnsi="Times New Roman" w:cs="Times New Roman"/>
          <w:sz w:val="24"/>
          <w:szCs w:val="24"/>
        </w:rPr>
        <w:t xml:space="preserve">Vides aizsardzības un </w:t>
      </w:r>
    </w:p>
    <w:p w:rsidR="00894C55" w:rsidRPr="009A3E9F" w:rsidRDefault="002B2847" w:rsidP="002B2847">
      <w:pPr>
        <w:tabs>
          <w:tab w:val="left" w:pos="6237"/>
        </w:tabs>
        <w:spacing w:after="0" w:line="240" w:lineRule="auto"/>
        <w:rPr>
          <w:rFonts w:ascii="Times New Roman" w:hAnsi="Times New Roman" w:cs="Times New Roman"/>
          <w:sz w:val="24"/>
          <w:szCs w:val="24"/>
        </w:rPr>
      </w:pPr>
      <w:r w:rsidRPr="009A3E9F">
        <w:rPr>
          <w:rFonts w:ascii="Times New Roman" w:hAnsi="Times New Roman" w:cs="Times New Roman"/>
          <w:sz w:val="24"/>
          <w:szCs w:val="24"/>
        </w:rPr>
        <w:t>reģionālās attīstības</w:t>
      </w:r>
      <w:r w:rsidR="00894C55" w:rsidRPr="009A3E9F">
        <w:rPr>
          <w:rFonts w:ascii="Times New Roman" w:hAnsi="Times New Roman" w:cs="Times New Roman"/>
          <w:sz w:val="24"/>
          <w:szCs w:val="24"/>
        </w:rPr>
        <w:t xml:space="preserve"> ministrs</w:t>
      </w:r>
      <w:r w:rsidR="00894C55" w:rsidRPr="009A3E9F">
        <w:rPr>
          <w:rFonts w:ascii="Times New Roman" w:hAnsi="Times New Roman" w:cs="Times New Roman"/>
          <w:sz w:val="24"/>
          <w:szCs w:val="24"/>
        </w:rPr>
        <w:tab/>
      </w:r>
      <w:r w:rsidR="00AD0374" w:rsidRPr="009A3E9F">
        <w:rPr>
          <w:rFonts w:ascii="Times New Roman" w:hAnsi="Times New Roman" w:cs="Times New Roman"/>
          <w:sz w:val="24"/>
          <w:szCs w:val="24"/>
        </w:rPr>
        <w:t xml:space="preserve">Kaspars </w:t>
      </w:r>
      <w:r w:rsidRPr="009A3E9F">
        <w:rPr>
          <w:rFonts w:ascii="Times New Roman" w:hAnsi="Times New Roman" w:cs="Times New Roman"/>
          <w:sz w:val="24"/>
          <w:szCs w:val="24"/>
        </w:rPr>
        <w:t>Gerhards</w:t>
      </w:r>
    </w:p>
    <w:p w:rsidR="002B2847" w:rsidRPr="009A3E9F" w:rsidRDefault="002B2847" w:rsidP="002B2847">
      <w:pPr>
        <w:tabs>
          <w:tab w:val="left" w:pos="6237"/>
        </w:tabs>
        <w:spacing w:after="0" w:line="240" w:lineRule="auto"/>
        <w:rPr>
          <w:rFonts w:ascii="Times New Roman" w:hAnsi="Times New Roman" w:cs="Times New Roman"/>
          <w:sz w:val="24"/>
          <w:szCs w:val="24"/>
        </w:rPr>
      </w:pPr>
    </w:p>
    <w:p w:rsidR="00894C55" w:rsidRPr="009A3E9F" w:rsidRDefault="009A3E9F" w:rsidP="00894C55">
      <w:pPr>
        <w:tabs>
          <w:tab w:val="left" w:pos="6237"/>
        </w:tabs>
        <w:spacing w:after="0" w:line="240" w:lineRule="auto"/>
        <w:rPr>
          <w:rFonts w:ascii="Times New Roman" w:hAnsi="Times New Roman" w:cs="Times New Roman"/>
          <w:sz w:val="24"/>
          <w:szCs w:val="24"/>
        </w:rPr>
      </w:pPr>
      <w:r w:rsidRPr="009A3E9F">
        <w:rPr>
          <w:rFonts w:ascii="Times New Roman" w:hAnsi="Times New Roman" w:cs="Times New Roman"/>
          <w:sz w:val="24"/>
          <w:szCs w:val="24"/>
        </w:rPr>
        <w:t>Cudečka-Puriņa 67026461</w:t>
      </w:r>
    </w:p>
    <w:p w:rsidR="00894C55" w:rsidRPr="009A3E9F" w:rsidRDefault="00BC67DD" w:rsidP="00894C55">
      <w:pPr>
        <w:tabs>
          <w:tab w:val="left" w:pos="6237"/>
        </w:tabs>
        <w:spacing w:after="0" w:line="240" w:lineRule="auto"/>
        <w:rPr>
          <w:rFonts w:ascii="Times New Roman" w:hAnsi="Times New Roman" w:cs="Times New Roman"/>
          <w:sz w:val="24"/>
          <w:szCs w:val="24"/>
        </w:rPr>
      </w:pPr>
      <w:hyperlink r:id="rId7" w:history="1">
        <w:r w:rsidR="009A3E9F" w:rsidRPr="009A3E9F">
          <w:rPr>
            <w:rStyle w:val="Hyperlink"/>
            <w:rFonts w:ascii="Times New Roman" w:hAnsi="Times New Roman" w:cs="Times New Roman"/>
            <w:sz w:val="24"/>
            <w:szCs w:val="24"/>
          </w:rPr>
          <w:t>natalija.cudecka-purina@varam.gov.lv</w:t>
        </w:r>
      </w:hyperlink>
      <w:r w:rsidR="008E2FA1" w:rsidRPr="009A3E9F">
        <w:rPr>
          <w:rFonts w:ascii="Times New Roman" w:hAnsi="Times New Roman" w:cs="Times New Roman"/>
          <w:sz w:val="24"/>
          <w:szCs w:val="24"/>
        </w:rPr>
        <w:t xml:space="preserve"> </w:t>
      </w:r>
    </w:p>
    <w:sectPr w:rsidR="00894C55" w:rsidRPr="009A3E9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DD" w:rsidRDefault="00BC67DD" w:rsidP="00894C55">
      <w:pPr>
        <w:spacing w:after="0" w:line="240" w:lineRule="auto"/>
      </w:pPr>
      <w:r>
        <w:separator/>
      </w:r>
    </w:p>
  </w:endnote>
  <w:endnote w:type="continuationSeparator" w:id="0">
    <w:p w:rsidR="00BC67DD" w:rsidRDefault="00BC67D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E35832" w:rsidP="00E35832">
    <w:pPr>
      <w:pStyle w:val="naisc"/>
      <w:spacing w:before="0" w:after="0"/>
      <w:jc w:val="both"/>
      <w:rPr>
        <w:sz w:val="20"/>
        <w:szCs w:val="20"/>
      </w:rPr>
    </w:pPr>
    <w:r>
      <w:rPr>
        <w:sz w:val="20"/>
        <w:szCs w:val="20"/>
      </w:rPr>
      <w:t>VARAMAnot</w:t>
    </w:r>
    <w:r w:rsidRPr="00EF56B3">
      <w:rPr>
        <w:sz w:val="20"/>
        <w:szCs w:val="20"/>
      </w:rPr>
      <w:t>_</w:t>
    </w:r>
    <w:r w:rsidR="007D2EA1">
      <w:rPr>
        <w:sz w:val="20"/>
        <w:szCs w:val="20"/>
      </w:rPr>
      <w:t>26062017</w:t>
    </w:r>
    <w:r>
      <w:rPr>
        <w:sz w:val="20"/>
        <w:szCs w:val="20"/>
      </w:rPr>
      <w:t>_</w:t>
    </w:r>
    <w:r w:rsidR="007D2EA1">
      <w:rPr>
        <w:sz w:val="20"/>
        <w:szCs w:val="20"/>
      </w:rPr>
      <w:t>Jurmala</w:t>
    </w:r>
    <w:r>
      <w:rPr>
        <w:sz w:val="20"/>
        <w:szCs w:val="20"/>
      </w:rPr>
      <w:t xml:space="preserve">; </w:t>
    </w:r>
    <w:r w:rsidR="007D2EA1" w:rsidRPr="00104289">
      <w:rPr>
        <w:bCs/>
      </w:rPr>
      <w:t xml:space="preserve">Ministru kabineta rīkojuma projekta </w:t>
    </w:r>
    <w:r w:rsidR="007D2EA1" w:rsidRPr="00104289">
      <w:t xml:space="preserve">„Par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007D2EA1" w:rsidRPr="00104289">
        <w:t>ziņojums</w:t>
      </w:r>
    </w:smartTag>
    <w:r w:rsidR="007D2EA1" w:rsidRPr="00104289">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E35832" w:rsidRDefault="00E35832" w:rsidP="00E35832">
    <w:pPr>
      <w:pStyle w:val="naisc"/>
      <w:spacing w:before="0" w:after="0"/>
      <w:jc w:val="both"/>
      <w:rPr>
        <w:sz w:val="20"/>
        <w:szCs w:val="20"/>
      </w:rPr>
    </w:pPr>
    <w:r>
      <w:rPr>
        <w:sz w:val="20"/>
        <w:szCs w:val="20"/>
      </w:rPr>
      <w:t>VARAMAnot</w:t>
    </w:r>
    <w:r w:rsidRPr="00EF56B3">
      <w:rPr>
        <w:sz w:val="20"/>
        <w:szCs w:val="20"/>
      </w:rPr>
      <w:t>_</w:t>
    </w:r>
    <w:r w:rsidR="00CA7136">
      <w:rPr>
        <w:sz w:val="20"/>
        <w:szCs w:val="20"/>
      </w:rPr>
      <w:t>2405</w:t>
    </w:r>
    <w:r>
      <w:rPr>
        <w:sz w:val="20"/>
        <w:szCs w:val="20"/>
      </w:rPr>
      <w:t xml:space="preserve">17_poligoni; </w:t>
    </w:r>
    <w:r w:rsidRPr="001554FE">
      <w:rPr>
        <w:bCs/>
        <w:sz w:val="20"/>
        <w:szCs w:val="20"/>
      </w:rPr>
      <w:t xml:space="preserve">Ministru kabineta noteikumu projekta „Grozījumi Ministru kabineta 2011. gada 27. decembra noteikumos Nr. 1032 „Atkritumu poligonu ierīkošanas, atkritumu poligonu un izgāztuvju apsaimniekošanas, slēgšanas un rekultivācijas noteikumi”” </w:t>
    </w:r>
    <w:r w:rsidRPr="001554FE">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DD" w:rsidRDefault="00BC67DD" w:rsidP="00894C55">
      <w:pPr>
        <w:spacing w:after="0" w:line="240" w:lineRule="auto"/>
      </w:pPr>
      <w:r>
        <w:separator/>
      </w:r>
    </w:p>
  </w:footnote>
  <w:footnote w:type="continuationSeparator" w:id="0">
    <w:p w:rsidR="00BC67DD" w:rsidRDefault="00BC67D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761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B6"/>
    <w:rsid w:val="000A7DC9"/>
    <w:rsid w:val="001A3E35"/>
    <w:rsid w:val="001D1B85"/>
    <w:rsid w:val="001E7E4F"/>
    <w:rsid w:val="00234766"/>
    <w:rsid w:val="00243426"/>
    <w:rsid w:val="00255869"/>
    <w:rsid w:val="0029518E"/>
    <w:rsid w:val="00295CC2"/>
    <w:rsid w:val="002B2847"/>
    <w:rsid w:val="002E1C05"/>
    <w:rsid w:val="002F1DD0"/>
    <w:rsid w:val="00343B3B"/>
    <w:rsid w:val="00396E6E"/>
    <w:rsid w:val="003B0BF9"/>
    <w:rsid w:val="003C24DF"/>
    <w:rsid w:val="003C2D89"/>
    <w:rsid w:val="003D03A2"/>
    <w:rsid w:val="003E0791"/>
    <w:rsid w:val="003F28AC"/>
    <w:rsid w:val="003F51F8"/>
    <w:rsid w:val="00413665"/>
    <w:rsid w:val="004379F2"/>
    <w:rsid w:val="004454FE"/>
    <w:rsid w:val="00471F27"/>
    <w:rsid w:val="00476887"/>
    <w:rsid w:val="004D53BB"/>
    <w:rsid w:val="0050178F"/>
    <w:rsid w:val="00505739"/>
    <w:rsid w:val="005308A9"/>
    <w:rsid w:val="00595560"/>
    <w:rsid w:val="005A3AE3"/>
    <w:rsid w:val="005C237C"/>
    <w:rsid w:val="005D5C30"/>
    <w:rsid w:val="005F3A9D"/>
    <w:rsid w:val="006731A8"/>
    <w:rsid w:val="006A124A"/>
    <w:rsid w:val="006A327A"/>
    <w:rsid w:val="006C3C8E"/>
    <w:rsid w:val="006D6DE6"/>
    <w:rsid w:val="006E1081"/>
    <w:rsid w:val="006E14FC"/>
    <w:rsid w:val="007104AB"/>
    <w:rsid w:val="00720585"/>
    <w:rsid w:val="00755418"/>
    <w:rsid w:val="00755FF5"/>
    <w:rsid w:val="00773AF6"/>
    <w:rsid w:val="00787E51"/>
    <w:rsid w:val="00795F71"/>
    <w:rsid w:val="007C206E"/>
    <w:rsid w:val="007D2EA1"/>
    <w:rsid w:val="007E73AB"/>
    <w:rsid w:val="007F603C"/>
    <w:rsid w:val="00802C0C"/>
    <w:rsid w:val="00812A54"/>
    <w:rsid w:val="00816C11"/>
    <w:rsid w:val="00823939"/>
    <w:rsid w:val="008353F7"/>
    <w:rsid w:val="00875551"/>
    <w:rsid w:val="00894C55"/>
    <w:rsid w:val="008A6DFE"/>
    <w:rsid w:val="008B52E3"/>
    <w:rsid w:val="008E2FA1"/>
    <w:rsid w:val="00925350"/>
    <w:rsid w:val="00931F96"/>
    <w:rsid w:val="00947E0F"/>
    <w:rsid w:val="0095794C"/>
    <w:rsid w:val="009A2654"/>
    <w:rsid w:val="009A3E9F"/>
    <w:rsid w:val="00A6073E"/>
    <w:rsid w:val="00A77C19"/>
    <w:rsid w:val="00AB06F5"/>
    <w:rsid w:val="00AC4DB1"/>
    <w:rsid w:val="00AD0374"/>
    <w:rsid w:val="00AE1E74"/>
    <w:rsid w:val="00AE5567"/>
    <w:rsid w:val="00AF4FDD"/>
    <w:rsid w:val="00B01441"/>
    <w:rsid w:val="00B16480"/>
    <w:rsid w:val="00B2165C"/>
    <w:rsid w:val="00B72C00"/>
    <w:rsid w:val="00B87D5D"/>
    <w:rsid w:val="00BA20AA"/>
    <w:rsid w:val="00BC67DD"/>
    <w:rsid w:val="00BD13BF"/>
    <w:rsid w:val="00BD4425"/>
    <w:rsid w:val="00BE54A5"/>
    <w:rsid w:val="00BF7FB0"/>
    <w:rsid w:val="00C25B49"/>
    <w:rsid w:val="00C93C16"/>
    <w:rsid w:val="00CA261E"/>
    <w:rsid w:val="00CA7136"/>
    <w:rsid w:val="00CC392F"/>
    <w:rsid w:val="00CC65E2"/>
    <w:rsid w:val="00CD2BFF"/>
    <w:rsid w:val="00CE5657"/>
    <w:rsid w:val="00CF0F60"/>
    <w:rsid w:val="00D133F8"/>
    <w:rsid w:val="00D14A3E"/>
    <w:rsid w:val="00D167F2"/>
    <w:rsid w:val="00D350F8"/>
    <w:rsid w:val="00D41FE6"/>
    <w:rsid w:val="00DB4946"/>
    <w:rsid w:val="00DC2582"/>
    <w:rsid w:val="00E17064"/>
    <w:rsid w:val="00E303AD"/>
    <w:rsid w:val="00E35832"/>
    <w:rsid w:val="00E36733"/>
    <w:rsid w:val="00E3716B"/>
    <w:rsid w:val="00E846E8"/>
    <w:rsid w:val="00E8749E"/>
    <w:rsid w:val="00E9013C"/>
    <w:rsid w:val="00E90C01"/>
    <w:rsid w:val="00EA486E"/>
    <w:rsid w:val="00EA59D5"/>
    <w:rsid w:val="00EF7618"/>
    <w:rsid w:val="00F57B0C"/>
    <w:rsid w:val="00F6515B"/>
    <w:rsid w:val="00FA2E32"/>
    <w:rsid w:val="00FA3847"/>
    <w:rsid w:val="00FB2ACD"/>
    <w:rsid w:val="00FC26E7"/>
    <w:rsid w:val="00FF4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6BA98E68-E9BD-4DF9-A820-2BC6335A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CA261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413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C20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D2EA1"/>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D2EA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D2EA1"/>
    <w:rPr>
      <w:sz w:val="16"/>
      <w:szCs w:val="16"/>
    </w:rPr>
  </w:style>
  <w:style w:type="paragraph" w:styleId="ListParagraph">
    <w:name w:val="List Paragraph"/>
    <w:basedOn w:val="Normal"/>
    <w:uiPriority w:val="34"/>
    <w:qFormat/>
    <w:rsid w:val="007D2EA1"/>
    <w:pPr>
      <w:spacing w:line="256" w:lineRule="auto"/>
      <w:ind w:left="720"/>
      <w:contextualSpacing/>
    </w:pPr>
  </w:style>
  <w:style w:type="paragraph" w:customStyle="1" w:styleId="naisnod">
    <w:name w:val="naisnod"/>
    <w:basedOn w:val="Normal"/>
    <w:rsid w:val="007D2EA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9A3E9F"/>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0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26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4301-E558-4C8E-BEE8-93E23BCF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3573</Words>
  <Characters>2037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Guna Bērziņa</cp:lastModifiedBy>
  <cp:revision>3</cp:revision>
  <cp:lastPrinted>2017-06-26T13:12:00Z</cp:lastPrinted>
  <dcterms:created xsi:type="dcterms:W3CDTF">2017-06-26T13:41:00Z</dcterms:created>
  <dcterms:modified xsi:type="dcterms:W3CDTF">2017-06-26T13:41:00Z</dcterms:modified>
</cp:coreProperties>
</file>