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580002" w:rsidRPr="005817EF" w:rsidP="00580002" w14:paraId="77E91275" w14:textId="77777777">
      <w:pPr>
        <w:jc w:val="center"/>
        <w:rPr>
          <w:b/>
          <w:color w:val="000000" w:themeColor="text1"/>
          <w:sz w:val="28"/>
          <w:szCs w:val="28"/>
        </w:rPr>
      </w:pPr>
      <w:r w:rsidRPr="005817EF">
        <w:rPr>
          <w:b/>
          <w:color w:val="000000" w:themeColor="text1"/>
          <w:sz w:val="28"/>
          <w:szCs w:val="28"/>
        </w:rPr>
        <w:t>Ministru kabineta noteikumu projekta</w:t>
      </w:r>
    </w:p>
    <w:p w:rsidR="00580002" w:rsidRPr="005817EF" w:rsidP="00277BC4" w14:paraId="4376036C" w14:textId="57ED0964">
      <w:pPr>
        <w:jc w:val="center"/>
        <w:rPr>
          <w:b/>
          <w:color w:val="000000" w:themeColor="text1"/>
          <w:sz w:val="28"/>
          <w:szCs w:val="28"/>
        </w:rPr>
      </w:pPr>
      <w:r w:rsidRPr="005817EF">
        <w:rPr>
          <w:b/>
          <w:color w:val="000000" w:themeColor="text1"/>
          <w:sz w:val="28"/>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817EF">
        <w:rPr>
          <w:b/>
          <w:color w:val="000000" w:themeColor="text1"/>
          <w:sz w:val="28"/>
          <w:szCs w:val="28"/>
        </w:rPr>
        <w:t xml:space="preserve"> sākotnējās ietekmes novērtējuma ziņojums (anotācija)</w:t>
      </w:r>
    </w:p>
    <w:p w:rsidR="003908DB" w:rsidRPr="005817EF" w:rsidP="00580002" w14:paraId="216E15E3" w14:textId="77777777">
      <w:pPr>
        <w:jc w:val="center"/>
        <w:rPr>
          <w:b/>
          <w:color w:val="000000" w:themeColor="text1"/>
          <w:sz w:val="28"/>
          <w:szCs w:val="28"/>
          <w:highlight w:val="yellow"/>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1741"/>
        <w:gridCol w:w="6970"/>
      </w:tblGrid>
      <w:tr w14:paraId="1ABE81AA" w14:textId="77777777" w:rsidTr="00DB2BCB">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5204A9" w:rsidP="006C34C8" w14:paraId="174A5C2A" w14:textId="77777777">
            <w:pPr>
              <w:pStyle w:val="ListParagraph"/>
              <w:tabs>
                <w:tab w:val="left" w:pos="2268"/>
                <w:tab w:val="left" w:pos="2410"/>
              </w:tabs>
              <w:ind w:left="1080"/>
              <w:jc w:val="center"/>
              <w:rPr>
                <w:b/>
                <w:sz w:val="24"/>
                <w:szCs w:val="24"/>
                <w:highlight w:val="yellow"/>
                <w:lang w:eastAsia="en-US"/>
              </w:rPr>
            </w:pPr>
            <w:r w:rsidRPr="005204A9">
              <w:rPr>
                <w:b/>
                <w:bCs/>
                <w:sz w:val="24"/>
                <w:szCs w:val="24"/>
              </w:rPr>
              <w:t>I. Tiesību akta projekta izstrādes nepieciešamība</w:t>
            </w:r>
          </w:p>
        </w:tc>
      </w:tr>
      <w:tr w14:paraId="3987F3D2" w14:textId="77777777" w:rsidTr="00DB2BCB">
        <w:tblPrEx>
          <w:tblW w:w="9351" w:type="dxa"/>
          <w:tblLayout w:type="fixed"/>
          <w:tblLook w:val="04A0"/>
        </w:tblPrEx>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04A9" w:rsidP="006C34C8" w14:paraId="19811866" w14:textId="77777777">
            <w:pPr>
              <w:jc w:val="center"/>
              <w:rPr>
                <w:lang w:eastAsia="en-US"/>
              </w:rPr>
            </w:pPr>
            <w:r w:rsidRPr="005204A9">
              <w:t>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FA7F41" w:rsidRPr="005204A9" w:rsidP="006C34C8" w14:paraId="0891B908" w14:textId="77777777">
            <w:pPr>
              <w:tabs>
                <w:tab w:val="left" w:pos="1904"/>
              </w:tabs>
              <w:rPr>
                <w:lang w:eastAsia="en-US"/>
              </w:rPr>
            </w:pPr>
            <w:r w:rsidRPr="005204A9">
              <w:t>Pamatojums</w:t>
            </w:r>
          </w:p>
          <w:p w:rsidR="00FA7F41" w:rsidRPr="005204A9" w:rsidP="00FA7F41" w14:paraId="59740F51" w14:textId="77777777">
            <w:pPr>
              <w:rPr>
                <w:lang w:eastAsia="en-US"/>
              </w:rPr>
            </w:pPr>
          </w:p>
          <w:p w:rsidR="00FA7F41" w:rsidRPr="005204A9" w:rsidP="00FA7F41" w14:paraId="547C8518" w14:textId="77777777">
            <w:pPr>
              <w:rPr>
                <w:lang w:eastAsia="en-US"/>
              </w:rPr>
            </w:pPr>
          </w:p>
          <w:p w:rsidR="00FA7F41" w:rsidRPr="005204A9" w:rsidP="00FA7F41" w14:paraId="480ACE6C" w14:textId="77777777">
            <w:pPr>
              <w:rPr>
                <w:lang w:eastAsia="en-US"/>
              </w:rPr>
            </w:pPr>
          </w:p>
          <w:p w:rsidR="00FA7F41" w:rsidRPr="005204A9" w:rsidP="00FA7F41" w14:paraId="619DE3DE" w14:textId="77777777">
            <w:pPr>
              <w:rPr>
                <w:lang w:eastAsia="en-US"/>
              </w:rPr>
            </w:pPr>
          </w:p>
          <w:p w:rsidR="00FA7F41" w:rsidRPr="005204A9" w:rsidP="00FA7F41" w14:paraId="013BA54D" w14:textId="77777777">
            <w:pPr>
              <w:rPr>
                <w:lang w:eastAsia="en-US"/>
              </w:rPr>
            </w:pPr>
          </w:p>
          <w:p w:rsidR="00FA7F41" w:rsidRPr="005204A9" w:rsidP="00FA7F41" w14:paraId="684132CB" w14:textId="77777777">
            <w:pPr>
              <w:rPr>
                <w:lang w:eastAsia="en-US"/>
              </w:rPr>
            </w:pPr>
          </w:p>
          <w:p w:rsidR="00C61A59" w:rsidRPr="005204A9" w:rsidP="00FA7F41" w14:paraId="28467BF4" w14:textId="77777777">
            <w:pPr>
              <w:ind w:firstLine="720"/>
              <w:rPr>
                <w:lang w:eastAsia="en-US"/>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A59" w:rsidRPr="005204A9" w:rsidP="005204A9" w14:paraId="330DF54A" w14:textId="1BC9ECB5">
            <w:pPr>
              <w:pStyle w:val="ListParagraph"/>
              <w:spacing w:after="120"/>
              <w:ind w:left="0"/>
              <w:jc w:val="both"/>
            </w:pPr>
            <w:r w:rsidRPr="005204A9">
              <w:rPr>
                <w:rFonts w:eastAsia="Calibri"/>
                <w:bCs/>
                <w:sz w:val="24"/>
                <w:szCs w:val="24"/>
              </w:rPr>
              <w:t xml:space="preserve">Ministru kabineta (turpmāk – MK) noteikumu projekts </w:t>
            </w:r>
            <w:r w:rsidRPr="005204A9" w:rsidR="005817EF">
              <w:rPr>
                <w:rFonts w:eastAsia="Calibri"/>
                <w:bCs/>
                <w:sz w:val="24"/>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204A9">
              <w:rPr>
                <w:rFonts w:eastAsia="Calibri"/>
                <w:bCs/>
                <w:sz w:val="24"/>
                <w:szCs w:val="24"/>
              </w:rPr>
              <w:t xml:space="preserve"> (turpmāk – MK noteikumu projekts) izstrādāts atbilstoši Eiropas Savienības (turpmāk – ES) struktūrfondu un Kohēzijas fonda (turpmāk - ES fondi) 2014.–2020. gada plānošanas perioda vadības likuma 20. panta 13. punktam</w:t>
            </w:r>
            <w:r w:rsidRPr="005204A9" w:rsidR="005817EF">
              <w:rPr>
                <w:rFonts w:eastAsia="Calibri"/>
                <w:bCs/>
                <w:sz w:val="24"/>
                <w:szCs w:val="24"/>
              </w:rPr>
              <w:t>.</w:t>
            </w:r>
          </w:p>
        </w:tc>
      </w:tr>
      <w:tr w14:paraId="217C9967" w14:textId="77777777" w:rsidTr="00DB2BCB">
        <w:tblPrEx>
          <w:tblW w:w="9351" w:type="dxa"/>
          <w:tblLayout w:type="fixed"/>
          <w:tblLook w:val="04A0"/>
        </w:tblPrEx>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04A9" w:rsidP="006C34C8" w14:paraId="2FA19442" w14:textId="77777777">
            <w:pPr>
              <w:jc w:val="center"/>
              <w:rPr>
                <w:lang w:eastAsia="en-US"/>
              </w:rPr>
            </w:pPr>
            <w:r w:rsidRPr="005204A9">
              <w:t>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C61A59" w:rsidRPr="005204A9" w:rsidP="006C34C8" w14:paraId="64C18110" w14:textId="77777777">
            <w:pPr>
              <w:rPr>
                <w:lang w:eastAsia="en-US"/>
              </w:rPr>
            </w:pPr>
            <w:r w:rsidRPr="005204A9">
              <w:t>Pašreizējā situācija un problēmas, kuru risināšanai tiesību akta projekts izstrādāts, tiesiskā regulējuma mērķis un būtība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rsidR="00F72A4F" w:rsidRPr="005204A9" w:rsidP="006134B9" w14:paraId="6E8141E3" w14:textId="77777777">
            <w:pPr>
              <w:spacing w:after="120"/>
              <w:jc w:val="both"/>
              <w:rPr>
                <w:bCs/>
                <w:u w:val="single"/>
              </w:rPr>
            </w:pPr>
            <w:r w:rsidRPr="005204A9">
              <w:rPr>
                <w:bCs/>
                <w:u w:val="single"/>
              </w:rPr>
              <w:t xml:space="preserve">Pašreizējā situācija </w:t>
            </w:r>
          </w:p>
          <w:p w:rsidR="005817EF" w:rsidRPr="00100494" w:rsidP="00185D95" w14:paraId="7CD6490A" w14:textId="5B49B6C4">
            <w:pPr>
              <w:spacing w:after="120"/>
              <w:jc w:val="both"/>
            </w:pPr>
            <w:r w:rsidRPr="005204A9">
              <w:t xml:space="preserve">Izstrādājot ES fondu 2014.–2020. gada plānošanas perioda darbības </w:t>
            </w:r>
            <w:r w:rsidRPr="00100494">
              <w:t xml:space="preserve">programmu “Izaugsme un nodarbinātība” (turpmāk – DP), jau tika uzsvērts, ka Latvijai būs problemātiski sasniegt Padomes 1999.gada 26.aprīļa Direktīvā 1999/31/EK </w:t>
            </w:r>
            <w:r w:rsidRPr="00100494">
              <w:rPr>
                <w:i/>
              </w:rPr>
              <w:t>par atkritumu poligoniem</w:t>
            </w:r>
            <w:r w:rsidRPr="00100494">
              <w:t xml:space="preserve"> </w:t>
            </w:r>
            <w:r w:rsidRPr="00100494" w:rsidR="00F946D3">
              <w:t>(turp</w:t>
            </w:r>
            <w:r w:rsidRPr="00100494" w:rsidR="0025246C">
              <w:t>m</w:t>
            </w:r>
            <w:r w:rsidRPr="00100494" w:rsidR="00F946D3">
              <w:t xml:space="preserve">āk – Direktīva) </w:t>
            </w:r>
            <w:r w:rsidRPr="00100494">
              <w:t>noteikto mērķi – līdz 35% samazināt bioloģiski noārdāmo atkritumu</w:t>
            </w:r>
            <w:r w:rsidRPr="00100494" w:rsidR="00D34132">
              <w:t xml:space="preserve"> (turpmāk – BNA)</w:t>
            </w:r>
            <w:r w:rsidRPr="00100494">
              <w:t xml:space="preserve"> daudzumu apglabājamos atkritumos</w:t>
            </w:r>
            <w:r w:rsidRPr="00100494" w:rsidR="001572DA">
              <w:t xml:space="preserve"> līdz 2020.gadam</w:t>
            </w:r>
            <w:r>
              <w:rPr>
                <w:rStyle w:val="FootnoteReference"/>
              </w:rPr>
              <w:footnoteReference w:id="3"/>
            </w:r>
            <w:r w:rsidRPr="00100494">
              <w:t>.</w:t>
            </w:r>
            <w:r w:rsidRPr="00100494" w:rsidR="00D34132">
              <w:t xml:space="preserve"> </w:t>
            </w:r>
          </w:p>
          <w:p w:rsidR="00593143" w:rsidRPr="00100494" w:rsidP="00185D95" w14:paraId="745C5E79" w14:textId="77777777">
            <w:pPr>
              <w:spacing w:after="120"/>
              <w:jc w:val="both"/>
            </w:pPr>
            <w:r w:rsidRPr="00100494">
              <w:t xml:space="preserve">Aptuveni 50% no </w:t>
            </w:r>
            <w:r w:rsidRPr="00100494" w:rsidR="001572DA">
              <w:t xml:space="preserve">sadzīves atkritumu apglabāšanas poligonos </w:t>
            </w:r>
            <w:r w:rsidRPr="00100494">
              <w:t>apglabāt</w:t>
            </w:r>
            <w:r w:rsidRPr="00100494" w:rsidR="001572DA">
              <w:t>ā atkritumu daudzuma ir tie</w:t>
            </w:r>
            <w:r w:rsidRPr="00100494" w:rsidR="00B7270E">
              <w:t xml:space="preserve">ši BNA, kas vidēji gadā ir </w:t>
            </w:r>
            <w:r w:rsidRPr="00100494" w:rsidR="000F099C">
              <w:t xml:space="preserve">apmēram </w:t>
            </w:r>
            <w:r w:rsidRPr="00100494" w:rsidR="00B7270E">
              <w:t xml:space="preserve">330 000 tonnu. </w:t>
            </w:r>
            <w:r w:rsidRPr="00100494" w:rsidR="00A5082B">
              <w:t>Sadzīves atkritumu apglabāšana ir noteikta kā sabiedriskais pakalpojums</w:t>
            </w:r>
            <w:r w:rsidRPr="00100494" w:rsidR="00185D95">
              <w:t xml:space="preserve"> jeb vispārējas tautsaimnieciskas nozīmes pakalpojums</w:t>
            </w:r>
            <w:r w:rsidRPr="00100494" w:rsidR="00A5082B">
              <w:t>, kur attiecīgi poligonu apsaimniekotāji ir sabiedriskā pakalpojuma sniedzēji.</w:t>
            </w:r>
            <w:r w:rsidRPr="00100494" w:rsidR="00185D95">
              <w:t xml:space="preserve"> </w:t>
            </w:r>
            <w:r w:rsidRPr="00100494" w:rsidR="00997CB7">
              <w:t xml:space="preserve"> </w:t>
            </w:r>
            <w:r w:rsidRPr="00100494" w:rsidR="005E06B6">
              <w:t xml:space="preserve"> </w:t>
            </w:r>
          </w:p>
          <w:p w:rsidR="005D2011" w:rsidRPr="00100494" w:rsidP="00185D95" w14:paraId="7273BC2C" w14:textId="16A13DD2">
            <w:pPr>
              <w:spacing w:after="120"/>
              <w:jc w:val="both"/>
            </w:pPr>
            <w:r w:rsidRPr="00100494">
              <w:t>Atkritumu apsaimniekošanas likuma 22.panta pirmā daļā noteikts, ka to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 Pašvaldība slēdz līgumu ar šā poligona apsaimniekotāju par tās administratīvajā teritorijā savākto sadzīves atkritumu apglabāšanu. Tādejādi jau Atkritumu apsaimniekošanas likums paredz, ka atkritumu poligona apsaimniekotājam attiecīgajā atkritumu apsaimniekošanas reģionā tiek piešķirtas ekskluzīvas tiesības apglabāt attiecīgajā atkritumu apsaimniekošanas reģionā radītos atkritumus.</w:t>
            </w:r>
          </w:p>
          <w:p w:rsidR="00185D95" w:rsidRPr="00100494" w:rsidP="00185D95" w14:paraId="526FD971" w14:textId="54A1DA4F">
            <w:pPr>
              <w:spacing w:after="120"/>
              <w:jc w:val="both"/>
              <w:rPr>
                <w:bCs/>
              </w:rPr>
            </w:pPr>
            <w:r w:rsidRPr="00100494">
              <w:t>Lai arī tieši</w:t>
            </w:r>
            <w:r w:rsidRPr="00100494" w:rsidR="00A87E09">
              <w:t xml:space="preserve"> sadzīves</w:t>
            </w:r>
            <w:r w:rsidRPr="00100494">
              <w:t xml:space="preserve"> </w:t>
            </w:r>
            <w:r w:rsidRPr="00100494" w:rsidR="00593143">
              <w:t xml:space="preserve">atkritumu </w:t>
            </w:r>
            <w:r w:rsidRPr="00100494">
              <w:t xml:space="preserve">apglabāšana ir noteikta kā sabiedriskais pakalpojums, šī darbība sevī ietver ne tikai atkritumu apglabāšanu, bet arī pienākumu samazināt apglabājamo BNA daudzumu. </w:t>
            </w:r>
            <w:r w:rsidRPr="00100494">
              <w:rPr>
                <w:bCs/>
              </w:rPr>
              <w:t xml:space="preserve"> Līdz ar MK 2011.gada 27.decembra noteikum</w:t>
            </w:r>
            <w:r w:rsidRPr="00100494" w:rsidR="00CC695D">
              <w:rPr>
                <w:bCs/>
              </w:rPr>
              <w:t>u</w:t>
            </w:r>
            <w:r w:rsidRPr="00100494">
              <w:rPr>
                <w:bCs/>
              </w:rPr>
              <w:t xml:space="preserve"> Nr.1032 “Atkritumu poligonu </w:t>
            </w:r>
            <w:r w:rsidRPr="00100494">
              <w:rPr>
                <w:bCs/>
              </w:rPr>
              <w:t xml:space="preserve">ierīkošanas, atkritumu poligonu un izgāztuvju apsaimniekošanas, slēgšanas un rekultivācijas noteikumi” </w:t>
            </w:r>
            <w:r w:rsidRPr="00100494" w:rsidR="00CC695D">
              <w:rPr>
                <w:bCs/>
              </w:rPr>
              <w:t>spēkā stāšanos</w:t>
            </w:r>
            <w:r w:rsidRPr="00100494" w:rsidR="005D2011">
              <w:rPr>
                <w:bCs/>
              </w:rPr>
              <w:t xml:space="preserve"> ir</w:t>
            </w:r>
            <w:r w:rsidRPr="00100494" w:rsidR="00CC695D">
              <w:rPr>
                <w:bCs/>
              </w:rPr>
              <w:t xml:space="preserve"> </w:t>
            </w:r>
            <w:r w:rsidRPr="00100494">
              <w:rPr>
                <w:bCs/>
              </w:rPr>
              <w:t>pārņemtas Direktīvas prasības par BNA daudzuma samazinājumu. Tādējādi šis pienākums ir piesaistīts tieši sadzīves atkritumu apglabāšanas poligonu darbībai.</w:t>
            </w:r>
          </w:p>
          <w:p w:rsidR="005D2011" w:rsidRPr="00100494" w:rsidP="005D2011" w14:paraId="0178D53D" w14:textId="77777777">
            <w:pPr>
              <w:spacing w:after="120"/>
              <w:jc w:val="both"/>
            </w:pPr>
            <w:r w:rsidRPr="00100494">
              <w:rPr>
                <w:bCs/>
              </w:rPr>
              <w:t>Atkritumu apsaimniekošanas likumā ir noteikts, ka tarifā par atkritumu apglabāšanu iekļauj ne tikai izmaksas, kas saistītas ar atkritumu sagatavošanu apglabāšanai (to nodrošina atkritumu mehāniskās šķirošanas līnijas), kas arī ir Direktīvas obligāta prasība, bet arī izmaksas, kas saistītas ar BNA apglabājamā daudzuma samazināšanu, tai skaitā BNA reģenerāciju (tai skaitā pārstrādi).</w:t>
            </w:r>
          </w:p>
          <w:p w:rsidR="00645FB2" w:rsidRPr="00100494" w:rsidP="005D2011" w14:paraId="18DA7E01" w14:textId="3F655330">
            <w:pPr>
              <w:spacing w:after="120"/>
              <w:jc w:val="both"/>
            </w:pPr>
            <w:r w:rsidRPr="00100494">
              <w:rPr>
                <w:bCs/>
              </w:rPr>
              <w:t>S</w:t>
            </w:r>
            <w:r w:rsidRPr="00100494">
              <w:rPr>
                <w:bCs/>
              </w:rPr>
              <w:t xml:space="preserve">askaņā ar </w:t>
            </w:r>
            <w:r w:rsidRPr="00100494" w:rsidR="009803A7">
              <w:rPr>
                <w:bCs/>
              </w:rPr>
              <w:t>atskaiti par vispārējas tautsaimnieciskas nozīmes pakalpojumiem Latvijā 2012. – 2014.gadā</w:t>
            </w:r>
            <w:r>
              <w:rPr>
                <w:rStyle w:val="FootnoteReference"/>
                <w:bCs/>
              </w:rPr>
              <w:footnoteReference w:id="4"/>
            </w:r>
            <w:r w:rsidRPr="00100494" w:rsidR="009803A7">
              <w:rPr>
                <w:bCs/>
              </w:rPr>
              <w:t xml:space="preserve"> sadzīves atkritumu apsaimniekošanas nozarē kā sabiedriskais pakalpojums tiek nodrošināta sadzīves atkritumu apglabāšana atkritumu poligonos (t.sk. atkritumu apstrāde un sagatavo</w:t>
            </w:r>
            <w:r w:rsidRPr="00100494" w:rsidR="006963DD">
              <w:rPr>
                <w:bCs/>
              </w:rPr>
              <w:t>šana</w:t>
            </w:r>
            <w:r w:rsidRPr="00100494" w:rsidR="009803A7">
              <w:rPr>
                <w:bCs/>
              </w:rPr>
              <w:t xml:space="preserve"> apglabāšanai, pārstrāde, biogāzes iegūšana u.c.).</w:t>
            </w:r>
            <w:r w:rsidRPr="00100494">
              <w:rPr>
                <w:bCs/>
              </w:rPr>
              <w:t xml:space="preserve">  Par sabiedriskā pakalpojuma saturu liecina arī tarifs par atkritumu apglabāšanu poligonos.  Sabiedrisko pakalpojumu regulēšanas komisijas padomes lēmums Nr.1/5 Rīgā 2017.gada 16.februārī (prot. Nr.7, 6.p.) “Sadzīves atkritumu apglabāšanas pakalpojuma tarifa aprēķināšanas metodika” 10. un 30.puktā, kā arī 1.pieliumā noteiktais liecina, ka  sabiedriskā </w:t>
            </w:r>
            <w:r w:rsidRPr="00100494" w:rsidR="00100494">
              <w:rPr>
                <w:bCs/>
              </w:rPr>
              <w:t>pakalpojumā</w:t>
            </w:r>
            <w:r w:rsidRPr="00100494">
              <w:rPr>
                <w:bCs/>
              </w:rPr>
              <w:t xml:space="preserve"> un tā tarifā iekļauj atkritumu bioloģiskās pārstrādes  izmaksas (t.sk., aerobo pārstrādi jeb kompostēšanu, </w:t>
            </w:r>
            <w:r w:rsidRPr="00100494" w:rsidR="00100494">
              <w:rPr>
                <w:bCs/>
              </w:rPr>
              <w:t>anaerobo</w:t>
            </w:r>
            <w:r w:rsidRPr="00100494">
              <w:rPr>
                <w:bCs/>
              </w:rPr>
              <w:t xml:space="preserve"> pārstrādi jeb transformēšana biogāzē, u.tml.)</w:t>
            </w:r>
            <w:r w:rsidRPr="00100494">
              <w:rPr>
                <w:rFonts w:ascii="Arial" w:hAnsi="Arial" w:cs="Arial"/>
                <w:color w:val="414142"/>
                <w:sz w:val="20"/>
                <w:szCs w:val="20"/>
                <w:shd w:val="clear" w:color="auto" w:fill="FFFFFF"/>
              </w:rPr>
              <w:t xml:space="preserve"> </w:t>
            </w:r>
          </w:p>
          <w:p w:rsidR="00A5082B" w:rsidRPr="005204A9" w:rsidP="00EB2F30" w14:paraId="7CED51BA" w14:textId="103703F2">
            <w:pPr>
              <w:pStyle w:val="ListParagraph"/>
              <w:spacing w:after="120"/>
              <w:ind w:left="0"/>
              <w:contextualSpacing w:val="0"/>
              <w:jc w:val="both"/>
              <w:rPr>
                <w:rFonts w:eastAsia="Calibri"/>
                <w:bCs/>
                <w:sz w:val="24"/>
                <w:szCs w:val="24"/>
              </w:rPr>
            </w:pPr>
            <w:r w:rsidRPr="005204A9">
              <w:rPr>
                <w:rFonts w:eastAsia="Calibri"/>
                <w:bCs/>
                <w:sz w:val="24"/>
                <w:szCs w:val="24"/>
              </w:rPr>
              <w:t xml:space="preserve">Latvijā sadzīves atkritumu apglabāšanas poligonos un ārpus tiem ir izveidotas nešķirotu </w:t>
            </w:r>
            <w:r w:rsidR="000C57EA">
              <w:rPr>
                <w:rFonts w:eastAsia="Calibri"/>
                <w:bCs/>
                <w:sz w:val="24"/>
                <w:szCs w:val="24"/>
              </w:rPr>
              <w:t>sadzīves</w:t>
            </w:r>
            <w:r w:rsidR="006963DD">
              <w:rPr>
                <w:rFonts w:eastAsia="Calibri"/>
                <w:bCs/>
                <w:sz w:val="24"/>
                <w:szCs w:val="24"/>
              </w:rPr>
              <w:t xml:space="preserve"> </w:t>
            </w:r>
            <w:r w:rsidRPr="005204A9">
              <w:rPr>
                <w:rFonts w:eastAsia="Calibri"/>
                <w:bCs/>
                <w:sz w:val="24"/>
                <w:szCs w:val="24"/>
              </w:rPr>
              <w:t>atkritumu mehāniskās šķirošanas līnijas, kurās</w:t>
            </w:r>
            <w:r w:rsidRPr="005204A9" w:rsidR="0025246C">
              <w:rPr>
                <w:rFonts w:eastAsia="Calibri"/>
                <w:bCs/>
                <w:sz w:val="24"/>
                <w:szCs w:val="24"/>
              </w:rPr>
              <w:t xml:space="preserve"> no nešķirotu sadzīves atkritumu plūsmas</w:t>
            </w:r>
            <w:r w:rsidRPr="005204A9">
              <w:rPr>
                <w:rFonts w:eastAsia="Calibri"/>
                <w:bCs/>
                <w:sz w:val="24"/>
                <w:szCs w:val="24"/>
              </w:rPr>
              <w:t xml:space="preserve"> tiek atdalīta BNA frakcija, tādējādi samazinot BNA daudzumu apglabājamos atkritumos.  Tomēr</w:t>
            </w:r>
            <w:r w:rsidRPr="005204A9" w:rsidR="0025246C">
              <w:rPr>
                <w:rFonts w:eastAsia="Calibri"/>
                <w:bCs/>
                <w:sz w:val="24"/>
                <w:szCs w:val="24"/>
              </w:rPr>
              <w:t xml:space="preserve"> Latvijā</w:t>
            </w:r>
            <w:r w:rsidRPr="005204A9">
              <w:rPr>
                <w:rFonts w:eastAsia="Calibri"/>
                <w:bCs/>
                <w:sz w:val="24"/>
                <w:szCs w:val="24"/>
              </w:rPr>
              <w:t xml:space="preserve"> ir izveidojies BNA pārstrādes infrastruktūras deficīts</w:t>
            </w:r>
            <w:r>
              <w:rPr>
                <w:rStyle w:val="FootnoteReference"/>
                <w:rFonts w:eastAsia="Calibri"/>
                <w:bCs/>
                <w:sz w:val="24"/>
                <w:szCs w:val="24"/>
              </w:rPr>
              <w:footnoteReference w:id="5"/>
            </w:r>
            <w:r w:rsidRPr="005204A9">
              <w:rPr>
                <w:rFonts w:eastAsia="Calibri"/>
                <w:bCs/>
                <w:sz w:val="24"/>
                <w:szCs w:val="24"/>
              </w:rPr>
              <w:t xml:space="preserve"> - lai arī Latvijā ir izveidotas BNA pārstrādes iekārtas, lielākoties tās vai nu ir ar mazu jaudu vai arī nav paredzētas tādu BNA pārstrādei, kas atdalīti no nešķirotu sadzīves atkritumu plūsmas un satur dažādus citu atkritumu veidu piemaisījumus.</w:t>
            </w:r>
          </w:p>
          <w:p w:rsidR="00BD3A22" w:rsidP="00EB2F30" w14:paraId="42AB1C92" w14:textId="77777777">
            <w:pPr>
              <w:pStyle w:val="ListParagraph"/>
              <w:spacing w:after="120"/>
              <w:ind w:left="0"/>
              <w:contextualSpacing w:val="0"/>
              <w:jc w:val="both"/>
              <w:rPr>
                <w:rFonts w:eastAsia="Calibri"/>
                <w:bCs/>
                <w:sz w:val="24"/>
                <w:szCs w:val="24"/>
              </w:rPr>
            </w:pPr>
            <w:r w:rsidRPr="005204A9">
              <w:rPr>
                <w:rFonts w:eastAsia="Calibri"/>
                <w:bCs/>
                <w:sz w:val="24"/>
                <w:szCs w:val="24"/>
              </w:rPr>
              <w:t>MK 2016.gada 30.augusta noteikumi Nr.588 “Darbības programmas “Izaugsme un nodarbinātība” 5.2.1.specifiskā atbalsta mērķa “Veicināt dažāda veida atkritumu atkārtotu izmantošanu, pārstrādi un reģenerāciju” 5.2.1.2.pasākuma “Atkritumu pārstrādes veicināšana” īstenošanas noteikumi”</w:t>
            </w:r>
            <w:r w:rsidRPr="005204A9" w:rsidR="003535F1">
              <w:rPr>
                <w:rFonts w:eastAsia="Calibri"/>
                <w:bCs/>
                <w:sz w:val="24"/>
                <w:szCs w:val="24"/>
              </w:rPr>
              <w:t xml:space="preserve"> (turpmāk – MK noteikumi par 5.2.1.2.pasākuma īstenošanu)</w:t>
            </w:r>
            <w:r w:rsidRPr="005204A9">
              <w:rPr>
                <w:rFonts w:eastAsia="Calibri"/>
                <w:bCs/>
                <w:sz w:val="24"/>
                <w:szCs w:val="24"/>
              </w:rPr>
              <w:t xml:space="preserve"> nosaka, ka visās projektu iesniegumu atlases kārtās maksimālā Kohēzi</w:t>
            </w:r>
            <w:r w:rsidRPr="005204A9" w:rsidR="00193FDF">
              <w:rPr>
                <w:rFonts w:eastAsia="Calibri"/>
                <w:bCs/>
                <w:sz w:val="24"/>
                <w:szCs w:val="24"/>
              </w:rPr>
              <w:t>jas fonda atbalsta likme ir 35%</w:t>
            </w:r>
            <w:r>
              <w:rPr>
                <w:rFonts w:eastAsia="Calibri"/>
                <w:bCs/>
                <w:sz w:val="24"/>
                <w:szCs w:val="24"/>
              </w:rPr>
              <w:t xml:space="preserve">. </w:t>
            </w:r>
          </w:p>
          <w:p w:rsidR="00126B16" w:rsidRPr="00100494" w:rsidP="00126B16" w14:paraId="24FABE28" w14:textId="7E8B06E1">
            <w:pPr>
              <w:pStyle w:val="ListParagraph"/>
              <w:spacing w:after="120"/>
              <w:ind w:left="0"/>
              <w:contextualSpacing w:val="0"/>
              <w:jc w:val="both"/>
              <w:rPr>
                <w:rFonts w:eastAsia="Calibri"/>
                <w:bCs/>
                <w:sz w:val="24"/>
                <w:szCs w:val="24"/>
              </w:rPr>
            </w:pPr>
            <w:r w:rsidRPr="005204A9">
              <w:rPr>
                <w:rFonts w:eastAsia="Calibri"/>
                <w:bCs/>
                <w:sz w:val="24"/>
                <w:szCs w:val="24"/>
              </w:rPr>
              <w:t>Vides aizsardzības un reģionālās attīstības ministrija</w:t>
            </w:r>
            <w:r w:rsidRPr="005204A9" w:rsidR="00F574AF">
              <w:rPr>
                <w:rFonts w:eastAsia="Calibri"/>
                <w:bCs/>
                <w:sz w:val="24"/>
                <w:szCs w:val="24"/>
              </w:rPr>
              <w:t xml:space="preserve"> (turpmāk – VARAM)</w:t>
            </w:r>
            <w:r w:rsidRPr="005204A9" w:rsidR="00193FDF">
              <w:rPr>
                <w:rFonts w:eastAsia="Calibri"/>
                <w:bCs/>
                <w:sz w:val="24"/>
                <w:szCs w:val="24"/>
              </w:rPr>
              <w:t xml:space="preserve">, analizējot </w:t>
            </w:r>
            <w:r w:rsidRPr="005204A9" w:rsidR="00D35787">
              <w:rPr>
                <w:rFonts w:eastAsia="Calibri"/>
                <w:bCs/>
                <w:sz w:val="24"/>
                <w:szCs w:val="24"/>
              </w:rPr>
              <w:t xml:space="preserve">Direktīvas ieviešanas gaitu, </w:t>
            </w:r>
            <w:r w:rsidRPr="005204A9">
              <w:rPr>
                <w:rFonts w:eastAsia="Calibri"/>
                <w:bCs/>
                <w:sz w:val="24"/>
                <w:szCs w:val="24"/>
              </w:rPr>
              <w:t>ir secinājusi, ka</w:t>
            </w:r>
            <w:r w:rsidRPr="005204A9" w:rsidR="00D35787">
              <w:rPr>
                <w:rFonts w:eastAsia="Calibri"/>
                <w:bCs/>
                <w:sz w:val="24"/>
                <w:szCs w:val="24"/>
              </w:rPr>
              <w:t xml:space="preserve"> Direktīvas mērķu sasniegšanai nepieciešams izveidot vidēja un </w:t>
            </w:r>
            <w:r w:rsidRPr="005204A9">
              <w:rPr>
                <w:rFonts w:eastAsia="Calibri"/>
                <w:bCs/>
                <w:sz w:val="24"/>
                <w:szCs w:val="24"/>
              </w:rPr>
              <w:t xml:space="preserve">liela </w:t>
            </w:r>
            <w:r w:rsidRPr="005204A9">
              <w:rPr>
                <w:rFonts w:eastAsia="Calibri"/>
                <w:bCs/>
                <w:sz w:val="24"/>
                <w:szCs w:val="24"/>
              </w:rPr>
              <w:t>apjoma un specifiskām prasībām atbilstoš</w:t>
            </w:r>
            <w:r w:rsidRPr="005204A9" w:rsidR="00D35787">
              <w:rPr>
                <w:rFonts w:eastAsia="Calibri"/>
                <w:bCs/>
                <w:sz w:val="24"/>
                <w:szCs w:val="24"/>
              </w:rPr>
              <w:t>as</w:t>
            </w:r>
            <w:r w:rsidRPr="005204A9">
              <w:rPr>
                <w:rFonts w:eastAsia="Calibri"/>
                <w:bCs/>
                <w:sz w:val="24"/>
                <w:szCs w:val="24"/>
              </w:rPr>
              <w:t xml:space="preserve"> BNA pārstrādes iekārt</w:t>
            </w:r>
            <w:r w:rsidRPr="005204A9" w:rsidR="00D35787">
              <w:rPr>
                <w:rFonts w:eastAsia="Calibri"/>
                <w:bCs/>
                <w:sz w:val="24"/>
                <w:szCs w:val="24"/>
              </w:rPr>
              <w:t xml:space="preserve">as, un tam </w:t>
            </w:r>
            <w:r w:rsidRPr="005204A9">
              <w:rPr>
                <w:rFonts w:eastAsia="Calibri"/>
                <w:bCs/>
                <w:sz w:val="24"/>
                <w:szCs w:val="24"/>
              </w:rPr>
              <w:t xml:space="preserve">nepieciešams lielāks atbalsts, nekā to nosaka spēkā esošais normatīvais regulējums. </w:t>
            </w:r>
            <w:r w:rsidRPr="005204A9" w:rsidR="00F574AF">
              <w:rPr>
                <w:rFonts w:eastAsia="Calibri"/>
                <w:bCs/>
                <w:sz w:val="24"/>
                <w:szCs w:val="24"/>
              </w:rPr>
              <w:t xml:space="preserve">Vienlaikus, </w:t>
            </w:r>
            <w:r w:rsidRPr="005204A9" w:rsidR="002F14F1">
              <w:rPr>
                <w:rFonts w:eastAsia="Calibri"/>
                <w:bCs/>
                <w:sz w:val="24"/>
                <w:szCs w:val="24"/>
              </w:rPr>
              <w:t xml:space="preserve">tā kā Direktīvas prasību izpildē atbildība jāuzņemas sadzīves atkritumu poligonu apsaimniekotājiem, kam atbildība noteikta ar normatīvajiem aktiem, un </w:t>
            </w:r>
            <w:r w:rsidRPr="005204A9" w:rsidR="00F574AF">
              <w:rPr>
                <w:rFonts w:eastAsia="Calibri"/>
                <w:bCs/>
                <w:sz w:val="24"/>
                <w:szCs w:val="24"/>
              </w:rPr>
              <w:t>lai nodrošinātu mērķorientētu investīciju</w:t>
            </w:r>
            <w:r w:rsidRPr="005204A9" w:rsidR="00001FAF">
              <w:rPr>
                <w:rFonts w:eastAsia="Calibri"/>
                <w:bCs/>
                <w:sz w:val="24"/>
                <w:szCs w:val="24"/>
              </w:rPr>
              <w:t xml:space="preserve"> ieguldījumu, ir pamatoti paplašināt potenciālo projektu iesniedzēju loku BNA pārstrādes iekārtu izveidei</w:t>
            </w:r>
            <w:r w:rsidRPr="005204A9" w:rsidR="009D4C73">
              <w:rPr>
                <w:rFonts w:eastAsia="Calibri"/>
                <w:bCs/>
                <w:sz w:val="24"/>
                <w:szCs w:val="24"/>
              </w:rPr>
              <w:t xml:space="preserve"> ar sadzīves atkritumu apglabā</w:t>
            </w:r>
            <w:r w:rsidR="00453F20">
              <w:rPr>
                <w:rFonts w:eastAsia="Calibri"/>
                <w:bCs/>
                <w:sz w:val="24"/>
                <w:szCs w:val="24"/>
              </w:rPr>
              <w:t>šanas poligonu apsaimniekotājiem</w:t>
            </w:r>
            <w:r w:rsidRPr="005204A9" w:rsidR="009D4C73">
              <w:rPr>
                <w:rFonts w:eastAsia="Calibri"/>
                <w:bCs/>
                <w:sz w:val="24"/>
                <w:szCs w:val="24"/>
              </w:rPr>
              <w:t xml:space="preserve"> un paaugstinā</w:t>
            </w:r>
            <w:r w:rsidRPr="005204A9" w:rsidR="00001FAF">
              <w:rPr>
                <w:rFonts w:eastAsia="Calibri"/>
                <w:bCs/>
                <w:sz w:val="24"/>
                <w:szCs w:val="24"/>
              </w:rPr>
              <w:t>t arī Kohēzijas fonda maksimālo atbalsta likmi</w:t>
            </w:r>
            <w:r w:rsidRPr="005204A9" w:rsidR="009D4C73">
              <w:rPr>
                <w:rFonts w:eastAsia="Calibri"/>
                <w:bCs/>
                <w:sz w:val="24"/>
                <w:szCs w:val="24"/>
              </w:rPr>
              <w:t xml:space="preserve"> šāda veida </w:t>
            </w:r>
            <w:r w:rsidRPr="00100494" w:rsidR="009D4C73">
              <w:rPr>
                <w:rFonts w:eastAsia="Calibri"/>
                <w:bCs/>
                <w:sz w:val="24"/>
                <w:szCs w:val="24"/>
              </w:rPr>
              <w:t>projektu iesniedzējiem</w:t>
            </w:r>
            <w:r w:rsidRPr="00100494" w:rsidR="00001FAF">
              <w:rPr>
                <w:rFonts w:eastAsia="Calibri"/>
                <w:bCs/>
                <w:sz w:val="24"/>
                <w:szCs w:val="24"/>
              </w:rPr>
              <w:t xml:space="preserve">. </w:t>
            </w:r>
          </w:p>
          <w:p w:rsidR="00126B16" w:rsidRPr="00100494" w:rsidP="00126B16" w14:paraId="557D6955" w14:textId="6BAAD299">
            <w:pPr>
              <w:pStyle w:val="ListParagraph"/>
              <w:spacing w:after="120"/>
              <w:ind w:left="0"/>
              <w:contextualSpacing w:val="0"/>
              <w:jc w:val="both"/>
              <w:rPr>
                <w:rFonts w:eastAsia="Calibri"/>
                <w:bCs/>
                <w:sz w:val="24"/>
                <w:szCs w:val="24"/>
              </w:rPr>
            </w:pPr>
            <w:r w:rsidRPr="00100494">
              <w:rPr>
                <w:rFonts w:eastAsia="Calibri"/>
                <w:bCs/>
                <w:sz w:val="24"/>
                <w:szCs w:val="24"/>
              </w:rPr>
              <w:t xml:space="preserve">Tamdēļ MK noteikumu projekts paredz, ka gadījumā, ja projektu iesniedzējs ir sadzīves atkritumu apglabāšanas sabiedriskā pakalpojumu sniedzējs, tam pieejamais Kohēzijas fonda finansējums projektam var tikt </w:t>
            </w:r>
            <w:r w:rsidRPr="00100494" w:rsidR="00453F20">
              <w:rPr>
                <w:rFonts w:eastAsia="Calibri"/>
                <w:bCs/>
                <w:sz w:val="24"/>
                <w:szCs w:val="24"/>
              </w:rPr>
              <w:t>piešķirts</w:t>
            </w:r>
            <w:r w:rsidRPr="00100494">
              <w:rPr>
                <w:rFonts w:eastAsia="Calibri"/>
                <w:bCs/>
                <w:sz w:val="24"/>
                <w:szCs w:val="24"/>
              </w:rPr>
              <w:t xml:space="preserve"> ar atbalsta likmi līdz 85%. Atbalsta likmju diferencēšanu pieļauj valsts atbals</w:t>
            </w:r>
            <w:r w:rsidRPr="00100494" w:rsidR="00D918F3">
              <w:rPr>
                <w:rFonts w:eastAsia="Calibri"/>
                <w:bCs/>
                <w:sz w:val="24"/>
                <w:szCs w:val="24"/>
              </w:rPr>
              <w:t>t</w:t>
            </w:r>
            <w:r w:rsidRPr="00100494">
              <w:rPr>
                <w:rFonts w:eastAsia="Calibri"/>
                <w:bCs/>
                <w:sz w:val="24"/>
                <w:szCs w:val="24"/>
              </w:rPr>
              <w:t xml:space="preserve">a regulējums, kur komersantiem, kas nav sabiedriskā pakalpojuma sniedzēji, atbalstu piešķir saskaņā ar Reģionālā atbalsta pamatnostādnēm 2014.-2020.gadam, savukārt sabiedriskā pakalpojuma sniedzējiem </w:t>
            </w:r>
            <w:r w:rsidRPr="00100494" w:rsidR="00D918F3">
              <w:rPr>
                <w:rFonts w:eastAsia="Calibri"/>
                <w:bCs/>
                <w:sz w:val="24"/>
                <w:szCs w:val="24"/>
              </w:rPr>
              <w:t>atbalstu</w:t>
            </w:r>
            <w:r w:rsidRPr="00100494">
              <w:rPr>
                <w:rFonts w:eastAsia="Calibri"/>
                <w:bCs/>
                <w:sz w:val="24"/>
                <w:szCs w:val="24"/>
              </w:rPr>
              <w:t xml:space="preserve"> piešķir saskaņā ar Eiropas Komisijas 2011.gada 20.decembra lēmumu Nr. 2012/21/ES </w:t>
            </w:r>
            <w:r w:rsidRPr="00100494">
              <w:rPr>
                <w:rFonts w:eastAsia="Calibri"/>
                <w:bCs/>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100494">
              <w:rPr>
                <w:rFonts w:eastAsia="Calibri"/>
                <w:bCs/>
                <w:sz w:val="24"/>
                <w:szCs w:val="24"/>
              </w:rPr>
              <w:t xml:space="preserve"> (turpmāk - EK 2011.gada 20.decembra lēmums Nr. 2012/21/ES).</w:t>
            </w:r>
          </w:p>
          <w:p w:rsidR="005D0A5D" w:rsidRPr="005204A9" w:rsidP="00F14321" w14:paraId="49A31121" w14:textId="77777777">
            <w:pPr>
              <w:spacing w:after="120"/>
              <w:jc w:val="both"/>
              <w:rPr>
                <w:bCs/>
                <w:u w:val="single"/>
              </w:rPr>
            </w:pPr>
            <w:r w:rsidRPr="005204A9">
              <w:rPr>
                <w:bCs/>
                <w:u w:val="single"/>
              </w:rPr>
              <w:t>Tiesiskā regulējuma mērķis un būtība</w:t>
            </w:r>
          </w:p>
          <w:p w:rsidR="00726709" w:rsidRPr="005204A9" w:rsidP="005204A9" w14:paraId="04EFF684" w14:textId="5A07FA16">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w:t>
            </w:r>
            <w:r w:rsidRPr="005204A9" w:rsidR="00254587">
              <w:rPr>
                <w:rFonts w:eastAsia="Calibri"/>
                <w:bCs/>
                <w:sz w:val="24"/>
                <w:szCs w:val="24"/>
              </w:rPr>
              <w:t xml:space="preserve">izstrādāts, lai </w:t>
            </w:r>
            <w:r w:rsidRPr="005204A9" w:rsidR="00456C1A">
              <w:rPr>
                <w:rFonts w:eastAsia="Calibri"/>
                <w:bCs/>
                <w:sz w:val="24"/>
                <w:szCs w:val="24"/>
              </w:rPr>
              <w:t>5.2.1.specifiskā atbalsta mērķa “Veicināt dažāda veida atkritumu atkārtotu izmantošanu, pārstrādi un reģenerāciju” 5.2.1.2.pasākuma “Atkritumu pārstrādes veicināšana”</w:t>
            </w:r>
            <w:r w:rsidR="006963DD">
              <w:rPr>
                <w:rFonts w:eastAsia="Calibri"/>
                <w:bCs/>
                <w:sz w:val="24"/>
                <w:szCs w:val="24"/>
              </w:rPr>
              <w:t xml:space="preserve"> (turpmāk – 5.2.1.2.pasākums)</w:t>
            </w:r>
            <w:r w:rsidRPr="005204A9" w:rsidR="00456C1A">
              <w:rPr>
                <w:rFonts w:eastAsia="Calibri"/>
                <w:bCs/>
                <w:sz w:val="24"/>
                <w:szCs w:val="24"/>
              </w:rPr>
              <w:t xml:space="preserve"> trešajā atlases kārtā paplašinātu projektu iesniedzēju loku ar sadzīves atkritumu apglabāšanas sabiedriskā pakalpojumu sniedzējiem. </w:t>
            </w:r>
          </w:p>
          <w:p w:rsidR="00EE73C5" w:rsidRPr="00100494" w:rsidP="005204A9" w14:paraId="7B780637" w14:textId="0B1EE860">
            <w:pPr>
              <w:pStyle w:val="ListParagraph"/>
              <w:spacing w:after="120"/>
              <w:ind w:left="0"/>
              <w:contextualSpacing w:val="0"/>
              <w:jc w:val="both"/>
              <w:rPr>
                <w:bCs/>
                <w:sz w:val="24"/>
                <w:szCs w:val="24"/>
              </w:rPr>
            </w:pPr>
            <w:r w:rsidRPr="005204A9">
              <w:rPr>
                <w:rFonts w:eastAsia="Calibri"/>
                <w:bCs/>
                <w:sz w:val="24"/>
                <w:szCs w:val="24"/>
              </w:rPr>
              <w:t xml:space="preserve">Tā kā sadzīves atkritumu apglabāšana ir atzīta par vispārējas tautsaimnieciskas nozīmes pakalpojumu, kas nozīmē, ka tirgus dalībnieki vieni paši bez </w:t>
            </w:r>
            <w:r w:rsidR="007B146F">
              <w:rPr>
                <w:rFonts w:eastAsia="Calibri"/>
                <w:bCs/>
                <w:sz w:val="24"/>
                <w:szCs w:val="24"/>
              </w:rPr>
              <w:t>īpaša</w:t>
            </w:r>
            <w:r w:rsidRPr="005204A9" w:rsidR="007B146F">
              <w:rPr>
                <w:rFonts w:eastAsia="Calibri"/>
                <w:bCs/>
                <w:sz w:val="24"/>
                <w:szCs w:val="24"/>
              </w:rPr>
              <w:t xml:space="preserve"> </w:t>
            </w:r>
            <w:r w:rsidRPr="005204A9">
              <w:rPr>
                <w:rFonts w:eastAsia="Calibri"/>
                <w:bCs/>
                <w:sz w:val="24"/>
                <w:szCs w:val="24"/>
              </w:rPr>
              <w:t xml:space="preserve">atbalsta saimniecisko darbību nespēj </w:t>
            </w:r>
            <w:r w:rsidR="00A87E09">
              <w:rPr>
                <w:rFonts w:eastAsia="Calibri"/>
                <w:bCs/>
                <w:sz w:val="24"/>
                <w:szCs w:val="24"/>
              </w:rPr>
              <w:t>veikt</w:t>
            </w:r>
            <w:r w:rsidRPr="005204A9">
              <w:rPr>
                <w:rFonts w:eastAsia="Calibri"/>
                <w:bCs/>
                <w:sz w:val="24"/>
                <w:szCs w:val="24"/>
              </w:rPr>
              <w:t xml:space="preserve">, </w:t>
            </w:r>
            <w:r w:rsidR="001C0740">
              <w:rPr>
                <w:rFonts w:eastAsia="Calibri"/>
                <w:bCs/>
                <w:sz w:val="24"/>
                <w:szCs w:val="24"/>
              </w:rPr>
              <w:t>MK noteikumu projekts nosaka tiem pieejamo</w:t>
            </w:r>
            <w:r w:rsidRPr="005204A9">
              <w:rPr>
                <w:rFonts w:eastAsia="Calibri"/>
                <w:bCs/>
                <w:sz w:val="24"/>
                <w:szCs w:val="24"/>
              </w:rPr>
              <w:t xml:space="preserve"> Kohēzijas fonda </w:t>
            </w:r>
            <w:r w:rsidR="001C0740">
              <w:rPr>
                <w:rFonts w:eastAsia="Calibri"/>
                <w:bCs/>
                <w:sz w:val="24"/>
                <w:szCs w:val="24"/>
              </w:rPr>
              <w:t>finansējumu piesaistīt</w:t>
            </w:r>
            <w:r w:rsidRPr="005204A9">
              <w:rPr>
                <w:rFonts w:eastAsia="Calibri"/>
                <w:bCs/>
                <w:sz w:val="24"/>
                <w:szCs w:val="24"/>
              </w:rPr>
              <w:t xml:space="preserve"> ar atbalsta likmi līdz 85%. </w:t>
            </w:r>
            <w:r w:rsidRPr="00100494">
              <w:rPr>
                <w:rFonts w:eastAsia="Calibri"/>
                <w:bCs/>
                <w:sz w:val="24"/>
                <w:szCs w:val="24"/>
              </w:rPr>
              <w:t>MK noteikumu projekts paredz sniegt atbalstu da</w:t>
            </w:r>
            <w:r w:rsidRPr="00100494" w:rsidR="006963DD">
              <w:rPr>
                <w:rFonts w:eastAsia="Calibri"/>
                <w:bCs/>
                <w:sz w:val="24"/>
                <w:szCs w:val="24"/>
              </w:rPr>
              <w:t xml:space="preserve">ļai no </w:t>
            </w:r>
            <w:r w:rsidRPr="00100494">
              <w:rPr>
                <w:bCs/>
                <w:sz w:val="24"/>
                <w:szCs w:val="24"/>
              </w:rPr>
              <w:t>vispārējas tautsaimnieciskas nozīmes pakalpojuma (sadzīves atkritumu apglabāšanas) ietvara, proti, BNA pārstrādei, lai pildītu Direktīvā noteikto pienākumu par BNA apglabājamā daudzuma samazināšanu. Citām darbībām atbalsts netiek paredzēts.</w:t>
            </w:r>
            <w:r w:rsidRPr="00100494" w:rsidR="0093794C">
              <w:rPr>
                <w:bCs/>
                <w:sz w:val="24"/>
                <w:szCs w:val="24"/>
              </w:rPr>
              <w:t xml:space="preserve"> Izmaksas var tik attiecinātas no 2017. gada 1. februāra, kas ir MK noteikumu Nr.588 spēkā stāšanās brīdis.</w:t>
            </w:r>
          </w:p>
          <w:p w:rsidR="00AA6CF4" w:rsidRPr="00100494" w:rsidP="00AA6CF4" w14:paraId="6ACAB587" w14:textId="77777777">
            <w:pPr>
              <w:pStyle w:val="naisc"/>
              <w:spacing w:before="0" w:after="0"/>
              <w:jc w:val="both"/>
            </w:pPr>
            <w:r w:rsidRPr="00100494">
              <w:t xml:space="preserve">5.2.1.2.pasākums, t.sk., visas tā atlases kārtas, tiek rīkots pēc atklātas projektu iesniegumu atlases principa, kas nozīmē, ka nav zināms, kādi un cik projektu tiks iesniegti, kā arī kāds projektu iesniedzējs iesniegs projektu.  Tā kā: </w:t>
            </w:r>
          </w:p>
          <w:p w:rsidR="00AA6CF4" w:rsidRPr="00100494" w:rsidP="00AA6CF4" w14:paraId="0656032E" w14:textId="423F58A0">
            <w:pPr>
              <w:pStyle w:val="naisc"/>
              <w:numPr>
                <w:ilvl w:val="0"/>
                <w:numId w:val="2"/>
              </w:numPr>
              <w:spacing w:before="0" w:after="0"/>
              <w:jc w:val="both"/>
            </w:pPr>
            <w:r w:rsidRPr="00100494">
              <w:t xml:space="preserve">gan no projektu skaita, gan projektu iesniedzēju veida (pašvaldība vai komersants, kas sniedz vai nesniedz </w:t>
            </w:r>
            <w:r w:rsidRPr="00100494">
              <w:t>sabiedrisko pakalpojumu) ir atkarīgs KF finansējuma apmērs un projekta iesniedzēja līdzfinansējuma apmērs, kā arī</w:t>
            </w:r>
          </w:p>
          <w:p w:rsidR="00AA6CF4" w:rsidRPr="00100494" w:rsidP="00AA6CF4" w14:paraId="36EBAB9C" w14:textId="146BCAF6">
            <w:pPr>
              <w:pStyle w:val="naisc"/>
              <w:numPr>
                <w:ilvl w:val="0"/>
                <w:numId w:val="2"/>
              </w:numPr>
              <w:spacing w:before="0" w:after="0"/>
              <w:jc w:val="both"/>
            </w:pPr>
            <w:r w:rsidRPr="00100494">
              <w:t>īstenojot projektus, projekta iesniedzējs pats var ieguldīt lielāku privātā līdzfinansējuma daļu nekā norādīts MK noteikumu Nr.588 5.punktā,</w:t>
            </w:r>
          </w:p>
          <w:p w:rsidR="00AA6CF4" w:rsidRPr="00100494" w:rsidP="00AA6CF4" w14:paraId="31D8D0EC" w14:textId="401A0929">
            <w:pPr>
              <w:pStyle w:val="ListParagraph"/>
              <w:spacing w:after="120"/>
              <w:ind w:left="0"/>
              <w:contextualSpacing w:val="0"/>
              <w:jc w:val="both"/>
              <w:rPr>
                <w:rFonts w:eastAsia="Calibri"/>
                <w:bCs/>
                <w:sz w:val="28"/>
                <w:szCs w:val="24"/>
              </w:rPr>
            </w:pPr>
            <w:r w:rsidRPr="00100494">
              <w:rPr>
                <w:sz w:val="24"/>
              </w:rPr>
              <w:t>MK noteikumu projekta 1.punkts, 3. un 4.punkts nosaka KF finansējuma apjomu, kas pieejams projektu īstenošanai un katrai kārtai atsevišķi, kā arī nosaka minimālo projektos ieguldāmo privātā līdzfinansējuma apmēru un kopējo summu.</w:t>
            </w:r>
          </w:p>
          <w:p w:rsidR="00C94A04" w:rsidRPr="00C94A04" w:rsidP="00F854FF" w14:paraId="1A75E545" w14:textId="2F7AEA0C">
            <w:pPr>
              <w:pStyle w:val="naisc"/>
              <w:spacing w:before="0" w:beforeAutospacing="0" w:after="120" w:afterAutospacing="0"/>
              <w:jc w:val="both"/>
              <w:rPr>
                <w:bCs/>
                <w:color w:val="000000" w:themeColor="text1"/>
              </w:rPr>
            </w:pPr>
            <w:r w:rsidRPr="00C94A04">
              <w:rPr>
                <w:color w:val="000000" w:themeColor="text1"/>
                <w:lang w:eastAsia="en-US"/>
              </w:rPr>
              <w:t xml:space="preserve">Tāpat uz sabiedriskā pakalpojuma sniedzējiem kā projektu iesniedzējiem nav attiecināmi valsts atbalsta nosacījumi, kas iekļauti MK noteikumu par 5.2.1.2.pasākuma īstenošanu V nodaļā par valsts atbalstu, tamdēļ MK noteikumu projekts paredz tos nepiemērot. Tomēr tāpat kā pārējiem projektu iesniedzējiem sabiedriskā pakalpojuma sniedzējiem jāievēro prasība par dokumentācijas uzglabāšanu 10 gadu garumā. Tā kā atbalsts sabiedriskā pakalpojuma sniedzējiem tiek sniegts saskaņā ar EK 2011.gada 20.decembra lēmumu Nr. 2012/21/ES, Kohēzijas fonda atbalsts var </w:t>
            </w:r>
            <w:r w:rsidRPr="00C94A04">
              <w:rPr>
                <w:bCs/>
                <w:color w:val="000000" w:themeColor="text1"/>
                <w:lang w:eastAsia="en-US"/>
              </w:rPr>
              <w:t>tikt kumulēts ar citu valsts atbalstu, kas sniegts saskaņā ar EK 2011.gada 20.decembra lēmumu Nr. 2012/21/ES citas atbalsta programmas vai individuālā atbalsta projekta ietvaros</w:t>
            </w:r>
            <w:r w:rsidRPr="00C94A04">
              <w:rPr>
                <w:color w:val="000000" w:themeColor="text1"/>
                <w:lang w:eastAsia="en-US"/>
              </w:rPr>
              <w:t xml:space="preserve"> (izņemot </w:t>
            </w:r>
            <w:r w:rsidRPr="00C94A04">
              <w:rPr>
                <w:i/>
                <w:iCs/>
                <w:color w:val="000000" w:themeColor="text1"/>
                <w:lang w:eastAsia="en-US"/>
              </w:rPr>
              <w:t>de minimis</w:t>
            </w:r>
            <w:r w:rsidRPr="00C94A04">
              <w:rPr>
                <w:color w:val="000000" w:themeColor="text1"/>
                <w:lang w:eastAsia="en-US"/>
              </w:rPr>
              <w:t xml:space="preserve">, jo 5.2.1.2.pasākumam netiek piemērots </w:t>
            </w:r>
            <w:r w:rsidRPr="00C94A04">
              <w:rPr>
                <w:i/>
                <w:iCs/>
                <w:color w:val="000000" w:themeColor="text1"/>
                <w:lang w:eastAsia="en-US"/>
              </w:rPr>
              <w:t>de minimis</w:t>
            </w:r>
            <w:r w:rsidRPr="00C94A04">
              <w:rPr>
                <w:color w:val="000000" w:themeColor="text1"/>
                <w:lang w:eastAsia="en-US"/>
              </w:rPr>
              <w:t xml:space="preserve"> regulējums), ievērojot, ka atbalstu drīkst kumulēt par vienām un tām pašām attiecināmajām izmaksām, ja pēc atbalstu apvienošanas atbalsta vienībai vai izmaksu vienībai atbalsta intensitāte nepārsniedz 100%.</w:t>
            </w:r>
          </w:p>
          <w:p w:rsidR="00514A58" w:rsidRPr="00F854FF" w:rsidP="00F854FF" w14:paraId="78970BF8" w14:textId="5064A827">
            <w:pPr>
              <w:pStyle w:val="naisc"/>
              <w:spacing w:before="0" w:beforeAutospacing="0" w:after="120" w:afterAutospacing="0"/>
              <w:jc w:val="both"/>
              <w:rPr>
                <w:b/>
              </w:rPr>
            </w:pPr>
            <w:r>
              <w:rPr>
                <w:bCs/>
              </w:rPr>
              <w:t xml:space="preserve">Vienlaikus sabiedriskā pakalpojuma sniedzējam kā projekta iesniedzējam ir jābūt noslēgtiem atbilstošiem pakalpojuma sniegšanas līgumiem, kuros ietvertas prasības no </w:t>
            </w:r>
            <w:r w:rsidRPr="00205237">
              <w:rPr>
                <w:bCs/>
              </w:rPr>
              <w:t xml:space="preserve"> </w:t>
            </w:r>
            <w:r w:rsidR="00126B16">
              <w:rPr>
                <w:bCs/>
              </w:rPr>
              <w:t>EK 2011.gada 20.decembra lēmuma Nr. 2012/21/ES</w:t>
            </w:r>
            <w:r>
              <w:rPr>
                <w:bCs/>
              </w:rPr>
              <w:t>.</w:t>
            </w:r>
            <w:r w:rsidR="00D8141B">
              <w:rPr>
                <w:bCs/>
              </w:rPr>
              <w:t xml:space="preserve"> </w:t>
            </w:r>
            <w:r w:rsidRPr="00100494" w:rsidR="00D8141B">
              <w:rPr>
                <w:bCs/>
              </w:rPr>
              <w:t>M</w:t>
            </w:r>
            <w:r w:rsidRPr="00100494" w:rsidR="00D8141B">
              <w:t xml:space="preserve">inimālais līguma darbības termiņš noteikts </w:t>
            </w:r>
            <w:r w:rsidRPr="00100494" w:rsidR="00F854FF">
              <w:t xml:space="preserve">pieci gadi, ņemot vērā sniegtā pakalpojuma būtību un ilgtermiņa raksturu, kur īsāks (mazāks par pieciem gadiem) līguma darbības termiņš nespētu nodrošināt tik liela atkritumu apsaimniekošanas </w:t>
            </w:r>
            <w:r w:rsidRPr="00100494" w:rsidR="00F854FF">
              <w:rPr>
                <w:shd w:val="clear" w:color="auto" w:fill="FFFFFF" w:themeFill="background1"/>
              </w:rPr>
              <w:t xml:space="preserve">sistēmas </w:t>
            </w:r>
            <w:r w:rsidRPr="00100494" w:rsidR="00F854FF">
              <w:t xml:space="preserve">elementa (t.i. – poligona) </w:t>
            </w:r>
            <w:r w:rsidRPr="00100494" w:rsidR="006963DD">
              <w:t xml:space="preserve">efektīvu </w:t>
            </w:r>
            <w:r w:rsidRPr="00100494" w:rsidR="00F854FF">
              <w:t>darbību. S</w:t>
            </w:r>
            <w:r w:rsidRPr="00100494" w:rsidR="00D8141B">
              <w:t>avukārt maksimālais termiņš (10 gadi)</w:t>
            </w:r>
            <w:r w:rsidRPr="00100494" w:rsidR="00192CF7">
              <w:t xml:space="preserve"> noteikts </w:t>
            </w:r>
            <w:r w:rsidRPr="00100494" w:rsidR="00F854FF">
              <w:t xml:space="preserve">saskaņā ar </w:t>
            </w:r>
            <w:r w:rsidRPr="00100494" w:rsidR="00192CF7">
              <w:rPr>
                <w:bCs/>
              </w:rPr>
              <w:t>EK 2011.gada 20.decembra lēmumā Nr. 2012/21/ES</w:t>
            </w:r>
            <w:r w:rsidRPr="00100494" w:rsidR="00F854FF">
              <w:rPr>
                <w:bCs/>
              </w:rPr>
              <w:t xml:space="preserve"> noteikto</w:t>
            </w:r>
            <w:r w:rsidRPr="00100494" w:rsidR="00192CF7">
              <w:rPr>
                <w:bCs/>
              </w:rPr>
              <w:t>.</w:t>
            </w:r>
            <w:r w:rsidRPr="00F854FF" w:rsidR="00F854FF">
              <w:rPr>
                <w:b/>
                <w:bCs/>
              </w:rPr>
              <w:t xml:space="preserve"> </w:t>
            </w:r>
          </w:p>
          <w:p w:rsidR="00F64F2D" w:rsidP="00F64F2D" w14:paraId="7FFC19F6" w14:textId="77777777">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neparedz izslēgt no dalības atklātā projektu iesniegumu atlasē citus komersantus, kas nav sabiedriskā pakalpojuma sniedzēji. Projektus kompostēšanas laukumu izveidei tāpat kā līdz šim varēs pieteikt arī pašvaldības un to iestādes. Attiecībā uz projektu iesniedzējiem, kas nav sabiedriskā pakalpojuma sniedzēji, saglabājas spēkā esošais normatīvais regulējums, kur jāņem vērā visi valsts atbalsta nosacījumi. </w:t>
            </w:r>
          </w:p>
          <w:p w:rsidR="006D7216" w:rsidRPr="005204A9" w:rsidP="00F64F2D" w14:paraId="1A4CCF16" w14:textId="135E24FB">
            <w:pPr>
              <w:pStyle w:val="ListParagraph"/>
              <w:spacing w:after="120"/>
              <w:ind w:left="0"/>
              <w:jc w:val="both"/>
              <w:rPr>
                <w:rFonts w:eastAsia="Calibri"/>
                <w:bCs/>
                <w:sz w:val="24"/>
                <w:szCs w:val="24"/>
              </w:rPr>
            </w:pPr>
            <w:r>
              <w:rPr>
                <w:rFonts w:eastAsia="Calibri"/>
                <w:bCs/>
                <w:sz w:val="24"/>
                <w:szCs w:val="24"/>
              </w:rPr>
              <w:t>Papildu</w:t>
            </w:r>
            <w:r w:rsidR="00A1717B">
              <w:rPr>
                <w:rFonts w:eastAsia="Calibri"/>
                <w:bCs/>
                <w:sz w:val="24"/>
                <w:szCs w:val="24"/>
              </w:rPr>
              <w:t>s</w:t>
            </w:r>
            <w:r>
              <w:rPr>
                <w:rFonts w:eastAsia="Calibri"/>
                <w:bCs/>
                <w:sz w:val="24"/>
                <w:szCs w:val="24"/>
              </w:rPr>
              <w:t xml:space="preserve"> precizēti punkti par 5.2.1.2.pasākumā pieejamo finansējumu, kur izmai</w:t>
            </w:r>
            <w:r w:rsidR="00412BCD">
              <w:rPr>
                <w:rFonts w:eastAsia="Calibri"/>
                <w:bCs/>
                <w:sz w:val="24"/>
                <w:szCs w:val="24"/>
              </w:rPr>
              <w:t>ņas veiktas gan attiecībā uz katrā atlases kārtā pieejamo finansējumu līdz 2018.gada 31.decembrim, gan finansējumu kopumā. Izmaiņas attiecībā uz  pieejamo finansējumu līdz 2018.gada 31.decembrim ir redakcionālas un veiktas, lai novērstu interpretācijas iespējas. Savukārt kopējā finansējuma izmaiņas radušās līdz ar trešajā atlases kārtā diferencēto K</w:t>
            </w:r>
            <w:r w:rsidR="006963DD">
              <w:rPr>
                <w:rFonts w:eastAsia="Calibri"/>
                <w:bCs/>
                <w:sz w:val="24"/>
                <w:szCs w:val="24"/>
              </w:rPr>
              <w:t>ohēzijas fonda</w:t>
            </w:r>
            <w:r w:rsidR="00412BCD">
              <w:rPr>
                <w:rFonts w:eastAsia="Calibri"/>
                <w:bCs/>
                <w:sz w:val="24"/>
                <w:szCs w:val="24"/>
              </w:rPr>
              <w:t xml:space="preserve"> atbalsta likmi, kas nemaina </w:t>
            </w:r>
            <w:r w:rsidR="00412BCD">
              <w:rPr>
                <w:rFonts w:eastAsia="Calibri"/>
                <w:bCs/>
                <w:sz w:val="24"/>
                <w:szCs w:val="24"/>
              </w:rPr>
              <w:t>nosacījumus komersantiem, kas nav sabiedriskā pakalpojuma sniedzēji, nodrošināt līdzfinansējumu vismaz 65% apmērā.</w:t>
            </w:r>
          </w:p>
          <w:p w:rsidR="00D8141B" w:rsidP="00D8141B" w14:paraId="5033FBC6" w14:textId="77777777">
            <w:pPr>
              <w:spacing w:after="120"/>
              <w:jc w:val="both"/>
              <w:rPr>
                <w:b/>
              </w:rPr>
            </w:pPr>
            <w:r w:rsidRPr="005204A9">
              <w:t>Tāpat atbilstoši Energoefektivitātes likumā 15.panta ceturtajai daļai  MK noteikumu projekts nosaka papildu pienākumu finansējuma saņēmējam turpmākos trīs gadus pēc projekta īstenošanas ik gadu sniegt informāciju par objekta enerģijas patēriņu pirms un pēc projekta īstenošanas. Šī prasība ir attiecināma uz objektiem</w:t>
            </w:r>
            <w:r w:rsidR="00A87E09">
              <w:t>, kas patērē enerģiju</w:t>
            </w:r>
            <w:r w:rsidRPr="005204A9">
              <w:t>, piemēram, pārstrādes iekārtām vai transportlīdzekļiem (tai skaitā traktortehniku).</w:t>
            </w:r>
            <w:r w:rsidR="007A2EB1">
              <w:t xml:space="preserve"> </w:t>
            </w:r>
            <w:r w:rsidRPr="00100494" w:rsidR="007A2EB1">
              <w:t>Līdzvērtīgs pienākums noteikts arī attiecībā uz horizontālā principa “Ilgtspējīga attīstība” rādītāju par zaļajām darba vietām. Abi rādītāji uzskaitāmi ar</w:t>
            </w:r>
            <w:r w:rsidRPr="00100494" w:rsidR="002166AE">
              <w:t>ī projektu iesniegumu atlases pirmajā un otrajā kārtā, un šāda prasība iekļaujama līgumos vai vienošanās ar projektu iesniedzējiem. Rādītāju uzskaite uzliek pienākumu šādus datus uzkrāt, bet nerada finansiāla rakstura sekas (korekcija, neatbilsto</w:t>
            </w:r>
            <w:r w:rsidRPr="00100494">
              <w:t>ši veikti izdevumi).</w:t>
            </w:r>
          </w:p>
          <w:p w:rsidR="00545469" w:rsidRPr="005204A9" w:rsidP="00D8141B" w14:paraId="79753B9B" w14:textId="795515D8">
            <w:pPr>
              <w:spacing w:after="120"/>
              <w:jc w:val="both"/>
            </w:pPr>
            <w:r>
              <w:t>Ierosinātie grozījumi uz jau uzsāktajām 5.2.1.2.pasākuma projektu iesniegumu atlasēm neatstāj būtisku ietekmi, jo MK noteikumu projektā ietvertas normas, kas projektu iesniedzējiem būtu tāpat saistošas, noslēdzot līgumu par projekta īstenošanu, piemēram, prasība uzkrāt datus par enerģijas patēriņu.</w:t>
            </w:r>
          </w:p>
        </w:tc>
      </w:tr>
      <w:tr w14:paraId="48198750" w14:textId="77777777" w:rsidTr="00DB2BCB">
        <w:tblPrEx>
          <w:tblW w:w="9351" w:type="dxa"/>
          <w:tblLayout w:type="fixed"/>
          <w:tblLook w:val="04A0"/>
        </w:tblPrEx>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04A9" w:rsidP="00A43433" w14:paraId="4415D411" w14:textId="2CC4BDF3">
            <w:pPr>
              <w:jc w:val="center"/>
              <w:rPr>
                <w:lang w:eastAsia="en-US"/>
              </w:rPr>
            </w:pPr>
            <w:r w:rsidRPr="005204A9">
              <w:t>3.</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04A9" w:rsidP="00A43433" w14:paraId="14756D3D" w14:textId="77777777">
            <w:pPr>
              <w:rPr>
                <w:lang w:eastAsia="en-US"/>
              </w:rPr>
            </w:pPr>
            <w:r w:rsidRPr="005204A9">
              <w:t>Projekta izstrādē iesaistītās institūcijas</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rsidR="00893FBD" w:rsidRPr="005204A9" w:rsidP="00337603" w14:paraId="77EC8790" w14:textId="31F6AE98">
            <w:pPr>
              <w:pStyle w:val="naiskr"/>
              <w:spacing w:before="0" w:beforeAutospacing="0" w:after="120" w:afterAutospacing="0"/>
              <w:ind w:right="57"/>
              <w:jc w:val="both"/>
            </w:pPr>
            <w:r w:rsidRPr="005204A9">
              <w:t>Nav.</w:t>
            </w:r>
          </w:p>
        </w:tc>
      </w:tr>
      <w:tr w14:paraId="01FDE948" w14:textId="77777777" w:rsidTr="00B332E3">
        <w:tblPrEx>
          <w:tblW w:w="9351" w:type="dxa"/>
          <w:tblLayout w:type="fixed"/>
          <w:tblLook w:val="04A0"/>
        </w:tblPrEx>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04A9" w:rsidP="00A43433" w14:paraId="1668E666" w14:textId="77777777">
            <w:pPr>
              <w:jc w:val="center"/>
              <w:rPr>
                <w:lang w:eastAsia="en-US"/>
              </w:rPr>
            </w:pPr>
            <w:r w:rsidRPr="005204A9">
              <w:t>4.</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330C43" w:rsidRPr="005204A9" w:rsidP="00A43433" w14:paraId="515BA4D4" w14:textId="77777777">
            <w:pPr>
              <w:rPr>
                <w:lang w:eastAsia="en-US"/>
              </w:rPr>
            </w:pPr>
            <w:r w:rsidRPr="005204A9">
              <w:t>Cita informācija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rsidR="001359CE" w:rsidRPr="00100494" w:rsidP="0093794C" w14:paraId="43CF47AF" w14:textId="7D2D4F9A">
            <w:pPr>
              <w:shd w:val="clear" w:color="auto" w:fill="FFFFFF"/>
              <w:ind w:right="113"/>
              <w:jc w:val="both"/>
            </w:pPr>
            <w:r w:rsidRPr="00100494">
              <w:rPr>
                <w:color w:val="000000" w:themeColor="text1"/>
              </w:rPr>
              <w:t>Nav.</w:t>
            </w:r>
          </w:p>
        </w:tc>
      </w:tr>
    </w:tbl>
    <w:p w:rsidR="009D761C" w:rsidRPr="005817EF" w:rsidP="009D761C" w14:paraId="04EB276E" w14:textId="77777777">
      <w:pPr>
        <w:rPr>
          <w:vanish/>
          <w:color w:val="000000" w:themeColor="text1"/>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
        <w:gridCol w:w="2604"/>
        <w:gridCol w:w="6200"/>
      </w:tblGrid>
      <w:tr w14:paraId="1BDFA207" w14:textId="77777777" w:rsidTr="00A20E76">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356" w:type="dxa"/>
            <w:gridSpan w:val="3"/>
            <w:vAlign w:val="center"/>
          </w:tcPr>
          <w:p w:rsidR="0055506E" w:rsidRPr="005817EF" w:rsidP="00643A3C" w14:paraId="4C546A40" w14:textId="77777777">
            <w:pPr>
              <w:pStyle w:val="naisnod"/>
              <w:spacing w:before="0" w:beforeAutospacing="0" w:after="0" w:afterAutospacing="0"/>
              <w:ind w:left="57" w:right="57"/>
              <w:jc w:val="center"/>
              <w:rPr>
                <w:b/>
                <w:color w:val="000000" w:themeColor="text1"/>
              </w:rPr>
            </w:pPr>
            <w:r w:rsidRPr="005817EF">
              <w:rPr>
                <w:b/>
                <w:color w:val="000000" w:themeColor="text1"/>
              </w:rPr>
              <w:t>II. Tiesību akta projekta ietekme uz sabiedrību, tautsaimniecības attīstību</w:t>
            </w:r>
          </w:p>
          <w:p w:rsidR="0055506E" w:rsidRPr="005817EF" w:rsidP="00643A3C" w14:paraId="5D7CE810" w14:textId="77777777">
            <w:pPr>
              <w:pStyle w:val="naisnod"/>
              <w:spacing w:before="0" w:beforeAutospacing="0" w:after="0" w:afterAutospacing="0"/>
              <w:ind w:left="57" w:right="57"/>
              <w:jc w:val="center"/>
              <w:rPr>
                <w:b/>
                <w:color w:val="000000" w:themeColor="text1"/>
                <w:highlight w:val="yellow"/>
              </w:rPr>
            </w:pPr>
            <w:r w:rsidRPr="005817EF">
              <w:rPr>
                <w:b/>
                <w:color w:val="000000" w:themeColor="text1"/>
              </w:rPr>
              <w:t>un administratīvo slogu</w:t>
            </w:r>
          </w:p>
        </w:tc>
      </w:tr>
      <w:tr w14:paraId="5EF140CB" w14:textId="77777777" w:rsidTr="00A20E76">
        <w:tblPrEx>
          <w:tblW w:w="9356" w:type="dxa"/>
          <w:tblInd w:w="-5" w:type="dxa"/>
          <w:tblLayout w:type="fixed"/>
          <w:tblCellMar>
            <w:left w:w="0" w:type="dxa"/>
            <w:right w:w="0" w:type="dxa"/>
          </w:tblCellMar>
          <w:tblLook w:val="0000"/>
        </w:tblPrEx>
        <w:trPr>
          <w:trHeight w:val="467"/>
        </w:trPr>
        <w:tc>
          <w:tcPr>
            <w:tcW w:w="552" w:type="dxa"/>
          </w:tcPr>
          <w:p w:rsidR="0055506E" w:rsidRPr="005817EF" w:rsidP="00643A3C" w14:paraId="6D57B5D1" w14:textId="77777777">
            <w:pPr>
              <w:pStyle w:val="naiskr"/>
              <w:spacing w:before="0" w:beforeAutospacing="0" w:after="0" w:afterAutospacing="0"/>
              <w:ind w:left="57" w:right="57"/>
              <w:jc w:val="both"/>
              <w:rPr>
                <w:color w:val="000000" w:themeColor="text1"/>
              </w:rPr>
            </w:pPr>
            <w:r w:rsidRPr="005817EF">
              <w:rPr>
                <w:color w:val="000000" w:themeColor="text1"/>
              </w:rPr>
              <w:t>1.</w:t>
            </w:r>
          </w:p>
        </w:tc>
        <w:tc>
          <w:tcPr>
            <w:tcW w:w="2604" w:type="dxa"/>
          </w:tcPr>
          <w:p w:rsidR="0055506E" w:rsidRPr="005817EF" w:rsidP="00643A3C" w14:paraId="58E6F382" w14:textId="77777777">
            <w:pPr>
              <w:pStyle w:val="naiskr"/>
              <w:spacing w:before="0" w:beforeAutospacing="0" w:after="0" w:afterAutospacing="0"/>
              <w:ind w:left="57" w:right="57"/>
              <w:rPr>
                <w:color w:val="000000" w:themeColor="text1"/>
              </w:rPr>
            </w:pPr>
            <w:r w:rsidRPr="005817EF">
              <w:rPr>
                <w:color w:val="000000" w:themeColor="text1"/>
              </w:rPr>
              <w:t>Sabiedrības mērķgrupas, kuras tiesiskais regulējums ietekmē vai varētu ietekmēt</w:t>
            </w:r>
          </w:p>
        </w:tc>
        <w:tc>
          <w:tcPr>
            <w:tcW w:w="6200" w:type="dxa"/>
          </w:tcPr>
          <w:p w:rsidR="00950A6A" w:rsidRPr="005817EF" w:rsidP="00A1717B" w14:paraId="2F18A150" w14:textId="4C097F42">
            <w:pPr>
              <w:shd w:val="clear" w:color="auto" w:fill="FFFFFF"/>
              <w:ind w:left="57" w:right="113"/>
              <w:jc w:val="both"/>
              <w:rPr>
                <w:color w:val="000000" w:themeColor="text1"/>
                <w:highlight w:val="yellow"/>
              </w:rPr>
            </w:pPr>
            <w:bookmarkStart w:id="0" w:name="p21"/>
            <w:bookmarkEnd w:id="0"/>
            <w:r w:rsidRPr="005817EF">
              <w:rPr>
                <w:color w:val="000000" w:themeColor="text1"/>
              </w:rPr>
              <w:t xml:space="preserve">MK noteikumu projekts ietekmē </w:t>
            </w:r>
            <w:r w:rsidRPr="005817EF" w:rsidR="00DF48F6">
              <w:rPr>
                <w:color w:val="000000" w:themeColor="text1"/>
              </w:rPr>
              <w:t>tiešās pārvaldes iestādes</w:t>
            </w:r>
            <w:r w:rsidRPr="005817EF">
              <w:rPr>
                <w:color w:val="000000" w:themeColor="text1"/>
              </w:rPr>
              <w:t>, kas iesaistītas ES fondu vadībā (vadošā iestāde, atbildīgā iestāde, sadarbības iestāde u.c.), kā arī projekt</w:t>
            </w:r>
            <w:r w:rsidR="00A1717B">
              <w:rPr>
                <w:color w:val="000000" w:themeColor="text1"/>
              </w:rPr>
              <w:t>u</w:t>
            </w:r>
            <w:r w:rsidRPr="005817EF">
              <w:rPr>
                <w:color w:val="000000" w:themeColor="text1"/>
              </w:rPr>
              <w:t xml:space="preserve"> iesniedzēju</w:t>
            </w:r>
            <w:r w:rsidR="00F60633">
              <w:rPr>
                <w:color w:val="000000" w:themeColor="text1"/>
              </w:rPr>
              <w:t>s – sadzīves atkritumu apglabāšanas</w:t>
            </w:r>
            <w:r w:rsidR="003B14D4">
              <w:rPr>
                <w:color w:val="000000" w:themeColor="text1"/>
              </w:rPr>
              <w:t xml:space="preserve"> sabiedriskā pakalpojuma sniedzējus</w:t>
            </w:r>
            <w:r w:rsidR="00F60633">
              <w:rPr>
                <w:color w:val="000000" w:themeColor="text1"/>
              </w:rPr>
              <w:t>, kas plāno projektu iesniegšanu trešajā atlases kārtā projektu iesniegumu</w:t>
            </w:r>
            <w:r w:rsidR="003B14D4">
              <w:rPr>
                <w:color w:val="000000" w:themeColor="text1"/>
              </w:rPr>
              <w:t>.</w:t>
            </w:r>
          </w:p>
        </w:tc>
      </w:tr>
      <w:tr w14:paraId="3A453832" w14:textId="77777777" w:rsidTr="00A20E76">
        <w:tblPrEx>
          <w:tblW w:w="9356" w:type="dxa"/>
          <w:tblInd w:w="-5" w:type="dxa"/>
          <w:tblLayout w:type="fixed"/>
          <w:tblCellMar>
            <w:left w:w="0" w:type="dxa"/>
            <w:right w:w="0" w:type="dxa"/>
          </w:tblCellMar>
          <w:tblLook w:val="0000"/>
        </w:tblPrEx>
        <w:trPr>
          <w:trHeight w:val="523"/>
        </w:trPr>
        <w:tc>
          <w:tcPr>
            <w:tcW w:w="552" w:type="dxa"/>
          </w:tcPr>
          <w:p w:rsidR="0055506E" w:rsidRPr="005817EF" w:rsidP="00643A3C" w14:paraId="684F9791" w14:textId="77777777">
            <w:pPr>
              <w:pStyle w:val="naiskr"/>
              <w:spacing w:before="0" w:beforeAutospacing="0" w:after="0" w:afterAutospacing="0"/>
              <w:ind w:left="57" w:right="57"/>
              <w:jc w:val="both"/>
              <w:rPr>
                <w:color w:val="000000" w:themeColor="text1"/>
              </w:rPr>
            </w:pPr>
            <w:r w:rsidRPr="005817EF">
              <w:rPr>
                <w:color w:val="000000" w:themeColor="text1"/>
              </w:rPr>
              <w:t>2.</w:t>
            </w:r>
          </w:p>
        </w:tc>
        <w:tc>
          <w:tcPr>
            <w:tcW w:w="2604" w:type="dxa"/>
          </w:tcPr>
          <w:p w:rsidR="0055506E" w:rsidRPr="005817EF" w:rsidP="00643A3C" w14:paraId="50767E20" w14:textId="77777777">
            <w:pPr>
              <w:pStyle w:val="naiskr"/>
              <w:spacing w:before="0" w:beforeAutospacing="0" w:after="0" w:afterAutospacing="0"/>
              <w:ind w:left="57" w:right="57"/>
              <w:rPr>
                <w:color w:val="000000" w:themeColor="text1"/>
              </w:rPr>
            </w:pPr>
            <w:r w:rsidRPr="005817EF">
              <w:rPr>
                <w:color w:val="000000" w:themeColor="text1"/>
              </w:rPr>
              <w:t>Tiesiskā regulējuma ietekme uz tautsaimniecību un administratīvo slogu</w:t>
            </w:r>
          </w:p>
        </w:tc>
        <w:tc>
          <w:tcPr>
            <w:tcW w:w="6200" w:type="dxa"/>
          </w:tcPr>
          <w:p w:rsidR="009F5CCB" w:rsidRPr="005817EF" w:rsidP="00643A3C" w14:paraId="6CD17367" w14:textId="27A60E5B">
            <w:pPr>
              <w:shd w:val="clear" w:color="auto" w:fill="FFFFFF"/>
              <w:ind w:left="57" w:right="113"/>
              <w:jc w:val="both"/>
              <w:rPr>
                <w:color w:val="000000" w:themeColor="text1"/>
              </w:rPr>
            </w:pPr>
            <w:r w:rsidRPr="005817EF">
              <w:rPr>
                <w:color w:val="000000" w:themeColor="text1"/>
              </w:rPr>
              <w:t>MK n</w:t>
            </w:r>
            <w:r w:rsidRPr="005817EF">
              <w:rPr>
                <w:color w:val="000000" w:themeColor="text1"/>
              </w:rPr>
              <w:t xml:space="preserve">oteikumu projekta ietvaros finansējuma saņēmējs sagatavo un iesniedz projekta iesniegumu, kā arī savā tīmekļvietnē ievieto un aktualizē informāciju par projektu, savukārt sadarbības iestāde </w:t>
            </w:r>
            <w:r w:rsidRPr="005817EF" w:rsidR="00F2382B">
              <w:rPr>
                <w:color w:val="000000" w:themeColor="text1"/>
              </w:rPr>
              <w:t>izvērtē</w:t>
            </w:r>
            <w:r w:rsidRPr="005817EF">
              <w:rPr>
                <w:color w:val="000000" w:themeColor="text1"/>
              </w:rPr>
              <w:t xml:space="preserve"> projekta iesniegumu, tā grozījumus, kā arī veic projekta </w:t>
            </w:r>
            <w:r w:rsidRPr="005817EF">
              <w:rPr>
                <w:color w:val="000000" w:themeColor="text1"/>
              </w:rPr>
              <w:t xml:space="preserve">ieviešanas </w:t>
            </w:r>
            <w:r w:rsidRPr="005817EF">
              <w:rPr>
                <w:color w:val="000000" w:themeColor="text1"/>
              </w:rPr>
              <w:t>uzraudzību</w:t>
            </w:r>
            <w:r w:rsidRPr="005817EF">
              <w:rPr>
                <w:color w:val="000000" w:themeColor="text1"/>
              </w:rPr>
              <w:t xml:space="preserve"> un pēcuzraudzību</w:t>
            </w:r>
            <w:r w:rsidRPr="005817EF">
              <w:rPr>
                <w:color w:val="000000" w:themeColor="text1"/>
              </w:rPr>
              <w:t>. Gan projekta iesniedzēj</w:t>
            </w:r>
            <w:r w:rsidR="003B14D4">
              <w:rPr>
                <w:color w:val="000000" w:themeColor="text1"/>
              </w:rPr>
              <w:t>iem</w:t>
            </w:r>
            <w:r w:rsidRPr="005817EF">
              <w:rPr>
                <w:color w:val="000000" w:themeColor="text1"/>
              </w:rPr>
              <w:t>,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14:paraId="22618A42" w14:textId="77777777" w:rsidTr="00A20E76">
        <w:tblPrEx>
          <w:tblW w:w="9356" w:type="dxa"/>
          <w:tblInd w:w="-5" w:type="dxa"/>
          <w:tblLayout w:type="fixed"/>
          <w:tblCellMar>
            <w:left w:w="0" w:type="dxa"/>
            <w:right w:w="0" w:type="dxa"/>
          </w:tblCellMar>
          <w:tblLook w:val="0000"/>
        </w:tblPrEx>
        <w:trPr>
          <w:trHeight w:val="523"/>
        </w:trPr>
        <w:tc>
          <w:tcPr>
            <w:tcW w:w="552" w:type="dxa"/>
          </w:tcPr>
          <w:p w:rsidR="0055506E" w:rsidRPr="005817EF" w:rsidP="00643A3C" w14:paraId="0C89A0B9" w14:textId="77777777">
            <w:pPr>
              <w:pStyle w:val="naiskr"/>
              <w:spacing w:before="0" w:beforeAutospacing="0" w:after="0" w:afterAutospacing="0"/>
              <w:ind w:left="57" w:right="57"/>
              <w:jc w:val="both"/>
              <w:rPr>
                <w:color w:val="000000" w:themeColor="text1"/>
              </w:rPr>
            </w:pPr>
            <w:r w:rsidRPr="005817EF">
              <w:rPr>
                <w:color w:val="000000" w:themeColor="text1"/>
              </w:rPr>
              <w:t>3.</w:t>
            </w:r>
          </w:p>
        </w:tc>
        <w:tc>
          <w:tcPr>
            <w:tcW w:w="2604" w:type="dxa"/>
          </w:tcPr>
          <w:p w:rsidR="0055506E" w:rsidRPr="005817EF" w:rsidP="00643A3C" w14:paraId="16E7826C" w14:textId="77777777">
            <w:pPr>
              <w:pStyle w:val="naiskr"/>
              <w:spacing w:before="0" w:beforeAutospacing="0" w:after="0" w:afterAutospacing="0"/>
              <w:ind w:left="57" w:right="57"/>
              <w:rPr>
                <w:color w:val="000000" w:themeColor="text1"/>
              </w:rPr>
            </w:pPr>
            <w:r w:rsidRPr="005817EF">
              <w:rPr>
                <w:color w:val="000000" w:themeColor="text1"/>
              </w:rPr>
              <w:t>Administratīvo izmaksu monetārs novērtējums</w:t>
            </w:r>
          </w:p>
        </w:tc>
        <w:tc>
          <w:tcPr>
            <w:tcW w:w="6200" w:type="dxa"/>
          </w:tcPr>
          <w:p w:rsidR="009F5CCB" w:rsidRPr="005817EF" w:rsidP="00643A3C" w14:paraId="4A8318F7" w14:textId="2BC5A2F9">
            <w:pPr>
              <w:shd w:val="clear" w:color="auto" w:fill="FFFFFF"/>
              <w:ind w:left="57" w:right="113"/>
              <w:jc w:val="both"/>
              <w:rPr>
                <w:color w:val="000000" w:themeColor="text1"/>
                <w:sz w:val="22"/>
                <w:szCs w:val="22"/>
              </w:rPr>
            </w:pPr>
            <w:r>
              <w:rPr>
                <w:color w:val="000000" w:themeColor="text1"/>
              </w:rPr>
              <w:t>MK noteikumu projekts</w:t>
            </w:r>
            <w:r w:rsidRPr="005817EF" w:rsidR="00EB2F30">
              <w:rPr>
                <w:color w:val="000000" w:themeColor="text1"/>
              </w:rPr>
              <w:t xml:space="preserve"> neietekmēs spēkā esošo tiesību normu sistēmu. Vērtējot pasākuma īstenošanas ietekmi uz administratīvajām procedūrām un to izmaksām, nav identificēts administratīvā sloga paliel</w:t>
            </w:r>
            <w:r>
              <w:rPr>
                <w:color w:val="000000" w:themeColor="text1"/>
              </w:rPr>
              <w:t xml:space="preserve">inājums ne finansējuma </w:t>
            </w:r>
            <w:r>
              <w:rPr>
                <w:color w:val="000000" w:themeColor="text1"/>
              </w:rPr>
              <w:t>saņēmējiem</w:t>
            </w:r>
            <w:r w:rsidRPr="005817EF" w:rsidR="00EB2F30">
              <w:rPr>
                <w:color w:val="000000" w:themeColor="text1"/>
              </w:rPr>
              <w:t>, ne ES fondu vadībā iesaistītajām institūcijām, salīdzinot ar procedūrām, kuras kā obligā</w:t>
            </w:r>
            <w:r>
              <w:rPr>
                <w:color w:val="000000" w:themeColor="text1"/>
              </w:rPr>
              <w:t>tas jāveic projektu iesniedzējiem</w:t>
            </w:r>
            <w:r w:rsidRPr="005817EF" w:rsidR="00EB2F30">
              <w:rPr>
                <w:color w:val="000000" w:themeColor="text1"/>
              </w:rPr>
              <w:t xml:space="preserve"> un ES fondu vadībā iesaistītajām institūcijām.</w:t>
            </w:r>
          </w:p>
        </w:tc>
      </w:tr>
      <w:tr w14:paraId="378E202D" w14:textId="77777777" w:rsidTr="00A20E76">
        <w:tblPrEx>
          <w:tblW w:w="9356" w:type="dxa"/>
          <w:tblInd w:w="-5" w:type="dxa"/>
          <w:tblLayout w:type="fixed"/>
          <w:tblCellMar>
            <w:left w:w="0" w:type="dxa"/>
            <w:right w:w="0" w:type="dxa"/>
          </w:tblCellMar>
          <w:tblLook w:val="0000"/>
        </w:tblPrEx>
        <w:trPr>
          <w:trHeight w:val="357"/>
        </w:trPr>
        <w:tc>
          <w:tcPr>
            <w:tcW w:w="552" w:type="dxa"/>
          </w:tcPr>
          <w:p w:rsidR="0055506E" w:rsidRPr="005817EF" w:rsidP="00643A3C" w14:paraId="1301C73E" w14:textId="77777777">
            <w:pPr>
              <w:pStyle w:val="naiskr"/>
              <w:spacing w:before="0" w:beforeAutospacing="0" w:after="0" w:afterAutospacing="0"/>
              <w:ind w:left="57" w:right="57"/>
              <w:jc w:val="both"/>
              <w:rPr>
                <w:color w:val="000000" w:themeColor="text1"/>
              </w:rPr>
            </w:pPr>
            <w:r w:rsidRPr="005817EF">
              <w:rPr>
                <w:color w:val="000000" w:themeColor="text1"/>
              </w:rPr>
              <w:t>4.</w:t>
            </w:r>
          </w:p>
        </w:tc>
        <w:tc>
          <w:tcPr>
            <w:tcW w:w="2604" w:type="dxa"/>
          </w:tcPr>
          <w:p w:rsidR="0055506E" w:rsidRPr="005817EF" w:rsidP="00643A3C" w14:paraId="46455104" w14:textId="77777777">
            <w:pPr>
              <w:pStyle w:val="naiskr"/>
              <w:spacing w:before="0" w:beforeAutospacing="0" w:after="0" w:afterAutospacing="0"/>
              <w:ind w:left="57" w:right="57"/>
              <w:rPr>
                <w:color w:val="000000" w:themeColor="text1"/>
              </w:rPr>
            </w:pPr>
            <w:r w:rsidRPr="005817EF">
              <w:rPr>
                <w:color w:val="000000" w:themeColor="text1"/>
              </w:rPr>
              <w:t>Cita informācija</w:t>
            </w:r>
          </w:p>
        </w:tc>
        <w:tc>
          <w:tcPr>
            <w:tcW w:w="6200" w:type="dxa"/>
          </w:tcPr>
          <w:p w:rsidR="00D47D57" w:rsidRPr="005817EF" w:rsidP="00643A3C" w14:paraId="6C41E8D5" w14:textId="60834C12">
            <w:pPr>
              <w:shd w:val="clear" w:color="auto" w:fill="FFFFFF"/>
              <w:ind w:left="57" w:right="113"/>
              <w:jc w:val="both"/>
              <w:rPr>
                <w:color w:val="000000" w:themeColor="text1"/>
              </w:rPr>
            </w:pPr>
            <w:r>
              <w:rPr>
                <w:color w:val="000000" w:themeColor="text1"/>
              </w:rPr>
              <w:t>Nav.</w:t>
            </w:r>
          </w:p>
        </w:tc>
      </w:tr>
    </w:tbl>
    <w:p w:rsidR="00BF36C1" w:rsidP="00C61A59" w14:paraId="62752E4B" w14:textId="77777777">
      <w:pPr>
        <w:jc w:val="both"/>
        <w:rPr>
          <w:color w:val="000000" w:themeColor="text1"/>
          <w:highlight w:val="yellow"/>
        </w:rPr>
      </w:pPr>
    </w:p>
    <w:p w:rsidR="007B23B7" w:rsidP="00F60633" w14:paraId="19C7A655" w14:textId="4C0F8B0E">
      <w:pPr>
        <w:rPr>
          <w:i/>
          <w:iCs/>
        </w:rPr>
      </w:pPr>
      <w:r w:rsidRPr="00F60633">
        <w:rPr>
          <w:i/>
        </w:rPr>
        <w:t>Anotācijas III., IV.</w:t>
      </w:r>
      <w:r>
        <w:rPr>
          <w:i/>
        </w:rPr>
        <w:t xml:space="preserve"> </w:t>
      </w:r>
      <w:r w:rsidRPr="00F60633">
        <w:rPr>
          <w:i/>
        </w:rPr>
        <w:t xml:space="preserve">sadaļa – </w:t>
      </w:r>
      <w:r w:rsidRPr="00F60633">
        <w:rPr>
          <w:i/>
          <w:iCs/>
        </w:rPr>
        <w:t>projekts šo jomu neskar.</w:t>
      </w:r>
    </w:p>
    <w:p w:rsidR="007B146F" w:rsidP="00F60633" w14:paraId="561A81CA" w14:textId="77777777">
      <w:pPr>
        <w:rPr>
          <w:i/>
          <w:iCs/>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2552"/>
        <w:gridCol w:w="6247"/>
      </w:tblGrid>
      <w:tr w14:paraId="768FEAEA" w14:textId="77777777" w:rsidTr="00A20E76">
        <w:tblPrEx>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366" w:type="dxa"/>
            <w:gridSpan w:val="3"/>
            <w:tcBorders>
              <w:top w:val="single" w:sz="4" w:space="0" w:color="auto"/>
              <w:left w:val="single" w:sz="4" w:space="0" w:color="auto"/>
              <w:bottom w:val="single" w:sz="4" w:space="0" w:color="auto"/>
              <w:right w:val="single" w:sz="4" w:space="0" w:color="auto"/>
            </w:tcBorders>
            <w:vAlign w:val="center"/>
            <w:hideMark/>
          </w:tcPr>
          <w:p w:rsidR="007B146F" w:rsidRPr="00C10D84" w:rsidP="00BF5342" w14:paraId="59358DDB" w14:textId="77777777">
            <w:pPr>
              <w:ind w:left="57" w:right="57"/>
              <w:jc w:val="center"/>
              <w:rPr>
                <w:rFonts w:eastAsia="Times New Roman"/>
              </w:rPr>
            </w:pPr>
            <w:r w:rsidRPr="00C10D84">
              <w:rPr>
                <w:rFonts w:eastAsia="Times New Roman"/>
                <w:b/>
              </w:rPr>
              <w:t>V. Tiesību akta projekta atbilstība Latvijas Republikas starptautiskajām saistībām</w:t>
            </w:r>
          </w:p>
        </w:tc>
      </w:tr>
      <w:tr w14:paraId="0DAE5C80" w14:textId="77777777" w:rsidTr="00A20E76">
        <w:tblPrEx>
          <w:tblW w:w="9366" w:type="dxa"/>
          <w:tblInd w:w="-5" w:type="dxa"/>
          <w:tblCellMar>
            <w:left w:w="0" w:type="dxa"/>
            <w:right w:w="0" w:type="dxa"/>
          </w:tblCellMar>
          <w:tblLook w:val="04A0"/>
        </w:tblPrEx>
        <w:trPr>
          <w:trHeight w:val="553"/>
        </w:trPr>
        <w:tc>
          <w:tcPr>
            <w:tcW w:w="567" w:type="dxa"/>
            <w:tcBorders>
              <w:top w:val="single" w:sz="4" w:space="0" w:color="auto"/>
              <w:left w:val="single" w:sz="4" w:space="0" w:color="auto"/>
              <w:bottom w:val="single" w:sz="4" w:space="0" w:color="auto"/>
              <w:right w:val="single" w:sz="4" w:space="0" w:color="auto"/>
            </w:tcBorders>
            <w:hideMark/>
          </w:tcPr>
          <w:p w:rsidR="007B146F" w:rsidRPr="00C10D84" w:rsidP="00BF5342" w14:paraId="0A34037B" w14:textId="77777777">
            <w:pPr>
              <w:ind w:left="57" w:right="57"/>
              <w:jc w:val="both"/>
              <w:rPr>
                <w:bCs/>
              </w:rPr>
            </w:pPr>
            <w:r w:rsidRPr="00C10D84">
              <w:rPr>
                <w:bCs/>
              </w:rPr>
              <w:t>1.</w:t>
            </w:r>
          </w:p>
        </w:tc>
        <w:tc>
          <w:tcPr>
            <w:tcW w:w="2552" w:type="dxa"/>
            <w:tcBorders>
              <w:top w:val="single" w:sz="4" w:space="0" w:color="auto"/>
              <w:left w:val="single" w:sz="4" w:space="0" w:color="auto"/>
              <w:bottom w:val="single" w:sz="4" w:space="0" w:color="auto"/>
              <w:right w:val="single" w:sz="4" w:space="0" w:color="auto"/>
            </w:tcBorders>
            <w:hideMark/>
          </w:tcPr>
          <w:p w:rsidR="007B146F" w:rsidRPr="00C10D84" w:rsidP="00BF5342" w14:paraId="08762B87" w14:textId="77777777">
            <w:pPr>
              <w:ind w:left="57" w:right="57"/>
            </w:pPr>
            <w:r w:rsidRPr="00C10D84">
              <w:t>Saistības pret Eiropas Savienību</w:t>
            </w:r>
          </w:p>
        </w:tc>
        <w:tc>
          <w:tcPr>
            <w:tcW w:w="6247" w:type="dxa"/>
            <w:tcBorders>
              <w:top w:val="single" w:sz="4" w:space="0" w:color="auto"/>
              <w:left w:val="single" w:sz="4" w:space="0" w:color="auto"/>
              <w:bottom w:val="single" w:sz="4" w:space="0" w:color="auto"/>
              <w:right w:val="single" w:sz="4" w:space="0" w:color="auto"/>
            </w:tcBorders>
            <w:hideMark/>
          </w:tcPr>
          <w:p w:rsidR="007B146F" w:rsidRPr="007B146F" w:rsidP="002B5792" w14:paraId="4F626AF7" w14:textId="7DE4307E">
            <w:pPr>
              <w:shd w:val="clear" w:color="auto" w:fill="FFFFFF"/>
              <w:spacing w:after="120"/>
              <w:ind w:left="80" w:right="113"/>
              <w:jc w:val="both"/>
            </w:pPr>
            <w:r w:rsidRPr="00205237">
              <w:rPr>
                <w:bCs/>
              </w:rPr>
              <w:t>EK 2011.gada 20.decembra lēmums Nr. 2012/21/ES</w:t>
            </w:r>
          </w:p>
        </w:tc>
      </w:tr>
      <w:tr w14:paraId="4FA194C4" w14:textId="77777777" w:rsidTr="00100494">
        <w:tblPrEx>
          <w:tblW w:w="9366" w:type="dxa"/>
          <w:tblInd w:w="-5" w:type="dxa"/>
          <w:tblCellMar>
            <w:left w:w="0" w:type="dxa"/>
            <w:right w:w="0" w:type="dxa"/>
          </w:tblCellMar>
          <w:tblLook w:val="04A0"/>
        </w:tblPrEx>
        <w:trPr>
          <w:trHeight w:val="339"/>
        </w:trPr>
        <w:tc>
          <w:tcPr>
            <w:tcW w:w="567" w:type="dxa"/>
            <w:tcBorders>
              <w:top w:val="single" w:sz="4" w:space="0" w:color="auto"/>
              <w:left w:val="single" w:sz="4" w:space="0" w:color="auto"/>
              <w:bottom w:val="single" w:sz="4" w:space="0" w:color="auto"/>
              <w:right w:val="single" w:sz="4" w:space="0" w:color="auto"/>
            </w:tcBorders>
            <w:hideMark/>
          </w:tcPr>
          <w:p w:rsidR="007B146F" w:rsidRPr="00C10D84" w:rsidP="00BF5342" w14:paraId="751F5B03" w14:textId="77777777">
            <w:pPr>
              <w:ind w:left="57" w:right="57"/>
              <w:jc w:val="both"/>
              <w:rPr>
                <w:bCs/>
              </w:rPr>
            </w:pPr>
            <w:r w:rsidRPr="00C10D84">
              <w:rPr>
                <w:bCs/>
              </w:rPr>
              <w:t>2.</w:t>
            </w:r>
          </w:p>
        </w:tc>
        <w:tc>
          <w:tcPr>
            <w:tcW w:w="2552" w:type="dxa"/>
            <w:tcBorders>
              <w:top w:val="single" w:sz="4" w:space="0" w:color="auto"/>
              <w:left w:val="single" w:sz="4" w:space="0" w:color="auto"/>
              <w:bottom w:val="single" w:sz="4" w:space="0" w:color="auto"/>
              <w:right w:val="single" w:sz="4" w:space="0" w:color="auto"/>
            </w:tcBorders>
            <w:hideMark/>
          </w:tcPr>
          <w:p w:rsidR="007B146F" w:rsidRPr="00C10D84" w:rsidP="00BF5342" w14:paraId="4EF36AFD" w14:textId="77777777">
            <w:pPr>
              <w:ind w:left="57" w:right="57"/>
            </w:pPr>
            <w:r w:rsidRPr="00C10D84">
              <w:t>Citas starptautiskās saistības</w:t>
            </w:r>
          </w:p>
        </w:tc>
        <w:tc>
          <w:tcPr>
            <w:tcW w:w="6247" w:type="dxa"/>
            <w:tcBorders>
              <w:top w:val="single" w:sz="4" w:space="0" w:color="auto"/>
              <w:left w:val="single" w:sz="4" w:space="0" w:color="auto"/>
              <w:bottom w:val="single" w:sz="4" w:space="0" w:color="auto"/>
              <w:right w:val="single" w:sz="4" w:space="0" w:color="auto"/>
            </w:tcBorders>
            <w:hideMark/>
          </w:tcPr>
          <w:p w:rsidR="007B146F" w:rsidRPr="002D27EE" w:rsidP="00BF5342" w14:paraId="6B5C5123" w14:textId="77777777">
            <w:pPr>
              <w:shd w:val="clear" w:color="auto" w:fill="FFFFFF"/>
              <w:ind w:left="57" w:right="113"/>
              <w:jc w:val="both"/>
              <w:rPr>
                <w:kern w:val="24"/>
              </w:rPr>
            </w:pPr>
            <w:r w:rsidRPr="002D27EE">
              <w:rPr>
                <w:iCs/>
              </w:rPr>
              <w:t>MK noteikumu projekts šo jomu neskar.</w:t>
            </w:r>
          </w:p>
        </w:tc>
      </w:tr>
      <w:tr w14:paraId="30D1E204" w14:textId="77777777" w:rsidTr="00100494">
        <w:tblPrEx>
          <w:tblW w:w="9366" w:type="dxa"/>
          <w:tblInd w:w="-5" w:type="dxa"/>
          <w:tblCellMar>
            <w:left w:w="0" w:type="dxa"/>
            <w:right w:w="0" w:type="dxa"/>
          </w:tblCellMar>
          <w:tblLook w:val="04A0"/>
        </w:tblPrEx>
        <w:trPr>
          <w:trHeight w:val="476"/>
        </w:trPr>
        <w:tc>
          <w:tcPr>
            <w:tcW w:w="567" w:type="dxa"/>
            <w:tcBorders>
              <w:top w:val="single" w:sz="4" w:space="0" w:color="auto"/>
              <w:left w:val="single" w:sz="4" w:space="0" w:color="auto"/>
              <w:bottom w:val="single" w:sz="4" w:space="0" w:color="auto"/>
              <w:right w:val="single" w:sz="4" w:space="0" w:color="auto"/>
            </w:tcBorders>
            <w:hideMark/>
          </w:tcPr>
          <w:p w:rsidR="007B146F" w:rsidRPr="00C10D84" w:rsidP="00BF5342" w14:paraId="04D4F029" w14:textId="77777777">
            <w:pPr>
              <w:ind w:left="57" w:right="57"/>
              <w:jc w:val="both"/>
              <w:rPr>
                <w:bCs/>
              </w:rPr>
            </w:pPr>
            <w:r w:rsidRPr="00C10D84">
              <w:rPr>
                <w:bCs/>
              </w:rPr>
              <w:t>3.</w:t>
            </w:r>
          </w:p>
        </w:tc>
        <w:tc>
          <w:tcPr>
            <w:tcW w:w="2552" w:type="dxa"/>
            <w:tcBorders>
              <w:top w:val="single" w:sz="4" w:space="0" w:color="auto"/>
              <w:left w:val="single" w:sz="4" w:space="0" w:color="auto"/>
              <w:bottom w:val="single" w:sz="4" w:space="0" w:color="auto"/>
              <w:right w:val="single" w:sz="4" w:space="0" w:color="auto"/>
            </w:tcBorders>
            <w:hideMark/>
          </w:tcPr>
          <w:p w:rsidR="007B146F" w:rsidRPr="00C10D84" w:rsidP="00BF5342" w14:paraId="780DF6E9" w14:textId="77777777">
            <w:pPr>
              <w:ind w:left="57" w:right="57"/>
            </w:pPr>
            <w:r w:rsidRPr="00C10D84">
              <w:t>Cita informācija</w:t>
            </w:r>
          </w:p>
        </w:tc>
        <w:tc>
          <w:tcPr>
            <w:tcW w:w="6247" w:type="dxa"/>
            <w:tcBorders>
              <w:top w:val="single" w:sz="4" w:space="0" w:color="auto"/>
              <w:left w:val="single" w:sz="4" w:space="0" w:color="auto"/>
              <w:bottom w:val="single" w:sz="4" w:space="0" w:color="auto"/>
              <w:right w:val="single" w:sz="4" w:space="0" w:color="auto"/>
            </w:tcBorders>
            <w:hideMark/>
          </w:tcPr>
          <w:p w:rsidR="007B146F" w:rsidRPr="002D27EE" w:rsidP="00BF5342" w14:paraId="4AC63451" w14:textId="77777777">
            <w:pPr>
              <w:shd w:val="clear" w:color="auto" w:fill="FFFFFF"/>
              <w:ind w:left="57" w:right="113"/>
              <w:jc w:val="both"/>
            </w:pPr>
            <w:r w:rsidRPr="002D27EE">
              <w:t xml:space="preserve">Nav. </w:t>
            </w:r>
          </w:p>
        </w:tc>
      </w:tr>
    </w:tbl>
    <w:p w:rsidR="007B146F" w:rsidP="00F60633" w14:paraId="51F1F541" w14:textId="77777777">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098"/>
        <w:gridCol w:w="1843"/>
        <w:gridCol w:w="2580"/>
      </w:tblGrid>
      <w:tr w14:paraId="3425E741" w14:textId="77777777" w:rsidTr="00A20E76">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356" w:type="dxa"/>
            <w:gridSpan w:val="4"/>
            <w:tcBorders>
              <w:top w:val="single" w:sz="4" w:space="0" w:color="auto"/>
              <w:left w:val="single" w:sz="4" w:space="0" w:color="auto"/>
              <w:bottom w:val="single" w:sz="4" w:space="0" w:color="auto"/>
              <w:right w:val="single" w:sz="4" w:space="0" w:color="auto"/>
            </w:tcBorders>
            <w:hideMark/>
          </w:tcPr>
          <w:p w:rsidR="007B146F" w:rsidRPr="00C10D84" w:rsidP="00BF5342" w14:paraId="62B0CFEF" w14:textId="77777777">
            <w:pPr>
              <w:spacing w:line="276" w:lineRule="auto"/>
              <w:jc w:val="center"/>
              <w:rPr>
                <w:rFonts w:eastAsia="Times New Roman"/>
                <w:lang w:eastAsia="en-US"/>
              </w:rPr>
            </w:pPr>
            <w:r w:rsidRPr="00C10D84">
              <w:rPr>
                <w:rFonts w:eastAsia="Times New Roman"/>
                <w:b/>
                <w:lang w:eastAsia="en-US"/>
              </w:rPr>
              <w:t>1.tabula. Tiesību akta projekta atbilstība ES tiesību aktiem</w:t>
            </w:r>
          </w:p>
        </w:tc>
      </w:tr>
      <w:tr w14:paraId="3A195BB8" w14:textId="77777777" w:rsidTr="00A20E76">
        <w:tblPrEx>
          <w:tblW w:w="9356" w:type="dxa"/>
          <w:tblInd w:w="-5" w:type="dxa"/>
          <w:tblLayout w:type="fixed"/>
          <w:tblLook w:val="01E0"/>
        </w:tblPrEx>
        <w:tc>
          <w:tcPr>
            <w:tcW w:w="2835" w:type="dxa"/>
            <w:tcBorders>
              <w:top w:val="single" w:sz="4" w:space="0" w:color="auto"/>
              <w:left w:val="single" w:sz="4" w:space="0" w:color="auto"/>
              <w:bottom w:val="single" w:sz="4" w:space="0" w:color="auto"/>
              <w:right w:val="single" w:sz="4" w:space="0" w:color="auto"/>
            </w:tcBorders>
            <w:hideMark/>
          </w:tcPr>
          <w:p w:rsidR="007B146F" w:rsidRPr="00C10D84" w:rsidP="00BF5342" w14:paraId="2D2583E1" w14:textId="77777777">
            <w:pPr>
              <w:rPr>
                <w:lang w:eastAsia="en-US"/>
              </w:rPr>
            </w:pPr>
            <w:r w:rsidRPr="00C10D84">
              <w:t>Attiecīgā ES tiesību akta datums, numurs un nosaukums</w:t>
            </w:r>
          </w:p>
        </w:tc>
        <w:tc>
          <w:tcPr>
            <w:tcW w:w="6521" w:type="dxa"/>
            <w:gridSpan w:val="3"/>
            <w:tcBorders>
              <w:top w:val="single" w:sz="4" w:space="0" w:color="auto"/>
              <w:left w:val="single" w:sz="4" w:space="0" w:color="auto"/>
              <w:bottom w:val="single" w:sz="4" w:space="0" w:color="auto"/>
              <w:right w:val="single" w:sz="4" w:space="0" w:color="auto"/>
            </w:tcBorders>
            <w:hideMark/>
          </w:tcPr>
          <w:p w:rsidR="007B146F" w:rsidRPr="00C10D84" w:rsidP="007B146F" w14:paraId="415D79E0" w14:textId="0F2A0020">
            <w:pPr>
              <w:shd w:val="clear" w:color="auto" w:fill="FFFFFF"/>
              <w:spacing w:after="120"/>
              <w:ind w:left="80" w:right="113"/>
              <w:jc w:val="both"/>
              <w:rPr>
                <w:rFonts w:eastAsia="Times New Roman"/>
              </w:rPr>
            </w:pPr>
            <w:r>
              <w:rPr>
                <w:bCs/>
              </w:rPr>
              <w:t>EK</w:t>
            </w:r>
            <w:r w:rsidRPr="007B146F">
              <w:rPr>
                <w:bCs/>
              </w:rPr>
              <w:t xml:space="preserve"> 2011.gada 20.decembra lēmums Nr. 2012/21/ES</w:t>
            </w:r>
          </w:p>
        </w:tc>
      </w:tr>
      <w:tr w14:paraId="1C33276E" w14:textId="77777777" w:rsidTr="00A20E76">
        <w:tblPrEx>
          <w:tblW w:w="9356" w:type="dxa"/>
          <w:tblInd w:w="-5" w:type="dxa"/>
          <w:tblLayout w:type="fixed"/>
          <w:tblLook w:val="01E0"/>
        </w:tblPrEx>
        <w:tc>
          <w:tcPr>
            <w:tcW w:w="2835" w:type="dxa"/>
            <w:tcBorders>
              <w:top w:val="single" w:sz="4" w:space="0" w:color="auto"/>
              <w:left w:val="single" w:sz="4" w:space="0" w:color="auto"/>
              <w:bottom w:val="single" w:sz="4" w:space="0" w:color="auto"/>
              <w:right w:val="single" w:sz="4" w:space="0" w:color="auto"/>
            </w:tcBorders>
            <w:hideMark/>
          </w:tcPr>
          <w:p w:rsidR="007B146F" w:rsidRPr="00C10D84" w:rsidP="00BF5342" w14:paraId="79E07769" w14:textId="77777777">
            <w:pPr>
              <w:jc w:val="center"/>
              <w:rPr>
                <w:lang w:eastAsia="en-US"/>
              </w:rPr>
            </w:pPr>
            <w:r w:rsidRPr="00C10D84">
              <w:t>A</w:t>
            </w:r>
          </w:p>
        </w:tc>
        <w:tc>
          <w:tcPr>
            <w:tcW w:w="2098" w:type="dxa"/>
            <w:tcBorders>
              <w:top w:val="single" w:sz="4" w:space="0" w:color="auto"/>
              <w:left w:val="single" w:sz="4" w:space="0" w:color="auto"/>
              <w:bottom w:val="single" w:sz="4" w:space="0" w:color="auto"/>
              <w:right w:val="single" w:sz="4" w:space="0" w:color="auto"/>
            </w:tcBorders>
            <w:hideMark/>
          </w:tcPr>
          <w:p w:rsidR="007B146F" w:rsidRPr="00C10D84" w:rsidP="00BF5342" w14:paraId="3351E19E" w14:textId="77777777">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rsidR="007B146F" w:rsidRPr="00C10D84" w:rsidP="00BF5342" w14:paraId="67494895" w14:textId="77777777">
            <w:pPr>
              <w:jc w:val="center"/>
              <w:rPr>
                <w:lang w:eastAsia="en-US"/>
              </w:rPr>
            </w:pPr>
            <w:r w:rsidRPr="00C10D84">
              <w:t>C</w:t>
            </w:r>
          </w:p>
        </w:tc>
        <w:tc>
          <w:tcPr>
            <w:tcW w:w="2580" w:type="dxa"/>
            <w:tcBorders>
              <w:top w:val="single" w:sz="4" w:space="0" w:color="auto"/>
              <w:left w:val="single" w:sz="4" w:space="0" w:color="auto"/>
              <w:bottom w:val="single" w:sz="4" w:space="0" w:color="auto"/>
              <w:right w:val="single" w:sz="4" w:space="0" w:color="auto"/>
            </w:tcBorders>
            <w:hideMark/>
          </w:tcPr>
          <w:p w:rsidR="007B146F" w:rsidRPr="00C10D84" w:rsidP="00BF5342" w14:paraId="01726256" w14:textId="77777777">
            <w:pPr>
              <w:jc w:val="center"/>
              <w:rPr>
                <w:lang w:eastAsia="en-US"/>
              </w:rPr>
            </w:pPr>
            <w:r w:rsidRPr="00C10D84">
              <w:t>D</w:t>
            </w:r>
          </w:p>
        </w:tc>
      </w:tr>
      <w:tr w14:paraId="0E00A380" w14:textId="77777777" w:rsidTr="00A20E76">
        <w:tblPrEx>
          <w:tblW w:w="9356" w:type="dxa"/>
          <w:tblInd w:w="-5" w:type="dxa"/>
          <w:tblLayout w:type="fixed"/>
          <w:tblLook w:val="01E0"/>
        </w:tblPrEx>
        <w:tc>
          <w:tcPr>
            <w:tcW w:w="2835" w:type="dxa"/>
            <w:tcBorders>
              <w:top w:val="single" w:sz="4" w:space="0" w:color="auto"/>
              <w:left w:val="single" w:sz="4" w:space="0" w:color="auto"/>
              <w:bottom w:val="single" w:sz="4" w:space="0" w:color="auto"/>
              <w:right w:val="single" w:sz="4" w:space="0" w:color="auto"/>
            </w:tcBorders>
            <w:hideMark/>
          </w:tcPr>
          <w:p w:rsidR="007B146F" w:rsidRPr="00A20E76" w:rsidP="00BF5342" w14:paraId="717C648D" w14:textId="77777777">
            <w:pPr>
              <w:jc w:val="both"/>
              <w:rPr>
                <w:sz w:val="23"/>
                <w:szCs w:val="23"/>
                <w:lang w:eastAsia="en-US"/>
              </w:rPr>
            </w:pPr>
            <w:r w:rsidRPr="00A20E76">
              <w:rPr>
                <w:sz w:val="23"/>
                <w:szCs w:val="23"/>
              </w:rPr>
              <w:t>Attiecīgā ES tiesību akta panta numurs (uzskaitot katru tiesību akta vienību – pantu, daļu, punktu, apakšpunktu)</w:t>
            </w:r>
          </w:p>
        </w:tc>
        <w:tc>
          <w:tcPr>
            <w:tcW w:w="2098" w:type="dxa"/>
            <w:tcBorders>
              <w:top w:val="single" w:sz="4" w:space="0" w:color="auto"/>
              <w:left w:val="single" w:sz="4" w:space="0" w:color="auto"/>
              <w:bottom w:val="single" w:sz="4" w:space="0" w:color="auto"/>
              <w:right w:val="single" w:sz="4" w:space="0" w:color="auto"/>
            </w:tcBorders>
            <w:hideMark/>
          </w:tcPr>
          <w:p w:rsidR="007B146F" w:rsidRPr="00A20E76" w:rsidP="00BF5342" w14:paraId="4C2A6667" w14:textId="77777777">
            <w:pPr>
              <w:jc w:val="both"/>
              <w:rPr>
                <w:sz w:val="23"/>
                <w:szCs w:val="23"/>
                <w:lang w:eastAsia="en-US"/>
              </w:rPr>
            </w:pPr>
            <w:r w:rsidRPr="00A20E76">
              <w:rPr>
                <w:sz w:val="23"/>
                <w:szCs w:val="23"/>
              </w:rPr>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7B146F" w:rsidRPr="00A20E76" w:rsidP="00BF5342" w14:paraId="11A75251" w14:textId="77777777">
            <w:pPr>
              <w:jc w:val="both"/>
              <w:rPr>
                <w:sz w:val="23"/>
                <w:szCs w:val="23"/>
              </w:rPr>
            </w:pPr>
            <w:r w:rsidRPr="00A20E76">
              <w:rPr>
                <w:sz w:val="23"/>
                <w:szCs w:val="23"/>
              </w:rPr>
              <w:t>Informācija par to, vai šīs tabulas A ailē minētās ES tiesību akta vienības tiek pārņemtas vai ieviestas pilnībā vai daļēji.</w:t>
            </w:r>
          </w:p>
          <w:p w:rsidR="007B146F" w:rsidRPr="00A20E76" w:rsidP="00BF5342" w14:paraId="5B0D992F" w14:textId="77777777">
            <w:pPr>
              <w:jc w:val="both"/>
              <w:rPr>
                <w:sz w:val="23"/>
                <w:szCs w:val="23"/>
              </w:rPr>
            </w:pPr>
            <w:r w:rsidRPr="00A20E76">
              <w:rPr>
                <w:sz w:val="23"/>
                <w:szCs w:val="23"/>
              </w:rPr>
              <w:t>Ja attiecīgā ES tiesību akta vienība tiek pārņemta vai ieviesta daļēji, – sniedz attiecīgu skaidrojumu, kā arī precīzi norāda, kad un kādā veidā ES tiesību akta vienība tiks pārņemta vai ieviesta pilnībā.</w:t>
            </w:r>
          </w:p>
          <w:p w:rsidR="007B146F" w:rsidRPr="00A20E76" w:rsidP="00BF5342" w14:paraId="33BA7CE9" w14:textId="77777777">
            <w:pPr>
              <w:jc w:val="both"/>
              <w:rPr>
                <w:sz w:val="23"/>
                <w:szCs w:val="23"/>
                <w:lang w:eastAsia="en-US"/>
              </w:rPr>
            </w:pPr>
            <w:r w:rsidRPr="00A20E76">
              <w:rPr>
                <w:sz w:val="23"/>
                <w:szCs w:val="23"/>
              </w:rPr>
              <w:t>Norāda institūciju, kas ir atbildīga par šo saistību izpildi pilnībā</w:t>
            </w:r>
          </w:p>
        </w:tc>
        <w:tc>
          <w:tcPr>
            <w:tcW w:w="2580" w:type="dxa"/>
            <w:tcBorders>
              <w:top w:val="single" w:sz="4" w:space="0" w:color="auto"/>
              <w:left w:val="single" w:sz="4" w:space="0" w:color="auto"/>
              <w:bottom w:val="single" w:sz="4" w:space="0" w:color="auto"/>
              <w:right w:val="single" w:sz="4" w:space="0" w:color="auto"/>
            </w:tcBorders>
            <w:hideMark/>
          </w:tcPr>
          <w:p w:rsidR="007B146F" w:rsidRPr="00A20E76" w:rsidP="00BF5342" w14:paraId="1456D282" w14:textId="77777777">
            <w:pPr>
              <w:jc w:val="both"/>
              <w:rPr>
                <w:sz w:val="23"/>
                <w:szCs w:val="23"/>
              </w:rPr>
            </w:pPr>
            <w:r w:rsidRPr="00A20E76">
              <w:rPr>
                <w:sz w:val="23"/>
                <w:szCs w:val="23"/>
              </w:rPr>
              <w:t>Informācija par to, vai šīs tabulas B ailē minētās projekta vienības paredz stingrākas prasības nekā šīs tabulas A ailē minētās ES tiesību akta vienības.</w:t>
            </w:r>
          </w:p>
          <w:p w:rsidR="007B146F" w:rsidRPr="00A20E76" w:rsidP="00BF5342" w14:paraId="61D6933A" w14:textId="77777777">
            <w:pPr>
              <w:jc w:val="both"/>
              <w:rPr>
                <w:sz w:val="23"/>
                <w:szCs w:val="23"/>
              </w:rPr>
            </w:pPr>
            <w:r w:rsidRPr="00A20E76">
              <w:rPr>
                <w:sz w:val="23"/>
                <w:szCs w:val="23"/>
              </w:rPr>
              <w:t>Ja projekts satur stingrākas prasības nekā attiecīgais ES tiesību akts, – norāda pamatojumu un samērīgumu.</w:t>
            </w:r>
          </w:p>
          <w:p w:rsidR="007B146F" w:rsidRPr="00A20E76" w:rsidP="00BF5342" w14:paraId="7FDAF547" w14:textId="77777777">
            <w:pPr>
              <w:jc w:val="both"/>
              <w:rPr>
                <w:sz w:val="23"/>
                <w:szCs w:val="23"/>
                <w:lang w:eastAsia="en-US"/>
              </w:rPr>
            </w:pPr>
            <w:r w:rsidRPr="00A20E76">
              <w:rPr>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14:paraId="40B3A7DE" w14:textId="77777777" w:rsidTr="00A20E76">
        <w:tblPrEx>
          <w:tblW w:w="9356" w:type="dxa"/>
          <w:tblInd w:w="-5" w:type="dxa"/>
          <w:tblLayout w:type="fixed"/>
          <w:tblLook w:val="01E0"/>
        </w:tblPrEx>
        <w:trPr>
          <w:trHeight w:val="1132"/>
        </w:trPr>
        <w:tc>
          <w:tcPr>
            <w:tcW w:w="2835" w:type="dxa"/>
            <w:tcBorders>
              <w:top w:val="single" w:sz="4" w:space="0" w:color="auto"/>
              <w:left w:val="single" w:sz="4" w:space="0" w:color="auto"/>
              <w:bottom w:val="single" w:sz="4" w:space="0" w:color="auto"/>
              <w:right w:val="single" w:sz="4" w:space="0" w:color="auto"/>
            </w:tcBorders>
          </w:tcPr>
          <w:p w:rsidR="00AE2C17" w14:paraId="14F14D19" w14:textId="4B33B6C7">
            <w:pPr>
              <w:jc w:val="both"/>
              <w:rPr>
                <w:bCs/>
              </w:rPr>
            </w:pPr>
            <w:r w:rsidRPr="00205237">
              <w:rPr>
                <w:bCs/>
              </w:rPr>
              <w:t>EK 2011.gada 20.decembra lēmums Nr. 2012/21/ES</w:t>
            </w:r>
          </w:p>
          <w:p w:rsidR="00AE2C17" w:rsidRPr="007B146F" w14:paraId="2743A505" w14:textId="082780C4">
            <w:pPr>
              <w:jc w:val="both"/>
              <w:rPr>
                <w:bCs/>
              </w:rPr>
            </w:pPr>
            <w:r>
              <w:rPr>
                <w:bCs/>
              </w:rPr>
              <w:t>2.panta 2.punkts</w:t>
            </w:r>
          </w:p>
        </w:tc>
        <w:tc>
          <w:tcPr>
            <w:tcW w:w="2098" w:type="dxa"/>
            <w:tcBorders>
              <w:top w:val="single" w:sz="4" w:space="0" w:color="auto"/>
              <w:left w:val="single" w:sz="4" w:space="0" w:color="auto"/>
              <w:bottom w:val="single" w:sz="4" w:space="0" w:color="auto"/>
              <w:right w:val="single" w:sz="4" w:space="0" w:color="auto"/>
            </w:tcBorders>
          </w:tcPr>
          <w:p w:rsidR="007B146F" w:rsidRPr="007B146F" w:rsidP="00AE2C17" w14:paraId="691E69C2" w14:textId="0F6A2756">
            <w:pPr>
              <w:jc w:val="both"/>
            </w:pPr>
            <w:r w:rsidRPr="007B146F">
              <w:t xml:space="preserve">MK noteikumu projekta </w:t>
            </w:r>
            <w:r w:rsidR="00F51978">
              <w:t>8.punkts (</w:t>
            </w:r>
            <w:r>
              <w:t>15.</w:t>
            </w:r>
            <w:r w:rsidRPr="007B146F">
              <w:rPr>
                <w:vertAlign w:val="superscript"/>
              </w:rPr>
              <w:t>1</w:t>
            </w:r>
            <w:r w:rsidR="00AE2C17">
              <w:t> </w:t>
            </w:r>
            <w:r w:rsidR="00F51978">
              <w:t>3.</w:t>
            </w:r>
            <w:r w:rsidR="00514C51">
              <w:t>apakš</w:t>
            </w:r>
            <w:r w:rsidRPr="007B146F">
              <w:t>punkts</w:t>
            </w:r>
            <w:r w:rsidR="00F51978">
              <w:t>)</w:t>
            </w:r>
          </w:p>
        </w:tc>
        <w:tc>
          <w:tcPr>
            <w:tcW w:w="1843" w:type="dxa"/>
            <w:tcBorders>
              <w:top w:val="single" w:sz="4" w:space="0" w:color="auto"/>
              <w:left w:val="single" w:sz="4" w:space="0" w:color="auto"/>
              <w:bottom w:val="single" w:sz="4" w:space="0" w:color="auto"/>
              <w:right w:val="single" w:sz="4" w:space="0" w:color="auto"/>
            </w:tcBorders>
          </w:tcPr>
          <w:p w:rsidR="007B146F" w:rsidRPr="007B146F" w:rsidP="00205237" w14:paraId="4ECC397A" w14:textId="77777777">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rsidR="00A437BB" w:rsidP="00A437BB" w14:paraId="3896E7C4" w14:textId="4DA734C6">
            <w:pPr>
              <w:jc w:val="both"/>
            </w:pPr>
            <w:r>
              <w:t xml:space="preserve">Minimālais līguma darbības termiņš noteikts saskaņā ar principiem ES fondu vadībā, kas paredz projekta pēcuzraudzību </w:t>
            </w:r>
            <w:r>
              <w:t>periodu piecu gadu garumā pēc projekta noslēguma maksājuma veikšanas.</w:t>
            </w:r>
          </w:p>
          <w:p w:rsidR="00A437BB" w:rsidP="00A437BB" w14:paraId="10461BA7" w14:textId="77777777">
            <w:pPr>
              <w:jc w:val="center"/>
            </w:pPr>
          </w:p>
          <w:p w:rsidR="007B146F" w:rsidRPr="007B146F" w:rsidP="00A437BB" w14:paraId="0BC5DCC8" w14:textId="2C6E59F4">
            <w:pPr>
              <w:jc w:val="both"/>
            </w:pPr>
            <w:r>
              <w:t xml:space="preserve">Skaidrojam, ka minimālās prasības izvirzītas arī, ņemot vērā sniegtā pakalpojuma būtību un ilgtermiņa raksturu, kur īsāks (mazāks par pieciem gadiem) līguma darbības termiņš nespētu nodrošināt tik liela atkritumu apsaimniekošanas sistēmas elementa (t.i. – </w:t>
            </w:r>
            <w:r w:rsidR="00FB7392">
              <w:t xml:space="preserve">atkritumu </w:t>
            </w:r>
            <w:r>
              <w:t>poligona) darbību. Arī atskaitoties EK par vispārējas tautsaimnieciskas nozīmes pakalpojumiem Latvijā, norādīts, ka sabiedrisko pakalpojumu līguma darbības termiņš ir paredzēts robežās no 5 līdz 10 gadiem. Kā secināms no atskaitē EK iekļautā jautājuma, lūdzot norādīt to pilnvarojumu īpatsvaru, kuru ilgums pārsniedz 10 gadus, tad būtiskāk par minimālo termiņu ir tieši maksimālais līguma darbības laiks, kas īpaši uzraugāms</w:t>
            </w:r>
            <w:r w:rsidR="00FB7392">
              <w:t>.</w:t>
            </w:r>
          </w:p>
        </w:tc>
      </w:tr>
      <w:tr w14:paraId="7B75B804" w14:textId="77777777" w:rsidTr="00A20E76">
        <w:tblPrEx>
          <w:tblW w:w="9356" w:type="dxa"/>
          <w:tblInd w:w="-5" w:type="dxa"/>
          <w:tblLayout w:type="fixed"/>
          <w:tblLook w:val="01E0"/>
        </w:tblPrEx>
        <w:trPr>
          <w:trHeight w:val="1132"/>
        </w:trPr>
        <w:tc>
          <w:tcPr>
            <w:tcW w:w="2835" w:type="dxa"/>
            <w:tcBorders>
              <w:top w:val="single" w:sz="4" w:space="0" w:color="auto"/>
              <w:left w:val="single" w:sz="4" w:space="0" w:color="auto"/>
              <w:bottom w:val="single" w:sz="4" w:space="0" w:color="auto"/>
              <w:right w:val="single" w:sz="4" w:space="0" w:color="auto"/>
            </w:tcBorders>
          </w:tcPr>
          <w:p w:rsidR="00F51978" w:rsidRPr="008B2841" w:rsidP="00F51978" w14:paraId="7E6221E8" w14:textId="3B62712E">
            <w:pPr>
              <w:jc w:val="both"/>
              <w:rPr>
                <w:bCs/>
              </w:rPr>
            </w:pPr>
            <w:r w:rsidRPr="00205237">
              <w:rPr>
                <w:bCs/>
              </w:rPr>
              <w:t>EK 2011.gada 20.decembra lēmums Nr. 2012/21/ES</w:t>
            </w:r>
            <w:r w:rsidR="008B2841">
              <w:rPr>
                <w:bCs/>
              </w:rPr>
              <w:t xml:space="preserve"> </w:t>
            </w:r>
            <w:r w:rsidR="009E347B">
              <w:t>4.pants</w:t>
            </w:r>
          </w:p>
        </w:tc>
        <w:tc>
          <w:tcPr>
            <w:tcW w:w="2098" w:type="dxa"/>
            <w:tcBorders>
              <w:top w:val="single" w:sz="4" w:space="0" w:color="auto"/>
              <w:left w:val="single" w:sz="4" w:space="0" w:color="auto"/>
              <w:bottom w:val="single" w:sz="4" w:space="0" w:color="auto"/>
              <w:right w:val="single" w:sz="4" w:space="0" w:color="auto"/>
            </w:tcBorders>
          </w:tcPr>
          <w:p w:rsidR="00F51978" w:rsidRPr="007B146F" w:rsidP="00F51978" w14:paraId="15BBABAF" w14:textId="23059973">
            <w:pPr>
              <w:jc w:val="both"/>
            </w:pPr>
            <w:r w:rsidRPr="007B146F">
              <w:t xml:space="preserve">MK noteikumu projekta </w:t>
            </w:r>
            <w:r>
              <w:t>8.punkts (</w:t>
            </w:r>
            <w:r w:rsidR="00514C51">
              <w:t>15.</w:t>
            </w:r>
            <w:r w:rsidRPr="00AE2C17" w:rsidR="00514C51">
              <w:rPr>
                <w:vertAlign w:val="superscript"/>
              </w:rPr>
              <w:t>1</w:t>
            </w:r>
            <w:r w:rsidR="00AE2C17">
              <w:rPr>
                <w:vertAlign w:val="superscript"/>
              </w:rPr>
              <w:t> </w:t>
            </w:r>
            <w:r w:rsidR="00514C51">
              <w:t>1., 15.</w:t>
            </w:r>
            <w:r w:rsidRPr="00AE2C17" w:rsidR="00514C51">
              <w:rPr>
                <w:vertAlign w:val="superscript"/>
              </w:rPr>
              <w:t>1</w:t>
            </w:r>
            <w:r w:rsidR="00AE2C17">
              <w:rPr>
                <w:vertAlign w:val="superscript"/>
              </w:rPr>
              <w:t> </w:t>
            </w:r>
            <w:r w:rsidR="00514C51">
              <w:t>2., 15.</w:t>
            </w:r>
            <w:r w:rsidRPr="00AE2C17" w:rsidR="00514C51">
              <w:rPr>
                <w:vertAlign w:val="superscript"/>
              </w:rPr>
              <w:t>1</w:t>
            </w:r>
            <w:r w:rsidR="00AE2C17">
              <w:rPr>
                <w:vertAlign w:val="superscript"/>
              </w:rPr>
              <w:t> </w:t>
            </w:r>
            <w:r w:rsidR="00514C51">
              <w:t>4., 15.</w:t>
            </w:r>
            <w:r w:rsidRPr="00AE2C17" w:rsidR="00514C51">
              <w:rPr>
                <w:vertAlign w:val="superscript"/>
              </w:rPr>
              <w:t>1</w:t>
            </w:r>
            <w:r w:rsidR="00AE2C17">
              <w:rPr>
                <w:vertAlign w:val="superscript"/>
              </w:rPr>
              <w:t> </w:t>
            </w:r>
            <w:r w:rsidR="00514C51">
              <w:t>5., 15.</w:t>
            </w:r>
            <w:r w:rsidRPr="00AE2C17" w:rsidR="00514C51">
              <w:rPr>
                <w:vertAlign w:val="superscript"/>
              </w:rPr>
              <w:t>1</w:t>
            </w:r>
            <w:r w:rsidR="00AE2C17">
              <w:rPr>
                <w:vertAlign w:val="superscript"/>
              </w:rPr>
              <w:t> </w:t>
            </w:r>
            <w:r w:rsidR="00514C51">
              <w:t>6 un 15.</w:t>
            </w:r>
            <w:r w:rsidRPr="00AE2C17" w:rsidR="00514C51">
              <w:rPr>
                <w:vertAlign w:val="superscript"/>
              </w:rPr>
              <w:t>1</w:t>
            </w:r>
            <w:r w:rsidR="00AE2C17">
              <w:rPr>
                <w:vertAlign w:val="superscript"/>
              </w:rPr>
              <w:t> </w:t>
            </w:r>
            <w:r w:rsidR="00514C51">
              <w:t>7 apakšpunkts)</w:t>
            </w:r>
          </w:p>
        </w:tc>
        <w:tc>
          <w:tcPr>
            <w:tcW w:w="1843" w:type="dxa"/>
            <w:tcBorders>
              <w:top w:val="single" w:sz="4" w:space="0" w:color="auto"/>
              <w:left w:val="single" w:sz="4" w:space="0" w:color="auto"/>
              <w:bottom w:val="single" w:sz="4" w:space="0" w:color="auto"/>
              <w:right w:val="single" w:sz="4" w:space="0" w:color="auto"/>
            </w:tcBorders>
          </w:tcPr>
          <w:p w:rsidR="00F51978" w:rsidRPr="007B146F" w:rsidP="00205237" w14:paraId="5BB6095A" w14:textId="49C58628">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rsidR="00F51978" w:rsidRPr="007B146F" w:rsidP="00BF5342" w14:paraId="7191A50C" w14:textId="06A4FAF0">
            <w:pPr>
              <w:jc w:val="center"/>
            </w:pPr>
            <w:r w:rsidRPr="007B146F">
              <w:t>Neparedz stingrākas prasības</w:t>
            </w:r>
          </w:p>
        </w:tc>
      </w:tr>
      <w:tr w14:paraId="6A59DBF1" w14:textId="77777777" w:rsidTr="00A20E76">
        <w:tblPrEx>
          <w:tblW w:w="9356" w:type="dxa"/>
          <w:tblInd w:w="-5" w:type="dxa"/>
          <w:tblLayout w:type="fixed"/>
          <w:tblLook w:val="01E0"/>
        </w:tblPrEx>
        <w:tc>
          <w:tcPr>
            <w:tcW w:w="4933" w:type="dxa"/>
            <w:gridSpan w:val="2"/>
            <w:tcBorders>
              <w:top w:val="single" w:sz="4" w:space="0" w:color="auto"/>
              <w:left w:val="single" w:sz="4" w:space="0" w:color="auto"/>
              <w:bottom w:val="single" w:sz="4" w:space="0" w:color="auto"/>
              <w:right w:val="single" w:sz="4" w:space="0" w:color="auto"/>
            </w:tcBorders>
            <w:hideMark/>
          </w:tcPr>
          <w:p w:rsidR="007B146F" w:rsidRPr="00C10D84" w:rsidP="00BF5342" w14:paraId="473BC6DD" w14:textId="77777777">
            <w:r w:rsidRPr="00C10D84">
              <w:t>Kā ir izmantota ES tiesību aktā paredzētā rīcības brīvība dalībvalstij pārņemt vai ieviest noteiktas ES tiesību akta normas?</w:t>
            </w:r>
          </w:p>
          <w:p w:rsidR="007B146F" w:rsidRPr="00C10D84" w:rsidP="00BF5342" w14:paraId="5B48F69B" w14:textId="77777777">
            <w:pPr>
              <w:rPr>
                <w:i/>
                <w:lang w:eastAsia="en-US"/>
              </w:rPr>
            </w:pPr>
            <w:r w:rsidRPr="00C10D84">
              <w:t>Kādēļ?</w:t>
            </w:r>
          </w:p>
        </w:tc>
        <w:tc>
          <w:tcPr>
            <w:tcW w:w="4423" w:type="dxa"/>
            <w:gridSpan w:val="2"/>
            <w:tcBorders>
              <w:top w:val="single" w:sz="4" w:space="0" w:color="auto"/>
              <w:left w:val="single" w:sz="4" w:space="0" w:color="auto"/>
              <w:bottom w:val="single" w:sz="4" w:space="0" w:color="auto"/>
              <w:right w:val="single" w:sz="4" w:space="0" w:color="auto"/>
            </w:tcBorders>
            <w:hideMark/>
          </w:tcPr>
          <w:p w:rsidR="007B146F" w:rsidRPr="002D27EE" w:rsidP="00BF5342" w14:paraId="19298ED9" w14:textId="77777777">
            <w:pPr>
              <w:rPr>
                <w:lang w:eastAsia="en-US"/>
              </w:rPr>
            </w:pPr>
            <w:r w:rsidRPr="002D27EE">
              <w:rPr>
                <w:iCs/>
              </w:rPr>
              <w:t>MK noteikumu projekts šo jomu neskar.</w:t>
            </w:r>
          </w:p>
        </w:tc>
      </w:tr>
      <w:tr w14:paraId="2A7A000C" w14:textId="77777777" w:rsidTr="00A20E76">
        <w:tblPrEx>
          <w:tblW w:w="9356" w:type="dxa"/>
          <w:tblInd w:w="-5" w:type="dxa"/>
          <w:tblLayout w:type="fixed"/>
          <w:tblLook w:val="01E0"/>
        </w:tblPrEx>
        <w:tc>
          <w:tcPr>
            <w:tcW w:w="4933" w:type="dxa"/>
            <w:gridSpan w:val="2"/>
            <w:tcBorders>
              <w:top w:val="single" w:sz="4" w:space="0" w:color="auto"/>
              <w:left w:val="single" w:sz="4" w:space="0" w:color="auto"/>
              <w:bottom w:val="single" w:sz="4" w:space="0" w:color="auto"/>
              <w:right w:val="single" w:sz="4" w:space="0" w:color="auto"/>
            </w:tcBorders>
            <w:hideMark/>
          </w:tcPr>
          <w:p w:rsidR="007B146F" w:rsidRPr="00C10D84" w:rsidP="00BF5342" w14:paraId="1457A6D6" w14:textId="77777777">
            <w:pPr>
              <w:rPr>
                <w:i/>
                <w:lang w:eastAsia="en-US"/>
              </w:rPr>
            </w:pPr>
            <w:r w:rsidRPr="00C10D84">
              <w:t xml:space="preserve">Saistības sniegt paziņojumu ES institūcijām un ES dalībvalstīm atbilstoši normatīvajiem aktiem, kas regulē informācijas sniegšanu par tehnisko </w:t>
            </w:r>
            <w:r w:rsidRPr="00C10D84">
              <w:t>noteikumu, valsts atbalsta piešķiršanas un finanšu noteikumu (attiecībā uz monetāro politiku) projektiem</w:t>
            </w:r>
          </w:p>
        </w:tc>
        <w:tc>
          <w:tcPr>
            <w:tcW w:w="4423" w:type="dxa"/>
            <w:gridSpan w:val="2"/>
            <w:tcBorders>
              <w:top w:val="single" w:sz="4" w:space="0" w:color="auto"/>
              <w:left w:val="single" w:sz="4" w:space="0" w:color="auto"/>
              <w:bottom w:val="single" w:sz="4" w:space="0" w:color="auto"/>
              <w:right w:val="single" w:sz="4" w:space="0" w:color="auto"/>
            </w:tcBorders>
            <w:hideMark/>
          </w:tcPr>
          <w:p w:rsidR="007B146F" w:rsidRPr="002D27EE" w:rsidP="00BF5342" w14:paraId="01A82402" w14:textId="77777777">
            <w:pPr>
              <w:jc w:val="both"/>
            </w:pPr>
            <w:r w:rsidRPr="002D27EE">
              <w:rPr>
                <w:iCs/>
              </w:rPr>
              <w:t>MK noteikumu projekts šo jomu neskar.</w:t>
            </w:r>
          </w:p>
        </w:tc>
      </w:tr>
      <w:tr w14:paraId="2BBD3639" w14:textId="77777777" w:rsidTr="00A20E76">
        <w:tblPrEx>
          <w:tblW w:w="9356" w:type="dxa"/>
          <w:tblInd w:w="-5" w:type="dxa"/>
          <w:tblLayout w:type="fixed"/>
          <w:tblLook w:val="01E0"/>
        </w:tblPrEx>
        <w:tc>
          <w:tcPr>
            <w:tcW w:w="4933" w:type="dxa"/>
            <w:gridSpan w:val="2"/>
            <w:tcBorders>
              <w:top w:val="single" w:sz="4" w:space="0" w:color="auto"/>
              <w:left w:val="single" w:sz="4" w:space="0" w:color="auto"/>
              <w:bottom w:val="single" w:sz="4" w:space="0" w:color="auto"/>
              <w:right w:val="single" w:sz="4" w:space="0" w:color="auto"/>
            </w:tcBorders>
            <w:hideMark/>
          </w:tcPr>
          <w:p w:rsidR="007B146F" w:rsidRPr="00C10D84" w:rsidP="00BF5342" w14:paraId="2560A35B" w14:textId="77777777">
            <w:pPr>
              <w:spacing w:line="276" w:lineRule="auto"/>
              <w:rPr>
                <w:rFonts w:eastAsia="Times New Roman"/>
                <w:i/>
                <w:lang w:eastAsia="en-US"/>
              </w:rPr>
            </w:pPr>
            <w:r w:rsidRPr="00C10D84">
              <w:rPr>
                <w:rFonts w:eastAsia="Times New Roman"/>
                <w:lang w:eastAsia="en-US"/>
              </w:rPr>
              <w:t>Cita informācija</w:t>
            </w:r>
          </w:p>
        </w:tc>
        <w:tc>
          <w:tcPr>
            <w:tcW w:w="4423" w:type="dxa"/>
            <w:gridSpan w:val="2"/>
            <w:tcBorders>
              <w:top w:val="single" w:sz="4" w:space="0" w:color="auto"/>
              <w:left w:val="single" w:sz="4" w:space="0" w:color="auto"/>
              <w:bottom w:val="single" w:sz="4" w:space="0" w:color="auto"/>
              <w:right w:val="single" w:sz="4" w:space="0" w:color="auto"/>
            </w:tcBorders>
            <w:hideMark/>
          </w:tcPr>
          <w:p w:rsidR="007B146F" w:rsidRPr="00C10D84" w:rsidP="00BF5342" w14:paraId="0767949E" w14:textId="77777777">
            <w:pPr>
              <w:jc w:val="both"/>
              <w:rPr>
                <w:lang w:eastAsia="en-US"/>
              </w:rPr>
            </w:pPr>
            <w:r>
              <w:rPr>
                <w:lang w:eastAsia="en-US"/>
              </w:rPr>
              <w:t>Nav.</w:t>
            </w:r>
          </w:p>
        </w:tc>
      </w:tr>
    </w:tbl>
    <w:p w:rsidR="007B146F" w:rsidP="00F60633" w14:paraId="4A5A9468" w14:textId="77777777">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835"/>
        <w:gridCol w:w="3119"/>
      </w:tblGrid>
      <w:tr w14:paraId="2684A7C0" w14:textId="77777777" w:rsidTr="00A20E76">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356" w:type="dxa"/>
            <w:gridSpan w:val="3"/>
            <w:tcBorders>
              <w:top w:val="single" w:sz="4" w:space="0" w:color="auto"/>
              <w:left w:val="single" w:sz="4" w:space="0" w:color="auto"/>
              <w:bottom w:val="single" w:sz="4" w:space="0" w:color="auto"/>
              <w:right w:val="single" w:sz="4" w:space="0" w:color="auto"/>
            </w:tcBorders>
            <w:hideMark/>
          </w:tcPr>
          <w:p w:rsidR="00545469" w:rsidRPr="00C10D84" w:rsidP="00A20E76" w14:paraId="2B5FEAD9" w14:textId="77777777">
            <w:pPr>
              <w:jc w:val="center"/>
              <w:rPr>
                <w:rFonts w:eastAsia="Times New Roman"/>
                <w:b/>
                <w:lang w:eastAsia="en-US"/>
              </w:rPr>
            </w:pPr>
            <w:r w:rsidRPr="00C10D84">
              <w:rPr>
                <w:rFonts w:eastAsia="Times New Roman"/>
                <w:b/>
                <w:lang w:eastAsia="en-US"/>
              </w:rPr>
              <w:t>2.tabula. Ar tiesību akta projektu uzņemtās saistības, kas izriet no starptautiskajiem tiesību aktiem vai starptautiskas institūcijas vai organizācijas dokumentiem</w:t>
            </w:r>
          </w:p>
          <w:p w:rsidR="00545469" w:rsidRPr="00C10D84" w:rsidP="00A20E76" w14:paraId="19C1451A" w14:textId="77777777">
            <w:pPr>
              <w:jc w:val="center"/>
              <w:rPr>
                <w:lang w:eastAsia="en-US"/>
              </w:rPr>
            </w:pPr>
            <w:r w:rsidRPr="00C10D84">
              <w:rPr>
                <w:b/>
              </w:rPr>
              <w:t>Pasākumi šo saistību izpildei</w:t>
            </w:r>
          </w:p>
        </w:tc>
      </w:tr>
      <w:tr w14:paraId="7963D753"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4A243828" w14:textId="77777777">
            <w:pPr>
              <w:jc w:val="both"/>
              <w:rPr>
                <w:lang w:eastAsia="en-US"/>
              </w:rPr>
            </w:pPr>
            <w:r w:rsidRPr="00C10D84">
              <w:t>Attiecīgā starptautiskā tiesību akta vai starptautiskas institūcijas vai organizācijas dokumenta (turpmāk – starptautiskais dokuments) datums, numurs un nosaukums</w:t>
            </w:r>
          </w:p>
        </w:tc>
        <w:tc>
          <w:tcPr>
            <w:tcW w:w="5954" w:type="dxa"/>
            <w:gridSpan w:val="2"/>
            <w:tcBorders>
              <w:top w:val="single" w:sz="4" w:space="0" w:color="auto"/>
              <w:left w:val="single" w:sz="4" w:space="0" w:color="auto"/>
              <w:bottom w:val="single" w:sz="4" w:space="0" w:color="auto"/>
              <w:right w:val="single" w:sz="4" w:space="0" w:color="auto"/>
            </w:tcBorders>
            <w:hideMark/>
          </w:tcPr>
          <w:p w:rsidR="00545469" w:rsidRPr="00C10D84" w:rsidP="00BF5342" w14:paraId="6A8B3457" w14:textId="77777777">
            <w:pPr>
              <w:tabs>
                <w:tab w:val="left" w:pos="325"/>
              </w:tabs>
              <w:rPr>
                <w:i/>
                <w:lang w:eastAsia="en-US"/>
              </w:rPr>
            </w:pPr>
            <w:r w:rsidRPr="00C10D84">
              <w:rPr>
                <w:iCs/>
              </w:rPr>
              <w:t>MK noteikumu projekts šo jomu neskar.</w:t>
            </w:r>
          </w:p>
        </w:tc>
      </w:tr>
      <w:tr w14:paraId="11082EC8"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064896AC" w14:textId="77777777">
            <w:pPr>
              <w:jc w:val="center"/>
              <w:rPr>
                <w:lang w:eastAsia="en-US"/>
              </w:rPr>
            </w:pPr>
            <w:r w:rsidRPr="00C10D84">
              <w:t>A</w:t>
            </w:r>
          </w:p>
        </w:tc>
        <w:tc>
          <w:tcPr>
            <w:tcW w:w="2835" w:type="dxa"/>
            <w:tcBorders>
              <w:top w:val="single" w:sz="4" w:space="0" w:color="auto"/>
              <w:left w:val="single" w:sz="4" w:space="0" w:color="auto"/>
              <w:bottom w:val="single" w:sz="4" w:space="0" w:color="auto"/>
              <w:right w:val="single" w:sz="4" w:space="0" w:color="auto"/>
            </w:tcBorders>
            <w:hideMark/>
          </w:tcPr>
          <w:p w:rsidR="00545469" w:rsidRPr="00C10D84" w:rsidP="00BF5342" w14:paraId="29C9005B" w14:textId="77777777">
            <w:pPr>
              <w:jc w:val="center"/>
              <w:rPr>
                <w:lang w:eastAsia="en-US"/>
              </w:rPr>
            </w:pPr>
            <w:r w:rsidRPr="00C10D84">
              <w:t>B</w:t>
            </w:r>
          </w:p>
        </w:tc>
        <w:tc>
          <w:tcPr>
            <w:tcW w:w="3119" w:type="dxa"/>
            <w:tcBorders>
              <w:top w:val="single" w:sz="4" w:space="0" w:color="auto"/>
              <w:left w:val="single" w:sz="4" w:space="0" w:color="auto"/>
              <w:bottom w:val="single" w:sz="4" w:space="0" w:color="auto"/>
              <w:right w:val="single" w:sz="4" w:space="0" w:color="auto"/>
            </w:tcBorders>
            <w:hideMark/>
          </w:tcPr>
          <w:p w:rsidR="00545469" w:rsidRPr="00C10D84" w:rsidP="00BF5342" w14:paraId="1F1F5B8F" w14:textId="77777777">
            <w:pPr>
              <w:jc w:val="center"/>
              <w:rPr>
                <w:lang w:eastAsia="en-US"/>
              </w:rPr>
            </w:pPr>
            <w:r w:rsidRPr="00C10D84">
              <w:t>C</w:t>
            </w:r>
          </w:p>
        </w:tc>
      </w:tr>
      <w:tr w14:paraId="7975298D"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01F75A1E" w14:textId="77777777">
            <w:pPr>
              <w:jc w:val="both"/>
            </w:pPr>
            <w:r w:rsidRPr="00C10D84">
              <w:t>Starptautiskās saistības (pēc būtības), kas izriet no norādītā starptautiskā dokumenta.</w:t>
            </w:r>
          </w:p>
          <w:p w:rsidR="00545469" w:rsidRPr="00C10D84" w:rsidP="00BF5342" w14:paraId="0948F1DD" w14:textId="77777777">
            <w:pPr>
              <w:jc w:val="both"/>
              <w:rPr>
                <w:lang w:eastAsia="en-US"/>
              </w:rPr>
            </w:pPr>
            <w:r w:rsidRPr="00C10D84">
              <w:t>Konkrēti veicamie pasākumi vai uzdevumi, kas nepieciešami šo starptautisko saistību izpildei</w:t>
            </w:r>
          </w:p>
        </w:tc>
        <w:tc>
          <w:tcPr>
            <w:tcW w:w="2835" w:type="dxa"/>
            <w:tcBorders>
              <w:top w:val="single" w:sz="4" w:space="0" w:color="auto"/>
              <w:left w:val="single" w:sz="4" w:space="0" w:color="auto"/>
              <w:bottom w:val="single" w:sz="4" w:space="0" w:color="auto"/>
              <w:right w:val="single" w:sz="4" w:space="0" w:color="auto"/>
            </w:tcBorders>
            <w:hideMark/>
          </w:tcPr>
          <w:p w:rsidR="00545469" w:rsidRPr="00C10D84" w:rsidP="00BF5342" w14:paraId="4E737145" w14:textId="77777777">
            <w:pPr>
              <w:jc w:val="both"/>
              <w:rPr>
                <w:lang w:eastAsia="en-US"/>
              </w:rPr>
            </w:pPr>
            <w:r w:rsidRPr="00C10D8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rsidR="00545469" w:rsidRPr="00C10D84" w:rsidP="00BF5342" w14:paraId="3DCD4790" w14:textId="77777777">
            <w:pPr>
              <w:jc w:val="both"/>
            </w:pPr>
            <w:r w:rsidRPr="00C10D84">
              <w:t>Informācija par to, vai starptautiskās saistības, kas minētas šīs tabulas A ailē, tiek izpildītas pilnībā vai daļēji.</w:t>
            </w:r>
          </w:p>
          <w:p w:rsidR="00545469" w:rsidRPr="00C10D84" w:rsidP="00BF5342" w14:paraId="073F3243" w14:textId="77777777">
            <w:pPr>
              <w:jc w:val="both"/>
            </w:pPr>
            <w:r w:rsidRPr="00C10D84">
              <w:t>Ja attiecīgās starptautiskās saistības tiek izpildītas daļēji, sniedz attiecīgu skaidrojumu, kā arī precīzi norāda, kad un kādā veidā starptautiskās saistības tiks izpildītas pilnībā.</w:t>
            </w:r>
          </w:p>
          <w:p w:rsidR="00545469" w:rsidRPr="00C10D84" w:rsidP="00BF5342" w14:paraId="1E77EABD" w14:textId="77777777">
            <w:pPr>
              <w:jc w:val="both"/>
              <w:rPr>
                <w:lang w:eastAsia="en-US"/>
              </w:rPr>
            </w:pPr>
            <w:r w:rsidRPr="00C10D84">
              <w:t>Norāda institūciju, kas ir atbildīga par šo saistību izpildi pilnībā</w:t>
            </w:r>
          </w:p>
        </w:tc>
      </w:tr>
      <w:tr w14:paraId="493D3EFE"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1EC7FEB6" w14:textId="77777777">
            <w:pPr>
              <w:jc w:val="both"/>
              <w:rPr>
                <w:lang w:eastAsia="en-US"/>
              </w:rPr>
            </w:pPr>
            <w:r w:rsidRPr="00C10D84">
              <w:rPr>
                <w:iCs/>
              </w:rPr>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rsidR="00545469" w:rsidRPr="002D27EE" w:rsidP="00BF5342" w14:paraId="79834296" w14:textId="77777777">
            <w:pPr>
              <w:jc w:val="both"/>
              <w:rPr>
                <w:lang w:eastAsia="en-US"/>
              </w:rPr>
            </w:pPr>
            <w:r w:rsidRPr="002D27EE">
              <w:rPr>
                <w:iCs/>
              </w:rPr>
              <w:t>MK noteikumu projekts šo jomu neskar.</w:t>
            </w:r>
          </w:p>
        </w:tc>
        <w:tc>
          <w:tcPr>
            <w:tcW w:w="3119" w:type="dxa"/>
            <w:tcBorders>
              <w:top w:val="single" w:sz="4" w:space="0" w:color="auto"/>
              <w:left w:val="single" w:sz="4" w:space="0" w:color="auto"/>
              <w:bottom w:val="single" w:sz="4" w:space="0" w:color="auto"/>
              <w:right w:val="single" w:sz="4" w:space="0" w:color="auto"/>
            </w:tcBorders>
            <w:hideMark/>
          </w:tcPr>
          <w:p w:rsidR="00545469" w:rsidRPr="002D27EE" w:rsidP="00BF5342" w14:paraId="3B9E76B8" w14:textId="77777777">
            <w:pPr>
              <w:jc w:val="both"/>
              <w:rPr>
                <w:lang w:eastAsia="en-US"/>
              </w:rPr>
            </w:pPr>
            <w:r w:rsidRPr="002D27EE">
              <w:rPr>
                <w:iCs/>
              </w:rPr>
              <w:t>MK noteikumu projekts šo jomu neskar.</w:t>
            </w:r>
          </w:p>
        </w:tc>
      </w:tr>
      <w:tr w14:paraId="66748962"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4DA6816C" w14:textId="77777777">
            <w:pPr>
              <w:jc w:val="both"/>
              <w:rPr>
                <w:lang w:eastAsia="en-US"/>
              </w:rPr>
            </w:pPr>
            <w:r w:rsidRPr="00C10D84">
              <w:t>Vai starptautiskajā dokumentā paredzētās saistības nav pretrunā ar jau esošajām Latvijas Republikas starptautiskajām saistībām</w:t>
            </w:r>
          </w:p>
        </w:tc>
        <w:tc>
          <w:tcPr>
            <w:tcW w:w="5954" w:type="dxa"/>
            <w:gridSpan w:val="2"/>
            <w:tcBorders>
              <w:top w:val="single" w:sz="4" w:space="0" w:color="auto"/>
              <w:left w:val="single" w:sz="4" w:space="0" w:color="auto"/>
              <w:bottom w:val="single" w:sz="4" w:space="0" w:color="auto"/>
              <w:right w:val="single" w:sz="4" w:space="0" w:color="auto"/>
            </w:tcBorders>
            <w:hideMark/>
          </w:tcPr>
          <w:p w:rsidR="00545469" w:rsidRPr="002D27EE" w:rsidP="00BF5342" w14:paraId="07BFDC56" w14:textId="77777777">
            <w:pPr>
              <w:rPr>
                <w:i/>
                <w:lang w:eastAsia="en-US"/>
              </w:rPr>
            </w:pPr>
            <w:r w:rsidRPr="002D27EE">
              <w:rPr>
                <w:iCs/>
              </w:rPr>
              <w:t>MK noteikumu projekts šo jomu neskar.</w:t>
            </w:r>
          </w:p>
        </w:tc>
      </w:tr>
      <w:tr w14:paraId="5FC36B3D" w14:textId="77777777" w:rsidTr="00A20E76">
        <w:tblPrEx>
          <w:tblW w:w="9356" w:type="dxa"/>
          <w:tblInd w:w="-5" w:type="dxa"/>
          <w:tblLook w:val="01E0"/>
        </w:tblPrEx>
        <w:tc>
          <w:tcPr>
            <w:tcW w:w="3402" w:type="dxa"/>
            <w:tcBorders>
              <w:top w:val="single" w:sz="4" w:space="0" w:color="auto"/>
              <w:left w:val="single" w:sz="4" w:space="0" w:color="auto"/>
              <w:bottom w:val="single" w:sz="4" w:space="0" w:color="auto"/>
              <w:right w:val="single" w:sz="4" w:space="0" w:color="auto"/>
            </w:tcBorders>
            <w:hideMark/>
          </w:tcPr>
          <w:p w:rsidR="00545469" w:rsidRPr="00C10D84" w:rsidP="00BF5342" w14:paraId="1FC77302" w14:textId="77777777">
            <w:pPr>
              <w:rPr>
                <w:lang w:eastAsia="en-US"/>
              </w:rPr>
            </w:pPr>
            <w:r w:rsidRPr="00C10D84">
              <w:t>Cita informācija</w:t>
            </w:r>
          </w:p>
        </w:tc>
        <w:tc>
          <w:tcPr>
            <w:tcW w:w="5954" w:type="dxa"/>
            <w:gridSpan w:val="2"/>
            <w:tcBorders>
              <w:top w:val="single" w:sz="4" w:space="0" w:color="auto"/>
              <w:left w:val="single" w:sz="4" w:space="0" w:color="auto"/>
              <w:bottom w:val="single" w:sz="4" w:space="0" w:color="auto"/>
              <w:right w:val="single" w:sz="4" w:space="0" w:color="auto"/>
            </w:tcBorders>
            <w:hideMark/>
          </w:tcPr>
          <w:p w:rsidR="00545469" w:rsidRPr="00C10D84" w:rsidP="00BF5342" w14:paraId="4193D79D" w14:textId="77777777">
            <w:pPr>
              <w:rPr>
                <w:lang w:eastAsia="en-US"/>
              </w:rPr>
            </w:pPr>
            <w:r w:rsidRPr="00C10D84">
              <w:t>Nav.</w:t>
            </w:r>
          </w:p>
        </w:tc>
      </w:tr>
    </w:tbl>
    <w:p w:rsidR="007B146F" w:rsidP="00F60633" w14:paraId="0FFC32CD" w14:textId="77777777">
      <w:pPr>
        <w:rPr>
          <w:i/>
          <w:iCs/>
        </w:rPr>
      </w:pPr>
    </w:p>
    <w:p w:rsidR="00100494" w:rsidRPr="00F60633" w:rsidP="00F60633" w14:paraId="11FC177D" w14:textId="77777777">
      <w:pPr>
        <w:rPr>
          <w:i/>
          <w:i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3317"/>
        <w:gridCol w:w="5528"/>
      </w:tblGrid>
      <w:tr w14:paraId="39D11D81" w14:textId="77777777" w:rsidTr="00A20E76">
        <w:tblPrEx>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6" w:type="dxa"/>
            <w:gridSpan w:val="3"/>
            <w:shd w:val="clear" w:color="auto" w:fill="auto"/>
          </w:tcPr>
          <w:p w:rsidR="00D542DA" w:rsidRPr="005817EF" w:rsidP="00805445" w14:paraId="1B44CF4A" w14:textId="77777777">
            <w:pPr>
              <w:jc w:val="center"/>
              <w:rPr>
                <w:color w:val="000000" w:themeColor="text1"/>
                <w:lang w:eastAsia="en-US"/>
              </w:rPr>
            </w:pPr>
            <w:r w:rsidRPr="005817EF">
              <w:rPr>
                <w:b/>
                <w:color w:val="000000" w:themeColor="text1"/>
              </w:rPr>
              <w:t>VI. Sabiedrības līdzdalība un komunikācijas aktivitātes</w:t>
            </w:r>
          </w:p>
        </w:tc>
      </w:tr>
      <w:tr w14:paraId="7EEC141A" w14:textId="77777777" w:rsidTr="00A20E76">
        <w:tblPrEx>
          <w:tblW w:w="9356" w:type="dxa"/>
          <w:tblInd w:w="-5" w:type="dxa"/>
          <w:tblLook w:val="04A0"/>
        </w:tblPrEx>
        <w:tc>
          <w:tcPr>
            <w:tcW w:w="511" w:type="dxa"/>
            <w:shd w:val="clear" w:color="auto" w:fill="auto"/>
          </w:tcPr>
          <w:p w:rsidR="00D542DA" w:rsidRPr="005817EF" w:rsidP="00805445" w14:paraId="2665AC9D" w14:textId="77777777">
            <w:pPr>
              <w:ind w:left="57" w:right="57"/>
              <w:jc w:val="both"/>
              <w:rPr>
                <w:bCs/>
                <w:color w:val="000000" w:themeColor="text1"/>
              </w:rPr>
            </w:pPr>
            <w:r w:rsidRPr="005817EF">
              <w:rPr>
                <w:bCs/>
                <w:color w:val="000000" w:themeColor="text1"/>
              </w:rPr>
              <w:t>1.</w:t>
            </w:r>
          </w:p>
        </w:tc>
        <w:tc>
          <w:tcPr>
            <w:tcW w:w="3317" w:type="dxa"/>
            <w:shd w:val="clear" w:color="auto" w:fill="auto"/>
          </w:tcPr>
          <w:p w:rsidR="00D542DA" w:rsidRPr="005817EF" w:rsidP="00805445" w14:paraId="259BD934" w14:textId="77777777">
            <w:pPr>
              <w:tabs>
                <w:tab w:val="left" w:pos="170"/>
              </w:tabs>
              <w:ind w:left="57" w:right="57"/>
              <w:rPr>
                <w:color w:val="000000" w:themeColor="text1"/>
              </w:rPr>
            </w:pPr>
            <w:r w:rsidRPr="005817EF">
              <w:rPr>
                <w:color w:val="000000" w:themeColor="text1"/>
              </w:rPr>
              <w:t>Plānotās sabiedrības līdzdalības un komunikācijas aktivitātes saistībā ar projektu</w:t>
            </w:r>
          </w:p>
        </w:tc>
        <w:tc>
          <w:tcPr>
            <w:tcW w:w="5528" w:type="dxa"/>
            <w:shd w:val="clear" w:color="auto" w:fill="auto"/>
          </w:tcPr>
          <w:p w:rsidR="00D542DA" w:rsidRPr="003535F1" w:rsidP="00A20E76" w14:paraId="66E87562" w14:textId="70732ED3">
            <w:pPr>
              <w:shd w:val="clear" w:color="auto" w:fill="FFFFFF"/>
              <w:ind w:left="-20"/>
              <w:jc w:val="both"/>
            </w:pPr>
            <w:r w:rsidRPr="003535F1">
              <w:rPr>
                <w:color w:val="000000" w:themeColor="text1"/>
              </w:rPr>
              <w:t>Sabiedrības līdzdalības un komunikācijas aktivitātes tiks nodrošinātas noteikumu projekta izstrādes un starpinstitūciju saskaņošanas procesa laikā, t.sk., MK noteikumu projektu divas nedēļas pirms tā izsludinā</w:t>
            </w:r>
            <w:r w:rsidR="00064C8E">
              <w:rPr>
                <w:color w:val="000000" w:themeColor="text1"/>
              </w:rPr>
              <w:t>šanas Valsts sekretāru sanāksmē</w:t>
            </w:r>
            <w:r w:rsidRPr="003535F1">
              <w:rPr>
                <w:color w:val="000000" w:themeColor="text1"/>
              </w:rPr>
              <w:t xml:space="preserve"> publicējot VARAM tīmekļvietnē.</w:t>
            </w:r>
          </w:p>
        </w:tc>
      </w:tr>
      <w:tr w14:paraId="7E2EA2C0" w14:textId="77777777" w:rsidTr="00A20E76">
        <w:tblPrEx>
          <w:tblW w:w="9356" w:type="dxa"/>
          <w:tblInd w:w="-5" w:type="dxa"/>
          <w:tblLook w:val="04A0"/>
        </w:tblPrEx>
        <w:trPr>
          <w:trHeight w:val="416"/>
        </w:trPr>
        <w:tc>
          <w:tcPr>
            <w:tcW w:w="511" w:type="dxa"/>
            <w:shd w:val="clear" w:color="auto" w:fill="auto"/>
          </w:tcPr>
          <w:p w:rsidR="00D542DA" w:rsidRPr="005817EF" w:rsidP="00805445" w14:paraId="41CC320A" w14:textId="77777777">
            <w:pPr>
              <w:ind w:left="57" w:right="57"/>
              <w:jc w:val="both"/>
              <w:rPr>
                <w:bCs/>
                <w:color w:val="000000" w:themeColor="text1"/>
              </w:rPr>
            </w:pPr>
            <w:r w:rsidRPr="005817EF">
              <w:rPr>
                <w:bCs/>
                <w:color w:val="000000" w:themeColor="text1"/>
              </w:rPr>
              <w:t>2.</w:t>
            </w:r>
          </w:p>
        </w:tc>
        <w:tc>
          <w:tcPr>
            <w:tcW w:w="3317" w:type="dxa"/>
            <w:shd w:val="clear" w:color="auto" w:fill="auto"/>
          </w:tcPr>
          <w:p w:rsidR="00D542DA" w:rsidRPr="005817EF" w:rsidP="00805445" w14:paraId="51A88891" w14:textId="77777777">
            <w:pPr>
              <w:ind w:left="57" w:right="57"/>
              <w:rPr>
                <w:color w:val="000000" w:themeColor="text1"/>
              </w:rPr>
            </w:pPr>
            <w:r w:rsidRPr="005817EF">
              <w:rPr>
                <w:color w:val="000000" w:themeColor="text1"/>
              </w:rPr>
              <w:t>Sabiedrības līdzdalība projekta izstrādē</w:t>
            </w:r>
          </w:p>
        </w:tc>
        <w:tc>
          <w:tcPr>
            <w:tcW w:w="5528" w:type="dxa"/>
            <w:shd w:val="clear" w:color="auto" w:fill="auto"/>
          </w:tcPr>
          <w:p w:rsidR="00D542DA" w:rsidRPr="005817EF" w:rsidP="003535F1" w14:paraId="1B2F3C72" w14:textId="00761E22">
            <w:pPr>
              <w:tabs>
                <w:tab w:val="left" w:pos="460"/>
              </w:tabs>
              <w:ind w:left="-23" w:right="113"/>
              <w:jc w:val="both"/>
              <w:rPr>
                <w:color w:val="000000" w:themeColor="text1"/>
              </w:rPr>
            </w:pPr>
            <w:r>
              <w:rPr>
                <w:color w:val="000000" w:themeColor="text1"/>
              </w:rPr>
              <w:t>Nav.</w:t>
            </w:r>
          </w:p>
        </w:tc>
      </w:tr>
      <w:tr w14:paraId="0945A5FF" w14:textId="77777777" w:rsidTr="00A20E76">
        <w:tblPrEx>
          <w:tblW w:w="9356" w:type="dxa"/>
          <w:tblInd w:w="-5" w:type="dxa"/>
          <w:tblLook w:val="04A0"/>
        </w:tblPrEx>
        <w:trPr>
          <w:trHeight w:val="554"/>
        </w:trPr>
        <w:tc>
          <w:tcPr>
            <w:tcW w:w="511" w:type="dxa"/>
            <w:shd w:val="clear" w:color="auto" w:fill="auto"/>
          </w:tcPr>
          <w:p w:rsidR="001E7A85" w:rsidRPr="005817EF" w:rsidP="00805445" w14:paraId="5E268893" w14:textId="77777777">
            <w:pPr>
              <w:ind w:left="57" w:right="57"/>
              <w:jc w:val="both"/>
              <w:rPr>
                <w:bCs/>
                <w:color w:val="000000" w:themeColor="text1"/>
              </w:rPr>
            </w:pPr>
            <w:r w:rsidRPr="005817EF">
              <w:rPr>
                <w:bCs/>
                <w:color w:val="000000" w:themeColor="text1"/>
              </w:rPr>
              <w:t>3.</w:t>
            </w:r>
          </w:p>
        </w:tc>
        <w:tc>
          <w:tcPr>
            <w:tcW w:w="3317" w:type="dxa"/>
            <w:shd w:val="clear" w:color="auto" w:fill="auto"/>
          </w:tcPr>
          <w:p w:rsidR="001E7A85" w:rsidRPr="005817EF" w:rsidP="00805445" w14:paraId="07524DBE" w14:textId="77777777">
            <w:pPr>
              <w:ind w:left="57" w:right="57"/>
              <w:rPr>
                <w:color w:val="000000" w:themeColor="text1"/>
              </w:rPr>
            </w:pPr>
            <w:r w:rsidRPr="005817EF">
              <w:rPr>
                <w:color w:val="000000" w:themeColor="text1"/>
              </w:rPr>
              <w:t>Sabiedrības līdzdalības rezultāti</w:t>
            </w:r>
          </w:p>
        </w:tc>
        <w:tc>
          <w:tcPr>
            <w:tcW w:w="5528" w:type="dxa"/>
            <w:shd w:val="clear" w:color="auto" w:fill="auto"/>
          </w:tcPr>
          <w:p w:rsidR="001E7A85" w:rsidRPr="005817EF" w:rsidP="003535F1" w14:paraId="7B7D196F" w14:textId="4E6EA038">
            <w:pPr>
              <w:shd w:val="clear" w:color="auto" w:fill="FFFFFF"/>
              <w:ind w:left="-20" w:right="113"/>
              <w:jc w:val="both"/>
              <w:rPr>
                <w:color w:val="000000" w:themeColor="text1"/>
              </w:rPr>
            </w:pPr>
            <w:r>
              <w:rPr>
                <w:color w:val="000000" w:themeColor="text1"/>
              </w:rPr>
              <w:t>Nav.</w:t>
            </w:r>
          </w:p>
        </w:tc>
      </w:tr>
      <w:tr w14:paraId="0FBDE8C6" w14:textId="77777777" w:rsidTr="00A20E76">
        <w:tblPrEx>
          <w:tblW w:w="9356" w:type="dxa"/>
          <w:tblInd w:w="-5" w:type="dxa"/>
          <w:tblLook w:val="04A0"/>
        </w:tblPrEx>
        <w:tc>
          <w:tcPr>
            <w:tcW w:w="511" w:type="dxa"/>
            <w:shd w:val="clear" w:color="auto" w:fill="auto"/>
          </w:tcPr>
          <w:p w:rsidR="001E7A85" w:rsidRPr="005817EF" w:rsidP="00805445" w14:paraId="4FFDE60D" w14:textId="77777777">
            <w:pPr>
              <w:ind w:left="57" w:right="57"/>
              <w:jc w:val="both"/>
              <w:rPr>
                <w:bCs/>
                <w:color w:val="000000" w:themeColor="text1"/>
              </w:rPr>
            </w:pPr>
            <w:r w:rsidRPr="005817EF">
              <w:rPr>
                <w:bCs/>
                <w:color w:val="000000" w:themeColor="text1"/>
              </w:rPr>
              <w:t>4.</w:t>
            </w:r>
          </w:p>
        </w:tc>
        <w:tc>
          <w:tcPr>
            <w:tcW w:w="3317" w:type="dxa"/>
            <w:shd w:val="clear" w:color="auto" w:fill="auto"/>
          </w:tcPr>
          <w:p w:rsidR="001E7A85" w:rsidRPr="005817EF" w:rsidP="00805445" w14:paraId="5A6F6653" w14:textId="77777777">
            <w:pPr>
              <w:ind w:left="57" w:right="57"/>
              <w:rPr>
                <w:color w:val="000000" w:themeColor="text1"/>
              </w:rPr>
            </w:pPr>
            <w:r w:rsidRPr="005817EF">
              <w:rPr>
                <w:color w:val="000000" w:themeColor="text1"/>
              </w:rPr>
              <w:t>Cita informācija</w:t>
            </w:r>
          </w:p>
        </w:tc>
        <w:tc>
          <w:tcPr>
            <w:tcW w:w="5528" w:type="dxa"/>
            <w:shd w:val="clear" w:color="auto" w:fill="auto"/>
          </w:tcPr>
          <w:p w:rsidR="001E7A85" w:rsidRPr="005817EF" w:rsidP="003535F1" w14:paraId="7EB563AD" w14:textId="55AA814E">
            <w:pPr>
              <w:ind w:left="-20" w:right="113"/>
              <w:jc w:val="both"/>
              <w:rPr>
                <w:color w:val="000000" w:themeColor="text1"/>
              </w:rPr>
            </w:pPr>
            <w:r>
              <w:rPr>
                <w:color w:val="000000" w:themeColor="text1"/>
              </w:rPr>
              <w:t>Nav.</w:t>
            </w:r>
          </w:p>
        </w:tc>
      </w:tr>
    </w:tbl>
    <w:p w:rsidR="00D542DA" w:rsidP="00C61A59" w14:paraId="0397B067" w14:textId="77777777">
      <w:pPr>
        <w:jc w:val="center"/>
        <w:rPr>
          <w:color w:val="000000" w:themeColor="text1"/>
          <w:lang w:eastAsia="en-US"/>
        </w:rPr>
      </w:pPr>
    </w:p>
    <w:p w:rsidR="00100494" w:rsidP="00C61A59" w14:paraId="2D352F81" w14:textId="77777777">
      <w:pPr>
        <w:jc w:val="center"/>
        <w:rPr>
          <w:color w:val="000000" w:themeColor="text1"/>
          <w:lang w:eastAsia="en-US"/>
        </w:rPr>
      </w:pPr>
    </w:p>
    <w:p w:rsidR="00100494" w:rsidP="00C61A59" w14:paraId="6C6C443F" w14:textId="77777777">
      <w:pPr>
        <w:jc w:val="center"/>
        <w:rPr>
          <w:color w:val="000000" w:themeColor="text1"/>
          <w:lang w:eastAsia="en-US"/>
        </w:rPr>
      </w:pPr>
    </w:p>
    <w:p w:rsidR="00100494" w:rsidP="00C61A59" w14:paraId="108323AB" w14:textId="77777777">
      <w:pPr>
        <w:jc w:val="center"/>
        <w:rPr>
          <w:color w:val="000000" w:themeColor="text1"/>
          <w:lang w:eastAsia="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4592"/>
        <w:gridCol w:w="4253"/>
      </w:tblGrid>
      <w:tr w14:paraId="3E186869" w14:textId="77777777" w:rsidTr="00A20E76">
        <w:tblPrEx>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6" w:type="dxa"/>
            <w:gridSpan w:val="3"/>
            <w:shd w:val="clear" w:color="auto" w:fill="auto"/>
          </w:tcPr>
          <w:p w:rsidR="001E7A85" w:rsidRPr="005817EF" w:rsidP="007044C6" w14:paraId="6D5702EE" w14:textId="77777777">
            <w:pPr>
              <w:jc w:val="center"/>
              <w:rPr>
                <w:color w:val="000000" w:themeColor="text1"/>
              </w:rPr>
            </w:pPr>
            <w:r w:rsidRPr="005817EF">
              <w:rPr>
                <w:b/>
                <w:color w:val="000000" w:themeColor="text1"/>
              </w:rPr>
              <w:t>VII. Tiesību akta projekta izpildes nodrošināšana un tās ietekme uz institūcijām</w:t>
            </w:r>
          </w:p>
        </w:tc>
      </w:tr>
      <w:tr w14:paraId="4BB54424" w14:textId="77777777" w:rsidTr="00A20E76">
        <w:tblPrEx>
          <w:tblW w:w="9356" w:type="dxa"/>
          <w:tblInd w:w="-5" w:type="dxa"/>
          <w:tblLook w:val="04A0"/>
        </w:tblPrEx>
        <w:tc>
          <w:tcPr>
            <w:tcW w:w="511" w:type="dxa"/>
            <w:shd w:val="clear" w:color="auto" w:fill="auto"/>
          </w:tcPr>
          <w:p w:rsidR="001E7A85" w:rsidRPr="005817EF" w:rsidP="00805445" w14:paraId="496A590A" w14:textId="77777777">
            <w:pPr>
              <w:pStyle w:val="naisnod"/>
              <w:spacing w:before="0" w:beforeAutospacing="0" w:after="0" w:afterAutospacing="0"/>
              <w:ind w:left="57" w:right="57"/>
              <w:jc w:val="both"/>
              <w:rPr>
                <w:color w:val="000000" w:themeColor="text1"/>
              </w:rPr>
            </w:pPr>
            <w:r w:rsidRPr="005817EF">
              <w:rPr>
                <w:color w:val="000000" w:themeColor="text1"/>
              </w:rPr>
              <w:t>1.</w:t>
            </w:r>
          </w:p>
        </w:tc>
        <w:tc>
          <w:tcPr>
            <w:tcW w:w="4592" w:type="dxa"/>
            <w:shd w:val="clear" w:color="auto" w:fill="auto"/>
          </w:tcPr>
          <w:p w:rsidR="001E7A85" w:rsidRPr="005817EF" w:rsidP="00805445" w14:paraId="0FE6A6C2" w14:textId="77777777">
            <w:pPr>
              <w:pStyle w:val="naisf"/>
              <w:spacing w:before="0" w:beforeAutospacing="0" w:after="0" w:afterAutospacing="0"/>
              <w:ind w:left="57" w:right="57"/>
              <w:rPr>
                <w:color w:val="000000" w:themeColor="text1"/>
              </w:rPr>
            </w:pPr>
            <w:r w:rsidRPr="005817EF">
              <w:rPr>
                <w:color w:val="000000" w:themeColor="text1"/>
              </w:rPr>
              <w:t>Projekta izpildē iesaistītās institūcijas</w:t>
            </w:r>
          </w:p>
        </w:tc>
        <w:tc>
          <w:tcPr>
            <w:tcW w:w="4253" w:type="dxa"/>
            <w:shd w:val="clear" w:color="auto" w:fill="auto"/>
          </w:tcPr>
          <w:p w:rsidR="001E7A85" w:rsidRPr="005817EF" w:rsidP="00064C8E" w14:paraId="1E9816F4" w14:textId="15E888AC">
            <w:pPr>
              <w:shd w:val="clear" w:color="auto" w:fill="FFFFFF"/>
              <w:ind w:left="57" w:right="113"/>
              <w:jc w:val="both"/>
              <w:rPr>
                <w:color w:val="000000" w:themeColor="text1"/>
              </w:rPr>
            </w:pPr>
            <w:r>
              <w:rPr>
                <w:color w:val="000000"/>
              </w:rPr>
              <w:t>VARAM</w:t>
            </w:r>
            <w:r w:rsidRPr="00E442A0">
              <w:rPr>
                <w:color w:val="000000"/>
              </w:rPr>
              <w:t xml:space="preserve"> kā atbildīgā iestāde, Centrālā finanšu un līgumu</w:t>
            </w:r>
            <w:r>
              <w:rPr>
                <w:color w:val="000000"/>
              </w:rPr>
              <w:t xml:space="preserve"> aģentūra kā sadarbības iestāde.</w:t>
            </w:r>
          </w:p>
        </w:tc>
      </w:tr>
      <w:tr w14:paraId="41E54141" w14:textId="77777777" w:rsidTr="00A20E76">
        <w:tblPrEx>
          <w:tblW w:w="9356" w:type="dxa"/>
          <w:tblInd w:w="-5" w:type="dxa"/>
          <w:tblLook w:val="04A0"/>
        </w:tblPrEx>
        <w:tc>
          <w:tcPr>
            <w:tcW w:w="511" w:type="dxa"/>
            <w:shd w:val="clear" w:color="auto" w:fill="auto"/>
          </w:tcPr>
          <w:p w:rsidR="001E7A85" w:rsidRPr="005817EF" w:rsidP="00805445" w14:paraId="0403E715" w14:textId="77777777">
            <w:pPr>
              <w:pStyle w:val="naisnod"/>
              <w:spacing w:before="0" w:beforeAutospacing="0" w:after="0" w:afterAutospacing="0"/>
              <w:ind w:left="57" w:right="57"/>
              <w:jc w:val="both"/>
              <w:rPr>
                <w:color w:val="000000" w:themeColor="text1"/>
              </w:rPr>
            </w:pPr>
            <w:r w:rsidRPr="005817EF">
              <w:rPr>
                <w:color w:val="000000" w:themeColor="text1"/>
              </w:rPr>
              <w:t>2.</w:t>
            </w:r>
          </w:p>
        </w:tc>
        <w:tc>
          <w:tcPr>
            <w:tcW w:w="4592" w:type="dxa"/>
            <w:shd w:val="clear" w:color="auto" w:fill="auto"/>
          </w:tcPr>
          <w:p w:rsidR="001E7A85" w:rsidRPr="005817EF" w:rsidP="00805445" w14:paraId="24C4C77A" w14:textId="77777777">
            <w:pPr>
              <w:pStyle w:val="naisf"/>
              <w:spacing w:before="0" w:beforeAutospacing="0" w:after="0" w:afterAutospacing="0"/>
              <w:ind w:left="57" w:right="57"/>
              <w:rPr>
                <w:color w:val="000000" w:themeColor="text1"/>
              </w:rPr>
            </w:pPr>
            <w:r w:rsidRPr="005817EF">
              <w:rPr>
                <w:color w:val="000000" w:themeColor="text1"/>
              </w:rPr>
              <w:t>Projekta izpildes ietekme uz pār</w:t>
            </w:r>
            <w:r w:rsidRPr="005817EF">
              <w:rPr>
                <w:color w:val="000000" w:themeColor="text1"/>
              </w:rPr>
              <w:softHyphen/>
              <w:t>valdes funkcijām un institucionālo struktūru.</w:t>
            </w:r>
          </w:p>
          <w:p w:rsidR="001E7A85" w:rsidRPr="005817EF" w:rsidP="00805445" w14:paraId="2C256BAA" w14:textId="77777777">
            <w:pPr>
              <w:pStyle w:val="naisf"/>
              <w:spacing w:before="0" w:beforeAutospacing="0" w:after="0" w:afterAutospacing="0"/>
              <w:ind w:left="57" w:right="57"/>
              <w:rPr>
                <w:color w:val="000000" w:themeColor="text1"/>
              </w:rPr>
            </w:pPr>
            <w:r w:rsidRPr="005817EF">
              <w:rPr>
                <w:color w:val="000000" w:themeColor="text1"/>
              </w:rPr>
              <w:t>Jaunu institūciju izveide, esošu institūciju likvidācija vai reorga</w:t>
            </w:r>
            <w:r w:rsidRPr="005817EF">
              <w:rPr>
                <w:color w:val="000000" w:themeColor="text1"/>
              </w:rPr>
              <w:softHyphen/>
              <w:t>nizācija, to ietekme uz institūcijas cilvēkresursiem</w:t>
            </w:r>
          </w:p>
        </w:tc>
        <w:tc>
          <w:tcPr>
            <w:tcW w:w="4253" w:type="dxa"/>
            <w:shd w:val="clear" w:color="auto" w:fill="auto"/>
          </w:tcPr>
          <w:p w:rsidR="001E7A85" w:rsidRPr="005817EF" w:rsidP="005204A9" w14:paraId="32A01227" w14:textId="77777777">
            <w:pPr>
              <w:shd w:val="clear" w:color="auto" w:fill="FFFFFF"/>
              <w:ind w:right="113"/>
              <w:jc w:val="both"/>
              <w:rPr>
                <w:color w:val="000000" w:themeColor="text1"/>
              </w:rPr>
            </w:pPr>
            <w:r w:rsidRPr="005817EF">
              <w:rPr>
                <w:color w:val="000000" w:themeColor="text1"/>
              </w:rPr>
              <w:t>Nav plānota jaunu institūciju izveide, esošu institūciju likvidācija vai reorganizācija.</w:t>
            </w:r>
          </w:p>
        </w:tc>
      </w:tr>
      <w:tr w14:paraId="28D9FE29" w14:textId="77777777" w:rsidTr="00A20E76">
        <w:tblPrEx>
          <w:tblW w:w="9356" w:type="dxa"/>
          <w:tblInd w:w="-5" w:type="dxa"/>
          <w:tblLook w:val="04A0"/>
        </w:tblPrEx>
        <w:tc>
          <w:tcPr>
            <w:tcW w:w="511" w:type="dxa"/>
            <w:shd w:val="clear" w:color="auto" w:fill="auto"/>
          </w:tcPr>
          <w:p w:rsidR="001E7A85" w:rsidRPr="005817EF" w:rsidP="00805445" w14:paraId="13052159" w14:textId="77777777">
            <w:pPr>
              <w:pStyle w:val="naisnod"/>
              <w:spacing w:before="0" w:beforeAutospacing="0" w:after="0" w:afterAutospacing="0"/>
              <w:ind w:left="57" w:right="57"/>
              <w:jc w:val="both"/>
              <w:rPr>
                <w:color w:val="000000" w:themeColor="text1"/>
              </w:rPr>
            </w:pPr>
            <w:r w:rsidRPr="005817EF">
              <w:rPr>
                <w:color w:val="000000" w:themeColor="text1"/>
              </w:rPr>
              <w:t>3.</w:t>
            </w:r>
          </w:p>
        </w:tc>
        <w:tc>
          <w:tcPr>
            <w:tcW w:w="4592" w:type="dxa"/>
            <w:shd w:val="clear" w:color="auto" w:fill="auto"/>
          </w:tcPr>
          <w:p w:rsidR="001E7A85" w:rsidRPr="005817EF" w:rsidP="00805445" w14:paraId="46DD18CA" w14:textId="77777777">
            <w:pPr>
              <w:pStyle w:val="naisf"/>
              <w:spacing w:before="0" w:beforeAutospacing="0" w:after="0" w:afterAutospacing="0"/>
              <w:ind w:left="57" w:right="57"/>
              <w:rPr>
                <w:color w:val="000000" w:themeColor="text1"/>
              </w:rPr>
            </w:pPr>
            <w:r w:rsidRPr="005817EF">
              <w:rPr>
                <w:color w:val="000000" w:themeColor="text1"/>
              </w:rPr>
              <w:t>Cita informācija</w:t>
            </w:r>
          </w:p>
        </w:tc>
        <w:tc>
          <w:tcPr>
            <w:tcW w:w="4253" w:type="dxa"/>
            <w:shd w:val="clear" w:color="auto" w:fill="auto"/>
          </w:tcPr>
          <w:p w:rsidR="001E7A85" w:rsidRPr="005817EF" w:rsidP="00805445" w14:paraId="2B0CE5D6" w14:textId="77777777">
            <w:pPr>
              <w:ind w:left="57" w:right="57"/>
              <w:jc w:val="both"/>
              <w:rPr>
                <w:color w:val="000000" w:themeColor="text1"/>
              </w:rPr>
            </w:pPr>
            <w:r w:rsidRPr="005817EF">
              <w:rPr>
                <w:color w:val="000000" w:themeColor="text1"/>
              </w:rPr>
              <w:t>Nav.</w:t>
            </w:r>
          </w:p>
        </w:tc>
      </w:tr>
    </w:tbl>
    <w:p w:rsidR="00D7163F" w:rsidP="00D7163F" w14:paraId="4DF8464E" w14:textId="77777777">
      <w:pPr>
        <w:jc w:val="both"/>
        <w:rPr>
          <w:color w:val="000000" w:themeColor="text1"/>
          <w:highlight w:val="yellow"/>
        </w:rPr>
      </w:pPr>
    </w:p>
    <w:p w:rsidR="00100494" w:rsidP="00D7163F" w14:paraId="0F1DCB03" w14:textId="77777777">
      <w:pPr>
        <w:jc w:val="both"/>
        <w:rPr>
          <w:color w:val="000000" w:themeColor="text1"/>
          <w:highlight w:val="yellow"/>
        </w:rPr>
      </w:pPr>
    </w:p>
    <w:p w:rsidR="00100494" w:rsidRPr="005817EF" w:rsidP="00D7163F" w14:paraId="0501F933" w14:textId="77777777">
      <w:pPr>
        <w:jc w:val="both"/>
        <w:rPr>
          <w:color w:val="000000" w:themeColor="text1"/>
          <w:highlight w:val="yellow"/>
        </w:rPr>
      </w:pPr>
    </w:p>
    <w:p w:rsidR="00053162" w:rsidRPr="005817EF" w:rsidP="00053162" w14:paraId="69438D80" w14:textId="77777777">
      <w:pPr>
        <w:jc w:val="both"/>
        <w:rPr>
          <w:color w:val="000000" w:themeColor="text1"/>
          <w:szCs w:val="28"/>
        </w:rPr>
      </w:pPr>
      <w:r w:rsidRPr="005817EF">
        <w:rPr>
          <w:color w:val="000000" w:themeColor="text1"/>
          <w:szCs w:val="28"/>
        </w:rPr>
        <w:t>Iesniedzējs:</w:t>
      </w:r>
    </w:p>
    <w:p w:rsidR="00053162" w:rsidRPr="005817EF" w:rsidP="00053162" w14:paraId="3940C464" w14:textId="3566ED48">
      <w:pPr>
        <w:jc w:val="both"/>
        <w:rPr>
          <w:color w:val="000000" w:themeColor="text1"/>
          <w:highlight w:val="yellow"/>
        </w:rPr>
      </w:pPr>
      <w:r w:rsidRPr="005817EF">
        <w:rPr>
          <w:color w:val="000000" w:themeColor="text1"/>
        </w:rPr>
        <w:t xml:space="preserve">vides aizsardzības un reģionālās attīstības ministrs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t xml:space="preserve">         K.Gerhards</w:t>
      </w:r>
    </w:p>
    <w:p w:rsidR="00053162" w:rsidRPr="005817EF" w:rsidP="003908DB" w14:paraId="04BAFB2F" w14:textId="77777777">
      <w:pPr>
        <w:jc w:val="both"/>
        <w:rPr>
          <w:color w:val="000000" w:themeColor="text1"/>
          <w:highlight w:val="yellow"/>
        </w:rPr>
      </w:pPr>
    </w:p>
    <w:p w:rsidR="00DB2BCB" w:rsidP="003908DB" w14:paraId="5D85BA9C" w14:textId="77777777">
      <w:pPr>
        <w:jc w:val="both"/>
        <w:rPr>
          <w:color w:val="000000" w:themeColor="text1"/>
          <w:highlight w:val="yellow"/>
        </w:rPr>
      </w:pPr>
    </w:p>
    <w:p w:rsidR="00100494" w:rsidRPr="005817EF" w:rsidP="003908DB" w14:paraId="37C1DB77" w14:textId="77777777">
      <w:pPr>
        <w:jc w:val="both"/>
        <w:rPr>
          <w:color w:val="000000" w:themeColor="text1"/>
          <w:highlight w:val="yellow"/>
        </w:rPr>
      </w:pPr>
    </w:p>
    <w:p w:rsidR="00053162" w:rsidRPr="005817EF" w:rsidP="00053162" w14:paraId="1DD36B55" w14:textId="77777777">
      <w:pPr>
        <w:jc w:val="both"/>
        <w:rPr>
          <w:color w:val="000000" w:themeColor="text1"/>
        </w:rPr>
      </w:pPr>
      <w:r w:rsidRPr="005817EF">
        <w:rPr>
          <w:color w:val="000000" w:themeColor="text1"/>
        </w:rPr>
        <w:t xml:space="preserve">Vīza: </w:t>
      </w:r>
    </w:p>
    <w:p w:rsidR="00053162" w:rsidRPr="005817EF" w:rsidP="00053162" w14:paraId="52C96455" w14:textId="07C0DCBE">
      <w:pPr>
        <w:jc w:val="both"/>
        <w:rPr>
          <w:color w:val="000000" w:themeColor="text1"/>
        </w:rPr>
      </w:pPr>
      <w:r w:rsidRPr="005817EF">
        <w:rPr>
          <w:color w:val="000000" w:themeColor="text1"/>
        </w:rPr>
        <w:t xml:space="preserve">vides aizsardzības un reģionālās attīstības ministrijas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t>R.Muciņš</w:t>
      </w:r>
    </w:p>
    <w:p w:rsidR="00053162" w:rsidRPr="005817EF" w:rsidP="00053162" w14:paraId="683A40C3" w14:textId="131B0386">
      <w:pPr>
        <w:jc w:val="both"/>
        <w:rPr>
          <w:color w:val="000000" w:themeColor="text1"/>
          <w:highlight w:val="yellow"/>
        </w:rPr>
      </w:pPr>
      <w:r w:rsidRPr="005817EF">
        <w:rPr>
          <w:color w:val="000000" w:themeColor="text1"/>
        </w:rPr>
        <w:t>valsts sekretārs</w:t>
      </w:r>
    </w:p>
    <w:p w:rsidR="00053162" w:rsidP="003908DB" w14:paraId="1442FF29" w14:textId="77777777">
      <w:pPr>
        <w:jc w:val="both"/>
        <w:rPr>
          <w:color w:val="000000" w:themeColor="text1"/>
          <w:highlight w:val="yellow"/>
        </w:rPr>
      </w:pPr>
    </w:p>
    <w:p w:rsidR="00100494" w:rsidP="003908DB" w14:paraId="230D3814" w14:textId="77777777">
      <w:pPr>
        <w:jc w:val="both"/>
        <w:rPr>
          <w:color w:val="000000" w:themeColor="text1"/>
          <w:highlight w:val="yellow"/>
        </w:rPr>
      </w:pPr>
    </w:p>
    <w:p w:rsidR="00100494" w:rsidRPr="005817EF" w:rsidP="003908DB" w14:paraId="4D2D148E" w14:textId="77777777">
      <w:pPr>
        <w:jc w:val="both"/>
        <w:rPr>
          <w:color w:val="000000" w:themeColor="text1"/>
          <w:highlight w:val="yellow"/>
        </w:rPr>
      </w:pPr>
    </w:p>
    <w:p w:rsidR="00053162" w:rsidRPr="005817EF" w:rsidP="003908DB" w14:paraId="7CAD8B65" w14:textId="77777777">
      <w:pPr>
        <w:jc w:val="both"/>
        <w:rPr>
          <w:color w:val="000000" w:themeColor="text1"/>
          <w:highlight w:val="yellow"/>
        </w:rPr>
      </w:pPr>
    </w:p>
    <w:p w:rsidR="002E10A9" w:rsidRPr="005817EF" w:rsidP="003908DB" w14:paraId="0AF4531B" w14:textId="2C7ABB28">
      <w:pPr>
        <w:jc w:val="both"/>
        <w:rPr>
          <w:color w:val="000000" w:themeColor="text1"/>
          <w:sz w:val="20"/>
          <w:szCs w:val="20"/>
        </w:rPr>
      </w:pPr>
      <w:r>
        <w:rPr>
          <w:color w:val="000000" w:themeColor="text1"/>
          <w:sz w:val="20"/>
          <w:szCs w:val="20"/>
        </w:rPr>
        <w:t>19</w:t>
      </w:r>
      <w:r w:rsidR="00FB7392">
        <w:rPr>
          <w:color w:val="000000" w:themeColor="text1"/>
          <w:sz w:val="20"/>
          <w:szCs w:val="20"/>
        </w:rPr>
        <w:t>.06</w:t>
      </w:r>
      <w:r w:rsidRPr="005817EF" w:rsidR="00BD6A97">
        <w:rPr>
          <w:color w:val="000000" w:themeColor="text1"/>
          <w:sz w:val="20"/>
          <w:szCs w:val="20"/>
        </w:rPr>
        <w:t>.</w:t>
      </w:r>
      <w:r w:rsidRPr="005817EF" w:rsidR="000828CE">
        <w:rPr>
          <w:color w:val="000000" w:themeColor="text1"/>
          <w:sz w:val="20"/>
          <w:szCs w:val="20"/>
        </w:rPr>
        <w:t>2017</w:t>
      </w:r>
      <w:r w:rsidRPr="005817EF" w:rsidR="00BD6A97">
        <w:rPr>
          <w:color w:val="000000" w:themeColor="text1"/>
          <w:sz w:val="20"/>
          <w:szCs w:val="20"/>
        </w:rPr>
        <w:t xml:space="preserve">. </w:t>
      </w:r>
      <w:r>
        <w:rPr>
          <w:color w:val="000000" w:themeColor="text1"/>
          <w:sz w:val="20"/>
          <w:szCs w:val="20"/>
        </w:rPr>
        <w:t>9</w:t>
      </w:r>
      <w:r w:rsidRPr="005817EF" w:rsidR="004B596C">
        <w:rPr>
          <w:color w:val="000000" w:themeColor="text1"/>
          <w:sz w:val="20"/>
          <w:szCs w:val="20"/>
        </w:rPr>
        <w:t>:</w:t>
      </w:r>
      <w:r w:rsidR="00064C8E">
        <w:rPr>
          <w:color w:val="000000" w:themeColor="text1"/>
          <w:sz w:val="20"/>
          <w:szCs w:val="20"/>
        </w:rPr>
        <w:t>05</w:t>
      </w:r>
    </w:p>
    <w:p w:rsidR="008A206E" w:rsidRPr="005817EF" w:rsidP="003908DB" w14:paraId="5A24F8CA" w14:textId="06A6AB25">
      <w:pPr>
        <w:jc w:val="both"/>
        <w:rPr>
          <w:color w:val="000000" w:themeColor="text1"/>
          <w:sz w:val="18"/>
          <w:szCs w:val="20"/>
        </w:rPr>
      </w:pPr>
      <w:r>
        <w:rPr>
          <w:color w:val="000000" w:themeColor="text1"/>
          <w:sz w:val="20"/>
          <w:szCs w:val="20"/>
        </w:rPr>
        <w:t>2612</w:t>
      </w:r>
      <w:bookmarkStart w:id="1" w:name="_GoBack"/>
      <w:bookmarkEnd w:id="1"/>
    </w:p>
    <w:p w:rsidR="005204A9" w:rsidP="004314F1" w14:paraId="45FDDAA9" w14:textId="36BA6707">
      <w:pPr>
        <w:jc w:val="both"/>
        <w:rPr>
          <w:color w:val="000000" w:themeColor="text1"/>
          <w:sz w:val="20"/>
          <w:szCs w:val="20"/>
        </w:rPr>
      </w:pPr>
      <w:r w:rsidRPr="005817EF">
        <w:rPr>
          <w:color w:val="000000" w:themeColor="text1"/>
          <w:sz w:val="20"/>
          <w:szCs w:val="20"/>
        </w:rPr>
        <w:t>A.Auziņa</w:t>
      </w:r>
    </w:p>
    <w:p w:rsidR="005204A9" w:rsidP="004314F1" w14:paraId="3CFC3F96" w14:textId="48B4DA0C">
      <w:pPr>
        <w:jc w:val="both"/>
        <w:rPr>
          <w:color w:val="000000" w:themeColor="text1"/>
          <w:sz w:val="20"/>
          <w:szCs w:val="20"/>
        </w:rPr>
      </w:pPr>
      <w:r>
        <w:rPr>
          <w:color w:val="000000" w:themeColor="text1"/>
          <w:sz w:val="20"/>
          <w:szCs w:val="20"/>
        </w:rPr>
        <w:t>Investīciju politikas departamenta</w:t>
      </w:r>
    </w:p>
    <w:p w:rsidR="005204A9" w:rsidP="004314F1" w14:paraId="6BCA3DE1" w14:textId="18AFFC19">
      <w:pPr>
        <w:jc w:val="both"/>
        <w:rPr>
          <w:color w:val="000000" w:themeColor="text1"/>
          <w:sz w:val="20"/>
          <w:szCs w:val="20"/>
        </w:rPr>
      </w:pPr>
      <w:r>
        <w:rPr>
          <w:color w:val="000000" w:themeColor="text1"/>
          <w:sz w:val="20"/>
          <w:szCs w:val="20"/>
        </w:rPr>
        <w:t>Vides investīciju nodaļas vecākā eksperte</w:t>
      </w:r>
    </w:p>
    <w:p w:rsidR="0034561C" w:rsidRPr="005817EF" w:rsidP="004314F1" w14:paraId="7E386C2E" w14:textId="5F34A422">
      <w:pPr>
        <w:jc w:val="both"/>
        <w:rPr>
          <w:color w:val="000000" w:themeColor="text1"/>
          <w:sz w:val="20"/>
          <w:szCs w:val="20"/>
        </w:rPr>
      </w:pPr>
      <w:r>
        <w:rPr>
          <w:color w:val="000000" w:themeColor="text1"/>
          <w:sz w:val="20"/>
          <w:szCs w:val="20"/>
        </w:rPr>
        <w:t xml:space="preserve">tālr. </w:t>
      </w:r>
      <w:r w:rsidRPr="005817EF" w:rsidR="004314F1">
        <w:rPr>
          <w:color w:val="000000" w:themeColor="text1"/>
          <w:sz w:val="20"/>
          <w:szCs w:val="20"/>
        </w:rPr>
        <w:t>66016701</w:t>
      </w:r>
      <w:r>
        <w:rPr>
          <w:color w:val="000000" w:themeColor="text1"/>
          <w:sz w:val="20"/>
          <w:szCs w:val="20"/>
        </w:rPr>
        <w:t xml:space="preserve">, e-pasts: </w:t>
      </w:r>
      <w:r>
        <w:fldChar w:fldCharType="begin"/>
      </w:r>
      <w:r>
        <w:instrText xml:space="preserve"> HYPERLINK "mailto:austra.auzina@varam.gov.lv" </w:instrText>
      </w:r>
      <w:r>
        <w:fldChar w:fldCharType="separate"/>
      </w:r>
      <w:r w:rsidRPr="005817EF" w:rsidR="004314F1">
        <w:rPr>
          <w:rStyle w:val="Hyperlink"/>
          <w:color w:val="000000" w:themeColor="text1"/>
          <w:sz w:val="20"/>
          <w:szCs w:val="20"/>
        </w:rPr>
        <w:t>austra.auzina@varam.gov.lv</w:t>
      </w:r>
      <w:r>
        <w:fldChar w:fldCharType="end"/>
      </w:r>
    </w:p>
    <w:sectPr w:rsidSect="00A20E76">
      <w:headerReference w:type="default" r:id="rId10"/>
      <w:footerReference w:type="even" r:id="rId11"/>
      <w:footerReference w:type="default" r:id="rId12"/>
      <w:footerReference w:type="first" r:id="rId13"/>
      <w:pgSz w:w="11906" w:h="16838"/>
      <w:pgMar w:top="993" w:right="1134" w:bottom="1134" w:left="1418" w:header="709" w:footer="27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321" w:rsidRPr="00186C21" w:rsidP="00AE31DE" w14:paraId="66F3C09A"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321" w:rsidRPr="005817EF" w:rsidP="00DD49A0" w14:paraId="5939AAA7" w14:textId="1ECABECB">
    <w:pPr>
      <w:jc w:val="both"/>
      <w:rPr>
        <w:color w:val="000000"/>
        <w:sz w:val="20"/>
        <w:szCs w:val="20"/>
      </w:rPr>
    </w:pPr>
    <w:r>
      <w:rPr>
        <w:sz w:val="20"/>
        <w:szCs w:val="20"/>
      </w:rPr>
      <w:t>VARAMAnot_5212_</w:t>
    </w:r>
    <w:r w:rsidR="00100494">
      <w:rPr>
        <w:sz w:val="20"/>
        <w:szCs w:val="20"/>
      </w:rPr>
      <w:t>1</w:t>
    </w:r>
    <w:r w:rsidR="00593143">
      <w:rPr>
        <w:sz w:val="20"/>
        <w:szCs w:val="20"/>
      </w:rPr>
      <w:t>9</w:t>
    </w:r>
    <w:r w:rsidR="00FB7392">
      <w:rPr>
        <w:sz w:val="20"/>
        <w:szCs w:val="20"/>
      </w:rPr>
      <w:t>061</w:t>
    </w:r>
    <w:r w:rsidR="0009239C">
      <w:rPr>
        <w:sz w:val="20"/>
        <w:szCs w:val="20"/>
      </w:rPr>
      <w:t>7</w:t>
    </w:r>
    <w:r w:rsidR="00100494">
      <w:rPr>
        <w:sz w:val="20"/>
        <w:szCs w:val="20"/>
      </w:rPr>
      <w:t>_VSS-457</w:t>
    </w:r>
    <w:r w:rsidRPr="00713798" w:rsidR="005817EF">
      <w:rPr>
        <w:sz w:val="20"/>
        <w:szCs w:val="20"/>
      </w:rPr>
      <w:t xml:space="preserve">; </w:t>
    </w:r>
    <w:r w:rsidRPr="005817EF" w:rsidR="005817EF">
      <w:rPr>
        <w:color w:val="000000"/>
        <w:sz w:val="20"/>
        <w:szCs w:val="20"/>
      </w:rPr>
      <w:t>Ministru kabineta noteikumu projekta</w:t>
    </w:r>
    <w:r w:rsidR="005817EF">
      <w:rPr>
        <w:color w:val="000000"/>
        <w:sz w:val="20"/>
        <w:szCs w:val="20"/>
      </w:rPr>
      <w:t xml:space="preserve"> </w:t>
    </w:r>
    <w:r w:rsidRPr="005817EF" w:rsid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817EF" w:rsidR="005817EF">
      <w:rPr>
        <w:color w:val="000000"/>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321" w:rsidRPr="00100494" w:rsidP="00100494" w14:paraId="0F1BD931" w14:textId="47CADF2B">
    <w:pPr>
      <w:jc w:val="both"/>
      <w:rPr>
        <w:color w:val="000000"/>
        <w:sz w:val="20"/>
        <w:szCs w:val="20"/>
      </w:rPr>
    </w:pPr>
    <w:r>
      <w:rPr>
        <w:sz w:val="20"/>
        <w:szCs w:val="20"/>
      </w:rPr>
      <w:t>VARAMAnot_5212_190617_VSS-457</w:t>
    </w:r>
    <w:r w:rsidRPr="00713798">
      <w:rPr>
        <w:sz w:val="20"/>
        <w:szCs w:val="20"/>
      </w:rPr>
      <w:t xml:space="preserve">; </w:t>
    </w:r>
    <w:r w:rsidRPr="005817EF">
      <w:rPr>
        <w:color w:val="000000"/>
        <w:sz w:val="20"/>
        <w:szCs w:val="20"/>
      </w:rPr>
      <w:t>Ministru kabineta noteikumu projekta</w:t>
    </w:r>
    <w:r>
      <w:rPr>
        <w:color w:val="000000"/>
        <w:sz w:val="20"/>
        <w:szCs w:val="20"/>
      </w:rPr>
      <w:t xml:space="preserve"> </w:t>
    </w:r>
    <w:r w:rsidRP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817EF">
      <w:rPr>
        <w:color w:val="000000"/>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55A" w14:paraId="6ED05B70" w14:textId="77777777">
      <w:r>
        <w:separator/>
      </w:r>
    </w:p>
  </w:footnote>
  <w:footnote w:type="continuationSeparator" w:id="1">
    <w:p w:rsidR="009D055A" w14:paraId="17DF1561" w14:textId="77777777">
      <w:r>
        <w:continuationSeparator/>
      </w:r>
    </w:p>
  </w:footnote>
  <w:footnote w:type="continuationNotice" w:id="2">
    <w:p w:rsidR="009D055A" w14:paraId="197B3438" w14:textId="77777777"/>
  </w:footnote>
  <w:footnote w:id="3">
    <w:p w:rsidR="00A87E09" w:rsidRPr="00A87E09" w:rsidP="009803A7" w14:paraId="35F55326" w14:textId="3C5B400D">
      <w:pPr>
        <w:pStyle w:val="FootnoteText"/>
        <w:jc w:val="both"/>
        <w:rPr>
          <w:lang w:val="lv-LV"/>
        </w:rPr>
      </w:pPr>
      <w:r>
        <w:rPr>
          <w:rStyle w:val="FootnoteReference"/>
        </w:rPr>
        <w:footnoteRef/>
      </w:r>
      <w:r>
        <w:t xml:space="preserve"> </w:t>
      </w:r>
      <w:r>
        <w:rPr>
          <w:lang w:val="lv-LV"/>
        </w:rPr>
        <w:t>Darbības programma “Izaugsme un nodarbinātība” (ar MK 29.03.2017 rīkojuma Nr.160 grozījumiem), 402.rindkopa</w:t>
      </w:r>
    </w:p>
  </w:footnote>
  <w:footnote w:id="4">
    <w:p w:rsidR="009803A7" w:rsidRPr="009803A7" w:rsidP="009803A7" w14:paraId="259841DF" w14:textId="7B848FBD">
      <w:pPr>
        <w:pStyle w:val="FootnoteText"/>
        <w:jc w:val="both"/>
        <w:rPr>
          <w:lang w:val="lv-LV"/>
        </w:rPr>
      </w:pPr>
      <w:r>
        <w:rPr>
          <w:rStyle w:val="FootnoteReference"/>
        </w:rPr>
        <w:footnoteRef/>
      </w:r>
      <w:r w:rsidRPr="009803A7">
        <w:rPr>
          <w:lang w:val="lv-LV"/>
        </w:rPr>
        <w:t xml:space="preserve"> </w:t>
      </w:r>
      <w:r>
        <w:rPr>
          <w:bCs/>
          <w:lang w:val="lv-LV"/>
        </w:rPr>
        <w:t>Atskaite</w:t>
      </w:r>
      <w:r w:rsidRPr="009803A7">
        <w:rPr>
          <w:bCs/>
          <w:lang w:val="lv-LV"/>
        </w:rPr>
        <w:t xml:space="preserve"> par vispārējas tautsaimnieciskas nozīmes pakalpojumiem Latvijā 2012. – 2014.gadā</w:t>
      </w:r>
      <w:r>
        <w:rPr>
          <w:lang w:val="lv-LV"/>
        </w:rPr>
        <w:t xml:space="preserve">, pieejama šeit: </w:t>
      </w:r>
      <w:r>
        <w:fldChar w:fldCharType="begin"/>
      </w:r>
      <w:r>
        <w:instrText xml:space="preserve"> HYPERLINK "http://ec.europa.eu/competition/state_aid/public_services/2012_2014/latvia_lv.pdf" </w:instrText>
      </w:r>
      <w:r>
        <w:fldChar w:fldCharType="separate"/>
      </w:r>
      <w:r w:rsidRPr="00D453BF">
        <w:rPr>
          <w:rStyle w:val="Hyperlink"/>
          <w:lang w:val="lv-LV"/>
        </w:rPr>
        <w:t>http://ec.europa.eu/competition/state_aid/public_services/2012_2014/latvia_lv.pdf</w:t>
      </w:r>
      <w:r>
        <w:fldChar w:fldCharType="end"/>
      </w:r>
      <w:r>
        <w:rPr>
          <w:lang w:val="lv-LV"/>
        </w:rPr>
        <w:t xml:space="preserve"> </w:t>
      </w:r>
    </w:p>
  </w:footnote>
  <w:footnote w:id="5">
    <w:p w:rsidR="0025246C" w:rsidRPr="0025246C" w:rsidP="0025246C" w14:paraId="717E1D14" w14:textId="4C72AF21">
      <w:pPr>
        <w:pStyle w:val="FootnoteText"/>
        <w:jc w:val="both"/>
        <w:rPr>
          <w:lang w:val="lv-LV"/>
        </w:rPr>
      </w:pPr>
      <w:r>
        <w:rPr>
          <w:rStyle w:val="FootnoteReference"/>
        </w:rPr>
        <w:footnoteRef/>
      </w:r>
      <w:r w:rsidRPr="00A20E76">
        <w:rPr>
          <w:lang w:val="lv-LV"/>
        </w:rPr>
        <w:t xml:space="preserve"> </w:t>
      </w:r>
      <w:r>
        <w:rPr>
          <w:lang w:val="lv-LV"/>
        </w:rPr>
        <w:t xml:space="preserve">Eiropas Savienības fondu 2014.-2020.gada finanšu plānošanas perioda potenciāli atbalstāmo vides aizsardzības aktivitāšu ekonomisko ieguvumu novērtējums, 119.lpp, pieejams šeit: </w:t>
      </w:r>
      <w:r>
        <w:fldChar w:fldCharType="begin"/>
      </w:r>
      <w:r>
        <w:instrText xml:space="preserve"> HYPERLINK "http://www.varam.gov.lv/in_site/tools/download.php?file=files/text/Publikacijas/petijumi/vide//Lig_Nr_237005TP_KF_2014_2020_Nosleguma_zin_V3_2_02122015_apvienotais.pdf" </w:instrText>
      </w:r>
      <w:r>
        <w:fldChar w:fldCharType="separate"/>
      </w:r>
      <w:r w:rsidRPr="009C2C81">
        <w:rPr>
          <w:rStyle w:val="Hyperlink"/>
          <w:lang w:val="lv-LV"/>
        </w:rPr>
        <w:t>http://www.varam.gov.lv/in_site/tools/download.php?file=files/text/Publikacijas/petijumi/vide//Lig_Nr_237005TP_KF_2014_2020_Nosleguma_zin_V3_2_02122015_apvienotais.pdf</w:t>
      </w:r>
      <w:r>
        <w:fldChar w:fldCharType="end"/>
      </w:r>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321" w:rsidP="00AE31DE" w14:paraId="3BEB7B83" w14:textId="7B26018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F14321" w14:paraId="53EE3059"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5A130A"/>
    <w:multiLevelType w:val="hybridMultilevel"/>
    <w:tmpl w:val="E1B689C8"/>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1">
    <w:nsid w:val="399F5A7D"/>
    <w:multiLevelType w:val="hybridMultilevel"/>
    <w:tmpl w:val="0276D9D8"/>
    <w:lvl w:ilvl="0">
      <w:start w:val="1"/>
      <w:numFmt w:val="bullet"/>
      <w:pStyle w:val="EE-bullet"/>
      <w:lvlText w:val="−"/>
      <w:lvlJc w:val="left"/>
      <w:pPr>
        <w:ind w:left="720" w:hanging="360"/>
      </w:pPr>
      <w:rPr>
        <w:rFonts w:ascii="Georgia" w:hAnsi="Georgi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semiHidden/>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customStyle="1" w:styleId="GridTable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00FFA025-88C1-43CE-B984-795996C0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13418</Words>
  <Characters>7649</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anotācija</dc:subject>
  <dc:creator>Olita Zālīte - Vīlipa</dc:creator>
  <cp:lastModifiedBy>Austra Auziņa</cp:lastModifiedBy>
  <cp:revision>6</cp:revision>
  <cp:lastPrinted>2016-08-02T14:55:00Z</cp:lastPrinted>
  <dcterms:created xsi:type="dcterms:W3CDTF">2017-06-02T11:09:00Z</dcterms:created>
  <dcterms:modified xsi:type="dcterms:W3CDTF">2017-06-14T14:32:00Z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