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3772BE" w:rsidP="00BD063C" w14:paraId="38BD2C01" w14:textId="28FFA214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3"/>
      <w:bookmarkStart w:id="3" w:name="OLE_LINK14"/>
      <w:bookmarkStart w:id="4" w:name="OLE_LINK19"/>
      <w:bookmarkStart w:id="5" w:name="OLE_LINK20"/>
      <w:bookmarkStart w:id="6" w:name="OLE_LINK1"/>
      <w:bookmarkStart w:id="7" w:name="OLE_LINK2"/>
      <w:bookmarkStart w:id="8" w:name="OLE_LINK6"/>
      <w:bookmarkStart w:id="9" w:name="OLE_LINK7"/>
      <w:bookmarkStart w:id="10" w:name="OLE_LINK8"/>
      <w:bookmarkStart w:id="11" w:name="OLE_LINK5"/>
      <w:r w:rsidRPr="00BD063C">
        <w:rPr>
          <w:b/>
          <w:sz w:val="28"/>
          <w:szCs w:val="28"/>
        </w:rPr>
        <w:t>Ministru kabineta noteikumu projekta „Grozījumi Ministru kabineta 20</w:t>
      </w:r>
      <w:r w:rsidR="00C55D35">
        <w:rPr>
          <w:b/>
          <w:sz w:val="28"/>
          <w:szCs w:val="28"/>
        </w:rPr>
        <w:t>06.</w:t>
      </w:r>
      <w:r w:rsidR="0065279B">
        <w:rPr>
          <w:b/>
          <w:sz w:val="28"/>
          <w:szCs w:val="28"/>
        </w:rPr>
        <w:t xml:space="preserve"> </w:t>
      </w:r>
      <w:r w:rsidR="00C55D35">
        <w:rPr>
          <w:b/>
          <w:sz w:val="28"/>
          <w:szCs w:val="28"/>
        </w:rPr>
        <w:t>gada 4</w:t>
      </w:r>
      <w:r w:rsidRPr="00BD063C">
        <w:rPr>
          <w:b/>
          <w:sz w:val="28"/>
          <w:szCs w:val="28"/>
        </w:rPr>
        <w:t>.</w:t>
      </w:r>
      <w:r w:rsidR="0065279B">
        <w:rPr>
          <w:b/>
          <w:sz w:val="28"/>
          <w:szCs w:val="28"/>
        </w:rPr>
        <w:t xml:space="preserve"> </w:t>
      </w:r>
      <w:r w:rsidR="00C55D35">
        <w:rPr>
          <w:b/>
          <w:sz w:val="28"/>
          <w:szCs w:val="28"/>
        </w:rPr>
        <w:t>aprīļ</w:t>
      </w:r>
      <w:r w:rsidRPr="00BD063C">
        <w:rPr>
          <w:b/>
          <w:sz w:val="28"/>
          <w:szCs w:val="28"/>
        </w:rPr>
        <w:t>a noteikumos Nr.</w:t>
      </w:r>
      <w:r w:rsidR="0065279B">
        <w:rPr>
          <w:b/>
          <w:sz w:val="28"/>
          <w:szCs w:val="28"/>
        </w:rPr>
        <w:t xml:space="preserve"> </w:t>
      </w:r>
      <w:r w:rsidR="00C55D35">
        <w:rPr>
          <w:b/>
          <w:sz w:val="28"/>
          <w:szCs w:val="28"/>
        </w:rPr>
        <w:t>261</w:t>
      </w:r>
      <w:r w:rsidRPr="00BD063C">
        <w:rPr>
          <w:b/>
          <w:sz w:val="28"/>
          <w:szCs w:val="28"/>
        </w:rPr>
        <w:t xml:space="preserve"> „</w:t>
      </w:r>
      <w:r w:rsidR="00C55D35">
        <w:rPr>
          <w:b/>
          <w:bCs/>
          <w:sz w:val="28"/>
          <w:szCs w:val="28"/>
        </w:rPr>
        <w:t>Neauglības diagnosticēšanas un potenciālā dzimumšūnu donora medicīniskās izmeklēšanas kārtība”</w:t>
      </w:r>
      <w:r w:rsidRPr="00BD063C">
        <w:rPr>
          <w:b/>
          <w:bCs/>
          <w:sz w:val="28"/>
          <w:szCs w:val="28"/>
        </w:rPr>
        <w:t xml:space="preserve">” </w:t>
      </w:r>
      <w:r w:rsidRPr="00BD063C">
        <w:rPr>
          <w:b/>
          <w:sz w:val="28"/>
          <w:szCs w:val="28"/>
        </w:rPr>
        <w:t>(anotācija)</w:t>
      </w:r>
    </w:p>
    <w:p w:rsidR="005254CD" w:rsidRPr="00BD063C" w:rsidP="00BD063C" w14:paraId="71F99F3F" w14:textId="7777777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0"/>
        <w:gridCol w:w="1992"/>
        <w:gridCol w:w="6345"/>
      </w:tblGrid>
      <w:tr w14:paraId="61A67A49" w14:textId="77777777" w:rsidTr="003808D7">
        <w:tblPrEx>
          <w:tblW w:w="90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9067" w:type="dxa"/>
            <w:gridSpan w:val="3"/>
            <w:vAlign w:val="center"/>
          </w:tcPr>
          <w:p w:rsidR="00DC0A5D" w:rsidRPr="007C2439" w:rsidP="00E13923" w14:paraId="1DB5C72B" w14:textId="77777777">
            <w:pPr>
              <w:pStyle w:val="naisnod"/>
              <w:spacing w:before="0" w:after="0"/>
              <w:rPr>
                <w:color w:val="000000"/>
              </w:rPr>
            </w:pP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7C2439">
              <w:rPr>
                <w:color w:val="000000"/>
              </w:rPr>
              <w:t xml:space="preserve">I. Tiesību akta projekta izstrādes nepieciešamība </w:t>
            </w:r>
          </w:p>
        </w:tc>
      </w:tr>
      <w:tr w14:paraId="3D624C4B" w14:textId="77777777" w:rsidTr="003808D7">
        <w:tblPrEx>
          <w:tblW w:w="9067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630"/>
        </w:trPr>
        <w:tc>
          <w:tcPr>
            <w:tcW w:w="730" w:type="dxa"/>
          </w:tcPr>
          <w:p w:rsidR="00DC0A5D" w:rsidRPr="007C2439" w:rsidP="00E13923" w14:paraId="4AAE2F2A" w14:textId="77777777">
            <w:pPr>
              <w:pStyle w:val="naiskr"/>
              <w:spacing w:before="0" w:after="0"/>
              <w:rPr>
                <w:color w:val="000000"/>
              </w:rPr>
            </w:pPr>
            <w:r w:rsidRPr="007C2439">
              <w:rPr>
                <w:color w:val="000000"/>
              </w:rPr>
              <w:t>1.</w:t>
            </w:r>
          </w:p>
        </w:tc>
        <w:tc>
          <w:tcPr>
            <w:tcW w:w="1992" w:type="dxa"/>
          </w:tcPr>
          <w:p w:rsidR="00DC0A5D" w:rsidRPr="007C2439" w:rsidP="00AC066D" w14:paraId="175446A3" w14:textId="77777777">
            <w:pPr>
              <w:pStyle w:val="naiskr"/>
              <w:spacing w:before="0" w:after="0"/>
              <w:ind w:hanging="10"/>
              <w:rPr>
                <w:color w:val="000000"/>
              </w:rPr>
            </w:pPr>
            <w:r w:rsidRPr="007C2439">
              <w:rPr>
                <w:color w:val="000000"/>
              </w:rPr>
              <w:t>Pamatojum</w:t>
            </w:r>
            <w:r w:rsidRPr="007C2439" w:rsidR="00FD4949">
              <w:rPr>
                <w:color w:val="000000"/>
              </w:rPr>
              <w:t>s</w:t>
            </w:r>
          </w:p>
        </w:tc>
        <w:tc>
          <w:tcPr>
            <w:tcW w:w="6345" w:type="dxa"/>
          </w:tcPr>
          <w:p w:rsidR="00693DEA" w:rsidRPr="007C2439" w:rsidP="00985A63" w14:paraId="17268FAB" w14:textId="576698B3">
            <w:pPr>
              <w:jc w:val="both"/>
            </w:pPr>
            <w:r>
              <w:t xml:space="preserve"> Ministru kabineta noteikumu projekts “Grozījumi Ministru kabineta 2006. gada 4. aprīļa noteikumos Nr. 261 “Neauglības diagnosticēšanas un potenciālā dzimumšūnu donora medicīniskās izmeklēšanas kārtība”” (turpmāk - </w:t>
            </w:r>
            <w:r w:rsidR="005A6F2F">
              <w:t>P</w:t>
            </w:r>
            <w:r>
              <w:t xml:space="preserve">rojekts) izstrādāts pēc </w:t>
            </w:r>
            <w:r w:rsidR="00C55D35">
              <w:t>Veselības ministrijas iniciatīva</w:t>
            </w:r>
            <w:r>
              <w:t>s</w:t>
            </w:r>
            <w:r w:rsidR="00246CF9">
              <w:t>.</w:t>
            </w:r>
          </w:p>
        </w:tc>
      </w:tr>
      <w:tr w14:paraId="1D94F2E3" w14:textId="77777777" w:rsidTr="003808D7">
        <w:tblPrEx>
          <w:tblW w:w="9067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472"/>
        </w:trPr>
        <w:tc>
          <w:tcPr>
            <w:tcW w:w="730" w:type="dxa"/>
          </w:tcPr>
          <w:p w:rsidR="00DC0A5D" w:rsidRPr="007C2439" w:rsidP="00E13923" w14:paraId="7F15A36C" w14:textId="77777777">
            <w:pPr>
              <w:pStyle w:val="naiskr"/>
              <w:spacing w:before="0" w:after="0"/>
              <w:rPr>
                <w:color w:val="000000"/>
              </w:rPr>
            </w:pPr>
            <w:r w:rsidRPr="007C2439">
              <w:rPr>
                <w:color w:val="000000"/>
              </w:rPr>
              <w:t>2.</w:t>
            </w:r>
          </w:p>
        </w:tc>
        <w:tc>
          <w:tcPr>
            <w:tcW w:w="1992" w:type="dxa"/>
          </w:tcPr>
          <w:p w:rsidR="00DC0A5D" w:rsidRPr="007C2439" w:rsidP="00E13923" w14:paraId="7C2B5FB1" w14:textId="77777777">
            <w:pPr>
              <w:pStyle w:val="naiskr"/>
              <w:tabs>
                <w:tab w:val="left" w:pos="170"/>
              </w:tabs>
              <w:spacing w:before="0" w:after="0"/>
              <w:rPr>
                <w:color w:val="000000"/>
              </w:rPr>
            </w:pPr>
            <w:r w:rsidRPr="007C2439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345" w:type="dxa"/>
            <w:shd w:val="clear" w:color="auto" w:fill="auto"/>
          </w:tcPr>
          <w:p w:rsidR="004E7D54" w:rsidRPr="004E7D54" w:rsidP="004E7D54" w14:paraId="0A7E7371" w14:textId="53C58B8D">
            <w:pPr>
              <w:jc w:val="both"/>
            </w:pPr>
            <w:r w:rsidRPr="00854502">
              <w:t xml:space="preserve">Pašlaik spēkā esošais regulējums (Ministru noteikumu 2006. gada 4. aprīļa noteikumu Nr. 216 “Neauglības diagnosticēšanas un potenciālā dzimumšūnu donora medicīniskās izmeklēšanas kārtība” (turpmāk – Noteikumi Nr. 261)  III. nodaļa un Ministru kabineta </w:t>
            </w:r>
            <w:r>
              <w:t>2013. gada 22. oktobra noteikumu Nr. 1</w:t>
            </w:r>
            <w:r w:rsidRPr="007C2439">
              <w:t>176 „Cilvēka audu un šūnu izmantošanas kārtība" (turpmāk – Noteikumi Nr.</w:t>
            </w:r>
            <w:r>
              <w:t xml:space="preserve"> 1176) 3</w:t>
            </w:r>
            <w:r w:rsidRPr="007C2439">
              <w:t>.3.</w:t>
            </w:r>
            <w:r>
              <w:t xml:space="preserve"> </w:t>
            </w:r>
            <w:r w:rsidRPr="007C2439">
              <w:t>apakšnodaļ</w:t>
            </w:r>
            <w:r>
              <w:t>a</w:t>
            </w:r>
            <w:r w:rsidRPr="007C2439">
              <w:t xml:space="preserve"> un 4.</w:t>
            </w:r>
            <w:r>
              <w:t xml:space="preserve"> pielikums) nosaka kādi medicīniskie un laboratoriskie izmeklējumi ir jāveic dzimumšūnu donoriem. Tādējādi dzimumšūnu donoriem veicamie izmeklējumi ir noteikti gan Noteikumos Nr.</w:t>
            </w:r>
            <w:r>
              <w:t xml:space="preserve"> </w:t>
            </w:r>
            <w:r>
              <w:t>261, gan Noteikumos Nr.</w:t>
            </w:r>
            <w:r>
              <w:t xml:space="preserve"> </w:t>
            </w:r>
            <w:r>
              <w:t>1176</w:t>
            </w:r>
            <w:r>
              <w:t xml:space="preserve"> </w:t>
            </w:r>
            <w:r w:rsidRPr="004E7D54">
              <w:t xml:space="preserve">un atsevišķas to normas dublējas, piemēram, donoriem veicamās asinsanalīzes, HIV, B hepatīta un C hepatīta noteikšanas izmeklējumi. </w:t>
            </w:r>
          </w:p>
          <w:p w:rsidR="009A5239" w:rsidP="00DA38DB" w14:paraId="2B1FB975" w14:textId="6D88FDC2">
            <w:pPr>
              <w:jc w:val="both"/>
            </w:pPr>
            <w:r>
              <w:t>Lai nodrošinātu dzimumšūnu donoriem veicamo izmeklējumu noteikšanu vienā normatīvajā aktā, Veselības ministrija izstrādāja un Ministru kabineta 2017.</w:t>
            </w:r>
            <w:r w:rsidR="00854502">
              <w:t xml:space="preserve"> </w:t>
            </w:r>
            <w:r>
              <w:t>gada 14.</w:t>
            </w:r>
            <w:r w:rsidR="00854502">
              <w:t xml:space="preserve"> </w:t>
            </w:r>
            <w:r>
              <w:t>marta sēdē tika apstiprināt</w:t>
            </w:r>
            <w:r w:rsidR="00F83BA1">
              <w:t>i</w:t>
            </w:r>
            <w:r>
              <w:t xml:space="preserve"> </w:t>
            </w:r>
            <w:r w:rsidR="00854502">
              <w:t xml:space="preserve">Ministru kabineta </w:t>
            </w:r>
            <w:r>
              <w:t>noteikum</w:t>
            </w:r>
            <w:r w:rsidR="00854502">
              <w:t>i Nr. 141</w:t>
            </w:r>
            <w:r>
              <w:t xml:space="preserve"> “Grozījumi Ministru kabineta 2013.</w:t>
            </w:r>
            <w:r w:rsidR="00854502">
              <w:t xml:space="preserve"> </w:t>
            </w:r>
            <w:r>
              <w:t xml:space="preserve">gada </w:t>
            </w:r>
            <w:r w:rsidR="004E7D54">
              <w:t>22.</w:t>
            </w:r>
            <w:r w:rsidR="00854502">
              <w:t xml:space="preserve"> </w:t>
            </w:r>
            <w:r w:rsidR="004E7D54">
              <w:t>oktobra noteikumos Nr.</w:t>
            </w:r>
            <w:r w:rsidR="00854502">
              <w:t xml:space="preserve"> </w:t>
            </w:r>
            <w:r w:rsidR="004E7D54">
              <w:t>1176 “Cilvēka audu un šūnu izmantošanas kārtība””</w:t>
            </w:r>
            <w:r w:rsidR="00854502">
              <w:t xml:space="preserve"> (turpmāk – Noteikumi Nr. 141)</w:t>
            </w:r>
            <w:r w:rsidR="004E7D54">
              <w:t>, kurā tika precizēti dzimumšūnu donoriem veicamie izmeklējumi, izvērtējot Noteikumos Nr. 261 iekļautās prasības. Minētās tiesību normas spēkā stāsies 2017.</w:t>
            </w:r>
            <w:r w:rsidR="00854502">
              <w:t xml:space="preserve"> </w:t>
            </w:r>
            <w:r w:rsidR="004E7D54">
              <w:t>gada 29.</w:t>
            </w:r>
            <w:r w:rsidR="00854502">
              <w:t xml:space="preserve"> </w:t>
            </w:r>
            <w:r w:rsidR="004E7D54">
              <w:t>aprīlī.</w:t>
            </w:r>
          </w:p>
          <w:p w:rsidR="004E7D54" w:rsidP="00DA38DB" w14:paraId="5C8C9A5D" w14:textId="0665FD8C">
            <w:pPr>
              <w:jc w:val="both"/>
              <w:rPr>
                <w:color w:val="FF0000"/>
              </w:rPr>
            </w:pPr>
            <w:r>
              <w:t xml:space="preserve">Ņemot vērā minēto, lai  novērstu tiesību normu dublēšanos, kā arī nodrošinātu ārstniecības iestādēm, kas veic dzimumšūnu donoru atlasi un dzimumšūnu ieguvi, nepārprotami skaidru informāciju par donoriem veicamajiem izmeklējumiem, </w:t>
            </w:r>
            <w:r w:rsidR="007F3609">
              <w:t>nepieciešams veikt</w:t>
            </w:r>
            <w:r>
              <w:t xml:space="preserve"> grozījum</w:t>
            </w:r>
            <w:r w:rsidR="007F3609">
              <w:t xml:space="preserve">us </w:t>
            </w:r>
            <w:r>
              <w:t>Noteikumos Nr. 261 un svītro</w:t>
            </w:r>
            <w:r w:rsidR="007F3609">
              <w:t>t</w:t>
            </w:r>
            <w:r>
              <w:t xml:space="preserve"> III. sadaļ</w:t>
            </w:r>
            <w:r w:rsidR="007F3609">
              <w:t>u</w:t>
            </w:r>
            <w:r>
              <w:t>, kurā noteikti dzimumšūnu donoriem veicamie izmeklējumi</w:t>
            </w:r>
            <w:r w:rsidR="00854502">
              <w:t>, kā arī atbilstoši precizēt minēto noteikumu nosaukumu un  norādi, uz kāda likuma pamata tie izdoti</w:t>
            </w:r>
            <w:r>
              <w:t>.</w:t>
            </w:r>
          </w:p>
          <w:p w:rsidR="007F3609" w:rsidRPr="00854502" w:rsidP="00556255" w14:paraId="59317A38" w14:textId="34692EC2">
            <w:pPr>
              <w:pStyle w:val="Default"/>
              <w:spacing w:before="120"/>
              <w:jc w:val="both"/>
              <w:rPr>
                <w:color w:val="FF0000"/>
              </w:rPr>
            </w:pPr>
            <w:r>
              <w:t>P</w:t>
            </w:r>
            <w:r w:rsidRPr="00854502">
              <w:t xml:space="preserve">rojekta mērķis ir veikt tehniskus grozījumus Noteikumos Nr. 261, ņemot </w:t>
            </w:r>
            <w:r>
              <w:t xml:space="preserve">vērā </w:t>
            </w:r>
            <w:r w:rsidRPr="00854502" w:rsidR="00854502">
              <w:t>N</w:t>
            </w:r>
            <w:r w:rsidRPr="00854502">
              <w:t>oteikumos</w:t>
            </w:r>
            <w:r w:rsidRPr="00854502" w:rsidR="00854502">
              <w:t xml:space="preserve">  Nr. 141 </w:t>
            </w:r>
            <w:r w:rsidRPr="00854502">
              <w:t xml:space="preserve">noteiktās prasības izmeklējumu veikšanai dzimumšūnu donoriem. </w:t>
            </w:r>
          </w:p>
          <w:p w:rsidR="006145DD" w:rsidP="00854502" w14:paraId="2CBF91A3" w14:textId="77777777">
            <w:pPr>
              <w:tabs>
                <w:tab w:val="left" w:pos="1252"/>
              </w:tabs>
              <w:jc w:val="both"/>
              <w:rPr>
                <w:u w:val="single"/>
              </w:rPr>
            </w:pPr>
          </w:p>
          <w:p w:rsidR="00EE3976" w:rsidRPr="006145DD" w:rsidP="00854502" w14:paraId="15093723" w14:textId="1E9BE733">
            <w:pPr>
              <w:tabs>
                <w:tab w:val="left" w:pos="1252"/>
              </w:tabs>
              <w:jc w:val="both"/>
            </w:pPr>
            <w:r>
              <w:t>P</w:t>
            </w:r>
            <w:r w:rsidRPr="006145DD" w:rsidR="00663644">
              <w:t xml:space="preserve">rojekta būtība – atbilstoši </w:t>
            </w:r>
            <w:r>
              <w:t>P</w:t>
            </w:r>
            <w:r w:rsidRPr="006145DD" w:rsidR="00663644">
              <w:t>rojektā noteiktajam veikti redakcionāli precizējumi,</w:t>
            </w:r>
            <w:r w:rsidRPr="006145DD" w:rsidR="00854502">
              <w:t xml:space="preserve"> svītrojot</w:t>
            </w:r>
            <w:r w:rsidRPr="006145DD" w:rsidR="00663644">
              <w:t xml:space="preserve"> prasības izmeklējumu veikšanai dzimumšūnu donoriem. </w:t>
            </w:r>
          </w:p>
        </w:tc>
      </w:tr>
      <w:tr w14:paraId="00BB7A9F" w14:textId="77777777" w:rsidTr="003808D7">
        <w:tblPrEx>
          <w:tblW w:w="9067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648"/>
        </w:trPr>
        <w:tc>
          <w:tcPr>
            <w:tcW w:w="730" w:type="dxa"/>
          </w:tcPr>
          <w:p w:rsidR="00DC0A5D" w:rsidRPr="007C2439" w:rsidP="00E13923" w14:paraId="7636B8A4" w14:textId="210E9B20">
            <w:pPr>
              <w:pStyle w:val="naiskr"/>
              <w:spacing w:before="0" w:after="0"/>
              <w:rPr>
                <w:color w:val="000000"/>
              </w:rPr>
            </w:pPr>
            <w:r w:rsidRPr="007C2439">
              <w:rPr>
                <w:color w:val="000000"/>
              </w:rPr>
              <w:t xml:space="preserve"> </w:t>
            </w:r>
            <w:r w:rsidR="007F3609">
              <w:rPr>
                <w:color w:val="000000"/>
              </w:rPr>
              <w:t>3.</w:t>
            </w:r>
          </w:p>
        </w:tc>
        <w:tc>
          <w:tcPr>
            <w:tcW w:w="1992" w:type="dxa"/>
          </w:tcPr>
          <w:p w:rsidR="00DC0A5D" w:rsidRPr="007C2439" w:rsidP="00E13923" w14:paraId="2C56650A" w14:textId="77777777">
            <w:pPr>
              <w:pStyle w:val="naiskr"/>
              <w:spacing w:before="0" w:after="0"/>
              <w:rPr>
                <w:color w:val="000000"/>
              </w:rPr>
            </w:pPr>
            <w:r w:rsidRPr="007C2439">
              <w:rPr>
                <w:color w:val="000000"/>
              </w:rPr>
              <w:t>Projekta izstrādē iesaistītās institūcijas</w:t>
            </w:r>
          </w:p>
        </w:tc>
        <w:tc>
          <w:tcPr>
            <w:tcW w:w="6345" w:type="dxa"/>
          </w:tcPr>
          <w:p w:rsidR="00DC0A5D" w:rsidRPr="007C2439" w:rsidP="008B050F" w14:paraId="096EF50C" w14:textId="2890A19A">
            <w:pPr>
              <w:pStyle w:val="FootnoteText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Nav</w:t>
            </w:r>
          </w:p>
        </w:tc>
      </w:tr>
      <w:tr w14:paraId="1B91FFF8" w14:textId="77777777" w:rsidTr="003808D7">
        <w:tblPrEx>
          <w:tblW w:w="9067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648"/>
        </w:trPr>
        <w:tc>
          <w:tcPr>
            <w:tcW w:w="730" w:type="dxa"/>
          </w:tcPr>
          <w:p w:rsidR="00DC0A5D" w:rsidRPr="007C2439" w:rsidP="00E13923" w14:paraId="335BCE26" w14:textId="77777777">
            <w:pPr>
              <w:pStyle w:val="naiskr"/>
              <w:spacing w:before="0" w:after="0"/>
              <w:rPr>
                <w:color w:val="000000"/>
              </w:rPr>
            </w:pPr>
            <w:r w:rsidRPr="007C2439">
              <w:rPr>
                <w:color w:val="000000"/>
              </w:rPr>
              <w:t>4.</w:t>
            </w:r>
          </w:p>
        </w:tc>
        <w:tc>
          <w:tcPr>
            <w:tcW w:w="1992" w:type="dxa"/>
          </w:tcPr>
          <w:p w:rsidR="00DC0A5D" w:rsidRPr="007C2439" w:rsidP="00E13923" w14:paraId="64005DF9" w14:textId="77777777">
            <w:pPr>
              <w:pStyle w:val="naiskr"/>
              <w:spacing w:before="0" w:after="0"/>
              <w:rPr>
                <w:color w:val="000000"/>
              </w:rPr>
            </w:pPr>
            <w:r w:rsidRPr="007C2439">
              <w:rPr>
                <w:color w:val="000000"/>
              </w:rPr>
              <w:t>Cita informācija</w:t>
            </w:r>
          </w:p>
        </w:tc>
        <w:tc>
          <w:tcPr>
            <w:tcW w:w="6345" w:type="dxa"/>
          </w:tcPr>
          <w:p w:rsidR="00DC0A5D" w:rsidRPr="007C2439" w:rsidP="00E13923" w14:paraId="7D21FA73" w14:textId="77777777">
            <w:pPr>
              <w:pStyle w:val="FootnoteText"/>
              <w:jc w:val="both"/>
              <w:rPr>
                <w:color w:val="000000"/>
                <w:sz w:val="24"/>
                <w:szCs w:val="24"/>
              </w:rPr>
            </w:pPr>
            <w:r w:rsidRPr="007C2439">
              <w:rPr>
                <w:color w:val="000000"/>
                <w:sz w:val="24"/>
                <w:szCs w:val="24"/>
              </w:rPr>
              <w:t>Nav</w:t>
            </w:r>
          </w:p>
        </w:tc>
      </w:tr>
    </w:tbl>
    <w:p w:rsidR="00DC0A5D" w:rsidP="00DC0A5D" w14:paraId="4B15A00A" w14:textId="6E80FDD3">
      <w:pPr>
        <w:rPr>
          <w:color w:val="000000"/>
        </w:rPr>
      </w:pPr>
    </w:p>
    <w:p w:rsidR="005254CD" w:rsidRPr="007C2439" w:rsidP="00DC0A5D" w14:paraId="659679EB" w14:textId="77777777">
      <w:pPr>
        <w:rPr>
          <w:color w:val="000000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490"/>
        <w:gridCol w:w="6021"/>
      </w:tblGrid>
      <w:tr w14:paraId="5394639D" w14:textId="77777777" w:rsidTr="00092B9D">
        <w:tblPrEx>
          <w:tblW w:w="5006" w:type="pct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071" w:type="dxa"/>
            <w:gridSpan w:val="3"/>
          </w:tcPr>
          <w:p w:rsidR="00DC0A5D" w:rsidRPr="007C2439" w:rsidP="008315AD" w14:paraId="5C160395" w14:textId="77777777">
            <w:pPr>
              <w:jc w:val="center"/>
              <w:rPr>
                <w:b/>
                <w:bCs/>
              </w:rPr>
            </w:pPr>
            <w:r w:rsidRPr="007C2439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14:paraId="063182F4" w14:textId="77777777" w:rsidTr="00092B9D">
        <w:tblPrEx>
          <w:tblW w:w="5006" w:type="pct"/>
          <w:tblInd w:w="-5" w:type="dxa"/>
          <w:tblLayout w:type="fixed"/>
          <w:tblLook w:val="0000"/>
        </w:tblPrEx>
        <w:tc>
          <w:tcPr>
            <w:tcW w:w="561" w:type="dxa"/>
          </w:tcPr>
          <w:p w:rsidR="00DC0A5D" w:rsidRPr="007C2439" w:rsidP="008315AD" w14:paraId="7EBE5ADE" w14:textId="77777777">
            <w:pPr>
              <w:jc w:val="both"/>
            </w:pPr>
            <w:r w:rsidRPr="007C2439">
              <w:t>1.</w:t>
            </w:r>
          </w:p>
        </w:tc>
        <w:tc>
          <w:tcPr>
            <w:tcW w:w="2490" w:type="dxa"/>
          </w:tcPr>
          <w:p w:rsidR="00DC0A5D" w:rsidRPr="007C2439" w:rsidP="008315AD" w14:paraId="67B0F8DF" w14:textId="77777777">
            <w:pPr>
              <w:jc w:val="both"/>
            </w:pPr>
            <w:r w:rsidRPr="007C2439">
              <w:t xml:space="preserve">Sabiedrības </w:t>
            </w:r>
            <w:r w:rsidRPr="007C2439">
              <w:t>mērķgrupas</w:t>
            </w:r>
            <w:r w:rsidRPr="007C2439">
              <w:t>, kuras tiesiskais regulējums ietekmē vai varētu ietekmēt</w:t>
            </w:r>
          </w:p>
        </w:tc>
        <w:tc>
          <w:tcPr>
            <w:tcW w:w="6020" w:type="dxa"/>
          </w:tcPr>
          <w:p w:rsidR="00832CC3" w:rsidRPr="007C2439" w:rsidP="008315AD" w14:paraId="0B487787" w14:textId="42AAEF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7C2439" w:rsidR="007E30FA">
              <w:rPr>
                <w:lang w:eastAsia="en-US"/>
              </w:rPr>
              <w:t>rojektā ietvertās prasības attiecas uz</w:t>
            </w:r>
            <w:r w:rsidRPr="007C2439">
              <w:rPr>
                <w:lang w:eastAsia="en-US"/>
              </w:rPr>
              <w:t>:</w:t>
            </w:r>
            <w:r w:rsidRPr="007C2439">
              <w:rPr>
                <w:lang w:eastAsia="en-US"/>
              </w:rPr>
              <w:br/>
              <w:t>1)</w:t>
            </w:r>
            <w:r w:rsidRPr="007C2439" w:rsidR="007E30FA">
              <w:rPr>
                <w:lang w:eastAsia="en-US"/>
              </w:rPr>
              <w:t xml:space="preserve"> </w:t>
            </w:r>
            <w:r w:rsidR="00B9215C">
              <w:rPr>
                <w:lang w:eastAsia="en-US"/>
              </w:rPr>
              <w:t>Ā</w:t>
            </w:r>
            <w:r w:rsidRPr="007C2439" w:rsidR="007E30FA">
              <w:rPr>
                <w:lang w:eastAsia="en-US"/>
              </w:rPr>
              <w:t xml:space="preserve">rstniecības iestādēm, </w:t>
            </w:r>
            <w:r w:rsidRPr="007C2439" w:rsidR="006E5E48">
              <w:rPr>
                <w:lang w:eastAsia="en-US"/>
              </w:rPr>
              <w:t>kas veic dzimumšūnu  donoru atlasi un veselības stāvokļa izvērtēšanu</w:t>
            </w:r>
            <w:r w:rsidRPr="007C2439">
              <w:rPr>
                <w:lang w:eastAsia="en-US"/>
              </w:rPr>
              <w:t>;</w:t>
            </w:r>
          </w:p>
          <w:p w:rsidR="00C10726" w:rsidRPr="007C2439" w:rsidP="00C10726" w14:paraId="23B231E9" w14:textId="60F6C5C9">
            <w:pPr>
              <w:jc w:val="both"/>
              <w:rPr>
                <w:lang w:eastAsia="en-US"/>
              </w:rPr>
            </w:pPr>
            <w:r w:rsidRPr="007C2439">
              <w:rPr>
                <w:lang w:eastAsia="en-US"/>
              </w:rPr>
              <w:t>2</w:t>
            </w:r>
            <w:r w:rsidRPr="007C2439" w:rsidR="00832CC3">
              <w:rPr>
                <w:lang w:eastAsia="en-US"/>
              </w:rPr>
              <w:t>)</w:t>
            </w:r>
            <w:r w:rsidR="006E5E48">
              <w:rPr>
                <w:lang w:eastAsia="en-US"/>
              </w:rPr>
              <w:t xml:space="preserve"> Dzimumšūnu donoriem.</w:t>
            </w:r>
          </w:p>
        </w:tc>
      </w:tr>
      <w:tr w14:paraId="158C7283" w14:textId="77777777" w:rsidTr="00092B9D">
        <w:tblPrEx>
          <w:tblW w:w="5006" w:type="pct"/>
          <w:tblInd w:w="-5" w:type="dxa"/>
          <w:tblLayout w:type="fixed"/>
          <w:tblLook w:val="0000"/>
        </w:tblPrEx>
        <w:tc>
          <w:tcPr>
            <w:tcW w:w="561" w:type="dxa"/>
          </w:tcPr>
          <w:p w:rsidR="00DC0A5D" w:rsidRPr="007C2439" w:rsidP="00E13923" w14:paraId="34796CCF" w14:textId="77777777">
            <w:r w:rsidRPr="007C2439">
              <w:t>2.</w:t>
            </w:r>
          </w:p>
        </w:tc>
        <w:tc>
          <w:tcPr>
            <w:tcW w:w="2490" w:type="dxa"/>
          </w:tcPr>
          <w:p w:rsidR="00DC0A5D" w:rsidRPr="007C2439" w:rsidP="00E13923" w14:paraId="31501472" w14:textId="77777777">
            <w:r w:rsidRPr="007C2439">
              <w:t>Tiesiskā regulējuma ietekme uz tautsaimniecību un administratīvo slogu</w:t>
            </w:r>
          </w:p>
        </w:tc>
        <w:tc>
          <w:tcPr>
            <w:tcW w:w="6020" w:type="dxa"/>
          </w:tcPr>
          <w:p w:rsidR="001B693F" w:rsidRPr="006E5E48" w:rsidP="006E5E48" w14:paraId="1B0E7ADF" w14:textId="3AB4DE95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4F452F">
              <w:rPr>
                <w:lang w:val="lv-LV"/>
              </w:rPr>
              <w:t xml:space="preserve">Administratīvais slogs </w:t>
            </w:r>
            <w:r w:rsidR="006E5E48">
              <w:rPr>
                <w:lang w:val="lv-LV"/>
              </w:rPr>
              <w:t xml:space="preserve">samazināsies ārstniecības iestādēm, kas </w:t>
            </w:r>
            <w:r w:rsidRPr="006E5E48" w:rsidR="006E5E48">
              <w:rPr>
                <w:lang w:val="lv-LV"/>
              </w:rPr>
              <w:t>veic dzimumšūnu  donoru atlasi un veselības stāvokļa izvērtēšanu</w:t>
            </w:r>
            <w:r w:rsidR="006E5E48">
              <w:rPr>
                <w:lang w:val="lv-LV"/>
              </w:rPr>
              <w:t>, jo potenciālajiem dzimumšūnu donoriem veicamie izmeklējumi būs noteikti vienā normatīvajā aktā – Noteikumos Nr.1176.</w:t>
            </w:r>
          </w:p>
        </w:tc>
      </w:tr>
      <w:tr w14:paraId="35C7EDDC" w14:textId="77777777" w:rsidTr="00092B9D">
        <w:tblPrEx>
          <w:tblW w:w="5006" w:type="pct"/>
          <w:tblInd w:w="-5" w:type="dxa"/>
          <w:tblLayout w:type="fixed"/>
          <w:tblLook w:val="0000"/>
        </w:tblPrEx>
        <w:tc>
          <w:tcPr>
            <w:tcW w:w="561" w:type="dxa"/>
          </w:tcPr>
          <w:p w:rsidR="00DC0A5D" w:rsidRPr="007C2439" w:rsidP="008315AD" w14:paraId="4811D997" w14:textId="77777777">
            <w:pPr>
              <w:jc w:val="both"/>
            </w:pPr>
            <w:r w:rsidRPr="007C2439">
              <w:t>3.</w:t>
            </w:r>
          </w:p>
        </w:tc>
        <w:tc>
          <w:tcPr>
            <w:tcW w:w="2490" w:type="dxa"/>
          </w:tcPr>
          <w:p w:rsidR="00DC0A5D" w:rsidRPr="007C2439" w:rsidP="00E13923" w14:paraId="6FD55310" w14:textId="77777777">
            <w:r w:rsidRPr="007C2439">
              <w:t>Administratīvo izmaksu monetārs novērtējums</w:t>
            </w:r>
          </w:p>
        </w:tc>
        <w:tc>
          <w:tcPr>
            <w:tcW w:w="6020" w:type="dxa"/>
          </w:tcPr>
          <w:p w:rsidR="003D1EEE" w:rsidRPr="0016234D" w:rsidP="0068016C" w14:paraId="2DB5E2BB" w14:textId="4176CCED">
            <w:pPr>
              <w:pStyle w:val="NoSpacing"/>
              <w:jc w:val="both"/>
            </w:pPr>
            <w:r w:rsidRPr="00092B9D">
              <w:t>Projekts šo jomu neskar.</w:t>
            </w:r>
          </w:p>
        </w:tc>
      </w:tr>
      <w:tr w14:paraId="0BF01FC1" w14:textId="77777777" w:rsidTr="00092B9D">
        <w:tblPrEx>
          <w:tblW w:w="5006" w:type="pct"/>
          <w:tblInd w:w="-5" w:type="dxa"/>
          <w:tblLayout w:type="fixed"/>
          <w:tblLook w:val="0000"/>
        </w:tblPrEx>
        <w:tc>
          <w:tcPr>
            <w:tcW w:w="561" w:type="dxa"/>
          </w:tcPr>
          <w:p w:rsidR="00DC0A5D" w:rsidRPr="007C2439" w:rsidP="008315AD" w14:paraId="51FCE72A" w14:textId="77777777">
            <w:pPr>
              <w:jc w:val="both"/>
            </w:pPr>
            <w:r w:rsidRPr="007C2439">
              <w:t>4.</w:t>
            </w:r>
          </w:p>
        </w:tc>
        <w:tc>
          <w:tcPr>
            <w:tcW w:w="2490" w:type="dxa"/>
          </w:tcPr>
          <w:p w:rsidR="00DC0A5D" w:rsidRPr="007C2439" w:rsidP="00E13923" w14:paraId="6E3D12B8" w14:textId="77777777">
            <w:r w:rsidRPr="007C2439">
              <w:t>Cita informācija</w:t>
            </w:r>
          </w:p>
        </w:tc>
        <w:tc>
          <w:tcPr>
            <w:tcW w:w="6020" w:type="dxa"/>
          </w:tcPr>
          <w:p w:rsidR="00DC0A5D" w:rsidRPr="007C2439" w:rsidP="008315AD" w14:paraId="3803FC3A" w14:textId="77777777">
            <w:pPr>
              <w:jc w:val="both"/>
              <w:rPr>
                <w:highlight w:val="yellow"/>
              </w:rPr>
            </w:pPr>
            <w:r w:rsidRPr="007C2439">
              <w:t>Nav</w:t>
            </w:r>
            <w:r w:rsidRPr="007C2439" w:rsidR="00C539CB">
              <w:t>.</w:t>
            </w:r>
          </w:p>
        </w:tc>
      </w:tr>
    </w:tbl>
    <w:p w:rsidR="0040151E" w:rsidP="003772BE" w14:paraId="6F8C5DE9" w14:textId="44A9169A">
      <w:pPr>
        <w:pStyle w:val="NoSpacing"/>
      </w:pPr>
    </w:p>
    <w:p w:rsidR="005254CD" w:rsidRPr="003772BE" w:rsidP="003772BE" w14:paraId="25D4FA06" w14:textId="77777777">
      <w:pPr>
        <w:pStyle w:val="NoSpacing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1849"/>
        <w:gridCol w:w="6792"/>
      </w:tblGrid>
      <w:tr w14:paraId="44E3050D" w14:textId="77777777" w:rsidTr="003772BE">
        <w:tblPrEx>
          <w:tblW w:w="9072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072" w:type="dxa"/>
            <w:gridSpan w:val="3"/>
          </w:tcPr>
          <w:p w:rsidR="00DC0A5D" w:rsidRPr="007C2439" w:rsidP="00E13923" w14:paraId="74D906B3" w14:textId="77777777">
            <w:pPr>
              <w:jc w:val="center"/>
              <w:rPr>
                <w:b/>
              </w:rPr>
            </w:pPr>
            <w:r w:rsidRPr="007C2439">
              <w:rPr>
                <w:b/>
              </w:rPr>
              <w:t>VI. Sabiedrības līdzdalība un komunikācijas aktivitātes</w:t>
            </w:r>
          </w:p>
        </w:tc>
      </w:tr>
      <w:tr w14:paraId="1493E4B3" w14:textId="77777777" w:rsidTr="003772BE">
        <w:tblPrEx>
          <w:tblW w:w="9072" w:type="dxa"/>
          <w:tblInd w:w="-5" w:type="dxa"/>
          <w:tblLayout w:type="fixed"/>
          <w:tblLook w:val="04A0"/>
        </w:tblPrEx>
        <w:tc>
          <w:tcPr>
            <w:tcW w:w="431" w:type="dxa"/>
          </w:tcPr>
          <w:p w:rsidR="00DC0A5D" w:rsidRPr="007C2439" w:rsidP="00E13923" w14:paraId="54459FA9" w14:textId="77777777">
            <w:pPr>
              <w:jc w:val="both"/>
            </w:pPr>
            <w:r w:rsidRPr="007C2439">
              <w:t>1.</w:t>
            </w:r>
          </w:p>
        </w:tc>
        <w:tc>
          <w:tcPr>
            <w:tcW w:w="1849" w:type="dxa"/>
          </w:tcPr>
          <w:p w:rsidR="00DC0A5D" w:rsidRPr="007C2439" w:rsidP="00E13923" w14:paraId="0E0AEB5E" w14:textId="77777777">
            <w:pPr>
              <w:jc w:val="both"/>
            </w:pPr>
            <w:r w:rsidRPr="007C2439">
              <w:t>Plānotās sabiedrības līdzdalības un komunikācijas aktivitātes saistībā ar projektu</w:t>
            </w:r>
          </w:p>
        </w:tc>
        <w:tc>
          <w:tcPr>
            <w:tcW w:w="6792" w:type="dxa"/>
          </w:tcPr>
          <w:p w:rsidR="00866528" w:rsidRPr="004C54CA" w:rsidP="00866528" w14:paraId="53F427E0" w14:textId="32E703C3">
            <w:pPr>
              <w:jc w:val="both"/>
            </w:pPr>
            <w:r w:rsidRPr="004C54CA">
              <w:t xml:space="preserve">Projekts ir tehnisks grozījums. Par dzimumšūnu donoriem veicamo izmeklējumu noteikšanu Noteikumos Nr.1176 sabiedrība tika informēta, veicot grozījumus Noteikumos Nr.1176 </w:t>
            </w:r>
            <w:r w:rsidRPr="004C54CA" w:rsidR="004C54CA">
              <w:t>(</w:t>
            </w:r>
            <w:r w:rsidRPr="004C54CA">
              <w:t>Noteikum</w:t>
            </w:r>
            <w:r w:rsidRPr="004C54CA" w:rsidR="004C54CA">
              <w:t>i</w:t>
            </w:r>
            <w:r w:rsidRPr="004C54CA">
              <w:t xml:space="preserve">  Nr.141</w:t>
            </w:r>
            <w:r w:rsidRPr="004C54CA" w:rsidR="004C54CA">
              <w:t>).</w:t>
            </w:r>
            <w:r w:rsidRPr="004C54CA">
              <w:t xml:space="preserve"> </w:t>
            </w:r>
          </w:p>
          <w:p w:rsidR="000F5C56" w:rsidRPr="00C24AEC" w:rsidP="003772BE" w14:paraId="23266F98" w14:textId="2C02E4ED">
            <w:pPr>
              <w:jc w:val="both"/>
              <w:rPr>
                <w:u w:val="single"/>
              </w:rPr>
            </w:pPr>
          </w:p>
        </w:tc>
      </w:tr>
      <w:tr w14:paraId="48DE5712" w14:textId="77777777" w:rsidTr="003772BE">
        <w:tblPrEx>
          <w:tblW w:w="9072" w:type="dxa"/>
          <w:tblInd w:w="-5" w:type="dxa"/>
          <w:tblLayout w:type="fixed"/>
          <w:tblLook w:val="04A0"/>
        </w:tblPrEx>
        <w:tc>
          <w:tcPr>
            <w:tcW w:w="431" w:type="dxa"/>
          </w:tcPr>
          <w:p w:rsidR="00DC0A5D" w:rsidRPr="007C2439" w:rsidP="00E13923" w14:paraId="08B96FA3" w14:textId="77777777">
            <w:pPr>
              <w:jc w:val="both"/>
            </w:pPr>
            <w:r w:rsidRPr="007C2439">
              <w:t>2.</w:t>
            </w:r>
          </w:p>
        </w:tc>
        <w:tc>
          <w:tcPr>
            <w:tcW w:w="1849" w:type="dxa"/>
          </w:tcPr>
          <w:p w:rsidR="00DC0A5D" w:rsidRPr="007C2439" w:rsidP="00E13923" w14:paraId="4CFC7411" w14:textId="77777777">
            <w:pPr>
              <w:jc w:val="both"/>
            </w:pPr>
            <w:r w:rsidRPr="007C2439">
              <w:t>Sabiedrības līdzdalība projekta izstrādē</w:t>
            </w:r>
          </w:p>
        </w:tc>
        <w:tc>
          <w:tcPr>
            <w:tcW w:w="6792" w:type="dxa"/>
          </w:tcPr>
          <w:p w:rsidR="00866528" w:rsidRPr="005254CD" w:rsidP="00410917" w14:paraId="16E4214D" w14:textId="6362CF99">
            <w:pPr>
              <w:jc w:val="both"/>
            </w:pPr>
            <w:r w:rsidRPr="005254CD">
              <w:t>Projekts šo jomu neskar.</w:t>
            </w:r>
          </w:p>
        </w:tc>
      </w:tr>
      <w:tr w14:paraId="3B27AA8B" w14:textId="77777777" w:rsidTr="003772BE">
        <w:tblPrEx>
          <w:tblW w:w="9072" w:type="dxa"/>
          <w:tblInd w:w="-5" w:type="dxa"/>
          <w:tblLayout w:type="fixed"/>
          <w:tblLook w:val="04A0"/>
        </w:tblPrEx>
        <w:tc>
          <w:tcPr>
            <w:tcW w:w="431" w:type="dxa"/>
          </w:tcPr>
          <w:p w:rsidR="00DC0A5D" w:rsidRPr="007C2439" w:rsidP="00E13923" w14:paraId="14BF2E0D" w14:textId="77777777">
            <w:pPr>
              <w:jc w:val="both"/>
            </w:pPr>
            <w:r w:rsidRPr="007C2439">
              <w:t>3.</w:t>
            </w:r>
          </w:p>
        </w:tc>
        <w:tc>
          <w:tcPr>
            <w:tcW w:w="1849" w:type="dxa"/>
          </w:tcPr>
          <w:p w:rsidR="00DC0A5D" w:rsidRPr="007C2439" w:rsidP="00E13923" w14:paraId="05565A67" w14:textId="77777777">
            <w:pPr>
              <w:jc w:val="both"/>
            </w:pPr>
            <w:r w:rsidRPr="007C2439">
              <w:t>Sabiedrības līdzdalības rezultāti</w:t>
            </w:r>
          </w:p>
        </w:tc>
        <w:tc>
          <w:tcPr>
            <w:tcW w:w="6792" w:type="dxa"/>
          </w:tcPr>
          <w:p w:rsidR="00866528" w:rsidRPr="005254CD" w:rsidP="000F5C56" w14:paraId="5CD6E54D" w14:textId="4B6288C6">
            <w:pPr>
              <w:jc w:val="both"/>
            </w:pPr>
            <w:r w:rsidRPr="005254CD">
              <w:t>Projekts šo jomu neskar.</w:t>
            </w:r>
          </w:p>
        </w:tc>
      </w:tr>
      <w:tr w14:paraId="5CBB5563" w14:textId="77777777" w:rsidTr="003772BE">
        <w:tblPrEx>
          <w:tblW w:w="9072" w:type="dxa"/>
          <w:tblInd w:w="-5" w:type="dxa"/>
          <w:tblLayout w:type="fixed"/>
          <w:tblLook w:val="04A0"/>
        </w:tblPrEx>
        <w:tc>
          <w:tcPr>
            <w:tcW w:w="431" w:type="dxa"/>
          </w:tcPr>
          <w:p w:rsidR="00DC0A5D" w:rsidRPr="007C2439" w:rsidP="00E13923" w14:paraId="7BC65BBA" w14:textId="77777777">
            <w:pPr>
              <w:jc w:val="both"/>
            </w:pPr>
            <w:r w:rsidRPr="007C2439">
              <w:t>4.</w:t>
            </w:r>
          </w:p>
        </w:tc>
        <w:tc>
          <w:tcPr>
            <w:tcW w:w="1849" w:type="dxa"/>
          </w:tcPr>
          <w:p w:rsidR="00DC0A5D" w:rsidRPr="007C2439" w:rsidP="00E13923" w14:paraId="03B9E87C" w14:textId="77777777">
            <w:pPr>
              <w:jc w:val="both"/>
            </w:pPr>
            <w:r w:rsidRPr="007C2439">
              <w:t>Cita informācija</w:t>
            </w:r>
          </w:p>
        </w:tc>
        <w:tc>
          <w:tcPr>
            <w:tcW w:w="6792" w:type="dxa"/>
          </w:tcPr>
          <w:p w:rsidR="00DC0A5D" w:rsidRPr="007C2439" w:rsidP="00E13923" w14:paraId="0E187E8B" w14:textId="77777777">
            <w:pPr>
              <w:jc w:val="both"/>
            </w:pPr>
            <w:r w:rsidRPr="007C2439">
              <w:t>Nav</w:t>
            </w:r>
          </w:p>
        </w:tc>
      </w:tr>
    </w:tbl>
    <w:p w:rsidR="00DC0A5D" w:rsidP="00DC0A5D" w14:paraId="19C7AE54" w14:textId="6C71BA8A">
      <w:pPr>
        <w:jc w:val="both"/>
      </w:pPr>
    </w:p>
    <w:p w:rsidR="005254CD" w:rsidRPr="007C2439" w:rsidP="00DC0A5D" w14:paraId="620E40A2" w14:textId="77777777">
      <w:pPr>
        <w:jc w:val="both"/>
      </w:pPr>
    </w:p>
    <w:tbl>
      <w:tblPr>
        <w:tblW w:w="9072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4"/>
        <w:gridCol w:w="4110"/>
        <w:gridCol w:w="4498"/>
      </w:tblGrid>
      <w:tr w14:paraId="55716F83" w14:textId="77777777" w:rsidTr="003772BE">
        <w:tblPrEx>
          <w:tblW w:w="9072" w:type="dxa"/>
          <w:tblInd w:w="-8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90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5D" w:rsidRPr="007C2439" w:rsidP="00E13923" w14:paraId="317E4D8A" w14:textId="77777777">
            <w:pPr>
              <w:jc w:val="center"/>
              <w:rPr>
                <w:b/>
                <w:bCs/>
              </w:rPr>
            </w:pPr>
            <w:r w:rsidRPr="007C2439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14:paraId="781EC414" w14:textId="77777777" w:rsidTr="003772BE">
        <w:tblPrEx>
          <w:tblW w:w="9072" w:type="dxa"/>
          <w:tblInd w:w="-8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5D" w:rsidRPr="007C2439" w:rsidP="00E13923" w14:paraId="7BCFE042" w14:textId="77777777">
            <w:r w:rsidRPr="007C2439">
              <w:t>1.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5D" w:rsidRPr="007C2439" w:rsidP="00E13923" w14:paraId="70DB44DA" w14:textId="77777777">
            <w:r w:rsidRPr="007C2439">
              <w:t>Projekta izpildē iesaistītās institūcijas</w:t>
            </w:r>
          </w:p>
        </w:tc>
        <w:tc>
          <w:tcPr>
            <w:tcW w:w="4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5D" w:rsidRPr="007C2439" w:rsidP="00632EDB" w14:paraId="26ED4939" w14:textId="2CC066F0">
            <w:pPr>
              <w:ind w:right="112"/>
              <w:jc w:val="both"/>
            </w:pPr>
            <w:r>
              <w:t>Zāļu valsts aģentūra</w:t>
            </w:r>
          </w:p>
        </w:tc>
      </w:tr>
      <w:tr w14:paraId="20F730B1" w14:textId="77777777" w:rsidTr="003772BE">
        <w:tblPrEx>
          <w:tblW w:w="9072" w:type="dxa"/>
          <w:tblInd w:w="-8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5D" w:rsidRPr="007C2439" w:rsidP="00E13923" w14:paraId="4F553232" w14:textId="77777777">
            <w:r w:rsidRPr="007C2439">
              <w:t>2.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5D" w:rsidRPr="007C2439" w:rsidP="001770EE" w14:paraId="1273769E" w14:textId="77777777">
            <w:r w:rsidRPr="007C2439">
              <w:t>Projekta izpildes ietekme uz pārvaldes funkcijām un institucionālo struktūru.</w:t>
            </w:r>
          </w:p>
        </w:tc>
        <w:tc>
          <w:tcPr>
            <w:tcW w:w="4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5D" w:rsidRPr="007C2439" w:rsidP="00A16103" w14:paraId="215A518C" w14:textId="4B710F7E">
            <w:pPr>
              <w:jc w:val="both"/>
            </w:pPr>
            <w:r w:rsidRPr="003772BE">
              <w:t>Projekts šo jomu neskar.</w:t>
            </w:r>
          </w:p>
        </w:tc>
      </w:tr>
      <w:tr w14:paraId="5E82C7D4" w14:textId="77777777" w:rsidTr="003772BE">
        <w:tblPrEx>
          <w:tblW w:w="9072" w:type="dxa"/>
          <w:tblInd w:w="-8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0EE" w:rsidRPr="007C2439" w:rsidP="00E13923" w14:paraId="4613BF0E" w14:textId="77777777">
            <w:r w:rsidRPr="007C2439">
              <w:t>3.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0EE" w:rsidRPr="007C2439" w:rsidP="00E13923" w14:paraId="7E95643C" w14:textId="77777777">
            <w:r w:rsidRPr="007C2439">
              <w:t>Jaunu institūciju izveide, esošu institūciju likvidācija vai reorganizācija, to ietekme uz institūcijas cilvēkresursiem</w:t>
            </w:r>
          </w:p>
        </w:tc>
        <w:tc>
          <w:tcPr>
            <w:tcW w:w="4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103" w:rsidRPr="00E93E54" w:rsidP="00785104" w14:paraId="7CE0FE25" w14:textId="55E751FB">
            <w:pPr>
              <w:jc w:val="both"/>
              <w:rPr>
                <w:color w:val="FF0000"/>
              </w:rPr>
            </w:pPr>
            <w:r w:rsidRPr="00E6319D">
              <w:t>Noteikumu projekta</w:t>
            </w:r>
            <w:r w:rsidRPr="00E6319D" w:rsidR="001770EE">
              <w:t xml:space="preserve"> izpilde</w:t>
            </w:r>
            <w:r w:rsidRPr="00E6319D" w:rsidR="00E6319D">
              <w:t xml:space="preserve">i netiks izveidotas jaunas institūcijas. </w:t>
            </w:r>
          </w:p>
        </w:tc>
      </w:tr>
      <w:tr w14:paraId="064CA412" w14:textId="77777777" w:rsidTr="003772BE">
        <w:tblPrEx>
          <w:tblW w:w="9072" w:type="dxa"/>
          <w:tblInd w:w="-8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5D" w:rsidRPr="007C2439" w:rsidP="00E13923" w14:paraId="5A38E98E" w14:textId="77777777">
            <w:r w:rsidRPr="007C2439">
              <w:t>4.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5D" w:rsidRPr="00E6319D" w:rsidP="00E13923" w14:paraId="5464C8BF" w14:textId="77777777">
            <w:r w:rsidRPr="00E6319D">
              <w:t>Cita informācija</w:t>
            </w:r>
          </w:p>
        </w:tc>
        <w:tc>
          <w:tcPr>
            <w:tcW w:w="4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A5D" w:rsidRPr="00E6319D" w:rsidP="00AE1658" w14:paraId="39763143" w14:textId="77777777">
            <w:pPr>
              <w:jc w:val="both"/>
            </w:pPr>
            <w:r>
              <w:t>Nav</w:t>
            </w:r>
          </w:p>
        </w:tc>
      </w:tr>
    </w:tbl>
    <w:p w:rsidR="00DC0A5D" w:rsidRPr="00A5314F" w:rsidP="003D4AC9" w14:paraId="1C0A3D21" w14:textId="5786C6C7">
      <w:pPr>
        <w:spacing w:before="120" w:after="120"/>
        <w:jc w:val="both"/>
        <w:rPr>
          <w:i/>
        </w:rPr>
      </w:pPr>
      <w:r w:rsidRPr="00A5314F">
        <w:rPr>
          <w:i/>
        </w:rPr>
        <w:t>Anotācijas</w:t>
      </w:r>
      <w:r w:rsidRPr="00A5314F" w:rsidR="00311795">
        <w:rPr>
          <w:i/>
        </w:rPr>
        <w:t xml:space="preserve"> </w:t>
      </w:r>
      <w:r w:rsidR="006E5E48">
        <w:rPr>
          <w:i/>
        </w:rPr>
        <w:t xml:space="preserve">III, IV un </w:t>
      </w:r>
      <w:r w:rsidRPr="00A5314F">
        <w:rPr>
          <w:i/>
        </w:rPr>
        <w:t>V sadaļa – projekts šo jomu neskar.</w:t>
      </w:r>
    </w:p>
    <w:p w:rsidR="00973DD1" w:rsidP="00DC0A5D" w14:paraId="4FD7CE04" w14:textId="77777777">
      <w:pPr>
        <w:pStyle w:val="naisf"/>
        <w:rPr>
          <w:sz w:val="28"/>
          <w:szCs w:val="28"/>
        </w:rPr>
      </w:pPr>
    </w:p>
    <w:p w:rsidR="00640B78" w:rsidRPr="00640B78" w:rsidP="00DC0A5D" w14:paraId="25073DAE" w14:textId="77777777">
      <w:pPr>
        <w:pStyle w:val="naisf"/>
        <w:rPr>
          <w:sz w:val="28"/>
          <w:szCs w:val="28"/>
        </w:rPr>
      </w:pPr>
    </w:p>
    <w:p w:rsidR="00DC0A5D" w:rsidRPr="007C2439" w:rsidP="00DC0A5D" w14:paraId="21D607F7" w14:textId="13A0FAB7">
      <w:pPr>
        <w:pStyle w:val="naisf"/>
        <w:rPr>
          <w:sz w:val="28"/>
          <w:szCs w:val="28"/>
        </w:rPr>
      </w:pPr>
      <w:r w:rsidRPr="007C2439">
        <w:rPr>
          <w:sz w:val="28"/>
          <w:szCs w:val="28"/>
        </w:rPr>
        <w:t>Veselības ministr</w:t>
      </w:r>
      <w:r w:rsidRPr="007C2439" w:rsidR="00F36FE3">
        <w:rPr>
          <w:sz w:val="28"/>
          <w:szCs w:val="28"/>
        </w:rPr>
        <w:t>e</w:t>
      </w:r>
      <w:r w:rsidRPr="007C2439">
        <w:rPr>
          <w:sz w:val="28"/>
          <w:szCs w:val="28"/>
        </w:rPr>
        <w:t xml:space="preserve">                                            </w:t>
      </w:r>
      <w:r w:rsidRPr="007C2439" w:rsidR="00FC545C">
        <w:rPr>
          <w:sz w:val="28"/>
          <w:szCs w:val="28"/>
        </w:rPr>
        <w:t xml:space="preserve">                            </w:t>
      </w:r>
      <w:r w:rsidR="007C2439">
        <w:rPr>
          <w:sz w:val="28"/>
          <w:szCs w:val="28"/>
        </w:rPr>
        <w:t xml:space="preserve">   </w:t>
      </w:r>
      <w:r w:rsidR="005218E2">
        <w:rPr>
          <w:sz w:val="28"/>
          <w:szCs w:val="28"/>
        </w:rPr>
        <w:t xml:space="preserve"> </w:t>
      </w:r>
      <w:bookmarkStart w:id="12" w:name="_GoBack"/>
      <w:bookmarkEnd w:id="12"/>
      <w:r w:rsidRPr="007C2439" w:rsidR="00F36FE3">
        <w:rPr>
          <w:sz w:val="28"/>
          <w:szCs w:val="28"/>
        </w:rPr>
        <w:t>Anda Čakša</w:t>
      </w:r>
    </w:p>
    <w:p w:rsidR="00D73523" w:rsidP="00DC0A5D" w14:paraId="2AFC5AB6" w14:textId="77777777">
      <w:pPr>
        <w:pStyle w:val="naisf"/>
        <w:rPr>
          <w:sz w:val="28"/>
          <w:szCs w:val="28"/>
        </w:rPr>
      </w:pPr>
    </w:p>
    <w:p w:rsidR="00640B78" w:rsidRPr="00640B78" w:rsidP="00DC0A5D" w14:paraId="2E30B2A3" w14:textId="77777777">
      <w:pPr>
        <w:pStyle w:val="naisf"/>
        <w:rPr>
          <w:sz w:val="28"/>
          <w:szCs w:val="28"/>
        </w:rPr>
      </w:pPr>
    </w:p>
    <w:p w:rsidR="00DC0A5D" w:rsidP="00DC0A5D" w14:paraId="04FD60F2" w14:textId="48715D8D">
      <w:pPr>
        <w:pStyle w:val="naisf"/>
        <w:rPr>
          <w:sz w:val="24"/>
          <w:szCs w:val="24"/>
        </w:rPr>
      </w:pPr>
      <w:r w:rsidRPr="007C2439">
        <w:rPr>
          <w:sz w:val="28"/>
          <w:szCs w:val="28"/>
        </w:rPr>
        <w:t>Vīza:</w:t>
      </w:r>
      <w:r w:rsidRPr="007C2439">
        <w:rPr>
          <w:sz w:val="28"/>
          <w:szCs w:val="28"/>
        </w:rPr>
        <w:tab/>
        <w:t>Va</w:t>
      </w:r>
      <w:r w:rsidRPr="007C2439" w:rsidR="00324DF4">
        <w:rPr>
          <w:sz w:val="28"/>
          <w:szCs w:val="28"/>
        </w:rPr>
        <w:t>lsts sekretār</w:t>
      </w:r>
      <w:r w:rsidR="003443E7">
        <w:rPr>
          <w:sz w:val="28"/>
          <w:szCs w:val="28"/>
        </w:rPr>
        <w:t>s</w:t>
      </w:r>
      <w:r w:rsidRPr="007C2439" w:rsidR="00FC545C">
        <w:rPr>
          <w:sz w:val="28"/>
          <w:szCs w:val="28"/>
        </w:rPr>
        <w:tab/>
      </w:r>
      <w:r w:rsidRPr="007C2439" w:rsidR="00FC545C">
        <w:rPr>
          <w:sz w:val="28"/>
          <w:szCs w:val="28"/>
        </w:rPr>
        <w:tab/>
      </w:r>
      <w:r w:rsidRPr="007C2439" w:rsidR="00FC545C">
        <w:rPr>
          <w:sz w:val="28"/>
          <w:szCs w:val="28"/>
        </w:rPr>
        <w:tab/>
      </w:r>
      <w:r w:rsidRPr="007C2439" w:rsidR="00FC545C">
        <w:rPr>
          <w:sz w:val="28"/>
          <w:szCs w:val="28"/>
        </w:rPr>
        <w:tab/>
      </w:r>
      <w:r w:rsidRPr="007C2439" w:rsidR="00FC545C">
        <w:rPr>
          <w:sz w:val="28"/>
          <w:szCs w:val="28"/>
        </w:rPr>
        <w:tab/>
      </w:r>
      <w:r w:rsidRPr="007C2439" w:rsidR="00FC545C">
        <w:rPr>
          <w:sz w:val="28"/>
          <w:szCs w:val="28"/>
        </w:rPr>
        <w:tab/>
      </w:r>
      <w:r w:rsidRPr="007C2439" w:rsidR="00324DF4">
        <w:rPr>
          <w:sz w:val="28"/>
          <w:szCs w:val="28"/>
        </w:rPr>
        <w:t xml:space="preserve">  </w:t>
      </w:r>
      <w:r w:rsidRPr="007C2439" w:rsidR="007C2439">
        <w:rPr>
          <w:sz w:val="28"/>
          <w:szCs w:val="28"/>
        </w:rPr>
        <w:t xml:space="preserve">    </w:t>
      </w:r>
      <w:r w:rsidR="003443E7">
        <w:rPr>
          <w:sz w:val="28"/>
          <w:szCs w:val="28"/>
        </w:rPr>
        <w:t xml:space="preserve">        Kārlis Ketners</w:t>
      </w:r>
    </w:p>
    <w:p w:rsidR="00CA4E83" w:rsidP="00DC0A5D" w14:paraId="077CC8A2" w14:textId="77777777">
      <w:pPr>
        <w:pStyle w:val="naisf"/>
        <w:rPr>
          <w:sz w:val="24"/>
          <w:szCs w:val="24"/>
        </w:rPr>
      </w:pPr>
    </w:p>
    <w:p w:rsidR="000E3471" w:rsidP="006325CC" w14:paraId="2365CCB4" w14:textId="0619A563">
      <w:pPr>
        <w:jc w:val="both"/>
        <w:rPr>
          <w:color w:val="000000"/>
          <w:sz w:val="22"/>
          <w:szCs w:val="22"/>
        </w:rPr>
      </w:pPr>
    </w:p>
    <w:p w:rsidR="005254CD" w:rsidP="006325CC" w14:paraId="20EA6B02" w14:textId="346E8396">
      <w:pPr>
        <w:jc w:val="both"/>
        <w:rPr>
          <w:color w:val="000000"/>
          <w:sz w:val="22"/>
          <w:szCs w:val="22"/>
        </w:rPr>
      </w:pPr>
    </w:p>
    <w:p w:rsidR="005254CD" w:rsidP="006325CC" w14:paraId="0EBAF2E7" w14:textId="73C52AAD">
      <w:pPr>
        <w:jc w:val="both"/>
        <w:rPr>
          <w:color w:val="000000"/>
          <w:sz w:val="22"/>
          <w:szCs w:val="22"/>
        </w:rPr>
      </w:pPr>
    </w:p>
    <w:p w:rsidR="005254CD" w:rsidP="006325CC" w14:paraId="6E033185" w14:textId="5F39B910">
      <w:pPr>
        <w:jc w:val="both"/>
        <w:rPr>
          <w:color w:val="000000"/>
          <w:sz w:val="22"/>
          <w:szCs w:val="22"/>
        </w:rPr>
      </w:pPr>
    </w:p>
    <w:p w:rsidR="005254CD" w:rsidP="006325CC" w14:paraId="447D9240" w14:textId="4DF7DCCF">
      <w:pPr>
        <w:jc w:val="both"/>
        <w:rPr>
          <w:color w:val="000000"/>
          <w:sz w:val="22"/>
          <w:szCs w:val="22"/>
        </w:rPr>
      </w:pPr>
    </w:p>
    <w:p w:rsidR="005254CD" w:rsidP="006325CC" w14:paraId="38DEC92A" w14:textId="6189992C">
      <w:pPr>
        <w:jc w:val="both"/>
        <w:rPr>
          <w:color w:val="000000"/>
          <w:sz w:val="22"/>
          <w:szCs w:val="22"/>
        </w:rPr>
      </w:pPr>
    </w:p>
    <w:p w:rsidR="005254CD" w:rsidP="006325CC" w14:paraId="76C62AC9" w14:textId="340C5A2A">
      <w:pPr>
        <w:jc w:val="both"/>
        <w:rPr>
          <w:color w:val="000000"/>
          <w:sz w:val="22"/>
          <w:szCs w:val="22"/>
        </w:rPr>
      </w:pPr>
    </w:p>
    <w:p w:rsidR="005254CD" w:rsidP="006325CC" w14:paraId="58EBBC59" w14:textId="76796344">
      <w:pPr>
        <w:jc w:val="both"/>
        <w:rPr>
          <w:color w:val="000000"/>
          <w:sz w:val="22"/>
          <w:szCs w:val="22"/>
        </w:rPr>
      </w:pPr>
    </w:p>
    <w:p w:rsidR="005254CD" w:rsidP="006325CC" w14:paraId="29E22223" w14:textId="42B44C77">
      <w:pPr>
        <w:jc w:val="both"/>
        <w:rPr>
          <w:color w:val="000000"/>
          <w:sz w:val="22"/>
          <w:szCs w:val="22"/>
        </w:rPr>
      </w:pPr>
    </w:p>
    <w:p w:rsidR="005254CD" w:rsidP="006325CC" w14:paraId="19E64826" w14:textId="2967BF95">
      <w:pPr>
        <w:jc w:val="both"/>
        <w:rPr>
          <w:color w:val="000000"/>
          <w:sz w:val="22"/>
          <w:szCs w:val="22"/>
        </w:rPr>
      </w:pPr>
    </w:p>
    <w:p w:rsidR="005254CD" w:rsidP="006325CC" w14:paraId="0C2D70FA" w14:textId="01A24CBA">
      <w:pPr>
        <w:jc w:val="both"/>
        <w:rPr>
          <w:color w:val="000000"/>
          <w:sz w:val="22"/>
          <w:szCs w:val="22"/>
        </w:rPr>
      </w:pPr>
    </w:p>
    <w:p w:rsidR="005254CD" w:rsidP="006325CC" w14:paraId="4A661D23" w14:textId="2CA74DFF">
      <w:pPr>
        <w:jc w:val="both"/>
        <w:rPr>
          <w:color w:val="000000"/>
          <w:sz w:val="22"/>
          <w:szCs w:val="22"/>
        </w:rPr>
      </w:pPr>
    </w:p>
    <w:p w:rsidR="005254CD" w:rsidP="006325CC" w14:paraId="296805BB" w14:textId="3174A803">
      <w:pPr>
        <w:jc w:val="both"/>
        <w:rPr>
          <w:color w:val="000000"/>
          <w:sz w:val="22"/>
          <w:szCs w:val="22"/>
        </w:rPr>
      </w:pPr>
    </w:p>
    <w:p w:rsidR="005254CD" w:rsidP="006325CC" w14:paraId="635E4B43" w14:textId="531616E6">
      <w:pPr>
        <w:jc w:val="both"/>
        <w:rPr>
          <w:color w:val="000000"/>
          <w:sz w:val="22"/>
          <w:szCs w:val="22"/>
        </w:rPr>
      </w:pPr>
    </w:p>
    <w:p w:rsidR="005254CD" w:rsidP="006325CC" w14:paraId="11795577" w14:textId="46988BCA">
      <w:pPr>
        <w:jc w:val="both"/>
        <w:rPr>
          <w:color w:val="000000"/>
          <w:sz w:val="22"/>
          <w:szCs w:val="22"/>
        </w:rPr>
      </w:pPr>
    </w:p>
    <w:p w:rsidR="005254CD" w:rsidP="006325CC" w14:paraId="6537A900" w14:textId="42BAFE5E">
      <w:pPr>
        <w:jc w:val="both"/>
        <w:rPr>
          <w:color w:val="000000"/>
          <w:sz w:val="22"/>
          <w:szCs w:val="22"/>
        </w:rPr>
      </w:pPr>
    </w:p>
    <w:p w:rsidR="005254CD" w:rsidP="006325CC" w14:paraId="1ABD262E" w14:textId="58A5F586">
      <w:pPr>
        <w:jc w:val="both"/>
        <w:rPr>
          <w:color w:val="000000"/>
          <w:sz w:val="22"/>
          <w:szCs w:val="22"/>
        </w:rPr>
      </w:pPr>
    </w:p>
    <w:p w:rsidR="005254CD" w:rsidP="006325CC" w14:paraId="71C8FD3A" w14:textId="5B0CAE1C">
      <w:pPr>
        <w:jc w:val="both"/>
        <w:rPr>
          <w:color w:val="000000"/>
          <w:sz w:val="22"/>
          <w:szCs w:val="22"/>
        </w:rPr>
      </w:pPr>
    </w:p>
    <w:p w:rsidR="005254CD" w:rsidP="006325CC" w14:paraId="10803CEB" w14:textId="55F11259">
      <w:pPr>
        <w:jc w:val="both"/>
        <w:rPr>
          <w:color w:val="000000"/>
          <w:sz w:val="22"/>
          <w:szCs w:val="22"/>
        </w:rPr>
      </w:pPr>
    </w:p>
    <w:p w:rsidR="005254CD" w:rsidP="006325CC" w14:paraId="1C59D48C" w14:textId="61AD9533">
      <w:pPr>
        <w:jc w:val="both"/>
        <w:rPr>
          <w:color w:val="000000"/>
          <w:sz w:val="22"/>
          <w:szCs w:val="22"/>
        </w:rPr>
      </w:pPr>
    </w:p>
    <w:p w:rsidR="005254CD" w:rsidP="006325CC" w14:paraId="5B41B4CB" w14:textId="647FA47D">
      <w:pPr>
        <w:jc w:val="both"/>
        <w:rPr>
          <w:color w:val="000000"/>
          <w:sz w:val="22"/>
          <w:szCs w:val="22"/>
        </w:rPr>
      </w:pPr>
    </w:p>
    <w:p w:rsidR="005254CD" w:rsidP="006325CC" w14:paraId="0FD63684" w14:textId="330E1F0B">
      <w:pPr>
        <w:jc w:val="both"/>
        <w:rPr>
          <w:color w:val="000000"/>
          <w:sz w:val="22"/>
          <w:szCs w:val="22"/>
        </w:rPr>
      </w:pPr>
    </w:p>
    <w:p w:rsidR="005254CD" w:rsidP="006325CC" w14:paraId="3FC9BB58" w14:textId="4BE7B554">
      <w:pPr>
        <w:jc w:val="both"/>
        <w:rPr>
          <w:color w:val="000000"/>
          <w:sz w:val="22"/>
          <w:szCs w:val="22"/>
        </w:rPr>
      </w:pPr>
    </w:p>
    <w:p w:rsidR="005254CD" w:rsidP="006325CC" w14:paraId="13242512" w14:textId="26621741">
      <w:pPr>
        <w:jc w:val="both"/>
        <w:rPr>
          <w:color w:val="000000"/>
          <w:sz w:val="22"/>
          <w:szCs w:val="22"/>
        </w:rPr>
      </w:pPr>
    </w:p>
    <w:p w:rsidR="005254CD" w:rsidP="006325CC" w14:paraId="1C22CE1D" w14:textId="77777777">
      <w:pPr>
        <w:jc w:val="both"/>
        <w:rPr>
          <w:color w:val="000000"/>
          <w:sz w:val="22"/>
          <w:szCs w:val="22"/>
        </w:rPr>
      </w:pPr>
    </w:p>
    <w:p w:rsidR="00247F4C" w:rsidP="006325CC" w14:paraId="1F86B3DB" w14:textId="756680D8">
      <w:pPr>
        <w:jc w:val="both"/>
        <w:rPr>
          <w:color w:val="000000"/>
          <w:sz w:val="22"/>
          <w:szCs w:val="22"/>
        </w:rPr>
      </w:pPr>
    </w:p>
    <w:p w:rsidR="005254CD" w:rsidP="006325CC" w14:paraId="7869C531" w14:textId="3531540B">
      <w:pPr>
        <w:jc w:val="both"/>
        <w:rPr>
          <w:color w:val="000000"/>
          <w:sz w:val="22"/>
          <w:szCs w:val="22"/>
        </w:rPr>
      </w:pPr>
    </w:p>
    <w:p w:rsidR="005254CD" w:rsidP="006325CC" w14:paraId="4071EABC" w14:textId="66CC97F0">
      <w:pPr>
        <w:jc w:val="both"/>
        <w:rPr>
          <w:color w:val="000000"/>
          <w:sz w:val="22"/>
          <w:szCs w:val="22"/>
        </w:rPr>
      </w:pPr>
    </w:p>
    <w:p w:rsidR="005254CD" w:rsidP="006325CC" w14:paraId="51EDB7B7" w14:textId="77777777">
      <w:pPr>
        <w:jc w:val="both"/>
        <w:rPr>
          <w:color w:val="000000"/>
          <w:sz w:val="22"/>
          <w:szCs w:val="22"/>
        </w:rPr>
      </w:pPr>
    </w:p>
    <w:p w:rsidR="00FC545C" w:rsidRPr="00247F4C" w:rsidP="006325CC" w14:paraId="7627C845" w14:textId="566FB38E">
      <w:pPr>
        <w:jc w:val="both"/>
        <w:rPr>
          <w:color w:val="000000"/>
        </w:rPr>
      </w:pPr>
      <w:r w:rsidRPr="00247F4C">
        <w:rPr>
          <w:color w:val="000000"/>
        </w:rPr>
        <w:t>J</w:t>
      </w:r>
      <w:r w:rsidRPr="00247F4C" w:rsidR="00FD4949">
        <w:rPr>
          <w:color w:val="000000"/>
        </w:rPr>
        <w:t>ermacāne</w:t>
      </w:r>
      <w:r w:rsidRPr="00247F4C" w:rsidR="00CA76F0">
        <w:rPr>
          <w:color w:val="000000"/>
        </w:rPr>
        <w:t xml:space="preserve"> 67876167</w:t>
      </w:r>
    </w:p>
    <w:p w:rsidR="00E13923" w:rsidRPr="00247F4C" w:rsidP="006325CC" w14:paraId="6F3AF839" w14:textId="5CFFA843">
      <w:pPr>
        <w:jc w:val="both"/>
      </w:pPr>
      <w:r>
        <w:fldChar w:fldCharType="begin"/>
      </w:r>
      <w:r>
        <w:instrText xml:space="preserve"> HYPERLINK "mailto:guna.jermacane@vm.gov.lv" </w:instrText>
      </w:r>
      <w:r>
        <w:fldChar w:fldCharType="separate"/>
      </w:r>
      <w:r w:rsidRPr="00247F4C" w:rsidR="00FD4949">
        <w:rPr>
          <w:rStyle w:val="Hyperlink"/>
          <w:color w:val="auto"/>
          <w:u w:val="none"/>
        </w:rPr>
        <w:t>guna.jermacane@vm.gov.lv</w:t>
      </w:r>
      <w:r>
        <w:fldChar w:fldCharType="end"/>
      </w:r>
    </w:p>
    <w:p w:rsidR="00FC545C" w:rsidRPr="00247F4C" w:rsidP="006325CC" w14:paraId="445197F8" w14:textId="756EADA6">
      <w:pPr>
        <w:jc w:val="both"/>
      </w:pPr>
      <w:r w:rsidRPr="00247F4C">
        <w:t>Valdmane</w:t>
      </w:r>
      <w:r w:rsidRPr="00247F4C" w:rsidR="00CA76F0">
        <w:t xml:space="preserve"> 67876097</w:t>
      </w:r>
    </w:p>
    <w:p w:rsidR="002867F3" w:rsidRPr="00247F4C" w:rsidP="006325CC" w14:paraId="093FE947" w14:textId="0714E984">
      <w:pPr>
        <w:jc w:val="both"/>
      </w:pPr>
      <w:r>
        <w:fldChar w:fldCharType="begin"/>
      </w:r>
      <w:r>
        <w:instrText xml:space="preserve"> HYPERLINK "mailto:antra.valdmane@vm.gov.lv" </w:instrText>
      </w:r>
      <w:r>
        <w:fldChar w:fldCharType="separate"/>
      </w:r>
      <w:r w:rsidRPr="00247F4C" w:rsidR="00B0337F">
        <w:rPr>
          <w:rStyle w:val="Hyperlink"/>
          <w:color w:val="auto"/>
          <w:u w:val="none"/>
        </w:rPr>
        <w:t>antra.valdmane@vm.gov.lv</w:t>
      </w:r>
      <w:r>
        <w:fldChar w:fldCharType="end"/>
      </w:r>
    </w:p>
    <w:p w:rsidR="00973DD1" w:rsidRPr="00247F4C" w:rsidP="00541B91" w14:paraId="73E4F6A5" w14:textId="320C4040">
      <w:pPr>
        <w:ind w:right="-285"/>
        <w:jc w:val="both"/>
      </w:pPr>
      <w:r w:rsidRPr="00247F4C">
        <w:t>Jurševica</w:t>
      </w:r>
      <w:r w:rsidRPr="00247F4C" w:rsidR="00CA76F0">
        <w:t xml:space="preserve"> 67876186</w:t>
      </w:r>
    </w:p>
    <w:p w:rsidR="00973DD1" w:rsidRPr="00247F4C" w:rsidP="00973DD1" w14:paraId="31D71E70" w14:textId="32BA8002">
      <w:pPr>
        <w:jc w:val="both"/>
      </w:pPr>
      <w:r>
        <w:fldChar w:fldCharType="begin"/>
      </w:r>
      <w:r>
        <w:instrText xml:space="preserve"> HYPERLINK "mailto:anita.jursevica@vm.gov.lv" </w:instrText>
      </w:r>
      <w:r>
        <w:fldChar w:fldCharType="separate"/>
      </w:r>
      <w:r w:rsidRPr="00247F4C">
        <w:rPr>
          <w:rStyle w:val="Hyperlink"/>
          <w:color w:val="auto"/>
          <w:u w:val="none"/>
        </w:rPr>
        <w:t>anita.jursevica@vm.gov.lv</w:t>
      </w:r>
      <w:r>
        <w:fldChar w:fldCharType="end"/>
      </w:r>
    </w:p>
    <w:sectPr w:rsidSect="005218E2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107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7C72" w:rsidRPr="005218E2" w:rsidP="005218E2" w14:paraId="29BAA89E" w14:textId="2121453E">
    <w:pPr>
      <w:jc w:val="both"/>
    </w:pPr>
    <w:r w:rsidRPr="003D4AC9">
      <w:rPr>
        <w:sz w:val="20"/>
        <w:szCs w:val="20"/>
      </w:rPr>
      <w:t>VManot_</w:t>
    </w:r>
    <w:r>
      <w:rPr>
        <w:sz w:val="20"/>
        <w:szCs w:val="20"/>
      </w:rPr>
      <w:t>250417_261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7C72" w:rsidRPr="003D4AC9" w:rsidP="00E13923" w14:paraId="47A86622" w14:textId="3FC2BE0E">
    <w:pPr>
      <w:jc w:val="both"/>
      <w:rPr>
        <w:sz w:val="20"/>
        <w:szCs w:val="20"/>
      </w:rPr>
    </w:pPr>
    <w:r w:rsidRPr="003D4AC9">
      <w:rPr>
        <w:sz w:val="20"/>
        <w:szCs w:val="20"/>
      </w:rPr>
      <w:t>VManot_</w:t>
    </w:r>
    <w:r w:rsidR="005218E2">
      <w:rPr>
        <w:sz w:val="20"/>
        <w:szCs w:val="20"/>
      </w:rPr>
      <w:t>25</w:t>
    </w:r>
    <w:r w:rsidR="005254CD">
      <w:rPr>
        <w:sz w:val="20"/>
        <w:szCs w:val="20"/>
      </w:rPr>
      <w:t>04</w:t>
    </w:r>
    <w:r>
      <w:rPr>
        <w:sz w:val="20"/>
        <w:szCs w:val="20"/>
      </w:rPr>
      <w:t>17_261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7C72" w14:paraId="1255A431" w14:textId="3ABB632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18E2">
      <w:rPr>
        <w:noProof/>
      </w:rPr>
      <w:t>3</w:t>
    </w:r>
    <w:r>
      <w:rPr>
        <w:noProof/>
      </w:rPr>
      <w:fldChar w:fldCharType="end"/>
    </w:r>
  </w:p>
  <w:p w:rsidR="005A7C72" w:rsidP="00E13923" w14:paraId="7A88AE55" w14:textId="77777777">
    <w:pPr>
      <w:pStyle w:val="Header"/>
      <w:jc w:val="center"/>
    </w:pPr>
  </w:p>
  <w:p w:rsidR="005A7C72" w14:paraId="6894FE78" w14:textId="777777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165B5"/>
    <w:multiLevelType w:val="hybridMultilevel"/>
    <w:tmpl w:val="99025C1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47A5"/>
    <w:multiLevelType w:val="hybridMultilevel"/>
    <w:tmpl w:val="5BECD510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C7E5CC4"/>
    <w:multiLevelType w:val="multilevel"/>
    <w:tmpl w:val="4D3AF8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6282F9C"/>
    <w:multiLevelType w:val="hybridMultilevel"/>
    <w:tmpl w:val="80FCA5F8"/>
    <w:lvl w:ilvl="0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4D6204"/>
    <w:multiLevelType w:val="hybridMultilevel"/>
    <w:tmpl w:val="F76470F6"/>
    <w:lvl w:ilvl="0">
      <w:start w:val="1"/>
      <w:numFmt w:val="decimal"/>
      <w:lvlText w:val="%1."/>
      <w:lvlJc w:val="left"/>
      <w:pPr>
        <w:ind w:left="795" w:hanging="360"/>
      </w:p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B5C4FF0"/>
    <w:multiLevelType w:val="hybridMultilevel"/>
    <w:tmpl w:val="05F614F6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A90693"/>
    <w:multiLevelType w:val="hybridMultilevel"/>
    <w:tmpl w:val="6C2C2FCE"/>
    <w:lvl w:ilvl="0">
      <w:start w:val="1"/>
      <w:numFmt w:val="decimal"/>
      <w:lvlText w:val="%1)"/>
      <w:lvlJc w:val="left"/>
      <w:pPr>
        <w:ind w:left="701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6" w:hanging="360"/>
      </w:pPr>
    </w:lvl>
    <w:lvl w:ilvl="2" w:tentative="1">
      <w:start w:val="1"/>
      <w:numFmt w:val="lowerRoman"/>
      <w:lvlText w:val="%3."/>
      <w:lvlJc w:val="right"/>
      <w:pPr>
        <w:ind w:left="1976" w:hanging="180"/>
      </w:pPr>
    </w:lvl>
    <w:lvl w:ilvl="3" w:tentative="1">
      <w:start w:val="1"/>
      <w:numFmt w:val="decimal"/>
      <w:lvlText w:val="%4."/>
      <w:lvlJc w:val="left"/>
      <w:pPr>
        <w:ind w:left="2696" w:hanging="360"/>
      </w:pPr>
    </w:lvl>
    <w:lvl w:ilvl="4" w:tentative="1">
      <w:start w:val="1"/>
      <w:numFmt w:val="lowerLetter"/>
      <w:lvlText w:val="%5."/>
      <w:lvlJc w:val="left"/>
      <w:pPr>
        <w:ind w:left="3416" w:hanging="360"/>
      </w:pPr>
    </w:lvl>
    <w:lvl w:ilvl="5" w:tentative="1">
      <w:start w:val="1"/>
      <w:numFmt w:val="lowerRoman"/>
      <w:lvlText w:val="%6."/>
      <w:lvlJc w:val="right"/>
      <w:pPr>
        <w:ind w:left="4136" w:hanging="180"/>
      </w:pPr>
    </w:lvl>
    <w:lvl w:ilvl="6" w:tentative="1">
      <w:start w:val="1"/>
      <w:numFmt w:val="decimal"/>
      <w:lvlText w:val="%7."/>
      <w:lvlJc w:val="left"/>
      <w:pPr>
        <w:ind w:left="4856" w:hanging="360"/>
      </w:pPr>
    </w:lvl>
    <w:lvl w:ilvl="7" w:tentative="1">
      <w:start w:val="1"/>
      <w:numFmt w:val="lowerLetter"/>
      <w:lvlText w:val="%8."/>
      <w:lvlJc w:val="left"/>
      <w:pPr>
        <w:ind w:left="5576" w:hanging="360"/>
      </w:pPr>
    </w:lvl>
    <w:lvl w:ilvl="8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6A56AF"/>
    <w:multiLevelType w:val="hybridMultilevel"/>
    <w:tmpl w:val="72EAF1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16FC7"/>
    <w:multiLevelType w:val="multilevel"/>
    <w:tmpl w:val="A61611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9F26EE"/>
    <w:multiLevelType w:val="hybridMultilevel"/>
    <w:tmpl w:val="74CC11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17097"/>
    <w:multiLevelType w:val="hybridMultilevel"/>
    <w:tmpl w:val="09FC8008"/>
    <w:lvl w:ilvl="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490274"/>
    <w:multiLevelType w:val="hybridMultilevel"/>
    <w:tmpl w:val="8B386BB2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AE545E"/>
    <w:multiLevelType w:val="hybridMultilevel"/>
    <w:tmpl w:val="78E8D2E6"/>
    <w:lvl w:ilvl="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C475D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C15E8F"/>
    <w:multiLevelType w:val="hybridMultilevel"/>
    <w:tmpl w:val="BAA60194"/>
    <w:lvl w:ilvl="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C0302"/>
    <w:multiLevelType w:val="hybridMultilevel"/>
    <w:tmpl w:val="7612266E"/>
    <w:lvl w:ilvl="0">
      <w:start w:val="1"/>
      <w:numFmt w:val="decimal"/>
      <w:lvlText w:val="1.%1"/>
      <w:lvlJc w:val="left"/>
      <w:pPr>
        <w:ind w:left="12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831E2D"/>
    <w:multiLevelType w:val="hybridMultilevel"/>
    <w:tmpl w:val="77AA3402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3F89244A"/>
    <w:multiLevelType w:val="hybridMultilevel"/>
    <w:tmpl w:val="6276B6C6"/>
    <w:lvl w:ilvl="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3FF846FE"/>
    <w:multiLevelType w:val="hybridMultilevel"/>
    <w:tmpl w:val="6922AB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52CEA"/>
    <w:multiLevelType w:val="hybridMultilevel"/>
    <w:tmpl w:val="F76470F6"/>
    <w:lvl w:ilvl="0">
      <w:start w:val="1"/>
      <w:numFmt w:val="decimal"/>
      <w:lvlText w:val="%1."/>
      <w:lvlJc w:val="left"/>
      <w:pPr>
        <w:ind w:left="795" w:hanging="360"/>
      </w:p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2AA2517"/>
    <w:multiLevelType w:val="hybridMultilevel"/>
    <w:tmpl w:val="DCEE11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24434"/>
    <w:multiLevelType w:val="hybridMultilevel"/>
    <w:tmpl w:val="5EDEE5CE"/>
    <w:lvl w:ilvl="0">
      <w:start w:val="19"/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2">
    <w:nsid w:val="46F31C6A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4151E9"/>
    <w:multiLevelType w:val="hybridMultilevel"/>
    <w:tmpl w:val="26BE8D2A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528172F9"/>
    <w:multiLevelType w:val="hybridMultilevel"/>
    <w:tmpl w:val="1F30EE7E"/>
    <w:lvl w:ilvl="0">
      <w:start w:val="1"/>
      <w:numFmt w:val="decimal"/>
      <w:lvlText w:val="%1)"/>
      <w:lvlJc w:val="left"/>
      <w:pPr>
        <w:ind w:left="394" w:hanging="360"/>
      </w:p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7">
    <w:nsid w:val="56AA7A88"/>
    <w:multiLevelType w:val="hybridMultilevel"/>
    <w:tmpl w:val="BAE6A65E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588F2441"/>
    <w:multiLevelType w:val="hybridMultilevel"/>
    <w:tmpl w:val="9B242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2A084E"/>
    <w:multiLevelType w:val="hybridMultilevel"/>
    <w:tmpl w:val="F60243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450F5"/>
    <w:multiLevelType w:val="multilevel"/>
    <w:tmpl w:val="3FF28144"/>
    <w:lvl w:ilvl="0">
      <w:start w:val="10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95"/>
        </w:tabs>
        <w:ind w:left="1095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15"/>
        </w:tabs>
        <w:ind w:left="121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31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20C2C3B"/>
    <w:multiLevelType w:val="hybridMultilevel"/>
    <w:tmpl w:val="AB0092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002566"/>
    <w:multiLevelType w:val="multilevel"/>
    <w:tmpl w:val="EB1407E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6BE37B9"/>
    <w:multiLevelType w:val="hybridMultilevel"/>
    <w:tmpl w:val="AFAE4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84BFC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E2D603A"/>
    <w:multiLevelType w:val="hybridMultilevel"/>
    <w:tmpl w:val="E416C572"/>
    <w:lvl w:ilvl="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8"/>
  </w:num>
  <w:num w:numId="4">
    <w:abstractNumId w:val="27"/>
  </w:num>
  <w:num w:numId="5">
    <w:abstractNumId w:val="18"/>
  </w:num>
  <w:num w:numId="6">
    <w:abstractNumId w:val="17"/>
  </w:num>
  <w:num w:numId="7">
    <w:abstractNumId w:val="32"/>
  </w:num>
  <w:num w:numId="8">
    <w:abstractNumId w:val="11"/>
  </w:num>
  <w:num w:numId="9">
    <w:abstractNumId w:val="3"/>
  </w:num>
  <w:num w:numId="10">
    <w:abstractNumId w:val="1"/>
  </w:num>
  <w:num w:numId="11">
    <w:abstractNumId w:val="16"/>
  </w:num>
  <w:num w:numId="12">
    <w:abstractNumId w:val="7"/>
  </w:num>
  <w:num w:numId="13">
    <w:abstractNumId w:val="36"/>
  </w:num>
  <w:num w:numId="14">
    <w:abstractNumId w:val="14"/>
  </w:num>
  <w:num w:numId="15">
    <w:abstractNumId w:val="0"/>
  </w:num>
  <w:num w:numId="16">
    <w:abstractNumId w:val="12"/>
  </w:num>
  <w:num w:numId="17">
    <w:abstractNumId w:val="22"/>
  </w:num>
  <w:num w:numId="18">
    <w:abstractNumId w:val="4"/>
  </w:num>
  <w:num w:numId="19">
    <w:abstractNumId w:val="5"/>
  </w:num>
  <w:num w:numId="20">
    <w:abstractNumId w:val="25"/>
  </w:num>
  <w:num w:numId="21">
    <w:abstractNumId w:val="28"/>
  </w:num>
  <w:num w:numId="22">
    <w:abstractNumId w:val="13"/>
  </w:num>
  <w:num w:numId="23">
    <w:abstractNumId w:val="33"/>
  </w:num>
  <w:num w:numId="24">
    <w:abstractNumId w:val="19"/>
  </w:num>
  <w:num w:numId="25">
    <w:abstractNumId w:val="15"/>
  </w:num>
  <w:num w:numId="26">
    <w:abstractNumId w:val="21"/>
  </w:num>
  <w:num w:numId="27">
    <w:abstractNumId w:val="31"/>
  </w:num>
  <w:num w:numId="28">
    <w:abstractNumId w:val="2"/>
  </w:num>
  <w:num w:numId="29">
    <w:abstractNumId w:val="26"/>
  </w:num>
  <w:num w:numId="30">
    <w:abstractNumId w:val="30"/>
  </w:num>
  <w:num w:numId="31">
    <w:abstractNumId w:val="10"/>
  </w:num>
  <w:num w:numId="32">
    <w:abstractNumId w:val="24"/>
  </w:num>
  <w:num w:numId="33">
    <w:abstractNumId w:val="35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6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6BCF1E-3142-4003-BFE5-27841DF2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6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B766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0A5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C0A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C0A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C0A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C0A5D"/>
    <w:pPr>
      <w:tabs>
        <w:tab w:val="left" w:pos="720"/>
      </w:tabs>
      <w:jc w:val="both"/>
    </w:pPr>
    <w:rPr>
      <w:color w:val="000000"/>
      <w:sz w:val="20"/>
      <w:szCs w:val="20"/>
    </w:rPr>
  </w:style>
  <w:style w:type="paragraph" w:customStyle="1" w:styleId="naisnod">
    <w:name w:val="naisnod"/>
    <w:basedOn w:val="Normal"/>
    <w:rsid w:val="00DC0A5D"/>
    <w:pPr>
      <w:spacing w:before="150" w:after="150"/>
      <w:jc w:val="center"/>
    </w:pPr>
    <w:rPr>
      <w:rFonts w:eastAsia="Calibri"/>
      <w:b/>
      <w:bCs/>
    </w:rPr>
  </w:style>
  <w:style w:type="paragraph" w:customStyle="1" w:styleId="naiskr">
    <w:name w:val="naiskr"/>
    <w:basedOn w:val="Normal"/>
    <w:rsid w:val="00DC0A5D"/>
    <w:pPr>
      <w:spacing w:before="75" w:after="75"/>
    </w:pPr>
    <w:rPr>
      <w:rFonts w:eastAsia="Calibri"/>
    </w:rPr>
  </w:style>
  <w:style w:type="character" w:styleId="Hyperlink">
    <w:name w:val="Hyperlink"/>
    <w:uiPriority w:val="99"/>
    <w:rsid w:val="00DC0A5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C0A5D"/>
    <w:rPr>
      <w:sz w:val="20"/>
      <w:szCs w:val="20"/>
    </w:rPr>
  </w:style>
  <w:style w:type="character" w:customStyle="1" w:styleId="FootnoteTextChar">
    <w:name w:val="Footnote Text Char"/>
    <w:link w:val="FootnoteText"/>
    <w:rsid w:val="00DC0A5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Spacing">
    <w:name w:val="No Spacing"/>
    <w:link w:val="NoSpacingChar"/>
    <w:uiPriority w:val="1"/>
    <w:qFormat/>
    <w:rsid w:val="00DC0A5D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DC0A5D"/>
    <w:rPr>
      <w:vertAlign w:val="superscript"/>
    </w:rPr>
  </w:style>
  <w:style w:type="paragraph" w:customStyle="1" w:styleId="Default">
    <w:name w:val="Default"/>
    <w:rsid w:val="00DC0A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vhtml">
    <w:name w:val="tv_html"/>
    <w:basedOn w:val="Normal"/>
    <w:rsid w:val="00DC0A5D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 w:bidi="lo-LA"/>
    </w:rPr>
  </w:style>
  <w:style w:type="table" w:styleId="TableGrid">
    <w:name w:val="Table Grid"/>
    <w:basedOn w:val="TableNormal"/>
    <w:uiPriority w:val="59"/>
    <w:rsid w:val="00DC0A5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A5D"/>
    <w:pPr>
      <w:ind w:left="720"/>
      <w:contextualSpacing/>
    </w:pPr>
  </w:style>
  <w:style w:type="paragraph" w:styleId="NormalWeb">
    <w:name w:val="Normal (Web)"/>
    <w:basedOn w:val="Normal"/>
    <w:uiPriority w:val="99"/>
    <w:rsid w:val="00DC0A5D"/>
    <w:pPr>
      <w:spacing w:before="100" w:beforeAutospacing="1" w:after="100" w:afterAutospacing="1"/>
    </w:pPr>
    <w:rPr>
      <w:lang w:val="en-US" w:eastAsia="en-US"/>
    </w:rPr>
  </w:style>
  <w:style w:type="paragraph" w:customStyle="1" w:styleId="ListParagraph1">
    <w:name w:val="List Paragraph1"/>
    <w:basedOn w:val="Normal"/>
    <w:rsid w:val="00DC0A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E7F36"/>
    <w:rPr>
      <w:sz w:val="16"/>
      <w:szCs w:val="16"/>
    </w:rPr>
  </w:style>
  <w:style w:type="paragraph" w:customStyle="1" w:styleId="tv2132">
    <w:name w:val="tv2132"/>
    <w:basedOn w:val="Normal"/>
    <w:rsid w:val="00390241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456C3E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6C3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3E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73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373E"/>
    <w:rPr>
      <w:rFonts w:ascii="Tahoma" w:eastAsia="Times New Roman" w:hAnsi="Tahoma" w:cs="Tahoma"/>
      <w:sz w:val="16"/>
      <w:szCs w:val="16"/>
      <w:lang w:eastAsia="lv-LV"/>
    </w:rPr>
  </w:style>
  <w:style w:type="character" w:styleId="Emphasis">
    <w:name w:val="Emphasis"/>
    <w:qFormat/>
    <w:rsid w:val="00D55693"/>
    <w:rPr>
      <w:b/>
      <w:bCs/>
      <w:i w:val="0"/>
      <w:iCs w:val="0"/>
    </w:rPr>
  </w:style>
  <w:style w:type="character" w:customStyle="1" w:styleId="st">
    <w:name w:val="st"/>
    <w:basedOn w:val="DefaultParagraphFont"/>
    <w:rsid w:val="00D55693"/>
  </w:style>
  <w:style w:type="character" w:customStyle="1" w:styleId="apple-converted-space">
    <w:name w:val="apple-converted-space"/>
    <w:basedOn w:val="DefaultParagraphFont"/>
    <w:rsid w:val="00B8029D"/>
  </w:style>
  <w:style w:type="paragraph" w:customStyle="1" w:styleId="naispant">
    <w:name w:val="naispant"/>
    <w:basedOn w:val="Normal"/>
    <w:uiPriority w:val="99"/>
    <w:rsid w:val="00E41B05"/>
    <w:pPr>
      <w:spacing w:before="75" w:after="75"/>
      <w:ind w:left="375" w:firstLine="375"/>
      <w:jc w:val="both"/>
    </w:pPr>
    <w:rPr>
      <w:b/>
      <w:bCs/>
    </w:rPr>
  </w:style>
  <w:style w:type="character" w:customStyle="1" w:styleId="Heading1Char">
    <w:name w:val="Heading 1 Char"/>
    <w:link w:val="Heading1"/>
    <w:uiPriority w:val="9"/>
    <w:rsid w:val="00B76697"/>
    <w:rPr>
      <w:rFonts w:ascii="Cambria" w:eastAsia="Times New Roman" w:hAnsi="Cambria"/>
      <w:b/>
      <w:bCs/>
      <w:kern w:val="32"/>
      <w:sz w:val="32"/>
      <w:szCs w:val="32"/>
      <w:lang w:val="lv-LV" w:eastAsia="lv-LV"/>
    </w:rPr>
  </w:style>
  <w:style w:type="character" w:customStyle="1" w:styleId="Heading6Char">
    <w:name w:val="Heading 6 Char"/>
    <w:link w:val="Heading6"/>
    <w:rsid w:val="00B76697"/>
    <w:rPr>
      <w:rFonts w:ascii="Times New Roman" w:eastAsia="Times New Roman" w:hAnsi="Times New Roman"/>
      <w:b/>
      <w:bCs/>
      <w:sz w:val="22"/>
      <w:szCs w:val="22"/>
      <w:lang w:val="lv-LV" w:eastAsia="lv-LV"/>
    </w:rPr>
  </w:style>
  <w:style w:type="paragraph" w:customStyle="1" w:styleId="naislab">
    <w:name w:val="naislab"/>
    <w:basedOn w:val="Normal"/>
    <w:rsid w:val="00B76697"/>
    <w:pPr>
      <w:spacing w:before="75" w:after="75"/>
      <w:jc w:val="right"/>
    </w:pPr>
  </w:style>
  <w:style w:type="paragraph" w:customStyle="1" w:styleId="naisc">
    <w:name w:val="naisc"/>
    <w:basedOn w:val="Normal"/>
    <w:rsid w:val="00B76697"/>
    <w:pPr>
      <w:spacing w:before="450" w:after="300"/>
      <w:jc w:val="center"/>
    </w:pPr>
    <w:rPr>
      <w:sz w:val="26"/>
      <w:szCs w:val="26"/>
    </w:rPr>
  </w:style>
  <w:style w:type="character" w:styleId="PageNumber">
    <w:name w:val="page number"/>
    <w:basedOn w:val="DefaultParagraphFont"/>
    <w:rsid w:val="00B76697"/>
  </w:style>
  <w:style w:type="paragraph" w:styleId="BodyText2">
    <w:name w:val="Body Text 2"/>
    <w:basedOn w:val="Normal"/>
    <w:link w:val="BodyText2Char"/>
    <w:rsid w:val="00B76697"/>
    <w:pPr>
      <w:jc w:val="center"/>
    </w:pPr>
    <w:rPr>
      <w:b/>
      <w:bCs/>
      <w:sz w:val="28"/>
    </w:rPr>
  </w:style>
  <w:style w:type="character" w:customStyle="1" w:styleId="BodyText2Char">
    <w:name w:val="Body Text 2 Char"/>
    <w:link w:val="BodyText2"/>
    <w:rsid w:val="00B76697"/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styleId="Strong">
    <w:name w:val="Strong"/>
    <w:uiPriority w:val="22"/>
    <w:qFormat/>
    <w:rsid w:val="00B76697"/>
    <w:rPr>
      <w:b/>
      <w:bCs/>
    </w:rPr>
  </w:style>
  <w:style w:type="paragraph" w:styleId="PlainText">
    <w:name w:val="Plain Text"/>
    <w:basedOn w:val="Normal"/>
    <w:link w:val="PlainTextChar"/>
    <w:rsid w:val="00B76697"/>
    <w:pPr>
      <w:snapToGrid w:val="0"/>
    </w:pPr>
    <w:rPr>
      <w:rFonts w:ascii="Courier New" w:hAnsi="Courier New"/>
      <w:sz w:val="28"/>
      <w:szCs w:val="20"/>
    </w:rPr>
  </w:style>
  <w:style w:type="character" w:customStyle="1" w:styleId="PlainTextChar">
    <w:name w:val="Plain Text Char"/>
    <w:link w:val="PlainText"/>
    <w:rsid w:val="00B76697"/>
    <w:rPr>
      <w:rFonts w:ascii="Courier New" w:eastAsia="Times New Roman" w:hAnsi="Courier New"/>
      <w:sz w:val="28"/>
      <w:lang w:val="lv-LV"/>
    </w:rPr>
  </w:style>
  <w:style w:type="paragraph" w:styleId="BodyText">
    <w:name w:val="Body Text"/>
    <w:basedOn w:val="Normal"/>
    <w:link w:val="BodyTextChar"/>
    <w:rsid w:val="00B76697"/>
    <w:pPr>
      <w:spacing w:after="120"/>
    </w:pPr>
  </w:style>
  <w:style w:type="character" w:customStyle="1" w:styleId="BodyTextChar">
    <w:name w:val="Body Text Char"/>
    <w:link w:val="BodyText"/>
    <w:rsid w:val="00B76697"/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akstzChar">
    <w:name w:val="Rakstz. Char"/>
    <w:basedOn w:val="Normal"/>
    <w:rsid w:val="00B76697"/>
    <w:rPr>
      <w:lang w:val="pl-PL" w:eastAsia="pl-PL"/>
    </w:rPr>
  </w:style>
  <w:style w:type="paragraph" w:customStyle="1" w:styleId="c01pointaltn">
    <w:name w:val="c01pointaltn"/>
    <w:basedOn w:val="Normal"/>
    <w:rsid w:val="00B76697"/>
    <w:pPr>
      <w:spacing w:before="100" w:beforeAutospacing="1" w:after="100" w:afterAutospacing="1"/>
    </w:pPr>
  </w:style>
  <w:style w:type="paragraph" w:customStyle="1" w:styleId="tvhtml1">
    <w:name w:val="tv_html1"/>
    <w:basedOn w:val="Normal"/>
    <w:rsid w:val="00B76697"/>
    <w:pPr>
      <w:spacing w:before="100" w:beforeAutospacing="1" w:line="360" w:lineRule="auto"/>
    </w:pPr>
    <w:rPr>
      <w:rFonts w:ascii="Verdana" w:hAnsi="Verdana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737B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6A742-AD94-44FB-BF33-DAB633EA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3232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2006. gada 4. aprīļa noteikumos Nr. 261 “Neauglības diagnosticēšanas un potenciālā dzimumšūnu donora medicīniskās izmeklēšanas kārtība”” anotācija</vt:lpstr>
    </vt:vector>
  </TitlesOfParts>
  <Company>Veselības ministrija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2006. gada 4. aprīļa noteikumos Nr. 261 “Neauglības diagnosticēšanas un potenciālā dzimumšūnu donora medicīniskās izmeklēšanas kārtība”” anotācija</dc:title>
  <dc:subject>Anotācija</dc:subject>
  <dc:creator>Guna Jermacāne</dc:creator>
  <dc:description>Jermacane 67876167_x000D_
guna.jermacane@vm.gov.lv,</dc:description>
  <cp:lastModifiedBy>Zaiga Valtere</cp:lastModifiedBy>
  <cp:revision>3</cp:revision>
  <cp:lastPrinted>2016-09-16T13:20:00Z</cp:lastPrinted>
  <dcterms:created xsi:type="dcterms:W3CDTF">2017-04-25T11:28:00Z</dcterms:created>
  <dcterms:modified xsi:type="dcterms:W3CDTF">2017-04-25T11:30:00Z</dcterms:modified>
</cp:coreProperties>
</file>