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17585" w14:textId="6A9442AE" w:rsidR="00895904" w:rsidRPr="009E5054" w:rsidRDefault="00895904" w:rsidP="00895904">
      <w:pPr>
        <w:jc w:val="center"/>
        <w:rPr>
          <w:b/>
          <w:sz w:val="28"/>
          <w:szCs w:val="28"/>
        </w:rPr>
      </w:pPr>
      <w:r w:rsidRPr="009E5054">
        <w:rPr>
          <w:b/>
          <w:sz w:val="28"/>
          <w:szCs w:val="28"/>
        </w:rPr>
        <w:t>Ministru kabineta noteikumu projekta „Grozījumi Ministru kabineta 2010.</w:t>
      </w:r>
      <w:r w:rsidR="00D3472D">
        <w:rPr>
          <w:b/>
          <w:sz w:val="28"/>
          <w:szCs w:val="28"/>
        </w:rPr>
        <w:t> </w:t>
      </w:r>
      <w:r w:rsidRPr="009E5054">
        <w:rPr>
          <w:b/>
          <w:sz w:val="28"/>
          <w:szCs w:val="28"/>
        </w:rPr>
        <w:t>gada 2.</w:t>
      </w:r>
      <w:r w:rsidR="00803BE0" w:rsidRPr="009E5054">
        <w:rPr>
          <w:b/>
          <w:sz w:val="28"/>
          <w:szCs w:val="28"/>
        </w:rPr>
        <w:t> </w:t>
      </w:r>
      <w:r w:rsidRPr="009E5054">
        <w:rPr>
          <w:b/>
          <w:sz w:val="28"/>
          <w:szCs w:val="28"/>
        </w:rPr>
        <w:t>marta noteikumos Nr.</w:t>
      </w:r>
      <w:r w:rsidR="00803BE0" w:rsidRPr="009E5054">
        <w:rPr>
          <w:b/>
          <w:sz w:val="28"/>
          <w:szCs w:val="28"/>
        </w:rPr>
        <w:t xml:space="preserve"> </w:t>
      </w:r>
      <w:r w:rsidRPr="009E5054">
        <w:rPr>
          <w:b/>
          <w:sz w:val="28"/>
          <w:szCs w:val="28"/>
        </w:rPr>
        <w:t>215 "Noteikumi par valsts atbalsta piešķiršanu zivsaimniecības attīstībai no Zivju fonda finanšu līdzekļiem"” sākotnējās ietekmes novērtējuma ziņojums (anotācija)</w:t>
      </w:r>
    </w:p>
    <w:p w14:paraId="6F8648A1" w14:textId="77777777" w:rsidR="00895904" w:rsidRPr="007505D9" w:rsidRDefault="00895904" w:rsidP="00895904">
      <w:pPr>
        <w:spacing w:before="45" w:line="360" w:lineRule="auto"/>
        <w:ind w:firstLine="300"/>
        <w:jc w:val="center"/>
        <w:rPr>
          <w:iCs/>
          <w:color w:val="414142"/>
          <w:sz w:val="22"/>
          <w:szCs w:val="22"/>
        </w:rPr>
      </w:pPr>
      <w:bookmarkStart w:id="0" w:name="468683"/>
      <w:bookmarkEnd w:id="0"/>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3"/>
        <w:gridCol w:w="2765"/>
        <w:gridCol w:w="5807"/>
      </w:tblGrid>
      <w:tr w:rsidR="00895904" w:rsidRPr="0098695D" w14:paraId="64E96C42" w14:textId="77777777" w:rsidTr="00E63AE2">
        <w:trPr>
          <w:trHeight w:val="324"/>
          <w:tblCellSpacing w:w="15" w:type="dxa"/>
        </w:trPr>
        <w:tc>
          <w:tcPr>
            <w:tcW w:w="0" w:type="auto"/>
            <w:gridSpan w:val="3"/>
            <w:vAlign w:val="center"/>
            <w:hideMark/>
          </w:tcPr>
          <w:p w14:paraId="0D9D4193" w14:textId="77777777" w:rsidR="00895904" w:rsidRPr="0098695D" w:rsidRDefault="00895904" w:rsidP="00E63AE2">
            <w:pPr>
              <w:spacing w:before="100" w:beforeAutospacing="1" w:after="100" w:afterAutospacing="1" w:line="360" w:lineRule="auto"/>
              <w:ind w:firstLine="300"/>
              <w:jc w:val="center"/>
              <w:rPr>
                <w:b/>
                <w:bCs/>
                <w:szCs w:val="22"/>
              </w:rPr>
            </w:pPr>
            <w:r w:rsidRPr="0098695D">
              <w:rPr>
                <w:b/>
                <w:bCs/>
                <w:szCs w:val="22"/>
              </w:rPr>
              <w:t>I. Tiesību akta projekta izstrādes nepieciešamība</w:t>
            </w:r>
          </w:p>
        </w:tc>
      </w:tr>
      <w:tr w:rsidR="00895904" w:rsidRPr="0098695D" w14:paraId="74B568C1" w14:textId="77777777" w:rsidTr="008153AF">
        <w:trPr>
          <w:trHeight w:val="324"/>
          <w:tblCellSpacing w:w="15" w:type="dxa"/>
        </w:trPr>
        <w:tc>
          <w:tcPr>
            <w:tcW w:w="247" w:type="pct"/>
            <w:hideMark/>
          </w:tcPr>
          <w:p w14:paraId="69EB013B" w14:textId="77777777" w:rsidR="00895904" w:rsidRPr="0098695D" w:rsidRDefault="00895904" w:rsidP="00E63AE2">
            <w:pPr>
              <w:rPr>
                <w:szCs w:val="22"/>
              </w:rPr>
            </w:pPr>
            <w:r w:rsidRPr="0098695D">
              <w:rPr>
                <w:szCs w:val="22"/>
              </w:rPr>
              <w:t>1.</w:t>
            </w:r>
          </w:p>
        </w:tc>
        <w:tc>
          <w:tcPr>
            <w:tcW w:w="1509" w:type="pct"/>
            <w:hideMark/>
          </w:tcPr>
          <w:p w14:paraId="779B2BCB" w14:textId="77777777" w:rsidR="00895904" w:rsidRPr="0098695D" w:rsidRDefault="00895904" w:rsidP="00E63AE2">
            <w:pPr>
              <w:rPr>
                <w:szCs w:val="22"/>
              </w:rPr>
            </w:pPr>
            <w:r w:rsidRPr="0098695D">
              <w:rPr>
                <w:szCs w:val="22"/>
              </w:rPr>
              <w:t>Pamatojums</w:t>
            </w:r>
          </w:p>
        </w:tc>
        <w:tc>
          <w:tcPr>
            <w:tcW w:w="3178" w:type="pct"/>
            <w:hideMark/>
          </w:tcPr>
          <w:p w14:paraId="16EBF226" w14:textId="54CF0924" w:rsidR="00895904" w:rsidRPr="0098695D" w:rsidRDefault="00895904" w:rsidP="00E63AE2">
            <w:pPr>
              <w:jc w:val="both"/>
              <w:rPr>
                <w:szCs w:val="22"/>
              </w:rPr>
            </w:pPr>
            <w:r w:rsidRPr="0098695D">
              <w:rPr>
                <w:szCs w:val="22"/>
              </w:rPr>
              <w:t>Lauksaimniecības un lauku attīstības likuma 5.</w:t>
            </w:r>
            <w:r w:rsidR="00803BE0">
              <w:rPr>
                <w:szCs w:val="22"/>
              </w:rPr>
              <w:t xml:space="preserve"> </w:t>
            </w:r>
            <w:r w:rsidRPr="0098695D">
              <w:rPr>
                <w:szCs w:val="22"/>
              </w:rPr>
              <w:t>panta ceturtā daļa</w:t>
            </w:r>
          </w:p>
        </w:tc>
      </w:tr>
      <w:tr w:rsidR="00895904" w:rsidRPr="0098695D" w14:paraId="42CC8AF5" w14:textId="77777777" w:rsidTr="008153AF">
        <w:trPr>
          <w:trHeight w:val="372"/>
          <w:tblCellSpacing w:w="15" w:type="dxa"/>
        </w:trPr>
        <w:tc>
          <w:tcPr>
            <w:tcW w:w="247" w:type="pct"/>
            <w:hideMark/>
          </w:tcPr>
          <w:p w14:paraId="6E80A2DB" w14:textId="77777777" w:rsidR="00895904" w:rsidRPr="0098695D" w:rsidRDefault="00895904" w:rsidP="00E63AE2">
            <w:pPr>
              <w:rPr>
                <w:szCs w:val="22"/>
              </w:rPr>
            </w:pPr>
            <w:r w:rsidRPr="0098695D">
              <w:rPr>
                <w:szCs w:val="22"/>
              </w:rPr>
              <w:t>2.</w:t>
            </w:r>
          </w:p>
        </w:tc>
        <w:tc>
          <w:tcPr>
            <w:tcW w:w="1509" w:type="pct"/>
            <w:hideMark/>
          </w:tcPr>
          <w:p w14:paraId="57F49761" w14:textId="77777777" w:rsidR="00895904" w:rsidRPr="0098695D" w:rsidRDefault="00895904" w:rsidP="00E63AE2">
            <w:pPr>
              <w:rPr>
                <w:szCs w:val="22"/>
              </w:rPr>
            </w:pPr>
            <w:r w:rsidRPr="0098695D">
              <w:rPr>
                <w:szCs w:val="22"/>
              </w:rPr>
              <w:t>Pašreizējā situācija un problēmas, kuru risināšanai tiesību akta projekts izstrādāts, tiesiskā regulējuma mērķis un būtība</w:t>
            </w:r>
          </w:p>
        </w:tc>
        <w:tc>
          <w:tcPr>
            <w:tcW w:w="3178" w:type="pct"/>
            <w:hideMark/>
          </w:tcPr>
          <w:p w14:paraId="5D604CC3" w14:textId="175741F8" w:rsidR="00D22CF1" w:rsidRDefault="00DD4A30" w:rsidP="001F3741">
            <w:pPr>
              <w:spacing w:after="120"/>
              <w:jc w:val="both"/>
              <w:rPr>
                <w:szCs w:val="22"/>
              </w:rPr>
            </w:pPr>
            <w:r>
              <w:rPr>
                <w:szCs w:val="22"/>
              </w:rPr>
              <w:t>Zivju fonda padome (turpmāk – padome) 17.01.2017.</w:t>
            </w:r>
            <w:r w:rsidR="00803BE0">
              <w:rPr>
                <w:szCs w:val="22"/>
              </w:rPr>
              <w:t xml:space="preserve"> </w:t>
            </w:r>
            <w:r>
              <w:rPr>
                <w:szCs w:val="22"/>
              </w:rPr>
              <w:t>sēdē konstatēja, ka joprojām pastāv problēmas ar</w:t>
            </w:r>
            <w:r w:rsidR="008153AF">
              <w:rPr>
                <w:szCs w:val="22"/>
              </w:rPr>
              <w:t xml:space="preserve"> termiņu ievērošanu</w:t>
            </w:r>
            <w:r>
              <w:rPr>
                <w:szCs w:val="22"/>
              </w:rPr>
              <w:t xml:space="preserve"> Zivju fonda atbalstīto projektu īstenošan</w:t>
            </w:r>
            <w:r w:rsidR="008153AF">
              <w:rPr>
                <w:szCs w:val="22"/>
              </w:rPr>
              <w:t>ā</w:t>
            </w:r>
            <w:r w:rsidR="00421377">
              <w:rPr>
                <w:szCs w:val="22"/>
              </w:rPr>
              <w:t>,</w:t>
            </w:r>
            <w:r>
              <w:rPr>
                <w:szCs w:val="22"/>
              </w:rPr>
              <w:t xml:space="preserve"> un uzdeva padomes sekretariātam sagatavot grozījumus </w:t>
            </w:r>
            <w:r w:rsidRPr="00DD4A30">
              <w:rPr>
                <w:szCs w:val="22"/>
              </w:rPr>
              <w:t>Ministru kabineta 2010.</w:t>
            </w:r>
            <w:r w:rsidR="00803BE0">
              <w:rPr>
                <w:szCs w:val="22"/>
              </w:rPr>
              <w:t xml:space="preserve"> </w:t>
            </w:r>
            <w:r w:rsidRPr="00DD4A30">
              <w:rPr>
                <w:szCs w:val="22"/>
              </w:rPr>
              <w:t>gada 2.</w:t>
            </w:r>
            <w:r w:rsidR="00803BE0">
              <w:rPr>
                <w:szCs w:val="22"/>
              </w:rPr>
              <w:t xml:space="preserve"> </w:t>
            </w:r>
            <w:r w:rsidRPr="00DD4A30">
              <w:rPr>
                <w:szCs w:val="22"/>
              </w:rPr>
              <w:t>marta noteikumos Nr.</w:t>
            </w:r>
            <w:r w:rsidR="00803BE0">
              <w:rPr>
                <w:szCs w:val="22"/>
              </w:rPr>
              <w:t xml:space="preserve"> </w:t>
            </w:r>
            <w:r w:rsidRPr="00DD4A30">
              <w:rPr>
                <w:szCs w:val="22"/>
              </w:rPr>
              <w:t>215 "Noteikumi par valsts atbalsta piešķiršanu zivsaimniecības attīstībai no Zivju fonda finanšu līdzekļiem"</w:t>
            </w:r>
            <w:r>
              <w:rPr>
                <w:szCs w:val="22"/>
              </w:rPr>
              <w:t xml:space="preserve"> (turpmāk – noteikumi Nr.</w:t>
            </w:r>
            <w:r w:rsidR="00803BE0">
              <w:rPr>
                <w:szCs w:val="22"/>
              </w:rPr>
              <w:t xml:space="preserve"> </w:t>
            </w:r>
            <w:r>
              <w:rPr>
                <w:szCs w:val="22"/>
              </w:rPr>
              <w:t xml:space="preserve">215), lai </w:t>
            </w:r>
            <w:r w:rsidR="008153AF">
              <w:rPr>
                <w:szCs w:val="22"/>
              </w:rPr>
              <w:t>noteiktu stingrākas prasības ar projektiem saistītas dokumentācijas iesniegšanai</w:t>
            </w:r>
            <w:r>
              <w:rPr>
                <w:szCs w:val="22"/>
              </w:rPr>
              <w:t>.</w:t>
            </w:r>
          </w:p>
          <w:p w14:paraId="570F2125" w14:textId="76F1570F" w:rsidR="008D5AFB" w:rsidRDefault="00DD4A30" w:rsidP="001F3741">
            <w:pPr>
              <w:spacing w:after="120"/>
              <w:jc w:val="both"/>
              <w:rPr>
                <w:szCs w:val="22"/>
              </w:rPr>
            </w:pPr>
            <w:r>
              <w:rPr>
                <w:szCs w:val="22"/>
              </w:rPr>
              <w:t xml:space="preserve">Lai sekmētu </w:t>
            </w:r>
            <w:r w:rsidR="008D5AFB">
              <w:rPr>
                <w:szCs w:val="22"/>
              </w:rPr>
              <w:t xml:space="preserve">Zivju fonda atbalstīto </w:t>
            </w:r>
            <w:r>
              <w:rPr>
                <w:szCs w:val="22"/>
              </w:rPr>
              <w:t xml:space="preserve">projektu savlaicīgu izpildi, </w:t>
            </w:r>
            <w:r w:rsidR="003F69F8" w:rsidRPr="003F69F8">
              <w:rPr>
                <w:szCs w:val="22"/>
              </w:rPr>
              <w:t>Ministru kabineta noteikumu projekt</w:t>
            </w:r>
            <w:r w:rsidR="003F69F8">
              <w:rPr>
                <w:szCs w:val="22"/>
              </w:rPr>
              <w:t>ā</w:t>
            </w:r>
            <w:r w:rsidR="003F69F8" w:rsidRPr="003F69F8">
              <w:rPr>
                <w:szCs w:val="22"/>
              </w:rPr>
              <w:t xml:space="preserve"> „Grozījumi Ministru kabineta 2010.</w:t>
            </w:r>
            <w:r w:rsidR="00803BE0">
              <w:rPr>
                <w:szCs w:val="22"/>
              </w:rPr>
              <w:t xml:space="preserve"> </w:t>
            </w:r>
            <w:r w:rsidR="003F69F8" w:rsidRPr="003F69F8">
              <w:rPr>
                <w:szCs w:val="22"/>
              </w:rPr>
              <w:t>gada 2.</w:t>
            </w:r>
            <w:r w:rsidR="00803BE0">
              <w:rPr>
                <w:szCs w:val="22"/>
              </w:rPr>
              <w:t xml:space="preserve"> </w:t>
            </w:r>
            <w:r w:rsidR="003F69F8" w:rsidRPr="003F69F8">
              <w:rPr>
                <w:szCs w:val="22"/>
              </w:rPr>
              <w:t>marta noteikumos Nr.</w:t>
            </w:r>
            <w:r w:rsidR="00803BE0">
              <w:rPr>
                <w:szCs w:val="22"/>
              </w:rPr>
              <w:t xml:space="preserve"> </w:t>
            </w:r>
            <w:r w:rsidR="003F69F8" w:rsidRPr="003F69F8">
              <w:rPr>
                <w:szCs w:val="22"/>
              </w:rPr>
              <w:t>215 "Noteikumi par valsts atbalsta piešķiršanu zivsaimniecības attīstībai no Zivju fonda finanšu līdzekļiem"”</w:t>
            </w:r>
            <w:r w:rsidR="003F69F8">
              <w:rPr>
                <w:szCs w:val="22"/>
              </w:rPr>
              <w:t xml:space="preserve"> (turpmāk – noteikumu projekts) </w:t>
            </w:r>
            <w:r>
              <w:rPr>
                <w:szCs w:val="22"/>
              </w:rPr>
              <w:t xml:space="preserve">paredzēts noteikt, ka </w:t>
            </w:r>
            <w:r w:rsidRPr="00DD4A30">
              <w:rPr>
                <w:szCs w:val="22"/>
              </w:rPr>
              <w:t xml:space="preserve">padome ir tiesīga pieņemt lēmumu par atbalsta saņēmēja projektam apstiprinātā finansējuma pārdali tiem Zivju fonda pasākumu iesniegumu kārtās vērtētajiem projektiem, </w:t>
            </w:r>
            <w:r w:rsidRPr="009E5054">
              <w:t xml:space="preserve">kuri, </w:t>
            </w:r>
            <w:r w:rsidR="00421377" w:rsidRPr="009E5054">
              <w:t>sakārtoti secībā pēc augstākā vērtējuma, nav iekļāvušies</w:t>
            </w:r>
            <w:r w:rsidRPr="00DD4A30">
              <w:rPr>
                <w:szCs w:val="22"/>
              </w:rPr>
              <w:t xml:space="preserve"> Zivju fonda attiecīgo pasākum</w:t>
            </w:r>
            <w:r w:rsidR="000C3229">
              <w:rPr>
                <w:szCs w:val="22"/>
              </w:rPr>
              <w:t>u</w:t>
            </w:r>
            <w:r w:rsidRPr="00DD4A30">
              <w:rPr>
                <w:szCs w:val="22"/>
              </w:rPr>
              <w:t xml:space="preserve"> kārtās izsludinātā Zivju fonda kopējā finansējuma summā, vai iedalīt šo finansējumu jaunas projektu iesniegumu iesniegšanas kārtas izsludināšanai kādam no Zivju fonda pasākumiem</w:t>
            </w:r>
            <w:r w:rsidR="008D5AFB">
              <w:rPr>
                <w:szCs w:val="22"/>
              </w:rPr>
              <w:t>.</w:t>
            </w:r>
          </w:p>
          <w:p w14:paraId="5485ED59" w14:textId="3764AECB" w:rsidR="00DD4A30" w:rsidRPr="00DD4A30" w:rsidRDefault="00421377" w:rsidP="001F3741">
            <w:pPr>
              <w:spacing w:after="120"/>
              <w:jc w:val="both"/>
              <w:rPr>
                <w:szCs w:val="22"/>
              </w:rPr>
            </w:pPr>
            <w:r>
              <w:rPr>
                <w:szCs w:val="22"/>
              </w:rPr>
              <w:t>Padomei š</w:t>
            </w:r>
            <w:r w:rsidR="008D5AFB">
              <w:rPr>
                <w:szCs w:val="22"/>
              </w:rPr>
              <w:t>o finansējum</w:t>
            </w:r>
            <w:r>
              <w:rPr>
                <w:szCs w:val="22"/>
              </w:rPr>
              <w:t>u būs tiesības</w:t>
            </w:r>
            <w:r w:rsidR="008D5AFB">
              <w:rPr>
                <w:szCs w:val="22"/>
              </w:rPr>
              <w:t xml:space="preserve"> pārdal</w:t>
            </w:r>
            <w:r>
              <w:rPr>
                <w:szCs w:val="22"/>
              </w:rPr>
              <w:t>īt</w:t>
            </w:r>
            <w:r w:rsidR="00DD4A30" w:rsidRPr="00DD4A30">
              <w:rPr>
                <w:szCs w:val="22"/>
              </w:rPr>
              <w:t xml:space="preserve">, ja atbalsta saņēmējs saistībā ar īstenojamo projektu </w:t>
            </w:r>
            <w:r w:rsidR="008153AF">
              <w:rPr>
                <w:szCs w:val="22"/>
              </w:rPr>
              <w:t xml:space="preserve">līdz noteiktam termiņam </w:t>
            </w:r>
            <w:r w:rsidR="00DD4A30" w:rsidRPr="00DD4A30">
              <w:rPr>
                <w:szCs w:val="22"/>
              </w:rPr>
              <w:t>neiesnie</w:t>
            </w:r>
            <w:r w:rsidR="008D5AFB">
              <w:rPr>
                <w:szCs w:val="22"/>
              </w:rPr>
              <w:t>g</w:t>
            </w:r>
            <w:r>
              <w:rPr>
                <w:szCs w:val="22"/>
              </w:rPr>
              <w:t>s</w:t>
            </w:r>
            <w:r w:rsidR="00DD4A30" w:rsidRPr="00DD4A30">
              <w:rPr>
                <w:szCs w:val="22"/>
              </w:rPr>
              <w:t xml:space="preserve"> </w:t>
            </w:r>
            <w:r w:rsidR="008D5AFB">
              <w:rPr>
                <w:szCs w:val="22"/>
              </w:rPr>
              <w:t xml:space="preserve">Lauku atbalsta </w:t>
            </w:r>
            <w:r w:rsidR="00DD4A30" w:rsidRPr="00DD4A30">
              <w:rPr>
                <w:szCs w:val="22"/>
              </w:rPr>
              <w:t>dienestā</w:t>
            </w:r>
            <w:r w:rsidR="008D5AFB">
              <w:rPr>
                <w:szCs w:val="22"/>
              </w:rPr>
              <w:t xml:space="preserve"> (turpmāk – dienests)</w:t>
            </w:r>
            <w:r w:rsidR="007A7521">
              <w:rPr>
                <w:szCs w:val="22"/>
              </w:rPr>
              <w:t xml:space="preserve"> </w:t>
            </w:r>
            <w:r w:rsidR="008153AF">
              <w:rPr>
                <w:szCs w:val="22"/>
              </w:rPr>
              <w:t>attiecīgus</w:t>
            </w:r>
            <w:r w:rsidR="007A7521">
              <w:rPr>
                <w:szCs w:val="22"/>
              </w:rPr>
              <w:t xml:space="preserve"> pārskatus</w:t>
            </w:r>
            <w:r w:rsidR="00DD4A30" w:rsidRPr="00DD4A30">
              <w:rPr>
                <w:szCs w:val="22"/>
              </w:rPr>
              <w:t xml:space="preserve">: </w:t>
            </w:r>
          </w:p>
          <w:p w14:paraId="30EF5742" w14:textId="0ABE799E" w:rsidR="00DD4A30" w:rsidRPr="00DD4A30" w:rsidRDefault="007A7521" w:rsidP="001F3741">
            <w:pPr>
              <w:spacing w:after="120"/>
              <w:jc w:val="both"/>
              <w:rPr>
                <w:szCs w:val="22"/>
              </w:rPr>
            </w:pPr>
            <w:r>
              <w:rPr>
                <w:szCs w:val="22"/>
              </w:rPr>
              <w:t>1)</w:t>
            </w:r>
            <w:r w:rsidR="008D5AFB">
              <w:rPr>
                <w:szCs w:val="22"/>
              </w:rPr>
              <w:t xml:space="preserve"> </w:t>
            </w:r>
            <w:r w:rsidR="00DD4A30" w:rsidRPr="00DD4A30">
              <w:rPr>
                <w:szCs w:val="22"/>
              </w:rPr>
              <w:t>pārskatu par Zivju fonda finansētā projekta īstenošanu un aktu par zivju mazuļu ielaišanu – divu nedēļu laikā pēc pēdējā projekta maksājuma, bet ne vēlāk kā līdz kārtējā gada 31.</w:t>
            </w:r>
            <w:r w:rsidR="00803BE0">
              <w:rPr>
                <w:szCs w:val="22"/>
              </w:rPr>
              <w:t xml:space="preserve"> </w:t>
            </w:r>
            <w:r w:rsidR="00DD4A30" w:rsidRPr="00DD4A30">
              <w:rPr>
                <w:szCs w:val="22"/>
              </w:rPr>
              <w:t xml:space="preserve">oktobrim, </w:t>
            </w:r>
            <w:r w:rsidR="00421377">
              <w:rPr>
                <w:szCs w:val="22"/>
              </w:rPr>
              <w:t>–</w:t>
            </w:r>
            <w:r w:rsidR="00DD4A30" w:rsidRPr="00DD4A30">
              <w:rPr>
                <w:szCs w:val="22"/>
              </w:rPr>
              <w:t xml:space="preserve"> ja atbalsts piešķirts zivju resursu pavairošanai un atražošanai publiskajās ūdenstilpēs un ūdenstilpēs, kurās zvejas tiesības pieder valstij, citās ūdenstilpēs, kas ir valsts vai pašvaldību īpašumā, kā arī privātajās upēs, kurās ir atļauta makšķerēšana, vēžošana vai zemūdens medības</w:t>
            </w:r>
            <w:r w:rsidR="008D5AFB">
              <w:rPr>
                <w:szCs w:val="22"/>
              </w:rPr>
              <w:t xml:space="preserve"> (turpmāk – zivju pavairošanas pasākums)</w:t>
            </w:r>
            <w:r>
              <w:rPr>
                <w:szCs w:val="22"/>
              </w:rPr>
              <w:t>;</w:t>
            </w:r>
          </w:p>
          <w:p w14:paraId="68F35657" w14:textId="31CC97F7" w:rsidR="00DD4A30" w:rsidRDefault="007A7521" w:rsidP="001F3741">
            <w:pPr>
              <w:spacing w:after="120"/>
              <w:jc w:val="both"/>
              <w:rPr>
                <w:szCs w:val="22"/>
              </w:rPr>
            </w:pPr>
            <w:r>
              <w:rPr>
                <w:szCs w:val="22"/>
              </w:rPr>
              <w:t>2)</w:t>
            </w:r>
            <w:r w:rsidR="008D5AFB">
              <w:rPr>
                <w:szCs w:val="22"/>
              </w:rPr>
              <w:t xml:space="preserve"> </w:t>
            </w:r>
            <w:r w:rsidR="00DD4A30" w:rsidRPr="00DD4A30">
              <w:rPr>
                <w:szCs w:val="22"/>
              </w:rPr>
              <w:t xml:space="preserve">pārskatu par Zivju fonda finansētā projekta īstenošanu – divu nedēļu laikā pēc pēdējā projekta maksājuma, bet ne </w:t>
            </w:r>
            <w:r w:rsidR="00DD4A30" w:rsidRPr="00DD4A30">
              <w:rPr>
                <w:szCs w:val="22"/>
              </w:rPr>
              <w:lastRenderedPageBreak/>
              <w:t xml:space="preserve">vēlāk kā līdz kārtējā gada </w:t>
            </w:r>
            <w:r w:rsidR="008153AF">
              <w:rPr>
                <w:szCs w:val="22"/>
              </w:rPr>
              <w:t>30</w:t>
            </w:r>
            <w:r w:rsidR="00DD4A30" w:rsidRPr="00DD4A30">
              <w:rPr>
                <w:szCs w:val="22"/>
              </w:rPr>
              <w:t>.</w:t>
            </w:r>
            <w:r w:rsidR="00803BE0">
              <w:rPr>
                <w:szCs w:val="22"/>
              </w:rPr>
              <w:t xml:space="preserve"> </w:t>
            </w:r>
            <w:r w:rsidR="008153AF">
              <w:rPr>
                <w:szCs w:val="22"/>
              </w:rPr>
              <w:t>novem</w:t>
            </w:r>
            <w:r w:rsidR="00DD4A30" w:rsidRPr="00DD4A30">
              <w:rPr>
                <w:szCs w:val="22"/>
              </w:rPr>
              <w:t xml:space="preserve">brim, </w:t>
            </w:r>
            <w:r w:rsidR="00421377">
              <w:rPr>
                <w:szCs w:val="22"/>
              </w:rPr>
              <w:t>–</w:t>
            </w:r>
            <w:r w:rsidR="00DD4A30" w:rsidRPr="00DD4A30">
              <w:rPr>
                <w:szCs w:val="22"/>
              </w:rPr>
              <w:t xml:space="preserve"> ja atbalsts piešķirts projektam, kas nav saistīts ar </w:t>
            </w:r>
            <w:r w:rsidR="008D5AFB">
              <w:rPr>
                <w:szCs w:val="22"/>
              </w:rPr>
              <w:t xml:space="preserve">zivju pavairošanas </w:t>
            </w:r>
            <w:r w:rsidR="00DD4A30" w:rsidRPr="00DD4A30">
              <w:rPr>
                <w:szCs w:val="22"/>
              </w:rPr>
              <w:t>pasākumu.</w:t>
            </w:r>
          </w:p>
          <w:p w14:paraId="0752EF95" w14:textId="53F1D355" w:rsidR="003F69F8" w:rsidRDefault="003F69F8" w:rsidP="001F3741">
            <w:pPr>
              <w:spacing w:after="120"/>
              <w:jc w:val="both"/>
              <w:rPr>
                <w:szCs w:val="22"/>
              </w:rPr>
            </w:pPr>
            <w:r w:rsidRPr="009E5054">
              <w:t xml:space="preserve">Tāpat noteikumu projekts paredz, ka </w:t>
            </w:r>
            <w:r w:rsidR="00421377" w:rsidRPr="009E5054">
              <w:t>situācijās, kad Zivju fonda padome, lai dotu pietiekamu laiku projektu kvalitatīvai īstenošanai, kārtējā gada otrajā pusgadā pieņem lēmumu par šo noteikumu 14.</w:t>
            </w:r>
            <w:r w:rsidR="00421377" w:rsidRPr="009E5054">
              <w:rPr>
                <w:vertAlign w:val="superscript"/>
              </w:rPr>
              <w:t>3</w:t>
            </w:r>
            <w:r w:rsidR="00421377" w:rsidRPr="009E5054">
              <w:t> punktā minētā finansējuma pārdali citam projektam vai izsludina jaunu projektu iesniegumu iesniegšanas kārtu</w:t>
            </w:r>
            <w:r w:rsidRPr="003F69F8">
              <w:rPr>
                <w:szCs w:val="22"/>
              </w:rPr>
              <w:t>,</w:t>
            </w:r>
            <w:r w:rsidR="008153AF">
              <w:rPr>
                <w:szCs w:val="22"/>
              </w:rPr>
              <w:t xml:space="preserve"> </w:t>
            </w:r>
            <w:r w:rsidR="00421377">
              <w:rPr>
                <w:szCs w:val="22"/>
              </w:rPr>
              <w:t xml:space="preserve">tā </w:t>
            </w:r>
            <w:r w:rsidRPr="003F69F8">
              <w:rPr>
                <w:szCs w:val="22"/>
              </w:rPr>
              <w:t>ir tiesīga ar savu lēmumu atbalsta saņēmējam</w:t>
            </w:r>
            <w:r>
              <w:rPr>
                <w:szCs w:val="22"/>
              </w:rPr>
              <w:t xml:space="preserve"> (izņemot zivju pavairošanas pasākuma atbalsta saņēmēj</w:t>
            </w:r>
            <w:r w:rsidR="00421377">
              <w:rPr>
                <w:szCs w:val="22"/>
              </w:rPr>
              <w:t>iem</w:t>
            </w:r>
            <w:r>
              <w:rPr>
                <w:szCs w:val="22"/>
              </w:rPr>
              <w:t>)</w:t>
            </w:r>
            <w:r w:rsidRPr="003F69F8">
              <w:rPr>
                <w:szCs w:val="22"/>
              </w:rPr>
              <w:t xml:space="preserve"> noteikt citu termiņu pārskata par Zivju fonda finansētā projekta īstenošanu iesniegšanai, bet ne vēlāku par kārtējā gada 15.</w:t>
            </w:r>
            <w:r w:rsidR="00803BE0">
              <w:rPr>
                <w:szCs w:val="22"/>
              </w:rPr>
              <w:t> </w:t>
            </w:r>
            <w:r w:rsidRPr="003F69F8">
              <w:rPr>
                <w:szCs w:val="22"/>
              </w:rPr>
              <w:t>decembri.</w:t>
            </w:r>
          </w:p>
          <w:p w14:paraId="77A02526" w14:textId="5179F4BA" w:rsidR="00895904" w:rsidRDefault="00421377" w:rsidP="001F3741">
            <w:pPr>
              <w:spacing w:after="120"/>
              <w:jc w:val="both"/>
              <w:rPr>
                <w:szCs w:val="22"/>
              </w:rPr>
            </w:pPr>
            <w:r>
              <w:rPr>
                <w:szCs w:val="22"/>
              </w:rPr>
              <w:t>Ie</w:t>
            </w:r>
            <w:r w:rsidR="003F69F8">
              <w:rPr>
                <w:szCs w:val="22"/>
              </w:rPr>
              <w:t>vēr</w:t>
            </w:r>
            <w:r>
              <w:rPr>
                <w:szCs w:val="22"/>
              </w:rPr>
              <w:t>ojot</w:t>
            </w:r>
            <w:r w:rsidR="003F69F8">
              <w:rPr>
                <w:szCs w:val="22"/>
              </w:rPr>
              <w:t xml:space="preserve"> plānot</w:t>
            </w:r>
            <w:r>
              <w:rPr>
                <w:szCs w:val="22"/>
              </w:rPr>
              <w:t>o</w:t>
            </w:r>
            <w:r w:rsidR="003F69F8">
              <w:rPr>
                <w:szCs w:val="22"/>
              </w:rPr>
              <w:t xml:space="preserve">s </w:t>
            </w:r>
            <w:r>
              <w:rPr>
                <w:szCs w:val="22"/>
              </w:rPr>
              <w:t>grozījumus</w:t>
            </w:r>
            <w:r w:rsidR="003F69F8">
              <w:rPr>
                <w:szCs w:val="22"/>
              </w:rPr>
              <w:t xml:space="preserve"> projektu īstenošanas termiņos, noteikumu projektā paredzēts arī mainīt </w:t>
            </w:r>
            <w:r w:rsidR="00BF2FCC">
              <w:rPr>
                <w:szCs w:val="22"/>
              </w:rPr>
              <w:t xml:space="preserve">noteikumu Nr.215 29.punktā minētos </w:t>
            </w:r>
            <w:r w:rsidR="003F69F8">
              <w:rPr>
                <w:szCs w:val="22"/>
              </w:rPr>
              <w:t>nosacījumus par projektu izmaksu attiecināmību.</w:t>
            </w:r>
            <w:r w:rsidR="00BF2FCC">
              <w:rPr>
                <w:szCs w:val="22"/>
              </w:rPr>
              <w:t xml:space="preserve"> Tādējādi par a</w:t>
            </w:r>
            <w:r w:rsidR="00BF2FCC" w:rsidRPr="00BF2FCC">
              <w:rPr>
                <w:szCs w:val="22"/>
              </w:rPr>
              <w:t>ttiecinām</w:t>
            </w:r>
            <w:r w:rsidR="00BF2FCC">
              <w:rPr>
                <w:szCs w:val="22"/>
              </w:rPr>
              <w:t>ām</w:t>
            </w:r>
            <w:r w:rsidR="00BF2FCC" w:rsidRPr="00BF2FCC">
              <w:rPr>
                <w:szCs w:val="22"/>
              </w:rPr>
              <w:t xml:space="preserve"> </w:t>
            </w:r>
            <w:r w:rsidR="00BF2FCC">
              <w:rPr>
                <w:szCs w:val="22"/>
              </w:rPr>
              <w:t>tiks uzskatītas</w:t>
            </w:r>
            <w:r w:rsidR="00BF2FCC" w:rsidRPr="00BF2FCC">
              <w:rPr>
                <w:szCs w:val="22"/>
              </w:rPr>
              <w:t xml:space="preserve"> tās projekta izmaksas, par kurām atbalsta saņēmējs </w:t>
            </w:r>
            <w:r w:rsidR="000C3229">
              <w:rPr>
                <w:szCs w:val="22"/>
              </w:rPr>
              <w:t>būs</w:t>
            </w:r>
            <w:r w:rsidR="00BF2FCC" w:rsidRPr="00BF2FCC">
              <w:rPr>
                <w:szCs w:val="22"/>
              </w:rPr>
              <w:t xml:space="preserve"> iesniedzis dienestā darījumu un samaksu apliecinošus dokumentus, ievērojot </w:t>
            </w:r>
            <w:r w:rsidR="00BF2FCC">
              <w:rPr>
                <w:szCs w:val="22"/>
              </w:rPr>
              <w:t xml:space="preserve">šo </w:t>
            </w:r>
            <w:r w:rsidR="00BF2FCC" w:rsidRPr="00BF2FCC">
              <w:rPr>
                <w:szCs w:val="22"/>
              </w:rPr>
              <w:t>noteikumu 14.</w:t>
            </w:r>
            <w:r w:rsidR="00BF2FCC" w:rsidRPr="0056035C">
              <w:rPr>
                <w:szCs w:val="22"/>
                <w:vertAlign w:val="superscript"/>
              </w:rPr>
              <w:t>3</w:t>
            </w:r>
            <w:r w:rsidR="00BF2FCC" w:rsidRPr="00BF2FCC">
              <w:rPr>
                <w:szCs w:val="22"/>
              </w:rPr>
              <w:t xml:space="preserve"> vai 14.</w:t>
            </w:r>
            <w:r w:rsidR="00BF2FCC" w:rsidRPr="0056035C">
              <w:rPr>
                <w:szCs w:val="22"/>
                <w:vertAlign w:val="superscript"/>
              </w:rPr>
              <w:t>4</w:t>
            </w:r>
            <w:r w:rsidR="00BF2FCC" w:rsidRPr="00BF2FCC">
              <w:rPr>
                <w:szCs w:val="22"/>
              </w:rPr>
              <w:t xml:space="preserve"> punktā minēto termiņu, izņemot stihisko nelaimju vai avāriju seku likvidācijas pasākumu</w:t>
            </w:r>
            <w:r w:rsidR="00BF2FCC">
              <w:rPr>
                <w:szCs w:val="22"/>
              </w:rPr>
              <w:t>.</w:t>
            </w:r>
            <w:r w:rsidR="000C3229">
              <w:rPr>
                <w:szCs w:val="22"/>
              </w:rPr>
              <w:t xml:space="preserve"> </w:t>
            </w:r>
            <w:r w:rsidR="009C3F05">
              <w:rPr>
                <w:szCs w:val="22"/>
              </w:rPr>
              <w:t>L</w:t>
            </w:r>
            <w:r w:rsidR="000C3229">
              <w:rPr>
                <w:szCs w:val="22"/>
              </w:rPr>
              <w:t xml:space="preserve">īdz šim visiem Zivju fonda pasākumiem, </w:t>
            </w:r>
            <w:r w:rsidR="000C3229" w:rsidRPr="00BF2FCC">
              <w:rPr>
                <w:szCs w:val="22"/>
              </w:rPr>
              <w:t>izņemot stihisko nelaimju vai avāriju seku likvidācijas pasākumu</w:t>
            </w:r>
            <w:r w:rsidR="000C3229">
              <w:rPr>
                <w:szCs w:val="22"/>
              </w:rPr>
              <w:t xml:space="preserve">, </w:t>
            </w:r>
            <w:r w:rsidR="009C3F05">
              <w:rPr>
                <w:szCs w:val="22"/>
              </w:rPr>
              <w:t>attiecīg</w:t>
            </w:r>
            <w:r w:rsidR="000C3229">
              <w:rPr>
                <w:szCs w:val="22"/>
              </w:rPr>
              <w:t xml:space="preserve">ais termiņš bija kārtējā gada </w:t>
            </w:r>
            <w:proofErr w:type="gramStart"/>
            <w:r w:rsidR="000C3229">
              <w:rPr>
                <w:szCs w:val="22"/>
              </w:rPr>
              <w:t>1.decembris</w:t>
            </w:r>
            <w:proofErr w:type="gramEnd"/>
            <w:r w:rsidR="000C3229">
              <w:rPr>
                <w:szCs w:val="22"/>
              </w:rPr>
              <w:t xml:space="preserve">, </w:t>
            </w:r>
            <w:r w:rsidR="009C3F05">
              <w:rPr>
                <w:szCs w:val="22"/>
              </w:rPr>
              <w:t>bet</w:t>
            </w:r>
            <w:r w:rsidR="000C3229">
              <w:rPr>
                <w:szCs w:val="22"/>
              </w:rPr>
              <w:t xml:space="preserve"> noteikumu projekts paredz, ka turpmāk zivju pavairošanas pasākumam tas būs kārtējā gada 31.</w:t>
            </w:r>
            <w:r w:rsidR="009C3F05">
              <w:rPr>
                <w:szCs w:val="22"/>
              </w:rPr>
              <w:t> </w:t>
            </w:r>
            <w:r w:rsidR="000C3229">
              <w:rPr>
                <w:szCs w:val="22"/>
              </w:rPr>
              <w:t xml:space="preserve">oktobris, </w:t>
            </w:r>
            <w:r w:rsidR="009C3F05">
              <w:rPr>
                <w:szCs w:val="22"/>
              </w:rPr>
              <w:t>savukārt</w:t>
            </w:r>
            <w:r w:rsidR="000C3229">
              <w:rPr>
                <w:szCs w:val="22"/>
              </w:rPr>
              <w:t xml:space="preserve"> pārējiem Zivju fonda pasākumiem, </w:t>
            </w:r>
            <w:r w:rsidR="000C3229" w:rsidRPr="00BF2FCC">
              <w:rPr>
                <w:szCs w:val="22"/>
              </w:rPr>
              <w:t>izņemot stihisko nelaimju vai avāriju seku likvidācijas pasākumu</w:t>
            </w:r>
            <w:r w:rsidR="000C3229">
              <w:rPr>
                <w:szCs w:val="22"/>
              </w:rPr>
              <w:t xml:space="preserve">, </w:t>
            </w:r>
            <w:r w:rsidR="009C3F05">
              <w:rPr>
                <w:szCs w:val="22"/>
              </w:rPr>
              <w:t xml:space="preserve">– </w:t>
            </w:r>
            <w:r w:rsidR="00074BCA">
              <w:rPr>
                <w:szCs w:val="22"/>
              </w:rPr>
              <w:t>3</w:t>
            </w:r>
            <w:r w:rsidR="000C3229">
              <w:rPr>
                <w:szCs w:val="22"/>
              </w:rPr>
              <w:t>0.</w:t>
            </w:r>
            <w:r w:rsidR="009C3F05">
              <w:rPr>
                <w:szCs w:val="22"/>
              </w:rPr>
              <w:t> </w:t>
            </w:r>
            <w:r w:rsidR="000C3229">
              <w:rPr>
                <w:szCs w:val="22"/>
              </w:rPr>
              <w:t>novembris</w:t>
            </w:r>
            <w:r w:rsidR="00643925">
              <w:rPr>
                <w:szCs w:val="22"/>
              </w:rPr>
              <w:t xml:space="preserve">. Tomēr, ja </w:t>
            </w:r>
            <w:r w:rsidR="00643925" w:rsidRPr="00643925">
              <w:rPr>
                <w:szCs w:val="22"/>
              </w:rPr>
              <w:t>Zivju fonda padome kārtējā gada otrajā pusgadā pieņem</w:t>
            </w:r>
            <w:r w:rsidR="00643925">
              <w:rPr>
                <w:szCs w:val="22"/>
              </w:rPr>
              <w:t>s</w:t>
            </w:r>
            <w:r w:rsidR="00643925" w:rsidRPr="00643925">
              <w:rPr>
                <w:szCs w:val="22"/>
              </w:rPr>
              <w:t xml:space="preserve"> lēmumu par šo noteikumu 14.</w:t>
            </w:r>
            <w:r w:rsidR="00643925" w:rsidRPr="0056035C">
              <w:rPr>
                <w:szCs w:val="22"/>
                <w:vertAlign w:val="superscript"/>
              </w:rPr>
              <w:t>3</w:t>
            </w:r>
            <w:r w:rsidR="00643925" w:rsidRPr="00643925">
              <w:rPr>
                <w:szCs w:val="22"/>
              </w:rPr>
              <w:t xml:space="preserve"> punktā minētā finansējuma pārdali citam projektam vai izsludin</w:t>
            </w:r>
            <w:r w:rsidR="00643925">
              <w:rPr>
                <w:szCs w:val="22"/>
              </w:rPr>
              <w:t>ās</w:t>
            </w:r>
            <w:r w:rsidR="00643925" w:rsidRPr="00643925">
              <w:rPr>
                <w:szCs w:val="22"/>
              </w:rPr>
              <w:t xml:space="preserve"> jaunu projektu iesniegumu iesniegšanas kārtu, tā </w:t>
            </w:r>
            <w:r w:rsidR="00643925">
              <w:rPr>
                <w:szCs w:val="22"/>
              </w:rPr>
              <w:t>būs</w:t>
            </w:r>
            <w:r w:rsidR="00643925" w:rsidRPr="00643925">
              <w:rPr>
                <w:szCs w:val="22"/>
              </w:rPr>
              <w:t xml:space="preserve"> tiesīga ar savu lēmumu atbalsta saņēmējam noteikt citu termiņu pārskata par Zivju fonda finansētā projekta īstenošanu iesniegšanai, nevis šo noteikumu 14.</w:t>
            </w:r>
            <w:r w:rsidR="00643925" w:rsidRPr="0056035C">
              <w:rPr>
                <w:szCs w:val="22"/>
                <w:vertAlign w:val="superscript"/>
              </w:rPr>
              <w:t>3</w:t>
            </w:r>
            <w:r w:rsidR="00643925" w:rsidRPr="00643925">
              <w:rPr>
                <w:szCs w:val="22"/>
              </w:rPr>
              <w:t>2.</w:t>
            </w:r>
            <w:r w:rsidR="009C3F05">
              <w:rPr>
                <w:szCs w:val="22"/>
              </w:rPr>
              <w:t> </w:t>
            </w:r>
            <w:r w:rsidR="00643925" w:rsidRPr="00643925">
              <w:rPr>
                <w:szCs w:val="22"/>
              </w:rPr>
              <w:t>apakšpunktā noteikto termiņu</w:t>
            </w:r>
            <w:r w:rsidR="00643925">
              <w:rPr>
                <w:szCs w:val="22"/>
              </w:rPr>
              <w:t xml:space="preserve"> (30.</w:t>
            </w:r>
            <w:r w:rsidR="009C3F05">
              <w:rPr>
                <w:szCs w:val="22"/>
              </w:rPr>
              <w:t> </w:t>
            </w:r>
            <w:r w:rsidR="00643925">
              <w:rPr>
                <w:szCs w:val="22"/>
              </w:rPr>
              <w:t>novembris)</w:t>
            </w:r>
            <w:r w:rsidR="00643925" w:rsidRPr="00643925">
              <w:rPr>
                <w:szCs w:val="22"/>
              </w:rPr>
              <w:t>, bet ne vēlāku par kārtējā gada 15.</w:t>
            </w:r>
            <w:r w:rsidR="009C3F05">
              <w:rPr>
                <w:szCs w:val="22"/>
              </w:rPr>
              <w:t> </w:t>
            </w:r>
            <w:r w:rsidR="00643925" w:rsidRPr="00643925">
              <w:rPr>
                <w:szCs w:val="22"/>
              </w:rPr>
              <w:t>decembri.</w:t>
            </w:r>
          </w:p>
          <w:p w14:paraId="76A8BFA1" w14:textId="63E3733A" w:rsidR="004842AA" w:rsidRPr="0098695D" w:rsidRDefault="004842AA" w:rsidP="001F3741">
            <w:pPr>
              <w:spacing w:after="120"/>
              <w:jc w:val="both"/>
              <w:rPr>
                <w:szCs w:val="22"/>
              </w:rPr>
            </w:pPr>
            <w:r>
              <w:rPr>
                <w:szCs w:val="22"/>
              </w:rPr>
              <w:t xml:space="preserve">Atbilstoši </w:t>
            </w:r>
            <w:r w:rsidRPr="004842AA">
              <w:rPr>
                <w:szCs w:val="22"/>
              </w:rPr>
              <w:t>likum</w:t>
            </w:r>
            <w:r>
              <w:rPr>
                <w:szCs w:val="22"/>
              </w:rPr>
              <w:t>a</w:t>
            </w:r>
            <w:r w:rsidR="00211D72">
              <w:rPr>
                <w:szCs w:val="22"/>
              </w:rPr>
              <w:t>m</w:t>
            </w:r>
            <w:r w:rsidRPr="004842AA">
              <w:rPr>
                <w:szCs w:val="22"/>
              </w:rPr>
              <w:t xml:space="preserve"> "Par Latvijas valsts ģerboni"</w:t>
            </w:r>
            <w:r>
              <w:rPr>
                <w:szCs w:val="22"/>
              </w:rPr>
              <w:t xml:space="preserve"> noteikumu projektā paredzēts svītrot Lauku atbalsta dienesta logo</w:t>
            </w:r>
            <w:r w:rsidR="00421377">
              <w:rPr>
                <w:szCs w:val="22"/>
              </w:rPr>
              <w:t>tipu</w:t>
            </w:r>
            <w:r>
              <w:rPr>
                <w:szCs w:val="22"/>
              </w:rPr>
              <w:t xml:space="preserve"> no noteikumu Nr.</w:t>
            </w:r>
            <w:r w:rsidR="00803BE0">
              <w:rPr>
                <w:szCs w:val="22"/>
              </w:rPr>
              <w:t xml:space="preserve"> </w:t>
            </w:r>
            <w:r>
              <w:rPr>
                <w:szCs w:val="22"/>
              </w:rPr>
              <w:t>215 1. un 6. pielikuma</w:t>
            </w:r>
            <w:r w:rsidR="00211D72" w:rsidRPr="009E5054">
              <w:t xml:space="preserve">, jo no </w:t>
            </w:r>
            <w:r w:rsidR="00211D72" w:rsidRPr="009E5054">
              <w:rPr>
                <w:rStyle w:val="Izteiksmgs"/>
                <w:b w:val="0"/>
              </w:rPr>
              <w:t>2015. gada 1. janv</w:t>
            </w:r>
            <w:r w:rsidR="00211D72" w:rsidRPr="009E5054">
              <w:rPr>
                <w:rStyle w:val="Izteiksmgs"/>
                <w:rFonts w:hint="eastAsia"/>
                <w:b w:val="0"/>
              </w:rPr>
              <w:t>ā</w:t>
            </w:r>
            <w:r w:rsidR="00211D72" w:rsidRPr="009E5054">
              <w:rPr>
                <w:rStyle w:val="Izteiksmgs"/>
                <w:b w:val="0"/>
              </w:rPr>
              <w:t>ra</w:t>
            </w:r>
            <w:r w:rsidR="00211D72" w:rsidRPr="009E5054">
              <w:t xml:space="preserve"> Ministru kabineta un t</w:t>
            </w:r>
            <w:r w:rsidR="00211D72" w:rsidRPr="009E5054">
              <w:rPr>
                <w:rFonts w:hint="eastAsia"/>
              </w:rPr>
              <w:t>ā</w:t>
            </w:r>
            <w:r w:rsidR="00211D72" w:rsidRPr="009E5054">
              <w:t xml:space="preserve"> padot</w:t>
            </w:r>
            <w:r w:rsidR="00211D72" w:rsidRPr="009E5054">
              <w:rPr>
                <w:rFonts w:hint="eastAsia"/>
              </w:rPr>
              <w:t>ī</w:t>
            </w:r>
            <w:r w:rsidR="00211D72" w:rsidRPr="009E5054">
              <w:t>bas iest</w:t>
            </w:r>
            <w:r w:rsidR="00211D72" w:rsidRPr="009E5054">
              <w:rPr>
                <w:rFonts w:hint="eastAsia"/>
              </w:rPr>
              <w:t>āž</w:t>
            </w:r>
            <w:r w:rsidR="00211D72" w:rsidRPr="009E5054">
              <w:t xml:space="preserve">u galvenais </w:t>
            </w:r>
            <w:r w:rsidR="00211D72" w:rsidRPr="009E5054">
              <w:rPr>
                <w:rStyle w:val="Izteiksmgs"/>
                <w:b w:val="0"/>
              </w:rPr>
              <w:t>vizu</w:t>
            </w:r>
            <w:r w:rsidR="00211D72" w:rsidRPr="009E5054">
              <w:rPr>
                <w:rStyle w:val="Izteiksmgs"/>
                <w:rFonts w:hint="eastAsia"/>
                <w:b w:val="0"/>
              </w:rPr>
              <w:t>ā</w:t>
            </w:r>
            <w:r w:rsidR="00211D72" w:rsidRPr="009E5054">
              <w:rPr>
                <w:rStyle w:val="Izteiksmgs"/>
                <w:b w:val="0"/>
              </w:rPr>
              <w:t>l</w:t>
            </w:r>
            <w:r w:rsidR="00211D72" w:rsidRPr="009E5054">
              <w:rPr>
                <w:rStyle w:val="Izteiksmgs"/>
                <w:rFonts w:hint="eastAsia"/>
                <w:b w:val="0"/>
              </w:rPr>
              <w:t>ā</w:t>
            </w:r>
            <w:r w:rsidR="00211D72" w:rsidRPr="009E5054">
              <w:rPr>
                <w:rStyle w:val="Izteiksmgs"/>
                <w:b w:val="0"/>
              </w:rPr>
              <w:t>s identit</w:t>
            </w:r>
            <w:r w:rsidR="00211D72" w:rsidRPr="009E5054">
              <w:rPr>
                <w:rStyle w:val="Izteiksmgs"/>
                <w:rFonts w:hint="eastAsia"/>
                <w:b w:val="0"/>
              </w:rPr>
              <w:t>ā</w:t>
            </w:r>
            <w:r w:rsidR="00211D72" w:rsidRPr="009E5054">
              <w:rPr>
                <w:rStyle w:val="Izteiksmgs"/>
                <w:b w:val="0"/>
              </w:rPr>
              <w:t xml:space="preserve">tes elements ir Latvijas </w:t>
            </w:r>
            <w:r w:rsidR="00211D72" w:rsidRPr="009E5054">
              <w:rPr>
                <w:rStyle w:val="Izteiksmgs"/>
                <w:rFonts w:hint="eastAsia"/>
                <w:b w:val="0"/>
              </w:rPr>
              <w:t>ģ</w:t>
            </w:r>
            <w:r w:rsidR="00211D72" w:rsidRPr="009E5054">
              <w:rPr>
                <w:rStyle w:val="Izteiksmgs"/>
                <w:b w:val="0"/>
              </w:rPr>
              <w:t>erbonis</w:t>
            </w:r>
            <w:r w:rsidR="00211D72" w:rsidRPr="009E5054">
              <w:t>, t</w:t>
            </w:r>
            <w:r w:rsidR="00211D72" w:rsidRPr="009E5054">
              <w:rPr>
                <w:rFonts w:hint="eastAsia"/>
              </w:rPr>
              <w:t>ā</w:t>
            </w:r>
            <w:r w:rsidR="00211D72" w:rsidRPr="009E5054">
              <w:t>d</w:t>
            </w:r>
            <w:r w:rsidR="00211D72" w:rsidRPr="009E5054">
              <w:rPr>
                <w:rFonts w:hint="eastAsia"/>
              </w:rPr>
              <w:t>ē</w:t>
            </w:r>
            <w:r w:rsidR="00211D72" w:rsidRPr="009E5054">
              <w:t>j</w:t>
            </w:r>
            <w:r w:rsidR="00211D72" w:rsidRPr="009E5054">
              <w:rPr>
                <w:rFonts w:hint="eastAsia"/>
              </w:rPr>
              <w:t>ā</w:t>
            </w:r>
            <w:r w:rsidR="00211D72" w:rsidRPr="009E5054">
              <w:t>di</w:t>
            </w:r>
            <w:r w:rsidR="00211D72" w:rsidRPr="009E5054">
              <w:rPr>
                <w:rFonts w:ascii="source_sans_proregular" w:hAnsi="source_sans_proregular" w:cs="Arial"/>
              </w:rPr>
              <w:t xml:space="preserve"> simboliz</w:t>
            </w:r>
            <w:r w:rsidR="00211D72" w:rsidRPr="009E5054">
              <w:rPr>
                <w:rFonts w:ascii="source_sans_proregular" w:hAnsi="source_sans_proregular" w:cs="Arial" w:hint="eastAsia"/>
              </w:rPr>
              <w:t>ē</w:t>
            </w:r>
            <w:r w:rsidR="00211D72" w:rsidRPr="009E5054">
              <w:rPr>
                <w:rFonts w:ascii="source_sans_proregular" w:hAnsi="source_sans_proregular" w:cs="Arial"/>
              </w:rPr>
              <w:t>jot valstisko funkciju, atbild</w:t>
            </w:r>
            <w:r w:rsidR="00211D72" w:rsidRPr="009E5054">
              <w:rPr>
                <w:rFonts w:ascii="source_sans_proregular" w:hAnsi="source_sans_proregular" w:cs="Arial" w:hint="eastAsia"/>
              </w:rPr>
              <w:t>ī</w:t>
            </w:r>
            <w:r w:rsidR="00211D72" w:rsidRPr="009E5054">
              <w:rPr>
                <w:rFonts w:ascii="source_sans_proregular" w:hAnsi="source_sans_proregular" w:cs="Arial"/>
              </w:rPr>
              <w:t>bu pret sabiedr</w:t>
            </w:r>
            <w:r w:rsidR="00211D72" w:rsidRPr="009E5054">
              <w:rPr>
                <w:rFonts w:ascii="source_sans_proregular" w:hAnsi="source_sans_proregular" w:cs="Arial" w:hint="eastAsia"/>
              </w:rPr>
              <w:t>ī</w:t>
            </w:r>
            <w:r w:rsidR="00211D72" w:rsidRPr="009E5054">
              <w:rPr>
                <w:rFonts w:ascii="source_sans_proregular" w:hAnsi="source_sans_proregular" w:cs="Arial"/>
              </w:rPr>
              <w:t>bu un valsts suverenit</w:t>
            </w:r>
            <w:r w:rsidR="00211D72" w:rsidRPr="009E5054">
              <w:rPr>
                <w:rFonts w:ascii="source_sans_proregular" w:hAnsi="source_sans_proregular" w:cs="Arial" w:hint="eastAsia"/>
              </w:rPr>
              <w:t>ā</w:t>
            </w:r>
            <w:r w:rsidR="00211D72" w:rsidRPr="009E5054">
              <w:rPr>
                <w:rFonts w:ascii="source_sans_proregular" w:hAnsi="source_sans_proregular" w:cs="Arial"/>
              </w:rPr>
              <w:t>ti.</w:t>
            </w:r>
          </w:p>
        </w:tc>
      </w:tr>
      <w:tr w:rsidR="00895904" w:rsidRPr="0098695D" w14:paraId="5BD9A3FE" w14:textId="77777777" w:rsidTr="008153AF">
        <w:trPr>
          <w:trHeight w:val="372"/>
          <w:tblCellSpacing w:w="15" w:type="dxa"/>
        </w:trPr>
        <w:tc>
          <w:tcPr>
            <w:tcW w:w="247" w:type="pct"/>
            <w:hideMark/>
          </w:tcPr>
          <w:p w14:paraId="3BFBC26E" w14:textId="77777777" w:rsidR="00895904" w:rsidRPr="0098695D" w:rsidRDefault="00895904" w:rsidP="00E63AE2">
            <w:pPr>
              <w:rPr>
                <w:szCs w:val="22"/>
              </w:rPr>
            </w:pPr>
            <w:r w:rsidRPr="0098695D">
              <w:rPr>
                <w:szCs w:val="22"/>
              </w:rPr>
              <w:lastRenderedPageBreak/>
              <w:t>3.</w:t>
            </w:r>
          </w:p>
        </w:tc>
        <w:tc>
          <w:tcPr>
            <w:tcW w:w="1509" w:type="pct"/>
            <w:hideMark/>
          </w:tcPr>
          <w:p w14:paraId="445EBF3E" w14:textId="77777777" w:rsidR="00895904" w:rsidRPr="0098695D" w:rsidRDefault="00895904" w:rsidP="00E63AE2">
            <w:pPr>
              <w:rPr>
                <w:szCs w:val="22"/>
              </w:rPr>
            </w:pPr>
            <w:r w:rsidRPr="0098695D">
              <w:rPr>
                <w:szCs w:val="22"/>
              </w:rPr>
              <w:t>Projekta izstrādē iesaistītās institūcijas</w:t>
            </w:r>
          </w:p>
        </w:tc>
        <w:tc>
          <w:tcPr>
            <w:tcW w:w="3178" w:type="pct"/>
            <w:hideMark/>
          </w:tcPr>
          <w:p w14:paraId="01DB79BB" w14:textId="1F987374" w:rsidR="00895904" w:rsidRPr="0098695D" w:rsidRDefault="00D22CF1" w:rsidP="00D22CF1">
            <w:pPr>
              <w:rPr>
                <w:szCs w:val="22"/>
              </w:rPr>
            </w:pPr>
            <w:r w:rsidRPr="0098695D">
              <w:rPr>
                <w:szCs w:val="22"/>
              </w:rPr>
              <w:t>Zemkopības ministrija</w:t>
            </w:r>
            <w:r w:rsidR="00421377">
              <w:rPr>
                <w:szCs w:val="22"/>
              </w:rPr>
              <w:t xml:space="preserve"> un</w:t>
            </w:r>
            <w:r w:rsidR="00211D72">
              <w:rPr>
                <w:szCs w:val="22"/>
              </w:rPr>
              <w:t xml:space="preserve"> Zivju fonda padome</w:t>
            </w:r>
          </w:p>
        </w:tc>
      </w:tr>
      <w:tr w:rsidR="00895904" w:rsidRPr="0098695D" w14:paraId="30F3FD91" w14:textId="77777777" w:rsidTr="008153AF">
        <w:trPr>
          <w:tblCellSpacing w:w="15" w:type="dxa"/>
        </w:trPr>
        <w:tc>
          <w:tcPr>
            <w:tcW w:w="247" w:type="pct"/>
            <w:hideMark/>
          </w:tcPr>
          <w:p w14:paraId="477535CB" w14:textId="77777777" w:rsidR="00895904" w:rsidRPr="0098695D" w:rsidRDefault="00895904" w:rsidP="00E63AE2">
            <w:pPr>
              <w:rPr>
                <w:szCs w:val="22"/>
              </w:rPr>
            </w:pPr>
            <w:r w:rsidRPr="0098695D">
              <w:rPr>
                <w:szCs w:val="22"/>
              </w:rPr>
              <w:t>4.</w:t>
            </w:r>
          </w:p>
        </w:tc>
        <w:tc>
          <w:tcPr>
            <w:tcW w:w="1509" w:type="pct"/>
            <w:hideMark/>
          </w:tcPr>
          <w:p w14:paraId="769D9A83" w14:textId="77777777" w:rsidR="00895904" w:rsidRPr="0098695D" w:rsidRDefault="00895904" w:rsidP="00E63AE2">
            <w:pPr>
              <w:rPr>
                <w:szCs w:val="22"/>
              </w:rPr>
            </w:pPr>
            <w:r w:rsidRPr="0098695D">
              <w:rPr>
                <w:szCs w:val="22"/>
              </w:rPr>
              <w:t>Cita informācija</w:t>
            </w:r>
          </w:p>
        </w:tc>
        <w:tc>
          <w:tcPr>
            <w:tcW w:w="3178" w:type="pct"/>
            <w:hideMark/>
          </w:tcPr>
          <w:p w14:paraId="173D97C4" w14:textId="77777777" w:rsidR="00895904" w:rsidRPr="0098695D" w:rsidRDefault="0049316C" w:rsidP="0075055C">
            <w:pPr>
              <w:spacing w:before="100" w:beforeAutospacing="1" w:after="100" w:afterAutospacing="1"/>
              <w:rPr>
                <w:szCs w:val="22"/>
              </w:rPr>
            </w:pPr>
            <w:r w:rsidRPr="0098695D">
              <w:rPr>
                <w:szCs w:val="22"/>
              </w:rPr>
              <w:t>Nav.</w:t>
            </w:r>
          </w:p>
        </w:tc>
      </w:tr>
    </w:tbl>
    <w:p w14:paraId="1B536278" w14:textId="77777777" w:rsidR="00895904" w:rsidRPr="0034630B" w:rsidRDefault="00895904" w:rsidP="00895904">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3"/>
        <w:gridCol w:w="2765"/>
        <w:gridCol w:w="5807"/>
      </w:tblGrid>
      <w:tr w:rsidR="00895904" w:rsidRPr="0098695D" w14:paraId="263D3AFD" w14:textId="77777777" w:rsidTr="00E63AE2">
        <w:trPr>
          <w:trHeight w:val="444"/>
          <w:tblCellSpacing w:w="15" w:type="dxa"/>
        </w:trPr>
        <w:tc>
          <w:tcPr>
            <w:tcW w:w="0" w:type="auto"/>
            <w:gridSpan w:val="3"/>
            <w:vAlign w:val="center"/>
            <w:hideMark/>
          </w:tcPr>
          <w:p w14:paraId="68F5514F" w14:textId="77777777" w:rsidR="00895904" w:rsidRPr="0098695D" w:rsidRDefault="00895904" w:rsidP="00AC6491">
            <w:pPr>
              <w:jc w:val="center"/>
              <w:rPr>
                <w:b/>
                <w:bCs/>
                <w:szCs w:val="20"/>
              </w:rPr>
            </w:pPr>
            <w:r w:rsidRPr="0098695D">
              <w:rPr>
                <w:b/>
                <w:bCs/>
                <w:szCs w:val="20"/>
              </w:rPr>
              <w:t>II. Tiesību akta projekta ietekme uz sabiedrību, tautsaimniecības attīstību un administratīvo slogu</w:t>
            </w:r>
          </w:p>
        </w:tc>
      </w:tr>
      <w:tr w:rsidR="00895904" w:rsidRPr="0098695D" w14:paraId="02469262" w14:textId="77777777" w:rsidTr="008153AF">
        <w:trPr>
          <w:trHeight w:val="372"/>
          <w:tblCellSpacing w:w="15" w:type="dxa"/>
        </w:trPr>
        <w:tc>
          <w:tcPr>
            <w:tcW w:w="247" w:type="pct"/>
            <w:hideMark/>
          </w:tcPr>
          <w:p w14:paraId="160CB5FC" w14:textId="77777777" w:rsidR="00895904" w:rsidRPr="0098695D" w:rsidRDefault="00895904" w:rsidP="00E63AE2">
            <w:pPr>
              <w:rPr>
                <w:szCs w:val="20"/>
              </w:rPr>
            </w:pPr>
            <w:r w:rsidRPr="0098695D">
              <w:rPr>
                <w:szCs w:val="20"/>
              </w:rPr>
              <w:t>1.</w:t>
            </w:r>
          </w:p>
        </w:tc>
        <w:tc>
          <w:tcPr>
            <w:tcW w:w="1509" w:type="pct"/>
            <w:hideMark/>
          </w:tcPr>
          <w:p w14:paraId="00AE2F43" w14:textId="77777777" w:rsidR="00895904" w:rsidRPr="0098695D" w:rsidRDefault="00895904" w:rsidP="00E63AE2">
            <w:pPr>
              <w:rPr>
                <w:szCs w:val="20"/>
              </w:rPr>
            </w:pPr>
            <w:r w:rsidRPr="0098695D">
              <w:rPr>
                <w:szCs w:val="20"/>
              </w:rPr>
              <w:t>Sabiedrības mērķgrupas, kuras tiesiskais regulējums ietekmē vai varētu ietekmēt</w:t>
            </w:r>
          </w:p>
        </w:tc>
        <w:tc>
          <w:tcPr>
            <w:tcW w:w="3178" w:type="pct"/>
            <w:hideMark/>
          </w:tcPr>
          <w:p w14:paraId="3557BEFC" w14:textId="3691DD24" w:rsidR="00895904" w:rsidRPr="0098695D" w:rsidRDefault="005F42C2" w:rsidP="005F42C2">
            <w:pPr>
              <w:jc w:val="both"/>
              <w:rPr>
                <w:szCs w:val="20"/>
              </w:rPr>
            </w:pPr>
            <w:r>
              <w:rPr>
                <w:szCs w:val="22"/>
              </w:rPr>
              <w:t xml:space="preserve">Atbalsta saņēmēji </w:t>
            </w:r>
            <w:r w:rsidR="00421377">
              <w:rPr>
                <w:szCs w:val="22"/>
              </w:rPr>
              <w:t>–</w:t>
            </w:r>
            <w:r>
              <w:rPr>
                <w:szCs w:val="22"/>
              </w:rPr>
              <w:t xml:space="preserve"> </w:t>
            </w:r>
            <w:r w:rsidRPr="005F42C2">
              <w:rPr>
                <w:szCs w:val="22"/>
              </w:rPr>
              <w:t>valsts iestāde</w:t>
            </w:r>
            <w:r>
              <w:rPr>
                <w:szCs w:val="22"/>
              </w:rPr>
              <w:t>s</w:t>
            </w:r>
            <w:r w:rsidRPr="005F42C2">
              <w:rPr>
                <w:szCs w:val="22"/>
              </w:rPr>
              <w:t>, pašvaldība</w:t>
            </w:r>
            <w:r>
              <w:rPr>
                <w:szCs w:val="22"/>
              </w:rPr>
              <w:t>s</w:t>
            </w:r>
            <w:r w:rsidRPr="005F42C2">
              <w:rPr>
                <w:szCs w:val="22"/>
              </w:rPr>
              <w:t xml:space="preserve"> vai cita</w:t>
            </w:r>
            <w:r>
              <w:rPr>
                <w:szCs w:val="22"/>
              </w:rPr>
              <w:t>s</w:t>
            </w:r>
            <w:r w:rsidRPr="005F42C2">
              <w:rPr>
                <w:szCs w:val="22"/>
              </w:rPr>
              <w:t xml:space="preserve"> atvasināta</w:t>
            </w:r>
            <w:r>
              <w:rPr>
                <w:szCs w:val="22"/>
              </w:rPr>
              <w:t>s</w:t>
            </w:r>
            <w:r w:rsidRPr="005F42C2">
              <w:rPr>
                <w:szCs w:val="22"/>
              </w:rPr>
              <w:t xml:space="preserve"> publiska</w:t>
            </w:r>
            <w:r>
              <w:rPr>
                <w:szCs w:val="22"/>
              </w:rPr>
              <w:t>s</w:t>
            </w:r>
            <w:r w:rsidRPr="005F42C2">
              <w:rPr>
                <w:szCs w:val="22"/>
              </w:rPr>
              <w:t xml:space="preserve"> persona</w:t>
            </w:r>
            <w:r>
              <w:rPr>
                <w:szCs w:val="22"/>
              </w:rPr>
              <w:t xml:space="preserve">s, </w:t>
            </w:r>
            <w:r w:rsidRPr="005F42C2">
              <w:rPr>
                <w:szCs w:val="22"/>
              </w:rPr>
              <w:t>biedrība</w:t>
            </w:r>
            <w:r>
              <w:rPr>
                <w:szCs w:val="22"/>
              </w:rPr>
              <w:t>s</w:t>
            </w:r>
            <w:r w:rsidRPr="005F42C2">
              <w:rPr>
                <w:szCs w:val="22"/>
              </w:rPr>
              <w:t>, kur</w:t>
            </w:r>
            <w:r>
              <w:rPr>
                <w:szCs w:val="22"/>
              </w:rPr>
              <w:t>u</w:t>
            </w:r>
            <w:r w:rsidRPr="005F42C2">
              <w:rPr>
                <w:szCs w:val="22"/>
              </w:rPr>
              <w:t xml:space="preserve"> darbības mērķi saistīti ar zivju resursu izmantošanu un aizsardzību</w:t>
            </w:r>
            <w:r>
              <w:rPr>
                <w:szCs w:val="22"/>
              </w:rPr>
              <w:t>.</w:t>
            </w:r>
          </w:p>
        </w:tc>
      </w:tr>
      <w:tr w:rsidR="00895904" w:rsidRPr="0098695D" w14:paraId="08B12E24" w14:textId="77777777" w:rsidTr="008153AF">
        <w:trPr>
          <w:trHeight w:val="408"/>
          <w:tblCellSpacing w:w="15" w:type="dxa"/>
        </w:trPr>
        <w:tc>
          <w:tcPr>
            <w:tcW w:w="247" w:type="pct"/>
            <w:hideMark/>
          </w:tcPr>
          <w:p w14:paraId="686A677E" w14:textId="77777777" w:rsidR="00895904" w:rsidRPr="0098695D" w:rsidRDefault="00895904" w:rsidP="00E63AE2">
            <w:pPr>
              <w:rPr>
                <w:szCs w:val="20"/>
              </w:rPr>
            </w:pPr>
            <w:r w:rsidRPr="0098695D">
              <w:rPr>
                <w:szCs w:val="20"/>
              </w:rPr>
              <w:t>2.</w:t>
            </w:r>
          </w:p>
        </w:tc>
        <w:tc>
          <w:tcPr>
            <w:tcW w:w="1509" w:type="pct"/>
            <w:hideMark/>
          </w:tcPr>
          <w:p w14:paraId="55114393" w14:textId="77777777" w:rsidR="00895904" w:rsidRPr="0098695D" w:rsidRDefault="00895904" w:rsidP="00E63AE2">
            <w:pPr>
              <w:rPr>
                <w:szCs w:val="20"/>
              </w:rPr>
            </w:pPr>
            <w:r w:rsidRPr="0098695D">
              <w:rPr>
                <w:szCs w:val="20"/>
              </w:rPr>
              <w:t>Tiesiskā regulējuma ietekme uz tautsaimniecību un administratīvo slogu</w:t>
            </w:r>
          </w:p>
        </w:tc>
        <w:tc>
          <w:tcPr>
            <w:tcW w:w="3178" w:type="pct"/>
            <w:hideMark/>
          </w:tcPr>
          <w:p w14:paraId="125A3BB1" w14:textId="3656442E" w:rsidR="00A32E03" w:rsidRDefault="001B75E6" w:rsidP="001F3741">
            <w:pPr>
              <w:spacing w:after="120"/>
              <w:jc w:val="both"/>
              <w:rPr>
                <w:szCs w:val="22"/>
              </w:rPr>
            </w:pPr>
            <w:r>
              <w:rPr>
                <w:szCs w:val="22"/>
              </w:rPr>
              <w:t xml:space="preserve">Noteikumu projekta pieņemšana radīs iespēju disciplinēt atbalsta saņēmējus un ļaus uzlabot </w:t>
            </w:r>
            <w:r w:rsidRPr="00120AA5">
              <w:rPr>
                <w:szCs w:val="22"/>
              </w:rPr>
              <w:t>Zemkopības ministrijas apakšprogrammai "Zivju fonds" piešķirtā</w:t>
            </w:r>
            <w:r>
              <w:rPr>
                <w:szCs w:val="22"/>
              </w:rPr>
              <w:t>s</w:t>
            </w:r>
            <w:r w:rsidRPr="00120AA5">
              <w:rPr>
                <w:szCs w:val="22"/>
              </w:rPr>
              <w:t xml:space="preserve"> dotācija</w:t>
            </w:r>
            <w:r>
              <w:rPr>
                <w:szCs w:val="22"/>
              </w:rPr>
              <w:t>s mērķtiecīgu izlietojumu</w:t>
            </w:r>
            <w:r w:rsidR="00421377">
              <w:rPr>
                <w:szCs w:val="22"/>
              </w:rPr>
              <w:t>,</w:t>
            </w:r>
            <w:r>
              <w:rPr>
                <w:szCs w:val="22"/>
              </w:rPr>
              <w:t xml:space="preserve"> </w:t>
            </w:r>
            <w:r w:rsidR="001043FD">
              <w:rPr>
                <w:szCs w:val="22"/>
              </w:rPr>
              <w:t>ņemot vērā</w:t>
            </w:r>
            <w:r w:rsidR="009C3F05">
              <w:rPr>
                <w:szCs w:val="22"/>
              </w:rPr>
              <w:t xml:space="preserve"> to</w:t>
            </w:r>
            <w:r w:rsidR="001043FD">
              <w:rPr>
                <w:szCs w:val="22"/>
              </w:rPr>
              <w:t>, ka</w:t>
            </w:r>
            <w:r>
              <w:rPr>
                <w:szCs w:val="22"/>
              </w:rPr>
              <w:t xml:space="preserve"> š</w:t>
            </w:r>
            <w:r w:rsidR="008153AF">
              <w:rPr>
                <w:szCs w:val="22"/>
              </w:rPr>
              <w:t>o</w:t>
            </w:r>
            <w:r>
              <w:rPr>
                <w:szCs w:val="22"/>
              </w:rPr>
              <w:t xml:space="preserve"> dotācij</w:t>
            </w:r>
            <w:r w:rsidR="008153AF">
              <w:rPr>
                <w:szCs w:val="22"/>
              </w:rPr>
              <w:t>u</w:t>
            </w:r>
            <w:r>
              <w:rPr>
                <w:szCs w:val="22"/>
              </w:rPr>
              <w:t xml:space="preserve"> </w:t>
            </w:r>
            <w:r w:rsidR="008153AF">
              <w:rPr>
                <w:szCs w:val="22"/>
              </w:rPr>
              <w:t xml:space="preserve">nav iespējams </w:t>
            </w:r>
            <w:r>
              <w:rPr>
                <w:szCs w:val="22"/>
              </w:rPr>
              <w:t>pār</w:t>
            </w:r>
            <w:r w:rsidR="00421377">
              <w:rPr>
                <w:szCs w:val="22"/>
              </w:rPr>
              <w:t>celt</w:t>
            </w:r>
            <w:r>
              <w:rPr>
                <w:szCs w:val="22"/>
              </w:rPr>
              <w:t xml:space="preserve"> uz nākamo gadu.</w:t>
            </w:r>
          </w:p>
          <w:p w14:paraId="57198286" w14:textId="66F934C1" w:rsidR="001B75E6" w:rsidRPr="001B75E6" w:rsidRDefault="001B75E6">
            <w:pPr>
              <w:spacing w:before="120"/>
              <w:jc w:val="both"/>
              <w:rPr>
                <w:szCs w:val="22"/>
              </w:rPr>
            </w:pPr>
            <w:r w:rsidRPr="001B75E6">
              <w:rPr>
                <w:szCs w:val="22"/>
              </w:rPr>
              <w:t>Nedaudz palielināsies Zivju fonda atbalsta administrēšanas slogs, jo</w:t>
            </w:r>
            <w:r>
              <w:rPr>
                <w:szCs w:val="22"/>
              </w:rPr>
              <w:t xml:space="preserve"> </w:t>
            </w:r>
            <w:r w:rsidR="00D3472D">
              <w:rPr>
                <w:szCs w:val="22"/>
              </w:rPr>
              <w:t>dažkārt</w:t>
            </w:r>
            <w:r>
              <w:rPr>
                <w:szCs w:val="22"/>
              </w:rPr>
              <w:t xml:space="preserve"> </w:t>
            </w:r>
            <w:r w:rsidRPr="001B75E6">
              <w:rPr>
                <w:szCs w:val="22"/>
              </w:rPr>
              <w:t>atbalsta saņēmēja projektam apstiprināt</w:t>
            </w:r>
            <w:r>
              <w:rPr>
                <w:szCs w:val="22"/>
              </w:rPr>
              <w:t>ais</w:t>
            </w:r>
            <w:r w:rsidRPr="001B75E6">
              <w:rPr>
                <w:szCs w:val="22"/>
              </w:rPr>
              <w:t xml:space="preserve"> finansējum</w:t>
            </w:r>
            <w:r>
              <w:rPr>
                <w:szCs w:val="22"/>
              </w:rPr>
              <w:t xml:space="preserve">s </w:t>
            </w:r>
            <w:r w:rsidR="00D3472D">
              <w:rPr>
                <w:szCs w:val="22"/>
              </w:rPr>
              <w:t xml:space="preserve">būs jāpārdala </w:t>
            </w:r>
            <w:r>
              <w:rPr>
                <w:szCs w:val="22"/>
              </w:rPr>
              <w:t>citiem projektiem.</w:t>
            </w:r>
            <w:r w:rsidR="00041D62">
              <w:rPr>
                <w:szCs w:val="22"/>
              </w:rPr>
              <w:t xml:space="preserve"> </w:t>
            </w:r>
            <w:r w:rsidRPr="001B75E6">
              <w:rPr>
                <w:szCs w:val="22"/>
              </w:rPr>
              <w:t>Administratīvā sloga palielināšanās paredzama dienestam (</w:t>
            </w:r>
            <w:r w:rsidR="00527676">
              <w:rPr>
                <w:szCs w:val="22"/>
              </w:rPr>
              <w:t xml:space="preserve">līgumu slēgšana ar atbalsta saņēmējiem un </w:t>
            </w:r>
            <w:r w:rsidRPr="001B75E6">
              <w:rPr>
                <w:szCs w:val="22"/>
              </w:rPr>
              <w:t>dokumentu pārbaude</w:t>
            </w:r>
            <w:r w:rsidR="00450CF5">
              <w:rPr>
                <w:szCs w:val="22"/>
              </w:rPr>
              <w:t>, piešķirtā finansējuma izmaksu administrēšana</w:t>
            </w:r>
            <w:r w:rsidRPr="001B75E6">
              <w:rPr>
                <w:szCs w:val="22"/>
              </w:rPr>
              <w:t>), padomei (lēmum</w:t>
            </w:r>
            <w:r w:rsidR="00527676">
              <w:rPr>
                <w:szCs w:val="22"/>
              </w:rPr>
              <w:t>u</w:t>
            </w:r>
            <w:r w:rsidRPr="001B75E6">
              <w:rPr>
                <w:szCs w:val="22"/>
              </w:rPr>
              <w:t xml:space="preserve"> pieņemšana</w:t>
            </w:r>
            <w:r w:rsidR="00527676">
              <w:rPr>
                <w:szCs w:val="22"/>
              </w:rPr>
              <w:t xml:space="preserve"> par finansējuma pārdali</w:t>
            </w:r>
            <w:r w:rsidRPr="001B75E6">
              <w:rPr>
                <w:szCs w:val="22"/>
              </w:rPr>
              <w:t>)</w:t>
            </w:r>
            <w:r w:rsidR="00450CF5">
              <w:rPr>
                <w:szCs w:val="22"/>
              </w:rPr>
              <w:t xml:space="preserve"> un</w:t>
            </w:r>
            <w:r w:rsidRPr="001B75E6">
              <w:rPr>
                <w:szCs w:val="22"/>
              </w:rPr>
              <w:t xml:space="preserve"> padomes sekretariātam (</w:t>
            </w:r>
            <w:r w:rsidR="00450CF5">
              <w:rPr>
                <w:szCs w:val="22"/>
              </w:rPr>
              <w:t>padomes lēmumu protokolēšana, atbalsta saņēmēju informēšana, saziņa ar dienestu</w:t>
            </w:r>
            <w:r w:rsidRPr="001B75E6">
              <w:rPr>
                <w:szCs w:val="22"/>
              </w:rPr>
              <w:t>).</w:t>
            </w:r>
            <w:r w:rsidR="008153AF">
              <w:rPr>
                <w:szCs w:val="22"/>
              </w:rPr>
              <w:t xml:space="preserve"> Tomēr netiek plānota papildu finansējuma nepieciešamība un minētās darbības tiks nodrošinātas </w:t>
            </w:r>
            <w:r w:rsidR="00D3472D">
              <w:rPr>
                <w:szCs w:val="22"/>
              </w:rPr>
              <w:t xml:space="preserve">no </w:t>
            </w:r>
            <w:r w:rsidR="008153AF">
              <w:rPr>
                <w:szCs w:val="22"/>
              </w:rPr>
              <w:t>dienestam un Zemkopības ministrijai piešķirtā valsts budžeta finansējuma.</w:t>
            </w:r>
          </w:p>
        </w:tc>
      </w:tr>
      <w:tr w:rsidR="00895904" w:rsidRPr="0098695D" w14:paraId="3C82FEF4" w14:textId="77777777" w:rsidTr="008153AF">
        <w:trPr>
          <w:trHeight w:val="408"/>
          <w:tblCellSpacing w:w="15" w:type="dxa"/>
        </w:trPr>
        <w:tc>
          <w:tcPr>
            <w:tcW w:w="247" w:type="pct"/>
            <w:hideMark/>
          </w:tcPr>
          <w:p w14:paraId="1043DE4B" w14:textId="77777777" w:rsidR="00895904" w:rsidRPr="0098695D" w:rsidRDefault="00895904" w:rsidP="00E63AE2">
            <w:pPr>
              <w:rPr>
                <w:szCs w:val="20"/>
              </w:rPr>
            </w:pPr>
            <w:r w:rsidRPr="0098695D">
              <w:rPr>
                <w:szCs w:val="20"/>
              </w:rPr>
              <w:t>3.</w:t>
            </w:r>
          </w:p>
        </w:tc>
        <w:tc>
          <w:tcPr>
            <w:tcW w:w="1509" w:type="pct"/>
            <w:hideMark/>
          </w:tcPr>
          <w:p w14:paraId="16B3941A" w14:textId="77777777" w:rsidR="00895904" w:rsidRPr="0098695D" w:rsidRDefault="00895904" w:rsidP="00E63AE2">
            <w:pPr>
              <w:rPr>
                <w:szCs w:val="20"/>
              </w:rPr>
            </w:pPr>
            <w:r w:rsidRPr="0098695D">
              <w:rPr>
                <w:szCs w:val="20"/>
              </w:rPr>
              <w:t>Administratīvo izmaksu monetārs novērtējums</w:t>
            </w:r>
          </w:p>
        </w:tc>
        <w:tc>
          <w:tcPr>
            <w:tcW w:w="3178" w:type="pct"/>
            <w:hideMark/>
          </w:tcPr>
          <w:p w14:paraId="02456D69" w14:textId="77777777" w:rsidR="00A32E03" w:rsidRPr="0098695D" w:rsidRDefault="001043FD" w:rsidP="004833FF">
            <w:pPr>
              <w:jc w:val="both"/>
              <w:rPr>
                <w:szCs w:val="20"/>
              </w:rPr>
            </w:pPr>
            <w:r w:rsidRPr="001043FD">
              <w:rPr>
                <w:szCs w:val="20"/>
              </w:rPr>
              <w:t xml:space="preserve">Administratīvo izmaksu novērtējums mērķgrupai, ko veido juridiskas personas, nepārsniedz 2000 </w:t>
            </w:r>
            <w:proofErr w:type="spellStart"/>
            <w:r w:rsidRPr="009E5054">
              <w:rPr>
                <w:i/>
                <w:szCs w:val="20"/>
              </w:rPr>
              <w:t>euro</w:t>
            </w:r>
            <w:proofErr w:type="spellEnd"/>
            <w:r w:rsidRPr="001043FD">
              <w:rPr>
                <w:szCs w:val="20"/>
              </w:rPr>
              <w:t xml:space="preserve"> gadā.</w:t>
            </w:r>
          </w:p>
        </w:tc>
      </w:tr>
      <w:tr w:rsidR="00895904" w:rsidRPr="0098695D" w14:paraId="728AC756" w14:textId="77777777" w:rsidTr="008153AF">
        <w:trPr>
          <w:trHeight w:val="276"/>
          <w:tblCellSpacing w:w="15" w:type="dxa"/>
        </w:trPr>
        <w:tc>
          <w:tcPr>
            <w:tcW w:w="247" w:type="pct"/>
            <w:hideMark/>
          </w:tcPr>
          <w:p w14:paraId="087BBE1F" w14:textId="77777777" w:rsidR="00895904" w:rsidRPr="0098695D" w:rsidRDefault="00895904" w:rsidP="00E63AE2">
            <w:pPr>
              <w:rPr>
                <w:szCs w:val="20"/>
              </w:rPr>
            </w:pPr>
            <w:r w:rsidRPr="0098695D">
              <w:rPr>
                <w:szCs w:val="20"/>
              </w:rPr>
              <w:t>4.</w:t>
            </w:r>
          </w:p>
        </w:tc>
        <w:tc>
          <w:tcPr>
            <w:tcW w:w="1509" w:type="pct"/>
            <w:hideMark/>
          </w:tcPr>
          <w:p w14:paraId="0E396FD3" w14:textId="77777777" w:rsidR="00895904" w:rsidRPr="0098695D" w:rsidRDefault="00895904" w:rsidP="00E63AE2">
            <w:pPr>
              <w:rPr>
                <w:szCs w:val="20"/>
              </w:rPr>
            </w:pPr>
            <w:r w:rsidRPr="0098695D">
              <w:rPr>
                <w:szCs w:val="20"/>
              </w:rPr>
              <w:t>Cita informācija</w:t>
            </w:r>
          </w:p>
        </w:tc>
        <w:tc>
          <w:tcPr>
            <w:tcW w:w="3178" w:type="pct"/>
            <w:hideMark/>
          </w:tcPr>
          <w:p w14:paraId="4C83ACD8" w14:textId="77777777" w:rsidR="00895904" w:rsidRPr="0098695D" w:rsidRDefault="001043FD" w:rsidP="00A81EFB">
            <w:pPr>
              <w:jc w:val="both"/>
              <w:rPr>
                <w:szCs w:val="20"/>
              </w:rPr>
            </w:pPr>
            <w:r>
              <w:rPr>
                <w:szCs w:val="20"/>
              </w:rPr>
              <w:t>Nav.</w:t>
            </w:r>
          </w:p>
        </w:tc>
      </w:tr>
    </w:tbl>
    <w:p w14:paraId="510E2B86" w14:textId="77777777" w:rsidR="00D4715C" w:rsidRDefault="00D4715C" w:rsidP="00895904">
      <w:pPr>
        <w:ind w:firstLine="301"/>
        <w:rPr>
          <w:i/>
          <w:iCs/>
        </w:rPr>
      </w:pPr>
    </w:p>
    <w:p w14:paraId="27A88222" w14:textId="0169C2D5" w:rsidR="00895904" w:rsidRPr="009E5054" w:rsidRDefault="00895904" w:rsidP="00895904">
      <w:pPr>
        <w:ind w:firstLine="301"/>
        <w:rPr>
          <w:i/>
          <w:sz w:val="28"/>
          <w:szCs w:val="28"/>
        </w:rPr>
      </w:pPr>
      <w:r w:rsidRPr="009E5054">
        <w:rPr>
          <w:i/>
          <w:iCs/>
          <w:sz w:val="28"/>
          <w:szCs w:val="28"/>
        </w:rPr>
        <w:t xml:space="preserve">Anotācijas </w:t>
      </w:r>
      <w:r w:rsidR="00DC0AFB" w:rsidRPr="009E5054">
        <w:rPr>
          <w:i/>
          <w:iCs/>
          <w:sz w:val="28"/>
          <w:szCs w:val="28"/>
        </w:rPr>
        <w:t>I</w:t>
      </w:r>
      <w:r w:rsidRPr="009E5054">
        <w:rPr>
          <w:i/>
          <w:iCs/>
          <w:sz w:val="28"/>
          <w:szCs w:val="28"/>
        </w:rPr>
        <w:t>I</w:t>
      </w:r>
      <w:r w:rsidR="00DC0AFB" w:rsidRPr="009E5054">
        <w:rPr>
          <w:i/>
          <w:iCs/>
          <w:sz w:val="28"/>
          <w:szCs w:val="28"/>
        </w:rPr>
        <w:t>I</w:t>
      </w:r>
      <w:r w:rsidR="00D3472D">
        <w:rPr>
          <w:i/>
          <w:iCs/>
          <w:sz w:val="28"/>
          <w:szCs w:val="28"/>
        </w:rPr>
        <w:t>–</w:t>
      </w:r>
      <w:r w:rsidR="00D4715C" w:rsidRPr="009E5054">
        <w:rPr>
          <w:i/>
          <w:iCs/>
          <w:sz w:val="28"/>
          <w:szCs w:val="28"/>
        </w:rPr>
        <w:t>V</w:t>
      </w:r>
      <w:r w:rsidRPr="009E5054">
        <w:rPr>
          <w:i/>
          <w:iCs/>
          <w:sz w:val="28"/>
          <w:szCs w:val="28"/>
        </w:rPr>
        <w:t xml:space="preserve"> </w:t>
      </w:r>
      <w:r w:rsidR="00525A5D" w:rsidRPr="009E5054">
        <w:rPr>
          <w:i/>
          <w:iCs/>
          <w:sz w:val="28"/>
          <w:szCs w:val="28"/>
        </w:rPr>
        <w:t xml:space="preserve">sadaļa </w:t>
      </w:r>
      <w:r w:rsidRPr="009E5054">
        <w:rPr>
          <w:i/>
          <w:iCs/>
          <w:sz w:val="28"/>
          <w:szCs w:val="28"/>
        </w:rPr>
        <w:t>– projekts š</w:t>
      </w:r>
      <w:r w:rsidR="00911AAE" w:rsidRPr="009E5054">
        <w:rPr>
          <w:i/>
          <w:iCs/>
          <w:sz w:val="28"/>
          <w:szCs w:val="28"/>
        </w:rPr>
        <w:t>o</w:t>
      </w:r>
      <w:r w:rsidRPr="009E5054">
        <w:rPr>
          <w:i/>
          <w:iCs/>
          <w:sz w:val="28"/>
          <w:szCs w:val="28"/>
        </w:rPr>
        <w:t xml:space="preserve"> jom</w:t>
      </w:r>
      <w:r w:rsidR="00911AAE" w:rsidRPr="009E5054">
        <w:rPr>
          <w:i/>
          <w:iCs/>
          <w:sz w:val="28"/>
          <w:szCs w:val="28"/>
        </w:rPr>
        <w:t>u</w:t>
      </w:r>
      <w:r w:rsidRPr="009E5054">
        <w:rPr>
          <w:i/>
          <w:iCs/>
          <w:sz w:val="28"/>
          <w:szCs w:val="28"/>
        </w:rPr>
        <w:t xml:space="preserve"> neskar.</w:t>
      </w:r>
      <w:r w:rsidRPr="009E5054">
        <w:rPr>
          <w:i/>
          <w:sz w:val="28"/>
          <w:szCs w:val="28"/>
        </w:rPr>
        <w:t> </w:t>
      </w:r>
    </w:p>
    <w:p w14:paraId="06950CA6" w14:textId="77777777" w:rsidR="00484000" w:rsidRDefault="00484000" w:rsidP="00895904">
      <w:pPr>
        <w:ind w:firstLine="301"/>
        <w:rPr>
          <w:sz w:val="22"/>
          <w:szCs w:val="22"/>
        </w:rPr>
      </w:pPr>
    </w:p>
    <w:tbl>
      <w:tblPr>
        <w:tblW w:w="90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351"/>
        <w:gridCol w:w="2909"/>
        <w:gridCol w:w="5787"/>
      </w:tblGrid>
      <w:tr w:rsidR="0098695D" w:rsidRPr="00592A2C" w14:paraId="36574861" w14:textId="77777777" w:rsidTr="008153AF">
        <w:trPr>
          <w:jc w:val="center"/>
        </w:trPr>
        <w:tc>
          <w:tcPr>
            <w:tcW w:w="9047" w:type="dxa"/>
            <w:gridSpan w:val="3"/>
          </w:tcPr>
          <w:p w14:paraId="1F12FBEC" w14:textId="77777777" w:rsidR="0098695D" w:rsidRPr="00592A2C" w:rsidRDefault="0098695D" w:rsidP="003A45BA">
            <w:pPr>
              <w:pStyle w:val="naisnod"/>
              <w:spacing w:before="0" w:after="0"/>
              <w:ind w:left="57" w:right="57"/>
            </w:pPr>
            <w:r w:rsidRPr="00592A2C">
              <w:t>VI. Sabiedrības līdzdalība un komunikācijas aktivitātes</w:t>
            </w:r>
          </w:p>
        </w:tc>
      </w:tr>
      <w:tr w:rsidR="0098695D" w:rsidRPr="00592A2C" w14:paraId="2A67FE5B" w14:textId="77777777" w:rsidTr="008153AF">
        <w:trPr>
          <w:trHeight w:val="553"/>
          <w:jc w:val="center"/>
        </w:trPr>
        <w:tc>
          <w:tcPr>
            <w:tcW w:w="351" w:type="dxa"/>
          </w:tcPr>
          <w:p w14:paraId="4D807B31" w14:textId="77777777" w:rsidR="0098695D" w:rsidRPr="00592A2C" w:rsidRDefault="0098695D" w:rsidP="003A45BA">
            <w:pPr>
              <w:pStyle w:val="naiskr"/>
              <w:spacing w:before="0" w:after="0"/>
              <w:ind w:left="57" w:right="57"/>
              <w:rPr>
                <w:bCs/>
              </w:rPr>
            </w:pPr>
            <w:r w:rsidRPr="00592A2C">
              <w:rPr>
                <w:bCs/>
              </w:rPr>
              <w:t>1.</w:t>
            </w:r>
          </w:p>
        </w:tc>
        <w:tc>
          <w:tcPr>
            <w:tcW w:w="2909" w:type="dxa"/>
          </w:tcPr>
          <w:p w14:paraId="5502EB5B" w14:textId="77777777" w:rsidR="0098695D" w:rsidRPr="00592A2C" w:rsidRDefault="0098695D" w:rsidP="003A45BA">
            <w:pPr>
              <w:pStyle w:val="naiskr"/>
              <w:tabs>
                <w:tab w:val="left" w:pos="170"/>
              </w:tabs>
              <w:spacing w:before="0" w:after="0"/>
              <w:ind w:left="57" w:right="57"/>
            </w:pPr>
            <w:r w:rsidRPr="00592A2C">
              <w:t>Plānotās sabiedrības līdzdalības un komunikācijas aktivitātes saistībā ar projektu</w:t>
            </w:r>
          </w:p>
        </w:tc>
        <w:tc>
          <w:tcPr>
            <w:tcW w:w="5787" w:type="dxa"/>
          </w:tcPr>
          <w:p w14:paraId="6C0BD2C1" w14:textId="77777777" w:rsidR="00D4715C" w:rsidRDefault="00D4715C" w:rsidP="003A45BA">
            <w:pPr>
              <w:pStyle w:val="Virsraksts1"/>
              <w:spacing w:before="0" w:beforeAutospacing="0" w:after="0" w:afterAutospacing="0"/>
              <w:jc w:val="both"/>
              <w:rPr>
                <w:b w:val="0"/>
                <w:sz w:val="24"/>
                <w:szCs w:val="24"/>
              </w:rPr>
            </w:pPr>
            <w:r>
              <w:rPr>
                <w:b w:val="0"/>
                <w:sz w:val="24"/>
                <w:szCs w:val="24"/>
              </w:rPr>
              <w:t>Noteikumu projekts apspriests Zivju fonda padomes 21.03.2017.</w:t>
            </w:r>
            <w:r w:rsidR="00BC21D2">
              <w:rPr>
                <w:b w:val="0"/>
                <w:sz w:val="24"/>
                <w:szCs w:val="24"/>
              </w:rPr>
              <w:t xml:space="preserve"> </w:t>
            </w:r>
            <w:r>
              <w:rPr>
                <w:b w:val="0"/>
                <w:sz w:val="24"/>
                <w:szCs w:val="24"/>
              </w:rPr>
              <w:t>sēdē.</w:t>
            </w:r>
          </w:p>
          <w:p w14:paraId="1CA12802" w14:textId="77777777" w:rsidR="0098695D" w:rsidRPr="004275EF" w:rsidRDefault="0098695D" w:rsidP="003A45BA">
            <w:pPr>
              <w:pStyle w:val="Virsraksts1"/>
              <w:spacing w:before="0" w:beforeAutospacing="0" w:after="0" w:afterAutospacing="0"/>
              <w:jc w:val="both"/>
              <w:rPr>
                <w:b w:val="0"/>
                <w:sz w:val="24"/>
                <w:szCs w:val="24"/>
              </w:rPr>
            </w:pPr>
            <w:r w:rsidRPr="004275EF">
              <w:rPr>
                <w:b w:val="0"/>
                <w:sz w:val="24"/>
                <w:szCs w:val="24"/>
              </w:rPr>
              <w:t xml:space="preserve">Informācija par Zemkopības ministrijas sagatavoto noteikumu projektu bija pieejama tīmekļa vietnē </w:t>
            </w:r>
            <w:hyperlink r:id="rId6" w:history="1">
              <w:r w:rsidRPr="004275EF">
                <w:rPr>
                  <w:b w:val="0"/>
                  <w:sz w:val="24"/>
                  <w:szCs w:val="24"/>
                </w:rPr>
                <w:t>www.zm.gov.lv</w:t>
              </w:r>
            </w:hyperlink>
            <w:r w:rsidRPr="004275EF">
              <w:rPr>
                <w:b w:val="0"/>
                <w:sz w:val="24"/>
                <w:szCs w:val="24"/>
              </w:rPr>
              <w:t xml:space="preserve"> no 201</w:t>
            </w:r>
            <w:r w:rsidR="00D4715C">
              <w:rPr>
                <w:b w:val="0"/>
                <w:sz w:val="24"/>
                <w:szCs w:val="24"/>
              </w:rPr>
              <w:t>7</w:t>
            </w:r>
            <w:r w:rsidRPr="004275EF">
              <w:rPr>
                <w:b w:val="0"/>
                <w:sz w:val="24"/>
                <w:szCs w:val="24"/>
              </w:rPr>
              <w:t>.</w:t>
            </w:r>
            <w:r w:rsidR="00BC21D2">
              <w:rPr>
                <w:b w:val="0"/>
                <w:sz w:val="24"/>
                <w:szCs w:val="24"/>
              </w:rPr>
              <w:t xml:space="preserve"> </w:t>
            </w:r>
            <w:r w:rsidRPr="004275EF">
              <w:rPr>
                <w:b w:val="0"/>
                <w:sz w:val="24"/>
                <w:szCs w:val="24"/>
              </w:rPr>
              <w:t xml:space="preserve">gada </w:t>
            </w:r>
            <w:r w:rsidR="00155385">
              <w:rPr>
                <w:b w:val="0"/>
                <w:sz w:val="24"/>
                <w:szCs w:val="24"/>
              </w:rPr>
              <w:t>6</w:t>
            </w:r>
            <w:r>
              <w:rPr>
                <w:b w:val="0"/>
                <w:sz w:val="24"/>
                <w:szCs w:val="24"/>
              </w:rPr>
              <w:t>.</w:t>
            </w:r>
            <w:r w:rsidR="00A81EFB">
              <w:rPr>
                <w:b w:val="0"/>
                <w:sz w:val="24"/>
                <w:szCs w:val="24"/>
              </w:rPr>
              <w:t> </w:t>
            </w:r>
            <w:r w:rsidRPr="004275EF">
              <w:rPr>
                <w:b w:val="0"/>
                <w:sz w:val="24"/>
                <w:szCs w:val="24"/>
              </w:rPr>
              <w:t xml:space="preserve">līdz </w:t>
            </w:r>
            <w:r w:rsidR="00155385">
              <w:rPr>
                <w:b w:val="0"/>
                <w:sz w:val="24"/>
                <w:szCs w:val="24"/>
              </w:rPr>
              <w:t>13.</w:t>
            </w:r>
            <w:r w:rsidR="00BC21D2">
              <w:rPr>
                <w:b w:val="0"/>
                <w:sz w:val="24"/>
                <w:szCs w:val="24"/>
              </w:rPr>
              <w:t xml:space="preserve"> </w:t>
            </w:r>
            <w:r w:rsidR="00155385">
              <w:rPr>
                <w:b w:val="0"/>
                <w:sz w:val="24"/>
                <w:szCs w:val="24"/>
              </w:rPr>
              <w:t>aprīlim</w:t>
            </w:r>
            <w:r w:rsidRPr="004275EF">
              <w:rPr>
                <w:b w:val="0"/>
                <w:sz w:val="24"/>
                <w:szCs w:val="24"/>
              </w:rPr>
              <w:t>.</w:t>
            </w:r>
          </w:p>
          <w:p w14:paraId="6D888BCC" w14:textId="77777777" w:rsidR="0098695D" w:rsidRPr="00592A2C" w:rsidRDefault="0098695D" w:rsidP="00D4715C">
            <w:pPr>
              <w:pStyle w:val="Virsraksts1"/>
              <w:spacing w:before="0" w:beforeAutospacing="0" w:after="0" w:afterAutospacing="0"/>
              <w:jc w:val="both"/>
              <w:rPr>
                <w:b w:val="0"/>
                <w:iCs/>
                <w:sz w:val="24"/>
                <w:szCs w:val="24"/>
              </w:rPr>
            </w:pPr>
            <w:r>
              <w:rPr>
                <w:b w:val="0"/>
                <w:sz w:val="24"/>
                <w:szCs w:val="24"/>
              </w:rPr>
              <w:t>P</w:t>
            </w:r>
            <w:r w:rsidRPr="004275EF">
              <w:rPr>
                <w:b w:val="0"/>
                <w:sz w:val="24"/>
                <w:szCs w:val="24"/>
              </w:rPr>
              <w:t xml:space="preserve">laša </w:t>
            </w:r>
            <w:r>
              <w:rPr>
                <w:b w:val="0"/>
                <w:sz w:val="24"/>
                <w:szCs w:val="24"/>
              </w:rPr>
              <w:t>n</w:t>
            </w:r>
            <w:r w:rsidRPr="004275EF">
              <w:rPr>
                <w:b w:val="0"/>
                <w:sz w:val="24"/>
                <w:szCs w:val="24"/>
              </w:rPr>
              <w:t xml:space="preserve">oteikumu projekta sabiedriskā apspriešana nav plānota, </w:t>
            </w:r>
            <w:r>
              <w:rPr>
                <w:b w:val="0"/>
                <w:sz w:val="24"/>
                <w:szCs w:val="24"/>
              </w:rPr>
              <w:t xml:space="preserve">jo </w:t>
            </w:r>
            <w:r w:rsidR="00D4715C">
              <w:rPr>
                <w:b w:val="0"/>
                <w:sz w:val="24"/>
                <w:szCs w:val="24"/>
              </w:rPr>
              <w:t>n</w:t>
            </w:r>
            <w:r>
              <w:rPr>
                <w:b w:val="0"/>
                <w:sz w:val="24"/>
                <w:szCs w:val="24"/>
              </w:rPr>
              <w:t xml:space="preserve">oteikumu projekts </w:t>
            </w:r>
            <w:r w:rsidRPr="0098695D">
              <w:rPr>
                <w:b w:val="0"/>
                <w:sz w:val="24"/>
                <w:szCs w:val="24"/>
              </w:rPr>
              <w:t xml:space="preserve">būtiski </w:t>
            </w:r>
            <w:r>
              <w:rPr>
                <w:b w:val="0"/>
                <w:sz w:val="24"/>
                <w:szCs w:val="24"/>
              </w:rPr>
              <w:t>ne</w:t>
            </w:r>
            <w:r w:rsidRPr="0098695D">
              <w:rPr>
                <w:b w:val="0"/>
                <w:sz w:val="24"/>
                <w:szCs w:val="24"/>
              </w:rPr>
              <w:t xml:space="preserve">maina esošo regulējumu </w:t>
            </w:r>
            <w:r>
              <w:rPr>
                <w:b w:val="0"/>
                <w:sz w:val="24"/>
                <w:szCs w:val="24"/>
              </w:rPr>
              <w:t>un</w:t>
            </w:r>
            <w:r w:rsidRPr="0098695D">
              <w:rPr>
                <w:b w:val="0"/>
                <w:sz w:val="24"/>
                <w:szCs w:val="24"/>
              </w:rPr>
              <w:t xml:space="preserve"> </w:t>
            </w:r>
            <w:r>
              <w:rPr>
                <w:b w:val="0"/>
                <w:sz w:val="24"/>
                <w:szCs w:val="24"/>
              </w:rPr>
              <w:t>ne</w:t>
            </w:r>
            <w:r w:rsidRPr="0098695D">
              <w:rPr>
                <w:b w:val="0"/>
                <w:sz w:val="24"/>
                <w:szCs w:val="24"/>
              </w:rPr>
              <w:t>paredz ieviest jaunas politiskās iniciatīvas.</w:t>
            </w:r>
          </w:p>
        </w:tc>
      </w:tr>
      <w:tr w:rsidR="0098695D" w:rsidRPr="00592A2C" w14:paraId="7EC76216" w14:textId="77777777" w:rsidTr="008153AF">
        <w:trPr>
          <w:trHeight w:val="339"/>
          <w:jc w:val="center"/>
        </w:trPr>
        <w:tc>
          <w:tcPr>
            <w:tcW w:w="351" w:type="dxa"/>
          </w:tcPr>
          <w:p w14:paraId="7295BC9A" w14:textId="77777777" w:rsidR="0098695D" w:rsidRPr="00592A2C" w:rsidRDefault="0098695D" w:rsidP="003A45BA">
            <w:pPr>
              <w:pStyle w:val="naiskr"/>
              <w:spacing w:before="0" w:after="0"/>
              <w:ind w:left="57" w:right="57"/>
              <w:rPr>
                <w:bCs/>
              </w:rPr>
            </w:pPr>
            <w:r w:rsidRPr="00592A2C">
              <w:rPr>
                <w:bCs/>
              </w:rPr>
              <w:t>2.</w:t>
            </w:r>
          </w:p>
        </w:tc>
        <w:tc>
          <w:tcPr>
            <w:tcW w:w="2909" w:type="dxa"/>
          </w:tcPr>
          <w:p w14:paraId="75714E16" w14:textId="77777777" w:rsidR="0098695D" w:rsidRPr="00592A2C" w:rsidRDefault="0098695D" w:rsidP="003A45BA">
            <w:pPr>
              <w:pStyle w:val="naiskr"/>
              <w:spacing w:before="0" w:after="0"/>
              <w:ind w:left="57" w:right="57"/>
            </w:pPr>
            <w:r w:rsidRPr="00592A2C">
              <w:t xml:space="preserve">Sabiedrības līdzdalība projekta izstrādē </w:t>
            </w:r>
          </w:p>
        </w:tc>
        <w:tc>
          <w:tcPr>
            <w:tcW w:w="5787" w:type="dxa"/>
          </w:tcPr>
          <w:p w14:paraId="7D8BFF20" w14:textId="155458EA" w:rsidR="0098695D" w:rsidRPr="001F3741" w:rsidRDefault="00D4715C" w:rsidP="00155385">
            <w:pPr>
              <w:pStyle w:val="Virsraksts1"/>
              <w:spacing w:before="0" w:beforeAutospacing="0" w:after="0" w:afterAutospacing="0"/>
              <w:jc w:val="both"/>
              <w:rPr>
                <w:b w:val="0"/>
                <w:sz w:val="24"/>
                <w:szCs w:val="24"/>
              </w:rPr>
            </w:pPr>
            <w:r w:rsidRPr="00D4715C">
              <w:rPr>
                <w:b w:val="0"/>
                <w:sz w:val="24"/>
                <w:szCs w:val="24"/>
              </w:rPr>
              <w:t>Noteikumu projekta izstrādes gaitā notikušas konsultācijas ar Zivju fonda padomi, kuras sastāvā ir valsts institūciju pārstāvji, biedrības „Latvijas Pašvaldību savienība” pārstāvis, kā arī Latvijas zvejniekus un makšķerniekus pārstāvošo nevalstisko organizāciju pārstāvji.</w:t>
            </w:r>
          </w:p>
        </w:tc>
      </w:tr>
      <w:tr w:rsidR="0098695D" w:rsidRPr="00592A2C" w14:paraId="0E00CB25" w14:textId="77777777" w:rsidTr="008153AF">
        <w:trPr>
          <w:trHeight w:val="375"/>
          <w:jc w:val="center"/>
        </w:trPr>
        <w:tc>
          <w:tcPr>
            <w:tcW w:w="351" w:type="dxa"/>
          </w:tcPr>
          <w:p w14:paraId="420AE2BF" w14:textId="77777777" w:rsidR="0098695D" w:rsidRPr="00592A2C" w:rsidRDefault="0098695D" w:rsidP="003A45BA">
            <w:pPr>
              <w:pStyle w:val="naiskr"/>
              <w:spacing w:before="0" w:after="0"/>
              <w:ind w:left="57" w:right="57"/>
              <w:rPr>
                <w:bCs/>
              </w:rPr>
            </w:pPr>
            <w:r w:rsidRPr="00592A2C">
              <w:rPr>
                <w:bCs/>
              </w:rPr>
              <w:t>3.</w:t>
            </w:r>
          </w:p>
        </w:tc>
        <w:tc>
          <w:tcPr>
            <w:tcW w:w="2909" w:type="dxa"/>
          </w:tcPr>
          <w:p w14:paraId="36A9A3DC" w14:textId="77777777" w:rsidR="0098695D" w:rsidRPr="00592A2C" w:rsidRDefault="0098695D" w:rsidP="003A45BA">
            <w:pPr>
              <w:pStyle w:val="naiskr"/>
              <w:spacing w:before="0" w:after="0"/>
              <w:ind w:left="57" w:right="57"/>
            </w:pPr>
            <w:r w:rsidRPr="00592A2C">
              <w:t xml:space="preserve">Sabiedrības līdzdalības rezultāti </w:t>
            </w:r>
          </w:p>
        </w:tc>
        <w:tc>
          <w:tcPr>
            <w:tcW w:w="5787" w:type="dxa"/>
          </w:tcPr>
          <w:p w14:paraId="25000D09" w14:textId="77777777" w:rsidR="0098695D" w:rsidRPr="008E02CB" w:rsidRDefault="0098695D" w:rsidP="003A45BA">
            <w:pPr>
              <w:pStyle w:val="naiskr"/>
              <w:spacing w:before="0" w:after="0"/>
              <w:ind w:left="57" w:right="57"/>
              <w:jc w:val="both"/>
              <w:rPr>
                <w:b/>
                <w:bCs/>
                <w:i/>
              </w:rPr>
            </w:pPr>
            <w:r w:rsidRPr="004275EF">
              <w:t>Sabiedriskās apspriešanas laikā iebildumi un priekšlikumi par noteikumu projektu netika saņemti</w:t>
            </w:r>
            <w:r w:rsidRPr="00B551B7">
              <w:t>.</w:t>
            </w:r>
            <w:r w:rsidRPr="00B551B7">
              <w:rPr>
                <w:b/>
                <w:bCs/>
                <w:i/>
              </w:rPr>
              <w:t xml:space="preserve"> </w:t>
            </w:r>
          </w:p>
        </w:tc>
      </w:tr>
      <w:tr w:rsidR="0098695D" w:rsidRPr="00592A2C" w14:paraId="3B222B33" w14:textId="77777777" w:rsidTr="008153AF">
        <w:trPr>
          <w:trHeight w:val="369"/>
          <w:jc w:val="center"/>
        </w:trPr>
        <w:tc>
          <w:tcPr>
            <w:tcW w:w="351" w:type="dxa"/>
          </w:tcPr>
          <w:p w14:paraId="4F7DF8BF" w14:textId="77777777" w:rsidR="0098695D" w:rsidRPr="00592A2C" w:rsidRDefault="0098695D" w:rsidP="003A45BA">
            <w:pPr>
              <w:pStyle w:val="naiskr"/>
              <w:spacing w:before="0" w:after="0"/>
              <w:ind w:left="57" w:right="57"/>
              <w:rPr>
                <w:bCs/>
              </w:rPr>
            </w:pPr>
            <w:r w:rsidRPr="00592A2C">
              <w:rPr>
                <w:bCs/>
              </w:rPr>
              <w:t>4.</w:t>
            </w:r>
          </w:p>
        </w:tc>
        <w:tc>
          <w:tcPr>
            <w:tcW w:w="2909" w:type="dxa"/>
          </w:tcPr>
          <w:p w14:paraId="2EBC9AF8" w14:textId="77777777" w:rsidR="0098695D" w:rsidRPr="00592A2C" w:rsidRDefault="0098695D" w:rsidP="003A45BA">
            <w:pPr>
              <w:pStyle w:val="naiskr"/>
              <w:spacing w:before="0" w:after="0"/>
              <w:ind w:left="57" w:right="57"/>
            </w:pPr>
            <w:r w:rsidRPr="00592A2C">
              <w:t>Cita informācija</w:t>
            </w:r>
          </w:p>
        </w:tc>
        <w:tc>
          <w:tcPr>
            <w:tcW w:w="5787" w:type="dxa"/>
          </w:tcPr>
          <w:p w14:paraId="1491DEEF" w14:textId="77777777" w:rsidR="0098695D" w:rsidRPr="004275EF" w:rsidRDefault="0098695D" w:rsidP="003A45BA">
            <w:pPr>
              <w:pStyle w:val="naiskr"/>
              <w:spacing w:before="0" w:after="0"/>
              <w:ind w:left="57" w:right="57"/>
              <w:jc w:val="both"/>
            </w:pPr>
            <w:r w:rsidRPr="004275EF">
              <w:t>Nav.</w:t>
            </w:r>
          </w:p>
        </w:tc>
      </w:tr>
    </w:tbl>
    <w:p w14:paraId="28E01C18" w14:textId="77777777" w:rsidR="0098695D" w:rsidRPr="00EB09A4" w:rsidRDefault="0098695D" w:rsidP="00895904">
      <w:pPr>
        <w:rPr>
          <w:sz w:val="22"/>
          <w:szCs w:val="22"/>
        </w:rPr>
      </w:pPr>
    </w:p>
    <w:tbl>
      <w:tblPr>
        <w:tblpPr w:leftFromText="180" w:rightFromText="180" w:vertAnchor="text" w:horzAnchor="margin" w:tblpX="-49" w:tblpY="113"/>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9"/>
        <w:gridCol w:w="3264"/>
        <w:gridCol w:w="5228"/>
      </w:tblGrid>
      <w:tr w:rsidR="0098695D" w:rsidRPr="00592A2C" w14:paraId="4FEEF989" w14:textId="77777777" w:rsidTr="008153AF">
        <w:tc>
          <w:tcPr>
            <w:tcW w:w="5000" w:type="pct"/>
            <w:gridSpan w:val="3"/>
          </w:tcPr>
          <w:p w14:paraId="38A29305" w14:textId="77777777" w:rsidR="0098695D" w:rsidRPr="00592A2C" w:rsidRDefault="0098695D" w:rsidP="008153AF">
            <w:pPr>
              <w:jc w:val="center"/>
              <w:rPr>
                <w:b/>
                <w:bCs/>
                <w:color w:val="000000"/>
              </w:rPr>
            </w:pPr>
            <w:r w:rsidRPr="00592A2C">
              <w:rPr>
                <w:b/>
                <w:bCs/>
                <w:color w:val="000000"/>
              </w:rPr>
              <w:lastRenderedPageBreak/>
              <w:t>VII. Tiesību akta projekta izpildes nodrošināšana un tās ietekme uz institūcijām</w:t>
            </w:r>
          </w:p>
        </w:tc>
      </w:tr>
      <w:tr w:rsidR="0098695D" w:rsidRPr="00592A2C" w14:paraId="3F0783CD" w14:textId="77777777" w:rsidTr="001F3741">
        <w:tc>
          <w:tcPr>
            <w:tcW w:w="304" w:type="pct"/>
          </w:tcPr>
          <w:p w14:paraId="1DE7EAFE" w14:textId="77777777" w:rsidR="0098695D" w:rsidRPr="00592A2C" w:rsidRDefault="0098695D" w:rsidP="008153AF">
            <w:pPr>
              <w:rPr>
                <w:color w:val="000000"/>
              </w:rPr>
            </w:pPr>
            <w:r w:rsidRPr="00592A2C">
              <w:rPr>
                <w:color w:val="000000"/>
              </w:rPr>
              <w:t>1.</w:t>
            </w:r>
          </w:p>
        </w:tc>
        <w:tc>
          <w:tcPr>
            <w:tcW w:w="1805" w:type="pct"/>
          </w:tcPr>
          <w:p w14:paraId="652ECD2A" w14:textId="77777777" w:rsidR="0098695D" w:rsidRPr="00592A2C" w:rsidRDefault="0098695D" w:rsidP="008153AF">
            <w:pPr>
              <w:rPr>
                <w:color w:val="000000"/>
              </w:rPr>
            </w:pPr>
            <w:r w:rsidRPr="00592A2C">
              <w:rPr>
                <w:color w:val="000000"/>
              </w:rPr>
              <w:t>Projekta izpildē iesaistītās institūcijas</w:t>
            </w:r>
          </w:p>
        </w:tc>
        <w:tc>
          <w:tcPr>
            <w:tcW w:w="2891" w:type="pct"/>
          </w:tcPr>
          <w:p w14:paraId="4F81BB9E" w14:textId="08A17528" w:rsidR="0098695D" w:rsidRPr="00592A2C" w:rsidRDefault="0098695D" w:rsidP="001F3741">
            <w:pPr>
              <w:jc w:val="both"/>
              <w:rPr>
                <w:color w:val="000000"/>
              </w:rPr>
            </w:pPr>
            <w:r w:rsidRPr="00592A2C">
              <w:t>Zemkopības ministrija</w:t>
            </w:r>
            <w:r w:rsidR="00063069">
              <w:t>, Lauku atbalsta dienests</w:t>
            </w:r>
            <w:r w:rsidR="00D3472D">
              <w:t xml:space="preserve"> un</w:t>
            </w:r>
            <w:r w:rsidR="00BC21D2">
              <w:t xml:space="preserve"> </w:t>
            </w:r>
            <w:r w:rsidR="00BC21D2">
              <w:rPr>
                <w:szCs w:val="22"/>
              </w:rPr>
              <w:t>Zivju fonda padome</w:t>
            </w:r>
          </w:p>
        </w:tc>
      </w:tr>
      <w:tr w:rsidR="0098695D" w:rsidRPr="00592A2C" w14:paraId="72FC0028" w14:textId="77777777" w:rsidTr="001F3741">
        <w:tc>
          <w:tcPr>
            <w:tcW w:w="304" w:type="pct"/>
          </w:tcPr>
          <w:p w14:paraId="1E581C6D" w14:textId="77777777" w:rsidR="0098695D" w:rsidRPr="00592A2C" w:rsidRDefault="0098695D" w:rsidP="008153AF">
            <w:pPr>
              <w:rPr>
                <w:color w:val="000000"/>
              </w:rPr>
            </w:pPr>
            <w:r w:rsidRPr="00592A2C">
              <w:rPr>
                <w:color w:val="000000"/>
              </w:rPr>
              <w:t>2.</w:t>
            </w:r>
          </w:p>
        </w:tc>
        <w:tc>
          <w:tcPr>
            <w:tcW w:w="1805" w:type="pct"/>
          </w:tcPr>
          <w:p w14:paraId="354749FB" w14:textId="77777777" w:rsidR="0098695D" w:rsidRPr="00592A2C" w:rsidRDefault="0098695D" w:rsidP="008153AF">
            <w:pPr>
              <w:rPr>
                <w:color w:val="000000"/>
              </w:rPr>
            </w:pPr>
            <w:r w:rsidRPr="00592A2C">
              <w:rPr>
                <w:color w:val="000000"/>
              </w:rPr>
              <w:t>Projekta izpildes ietekme uz pārvaldes funkcijām un institucionālo struktūru.</w:t>
            </w:r>
          </w:p>
          <w:p w14:paraId="0AEDE77F" w14:textId="77777777" w:rsidR="0098695D" w:rsidRPr="00592A2C" w:rsidRDefault="0098695D" w:rsidP="008153AF">
            <w:pPr>
              <w:rPr>
                <w:color w:val="000000"/>
              </w:rPr>
            </w:pPr>
            <w:r w:rsidRPr="00592A2C">
              <w:rPr>
                <w:color w:val="000000"/>
              </w:rPr>
              <w:t>Jaunu institūciju izveide, esošu institūciju likvidācija vai reorganizācija, to ietekme un institūcijas cilvēkresursiem</w:t>
            </w:r>
          </w:p>
        </w:tc>
        <w:tc>
          <w:tcPr>
            <w:tcW w:w="2891" w:type="pct"/>
          </w:tcPr>
          <w:p w14:paraId="3CDC858B" w14:textId="77777777" w:rsidR="004833FF" w:rsidRPr="00592A2C" w:rsidRDefault="004833FF" w:rsidP="008153AF">
            <w:pPr>
              <w:jc w:val="both"/>
              <w:rPr>
                <w:color w:val="000000"/>
              </w:rPr>
            </w:pPr>
            <w:r>
              <w:rPr>
                <w:color w:val="000000"/>
              </w:rPr>
              <w:t>S</w:t>
            </w:r>
            <w:r w:rsidRPr="004833FF">
              <w:rPr>
                <w:color w:val="000000"/>
              </w:rPr>
              <w:t xml:space="preserve">aistībā ar </w:t>
            </w:r>
            <w:r w:rsidR="00BC21D2">
              <w:rPr>
                <w:color w:val="000000"/>
              </w:rPr>
              <w:t xml:space="preserve">noteikumu </w:t>
            </w:r>
            <w:r w:rsidRPr="004833FF">
              <w:rPr>
                <w:color w:val="000000"/>
              </w:rPr>
              <w:t xml:space="preserve">projekta izpildi </w:t>
            </w:r>
            <w:r>
              <w:rPr>
                <w:color w:val="000000"/>
              </w:rPr>
              <w:t xml:space="preserve">nav </w:t>
            </w:r>
            <w:r w:rsidRPr="004833FF">
              <w:rPr>
                <w:color w:val="000000"/>
              </w:rPr>
              <w:t xml:space="preserve">nepieciešams veidot jaunas institūcijas, </w:t>
            </w:r>
            <w:r w:rsidR="00A81EFB">
              <w:rPr>
                <w:color w:val="000000"/>
              </w:rPr>
              <w:t xml:space="preserve">ne arī </w:t>
            </w:r>
            <w:r>
              <w:rPr>
                <w:color w:val="000000"/>
              </w:rPr>
              <w:t>likvidēt vai reorganizēt esošās.</w:t>
            </w:r>
          </w:p>
        </w:tc>
      </w:tr>
      <w:tr w:rsidR="0098695D" w:rsidRPr="00592A2C" w14:paraId="40BB08DC" w14:textId="77777777" w:rsidTr="001F3741">
        <w:tc>
          <w:tcPr>
            <w:tcW w:w="304" w:type="pct"/>
          </w:tcPr>
          <w:p w14:paraId="489EF67E" w14:textId="77777777" w:rsidR="0098695D" w:rsidRPr="00592A2C" w:rsidRDefault="0098695D" w:rsidP="008153AF">
            <w:pPr>
              <w:jc w:val="both"/>
              <w:rPr>
                <w:color w:val="000000"/>
              </w:rPr>
            </w:pPr>
            <w:r w:rsidRPr="00592A2C">
              <w:rPr>
                <w:color w:val="000000"/>
              </w:rPr>
              <w:t>3.</w:t>
            </w:r>
          </w:p>
        </w:tc>
        <w:tc>
          <w:tcPr>
            <w:tcW w:w="1805" w:type="pct"/>
          </w:tcPr>
          <w:p w14:paraId="15631246" w14:textId="77777777" w:rsidR="0098695D" w:rsidRPr="00592A2C" w:rsidRDefault="0098695D" w:rsidP="008153AF">
            <w:pPr>
              <w:jc w:val="both"/>
              <w:rPr>
                <w:color w:val="000000"/>
              </w:rPr>
            </w:pPr>
            <w:r w:rsidRPr="00592A2C">
              <w:rPr>
                <w:color w:val="000000"/>
              </w:rPr>
              <w:t>Cita informācija</w:t>
            </w:r>
          </w:p>
        </w:tc>
        <w:tc>
          <w:tcPr>
            <w:tcW w:w="2891" w:type="pct"/>
          </w:tcPr>
          <w:p w14:paraId="14C0BA62" w14:textId="77777777" w:rsidR="0098695D" w:rsidRPr="00592A2C" w:rsidRDefault="0098695D" w:rsidP="008153AF">
            <w:pPr>
              <w:jc w:val="both"/>
              <w:rPr>
                <w:color w:val="000000"/>
              </w:rPr>
            </w:pPr>
            <w:r w:rsidRPr="00592A2C">
              <w:rPr>
                <w:color w:val="000000"/>
              </w:rPr>
              <w:t>Nav.</w:t>
            </w:r>
          </w:p>
        </w:tc>
      </w:tr>
    </w:tbl>
    <w:p w14:paraId="624FAFCB" w14:textId="77777777" w:rsidR="00895904" w:rsidRPr="00AC6491" w:rsidRDefault="00895904" w:rsidP="00895904">
      <w:pPr>
        <w:rPr>
          <w:szCs w:val="28"/>
        </w:rPr>
      </w:pPr>
    </w:p>
    <w:p w14:paraId="2617F0B7" w14:textId="77777777" w:rsidR="00895904" w:rsidRDefault="00895904" w:rsidP="00895904">
      <w:pPr>
        <w:rPr>
          <w:szCs w:val="28"/>
        </w:rPr>
      </w:pPr>
    </w:p>
    <w:p w14:paraId="7F7A5A84" w14:textId="77777777" w:rsidR="004E3BA9" w:rsidRDefault="004E3BA9" w:rsidP="00895904">
      <w:pPr>
        <w:rPr>
          <w:szCs w:val="28"/>
        </w:rPr>
      </w:pPr>
    </w:p>
    <w:p w14:paraId="13EF8972" w14:textId="7E172C13" w:rsidR="00895904" w:rsidRPr="00D3472D" w:rsidRDefault="002F475C" w:rsidP="00A1470D">
      <w:pPr>
        <w:ind w:firstLine="720"/>
        <w:rPr>
          <w:sz w:val="28"/>
          <w:szCs w:val="28"/>
        </w:rPr>
      </w:pPr>
      <w:r w:rsidRPr="009E5054">
        <w:rPr>
          <w:sz w:val="28"/>
          <w:szCs w:val="28"/>
        </w:rPr>
        <w:t>Zemkopības ministrs</w:t>
      </w:r>
      <w:r w:rsidRPr="009E5054">
        <w:rPr>
          <w:sz w:val="28"/>
          <w:szCs w:val="28"/>
        </w:rPr>
        <w:tab/>
      </w:r>
      <w:r w:rsidRPr="009E5054">
        <w:rPr>
          <w:sz w:val="28"/>
          <w:szCs w:val="28"/>
        </w:rPr>
        <w:tab/>
      </w:r>
      <w:r w:rsidRPr="009E5054">
        <w:rPr>
          <w:sz w:val="28"/>
          <w:szCs w:val="28"/>
        </w:rPr>
        <w:tab/>
      </w:r>
      <w:r w:rsidRPr="009E5054">
        <w:rPr>
          <w:sz w:val="28"/>
          <w:szCs w:val="28"/>
        </w:rPr>
        <w:tab/>
      </w:r>
      <w:r w:rsidRPr="009E5054">
        <w:rPr>
          <w:sz w:val="28"/>
          <w:szCs w:val="28"/>
        </w:rPr>
        <w:tab/>
      </w:r>
      <w:r w:rsidR="00AC6491" w:rsidRPr="009E5054">
        <w:rPr>
          <w:sz w:val="28"/>
          <w:szCs w:val="28"/>
        </w:rPr>
        <w:tab/>
      </w:r>
      <w:r w:rsidRPr="009E5054">
        <w:rPr>
          <w:sz w:val="28"/>
          <w:szCs w:val="28"/>
        </w:rPr>
        <w:t xml:space="preserve">Jānis </w:t>
      </w:r>
      <w:r w:rsidR="00895904" w:rsidRPr="009E5054">
        <w:rPr>
          <w:sz w:val="28"/>
          <w:szCs w:val="28"/>
        </w:rPr>
        <w:t>Dūklavs</w:t>
      </w:r>
    </w:p>
    <w:p w14:paraId="677887E5" w14:textId="77777777" w:rsidR="00895904" w:rsidRPr="00D3472D" w:rsidRDefault="00895904" w:rsidP="00A1470D">
      <w:pPr>
        <w:ind w:firstLine="720"/>
        <w:rPr>
          <w:sz w:val="28"/>
          <w:szCs w:val="28"/>
        </w:rPr>
      </w:pPr>
    </w:p>
    <w:p w14:paraId="16023FD9" w14:textId="77777777" w:rsidR="004E3BA9" w:rsidRDefault="004E3BA9" w:rsidP="00A1470D">
      <w:pPr>
        <w:ind w:firstLine="720"/>
        <w:rPr>
          <w:sz w:val="28"/>
          <w:szCs w:val="28"/>
        </w:rPr>
      </w:pPr>
    </w:p>
    <w:p w14:paraId="23F0280D" w14:textId="3899AB49" w:rsidR="00A1470D" w:rsidRDefault="00A1470D" w:rsidP="00A1470D">
      <w:pPr>
        <w:ind w:firstLine="720"/>
        <w:rPr>
          <w:sz w:val="28"/>
          <w:szCs w:val="28"/>
        </w:rPr>
      </w:pPr>
      <w:r>
        <w:rPr>
          <w:sz w:val="28"/>
          <w:szCs w:val="28"/>
        </w:rPr>
        <w:t>Zemkopības ministrijas valsts sekretāre</w:t>
      </w:r>
      <w:r>
        <w:rPr>
          <w:sz w:val="28"/>
          <w:szCs w:val="28"/>
        </w:rPr>
        <w:tab/>
      </w:r>
      <w:r>
        <w:rPr>
          <w:sz w:val="28"/>
          <w:szCs w:val="28"/>
        </w:rPr>
        <w:tab/>
      </w:r>
      <w:r>
        <w:rPr>
          <w:sz w:val="28"/>
          <w:szCs w:val="28"/>
        </w:rPr>
        <w:tab/>
        <w:t>Dace Lucaua</w:t>
      </w:r>
    </w:p>
    <w:p w14:paraId="7CB51F1C" w14:textId="77777777" w:rsidR="00A1470D" w:rsidRDefault="00A1470D"/>
    <w:p w14:paraId="4B776FE7" w14:textId="77777777" w:rsidR="00A1470D" w:rsidRDefault="00A1470D"/>
    <w:p w14:paraId="400CDF23" w14:textId="77777777" w:rsidR="00A1470D" w:rsidRDefault="00A1470D"/>
    <w:p w14:paraId="48D922F9" w14:textId="77777777" w:rsidR="00A1470D" w:rsidRDefault="00A1470D"/>
    <w:p w14:paraId="4D1F7B74" w14:textId="77777777" w:rsidR="00A1470D" w:rsidRDefault="00A1470D"/>
    <w:p w14:paraId="4BCFF88B" w14:textId="77777777" w:rsidR="00A1470D" w:rsidRDefault="00A1470D"/>
    <w:p w14:paraId="7A4CDAE5" w14:textId="77777777" w:rsidR="00A1470D" w:rsidRDefault="00A1470D"/>
    <w:p w14:paraId="047EB974" w14:textId="77777777" w:rsidR="00A1470D" w:rsidRDefault="00A1470D"/>
    <w:p w14:paraId="0C9D3929" w14:textId="77777777" w:rsidR="00A1470D" w:rsidRDefault="00A1470D"/>
    <w:p w14:paraId="652DD891" w14:textId="12AFA70D" w:rsidR="00AC1E30" w:rsidRPr="009E5054" w:rsidRDefault="00895904">
      <w:r w:rsidRPr="009E5054">
        <w:t>Ābele</w:t>
      </w:r>
      <w:r w:rsidR="00AC1E30" w:rsidRPr="009E5054">
        <w:t xml:space="preserve"> </w:t>
      </w:r>
      <w:r w:rsidRPr="009E5054">
        <w:t>67027823</w:t>
      </w:r>
    </w:p>
    <w:p w14:paraId="2ADA1728" w14:textId="77777777" w:rsidR="00473C3D" w:rsidRPr="009E5054" w:rsidRDefault="00895904">
      <w:r w:rsidRPr="009E5054">
        <w:t>janis.abele@zm.gov.lv</w:t>
      </w:r>
      <w:bookmarkStart w:id="1" w:name="_GoBack"/>
      <w:bookmarkEnd w:id="1"/>
    </w:p>
    <w:sectPr w:rsidR="00473C3D" w:rsidRPr="009E5054" w:rsidSect="00A1470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6732" w14:textId="77777777" w:rsidR="00D478A8" w:rsidRDefault="00D478A8">
      <w:r>
        <w:separator/>
      </w:r>
    </w:p>
  </w:endnote>
  <w:endnote w:type="continuationSeparator" w:id="0">
    <w:p w14:paraId="114070B8" w14:textId="77777777" w:rsidR="00D478A8" w:rsidRDefault="00D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_sans_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6EFC" w14:textId="7A5323C2" w:rsidR="00E63AE2" w:rsidRPr="00A1470D" w:rsidRDefault="00882EC3" w:rsidP="00A1470D">
    <w:pPr>
      <w:pStyle w:val="Kjene"/>
    </w:pPr>
    <w:r>
      <w:rPr>
        <w:sz w:val="20"/>
        <w:szCs w:val="20"/>
      </w:rPr>
      <w:t>ZManot_1905</w:t>
    </w:r>
    <w:r w:rsidR="00A1470D" w:rsidRPr="00A1470D">
      <w:rPr>
        <w:sz w:val="20"/>
        <w:szCs w:val="20"/>
      </w:rPr>
      <w:t>17_groz215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BA9C" w14:textId="4DD1B629" w:rsidR="00E63AE2" w:rsidRPr="00A1470D" w:rsidRDefault="00882EC3" w:rsidP="00A1470D">
    <w:pPr>
      <w:pStyle w:val="Kjene"/>
    </w:pPr>
    <w:r>
      <w:rPr>
        <w:sz w:val="20"/>
        <w:szCs w:val="20"/>
      </w:rPr>
      <w:t>ZManot_1905</w:t>
    </w:r>
    <w:r w:rsidR="00A1470D" w:rsidRPr="00A1470D">
      <w:rPr>
        <w:sz w:val="20"/>
        <w:szCs w:val="20"/>
      </w:rPr>
      <w:t>17_groz215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D3F7" w14:textId="77777777" w:rsidR="00D478A8" w:rsidRDefault="00D478A8">
      <w:r>
        <w:separator/>
      </w:r>
    </w:p>
  </w:footnote>
  <w:footnote w:type="continuationSeparator" w:id="0">
    <w:p w14:paraId="710456F0" w14:textId="77777777" w:rsidR="00D478A8" w:rsidRDefault="00D4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9FDB" w14:textId="77777777"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C4639C" w14:textId="77777777" w:rsidR="00E63AE2" w:rsidRDefault="00E63A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F8B5" w14:textId="19083EB2"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82EC3">
      <w:rPr>
        <w:rStyle w:val="Lappusesnumurs"/>
        <w:noProof/>
      </w:rPr>
      <w:t>4</w:t>
    </w:r>
    <w:r>
      <w:rPr>
        <w:rStyle w:val="Lappusesnumurs"/>
      </w:rPr>
      <w:fldChar w:fldCharType="end"/>
    </w:r>
  </w:p>
  <w:p w14:paraId="6C67F664" w14:textId="77777777" w:rsidR="00E63AE2" w:rsidRDefault="00E63AE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4"/>
    <w:rsid w:val="00015445"/>
    <w:rsid w:val="00041D62"/>
    <w:rsid w:val="00063069"/>
    <w:rsid w:val="00074BCA"/>
    <w:rsid w:val="00093972"/>
    <w:rsid w:val="000C3229"/>
    <w:rsid w:val="000E6AE1"/>
    <w:rsid w:val="000F4056"/>
    <w:rsid w:val="001043FD"/>
    <w:rsid w:val="0010643D"/>
    <w:rsid w:val="00120AA5"/>
    <w:rsid w:val="001253AB"/>
    <w:rsid w:val="00155385"/>
    <w:rsid w:val="001708A2"/>
    <w:rsid w:val="00177918"/>
    <w:rsid w:val="00184EF5"/>
    <w:rsid w:val="001B75E6"/>
    <w:rsid w:val="001F3741"/>
    <w:rsid w:val="00211D72"/>
    <w:rsid w:val="00217287"/>
    <w:rsid w:val="00241BCF"/>
    <w:rsid w:val="0025017E"/>
    <w:rsid w:val="00281281"/>
    <w:rsid w:val="0028670A"/>
    <w:rsid w:val="002C08A5"/>
    <w:rsid w:val="002C3A21"/>
    <w:rsid w:val="002F475C"/>
    <w:rsid w:val="003453E4"/>
    <w:rsid w:val="0035609E"/>
    <w:rsid w:val="003822BB"/>
    <w:rsid w:val="00395525"/>
    <w:rsid w:val="003A2BB2"/>
    <w:rsid w:val="003F69F8"/>
    <w:rsid w:val="00404E49"/>
    <w:rsid w:val="0042089C"/>
    <w:rsid w:val="00421377"/>
    <w:rsid w:val="00450CF5"/>
    <w:rsid w:val="00473C3D"/>
    <w:rsid w:val="004830D6"/>
    <w:rsid w:val="004833FF"/>
    <w:rsid w:val="00484000"/>
    <w:rsid w:val="004842AA"/>
    <w:rsid w:val="0049316C"/>
    <w:rsid w:val="004A3DF4"/>
    <w:rsid w:val="004A7B54"/>
    <w:rsid w:val="004E3BA9"/>
    <w:rsid w:val="00522033"/>
    <w:rsid w:val="00524604"/>
    <w:rsid w:val="00525A5D"/>
    <w:rsid w:val="00527676"/>
    <w:rsid w:val="0056035C"/>
    <w:rsid w:val="00571461"/>
    <w:rsid w:val="005B1733"/>
    <w:rsid w:val="005E6F3B"/>
    <w:rsid w:val="005E7E3C"/>
    <w:rsid w:val="005F42C2"/>
    <w:rsid w:val="006249FD"/>
    <w:rsid w:val="006258BB"/>
    <w:rsid w:val="00637DB4"/>
    <w:rsid w:val="00643925"/>
    <w:rsid w:val="00643F41"/>
    <w:rsid w:val="00662E0D"/>
    <w:rsid w:val="00674500"/>
    <w:rsid w:val="006764B9"/>
    <w:rsid w:val="00701547"/>
    <w:rsid w:val="0075055C"/>
    <w:rsid w:val="00751A4C"/>
    <w:rsid w:val="007547D8"/>
    <w:rsid w:val="007A7521"/>
    <w:rsid w:val="007F6193"/>
    <w:rsid w:val="00803BE0"/>
    <w:rsid w:val="00807C42"/>
    <w:rsid w:val="008153AF"/>
    <w:rsid w:val="00822CD4"/>
    <w:rsid w:val="00860192"/>
    <w:rsid w:val="00882EC3"/>
    <w:rsid w:val="00895904"/>
    <w:rsid w:val="008A5FD3"/>
    <w:rsid w:val="008B3525"/>
    <w:rsid w:val="008D40C4"/>
    <w:rsid w:val="008D5AFB"/>
    <w:rsid w:val="008E0BB2"/>
    <w:rsid w:val="00911AAE"/>
    <w:rsid w:val="009264CA"/>
    <w:rsid w:val="0094259E"/>
    <w:rsid w:val="00950C82"/>
    <w:rsid w:val="0098695D"/>
    <w:rsid w:val="009B051E"/>
    <w:rsid w:val="009C3F05"/>
    <w:rsid w:val="009C5431"/>
    <w:rsid w:val="009E5054"/>
    <w:rsid w:val="00A1470D"/>
    <w:rsid w:val="00A222E0"/>
    <w:rsid w:val="00A2266E"/>
    <w:rsid w:val="00A27185"/>
    <w:rsid w:val="00A32E03"/>
    <w:rsid w:val="00A35BDA"/>
    <w:rsid w:val="00A42E50"/>
    <w:rsid w:val="00A81EFB"/>
    <w:rsid w:val="00A841B6"/>
    <w:rsid w:val="00A90BC7"/>
    <w:rsid w:val="00AA574E"/>
    <w:rsid w:val="00AA68E4"/>
    <w:rsid w:val="00AB11AB"/>
    <w:rsid w:val="00AC1E30"/>
    <w:rsid w:val="00AC6491"/>
    <w:rsid w:val="00B11975"/>
    <w:rsid w:val="00B1270F"/>
    <w:rsid w:val="00B44A68"/>
    <w:rsid w:val="00BB1E89"/>
    <w:rsid w:val="00BB57E8"/>
    <w:rsid w:val="00BC21D2"/>
    <w:rsid w:val="00BF2FCC"/>
    <w:rsid w:val="00C10677"/>
    <w:rsid w:val="00C747C0"/>
    <w:rsid w:val="00C74E55"/>
    <w:rsid w:val="00C9131F"/>
    <w:rsid w:val="00CD61C7"/>
    <w:rsid w:val="00D1639B"/>
    <w:rsid w:val="00D22CF1"/>
    <w:rsid w:val="00D3472D"/>
    <w:rsid w:val="00D41816"/>
    <w:rsid w:val="00D4213A"/>
    <w:rsid w:val="00D4715C"/>
    <w:rsid w:val="00D478A8"/>
    <w:rsid w:val="00D75199"/>
    <w:rsid w:val="00DB0709"/>
    <w:rsid w:val="00DC0AFB"/>
    <w:rsid w:val="00DD4A30"/>
    <w:rsid w:val="00DE3001"/>
    <w:rsid w:val="00E11E3B"/>
    <w:rsid w:val="00E1483D"/>
    <w:rsid w:val="00E2260D"/>
    <w:rsid w:val="00E63AE2"/>
    <w:rsid w:val="00EB34A4"/>
    <w:rsid w:val="00EE3963"/>
    <w:rsid w:val="00EF6921"/>
    <w:rsid w:val="00F92AFF"/>
    <w:rsid w:val="00FB255D"/>
    <w:rsid w:val="00FB718A"/>
    <w:rsid w:val="00FB7E31"/>
    <w:rsid w:val="00FF5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764D97"/>
  <w15:docId w15:val="{98CAEC24-BB4E-4EDD-9CBF-F4323D2E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590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98695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95904"/>
    <w:pPr>
      <w:tabs>
        <w:tab w:val="center" w:pos="4153"/>
        <w:tab w:val="right" w:pos="8306"/>
      </w:tabs>
    </w:pPr>
  </w:style>
  <w:style w:type="character" w:customStyle="1" w:styleId="GalveneRakstz">
    <w:name w:val="Galvene Rakstz."/>
    <w:basedOn w:val="Noklusjumarindkopasfonts"/>
    <w:link w:val="Galvene"/>
    <w:uiPriority w:val="99"/>
    <w:rsid w:val="00895904"/>
    <w:rPr>
      <w:rFonts w:ascii="Times New Roman" w:eastAsia="Times New Roman" w:hAnsi="Times New Roman" w:cs="Times New Roman"/>
      <w:sz w:val="24"/>
      <w:szCs w:val="24"/>
      <w:lang w:eastAsia="lv-LV"/>
    </w:rPr>
  </w:style>
  <w:style w:type="character" w:styleId="Lappusesnumurs">
    <w:name w:val="page number"/>
    <w:uiPriority w:val="99"/>
    <w:rsid w:val="00895904"/>
    <w:rPr>
      <w:rFonts w:cs="Times New Roman"/>
    </w:rPr>
  </w:style>
  <w:style w:type="paragraph" w:styleId="Kjene">
    <w:name w:val="footer"/>
    <w:basedOn w:val="Parasts"/>
    <w:link w:val="KjeneRakstz"/>
    <w:uiPriority w:val="99"/>
    <w:rsid w:val="00895904"/>
    <w:pPr>
      <w:tabs>
        <w:tab w:val="center" w:pos="4153"/>
        <w:tab w:val="right" w:pos="8306"/>
      </w:tabs>
    </w:pPr>
  </w:style>
  <w:style w:type="character" w:customStyle="1" w:styleId="KjeneRakstz">
    <w:name w:val="Kājene Rakstz."/>
    <w:basedOn w:val="Noklusjumarindkopasfonts"/>
    <w:link w:val="Kjene"/>
    <w:uiPriority w:val="99"/>
    <w:rsid w:val="0089590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271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185"/>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98695D"/>
    <w:rPr>
      <w:rFonts w:ascii="Times New Roman" w:eastAsia="Times New Roman" w:hAnsi="Times New Roman" w:cs="Times New Roman"/>
      <w:b/>
      <w:bCs/>
      <w:kern w:val="36"/>
      <w:sz w:val="48"/>
      <w:szCs w:val="48"/>
      <w:lang w:eastAsia="lv-LV"/>
    </w:rPr>
  </w:style>
  <w:style w:type="paragraph" w:customStyle="1" w:styleId="naiskr">
    <w:name w:val="naiskr"/>
    <w:basedOn w:val="Parasts"/>
    <w:rsid w:val="0098695D"/>
    <w:pPr>
      <w:spacing w:before="75" w:after="75"/>
    </w:pPr>
  </w:style>
  <w:style w:type="paragraph" w:customStyle="1" w:styleId="naisnod">
    <w:name w:val="naisnod"/>
    <w:basedOn w:val="Parasts"/>
    <w:rsid w:val="0098695D"/>
    <w:pPr>
      <w:spacing w:before="150" w:after="150"/>
      <w:jc w:val="center"/>
    </w:pPr>
    <w:rPr>
      <w:b/>
      <w:bCs/>
    </w:rPr>
  </w:style>
  <w:style w:type="paragraph" w:styleId="Sarakstarindkopa">
    <w:name w:val="List Paragraph"/>
    <w:basedOn w:val="Parasts"/>
    <w:uiPriority w:val="34"/>
    <w:qFormat/>
    <w:rsid w:val="00FB718A"/>
    <w:pPr>
      <w:ind w:left="720"/>
      <w:contextualSpacing/>
    </w:pPr>
  </w:style>
  <w:style w:type="character" w:styleId="Izteiksmgs">
    <w:name w:val="Strong"/>
    <w:basedOn w:val="Noklusjumarindkopasfonts"/>
    <w:uiPriority w:val="22"/>
    <w:qFormat/>
    <w:rsid w:val="00211D72"/>
    <w:rPr>
      <w:b/>
      <w:bCs/>
    </w:rPr>
  </w:style>
  <w:style w:type="character" w:styleId="Komentraatsauce">
    <w:name w:val="annotation reference"/>
    <w:basedOn w:val="Noklusjumarindkopasfonts"/>
    <w:uiPriority w:val="99"/>
    <w:semiHidden/>
    <w:unhideWhenUsed/>
    <w:rsid w:val="00211D72"/>
    <w:rPr>
      <w:sz w:val="16"/>
      <w:szCs w:val="16"/>
    </w:rPr>
  </w:style>
  <w:style w:type="paragraph" w:styleId="Komentrateksts">
    <w:name w:val="annotation text"/>
    <w:basedOn w:val="Parasts"/>
    <w:link w:val="KomentratekstsRakstz"/>
    <w:uiPriority w:val="99"/>
    <w:semiHidden/>
    <w:unhideWhenUsed/>
    <w:rsid w:val="00211D72"/>
    <w:rPr>
      <w:sz w:val="20"/>
      <w:szCs w:val="20"/>
    </w:rPr>
  </w:style>
  <w:style w:type="character" w:customStyle="1" w:styleId="KomentratekstsRakstz">
    <w:name w:val="Komentāra teksts Rakstz."/>
    <w:basedOn w:val="Noklusjumarindkopasfonts"/>
    <w:link w:val="Komentrateksts"/>
    <w:uiPriority w:val="99"/>
    <w:semiHidden/>
    <w:rsid w:val="00211D7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11D72"/>
    <w:rPr>
      <w:b/>
      <w:bCs/>
    </w:rPr>
  </w:style>
  <w:style w:type="character" w:customStyle="1" w:styleId="KomentratmaRakstz">
    <w:name w:val="Komentāra tēma Rakstz."/>
    <w:basedOn w:val="KomentratekstsRakstz"/>
    <w:link w:val="Komentratma"/>
    <w:uiPriority w:val="99"/>
    <w:semiHidden/>
    <w:rsid w:val="00211D7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5380</Words>
  <Characters>3068</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vector>
  </TitlesOfParts>
  <Company>ZM</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2.marta noteikumos Nr.215 "Noteikumi par valsts atbalsta piešķiršanu zivsaimniecības attīstībai no Zivju fonda finanšu līdzekļiem"” sākotnējās ietekmes novērtējuma ziņojums (anotācija)</dc:title>
  <dc:subject>MK noteikumu projekta anotācija</dc:subject>
  <dc:creator>Zemkopības ministrija</dc:creator>
  <cp:keywords/>
  <dc:description>Ābele 67027823_x000d_
janis.abele@zm.gov.lv</dc:description>
  <cp:lastModifiedBy>Sanita Žagare</cp:lastModifiedBy>
  <cp:revision>7</cp:revision>
  <cp:lastPrinted>2017-05-19T05:25:00Z</cp:lastPrinted>
  <dcterms:created xsi:type="dcterms:W3CDTF">2017-05-19T05:56:00Z</dcterms:created>
  <dcterms:modified xsi:type="dcterms:W3CDTF">2017-05-19T09:19:00Z</dcterms:modified>
</cp:coreProperties>
</file>