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06E" w:rsidRPr="0024606E" w:rsidRDefault="0024606E" w:rsidP="00246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4606E">
        <w:rPr>
          <w:rFonts w:ascii="Times New Roman" w:eastAsia="Times New Roman" w:hAnsi="Times New Roman" w:cs="Times New Roman"/>
          <w:sz w:val="28"/>
          <w:szCs w:val="24"/>
          <w:lang w:eastAsia="lv-LV"/>
        </w:rPr>
        <w:t>1. pielikums</w:t>
      </w:r>
    </w:p>
    <w:p w:rsidR="0024606E" w:rsidRPr="0024606E" w:rsidRDefault="0024606E" w:rsidP="0024606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4606E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kabineta</w:t>
      </w:r>
    </w:p>
    <w:p w:rsidR="0024606E" w:rsidRPr="0024606E" w:rsidRDefault="0024606E" w:rsidP="00246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lv-LV"/>
        </w:rPr>
      </w:pPr>
      <w:r w:rsidRPr="0024606E">
        <w:rPr>
          <w:rFonts w:ascii="Times New Roman" w:eastAsia="Times New Roman" w:hAnsi="Times New Roman" w:cs="Times New Roman"/>
          <w:sz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lang w:eastAsia="lv-LV"/>
        </w:rPr>
        <w:t>7</w:t>
      </w:r>
      <w:r w:rsidRPr="0024606E">
        <w:rPr>
          <w:rFonts w:ascii="Times New Roman" w:eastAsia="Times New Roman" w:hAnsi="Times New Roman" w:cs="Times New Roman"/>
          <w:sz w:val="28"/>
          <w:lang w:eastAsia="lv-LV"/>
        </w:rPr>
        <w:t>. gada      </w:t>
      </w:r>
      <w:r w:rsidRPr="0024606E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</w:t>
      </w:r>
    </w:p>
    <w:p w:rsidR="0024606E" w:rsidRPr="0024606E" w:rsidRDefault="0024606E" w:rsidP="002460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4606E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    </w:t>
      </w:r>
    </w:p>
    <w:p w:rsidR="00EC4C87" w:rsidRPr="00EC4C87" w:rsidRDefault="00EC4C87" w:rsidP="00EC4C87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EC4C87" w:rsidRDefault="0083147B" w:rsidP="00EC4C8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bookmarkStart w:id="0" w:name="277235"/>
      <w:bookmarkStart w:id="1" w:name="566087"/>
      <w:bookmarkEnd w:id="0"/>
      <w:bookmarkEnd w:id="1"/>
      <w:r w:rsidRPr="0083147B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Dzeramā ūdens obligātās nekaitīguma un kvalitātes prasības</w:t>
      </w:r>
      <w:r w:rsidR="00452044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</w:p>
    <w:p w:rsidR="0083147B" w:rsidRPr="0083147B" w:rsidRDefault="0083147B" w:rsidP="0083147B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83147B">
        <w:rPr>
          <w:rFonts w:ascii="Times New Roman" w:eastAsia="Times New Roman" w:hAnsi="Times New Roman" w:cs="Times New Roman"/>
          <w:bCs/>
          <w:noProof/>
          <w:sz w:val="24"/>
          <w:szCs w:val="24"/>
        </w:rPr>
        <w:t>1. Mikrobioloģiskie rādītāji</w:t>
      </w:r>
    </w:p>
    <w:tbl>
      <w:tblPr>
        <w:tblStyle w:val="Reatabula"/>
        <w:tblW w:w="0" w:type="auto"/>
        <w:tblInd w:w="283" w:type="dxa"/>
        <w:tblLook w:val="04A0" w:firstRow="1" w:lastRow="0" w:firstColumn="1" w:lastColumn="0" w:noHBand="0" w:noVBand="1"/>
      </w:tblPr>
      <w:tblGrid>
        <w:gridCol w:w="959"/>
        <w:gridCol w:w="4253"/>
        <w:gridCol w:w="2835"/>
      </w:tblGrid>
      <w:tr w:rsidR="00356817" w:rsidTr="00356817">
        <w:tc>
          <w:tcPr>
            <w:tcW w:w="959" w:type="dxa"/>
            <w:vAlign w:val="center"/>
          </w:tcPr>
          <w:p w:rsidR="00356817" w:rsidRPr="0083147B" w:rsidRDefault="00356817" w:rsidP="00922340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Nr.</w:t>
            </w: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  <w:t>p.k.</w:t>
            </w:r>
          </w:p>
        </w:tc>
        <w:tc>
          <w:tcPr>
            <w:tcW w:w="4253" w:type="dxa"/>
            <w:vAlign w:val="center"/>
          </w:tcPr>
          <w:p w:rsidR="00356817" w:rsidRPr="0083147B" w:rsidRDefault="00356817" w:rsidP="00922340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Rādītājs</w:t>
            </w:r>
          </w:p>
        </w:tc>
        <w:tc>
          <w:tcPr>
            <w:tcW w:w="2835" w:type="dxa"/>
            <w:vAlign w:val="center"/>
          </w:tcPr>
          <w:p w:rsidR="00356817" w:rsidRPr="0083147B" w:rsidRDefault="00356817" w:rsidP="00251ED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Maksimāli</w:t>
            </w: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br/>
              <w:t>pieļaujamā norma</w:t>
            </w:r>
          </w:p>
        </w:tc>
      </w:tr>
      <w:tr w:rsidR="00356817" w:rsidTr="00356817">
        <w:tc>
          <w:tcPr>
            <w:tcW w:w="959" w:type="dxa"/>
          </w:tcPr>
          <w:p w:rsidR="00356817" w:rsidRPr="0083147B" w:rsidRDefault="00356817" w:rsidP="00457975">
            <w:pPr>
              <w:spacing w:after="120"/>
              <w:ind w:left="28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</w:t>
            </w:r>
            <w:r w:rsidR="0045797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</w:t>
            </w:r>
          </w:p>
        </w:tc>
        <w:tc>
          <w:tcPr>
            <w:tcW w:w="4253" w:type="dxa"/>
          </w:tcPr>
          <w:p w:rsidR="00356817" w:rsidRPr="00457975" w:rsidRDefault="00457975" w:rsidP="00251ED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noProof/>
                <w:sz w:val="20"/>
                <w:szCs w:val="20"/>
              </w:rPr>
              <w:t>Ūdensvada ūdenim:</w:t>
            </w:r>
          </w:p>
        </w:tc>
        <w:tc>
          <w:tcPr>
            <w:tcW w:w="2835" w:type="dxa"/>
          </w:tcPr>
          <w:p w:rsidR="00356817" w:rsidRPr="0083147B" w:rsidRDefault="00356817" w:rsidP="00251ED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457975" w:rsidTr="00356817">
        <w:tc>
          <w:tcPr>
            <w:tcW w:w="959" w:type="dxa"/>
          </w:tcPr>
          <w:p w:rsidR="00457975" w:rsidRPr="0083147B" w:rsidRDefault="00457975" w:rsidP="00457975">
            <w:pPr>
              <w:spacing w:after="120"/>
              <w:ind w:left="28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1.1.</w:t>
            </w:r>
          </w:p>
        </w:tc>
        <w:tc>
          <w:tcPr>
            <w:tcW w:w="4253" w:type="dxa"/>
          </w:tcPr>
          <w:p w:rsidR="00457975" w:rsidRPr="0083147B" w:rsidRDefault="00457975" w:rsidP="001E453A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Escherichia coli</w:t>
            </w:r>
          </w:p>
        </w:tc>
        <w:tc>
          <w:tcPr>
            <w:tcW w:w="2835" w:type="dxa"/>
          </w:tcPr>
          <w:p w:rsidR="00457975" w:rsidRPr="0083147B" w:rsidRDefault="00457975" w:rsidP="001E453A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0/100 ml</w:t>
            </w:r>
          </w:p>
        </w:tc>
      </w:tr>
      <w:tr w:rsidR="00457975" w:rsidTr="00356817">
        <w:tc>
          <w:tcPr>
            <w:tcW w:w="959" w:type="dxa"/>
          </w:tcPr>
          <w:p w:rsidR="00457975" w:rsidRPr="0083147B" w:rsidRDefault="00457975" w:rsidP="00457975">
            <w:pPr>
              <w:spacing w:after="120"/>
              <w:ind w:left="28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45797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</w:t>
            </w:r>
            <w:r w:rsidRPr="0045797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7975" w:rsidRPr="0083147B" w:rsidRDefault="00457975" w:rsidP="001E453A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enterokoki</w:t>
            </w:r>
          </w:p>
        </w:tc>
        <w:tc>
          <w:tcPr>
            <w:tcW w:w="2835" w:type="dxa"/>
          </w:tcPr>
          <w:p w:rsidR="00457975" w:rsidRPr="0083147B" w:rsidRDefault="00457975" w:rsidP="001E453A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0/100 ml</w:t>
            </w:r>
          </w:p>
        </w:tc>
      </w:tr>
      <w:tr w:rsidR="00457975" w:rsidTr="00356817">
        <w:tc>
          <w:tcPr>
            <w:tcW w:w="959" w:type="dxa"/>
          </w:tcPr>
          <w:p w:rsidR="00457975" w:rsidRPr="0083147B" w:rsidRDefault="00457975" w:rsidP="00457975">
            <w:pPr>
              <w:spacing w:after="120"/>
              <w:ind w:left="283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1.2.</w:t>
            </w:r>
          </w:p>
        </w:tc>
        <w:tc>
          <w:tcPr>
            <w:tcW w:w="4253" w:type="dxa"/>
          </w:tcPr>
          <w:p w:rsidR="00457975" w:rsidRPr="0083147B" w:rsidRDefault="00457975" w:rsidP="00251ED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Ūdenim, kas pildīts tirgošanai pudelēs vai citos traukos:</w:t>
            </w:r>
          </w:p>
        </w:tc>
        <w:tc>
          <w:tcPr>
            <w:tcW w:w="2835" w:type="dxa"/>
          </w:tcPr>
          <w:p w:rsidR="00457975" w:rsidRPr="0083147B" w:rsidRDefault="00457975" w:rsidP="00251ED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457975" w:rsidTr="00356817">
        <w:tc>
          <w:tcPr>
            <w:tcW w:w="959" w:type="dxa"/>
          </w:tcPr>
          <w:p w:rsidR="00457975" w:rsidRDefault="00457975" w:rsidP="0045797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.1.</w:t>
            </w:r>
          </w:p>
        </w:tc>
        <w:tc>
          <w:tcPr>
            <w:tcW w:w="4253" w:type="dxa"/>
          </w:tcPr>
          <w:p w:rsidR="00457975" w:rsidRPr="0083147B" w:rsidRDefault="00457975" w:rsidP="001E453A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0"/>
                <w:szCs w:val="20"/>
              </w:rPr>
              <w:t>Escherichia coli</w:t>
            </w:r>
          </w:p>
        </w:tc>
        <w:tc>
          <w:tcPr>
            <w:tcW w:w="2835" w:type="dxa"/>
          </w:tcPr>
          <w:p w:rsidR="00457975" w:rsidRPr="0083147B" w:rsidRDefault="00457975" w:rsidP="00457975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 ml</w:t>
            </w:r>
          </w:p>
        </w:tc>
      </w:tr>
      <w:tr w:rsidR="00457975" w:rsidTr="00356817">
        <w:tc>
          <w:tcPr>
            <w:tcW w:w="959" w:type="dxa"/>
          </w:tcPr>
          <w:p w:rsidR="00457975" w:rsidRDefault="00457975" w:rsidP="0045797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7975" w:rsidRPr="0083147B" w:rsidRDefault="00457975" w:rsidP="001E453A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enterokoki</w:t>
            </w:r>
          </w:p>
        </w:tc>
        <w:tc>
          <w:tcPr>
            <w:tcW w:w="2835" w:type="dxa"/>
          </w:tcPr>
          <w:p w:rsidR="00457975" w:rsidRPr="0083147B" w:rsidRDefault="00457975" w:rsidP="00457975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0/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25</w:t>
            </w:r>
            <w:r w:rsidRPr="0083147B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 ml</w:t>
            </w:r>
          </w:p>
        </w:tc>
      </w:tr>
      <w:tr w:rsidR="00457975" w:rsidTr="00356817">
        <w:tc>
          <w:tcPr>
            <w:tcW w:w="959" w:type="dxa"/>
          </w:tcPr>
          <w:p w:rsidR="00457975" w:rsidRDefault="00457975" w:rsidP="0045797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7975" w:rsidRPr="00457975" w:rsidRDefault="00457975" w:rsidP="00251ED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</w:pPr>
            <w:r w:rsidRPr="00457975">
              <w:rPr>
                <w:rFonts w:ascii="Times New Roman" w:eastAsia="Times New Roman" w:hAnsi="Times New Roman" w:cs="Times New Roman"/>
                <w:bCs/>
                <w:i/>
                <w:noProof/>
                <w:sz w:val="20"/>
                <w:szCs w:val="20"/>
              </w:rPr>
              <w:t>Pseudomonas aeruginosa</w:t>
            </w:r>
          </w:p>
        </w:tc>
        <w:tc>
          <w:tcPr>
            <w:tcW w:w="2835" w:type="dxa"/>
          </w:tcPr>
          <w:p w:rsidR="00457975" w:rsidRPr="0083147B" w:rsidRDefault="00457975" w:rsidP="00251ED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45797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0/250 ml</w:t>
            </w:r>
          </w:p>
        </w:tc>
      </w:tr>
      <w:tr w:rsidR="00457975" w:rsidTr="00356817">
        <w:tc>
          <w:tcPr>
            <w:tcW w:w="959" w:type="dxa"/>
          </w:tcPr>
          <w:p w:rsidR="00457975" w:rsidRDefault="00457975" w:rsidP="0045797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7975" w:rsidRPr="0083147B" w:rsidRDefault="00457975" w:rsidP="00251EDE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mikroorganismu koloniju skaits (KVV) 22°C</w:t>
            </w:r>
          </w:p>
        </w:tc>
        <w:tc>
          <w:tcPr>
            <w:tcW w:w="2835" w:type="dxa"/>
          </w:tcPr>
          <w:p w:rsidR="00457975" w:rsidRPr="0083147B" w:rsidRDefault="00457975" w:rsidP="00251ED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100/ml</w:t>
            </w:r>
          </w:p>
        </w:tc>
      </w:tr>
      <w:tr w:rsidR="00457975" w:rsidTr="00356817">
        <w:tc>
          <w:tcPr>
            <w:tcW w:w="959" w:type="dxa"/>
          </w:tcPr>
          <w:p w:rsidR="00457975" w:rsidRDefault="00457975" w:rsidP="00457975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1.2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5</w:t>
            </w:r>
            <w:r w:rsidRPr="00F9652C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.</w:t>
            </w:r>
          </w:p>
        </w:tc>
        <w:tc>
          <w:tcPr>
            <w:tcW w:w="4253" w:type="dxa"/>
          </w:tcPr>
          <w:p w:rsidR="00457975" w:rsidRPr="0083147B" w:rsidRDefault="00457975" w:rsidP="00457975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45797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 xml:space="preserve">mikroorganismu koloniju skaits (KVV)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37</w:t>
            </w:r>
            <w:r w:rsidRPr="00457975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°C</w:t>
            </w:r>
          </w:p>
        </w:tc>
        <w:tc>
          <w:tcPr>
            <w:tcW w:w="2835" w:type="dxa"/>
          </w:tcPr>
          <w:p w:rsidR="00457975" w:rsidRPr="0083147B" w:rsidRDefault="00457975" w:rsidP="00251EDE">
            <w:pPr>
              <w:spacing w:after="120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20/ml</w:t>
            </w:r>
          </w:p>
        </w:tc>
      </w:tr>
    </w:tbl>
    <w:p w:rsidR="0021384F" w:rsidRDefault="0021384F" w:rsidP="0083147B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83147B" w:rsidRPr="00A87D43" w:rsidRDefault="0083147B" w:rsidP="0083147B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7D43">
        <w:rPr>
          <w:rFonts w:ascii="Times New Roman" w:eastAsia="Times New Roman" w:hAnsi="Times New Roman" w:cs="Times New Roman"/>
          <w:noProof/>
          <w:sz w:val="24"/>
          <w:szCs w:val="24"/>
        </w:rPr>
        <w:t>2. Ķīmiskie rādītāji</w:t>
      </w:r>
    </w:p>
    <w:tbl>
      <w:tblPr>
        <w:tblStyle w:val="Reatabula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3169"/>
      </w:tblGrid>
      <w:tr w:rsidR="0083147B" w:rsidTr="00A575C6">
        <w:tc>
          <w:tcPr>
            <w:tcW w:w="1101" w:type="dxa"/>
            <w:vAlign w:val="center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Nr.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p.k.</w:t>
            </w:r>
          </w:p>
        </w:tc>
        <w:tc>
          <w:tcPr>
            <w:tcW w:w="2126" w:type="dxa"/>
            <w:vAlign w:val="center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Rādītājs</w:t>
            </w:r>
          </w:p>
        </w:tc>
        <w:tc>
          <w:tcPr>
            <w:tcW w:w="1843" w:type="dxa"/>
            <w:vAlign w:val="center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Maksimāli pieļaujamā norma</w:t>
            </w:r>
          </w:p>
        </w:tc>
        <w:tc>
          <w:tcPr>
            <w:tcW w:w="3169" w:type="dxa"/>
            <w:vAlign w:val="center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Piezīmes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antimons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5,0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arsēns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benzols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1,0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benzo(a)pirēns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0,010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bors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1,0 mg/l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1C1CA5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bromāti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C4F30" w:rsidTr="0083147B">
        <w:tc>
          <w:tcPr>
            <w:tcW w:w="1101" w:type="dxa"/>
          </w:tcPr>
          <w:p w:rsidR="00DC4F30" w:rsidRPr="0083147B" w:rsidRDefault="00DC4F30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C4F30" w:rsidRPr="0083147B" w:rsidRDefault="00DC4F30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kadmijs</w:t>
            </w:r>
          </w:p>
        </w:tc>
        <w:tc>
          <w:tcPr>
            <w:tcW w:w="1843" w:type="dxa"/>
          </w:tcPr>
          <w:p w:rsidR="00DC4F30" w:rsidRPr="0083147B" w:rsidRDefault="00DC4F30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5,0 µg/l</w:t>
            </w:r>
          </w:p>
        </w:tc>
        <w:tc>
          <w:tcPr>
            <w:tcW w:w="3169" w:type="dxa"/>
          </w:tcPr>
          <w:p w:rsidR="00DC4F30" w:rsidRPr="0083147B" w:rsidRDefault="00DC4F30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DC4F30" w:rsidTr="0083147B">
        <w:tc>
          <w:tcPr>
            <w:tcW w:w="1101" w:type="dxa"/>
          </w:tcPr>
          <w:p w:rsidR="00DC4F30" w:rsidRPr="0083147B" w:rsidRDefault="00DC4F30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C4F30" w:rsidRPr="0083147B" w:rsidRDefault="00DC4F30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hroms</w:t>
            </w:r>
          </w:p>
        </w:tc>
        <w:tc>
          <w:tcPr>
            <w:tcW w:w="1843" w:type="dxa"/>
          </w:tcPr>
          <w:p w:rsidR="00DC4F30" w:rsidRPr="0083147B" w:rsidRDefault="00DC4F30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 µg/l</w:t>
            </w:r>
          </w:p>
        </w:tc>
        <w:tc>
          <w:tcPr>
            <w:tcW w:w="3169" w:type="dxa"/>
          </w:tcPr>
          <w:p w:rsidR="00DC4F30" w:rsidRPr="0083147B" w:rsidRDefault="00DC4F30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6122" w:rsidTr="0083147B">
        <w:tc>
          <w:tcPr>
            <w:tcW w:w="1101" w:type="dxa"/>
          </w:tcPr>
          <w:p w:rsidR="00146122" w:rsidRPr="0083147B" w:rsidRDefault="00146122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46122" w:rsidRPr="007168A3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arš</w:t>
            </w:r>
          </w:p>
        </w:tc>
        <w:tc>
          <w:tcPr>
            <w:tcW w:w="1843" w:type="dxa"/>
          </w:tcPr>
          <w:p w:rsidR="00146122" w:rsidRPr="0083147B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2,0 mg/l</w:t>
            </w:r>
          </w:p>
        </w:tc>
        <w:tc>
          <w:tcPr>
            <w:tcW w:w="3169" w:type="dxa"/>
          </w:tcPr>
          <w:p w:rsidR="00146122" w:rsidRPr="0083147B" w:rsidRDefault="00146122" w:rsidP="00FE79A3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Nosaka vidējās vērtības no nedēļas ūdens piegādes paraugiem. Reģistrē arī maksimālās rādītāju vērtības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cianīdi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11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1,2-dihloretāns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3,0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6122" w:rsidTr="0083147B">
        <w:tc>
          <w:tcPr>
            <w:tcW w:w="1101" w:type="dxa"/>
          </w:tcPr>
          <w:p w:rsidR="00146122" w:rsidRPr="0083147B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2.12.</w:t>
            </w:r>
          </w:p>
        </w:tc>
        <w:tc>
          <w:tcPr>
            <w:tcW w:w="2126" w:type="dxa"/>
          </w:tcPr>
          <w:p w:rsidR="00146122" w:rsidRPr="0083147B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fluorīdi</w:t>
            </w:r>
          </w:p>
        </w:tc>
        <w:tc>
          <w:tcPr>
            <w:tcW w:w="1843" w:type="dxa"/>
          </w:tcPr>
          <w:p w:rsidR="00146122" w:rsidRPr="0083147B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1,5 mg/l</w:t>
            </w:r>
          </w:p>
        </w:tc>
        <w:tc>
          <w:tcPr>
            <w:tcW w:w="3169" w:type="dxa"/>
          </w:tcPr>
          <w:p w:rsidR="00146122" w:rsidRPr="0083147B" w:rsidRDefault="00146122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46122" w:rsidTr="0083147B">
        <w:tc>
          <w:tcPr>
            <w:tcW w:w="1101" w:type="dxa"/>
          </w:tcPr>
          <w:p w:rsidR="00146122" w:rsidRPr="0083147B" w:rsidRDefault="00146122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13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46122" w:rsidRPr="007168A3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vins</w:t>
            </w:r>
          </w:p>
        </w:tc>
        <w:tc>
          <w:tcPr>
            <w:tcW w:w="1843" w:type="dxa"/>
          </w:tcPr>
          <w:p w:rsidR="00146122" w:rsidRPr="0083147B" w:rsidRDefault="00146122" w:rsidP="00FE79A3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µg/l</w:t>
            </w:r>
          </w:p>
        </w:tc>
        <w:tc>
          <w:tcPr>
            <w:tcW w:w="3169" w:type="dxa"/>
          </w:tcPr>
          <w:p w:rsidR="00146122" w:rsidRPr="0083147B" w:rsidRDefault="00146122" w:rsidP="00FE79A3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Nosaka vidējās vērtības no nedēļas ūdens piegādes paraugiem. Reģistrē arī maksimālās rādītāju vērtības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2.1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dzīvsudrabs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1,0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2.15.</w:t>
            </w:r>
          </w:p>
        </w:tc>
        <w:tc>
          <w:tcPr>
            <w:tcW w:w="2126" w:type="dxa"/>
          </w:tcPr>
          <w:p w:rsidR="0083147B" w:rsidRPr="007168A3" w:rsidRDefault="007168A3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</w:t>
            </w:r>
            <w:r w:rsidR="0083147B"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iķelis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 µg/l</w:t>
            </w:r>
          </w:p>
        </w:tc>
        <w:tc>
          <w:tcPr>
            <w:tcW w:w="3169" w:type="dxa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Nosaka vidējās vērtības no nedēļas ūdens piegādes paraugiem. Reģistrē arī maksimālās rādītāju vērtības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2.16.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nitrāti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50 mg/l</w:t>
            </w:r>
          </w:p>
        </w:tc>
        <w:tc>
          <w:tcPr>
            <w:tcW w:w="3169" w:type="dxa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Ūdenī nitrītu saturs nedrīkst pārsniegt 0,10 mg/l, ja nitrāti (mg/l)/50 + nitrīti (mg/l)/3 ≤ 1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2.17.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nitrīti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0,50 mg/l</w:t>
            </w:r>
          </w:p>
        </w:tc>
        <w:tc>
          <w:tcPr>
            <w:tcW w:w="3169" w:type="dxa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Ūdenī nitrītu saturs nedrīkst pārsniegt 0,10 mg/l, ja nitrāti (mg/l)/50 + nitrīti (mg/l)/3 ≤ 1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2.18.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pesticīdi (atsevišķi)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0,10 µg/l</w:t>
            </w:r>
          </w:p>
        </w:tc>
        <w:tc>
          <w:tcPr>
            <w:tcW w:w="3169" w:type="dxa"/>
            <w:vMerge w:val="restart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Pesticīdu grupai (2.18. un 2.19.) pielīdzināmi šādi augu aizsardzības līdzekļi: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organiskie insekticīdi, organiskie herbicīdi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organiskie fungicīdi, organiskie nematocīdi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organiskie akaricīdi, organiskie algicīdi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organiskie rodenticīdi, organiskie slimicīdi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tiem pielīdzinātie produkti (augšanas regulatori) un iepriekšminēto vielu atvasinājumi un noārdīšanās produkti.</w:t>
            </w:r>
          </w:p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Ūdenī nosaka tikai tos pesticīdus, kuru klātbūtne tajā ir iespējama.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Ja ūdenī ir konstatēts aldrīns, dieldrīns, heptahlors un heptahlora epoksīds, rādītāju norma ir 0,030 µg/l.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Pesticīdiem (2.19.) noteikta visu atsevišķo pesticīdu summa, kurus analizē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2.19.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pesticīdi (kopā)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0,50 µg/l</w:t>
            </w:r>
          </w:p>
        </w:tc>
        <w:tc>
          <w:tcPr>
            <w:tcW w:w="3169" w:type="dxa"/>
            <w:vMerge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2.20.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policikliskie aromātiskie ogļūdeņraži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0,10 µg/l</w:t>
            </w:r>
          </w:p>
        </w:tc>
        <w:tc>
          <w:tcPr>
            <w:tcW w:w="3169" w:type="dxa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Noteikto sastāvdaļu koncentrāciju summa.</w:t>
            </w:r>
          </w:p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Policikliskie aromātiskie ogļūdeņraži ir: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benzo(b)fluorantrēns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benzo(k)fluorantrēns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c)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benzo(ghi)perilēns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;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d)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indeno(1,2,3-cd)pirēns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83147B" w:rsidTr="0083147B">
        <w:tc>
          <w:tcPr>
            <w:tcW w:w="1101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2.21.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selēns</w:t>
            </w:r>
          </w:p>
        </w:tc>
        <w:tc>
          <w:tcPr>
            <w:tcW w:w="1843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µg/l</w:t>
            </w:r>
          </w:p>
        </w:tc>
        <w:tc>
          <w:tcPr>
            <w:tcW w:w="3169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83147B" w:rsidTr="00D160E7">
        <w:tc>
          <w:tcPr>
            <w:tcW w:w="1101" w:type="dxa"/>
          </w:tcPr>
          <w:p w:rsidR="0083147B" w:rsidRPr="0083147B" w:rsidRDefault="0083147B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tetrahloretēns un trihloretēns</w:t>
            </w:r>
          </w:p>
        </w:tc>
        <w:tc>
          <w:tcPr>
            <w:tcW w:w="1843" w:type="dxa"/>
            <w:vAlign w:val="center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 µg/l</w:t>
            </w:r>
          </w:p>
        </w:tc>
        <w:tc>
          <w:tcPr>
            <w:tcW w:w="3169" w:type="dxa"/>
            <w:vAlign w:val="center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Noteikto vielu koncentrāciju summa</w:t>
            </w:r>
          </w:p>
        </w:tc>
      </w:tr>
      <w:tr w:rsidR="0083147B" w:rsidTr="00D160E7">
        <w:tc>
          <w:tcPr>
            <w:tcW w:w="1101" w:type="dxa"/>
          </w:tcPr>
          <w:p w:rsidR="0083147B" w:rsidRPr="0083147B" w:rsidRDefault="0083147B" w:rsidP="00146122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</w:t>
            </w:r>
            <w:r w:rsidR="0014612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trihalogēnmetāni (kopā)</w:t>
            </w:r>
          </w:p>
        </w:tc>
        <w:tc>
          <w:tcPr>
            <w:tcW w:w="1843" w:type="dxa"/>
            <w:vAlign w:val="center"/>
          </w:tcPr>
          <w:p w:rsidR="0083147B" w:rsidRPr="0083147B" w:rsidRDefault="0083147B" w:rsidP="0092234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 µg/l</w:t>
            </w:r>
          </w:p>
        </w:tc>
        <w:tc>
          <w:tcPr>
            <w:tcW w:w="3169" w:type="dxa"/>
          </w:tcPr>
          <w:p w:rsidR="0083147B" w:rsidRPr="0083147B" w:rsidRDefault="0083147B" w:rsidP="00585317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Noteikto vielu koncentrāciju summa</w:t>
            </w:r>
          </w:p>
        </w:tc>
      </w:tr>
      <w:tr w:rsidR="00EF0E0B" w:rsidTr="00D160E7">
        <w:tc>
          <w:tcPr>
            <w:tcW w:w="1101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2.24.</w:t>
            </w:r>
          </w:p>
        </w:tc>
        <w:tc>
          <w:tcPr>
            <w:tcW w:w="2126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akrilamīds</w:t>
            </w:r>
          </w:p>
        </w:tc>
        <w:tc>
          <w:tcPr>
            <w:tcW w:w="1843" w:type="dxa"/>
            <w:vAlign w:val="center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0,10 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µg/l</w:t>
            </w:r>
          </w:p>
        </w:tc>
        <w:tc>
          <w:tcPr>
            <w:tcW w:w="3169" w:type="dxa"/>
          </w:tcPr>
          <w:p w:rsidR="00EF0E0B" w:rsidRPr="0083147B" w:rsidRDefault="00EF0E0B" w:rsidP="00514BDB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Nosaka kā monomēra saturu ūdenī</w:t>
            </w:r>
          </w:p>
        </w:tc>
      </w:tr>
      <w:tr w:rsidR="00EF0E0B" w:rsidTr="00220D29">
        <w:tc>
          <w:tcPr>
            <w:tcW w:w="1101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2.25.</w:t>
            </w:r>
          </w:p>
        </w:tc>
        <w:tc>
          <w:tcPr>
            <w:tcW w:w="2126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epihlorhidrīns</w:t>
            </w:r>
          </w:p>
        </w:tc>
        <w:tc>
          <w:tcPr>
            <w:tcW w:w="1843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0,10 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µg/l</w:t>
            </w:r>
          </w:p>
        </w:tc>
        <w:tc>
          <w:tcPr>
            <w:tcW w:w="3169" w:type="dxa"/>
          </w:tcPr>
          <w:p w:rsidR="00EF0E0B" w:rsidRPr="0083147B" w:rsidRDefault="00EF0E0B" w:rsidP="00514BDB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Nosaka kā monomēra saturu ūdenī</w:t>
            </w:r>
          </w:p>
        </w:tc>
      </w:tr>
      <w:tr w:rsidR="00EF0E0B" w:rsidTr="00220D29">
        <w:tc>
          <w:tcPr>
            <w:tcW w:w="1101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2.26.</w:t>
            </w:r>
          </w:p>
        </w:tc>
        <w:tc>
          <w:tcPr>
            <w:tcW w:w="2126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vinilhlorīds</w:t>
            </w:r>
          </w:p>
        </w:tc>
        <w:tc>
          <w:tcPr>
            <w:tcW w:w="1843" w:type="dxa"/>
          </w:tcPr>
          <w:p w:rsidR="00EF0E0B" w:rsidRPr="0083147B" w:rsidRDefault="00EF0E0B" w:rsidP="00514BDB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0,50 </w:t>
            </w:r>
            <w:r w:rsidRPr="0083147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µg/l</w:t>
            </w:r>
          </w:p>
        </w:tc>
        <w:tc>
          <w:tcPr>
            <w:tcW w:w="3169" w:type="dxa"/>
          </w:tcPr>
          <w:p w:rsidR="00EF0E0B" w:rsidRPr="0083147B" w:rsidRDefault="00EF0E0B" w:rsidP="00514BDB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Nosaka kā monomēra saturu ūdenī</w:t>
            </w:r>
          </w:p>
        </w:tc>
      </w:tr>
    </w:tbl>
    <w:p w:rsidR="0021384F" w:rsidRDefault="0021384F" w:rsidP="0083147B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102999" w:rsidRPr="00A87D43" w:rsidRDefault="00102999" w:rsidP="0083147B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87D43">
        <w:rPr>
          <w:rFonts w:ascii="Times New Roman" w:eastAsia="Times New Roman" w:hAnsi="Times New Roman" w:cs="Times New Roman"/>
          <w:noProof/>
          <w:sz w:val="24"/>
          <w:szCs w:val="24"/>
        </w:rPr>
        <w:t>3. Kontrolrādītāji dzeramā ūdens monitoringam un korektīvai rīcībai</w:t>
      </w:r>
    </w:p>
    <w:tbl>
      <w:tblPr>
        <w:tblStyle w:val="Reatabula"/>
        <w:tblW w:w="0" w:type="auto"/>
        <w:tblInd w:w="283" w:type="dxa"/>
        <w:tblLook w:val="04A0" w:firstRow="1" w:lastRow="0" w:firstColumn="1" w:lastColumn="0" w:noHBand="0" w:noVBand="1"/>
      </w:tblPr>
      <w:tblGrid>
        <w:gridCol w:w="1101"/>
        <w:gridCol w:w="1843"/>
        <w:gridCol w:w="1701"/>
        <w:gridCol w:w="3594"/>
      </w:tblGrid>
      <w:tr w:rsidR="00356817" w:rsidTr="00356817">
        <w:tc>
          <w:tcPr>
            <w:tcW w:w="1101" w:type="dxa"/>
            <w:vAlign w:val="center"/>
          </w:tcPr>
          <w:p w:rsidR="00356817" w:rsidRPr="00102999" w:rsidRDefault="00356817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Nr.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br/>
              <w:t>p.k.</w:t>
            </w:r>
          </w:p>
        </w:tc>
        <w:tc>
          <w:tcPr>
            <w:tcW w:w="1843" w:type="dxa"/>
            <w:vAlign w:val="center"/>
          </w:tcPr>
          <w:p w:rsidR="00356817" w:rsidRPr="00102999" w:rsidRDefault="0035681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Rādītājs</w:t>
            </w:r>
          </w:p>
        </w:tc>
        <w:tc>
          <w:tcPr>
            <w:tcW w:w="1701" w:type="dxa"/>
            <w:vAlign w:val="center"/>
          </w:tcPr>
          <w:p w:rsidR="00356817" w:rsidRDefault="0035681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Maksimāli</w:t>
            </w:r>
          </w:p>
          <w:p w:rsidR="00356817" w:rsidRDefault="0035681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pieļaujamā</w:t>
            </w:r>
          </w:p>
          <w:p w:rsidR="00356817" w:rsidRPr="00102999" w:rsidRDefault="0035681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norma</w:t>
            </w:r>
          </w:p>
        </w:tc>
        <w:tc>
          <w:tcPr>
            <w:tcW w:w="3594" w:type="dxa"/>
          </w:tcPr>
          <w:p w:rsidR="00356817" w:rsidRDefault="00356817" w:rsidP="0083147B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5681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Piezīmes</w:t>
            </w:r>
          </w:p>
        </w:tc>
      </w:tr>
      <w:tr w:rsidR="001103B7" w:rsidTr="008007CF">
        <w:tc>
          <w:tcPr>
            <w:tcW w:w="1101" w:type="dxa"/>
            <w:vAlign w:val="bottom"/>
          </w:tcPr>
          <w:p w:rsidR="001103B7" w:rsidRPr="00102999" w:rsidRDefault="001103B7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3.1.</w:t>
            </w:r>
          </w:p>
        </w:tc>
        <w:tc>
          <w:tcPr>
            <w:tcW w:w="1843" w:type="dxa"/>
            <w:vAlign w:val="bottom"/>
          </w:tcPr>
          <w:p w:rsidR="001103B7" w:rsidRPr="00102999" w:rsidRDefault="001103B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alumīnijs</w:t>
            </w:r>
          </w:p>
        </w:tc>
        <w:tc>
          <w:tcPr>
            <w:tcW w:w="1701" w:type="dxa"/>
            <w:vAlign w:val="bottom"/>
          </w:tcPr>
          <w:p w:rsidR="001103B7" w:rsidRPr="00102999" w:rsidRDefault="001103B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0,2 mg/l</w:t>
            </w:r>
          </w:p>
        </w:tc>
        <w:tc>
          <w:tcPr>
            <w:tcW w:w="3594" w:type="dxa"/>
            <w:vAlign w:val="bottom"/>
          </w:tcPr>
          <w:p w:rsidR="001103B7" w:rsidRPr="00102999" w:rsidRDefault="001103B7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03B7" w:rsidTr="00356817">
        <w:tc>
          <w:tcPr>
            <w:tcW w:w="1101" w:type="dxa"/>
          </w:tcPr>
          <w:p w:rsidR="001103B7" w:rsidRPr="00102999" w:rsidRDefault="001103B7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3.2.</w:t>
            </w:r>
          </w:p>
        </w:tc>
        <w:tc>
          <w:tcPr>
            <w:tcW w:w="1843" w:type="dxa"/>
          </w:tcPr>
          <w:p w:rsidR="001103B7" w:rsidRPr="00102999" w:rsidRDefault="001103B7" w:rsidP="00EF0E0B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amon</w:t>
            </w:r>
            <w:r w:rsidR="00EF0E0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ij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</w:t>
            </w:r>
          </w:p>
        </w:tc>
        <w:tc>
          <w:tcPr>
            <w:tcW w:w="1701" w:type="dxa"/>
          </w:tcPr>
          <w:p w:rsidR="001103B7" w:rsidRPr="00102999" w:rsidRDefault="001103B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0,50 mg/l</w:t>
            </w:r>
          </w:p>
        </w:tc>
        <w:tc>
          <w:tcPr>
            <w:tcW w:w="3594" w:type="dxa"/>
          </w:tcPr>
          <w:p w:rsidR="001103B7" w:rsidRPr="00102999" w:rsidRDefault="001103B7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3.3.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hlorīdi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250 mg/l</w:t>
            </w:r>
          </w:p>
        </w:tc>
        <w:tc>
          <w:tcPr>
            <w:tcW w:w="3594" w:type="dxa"/>
          </w:tcPr>
          <w:p w:rsidR="00EF5EAA" w:rsidRDefault="00EF5EAA" w:rsidP="00FE79A3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103B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Ūdens nedrīkst būt korozīvs</w:t>
            </w:r>
          </w:p>
        </w:tc>
      </w:tr>
      <w:tr w:rsidR="001103B7" w:rsidTr="00356817">
        <w:tc>
          <w:tcPr>
            <w:tcW w:w="1101" w:type="dxa"/>
          </w:tcPr>
          <w:p w:rsidR="001103B7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3.4.</w:t>
            </w:r>
          </w:p>
        </w:tc>
        <w:tc>
          <w:tcPr>
            <w:tcW w:w="1843" w:type="dxa"/>
          </w:tcPr>
          <w:p w:rsidR="001103B7" w:rsidRPr="00102999" w:rsidRDefault="001103B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i/>
                <w:iCs/>
                <w:noProof/>
                <w:sz w:val="20"/>
                <w:szCs w:val="20"/>
              </w:rPr>
              <w:t>Clostridium perfringens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(ieskaitot sporas)</w:t>
            </w:r>
          </w:p>
        </w:tc>
        <w:tc>
          <w:tcPr>
            <w:tcW w:w="1701" w:type="dxa"/>
          </w:tcPr>
          <w:p w:rsidR="001103B7" w:rsidRPr="00102999" w:rsidRDefault="001103B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0/100 ml</w:t>
            </w:r>
          </w:p>
        </w:tc>
        <w:tc>
          <w:tcPr>
            <w:tcW w:w="3594" w:type="dxa"/>
          </w:tcPr>
          <w:p w:rsidR="001103B7" w:rsidRPr="00102999" w:rsidRDefault="001103B7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Šis rādītājs nav jāmēra, ja vien ūdens izcelsmes vietu neiespaido virszemes ūdeņi. Ja ir neatbilstība rādītājam, jāizpēta piegāde, lai nodrošinātu, ka nepastāv </w:t>
            </w:r>
            <w:r w:rsidR="005656AD"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patogēnu mikroorganismu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 piemēram, kriptosporu, </w:t>
            </w:r>
            <w:r w:rsidR="005656AD"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klātbūtne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 radīts apdraudējums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cilvēku veselībai. Šādu pētījumu rezultāti jāiekļauj ziņojumos, ko sniedz Veselības inspekcija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3.5.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krāsa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pieņemama patērētājiem un bez būtiskām 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pār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maiņām</w:t>
            </w:r>
          </w:p>
        </w:tc>
        <w:tc>
          <w:tcPr>
            <w:tcW w:w="3594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3.6.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elektrovadītspēja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2500 µS cm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  <w:t>-1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20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°C temperatūrā</w:t>
            </w:r>
          </w:p>
        </w:tc>
        <w:tc>
          <w:tcPr>
            <w:tcW w:w="3594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Ūdens nedrīkst būt korozīvs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3.7.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ūdeņraža jonu koncentrācija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6,5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–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9,5 pH vienības</w:t>
            </w:r>
          </w:p>
        </w:tc>
        <w:tc>
          <w:tcPr>
            <w:tcW w:w="3594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Ūdens nedrīkst būt korozīvs.</w:t>
            </w: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EF5EAA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dzelzs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0,2 mg/l</w:t>
            </w:r>
          </w:p>
        </w:tc>
        <w:tc>
          <w:tcPr>
            <w:tcW w:w="3594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EF5EA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3.9.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mangāns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0, 05 mg/l</w:t>
            </w:r>
          </w:p>
        </w:tc>
        <w:tc>
          <w:tcPr>
            <w:tcW w:w="3594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3.10.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smarža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pieņemama patērētājiem un bez būtiskām 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pār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maiņām</w:t>
            </w:r>
          </w:p>
        </w:tc>
        <w:tc>
          <w:tcPr>
            <w:tcW w:w="3594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3.11.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oksidējamība (KMnO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</w:rPr>
              <w:t>4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5,0 mg/l O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594" w:type="dxa"/>
          </w:tcPr>
          <w:p w:rsidR="00EF5EAA" w:rsidRDefault="00EF5EAA" w:rsidP="00FE79A3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103B7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Šis rādītājs nav jānosaka, ja tiek mērīts TOC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EF5EAA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sulfāti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250 mg/l</w:t>
            </w:r>
          </w:p>
        </w:tc>
        <w:tc>
          <w:tcPr>
            <w:tcW w:w="3594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Ūdens nedrīkst būt korozīvs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EF5EAA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nātrijs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200 mg/l</w:t>
            </w:r>
          </w:p>
        </w:tc>
        <w:tc>
          <w:tcPr>
            <w:tcW w:w="3594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EF5EAA" w:rsidTr="00356817">
        <w:tc>
          <w:tcPr>
            <w:tcW w:w="1101" w:type="dxa"/>
          </w:tcPr>
          <w:p w:rsidR="00EF5EAA" w:rsidRPr="00102999" w:rsidRDefault="00EF5EAA" w:rsidP="00EF5EAA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14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EF5EAA" w:rsidRPr="00102999" w:rsidRDefault="00EF5EAA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garša</w:t>
            </w:r>
          </w:p>
        </w:tc>
        <w:tc>
          <w:tcPr>
            <w:tcW w:w="1701" w:type="dxa"/>
          </w:tcPr>
          <w:p w:rsidR="00EF5EAA" w:rsidRPr="00102999" w:rsidRDefault="00EF5EAA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pieņemama patērētājiem un bez būtiskām 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pār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maiņām</w:t>
            </w:r>
          </w:p>
        </w:tc>
        <w:tc>
          <w:tcPr>
            <w:tcW w:w="3594" w:type="dxa"/>
          </w:tcPr>
          <w:p w:rsidR="00EF5EAA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03B7" w:rsidTr="00356817">
        <w:tc>
          <w:tcPr>
            <w:tcW w:w="1101" w:type="dxa"/>
          </w:tcPr>
          <w:p w:rsidR="001103B7" w:rsidRPr="00102999" w:rsidRDefault="00EF5EAA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3.15.</w:t>
            </w:r>
          </w:p>
        </w:tc>
        <w:tc>
          <w:tcPr>
            <w:tcW w:w="1843" w:type="dxa"/>
          </w:tcPr>
          <w:p w:rsidR="001103B7" w:rsidRPr="00102999" w:rsidRDefault="001103B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mikroorganismu koloniju skaits (KVV) 22 °C</w:t>
            </w:r>
          </w:p>
        </w:tc>
        <w:tc>
          <w:tcPr>
            <w:tcW w:w="1701" w:type="dxa"/>
          </w:tcPr>
          <w:p w:rsidR="001103B7" w:rsidRPr="00102999" w:rsidRDefault="001103B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1000/ml</w:t>
            </w:r>
          </w:p>
        </w:tc>
        <w:tc>
          <w:tcPr>
            <w:tcW w:w="3594" w:type="dxa"/>
          </w:tcPr>
          <w:p w:rsidR="001103B7" w:rsidRPr="00102999" w:rsidRDefault="001103B7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103B7" w:rsidTr="00356817">
        <w:tc>
          <w:tcPr>
            <w:tcW w:w="1101" w:type="dxa"/>
          </w:tcPr>
          <w:p w:rsidR="001103B7" w:rsidRPr="00102999" w:rsidRDefault="00DC4F30" w:rsidP="0097504E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3.16.</w:t>
            </w:r>
          </w:p>
        </w:tc>
        <w:tc>
          <w:tcPr>
            <w:tcW w:w="1843" w:type="dxa"/>
          </w:tcPr>
          <w:p w:rsidR="001103B7" w:rsidRPr="00102999" w:rsidRDefault="001103B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koliformas baktērijas (skaits)</w:t>
            </w:r>
          </w:p>
        </w:tc>
        <w:tc>
          <w:tcPr>
            <w:tcW w:w="1701" w:type="dxa"/>
          </w:tcPr>
          <w:p w:rsidR="001103B7" w:rsidRPr="00102999" w:rsidRDefault="001103B7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0/100 ml</w:t>
            </w:r>
          </w:p>
        </w:tc>
        <w:tc>
          <w:tcPr>
            <w:tcW w:w="3594" w:type="dxa"/>
          </w:tcPr>
          <w:p w:rsidR="001103B7" w:rsidRPr="00102999" w:rsidRDefault="00875E4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Fasētam ūdenim šī rādītāja maksimāli pieļaujamā norma ir 0/250 ml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DC4F30" w:rsidTr="00356817">
        <w:tc>
          <w:tcPr>
            <w:tcW w:w="1101" w:type="dxa"/>
          </w:tcPr>
          <w:p w:rsidR="00DC4F30" w:rsidRPr="00102999" w:rsidRDefault="00DC4F30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7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C4F30" w:rsidRPr="00102999" w:rsidRDefault="00DC4F30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kopējais organiskais ogleklis (TOC)</w:t>
            </w:r>
          </w:p>
        </w:tc>
        <w:tc>
          <w:tcPr>
            <w:tcW w:w="1701" w:type="dxa"/>
          </w:tcPr>
          <w:p w:rsidR="00DC4F30" w:rsidRPr="00102999" w:rsidRDefault="00DC4F30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bez būtiskām 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pār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maiņām</w:t>
            </w:r>
          </w:p>
        </w:tc>
        <w:tc>
          <w:tcPr>
            <w:tcW w:w="3594" w:type="dxa"/>
          </w:tcPr>
          <w:p w:rsidR="00DC4F30" w:rsidRPr="00102999" w:rsidRDefault="00DC4F30" w:rsidP="00FE79A3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Šis rādītājs nav jāmēra piegādes objektiem, kas ir mazāki par 10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000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 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  <w:vertAlign w:val="superscript"/>
              </w:rPr>
              <w:t>3</w:t>
            </w: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dienā</w:t>
            </w:r>
            <w:r w:rsidR="005656A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</w:tr>
      <w:tr w:rsidR="001103B7" w:rsidTr="00356817">
        <w:tc>
          <w:tcPr>
            <w:tcW w:w="1101" w:type="dxa"/>
          </w:tcPr>
          <w:p w:rsidR="001103B7" w:rsidRPr="00102999" w:rsidRDefault="00DC4F30" w:rsidP="00DC4F30">
            <w:pPr>
              <w:spacing w:after="120"/>
              <w:ind w:left="283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3.1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8</w:t>
            </w:r>
            <w:r w:rsidRPr="00DC4F30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1103B7" w:rsidRPr="00102999" w:rsidRDefault="001103B7" w:rsidP="0097504E">
            <w:pPr>
              <w:spacing w:after="120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duļķainība</w:t>
            </w:r>
          </w:p>
        </w:tc>
        <w:tc>
          <w:tcPr>
            <w:tcW w:w="1701" w:type="dxa"/>
          </w:tcPr>
          <w:p w:rsidR="001103B7" w:rsidRPr="00102999" w:rsidRDefault="00EF0E0B" w:rsidP="00780797">
            <w:pPr>
              <w:spacing w:after="12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</w:t>
            </w:r>
            <w:r w:rsidR="001103B7"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,0 NTU (nefelometriskās duļķainības </w:t>
            </w:r>
            <w:r w:rsidR="001103B7" w:rsidRPr="0010299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lastRenderedPageBreak/>
              <w:t>vienības)</w:t>
            </w:r>
          </w:p>
        </w:tc>
        <w:tc>
          <w:tcPr>
            <w:tcW w:w="3594" w:type="dxa"/>
          </w:tcPr>
          <w:p w:rsidR="001103B7" w:rsidRDefault="001103B7" w:rsidP="0083147B">
            <w:pPr>
              <w:spacing w:after="120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356817" w:rsidRDefault="00356817" w:rsidP="0083147B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24606E" w:rsidRDefault="0024606E" w:rsidP="00A72BA0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24606E" w:rsidRDefault="0024606E" w:rsidP="00A72BA0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8"/>
          <w:szCs w:val="24"/>
        </w:rPr>
      </w:pPr>
    </w:p>
    <w:p w:rsidR="00EC4C87" w:rsidRPr="0024606E" w:rsidRDefault="00EC4C87" w:rsidP="00A72BA0">
      <w:pPr>
        <w:spacing w:after="120" w:line="240" w:lineRule="auto"/>
        <w:ind w:left="283"/>
        <w:rPr>
          <w:rFonts w:ascii="Times New Roman" w:eastAsia="Times New Roman" w:hAnsi="Times New Roman" w:cs="Times New Roman"/>
          <w:noProof/>
          <w:sz w:val="28"/>
          <w:szCs w:val="24"/>
        </w:rPr>
      </w:pPr>
      <w:bookmarkStart w:id="2" w:name="_GoBack"/>
      <w:bookmarkEnd w:id="2"/>
      <w:r w:rsidRPr="0024606E">
        <w:rPr>
          <w:rFonts w:ascii="Times New Roman" w:eastAsia="Times New Roman" w:hAnsi="Times New Roman" w:cs="Times New Roman"/>
          <w:noProof/>
          <w:sz w:val="28"/>
          <w:szCs w:val="24"/>
        </w:rPr>
        <w:t>Zemkopības ministrs</w:t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ab/>
      </w:r>
      <w:r w:rsidRPr="0024606E">
        <w:rPr>
          <w:rFonts w:ascii="Times New Roman" w:eastAsia="Times New Roman" w:hAnsi="Times New Roman" w:cs="Times New Roman"/>
          <w:noProof/>
          <w:sz w:val="28"/>
          <w:szCs w:val="24"/>
        </w:rPr>
        <w:t>J</w:t>
      </w:r>
      <w:r w:rsidR="005656AD" w:rsidRPr="0024606E">
        <w:rPr>
          <w:rFonts w:ascii="Times New Roman" w:eastAsia="Times New Roman" w:hAnsi="Times New Roman" w:cs="Times New Roman"/>
          <w:noProof/>
          <w:sz w:val="28"/>
          <w:szCs w:val="24"/>
        </w:rPr>
        <w:t xml:space="preserve">ānis </w:t>
      </w:r>
      <w:r w:rsidRPr="0024606E">
        <w:rPr>
          <w:rFonts w:ascii="Times New Roman" w:eastAsia="Times New Roman" w:hAnsi="Times New Roman" w:cs="Times New Roman"/>
          <w:noProof/>
          <w:sz w:val="28"/>
          <w:szCs w:val="24"/>
        </w:rPr>
        <w:t>Dūklavs</w:t>
      </w:r>
    </w:p>
    <w:p w:rsidR="006F47E0" w:rsidRPr="0021384F" w:rsidRDefault="006F47E0" w:rsidP="00EC4C87">
      <w:pPr>
        <w:tabs>
          <w:tab w:val="center" w:pos="4153"/>
          <w:tab w:val="right" w:pos="8306"/>
        </w:tabs>
        <w:spacing w:after="0" w:line="240" w:lineRule="auto"/>
        <w:jc w:val="both"/>
        <w:rPr>
          <w:sz w:val="16"/>
          <w:szCs w:val="16"/>
        </w:rPr>
      </w:pPr>
    </w:p>
    <w:sectPr w:rsidR="006F47E0" w:rsidRPr="0021384F" w:rsidSect="0024606E">
      <w:headerReference w:type="default" r:id="rId7"/>
      <w:foot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9C" w:rsidRDefault="00C3419C" w:rsidP="00C30176">
      <w:pPr>
        <w:spacing w:after="0" w:line="240" w:lineRule="auto"/>
      </w:pPr>
      <w:r>
        <w:separator/>
      </w:r>
    </w:p>
  </w:endnote>
  <w:endnote w:type="continuationSeparator" w:id="0">
    <w:p w:rsidR="00C3419C" w:rsidRDefault="00C3419C" w:rsidP="00C3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76" w:rsidRDefault="0024606E">
    <w:pPr>
      <w:pStyle w:val="Kjene"/>
    </w:pPr>
    <w:r w:rsidRPr="0024606E">
      <w:rPr>
        <w:rFonts w:ascii="Times New Roman" w:eastAsia="Times New Roman" w:hAnsi="Times New Roman" w:cs="Times New Roman"/>
        <w:noProof/>
        <w:sz w:val="20"/>
        <w:szCs w:val="20"/>
      </w:rPr>
      <w:t>ZMnotp1_290517_udens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06E" w:rsidRPr="0024606E" w:rsidRDefault="0024606E">
    <w:pPr>
      <w:pStyle w:val="Kjene"/>
      <w:rPr>
        <w:rFonts w:ascii="Times New Roman" w:hAnsi="Times New Roman" w:cs="Times New Roman"/>
        <w:sz w:val="20"/>
      </w:rPr>
    </w:pPr>
    <w:r w:rsidRPr="0024606E">
      <w:rPr>
        <w:rFonts w:ascii="Times New Roman" w:hAnsi="Times New Roman" w:cs="Times New Roman"/>
        <w:sz w:val="20"/>
      </w:rPr>
      <w:t>ZMnotp1_290517_udens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9C" w:rsidRDefault="00C3419C" w:rsidP="00C30176">
      <w:pPr>
        <w:spacing w:after="0" w:line="240" w:lineRule="auto"/>
      </w:pPr>
      <w:r>
        <w:separator/>
      </w:r>
    </w:p>
  </w:footnote>
  <w:footnote w:type="continuationSeparator" w:id="0">
    <w:p w:rsidR="00C3419C" w:rsidRDefault="00C3419C" w:rsidP="00C3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52782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4606E" w:rsidRPr="0024606E" w:rsidRDefault="0024606E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24606E">
          <w:rPr>
            <w:rFonts w:ascii="Times New Roman" w:hAnsi="Times New Roman" w:cs="Times New Roman"/>
            <w:sz w:val="24"/>
          </w:rPr>
          <w:fldChar w:fldCharType="begin"/>
        </w:r>
        <w:r w:rsidRPr="0024606E">
          <w:rPr>
            <w:rFonts w:ascii="Times New Roman" w:hAnsi="Times New Roman" w:cs="Times New Roman"/>
            <w:sz w:val="24"/>
          </w:rPr>
          <w:instrText>PAGE   \* MERGEFORMAT</w:instrText>
        </w:r>
        <w:r w:rsidRPr="0024606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24606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4606E" w:rsidRDefault="0024606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87"/>
    <w:rsid w:val="000E726D"/>
    <w:rsid w:val="000F2CFA"/>
    <w:rsid w:val="000F5028"/>
    <w:rsid w:val="00102999"/>
    <w:rsid w:val="001103B7"/>
    <w:rsid w:val="00121F69"/>
    <w:rsid w:val="00146122"/>
    <w:rsid w:val="001B00BA"/>
    <w:rsid w:val="001C1CA5"/>
    <w:rsid w:val="001D3E9D"/>
    <w:rsid w:val="0021384F"/>
    <w:rsid w:val="0024606E"/>
    <w:rsid w:val="00251EDE"/>
    <w:rsid w:val="00356817"/>
    <w:rsid w:val="003B66A1"/>
    <w:rsid w:val="00452044"/>
    <w:rsid w:val="00457975"/>
    <w:rsid w:val="005155C4"/>
    <w:rsid w:val="00523B29"/>
    <w:rsid w:val="005311E4"/>
    <w:rsid w:val="005468B9"/>
    <w:rsid w:val="005656AD"/>
    <w:rsid w:val="00585317"/>
    <w:rsid w:val="00616055"/>
    <w:rsid w:val="006E05F3"/>
    <w:rsid w:val="006F47E0"/>
    <w:rsid w:val="007168A3"/>
    <w:rsid w:val="00774A8A"/>
    <w:rsid w:val="00780797"/>
    <w:rsid w:val="00785D69"/>
    <w:rsid w:val="007A1E61"/>
    <w:rsid w:val="0083147B"/>
    <w:rsid w:val="00833B7E"/>
    <w:rsid w:val="00875E47"/>
    <w:rsid w:val="00877020"/>
    <w:rsid w:val="00893BF4"/>
    <w:rsid w:val="008B4580"/>
    <w:rsid w:val="008C26F0"/>
    <w:rsid w:val="00A61335"/>
    <w:rsid w:val="00A72BA0"/>
    <w:rsid w:val="00A87D43"/>
    <w:rsid w:val="00AA4EFF"/>
    <w:rsid w:val="00B02243"/>
    <w:rsid w:val="00B81F0F"/>
    <w:rsid w:val="00BD7CFF"/>
    <w:rsid w:val="00BF1429"/>
    <w:rsid w:val="00C25472"/>
    <w:rsid w:val="00C30176"/>
    <w:rsid w:val="00C3419C"/>
    <w:rsid w:val="00C8608F"/>
    <w:rsid w:val="00CD4A3C"/>
    <w:rsid w:val="00D446C4"/>
    <w:rsid w:val="00DC4F30"/>
    <w:rsid w:val="00DE1BAA"/>
    <w:rsid w:val="00EC4C87"/>
    <w:rsid w:val="00EF0E0B"/>
    <w:rsid w:val="00EF5EAA"/>
    <w:rsid w:val="00F46EDD"/>
    <w:rsid w:val="00F715FE"/>
    <w:rsid w:val="00FC726F"/>
    <w:rsid w:val="00FE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1B17A-DDF6-428A-88FA-171AFA0C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30176"/>
  </w:style>
  <w:style w:type="paragraph" w:styleId="Kjene">
    <w:name w:val="footer"/>
    <w:basedOn w:val="Parasts"/>
    <w:link w:val="KjeneRakstz"/>
    <w:uiPriority w:val="99"/>
    <w:unhideWhenUsed/>
    <w:rsid w:val="00C3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30176"/>
  </w:style>
  <w:style w:type="character" w:styleId="Komentraatsauce">
    <w:name w:val="annotation reference"/>
    <w:basedOn w:val="Noklusjumarindkopasfonts"/>
    <w:uiPriority w:val="99"/>
    <w:semiHidden/>
    <w:unhideWhenUsed/>
    <w:rsid w:val="00BF142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F142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F142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F14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F142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F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F142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3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4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56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8920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9865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73A84-5F8C-4ABB-8B7C-BE3342107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2869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Dzeramā ūdens obligātās nekaitīguma un kvalitātes prasības, monitoringa un kontroles kārtība</dc:title>
  <dc:subject>Pielikums 1</dc:subject>
  <dc:creator>Edgars Riekstins</dc:creator>
  <dc:description>Riekstiņš 67027354_x000d_
Edgars.Riekstins@zm.gov.lv</dc:description>
  <cp:lastModifiedBy>Sanita Žagare</cp:lastModifiedBy>
  <cp:revision>3</cp:revision>
  <cp:lastPrinted>2017-05-29T14:07:00Z</cp:lastPrinted>
  <dcterms:created xsi:type="dcterms:W3CDTF">2017-07-13T07:26:00Z</dcterms:created>
  <dcterms:modified xsi:type="dcterms:W3CDTF">2017-07-14T09:05:00Z</dcterms:modified>
</cp:coreProperties>
</file>