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4D" w:rsidRPr="00614E71" w:rsidRDefault="00CC297D" w:rsidP="000E6716">
      <w:pPr>
        <w:jc w:val="center"/>
        <w:rPr>
          <w:rFonts w:cs="Times New Roman"/>
          <w:szCs w:val="28"/>
        </w:rPr>
      </w:pPr>
      <w:bookmarkStart w:id="0" w:name="OLE_LINK4"/>
      <w:bookmarkStart w:id="1" w:name="OLE_LINK3"/>
      <w:bookmarkStart w:id="2" w:name="OLE_LINK2"/>
      <w:bookmarkStart w:id="3" w:name="OLE_LINK1"/>
      <w:r w:rsidRPr="00614E71">
        <w:rPr>
          <w:rFonts w:eastAsia="Times New Roman" w:cs="Times New Roman"/>
          <w:b/>
          <w:szCs w:val="28"/>
          <w:lang w:eastAsia="lv-LV"/>
        </w:rPr>
        <w:t>Likumprojekta „</w:t>
      </w:r>
      <w:r w:rsidR="00377B04" w:rsidRPr="00614E71">
        <w:rPr>
          <w:rFonts w:cs="Times New Roman"/>
          <w:b/>
          <w:szCs w:val="28"/>
        </w:rPr>
        <w:t>Grozījumi Enerģētikas likumā</w:t>
      </w:r>
      <w:r w:rsidRPr="00614E71">
        <w:rPr>
          <w:rFonts w:eastAsia="Times New Roman" w:cs="Times New Roman"/>
          <w:b/>
          <w:szCs w:val="28"/>
          <w:lang w:eastAsia="lv-LV"/>
        </w:rPr>
        <w:t xml:space="preserve">” </w:t>
      </w:r>
      <w:bookmarkEnd w:id="0"/>
      <w:bookmarkEnd w:id="1"/>
      <w:r w:rsidRPr="00614E71">
        <w:rPr>
          <w:rFonts w:eastAsia="Times New Roman" w:cs="Times New Roman"/>
          <w:b/>
          <w:szCs w:val="28"/>
          <w:lang w:eastAsia="lv-LV"/>
        </w:rPr>
        <w:t>sākotnējās ietekmes novērtējuma ziņojums</w:t>
      </w:r>
      <w:bookmarkEnd w:id="2"/>
      <w:bookmarkEnd w:id="3"/>
      <w:r w:rsidR="00DF66AF" w:rsidRPr="00614E71">
        <w:rPr>
          <w:rFonts w:eastAsia="Times New Roman" w:cs="Times New Roman"/>
          <w:b/>
          <w:szCs w:val="28"/>
          <w:lang w:eastAsia="lv-LV"/>
        </w:rPr>
        <w:t xml:space="preserve"> </w:t>
      </w:r>
      <w:r w:rsidRPr="00614E71">
        <w:rPr>
          <w:rFonts w:eastAsia="Times New Roman" w:cs="Times New Roman"/>
          <w:b/>
          <w:szCs w:val="28"/>
          <w:lang w:eastAsia="lv-LV"/>
        </w:rPr>
        <w:t>(anotācija)</w:t>
      </w:r>
    </w:p>
    <w:tbl>
      <w:tblPr>
        <w:tblW w:w="5144" w:type="pct"/>
        <w:tblCellSpacing w:w="15" w:type="dxa"/>
        <w:tblInd w:w="-11"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0"/>
        <w:gridCol w:w="379"/>
        <w:gridCol w:w="185"/>
        <w:gridCol w:w="30"/>
        <w:gridCol w:w="67"/>
        <w:gridCol w:w="1543"/>
        <w:gridCol w:w="518"/>
        <w:gridCol w:w="2414"/>
        <w:gridCol w:w="269"/>
        <w:gridCol w:w="3703"/>
        <w:gridCol w:w="158"/>
      </w:tblGrid>
      <w:tr w:rsidR="00614E71" w:rsidRPr="00614E71" w:rsidTr="000E6716">
        <w:trPr>
          <w:gridBefore w:val="1"/>
          <w:gridAfter w:val="1"/>
          <w:wBefore w:w="5" w:type="dxa"/>
          <w:wAfter w:w="113" w:type="dxa"/>
          <w:trHeight w:val="324"/>
          <w:tblCellSpacing w:w="15" w:type="dxa"/>
        </w:trPr>
        <w:tc>
          <w:tcPr>
            <w:tcW w:w="9078" w:type="dxa"/>
            <w:gridSpan w:val="9"/>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b/>
                <w:bCs/>
                <w:szCs w:val="28"/>
                <w:lang w:eastAsia="lv-LV"/>
              </w:rPr>
              <w:t>I. Tiesību akta projekta izstrādes nepieciešamība</w:t>
            </w:r>
          </w:p>
        </w:tc>
      </w:tr>
      <w:tr w:rsidR="00614E71" w:rsidRPr="00614E71" w:rsidTr="000E6716">
        <w:trPr>
          <w:gridBefore w:val="1"/>
          <w:gridAfter w:val="1"/>
          <w:wBefore w:w="5" w:type="dxa"/>
          <w:wAfter w:w="113" w:type="dxa"/>
          <w:trHeight w:val="324"/>
          <w:tblCellSpacing w:w="15" w:type="dxa"/>
        </w:trPr>
        <w:tc>
          <w:tcPr>
            <w:tcW w:w="631"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1.</w:t>
            </w:r>
          </w:p>
        </w:tc>
        <w:tc>
          <w:tcPr>
            <w:tcW w:w="1513"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Pamatojums</w:t>
            </w:r>
          </w:p>
        </w:tc>
        <w:tc>
          <w:tcPr>
            <w:tcW w:w="6874" w:type="dxa"/>
            <w:gridSpan w:val="4"/>
            <w:tcBorders>
              <w:top w:val="outset" w:sz="6" w:space="0" w:color="auto"/>
              <w:left w:val="outset" w:sz="6" w:space="0" w:color="auto"/>
              <w:bottom w:val="outset" w:sz="6" w:space="0" w:color="auto"/>
              <w:right w:val="outset" w:sz="6" w:space="0" w:color="auto"/>
            </w:tcBorders>
            <w:hideMark/>
          </w:tcPr>
          <w:p w:rsidR="00DA6858" w:rsidRDefault="00DA6858" w:rsidP="00E97B4D">
            <w:pPr>
              <w:jc w:val="both"/>
              <w:rPr>
                <w:rFonts w:eastAsia="Times New Roman" w:cs="Times New Roman"/>
                <w:szCs w:val="28"/>
              </w:rPr>
            </w:pPr>
            <w:r w:rsidRPr="00614E71">
              <w:rPr>
                <w:rFonts w:eastAsia="Times New Roman" w:cs="Times New Roman"/>
                <w:szCs w:val="28"/>
              </w:rPr>
              <w:t xml:space="preserve">Likumprojekts </w:t>
            </w:r>
            <w:r w:rsidR="00E97B4D" w:rsidRPr="00614E71">
              <w:rPr>
                <w:rFonts w:eastAsia="Times New Roman" w:cs="Times New Roman"/>
                <w:szCs w:val="28"/>
              </w:rPr>
              <w:t xml:space="preserve">„Grozījumi Enerģētikas likumā” </w:t>
            </w:r>
            <w:r w:rsidRPr="00614E71">
              <w:rPr>
                <w:rFonts w:eastAsia="Times New Roman" w:cs="Times New Roman"/>
                <w:szCs w:val="28"/>
              </w:rPr>
              <w:t>(turpmāk – Likumprojekts) izstrādāts:</w:t>
            </w:r>
          </w:p>
          <w:p w:rsidR="007033C5" w:rsidRPr="006E0106" w:rsidRDefault="00D97909" w:rsidP="00D97909">
            <w:pPr>
              <w:pStyle w:val="ListParagraph"/>
              <w:numPr>
                <w:ilvl w:val="0"/>
                <w:numId w:val="10"/>
              </w:numPr>
              <w:spacing w:line="240" w:lineRule="auto"/>
              <w:ind w:left="369" w:hanging="369"/>
              <w:jc w:val="both"/>
              <w:rPr>
                <w:rFonts w:eastAsia="Times New Roman" w:cs="Times New Roman"/>
                <w:szCs w:val="28"/>
              </w:rPr>
            </w:pPr>
            <w:r w:rsidRPr="006E0106">
              <w:rPr>
                <w:rFonts w:ascii="Times New Roman" w:eastAsia="Times New Roman" w:hAnsi="Times New Roman" w:cs="Times New Roman"/>
                <w:sz w:val="28"/>
                <w:szCs w:val="28"/>
              </w:rPr>
              <w:t>lai izpildītu ar Ministru kabineta 2016.</w:t>
            </w:r>
            <w:r w:rsidR="001F6C14" w:rsidRPr="006E0106">
              <w:rPr>
                <w:rFonts w:ascii="Times New Roman" w:eastAsia="Times New Roman" w:hAnsi="Times New Roman" w:cs="Times New Roman"/>
                <w:sz w:val="28"/>
                <w:szCs w:val="28"/>
              </w:rPr>
              <w:t>gada 13.decembra sēdes protokola</w:t>
            </w:r>
            <w:r w:rsidRPr="006E0106">
              <w:rPr>
                <w:rFonts w:ascii="Times New Roman" w:eastAsia="Times New Roman" w:hAnsi="Times New Roman" w:cs="Times New Roman"/>
                <w:sz w:val="28"/>
                <w:szCs w:val="28"/>
              </w:rPr>
              <w:t xml:space="preserve"> Nr.68</w:t>
            </w:r>
            <w:r w:rsidR="00AF66DA" w:rsidRPr="006E0106">
              <w:rPr>
                <w:rFonts w:ascii="Times New Roman" w:eastAsia="Times New Roman" w:hAnsi="Times New Roman" w:cs="Times New Roman"/>
                <w:sz w:val="28"/>
                <w:szCs w:val="28"/>
              </w:rPr>
              <w:t>,</w:t>
            </w:r>
            <w:r w:rsidRPr="006E0106">
              <w:rPr>
                <w:rFonts w:ascii="Times New Roman" w:eastAsia="Times New Roman" w:hAnsi="Times New Roman" w:cs="Times New Roman"/>
                <w:sz w:val="28"/>
                <w:szCs w:val="28"/>
              </w:rPr>
              <w:t xml:space="preserve"> 67.§., kas nosaka attiecīgo nozaru izstrādājamo normatīvo aktu saistībā ar administratīvo pārkāpumu kodifikācijas ieviešanas sistēmas īstenošanu, </w:t>
            </w:r>
            <w:r w:rsidR="00B25423" w:rsidRPr="006E0106">
              <w:rPr>
                <w:rFonts w:ascii="Times New Roman" w:eastAsia="Times New Roman" w:hAnsi="Times New Roman" w:cs="Times New Roman"/>
                <w:sz w:val="28"/>
                <w:szCs w:val="28"/>
              </w:rPr>
              <w:t>3.1.apakšpunktā uzliktās saistības;</w:t>
            </w:r>
          </w:p>
          <w:p w:rsidR="00DA6858" w:rsidRPr="00614E71" w:rsidRDefault="00DA6858" w:rsidP="00DA6858">
            <w:pPr>
              <w:pStyle w:val="ListParagraph"/>
              <w:numPr>
                <w:ilvl w:val="0"/>
                <w:numId w:val="9"/>
              </w:numPr>
              <w:spacing w:after="0" w:line="240" w:lineRule="auto"/>
              <w:jc w:val="both"/>
              <w:rPr>
                <w:rFonts w:ascii="Times New Roman" w:eastAsia="Times New Roman" w:hAnsi="Times New Roman" w:cs="Times New Roman"/>
                <w:sz w:val="28"/>
                <w:szCs w:val="28"/>
              </w:rPr>
            </w:pPr>
            <w:r w:rsidRPr="00614E71">
              <w:rPr>
                <w:rFonts w:ascii="Times New Roman" w:eastAsia="Times New Roman" w:hAnsi="Times New Roman" w:cs="Times New Roman"/>
                <w:sz w:val="28"/>
                <w:szCs w:val="28"/>
              </w:rPr>
              <w:t>lai izpildītu ar Ministru kabineta 2014.gada 22.aprīļa protokola Nr.24</w:t>
            </w:r>
            <w:r w:rsidR="00AF66DA">
              <w:rPr>
                <w:rFonts w:ascii="Times New Roman" w:eastAsia="Times New Roman" w:hAnsi="Times New Roman" w:cs="Times New Roman"/>
                <w:sz w:val="28"/>
                <w:szCs w:val="28"/>
              </w:rPr>
              <w:t>,</w:t>
            </w:r>
            <w:r w:rsidRPr="00614E71">
              <w:rPr>
                <w:rFonts w:ascii="Times New Roman" w:eastAsia="Times New Roman" w:hAnsi="Times New Roman" w:cs="Times New Roman"/>
                <w:sz w:val="28"/>
                <w:szCs w:val="28"/>
              </w:rPr>
              <w:t xml:space="preserve"> 26.§</w:t>
            </w:r>
            <w:r w:rsidR="00AF66DA">
              <w:rPr>
                <w:rFonts w:ascii="Times New Roman" w:eastAsia="Times New Roman" w:hAnsi="Times New Roman" w:cs="Times New Roman"/>
                <w:sz w:val="28"/>
                <w:szCs w:val="28"/>
              </w:rPr>
              <w:t>.</w:t>
            </w:r>
            <w:r w:rsidRPr="00614E71">
              <w:rPr>
                <w:rFonts w:ascii="Times New Roman" w:eastAsia="Times New Roman" w:hAnsi="Times New Roman" w:cs="Times New Roman"/>
                <w:sz w:val="28"/>
                <w:szCs w:val="28"/>
              </w:rPr>
              <w:t xml:space="preserve">, </w:t>
            </w:r>
            <w:r w:rsidR="006711A8" w:rsidRPr="00614E71">
              <w:rPr>
                <w:rFonts w:ascii="Times New Roman" w:eastAsia="Times New Roman" w:hAnsi="Times New Roman" w:cs="Times New Roman"/>
                <w:sz w:val="28"/>
                <w:szCs w:val="28"/>
              </w:rPr>
              <w:t>„Informatīvais ziņojums „</w:t>
            </w:r>
            <w:r w:rsidRPr="00614E71">
              <w:rPr>
                <w:rFonts w:ascii="Times New Roman" w:eastAsia="Times New Roman" w:hAnsi="Times New Roman" w:cs="Times New Roman"/>
                <w:sz w:val="28"/>
                <w:szCs w:val="28"/>
              </w:rPr>
              <w:t xml:space="preserve">Nozaru administratīvo pārkāpumu kodifikācijas ieviešanas sistēma”” </w:t>
            </w:r>
            <w:r w:rsidR="00AF66DA">
              <w:rPr>
                <w:rFonts w:ascii="Times New Roman" w:eastAsia="Times New Roman" w:hAnsi="Times New Roman" w:cs="Times New Roman"/>
                <w:sz w:val="28"/>
                <w:szCs w:val="28"/>
              </w:rPr>
              <w:t>(</w:t>
            </w:r>
            <w:r w:rsidRPr="00614E71">
              <w:rPr>
                <w:rFonts w:ascii="Times New Roman" w:eastAsia="Times New Roman" w:hAnsi="Times New Roman" w:cs="Times New Roman"/>
                <w:sz w:val="28"/>
                <w:szCs w:val="28"/>
              </w:rPr>
              <w:t>TA-775</w:t>
            </w:r>
            <w:r w:rsidR="00AF66DA">
              <w:rPr>
                <w:rFonts w:ascii="Times New Roman" w:eastAsia="Times New Roman" w:hAnsi="Times New Roman" w:cs="Times New Roman"/>
                <w:sz w:val="28"/>
                <w:szCs w:val="28"/>
              </w:rPr>
              <w:t>)</w:t>
            </w:r>
            <w:r w:rsidRPr="00614E71">
              <w:rPr>
                <w:rFonts w:ascii="Times New Roman" w:eastAsia="Times New Roman" w:hAnsi="Times New Roman" w:cs="Times New Roman"/>
                <w:sz w:val="28"/>
                <w:szCs w:val="28"/>
              </w:rPr>
              <w:t xml:space="preserve"> uzliktās saistības;</w:t>
            </w:r>
          </w:p>
          <w:p w:rsidR="00DA6858" w:rsidRPr="00614E71" w:rsidRDefault="00DA6858" w:rsidP="00DA6858">
            <w:pPr>
              <w:pStyle w:val="ListParagraph"/>
              <w:numPr>
                <w:ilvl w:val="0"/>
                <w:numId w:val="9"/>
              </w:numPr>
              <w:spacing w:after="0" w:line="240" w:lineRule="auto"/>
              <w:jc w:val="both"/>
              <w:rPr>
                <w:rFonts w:eastAsia="Times New Roman" w:cs="Times New Roman"/>
                <w:sz w:val="28"/>
                <w:szCs w:val="28"/>
                <w:lang w:eastAsia="lv-LV"/>
              </w:rPr>
            </w:pPr>
            <w:r w:rsidRPr="00614E71">
              <w:rPr>
                <w:rFonts w:ascii="Times New Roman" w:eastAsia="Times New Roman" w:hAnsi="Times New Roman" w:cs="Times New Roman"/>
                <w:sz w:val="28"/>
                <w:szCs w:val="28"/>
              </w:rPr>
              <w:t>lai izpildītu ar Ministru kabine</w:t>
            </w:r>
            <w:r w:rsidR="00AF66DA">
              <w:rPr>
                <w:rFonts w:ascii="Times New Roman" w:eastAsia="Times New Roman" w:hAnsi="Times New Roman" w:cs="Times New Roman"/>
                <w:sz w:val="28"/>
                <w:szCs w:val="28"/>
              </w:rPr>
              <w:t>ta 2013.gada 4.februāra rīkojumu</w:t>
            </w:r>
            <w:r w:rsidRPr="00614E71">
              <w:rPr>
                <w:rFonts w:ascii="Times New Roman" w:eastAsia="Times New Roman" w:hAnsi="Times New Roman" w:cs="Times New Roman"/>
                <w:sz w:val="28"/>
                <w:szCs w:val="28"/>
              </w:rPr>
              <w:t xml:space="preserve"> Nr.38 (prot. Nr.5</w:t>
            </w:r>
            <w:r w:rsidR="00AF66DA">
              <w:rPr>
                <w:rFonts w:ascii="Times New Roman" w:eastAsia="Times New Roman" w:hAnsi="Times New Roman" w:cs="Times New Roman"/>
                <w:sz w:val="28"/>
                <w:szCs w:val="28"/>
              </w:rPr>
              <w:t xml:space="preserve">, </w:t>
            </w:r>
            <w:r w:rsidRPr="00614E71">
              <w:rPr>
                <w:rFonts w:ascii="Times New Roman" w:eastAsia="Times New Roman" w:hAnsi="Times New Roman" w:cs="Times New Roman"/>
                <w:sz w:val="28"/>
                <w:szCs w:val="28"/>
              </w:rPr>
              <w:t>30.§</w:t>
            </w:r>
            <w:r w:rsidR="00AF66DA">
              <w:rPr>
                <w:rFonts w:ascii="Times New Roman" w:eastAsia="Times New Roman" w:hAnsi="Times New Roman" w:cs="Times New Roman"/>
                <w:sz w:val="28"/>
                <w:szCs w:val="28"/>
              </w:rPr>
              <w:t>.</w:t>
            </w:r>
            <w:r w:rsidRPr="00614E71">
              <w:rPr>
                <w:rFonts w:ascii="Times New Roman" w:eastAsia="Times New Roman" w:hAnsi="Times New Roman" w:cs="Times New Roman"/>
                <w:sz w:val="28"/>
                <w:szCs w:val="28"/>
              </w:rPr>
              <w:t xml:space="preserve">) </w:t>
            </w:r>
            <w:r w:rsidR="006711A8" w:rsidRPr="00614E71">
              <w:rPr>
                <w:rFonts w:ascii="Times New Roman" w:eastAsia="Times New Roman" w:hAnsi="Times New Roman" w:cs="Times New Roman"/>
                <w:sz w:val="28"/>
                <w:szCs w:val="28"/>
              </w:rPr>
              <w:t>„</w:t>
            </w:r>
            <w:r w:rsidRPr="00614E71">
              <w:rPr>
                <w:rFonts w:ascii="Times New Roman" w:eastAsia="Times New Roman" w:hAnsi="Times New Roman" w:cs="Times New Roman"/>
                <w:sz w:val="28"/>
                <w:szCs w:val="28"/>
              </w:rPr>
              <w:t>Par Administratīvo sodu sistēmas attīstības koncepciju” uzliktās saistības.</w:t>
            </w:r>
          </w:p>
        </w:tc>
      </w:tr>
      <w:tr w:rsidR="00614E71" w:rsidRPr="00614E71" w:rsidTr="000E6716">
        <w:trPr>
          <w:gridBefore w:val="1"/>
          <w:gridAfter w:val="1"/>
          <w:wBefore w:w="5" w:type="dxa"/>
          <w:wAfter w:w="113" w:type="dxa"/>
          <w:trHeight w:val="20"/>
          <w:tblCellSpacing w:w="15" w:type="dxa"/>
        </w:trPr>
        <w:tc>
          <w:tcPr>
            <w:tcW w:w="631"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2.</w:t>
            </w:r>
          </w:p>
        </w:tc>
        <w:tc>
          <w:tcPr>
            <w:tcW w:w="1513" w:type="dxa"/>
            <w:tcBorders>
              <w:top w:val="outset" w:sz="6" w:space="0" w:color="auto"/>
              <w:left w:val="outset" w:sz="6" w:space="0" w:color="auto"/>
              <w:bottom w:val="outset" w:sz="6" w:space="0" w:color="auto"/>
              <w:right w:val="outset" w:sz="6" w:space="0" w:color="auto"/>
            </w:tcBorders>
            <w:hideMark/>
          </w:tcPr>
          <w:p w:rsidR="00614E71" w:rsidRPr="00614E71" w:rsidRDefault="00DA6858" w:rsidP="00A02B75">
            <w:pPr>
              <w:rPr>
                <w:rFonts w:eastAsia="Times New Roman" w:cs="Times New Roman"/>
                <w:szCs w:val="28"/>
                <w:lang w:eastAsia="lv-LV"/>
              </w:rPr>
            </w:pPr>
            <w:r w:rsidRPr="00614E71">
              <w:rPr>
                <w:rFonts w:eastAsia="Times New Roman" w:cs="Times New Roman"/>
                <w:szCs w:val="28"/>
                <w:lang w:eastAsia="lv-LV"/>
              </w:rPr>
              <w:t>Pašreizējā situācija un problēmas, kuru risināšanai tiesību akta projekts izstrādāts, tiesiskā regulējuma mērķis un būtība</w:t>
            </w:r>
          </w:p>
          <w:p w:rsidR="00614E71" w:rsidRPr="00614E71" w:rsidRDefault="00614E71" w:rsidP="00614E71">
            <w:pPr>
              <w:rPr>
                <w:rFonts w:eastAsia="Times New Roman" w:cs="Times New Roman"/>
                <w:szCs w:val="28"/>
                <w:lang w:eastAsia="lv-LV"/>
              </w:rPr>
            </w:pPr>
          </w:p>
          <w:p w:rsidR="00614E71" w:rsidRPr="00614E71" w:rsidRDefault="00614E71" w:rsidP="00614E71">
            <w:pPr>
              <w:rPr>
                <w:rFonts w:eastAsia="Times New Roman" w:cs="Times New Roman"/>
                <w:szCs w:val="28"/>
                <w:lang w:eastAsia="lv-LV"/>
              </w:rPr>
            </w:pPr>
          </w:p>
          <w:p w:rsidR="00DA6858" w:rsidRPr="00614E71" w:rsidRDefault="00DA6858" w:rsidP="00614E71">
            <w:pPr>
              <w:jc w:val="right"/>
              <w:rPr>
                <w:rFonts w:eastAsia="Times New Roman" w:cs="Times New Roman"/>
                <w:szCs w:val="28"/>
                <w:lang w:eastAsia="lv-LV"/>
              </w:rPr>
            </w:pPr>
          </w:p>
        </w:tc>
        <w:tc>
          <w:tcPr>
            <w:tcW w:w="6874" w:type="dxa"/>
            <w:gridSpan w:val="4"/>
            <w:tcBorders>
              <w:top w:val="outset" w:sz="6" w:space="0" w:color="auto"/>
              <w:left w:val="outset" w:sz="6" w:space="0" w:color="auto"/>
              <w:bottom w:val="outset" w:sz="6" w:space="0" w:color="auto"/>
              <w:right w:val="outset" w:sz="6" w:space="0" w:color="auto"/>
            </w:tcBorders>
            <w:hideMark/>
          </w:tcPr>
          <w:p w:rsidR="00DA6858" w:rsidRPr="00F360C3" w:rsidRDefault="00DA6858" w:rsidP="00E97B4D">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8"/>
                <w:szCs w:val="28"/>
                <w:lang w:val="lv-LV"/>
              </w:rPr>
            </w:pPr>
            <w:r w:rsidRPr="00F360C3">
              <w:rPr>
                <w:sz w:val="28"/>
                <w:szCs w:val="28"/>
                <w:lang w:val="lv-LV"/>
              </w:rPr>
              <w:t>2014.gada 22.aprīlī Ministru kabinetā tika apsti</w:t>
            </w:r>
            <w:r w:rsidR="00C651D3" w:rsidRPr="00F360C3">
              <w:rPr>
                <w:sz w:val="28"/>
                <w:szCs w:val="28"/>
                <w:lang w:val="lv-LV"/>
              </w:rPr>
              <w:t xml:space="preserve">prināts informatīvais ziņojums </w:t>
            </w:r>
            <w:r w:rsidR="00C651D3" w:rsidRPr="00F360C3">
              <w:rPr>
                <w:szCs w:val="28"/>
                <w:lang w:val="lv-LV" w:eastAsia="lv-LV"/>
              </w:rPr>
              <w:t>„</w:t>
            </w:r>
            <w:r w:rsidRPr="00F360C3">
              <w:rPr>
                <w:sz w:val="28"/>
                <w:szCs w:val="28"/>
                <w:lang w:val="lv-LV"/>
              </w:rPr>
              <w:t>Nozaru administratīvo pārkāpumu kodifikāc</w:t>
            </w:r>
            <w:r w:rsidR="00AF66DA" w:rsidRPr="00F360C3">
              <w:rPr>
                <w:sz w:val="28"/>
                <w:szCs w:val="28"/>
                <w:lang w:val="lv-LV"/>
              </w:rPr>
              <w:t>ijas ieviešanas sistēma” (prot. N</w:t>
            </w:r>
            <w:r w:rsidRPr="00F360C3">
              <w:rPr>
                <w:sz w:val="28"/>
                <w:szCs w:val="28"/>
                <w:lang w:val="lv-LV"/>
              </w:rPr>
              <w:t>r.24, 26</w:t>
            </w:r>
            <w:r w:rsidR="00AF66DA" w:rsidRPr="00F360C3">
              <w:rPr>
                <w:sz w:val="28"/>
                <w:szCs w:val="28"/>
                <w:lang w:val="lv-LV"/>
              </w:rPr>
              <w:t>.</w:t>
            </w:r>
            <w:r w:rsidRPr="00F360C3">
              <w:rPr>
                <w:sz w:val="28"/>
                <w:szCs w:val="28"/>
                <w:lang w:val="lv-LV"/>
              </w:rPr>
              <w:t xml:space="preserve">§), saskaņā </w:t>
            </w:r>
            <w:r w:rsidR="00AF66DA" w:rsidRPr="00F360C3">
              <w:rPr>
                <w:sz w:val="28"/>
                <w:szCs w:val="28"/>
                <w:lang w:val="lv-LV"/>
              </w:rPr>
              <w:t>ar kuru informatīvā ziņojuma 1.</w:t>
            </w:r>
            <w:bookmarkStart w:id="4" w:name="_GoBack"/>
            <w:bookmarkEnd w:id="4"/>
            <w:r w:rsidRPr="00F360C3">
              <w:rPr>
                <w:sz w:val="28"/>
                <w:szCs w:val="28"/>
                <w:lang w:val="lv-LV"/>
              </w:rPr>
              <w:t>pielikumā minētajām atbildīgajām ministrijām ir pienākums to kompetencē esošajos nozares likumos izstrādāt grozījumus, lai tajos tiktu ietverti administratīvie pārkāpumi un kompetentās iestādes par administratīvo sodu piemērošanu</w:t>
            </w:r>
            <w:r w:rsidR="00B61F79" w:rsidRPr="00F360C3">
              <w:rPr>
                <w:sz w:val="28"/>
                <w:szCs w:val="28"/>
                <w:lang w:val="lv-LV"/>
              </w:rPr>
              <w:t>.</w:t>
            </w:r>
          </w:p>
          <w:p w:rsidR="00071CA7" w:rsidRPr="00F360C3" w:rsidRDefault="00DA6858" w:rsidP="00071C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bCs/>
                <w:sz w:val="28"/>
                <w:szCs w:val="28"/>
                <w:lang w:val="lv-LV" w:eastAsia="lv-LV"/>
              </w:rPr>
            </w:pPr>
            <w:r w:rsidRPr="00F360C3">
              <w:rPr>
                <w:bCs/>
                <w:sz w:val="28"/>
                <w:szCs w:val="28"/>
                <w:shd w:val="clear" w:color="auto" w:fill="FFFFFF"/>
                <w:lang w:val="lv-LV"/>
              </w:rPr>
              <w:t>L</w:t>
            </w:r>
            <w:r w:rsidRPr="00F360C3">
              <w:rPr>
                <w:sz w:val="28"/>
                <w:szCs w:val="28"/>
                <w:lang w:val="lv-LV"/>
              </w:rPr>
              <w:t>ikumprojekta galvenā būtība ir papildināt</w:t>
            </w:r>
            <w:r w:rsidRPr="00F360C3">
              <w:rPr>
                <w:bCs/>
                <w:sz w:val="28"/>
                <w:szCs w:val="28"/>
                <w:lang w:val="lv-LV" w:eastAsia="lv-LV"/>
              </w:rPr>
              <w:t xml:space="preserve"> spēkā esošo normatīvo regulējumu tādā apmērā, cik tas nepieciešams, lai pārņemtu </w:t>
            </w:r>
            <w:r w:rsidR="00516D7D" w:rsidRPr="00F360C3">
              <w:rPr>
                <w:bCs/>
                <w:sz w:val="28"/>
                <w:szCs w:val="28"/>
                <w:lang w:val="lv-LV" w:eastAsia="lv-LV"/>
              </w:rPr>
              <w:t xml:space="preserve">Latvijas </w:t>
            </w:r>
            <w:r w:rsidRPr="00F360C3">
              <w:rPr>
                <w:bCs/>
                <w:sz w:val="28"/>
                <w:szCs w:val="28"/>
                <w:lang w:val="lv-LV" w:eastAsia="lv-LV"/>
              </w:rPr>
              <w:t>Administratīvo pārkāpumu kodeksa</w:t>
            </w:r>
            <w:r w:rsidR="00B61F79" w:rsidRPr="00F360C3">
              <w:rPr>
                <w:bCs/>
                <w:sz w:val="28"/>
                <w:szCs w:val="28"/>
                <w:lang w:val="lv-LV" w:eastAsia="lv-LV"/>
              </w:rPr>
              <w:t xml:space="preserve"> </w:t>
            </w:r>
            <w:r w:rsidR="00B61F79" w:rsidRPr="00F360C3">
              <w:rPr>
                <w:sz w:val="28"/>
                <w:szCs w:val="28"/>
                <w:lang w:val="lv-LV"/>
              </w:rPr>
              <w:t>(turpmāk – LAPK)</w:t>
            </w:r>
            <w:r w:rsidRPr="00F360C3">
              <w:rPr>
                <w:bCs/>
                <w:sz w:val="28"/>
                <w:szCs w:val="28"/>
                <w:lang w:val="lv-LV" w:eastAsia="lv-LV"/>
              </w:rPr>
              <w:t xml:space="preserve"> tiesību normas. Likumprojekts izstrādāts, lai iekļautu </w:t>
            </w:r>
            <w:r w:rsidR="00E97B4D" w:rsidRPr="00F360C3">
              <w:rPr>
                <w:bCs/>
                <w:sz w:val="28"/>
                <w:szCs w:val="28"/>
                <w:lang w:val="lv-LV" w:eastAsia="lv-LV"/>
              </w:rPr>
              <w:t xml:space="preserve">Enerģētikas </w:t>
            </w:r>
            <w:r w:rsidRPr="00F360C3">
              <w:rPr>
                <w:bCs/>
                <w:sz w:val="28"/>
                <w:szCs w:val="28"/>
                <w:lang w:val="lv-LV" w:eastAsia="lv-LV"/>
              </w:rPr>
              <w:t>likumā administratīvos pārkāpumus</w:t>
            </w:r>
            <w:r w:rsidR="00E97B4D" w:rsidRPr="00F360C3">
              <w:rPr>
                <w:sz w:val="28"/>
                <w:szCs w:val="28"/>
                <w:lang w:val="lv-LV"/>
              </w:rPr>
              <w:t xml:space="preserve"> par normatīvajos aktos noteikto prasību un aprobežojumu</w:t>
            </w:r>
            <w:r w:rsidR="00E97B4D" w:rsidRPr="00F360C3">
              <w:rPr>
                <w:bCs/>
                <w:sz w:val="28"/>
                <w:szCs w:val="28"/>
                <w:lang w:val="lv-LV" w:eastAsia="lv-LV"/>
              </w:rPr>
              <w:t xml:space="preserve"> neievērošanu enerģētikas </w:t>
            </w:r>
            <w:r w:rsidRPr="00F360C3">
              <w:rPr>
                <w:bCs/>
                <w:sz w:val="28"/>
                <w:szCs w:val="28"/>
                <w:lang w:val="lv-LV" w:eastAsia="lv-LV"/>
              </w:rPr>
              <w:t>jomā, kas noteikti LAPK</w:t>
            </w:r>
            <w:r w:rsidR="00326C14" w:rsidRPr="00F360C3">
              <w:rPr>
                <w:bCs/>
                <w:sz w:val="28"/>
                <w:szCs w:val="28"/>
                <w:lang w:val="lv-LV" w:eastAsia="lv-LV"/>
              </w:rPr>
              <w:t xml:space="preserve"> 94., 98. un 98.</w:t>
            </w:r>
            <w:r w:rsidR="00326C14" w:rsidRPr="00F360C3">
              <w:rPr>
                <w:bCs/>
                <w:sz w:val="28"/>
                <w:szCs w:val="28"/>
                <w:vertAlign w:val="superscript"/>
                <w:lang w:val="lv-LV" w:eastAsia="lv-LV"/>
              </w:rPr>
              <w:t xml:space="preserve">1 </w:t>
            </w:r>
            <w:r w:rsidR="00326C14" w:rsidRPr="00F360C3">
              <w:rPr>
                <w:bCs/>
                <w:sz w:val="28"/>
                <w:szCs w:val="28"/>
                <w:lang w:val="lv-LV" w:eastAsia="lv-LV"/>
              </w:rPr>
              <w:t>pantā</w:t>
            </w:r>
            <w:r w:rsidRPr="00F360C3">
              <w:rPr>
                <w:bCs/>
                <w:sz w:val="28"/>
                <w:szCs w:val="28"/>
                <w:lang w:val="lv-LV" w:eastAsia="lv-LV"/>
              </w:rPr>
              <w:t>, kā arī lai noteiktu kompetento iestādi, kas var piemērot administratīvos sodus.</w:t>
            </w:r>
            <w:r w:rsidR="00071CA7" w:rsidRPr="00F360C3">
              <w:rPr>
                <w:bCs/>
                <w:sz w:val="28"/>
                <w:szCs w:val="28"/>
                <w:lang w:val="lv-LV" w:eastAsia="lv-LV"/>
              </w:rPr>
              <w:t xml:space="preserve"> </w:t>
            </w:r>
          </w:p>
          <w:p w:rsidR="00412F3D" w:rsidRPr="00F360C3" w:rsidRDefault="00DA6858" w:rsidP="00A171D8">
            <w:pPr>
              <w:pStyle w:val="tv213"/>
              <w:spacing w:before="0" w:beforeAutospacing="0" w:after="0" w:afterAutospacing="0" w:line="293" w:lineRule="atLeast"/>
              <w:jc w:val="both"/>
              <w:rPr>
                <w:bCs/>
                <w:sz w:val="28"/>
                <w:szCs w:val="28"/>
              </w:rPr>
            </w:pPr>
            <w:r w:rsidRPr="00F360C3">
              <w:rPr>
                <w:bCs/>
                <w:sz w:val="28"/>
                <w:szCs w:val="28"/>
              </w:rPr>
              <w:t xml:space="preserve">Likumprojekts papildina </w:t>
            </w:r>
            <w:r w:rsidR="00E97B4D" w:rsidRPr="00F360C3">
              <w:rPr>
                <w:bCs/>
                <w:sz w:val="28"/>
                <w:szCs w:val="28"/>
              </w:rPr>
              <w:t xml:space="preserve">Enerģētikas </w:t>
            </w:r>
            <w:r w:rsidRPr="00F360C3">
              <w:rPr>
                <w:bCs/>
                <w:sz w:val="28"/>
                <w:szCs w:val="28"/>
              </w:rPr>
              <w:t xml:space="preserve">likumu ar jaunu </w:t>
            </w:r>
            <w:r w:rsidR="00E97B4D" w:rsidRPr="00F360C3">
              <w:rPr>
                <w:sz w:val="28"/>
                <w:szCs w:val="28"/>
              </w:rPr>
              <w:t>XVI</w:t>
            </w:r>
            <w:r w:rsidRPr="00F360C3">
              <w:rPr>
                <w:bCs/>
                <w:sz w:val="28"/>
                <w:szCs w:val="28"/>
              </w:rPr>
              <w:t xml:space="preserve"> nodaļu: </w:t>
            </w:r>
            <w:r w:rsidR="00E97B4D" w:rsidRPr="00F360C3">
              <w:rPr>
                <w:bCs/>
                <w:sz w:val="28"/>
                <w:szCs w:val="28"/>
              </w:rPr>
              <w:t>„Administratīvā atbildība enerģētikas jomā un kompetence sodu piemērošanā</w:t>
            </w:r>
            <w:r w:rsidRPr="00F360C3">
              <w:rPr>
                <w:bCs/>
                <w:sz w:val="28"/>
                <w:szCs w:val="28"/>
              </w:rPr>
              <w:t>”, kas sastāv no diviem</w:t>
            </w:r>
            <w:r w:rsidR="00033D87" w:rsidRPr="00F360C3">
              <w:rPr>
                <w:bCs/>
                <w:sz w:val="28"/>
                <w:szCs w:val="28"/>
              </w:rPr>
              <w:t xml:space="preserve"> jauniem pantiem. Likumproj</w:t>
            </w:r>
            <w:r w:rsidR="00DD0074" w:rsidRPr="00F360C3">
              <w:rPr>
                <w:bCs/>
                <w:sz w:val="28"/>
                <w:szCs w:val="28"/>
              </w:rPr>
              <w:t xml:space="preserve">ekta 117.panta </w:t>
            </w:r>
            <w:r w:rsidR="00860878" w:rsidRPr="00F360C3">
              <w:rPr>
                <w:bCs/>
                <w:sz w:val="28"/>
                <w:szCs w:val="28"/>
              </w:rPr>
              <w:t>četr</w:t>
            </w:r>
            <w:r w:rsidR="00566DFC" w:rsidRPr="00F360C3">
              <w:rPr>
                <w:bCs/>
                <w:sz w:val="28"/>
                <w:szCs w:val="28"/>
              </w:rPr>
              <w:t>ā</w:t>
            </w:r>
            <w:r w:rsidR="00860878" w:rsidRPr="00F360C3">
              <w:rPr>
                <w:bCs/>
                <w:sz w:val="28"/>
                <w:szCs w:val="28"/>
              </w:rPr>
              <w:t>s</w:t>
            </w:r>
            <w:r w:rsidR="00DD0074" w:rsidRPr="00F360C3">
              <w:rPr>
                <w:bCs/>
                <w:sz w:val="28"/>
                <w:szCs w:val="28"/>
              </w:rPr>
              <w:t xml:space="preserve"> daļās ir </w:t>
            </w:r>
            <w:r w:rsidR="00033D87" w:rsidRPr="00F360C3">
              <w:rPr>
                <w:bCs/>
                <w:sz w:val="28"/>
                <w:szCs w:val="28"/>
              </w:rPr>
              <w:t>noteikti pārkāp</w:t>
            </w:r>
            <w:r w:rsidR="00240EAC" w:rsidRPr="00F360C3">
              <w:rPr>
                <w:bCs/>
                <w:sz w:val="28"/>
                <w:szCs w:val="28"/>
              </w:rPr>
              <w:t xml:space="preserve">umu veidi un atbilstoši </w:t>
            </w:r>
            <w:r w:rsidR="00E31DD8" w:rsidRPr="00F360C3">
              <w:rPr>
                <w:bCs/>
                <w:sz w:val="28"/>
                <w:szCs w:val="28"/>
              </w:rPr>
              <w:t xml:space="preserve"> naudas soda apmēri.</w:t>
            </w:r>
            <w:r w:rsidR="000A7032" w:rsidRPr="00F360C3">
              <w:rPr>
                <w:bCs/>
                <w:sz w:val="28"/>
                <w:szCs w:val="28"/>
              </w:rPr>
              <w:t xml:space="preserve"> </w:t>
            </w:r>
            <w:r w:rsidR="00E31DD8" w:rsidRPr="00F360C3">
              <w:rPr>
                <w:bCs/>
                <w:sz w:val="28"/>
                <w:szCs w:val="28"/>
              </w:rPr>
              <w:t xml:space="preserve"> Pēdējo desmit gadu laikā naudas soda apmēri nav pārskatīti, </w:t>
            </w:r>
            <w:r w:rsidR="0093627C" w:rsidRPr="00F360C3">
              <w:rPr>
                <w:bCs/>
                <w:sz w:val="28"/>
                <w:szCs w:val="28"/>
              </w:rPr>
              <w:t>tie šobrīd ir tik nelieli, ka praktiski nepilda</w:t>
            </w:r>
            <w:r w:rsidR="008265C9" w:rsidRPr="00F360C3">
              <w:rPr>
                <w:bCs/>
                <w:sz w:val="28"/>
                <w:szCs w:val="28"/>
              </w:rPr>
              <w:t xml:space="preserve"> </w:t>
            </w:r>
            <w:r w:rsidR="00C442F7" w:rsidRPr="00F360C3">
              <w:rPr>
                <w:bCs/>
                <w:sz w:val="28"/>
                <w:szCs w:val="28"/>
              </w:rPr>
              <w:t>vismaz vienu no t</w:t>
            </w:r>
            <w:r w:rsidR="009639C8" w:rsidRPr="00F360C3">
              <w:rPr>
                <w:bCs/>
                <w:sz w:val="28"/>
                <w:szCs w:val="28"/>
              </w:rPr>
              <w:t>o</w:t>
            </w:r>
            <w:r w:rsidR="008265C9" w:rsidRPr="00F360C3">
              <w:rPr>
                <w:bCs/>
                <w:sz w:val="28"/>
                <w:szCs w:val="28"/>
              </w:rPr>
              <w:t xml:space="preserve"> noteikšan</w:t>
            </w:r>
            <w:r w:rsidR="00C442F7" w:rsidRPr="00F360C3">
              <w:rPr>
                <w:bCs/>
                <w:sz w:val="28"/>
                <w:szCs w:val="28"/>
              </w:rPr>
              <w:t>as mērķiem</w:t>
            </w:r>
            <w:r w:rsidR="008265C9" w:rsidRPr="00F360C3">
              <w:rPr>
                <w:bCs/>
                <w:sz w:val="28"/>
                <w:szCs w:val="28"/>
              </w:rPr>
              <w:t>, kā</w:t>
            </w:r>
            <w:r w:rsidR="006E0106" w:rsidRPr="00F360C3">
              <w:rPr>
                <w:bCs/>
                <w:sz w:val="28"/>
                <w:szCs w:val="28"/>
              </w:rPr>
              <w:t>, piemēram,</w:t>
            </w:r>
            <w:r w:rsidR="0093627C" w:rsidRPr="00F360C3">
              <w:rPr>
                <w:bCs/>
                <w:sz w:val="28"/>
                <w:szCs w:val="28"/>
              </w:rPr>
              <w:t xml:space="preserve"> </w:t>
            </w:r>
            <w:r w:rsidR="0093627C" w:rsidRPr="00F360C3">
              <w:rPr>
                <w:sz w:val="28"/>
                <w:szCs w:val="28"/>
              </w:rPr>
              <w:t>preventīv</w:t>
            </w:r>
            <w:r w:rsidR="00C442F7" w:rsidRPr="00F360C3">
              <w:rPr>
                <w:sz w:val="28"/>
                <w:szCs w:val="28"/>
              </w:rPr>
              <w:t>s</w:t>
            </w:r>
            <w:r w:rsidR="0093627C" w:rsidRPr="00F360C3">
              <w:rPr>
                <w:sz w:val="28"/>
                <w:szCs w:val="28"/>
              </w:rPr>
              <w:t xml:space="preserve"> pasākum</w:t>
            </w:r>
            <w:r w:rsidR="00C442F7" w:rsidRPr="00F360C3">
              <w:rPr>
                <w:sz w:val="28"/>
                <w:szCs w:val="28"/>
              </w:rPr>
              <w:t>s</w:t>
            </w:r>
            <w:r w:rsidR="0093627C" w:rsidRPr="00F360C3">
              <w:rPr>
                <w:sz w:val="28"/>
                <w:szCs w:val="28"/>
              </w:rPr>
              <w:t xml:space="preserve"> patvaļīgu darbību novēršanai, tādejādi mazinot gadījumus saukšan</w:t>
            </w:r>
            <w:r w:rsidR="008265C9" w:rsidRPr="00F360C3">
              <w:rPr>
                <w:sz w:val="28"/>
                <w:szCs w:val="28"/>
              </w:rPr>
              <w:t>ai</w:t>
            </w:r>
            <w:r w:rsidR="0093627C" w:rsidRPr="00F360C3">
              <w:rPr>
                <w:sz w:val="28"/>
                <w:szCs w:val="28"/>
              </w:rPr>
              <w:t xml:space="preserve"> pie kriminālatbildības</w:t>
            </w:r>
            <w:r w:rsidR="000E6716" w:rsidRPr="00F360C3">
              <w:rPr>
                <w:sz w:val="28"/>
                <w:szCs w:val="28"/>
              </w:rPr>
              <w:t xml:space="preserve">. </w:t>
            </w:r>
            <w:r w:rsidR="00516D7D" w:rsidRPr="00F360C3">
              <w:rPr>
                <w:sz w:val="28"/>
                <w:szCs w:val="28"/>
              </w:rPr>
              <w:t xml:space="preserve">Tādēļ, </w:t>
            </w:r>
            <w:r w:rsidR="00516D7D" w:rsidRPr="00F360C3">
              <w:rPr>
                <w:bCs/>
                <w:sz w:val="28"/>
                <w:szCs w:val="28"/>
              </w:rPr>
              <w:t xml:space="preserve">naudas soda apmēri ir pārskatīti un palielināti. </w:t>
            </w:r>
            <w:r w:rsidR="000A7032" w:rsidRPr="00F360C3">
              <w:rPr>
                <w:bCs/>
                <w:sz w:val="28"/>
                <w:szCs w:val="28"/>
              </w:rPr>
              <w:t>Likumprojekta 117.pantā tiek aktualizēta terminoloģija atbilstoši enerģētikas jomā un tieši Enerģētikas likumā lietotajai. Piemēram, vārd</w:t>
            </w:r>
            <w:r w:rsidR="00135933" w:rsidRPr="00F360C3">
              <w:rPr>
                <w:bCs/>
                <w:sz w:val="28"/>
                <w:szCs w:val="28"/>
              </w:rPr>
              <w:t>a</w:t>
            </w:r>
            <w:r w:rsidR="000A7032" w:rsidRPr="00F360C3">
              <w:rPr>
                <w:bCs/>
                <w:sz w:val="28"/>
                <w:szCs w:val="28"/>
              </w:rPr>
              <w:t xml:space="preserve"> “gāze”, </w:t>
            </w:r>
            <w:r w:rsidR="0004663C" w:rsidRPr="00F360C3">
              <w:rPr>
                <w:bCs/>
                <w:sz w:val="28"/>
                <w:szCs w:val="28"/>
              </w:rPr>
              <w:t>kas pēc būtības ir</w:t>
            </w:r>
            <w:r w:rsidR="000A7032" w:rsidRPr="00F360C3">
              <w:rPr>
                <w:bCs/>
                <w:sz w:val="28"/>
                <w:szCs w:val="28"/>
              </w:rPr>
              <w:t xml:space="preserve"> vielas agregātstāvokli</w:t>
            </w:r>
            <w:r w:rsidR="00135933" w:rsidRPr="00F360C3">
              <w:rPr>
                <w:bCs/>
                <w:sz w:val="28"/>
                <w:szCs w:val="28"/>
              </w:rPr>
              <w:t>s</w:t>
            </w:r>
            <w:r w:rsidR="000A7032" w:rsidRPr="00F360C3">
              <w:rPr>
                <w:bCs/>
                <w:sz w:val="28"/>
                <w:szCs w:val="28"/>
              </w:rPr>
              <w:t xml:space="preserve">, </w:t>
            </w:r>
            <w:r w:rsidR="00135933" w:rsidRPr="00F360C3">
              <w:rPr>
                <w:bCs/>
                <w:sz w:val="28"/>
                <w:szCs w:val="28"/>
              </w:rPr>
              <w:t xml:space="preserve">vietā </w:t>
            </w:r>
            <w:r w:rsidR="000A7032" w:rsidRPr="00F360C3">
              <w:rPr>
                <w:bCs/>
                <w:sz w:val="28"/>
                <w:szCs w:val="28"/>
              </w:rPr>
              <w:t xml:space="preserve">tiek lietots </w:t>
            </w:r>
            <w:r w:rsidR="00591CF6" w:rsidRPr="00F360C3">
              <w:rPr>
                <w:bCs/>
                <w:sz w:val="28"/>
                <w:szCs w:val="28"/>
              </w:rPr>
              <w:t xml:space="preserve">termins “dabasgāze”. Attiecībā uz siltumapgādes tīkliem un iekārtām, </w:t>
            </w:r>
            <w:r w:rsidR="000613A3" w:rsidRPr="00F360C3">
              <w:rPr>
                <w:bCs/>
                <w:sz w:val="28"/>
                <w:szCs w:val="28"/>
              </w:rPr>
              <w:t xml:space="preserve">tās </w:t>
            </w:r>
            <w:r w:rsidR="00591CF6" w:rsidRPr="00F360C3">
              <w:rPr>
                <w:bCs/>
                <w:sz w:val="28"/>
                <w:szCs w:val="28"/>
              </w:rPr>
              <w:t xml:space="preserve">būtībā ir centralizētas,  individuālas vai lokālas siltumapgādes sistēmas sastāvdaļas, tādēļ </w:t>
            </w:r>
            <w:r w:rsidR="00CD38E6" w:rsidRPr="00F360C3">
              <w:rPr>
                <w:sz w:val="28"/>
                <w:szCs w:val="28"/>
              </w:rPr>
              <w:t>LAPK</w:t>
            </w:r>
            <w:r w:rsidR="00CD38E6" w:rsidRPr="00F360C3">
              <w:rPr>
                <w:bCs/>
                <w:sz w:val="28"/>
                <w:szCs w:val="28"/>
              </w:rPr>
              <w:t xml:space="preserve"> lietotie </w:t>
            </w:r>
            <w:r w:rsidR="00135933" w:rsidRPr="00F360C3">
              <w:rPr>
                <w:bCs/>
                <w:sz w:val="28"/>
                <w:szCs w:val="28"/>
              </w:rPr>
              <w:t>termini</w:t>
            </w:r>
            <w:r w:rsidR="000A7032" w:rsidRPr="00F360C3">
              <w:rPr>
                <w:bCs/>
                <w:sz w:val="28"/>
                <w:szCs w:val="28"/>
              </w:rPr>
              <w:t xml:space="preserve"> “vads” un </w:t>
            </w:r>
            <w:r w:rsidR="00CD38E6" w:rsidRPr="00F360C3">
              <w:rPr>
                <w:bCs/>
                <w:sz w:val="28"/>
                <w:szCs w:val="28"/>
              </w:rPr>
              <w:t>“iekārta”</w:t>
            </w:r>
            <w:r w:rsidR="00135933" w:rsidRPr="00F360C3">
              <w:rPr>
                <w:sz w:val="28"/>
                <w:szCs w:val="28"/>
              </w:rPr>
              <w:t xml:space="preserve"> </w:t>
            </w:r>
            <w:r w:rsidR="00CD38E6" w:rsidRPr="00F360C3">
              <w:rPr>
                <w:sz w:val="28"/>
                <w:szCs w:val="28"/>
              </w:rPr>
              <w:t xml:space="preserve">ir aizstāti ar </w:t>
            </w:r>
            <w:r w:rsidR="00135933" w:rsidRPr="00F360C3">
              <w:rPr>
                <w:sz w:val="28"/>
                <w:szCs w:val="28"/>
              </w:rPr>
              <w:t xml:space="preserve">terminu </w:t>
            </w:r>
            <w:r w:rsidR="00CD38E6" w:rsidRPr="00F360C3">
              <w:rPr>
                <w:sz w:val="28"/>
                <w:szCs w:val="28"/>
              </w:rPr>
              <w:t>“sistēma”</w:t>
            </w:r>
            <w:r w:rsidR="002A31A5" w:rsidRPr="00F360C3">
              <w:rPr>
                <w:sz w:val="28"/>
                <w:szCs w:val="28"/>
              </w:rPr>
              <w:t xml:space="preserve">. </w:t>
            </w:r>
            <w:r w:rsidR="00135933" w:rsidRPr="00F360C3">
              <w:rPr>
                <w:bCs/>
                <w:sz w:val="28"/>
                <w:szCs w:val="28"/>
              </w:rPr>
              <w:t>Atbilstoši enerģētikas likumā noteiktajam</w:t>
            </w:r>
            <w:r w:rsidR="00895284" w:rsidRPr="00F360C3">
              <w:rPr>
                <w:bCs/>
                <w:sz w:val="28"/>
                <w:szCs w:val="28"/>
              </w:rPr>
              <w:t>,</w:t>
            </w:r>
            <w:r w:rsidR="00697776" w:rsidRPr="00F360C3">
              <w:rPr>
                <w:bCs/>
                <w:sz w:val="28"/>
                <w:szCs w:val="28"/>
              </w:rPr>
              <w:t xml:space="preserve"> </w:t>
            </w:r>
            <w:r w:rsidR="00135933" w:rsidRPr="00F360C3">
              <w:rPr>
                <w:bCs/>
                <w:sz w:val="28"/>
                <w:szCs w:val="28"/>
              </w:rPr>
              <w:t>sistēma </w:t>
            </w:r>
            <w:r w:rsidR="00B67B67" w:rsidRPr="00F360C3">
              <w:rPr>
                <w:bCs/>
                <w:sz w:val="28"/>
                <w:szCs w:val="28"/>
              </w:rPr>
              <w:t xml:space="preserve">ir </w:t>
            </w:r>
            <w:r w:rsidR="00135933" w:rsidRPr="00F360C3">
              <w:rPr>
                <w:bCs/>
                <w:sz w:val="28"/>
                <w:szCs w:val="28"/>
              </w:rPr>
              <w:t>pārvades un sadales tīkli vai cauruļvadu sistēma, dabasgāzes krātuves un sašķidrinātās dabasgāzes iekārtas, palīgobjekti, priekšmeti un cita manta, kas nepieciešama enerģijas pārvadei, uzglabāšanai un sadalei (ieskaitot iekārtas, kas nepieciešamas palīgpakalpojumu sniegšanai)</w:t>
            </w:r>
            <w:r w:rsidR="00750BBB" w:rsidRPr="00F360C3">
              <w:rPr>
                <w:bCs/>
                <w:sz w:val="28"/>
                <w:szCs w:val="28"/>
              </w:rPr>
              <w:t>.</w:t>
            </w:r>
            <w:r w:rsidR="00697776" w:rsidRPr="00F360C3">
              <w:rPr>
                <w:bCs/>
                <w:sz w:val="28"/>
                <w:szCs w:val="28"/>
              </w:rPr>
              <w:t xml:space="preserve"> Izrietoši, bojājot jebkuru sistēmas sastāvdaļu, tiek traucēta sistēmas darbība.</w:t>
            </w:r>
            <w:r w:rsidR="002268D5" w:rsidRPr="00F360C3">
              <w:rPr>
                <w:bCs/>
                <w:sz w:val="28"/>
                <w:szCs w:val="28"/>
              </w:rPr>
              <w:t xml:space="preserve"> </w:t>
            </w:r>
          </w:p>
          <w:p w:rsidR="002A31A5" w:rsidRPr="00F360C3" w:rsidRDefault="002A31A5" w:rsidP="00A329C8">
            <w:pPr>
              <w:pStyle w:val="tv213"/>
              <w:spacing w:before="0" w:beforeAutospacing="0" w:after="0" w:afterAutospacing="0" w:line="293" w:lineRule="atLeast"/>
              <w:jc w:val="both"/>
              <w:rPr>
                <w:bCs/>
                <w:sz w:val="28"/>
                <w:szCs w:val="28"/>
              </w:rPr>
            </w:pPr>
            <w:r w:rsidRPr="00F360C3">
              <w:rPr>
                <w:bCs/>
                <w:sz w:val="28"/>
                <w:szCs w:val="28"/>
              </w:rPr>
              <w:t>Siltumapgādes sistēmu bojājumi</w:t>
            </w:r>
            <w:r w:rsidR="000613A3" w:rsidRPr="00F360C3">
              <w:rPr>
                <w:bCs/>
                <w:sz w:val="28"/>
                <w:szCs w:val="28"/>
              </w:rPr>
              <w:t>, kā</w:t>
            </w:r>
            <w:r w:rsidR="00A329C8" w:rsidRPr="00F360C3">
              <w:rPr>
                <w:bCs/>
                <w:sz w:val="28"/>
                <w:szCs w:val="28"/>
              </w:rPr>
              <w:t xml:space="preserve"> </w:t>
            </w:r>
            <w:r w:rsidR="000613A3" w:rsidRPr="00F360C3">
              <w:rPr>
                <w:color w:val="000000"/>
                <w:sz w:val="28"/>
                <w:szCs w:val="28"/>
              </w:rPr>
              <w:t>nelikumīgi pieslēgumi centralizētai siltumapgādes sistēmai</w:t>
            </w:r>
            <w:r w:rsidR="000613A3" w:rsidRPr="00F360C3">
              <w:rPr>
                <w:color w:val="000000"/>
                <w:szCs w:val="28"/>
              </w:rPr>
              <w:t xml:space="preserve">, </w:t>
            </w:r>
            <w:r w:rsidR="000613A3" w:rsidRPr="00F360C3">
              <w:rPr>
                <w:color w:val="000000"/>
                <w:sz w:val="28"/>
                <w:szCs w:val="28"/>
              </w:rPr>
              <w:t>siltumizolācijas noņemšana ēku pagrabos izvietotajiem siltumtīkliem, ar nolūku nesankcionēti apsildīt telpas,</w:t>
            </w:r>
            <w:r w:rsidR="00A329C8" w:rsidRPr="00F360C3">
              <w:rPr>
                <w:color w:val="000000"/>
                <w:sz w:val="28"/>
                <w:szCs w:val="28"/>
              </w:rPr>
              <w:t xml:space="preserve"> kā arī skārda un alumīnija aizsargapvalka zādzības virszemes siltumtīkliem,</w:t>
            </w:r>
            <w:r w:rsidR="000613A3" w:rsidRPr="00F360C3">
              <w:rPr>
                <w:color w:val="000000"/>
                <w:sz w:val="28"/>
                <w:szCs w:val="28"/>
              </w:rPr>
              <w:t xml:space="preserve"> rada siltumenerģijas zudumus sistēmā. Bezkanāla siltumtīklu aizsargapvalka bojājumi, kas radušies veicot darbus siltumtīklu tuvumā un par bojājumiem neinformējot siltumtīklu īpašnieku, izraisa siltumizolācija pakāpenisku samirkšanu, kā rezultātā nostrādā kontrolsistēma un ir jāveic vesels pasākumu komplekss bojājumu atklāšanai un novēršanai. I</w:t>
            </w:r>
            <w:r w:rsidR="00A329C8" w:rsidRPr="00F360C3">
              <w:rPr>
                <w:color w:val="000000"/>
                <w:sz w:val="28"/>
                <w:szCs w:val="28"/>
              </w:rPr>
              <w:t>ndividuālā</w:t>
            </w:r>
            <w:r w:rsidR="000613A3" w:rsidRPr="00F360C3">
              <w:rPr>
                <w:color w:val="000000"/>
                <w:sz w:val="28"/>
                <w:szCs w:val="28"/>
              </w:rPr>
              <w:t>s siltumapgādes sistēmās traucējumus rada k</w:t>
            </w:r>
            <w:r w:rsidR="00A329C8" w:rsidRPr="00F360C3">
              <w:rPr>
                <w:color w:val="000000"/>
                <w:sz w:val="28"/>
                <w:szCs w:val="28"/>
              </w:rPr>
              <w:t xml:space="preserve">arstā ūdens cirkulācijas sūkņu, </w:t>
            </w:r>
            <w:r w:rsidR="000613A3" w:rsidRPr="00F360C3">
              <w:rPr>
                <w:color w:val="000000"/>
                <w:sz w:val="28"/>
                <w:szCs w:val="28"/>
              </w:rPr>
              <w:t>piebarošanas</w:t>
            </w:r>
            <w:r w:rsidR="000613A3" w:rsidRPr="00F360C3">
              <w:rPr>
                <w:color w:val="000000"/>
                <w:szCs w:val="28"/>
              </w:rPr>
              <w:t xml:space="preserve"> </w:t>
            </w:r>
            <w:r w:rsidR="000613A3" w:rsidRPr="00F360C3">
              <w:rPr>
                <w:color w:val="000000"/>
                <w:sz w:val="28"/>
                <w:szCs w:val="28"/>
              </w:rPr>
              <w:t>cauruļvadu,  siltumskai</w:t>
            </w:r>
            <w:r w:rsidR="00A329C8" w:rsidRPr="00F360C3">
              <w:rPr>
                <w:color w:val="000000"/>
                <w:sz w:val="28"/>
                <w:szCs w:val="28"/>
              </w:rPr>
              <w:t xml:space="preserve">tītāju, tajā skaitā procesoru, </w:t>
            </w:r>
            <w:r w:rsidR="000613A3" w:rsidRPr="00F360C3">
              <w:rPr>
                <w:color w:val="000000"/>
                <w:sz w:val="28"/>
                <w:szCs w:val="28"/>
              </w:rPr>
              <w:t>apkures sūkņu, izpildmehānismu un vārstu zādzības.</w:t>
            </w:r>
          </w:p>
          <w:p w:rsidR="000A7032" w:rsidRPr="00F360C3" w:rsidRDefault="002A31A5" w:rsidP="00A171D8">
            <w:pPr>
              <w:pStyle w:val="tv213"/>
              <w:spacing w:before="0" w:beforeAutospacing="0" w:after="0" w:afterAutospacing="0" w:line="293" w:lineRule="atLeast"/>
              <w:jc w:val="both"/>
              <w:rPr>
                <w:bCs/>
                <w:sz w:val="28"/>
                <w:szCs w:val="28"/>
              </w:rPr>
            </w:pPr>
            <w:r w:rsidRPr="00F360C3">
              <w:rPr>
                <w:bCs/>
                <w:sz w:val="28"/>
                <w:szCs w:val="28"/>
              </w:rPr>
              <w:t>Dabasgāzes sistēmu b</w:t>
            </w:r>
            <w:r w:rsidR="00133170" w:rsidRPr="00F360C3">
              <w:rPr>
                <w:bCs/>
                <w:sz w:val="28"/>
                <w:szCs w:val="28"/>
              </w:rPr>
              <w:t>ojājuma apmērs ir atkarīgs no</w:t>
            </w:r>
            <w:r w:rsidR="00412F3D" w:rsidRPr="00F360C3">
              <w:rPr>
                <w:bCs/>
                <w:sz w:val="28"/>
                <w:szCs w:val="28"/>
              </w:rPr>
              <w:t xml:space="preserve"> bojājuma vietas un veida, kā arī no virknes</w:t>
            </w:r>
            <w:r w:rsidR="007416A9" w:rsidRPr="00F360C3">
              <w:rPr>
                <w:bCs/>
                <w:sz w:val="28"/>
                <w:szCs w:val="28"/>
              </w:rPr>
              <w:t xml:space="preserve"> </w:t>
            </w:r>
            <w:r w:rsidR="00412F3D" w:rsidRPr="00F360C3">
              <w:rPr>
                <w:bCs/>
                <w:sz w:val="28"/>
                <w:szCs w:val="28"/>
              </w:rPr>
              <w:t xml:space="preserve">citu faktoru, piemēram, </w:t>
            </w:r>
            <w:r w:rsidR="007416A9" w:rsidRPr="00F360C3">
              <w:rPr>
                <w:bCs/>
                <w:sz w:val="28"/>
                <w:szCs w:val="28"/>
              </w:rPr>
              <w:t xml:space="preserve">dabasgāzes spiediena sistēmā (gāzesvadi </w:t>
            </w:r>
            <w:r w:rsidR="00A171D8" w:rsidRPr="00F360C3">
              <w:rPr>
                <w:bCs/>
                <w:sz w:val="28"/>
                <w:szCs w:val="28"/>
              </w:rPr>
              <w:t xml:space="preserve">līdz 0,4 megapaskāliem, vairāk par 0,4 megapaskāliem, līdz 1,6 megapaskāliem un ar spiedienu virs 1,6 megapaskāliem), tātad, </w:t>
            </w:r>
            <w:r w:rsidR="00133170" w:rsidRPr="00F360C3">
              <w:rPr>
                <w:bCs/>
                <w:sz w:val="28"/>
                <w:szCs w:val="28"/>
              </w:rPr>
              <w:t xml:space="preserve">vai ir bojājums maģistrālajā sistēmā, pārvades sistēmā, sadales sistēmā, vai </w:t>
            </w:r>
            <w:r w:rsidR="007416A9" w:rsidRPr="00F360C3">
              <w:rPr>
                <w:bCs/>
                <w:sz w:val="28"/>
                <w:szCs w:val="28"/>
              </w:rPr>
              <w:t xml:space="preserve">pie </w:t>
            </w:r>
            <w:r w:rsidR="00133170" w:rsidRPr="00F360C3">
              <w:rPr>
                <w:bCs/>
                <w:sz w:val="28"/>
                <w:szCs w:val="28"/>
              </w:rPr>
              <w:t>dabasgāzes lietotāja</w:t>
            </w:r>
            <w:r w:rsidR="00D02586" w:rsidRPr="00F360C3">
              <w:rPr>
                <w:bCs/>
                <w:sz w:val="28"/>
                <w:szCs w:val="28"/>
              </w:rPr>
              <w:t>. C</w:t>
            </w:r>
            <w:r w:rsidR="00133170" w:rsidRPr="00F360C3">
              <w:rPr>
                <w:bCs/>
                <w:sz w:val="28"/>
                <w:szCs w:val="28"/>
              </w:rPr>
              <w:t xml:space="preserve">ik liels ir materiālais zaudējums, vai bojājuma rezultātā ir zaudēta </w:t>
            </w:r>
            <w:r w:rsidR="007416A9" w:rsidRPr="00F360C3">
              <w:rPr>
                <w:bCs/>
                <w:sz w:val="28"/>
                <w:szCs w:val="28"/>
              </w:rPr>
              <w:t xml:space="preserve">cilvēka </w:t>
            </w:r>
            <w:r w:rsidR="00133170" w:rsidRPr="00F360C3">
              <w:rPr>
                <w:bCs/>
                <w:sz w:val="28"/>
                <w:szCs w:val="28"/>
              </w:rPr>
              <w:t>dzīv</w:t>
            </w:r>
            <w:r w:rsidR="00A171D8" w:rsidRPr="00F360C3">
              <w:rPr>
                <w:bCs/>
                <w:sz w:val="28"/>
                <w:szCs w:val="28"/>
              </w:rPr>
              <w:t>ība,</w:t>
            </w:r>
            <w:r w:rsidR="00D02586" w:rsidRPr="00F360C3">
              <w:rPr>
                <w:bCs/>
                <w:sz w:val="28"/>
                <w:szCs w:val="28"/>
              </w:rPr>
              <w:t xml:space="preserve"> </w:t>
            </w:r>
            <w:r w:rsidR="00A171D8" w:rsidRPr="00F360C3">
              <w:rPr>
                <w:bCs/>
                <w:sz w:val="28"/>
                <w:szCs w:val="28"/>
              </w:rPr>
              <w:t>vai bojājums ir izraisījis avāriju, ka</w:t>
            </w:r>
            <w:r w:rsidR="00D02586" w:rsidRPr="00F360C3">
              <w:rPr>
                <w:bCs/>
                <w:sz w:val="28"/>
                <w:szCs w:val="28"/>
              </w:rPr>
              <w:t>tastrofu vai citas smagas sekas, ir secināms uz vietas ierodoties speciālajam avārijas dienestam, kurš ierodas vienmēr</w:t>
            </w:r>
            <w:r w:rsidR="00133170" w:rsidRPr="00F360C3">
              <w:rPr>
                <w:bCs/>
                <w:sz w:val="28"/>
                <w:szCs w:val="28"/>
              </w:rPr>
              <w:t xml:space="preserve"> </w:t>
            </w:r>
            <w:r w:rsidR="00D02586" w:rsidRPr="00F360C3">
              <w:rPr>
                <w:bCs/>
                <w:sz w:val="28"/>
                <w:szCs w:val="28"/>
              </w:rPr>
              <w:t>n</w:t>
            </w:r>
            <w:r w:rsidR="007416A9" w:rsidRPr="00F360C3">
              <w:rPr>
                <w:bCs/>
                <w:sz w:val="28"/>
                <w:szCs w:val="28"/>
              </w:rPr>
              <w:t>eatkarīgi no bojājuma veida</w:t>
            </w:r>
            <w:r w:rsidR="00D02586" w:rsidRPr="00F360C3">
              <w:rPr>
                <w:bCs/>
                <w:sz w:val="28"/>
                <w:szCs w:val="28"/>
              </w:rPr>
              <w:t xml:space="preserve"> un </w:t>
            </w:r>
            <w:r w:rsidR="007416A9" w:rsidRPr="00F360C3">
              <w:rPr>
                <w:bCs/>
                <w:sz w:val="28"/>
                <w:szCs w:val="28"/>
              </w:rPr>
              <w:t xml:space="preserve"> </w:t>
            </w:r>
            <w:r w:rsidR="00D02586" w:rsidRPr="00F360C3">
              <w:rPr>
                <w:bCs/>
                <w:sz w:val="28"/>
                <w:szCs w:val="28"/>
              </w:rPr>
              <w:t>p</w:t>
            </w:r>
            <w:r w:rsidR="007416A9" w:rsidRPr="00F360C3">
              <w:rPr>
                <w:bCs/>
                <w:sz w:val="28"/>
                <w:szCs w:val="28"/>
              </w:rPr>
              <w:t xml:space="preserve">rovizoriski </w:t>
            </w:r>
            <w:r w:rsidR="00D02586" w:rsidRPr="00F360C3">
              <w:rPr>
                <w:bCs/>
                <w:sz w:val="28"/>
                <w:szCs w:val="28"/>
              </w:rPr>
              <w:t>nosaka</w:t>
            </w:r>
            <w:r w:rsidR="007416A9" w:rsidRPr="00F360C3">
              <w:rPr>
                <w:bCs/>
                <w:sz w:val="28"/>
                <w:szCs w:val="28"/>
              </w:rPr>
              <w:t xml:space="preserve"> </w:t>
            </w:r>
            <w:r w:rsidR="00B67B67" w:rsidRPr="00F360C3">
              <w:rPr>
                <w:bCs/>
                <w:sz w:val="28"/>
                <w:szCs w:val="28"/>
              </w:rPr>
              <w:t>zaudējuma</w:t>
            </w:r>
            <w:r w:rsidR="007416A9" w:rsidRPr="00F360C3">
              <w:rPr>
                <w:bCs/>
                <w:sz w:val="28"/>
                <w:szCs w:val="28"/>
              </w:rPr>
              <w:t xml:space="preserve"> apjom</w:t>
            </w:r>
            <w:r w:rsidR="00D02586" w:rsidRPr="00F360C3">
              <w:rPr>
                <w:bCs/>
                <w:sz w:val="28"/>
                <w:szCs w:val="28"/>
              </w:rPr>
              <w:t>u</w:t>
            </w:r>
            <w:r w:rsidR="007416A9" w:rsidRPr="00F360C3">
              <w:rPr>
                <w:bCs/>
                <w:sz w:val="28"/>
                <w:szCs w:val="28"/>
              </w:rPr>
              <w:t xml:space="preserve"> un </w:t>
            </w:r>
            <w:r w:rsidR="00A171D8" w:rsidRPr="00F360C3">
              <w:rPr>
                <w:bCs/>
                <w:sz w:val="28"/>
                <w:szCs w:val="28"/>
              </w:rPr>
              <w:t>kaitējuma</w:t>
            </w:r>
            <w:r w:rsidR="007416A9" w:rsidRPr="00F360C3">
              <w:rPr>
                <w:bCs/>
                <w:sz w:val="28"/>
                <w:szCs w:val="28"/>
              </w:rPr>
              <w:t xml:space="preserve"> sekas.</w:t>
            </w:r>
          </w:p>
          <w:p w:rsidR="00B67B67" w:rsidRPr="00F360C3" w:rsidRDefault="00133170" w:rsidP="00071C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bCs/>
                <w:sz w:val="28"/>
                <w:szCs w:val="28"/>
                <w:lang w:val="lv-LV" w:eastAsia="lv-LV"/>
              </w:rPr>
            </w:pPr>
            <w:r w:rsidRPr="00F360C3">
              <w:rPr>
                <w:bCs/>
                <w:sz w:val="28"/>
                <w:szCs w:val="28"/>
                <w:lang w:val="lv-LV" w:eastAsia="lv-LV"/>
              </w:rPr>
              <w:t>Krimināllikuma pārejas noteikumu 1.punkts noteic, ka Krimināllikuma spēkā stāšanās laiku un kārtību nosaka ar ī</w:t>
            </w:r>
            <w:r w:rsidR="00B67B67" w:rsidRPr="00F360C3">
              <w:rPr>
                <w:bCs/>
                <w:sz w:val="28"/>
                <w:szCs w:val="28"/>
                <w:lang w:val="lv-LV" w:eastAsia="lv-LV"/>
              </w:rPr>
              <w:t>pašu likumu “</w:t>
            </w:r>
            <w:r w:rsidRPr="00F360C3">
              <w:rPr>
                <w:bCs/>
                <w:sz w:val="28"/>
                <w:szCs w:val="28"/>
                <w:lang w:val="lv-LV" w:eastAsia="lv-LV"/>
              </w:rPr>
              <w:t>Par Krimināllikuma spēkā st</w:t>
            </w:r>
            <w:r w:rsidR="00B67B67" w:rsidRPr="00F360C3">
              <w:rPr>
                <w:bCs/>
                <w:sz w:val="28"/>
                <w:szCs w:val="28"/>
                <w:lang w:val="lv-LV" w:eastAsia="lv-LV"/>
              </w:rPr>
              <w:t>āšanās un piemērošanas kārtību”, kur 23.panta pirmā daļā ir noteikts</w:t>
            </w:r>
            <w:r w:rsidRPr="00F360C3">
              <w:rPr>
                <w:bCs/>
                <w:sz w:val="28"/>
                <w:szCs w:val="28"/>
                <w:lang w:val="lv-LV" w:eastAsia="lv-LV"/>
              </w:rPr>
              <w:t xml:space="preserve"> kad iestājās atbildība par noziedzīgo nodarījumu, ņemot vērā kaitējuma sekas zaudējumu apjoma ziņā</w:t>
            </w:r>
            <w:r w:rsidR="00B67B67" w:rsidRPr="00F360C3">
              <w:rPr>
                <w:bCs/>
                <w:sz w:val="28"/>
                <w:szCs w:val="28"/>
                <w:lang w:val="lv-LV" w:eastAsia="lv-LV"/>
              </w:rPr>
              <w:t>.</w:t>
            </w:r>
            <w:r w:rsidR="008F44DA" w:rsidRPr="00F360C3">
              <w:rPr>
                <w:bCs/>
                <w:sz w:val="28"/>
                <w:szCs w:val="28"/>
                <w:lang w:val="lv-LV" w:eastAsia="lv-LV"/>
              </w:rPr>
              <w:t xml:space="preserve"> Izrietoši, </w:t>
            </w:r>
            <w:r w:rsidR="00A26641" w:rsidRPr="00F360C3">
              <w:rPr>
                <w:bCs/>
                <w:sz w:val="28"/>
                <w:szCs w:val="28"/>
                <w:lang w:val="lv-LV" w:eastAsia="lv-LV"/>
              </w:rPr>
              <w:t>pārējos gadījumos vainīgā persona bojājuma izraisīšanā tiks saukta pie administratīvās atbildības.</w:t>
            </w:r>
          </w:p>
          <w:p w:rsidR="00860878" w:rsidRPr="00F360C3" w:rsidRDefault="000A7032" w:rsidP="00071C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8"/>
                <w:szCs w:val="28"/>
                <w:lang w:val="lv-LV"/>
              </w:rPr>
            </w:pPr>
            <w:r w:rsidRPr="00F360C3">
              <w:rPr>
                <w:sz w:val="28"/>
                <w:szCs w:val="28"/>
                <w:lang w:val="lv-LV"/>
              </w:rPr>
              <w:t>Attiecībā uz pārkāpumiem, kuri izdarīti apzināti,</w:t>
            </w:r>
            <w:r w:rsidR="009639C8" w:rsidRPr="00F360C3">
              <w:rPr>
                <w:sz w:val="28"/>
                <w:szCs w:val="28"/>
                <w:lang w:val="lv-LV"/>
              </w:rPr>
              <w:t xml:space="preserve"> praksē ir bijuši gadījumi, kad nodoms patvaļīgi izmantot kādu no energoresursiem savā mājoklī, tiek īstenots jau mājokļa būvniecības procesā, slēpjot instalācijas ēkas konstrukcijā</w:t>
            </w:r>
            <w:r w:rsidR="00053268" w:rsidRPr="00F360C3">
              <w:rPr>
                <w:sz w:val="28"/>
                <w:szCs w:val="28"/>
                <w:lang w:val="lv-LV"/>
              </w:rPr>
              <w:t>.</w:t>
            </w:r>
            <w:r w:rsidR="009639C8" w:rsidRPr="00F360C3">
              <w:rPr>
                <w:sz w:val="28"/>
                <w:szCs w:val="28"/>
                <w:lang w:val="lv-LV"/>
              </w:rPr>
              <w:t xml:space="preserve"> </w:t>
            </w:r>
            <w:r w:rsidR="00053268" w:rsidRPr="00F360C3">
              <w:rPr>
                <w:sz w:val="28"/>
                <w:szCs w:val="28"/>
                <w:lang w:val="lv-LV"/>
              </w:rPr>
              <w:t>Taču p</w:t>
            </w:r>
            <w:r w:rsidR="00C442F7" w:rsidRPr="00F360C3">
              <w:rPr>
                <w:sz w:val="28"/>
                <w:szCs w:val="28"/>
                <w:lang w:val="lv-LV"/>
              </w:rPr>
              <w:t xml:space="preserve">atvaļīga energoresursu patērēšana rada materiālus zaudējumus </w:t>
            </w:r>
            <w:r w:rsidR="00053268" w:rsidRPr="00F360C3">
              <w:rPr>
                <w:sz w:val="28"/>
                <w:szCs w:val="28"/>
                <w:lang w:val="lv-LV"/>
              </w:rPr>
              <w:t xml:space="preserve">gan </w:t>
            </w:r>
            <w:r w:rsidR="00C442F7" w:rsidRPr="00F360C3">
              <w:rPr>
                <w:sz w:val="28"/>
                <w:szCs w:val="28"/>
                <w:lang w:val="lv-LV"/>
              </w:rPr>
              <w:t>energoapgādes uzņēmumiem</w:t>
            </w:r>
            <w:r w:rsidR="00EA4D0F" w:rsidRPr="00F360C3">
              <w:rPr>
                <w:sz w:val="28"/>
                <w:szCs w:val="28"/>
                <w:lang w:val="lv-LV"/>
              </w:rPr>
              <w:t xml:space="preserve">, </w:t>
            </w:r>
            <w:r w:rsidR="00053268" w:rsidRPr="00F360C3">
              <w:rPr>
                <w:sz w:val="28"/>
                <w:szCs w:val="28"/>
                <w:lang w:val="lv-LV"/>
              </w:rPr>
              <w:t>gan</w:t>
            </w:r>
            <w:r w:rsidR="00C442F7" w:rsidRPr="00F360C3">
              <w:rPr>
                <w:sz w:val="28"/>
                <w:szCs w:val="28"/>
                <w:lang w:val="lv-LV"/>
              </w:rPr>
              <w:t xml:space="preserve"> sabiedrisko pakalpojumu sniedzējiem, kā </w:t>
            </w:r>
            <w:r w:rsidR="009639C8" w:rsidRPr="00F360C3">
              <w:rPr>
                <w:sz w:val="28"/>
                <w:szCs w:val="28"/>
                <w:lang w:val="lv-LV"/>
              </w:rPr>
              <w:t xml:space="preserve">arī </w:t>
            </w:r>
            <w:r w:rsidR="00C442F7" w:rsidRPr="00F360C3">
              <w:rPr>
                <w:sz w:val="28"/>
                <w:szCs w:val="28"/>
                <w:lang w:val="lv-LV"/>
              </w:rPr>
              <w:t>rada reālus elektrobī</w:t>
            </w:r>
            <w:r w:rsidR="00EA4D0F" w:rsidRPr="00F360C3">
              <w:rPr>
                <w:sz w:val="28"/>
                <w:szCs w:val="28"/>
                <w:lang w:val="lv-LV"/>
              </w:rPr>
              <w:t xml:space="preserve">stamības un sprādzienbīstamības </w:t>
            </w:r>
            <w:r w:rsidR="00C442F7" w:rsidRPr="00F360C3">
              <w:rPr>
                <w:sz w:val="28"/>
                <w:szCs w:val="28"/>
                <w:lang w:val="lv-LV"/>
              </w:rPr>
              <w:t>draudus apkārtējiem iedzīvotājiem.</w:t>
            </w:r>
          </w:p>
          <w:p w:rsidR="00240EAC" w:rsidRPr="00F360C3" w:rsidRDefault="00240EAC" w:rsidP="00071CA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sz w:val="28"/>
                <w:szCs w:val="28"/>
                <w:lang w:val="lv-LV"/>
              </w:rPr>
            </w:pPr>
            <w:r w:rsidRPr="00F360C3">
              <w:rPr>
                <w:bCs/>
                <w:sz w:val="28"/>
                <w:szCs w:val="28"/>
                <w:lang w:val="lv-LV" w:eastAsia="lv-LV"/>
              </w:rPr>
              <w:t>S</w:t>
            </w:r>
            <w:r w:rsidR="00033D87" w:rsidRPr="00F360C3">
              <w:rPr>
                <w:bCs/>
                <w:sz w:val="28"/>
                <w:szCs w:val="28"/>
                <w:lang w:val="lv-LV" w:eastAsia="lv-LV"/>
              </w:rPr>
              <w:t>avukārt</w:t>
            </w:r>
            <w:r w:rsidR="00DA6858" w:rsidRPr="00F360C3">
              <w:rPr>
                <w:bCs/>
                <w:sz w:val="28"/>
                <w:szCs w:val="28"/>
                <w:lang w:val="lv-LV" w:eastAsia="lv-LV"/>
              </w:rPr>
              <w:t xml:space="preserve"> </w:t>
            </w:r>
            <w:r w:rsidR="006E0106" w:rsidRPr="00F360C3">
              <w:rPr>
                <w:bCs/>
                <w:sz w:val="28"/>
                <w:szCs w:val="28"/>
                <w:lang w:val="lv-LV" w:eastAsia="lv-LV"/>
              </w:rPr>
              <w:t xml:space="preserve">Likumprojekta </w:t>
            </w:r>
            <w:r w:rsidR="00033D87" w:rsidRPr="00F360C3">
              <w:rPr>
                <w:bCs/>
                <w:sz w:val="28"/>
                <w:szCs w:val="28"/>
                <w:lang w:val="lv-LV" w:eastAsia="lv-LV"/>
              </w:rPr>
              <w:t xml:space="preserve">118.pantā ir noteikts, </w:t>
            </w:r>
            <w:r w:rsidR="00B61F79" w:rsidRPr="00F360C3">
              <w:rPr>
                <w:bCs/>
                <w:sz w:val="28"/>
                <w:szCs w:val="28"/>
                <w:lang w:val="lv-LV"/>
              </w:rPr>
              <w:t xml:space="preserve">ka </w:t>
            </w:r>
            <w:r w:rsidR="00B61F79" w:rsidRPr="00F360C3">
              <w:rPr>
                <w:sz w:val="28"/>
                <w:szCs w:val="28"/>
                <w:lang w:val="lv-LV"/>
              </w:rPr>
              <w:t>administratīvo pārkāpumu procesu par šā likuma 117. pantā minētajiem pārkāpumiem uzsāk pašvaldības policija, vietās, kurās pašvaldības policija nav izveidota, procesu ir tiesīga uzsākt Valsts policija, savukārt,</w:t>
            </w:r>
            <w:r w:rsidR="00071CA7" w:rsidRPr="00F360C3">
              <w:rPr>
                <w:sz w:val="28"/>
                <w:szCs w:val="28"/>
                <w:lang w:val="lv-LV"/>
              </w:rPr>
              <w:t xml:space="preserve"> </w:t>
            </w:r>
            <w:r w:rsidR="00071CA7" w:rsidRPr="00F360C3">
              <w:rPr>
                <w:szCs w:val="28"/>
                <w:lang w:val="lv-LV"/>
              </w:rPr>
              <w:t>a</w:t>
            </w:r>
            <w:r w:rsidR="00B61F79" w:rsidRPr="00F360C3">
              <w:rPr>
                <w:sz w:val="28"/>
                <w:szCs w:val="28"/>
                <w:lang w:val="lv-LV"/>
              </w:rPr>
              <w:t>dministratīvā pārkāpuma lietas sagatavošanu izskatīšanai un administratīvā pārkāpuma lietas izskatīšanu un lēmuma pieņemšanu veic pašvaldības administratīvā komisija.</w:t>
            </w:r>
          </w:p>
          <w:p w:rsidR="00810D13" w:rsidRDefault="008960AC" w:rsidP="00810D13">
            <w:pPr>
              <w:jc w:val="both"/>
              <w:rPr>
                <w:rFonts w:eastAsia="Calibri"/>
              </w:rPr>
            </w:pPr>
            <w:r w:rsidRPr="00F360C3">
              <w:rPr>
                <w:szCs w:val="28"/>
              </w:rPr>
              <w:t>Ņemot vērā, ka</w:t>
            </w:r>
            <w:r w:rsidR="00C651D3" w:rsidRPr="00F360C3">
              <w:rPr>
                <w:szCs w:val="28"/>
              </w:rPr>
              <w:t xml:space="preserve"> Saeimā tiek virzīts </w:t>
            </w:r>
            <w:r w:rsidR="00C651D3" w:rsidRPr="00F360C3">
              <w:rPr>
                <w:szCs w:val="28"/>
                <w:lang w:eastAsia="lv-LV"/>
              </w:rPr>
              <w:t xml:space="preserve">likumprojekts </w:t>
            </w:r>
            <w:r w:rsidR="00C651D3" w:rsidRPr="00F360C3">
              <w:rPr>
                <w:rFonts w:eastAsia="Times New Roman" w:cs="Times New Roman"/>
                <w:szCs w:val="28"/>
                <w:lang w:eastAsia="lv-LV"/>
              </w:rPr>
              <w:t>„</w:t>
            </w:r>
            <w:r w:rsidR="00C651D3" w:rsidRPr="00F360C3">
              <w:rPr>
                <w:szCs w:val="28"/>
                <w:lang w:eastAsia="lv-LV"/>
              </w:rPr>
              <w:t>Administratīvo pārkāpumu procesa likums” (</w:t>
            </w:r>
            <w:r w:rsidR="00C651D3" w:rsidRPr="00F360C3">
              <w:rPr>
                <w:szCs w:val="28"/>
              </w:rPr>
              <w:t xml:space="preserve">pieņemts </w:t>
            </w:r>
            <w:r w:rsidR="00071CA7" w:rsidRPr="00F360C3">
              <w:rPr>
                <w:szCs w:val="28"/>
              </w:rPr>
              <w:t>2</w:t>
            </w:r>
            <w:r w:rsidR="00C651D3" w:rsidRPr="00F360C3">
              <w:rPr>
                <w:szCs w:val="28"/>
              </w:rPr>
              <w:t>.lasījumā</w:t>
            </w:r>
            <w:r w:rsidR="00C651D3" w:rsidRPr="00F360C3">
              <w:rPr>
                <w:szCs w:val="28"/>
                <w:lang w:eastAsia="lv-LV"/>
              </w:rPr>
              <w:t xml:space="preserve">, reģ.nr. 16/Lp12) </w:t>
            </w:r>
            <w:r w:rsidR="00C651D3" w:rsidRPr="00F360C3">
              <w:rPr>
                <w:szCs w:val="28"/>
              </w:rPr>
              <w:t xml:space="preserve">kurā noteikts, ka naudas soda apmēru likumā vai pašvaldību saistošajos noteikumos izsaka naudas soda vienībās, kur vienas naudas soda vienības vērtība ir pieci </w:t>
            </w:r>
            <w:r w:rsidR="00C651D3" w:rsidRPr="00F360C3">
              <w:rPr>
                <w:i/>
                <w:szCs w:val="28"/>
              </w:rPr>
              <w:t xml:space="preserve">euro, </w:t>
            </w:r>
            <w:r w:rsidR="00C651D3" w:rsidRPr="00F360C3">
              <w:rPr>
                <w:szCs w:val="28"/>
              </w:rPr>
              <w:t xml:space="preserve">Likumprojektā </w:t>
            </w:r>
            <w:r w:rsidR="00C019FB" w:rsidRPr="00F360C3">
              <w:rPr>
                <w:szCs w:val="28"/>
              </w:rPr>
              <w:t xml:space="preserve">ir ievērots </w:t>
            </w:r>
            <w:r w:rsidR="006711A8" w:rsidRPr="00F360C3">
              <w:rPr>
                <w:szCs w:val="28"/>
              </w:rPr>
              <w:t xml:space="preserve">arī šis </w:t>
            </w:r>
            <w:r w:rsidR="00C019FB" w:rsidRPr="00F360C3">
              <w:rPr>
                <w:szCs w:val="28"/>
              </w:rPr>
              <w:t>vienot</w:t>
            </w:r>
            <w:r w:rsidRPr="00F360C3">
              <w:rPr>
                <w:szCs w:val="28"/>
              </w:rPr>
              <w:t>ais</w:t>
            </w:r>
            <w:r w:rsidR="00C019FB" w:rsidRPr="00F360C3">
              <w:rPr>
                <w:szCs w:val="28"/>
              </w:rPr>
              <w:t xml:space="preserve"> princips, </w:t>
            </w:r>
            <w:r w:rsidR="00C019FB" w:rsidRPr="00F360C3">
              <w:rPr>
                <w:rFonts w:eastAsia="Calibri"/>
              </w:rPr>
              <w:t>sodošo normu sankcij</w:t>
            </w:r>
            <w:r w:rsidR="006711A8" w:rsidRPr="00F360C3">
              <w:rPr>
                <w:rFonts w:eastAsia="Calibri"/>
              </w:rPr>
              <w:t>u apmēra norādīšanai.</w:t>
            </w:r>
            <w:r w:rsidR="00C019FB" w:rsidRPr="00F360C3">
              <w:rPr>
                <w:rFonts w:eastAsia="Calibri"/>
              </w:rPr>
              <w:t xml:space="preserve"> </w:t>
            </w:r>
          </w:p>
          <w:p w:rsidR="00F360C3" w:rsidRPr="0097686C" w:rsidRDefault="00F360C3" w:rsidP="00810D13">
            <w:pPr>
              <w:jc w:val="both"/>
              <w:rPr>
                <w:szCs w:val="28"/>
              </w:rPr>
            </w:pPr>
            <w:r w:rsidRPr="00C964C4">
              <w:rPr>
                <w:rFonts w:cs="Times New Roman"/>
                <w:szCs w:val="28"/>
              </w:rPr>
              <w:t>Enerģētikas likuma 8.pant</w:t>
            </w:r>
            <w:r w:rsidRPr="00C964C4">
              <w:rPr>
                <w:szCs w:val="28"/>
              </w:rPr>
              <w:t xml:space="preserve">ā ir noteikts, ka energoapgādes komersantam, izsniegtās licences ietvaros, ir pienākums </w:t>
            </w:r>
            <w:r w:rsidRPr="00C964C4">
              <w:rPr>
                <w:rFonts w:cs="Times New Roman"/>
                <w:szCs w:val="28"/>
              </w:rPr>
              <w:t>uzturēt savus energoapgādes veikšanai nepieciešamos objektus</w:t>
            </w:r>
            <w:r w:rsidRPr="00C964C4">
              <w:rPr>
                <w:szCs w:val="28"/>
              </w:rPr>
              <w:t xml:space="preserve">, savukārt 82.panta pirmajā daļā ir noteikts, ka </w:t>
            </w:r>
            <w:r w:rsidR="00CE1E8E" w:rsidRPr="00C964C4">
              <w:rPr>
                <w:rFonts w:cs="Times New Roman"/>
                <w:szCs w:val="28"/>
              </w:rPr>
              <w:t xml:space="preserve">Sabiedrisko pakalpojumu regulēšanas komisijas (turpmāk – </w:t>
            </w:r>
            <w:r w:rsidRPr="00C964C4">
              <w:rPr>
                <w:rFonts w:cs="Times New Roman"/>
                <w:szCs w:val="28"/>
              </w:rPr>
              <w:t>Regulatora</w:t>
            </w:r>
            <w:r w:rsidR="00CE1E8E" w:rsidRPr="00C964C4">
              <w:rPr>
                <w:rFonts w:cs="Times New Roman"/>
                <w:szCs w:val="28"/>
              </w:rPr>
              <w:t>)</w:t>
            </w:r>
            <w:r w:rsidRPr="00C964C4">
              <w:rPr>
                <w:rFonts w:cs="Times New Roman"/>
                <w:szCs w:val="28"/>
              </w:rPr>
              <w:t xml:space="preserve"> kompetencē</w:t>
            </w:r>
            <w:r w:rsidRPr="00C964C4">
              <w:rPr>
                <w:szCs w:val="28"/>
              </w:rPr>
              <w:t xml:space="preserve"> ir kontrolēt šo pienākums izpildi. Energoapgādes komersantam par </w:t>
            </w:r>
            <w:r w:rsidRPr="00C964C4">
              <w:rPr>
                <w:rFonts w:cs="Times New Roman"/>
                <w:szCs w:val="28"/>
              </w:rPr>
              <w:t>pienākum</w:t>
            </w:r>
            <w:r w:rsidRPr="00C964C4">
              <w:rPr>
                <w:szCs w:val="28"/>
              </w:rPr>
              <w:t>a</w:t>
            </w:r>
            <w:r w:rsidRPr="00C964C4">
              <w:rPr>
                <w:rFonts w:cs="Times New Roman"/>
                <w:szCs w:val="28"/>
              </w:rPr>
              <w:t xml:space="preserve"> nepildīšan</w:t>
            </w:r>
            <w:r w:rsidRPr="00C964C4">
              <w:rPr>
                <w:szCs w:val="28"/>
              </w:rPr>
              <w:t>u, kas</w:t>
            </w:r>
            <w:r w:rsidRPr="00C964C4">
              <w:rPr>
                <w:rFonts w:cs="Times New Roman"/>
                <w:szCs w:val="28"/>
              </w:rPr>
              <w:t xml:space="preserve"> ir licences nosacījumu pārkāpšana</w:t>
            </w:r>
            <w:r w:rsidRPr="00C964C4">
              <w:rPr>
                <w:szCs w:val="28"/>
              </w:rPr>
              <w:t xml:space="preserve">, saskaņā ar </w:t>
            </w:r>
            <w:r w:rsidRPr="00C964C4">
              <w:rPr>
                <w:rFonts w:cs="Times New Roman"/>
                <w:szCs w:val="28"/>
              </w:rPr>
              <w:t>Enerģētikas likuma 8</w:t>
            </w:r>
            <w:r w:rsidRPr="00C964C4">
              <w:rPr>
                <w:szCs w:val="28"/>
              </w:rPr>
              <w:t>2.</w:t>
            </w:r>
            <w:r w:rsidRPr="00C964C4">
              <w:rPr>
                <w:rFonts w:cs="Times New Roman"/>
                <w:szCs w:val="28"/>
              </w:rPr>
              <w:t>pant</w:t>
            </w:r>
            <w:r w:rsidRPr="00C964C4">
              <w:rPr>
                <w:szCs w:val="28"/>
              </w:rPr>
              <w:t xml:space="preserve">a otrajā daļā noteikto, Regulators </w:t>
            </w:r>
            <w:r w:rsidRPr="00C964C4">
              <w:rPr>
                <w:rFonts w:cs="Times New Roman"/>
                <w:szCs w:val="28"/>
              </w:rPr>
              <w:t>sastāda adm</w:t>
            </w:r>
            <w:r w:rsidRPr="00C964C4">
              <w:rPr>
                <w:szCs w:val="28"/>
              </w:rPr>
              <w:t>inistratīvo pārkāpumu protokolu</w:t>
            </w:r>
            <w:r w:rsidRPr="00C964C4">
              <w:rPr>
                <w:rFonts w:cs="Times New Roman"/>
                <w:szCs w:val="28"/>
              </w:rPr>
              <w:t>, uzliek administratīvo sodu, kā arī pilnīgi vai daļēji aptur energoapgādes komersantu objektos izvietoto iekārtu un ietaišu darbību</w:t>
            </w:r>
            <w:r w:rsidR="00E4731B">
              <w:rPr>
                <w:rFonts w:eastAsia="Times New Roman" w:cs="Times New Roman"/>
                <w:szCs w:val="28"/>
                <w:lang w:eastAsia="lv-LV"/>
              </w:rPr>
              <w:t xml:space="preserve">. </w:t>
            </w:r>
            <w:r w:rsidR="0097686C" w:rsidRPr="00EA3715">
              <w:rPr>
                <w:rFonts w:eastAsia="Times New Roman" w:cs="Times New Roman"/>
                <w:szCs w:val="28"/>
                <w:lang w:eastAsia="lv-LV"/>
              </w:rPr>
              <w:t xml:space="preserve">Ņemot vērā, ka </w:t>
            </w:r>
            <w:r w:rsidR="00E4731B" w:rsidRPr="00EA3715">
              <w:rPr>
                <w:rFonts w:eastAsia="Times New Roman" w:cs="Times New Roman"/>
                <w:szCs w:val="28"/>
                <w:lang w:eastAsia="lv-LV"/>
              </w:rPr>
              <w:t xml:space="preserve">stājoties spēkā Administratīvo pārkāpumu procesa likumam, </w:t>
            </w:r>
            <w:r w:rsidR="0097686C" w:rsidRPr="00EA3715">
              <w:rPr>
                <w:rFonts w:eastAsia="Times New Roman" w:cs="Times New Roman"/>
                <w:szCs w:val="28"/>
                <w:lang w:eastAsia="lv-LV"/>
              </w:rPr>
              <w:t xml:space="preserve">par licences nosacījumu </w:t>
            </w:r>
            <w:r w:rsidR="00474A53" w:rsidRPr="00EA3715">
              <w:rPr>
                <w:rFonts w:eastAsia="Times New Roman" w:cs="Times New Roman"/>
                <w:szCs w:val="28"/>
                <w:lang w:eastAsia="lv-LV"/>
              </w:rPr>
              <w:t>neievērošanu</w:t>
            </w:r>
            <w:r w:rsidR="0097686C" w:rsidRPr="00EA3715">
              <w:rPr>
                <w:rFonts w:eastAsia="Times New Roman" w:cs="Times New Roman"/>
                <w:szCs w:val="28"/>
                <w:lang w:eastAsia="lv-LV"/>
              </w:rPr>
              <w:t xml:space="preserve"> </w:t>
            </w:r>
            <w:r w:rsidR="0023100D" w:rsidRPr="00EA3715">
              <w:rPr>
                <w:rFonts w:eastAsia="Times New Roman" w:cs="Times New Roman"/>
                <w:szCs w:val="28"/>
                <w:lang w:eastAsia="lv-LV"/>
              </w:rPr>
              <w:t xml:space="preserve">Regulators sauks uzraugāmos komersantus pie atbildības administratīvās lietas ietvaros, </w:t>
            </w:r>
            <w:r w:rsidR="0097686C" w:rsidRPr="00EA3715">
              <w:rPr>
                <w:rFonts w:eastAsia="Times New Roman" w:cs="Times New Roman"/>
                <w:szCs w:val="28"/>
                <w:lang w:eastAsia="lv-LV"/>
              </w:rPr>
              <w:t xml:space="preserve"> 82.panta otrā daļa ti</w:t>
            </w:r>
            <w:r w:rsidR="00E4731B" w:rsidRPr="00EA3715">
              <w:rPr>
                <w:rFonts w:eastAsia="Times New Roman" w:cs="Times New Roman"/>
                <w:szCs w:val="28"/>
                <w:lang w:eastAsia="lv-LV"/>
              </w:rPr>
              <w:t>ek</w:t>
            </w:r>
            <w:r w:rsidR="0097686C" w:rsidRPr="00EA3715">
              <w:rPr>
                <w:rFonts w:eastAsia="Times New Roman" w:cs="Times New Roman"/>
                <w:szCs w:val="28"/>
                <w:lang w:eastAsia="lv-LV"/>
              </w:rPr>
              <w:t xml:space="preserve"> </w:t>
            </w:r>
            <w:r w:rsidR="00EA3715" w:rsidRPr="00EA3715">
              <w:rPr>
                <w:rFonts w:eastAsia="Times New Roman" w:cs="Times New Roman"/>
                <w:szCs w:val="28"/>
                <w:lang w:eastAsia="lv-LV"/>
              </w:rPr>
              <w:t>izslēgta.</w:t>
            </w:r>
          </w:p>
        </w:tc>
      </w:tr>
      <w:tr w:rsidR="00614E71" w:rsidRPr="00614E71" w:rsidTr="000E6716">
        <w:trPr>
          <w:gridBefore w:val="1"/>
          <w:wBefore w:w="5" w:type="dxa"/>
          <w:trHeight w:val="372"/>
          <w:tblCellSpacing w:w="15" w:type="dxa"/>
        </w:trPr>
        <w:tc>
          <w:tcPr>
            <w:tcW w:w="631"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3.</w:t>
            </w:r>
          </w:p>
        </w:tc>
        <w:tc>
          <w:tcPr>
            <w:tcW w:w="1513"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Projekta izstrādē iesaistītās institūcijas</w:t>
            </w:r>
          </w:p>
        </w:tc>
        <w:tc>
          <w:tcPr>
            <w:tcW w:w="7017" w:type="dxa"/>
            <w:gridSpan w:val="5"/>
            <w:tcBorders>
              <w:top w:val="outset" w:sz="6" w:space="0" w:color="auto"/>
              <w:left w:val="outset" w:sz="6" w:space="0" w:color="auto"/>
              <w:bottom w:val="outset" w:sz="6" w:space="0" w:color="auto"/>
              <w:right w:val="outset" w:sz="6" w:space="0" w:color="auto"/>
            </w:tcBorders>
            <w:hideMark/>
          </w:tcPr>
          <w:p w:rsidR="00F20233" w:rsidRPr="00614E71" w:rsidRDefault="00DA6858" w:rsidP="008960AC">
            <w:pPr>
              <w:widowControl w:val="0"/>
              <w:suppressAutoHyphens/>
              <w:autoSpaceDE w:val="0"/>
              <w:autoSpaceDN w:val="0"/>
              <w:adjustRightInd w:val="0"/>
              <w:jc w:val="both"/>
              <w:rPr>
                <w:rFonts w:eastAsia="Calibri" w:cs="Times New Roman"/>
                <w:szCs w:val="28"/>
              </w:rPr>
            </w:pPr>
            <w:r w:rsidRPr="00614E71">
              <w:rPr>
                <w:rFonts w:eastAsia="Calibri" w:cs="Times New Roman"/>
                <w:szCs w:val="28"/>
              </w:rPr>
              <w:t xml:space="preserve">Likumprojekts ir izstrādāts </w:t>
            </w:r>
            <w:r w:rsidR="009E061E" w:rsidRPr="00614E71">
              <w:rPr>
                <w:rFonts w:eastAsia="Calibri" w:cs="Times New Roman"/>
                <w:szCs w:val="28"/>
              </w:rPr>
              <w:t xml:space="preserve">pamatojoties uz 110 pašvaldību sniegtajiem atzinumiem, kā arī AS </w:t>
            </w:r>
            <w:r w:rsidR="006711A8" w:rsidRPr="00614E71">
              <w:rPr>
                <w:rFonts w:eastAsia="Times New Roman" w:cs="Times New Roman"/>
                <w:szCs w:val="28"/>
                <w:lang w:eastAsia="lv-LV"/>
              </w:rPr>
              <w:t>„</w:t>
            </w:r>
            <w:r w:rsidR="009E061E" w:rsidRPr="00614E71">
              <w:rPr>
                <w:rFonts w:eastAsia="Calibri" w:cs="Times New Roman"/>
                <w:szCs w:val="28"/>
              </w:rPr>
              <w:t>Latvijas Gāze</w:t>
            </w:r>
            <w:r w:rsidR="006711A8" w:rsidRPr="00614E71">
              <w:rPr>
                <w:rFonts w:eastAsia="Calibri" w:cs="Times New Roman"/>
                <w:szCs w:val="28"/>
              </w:rPr>
              <w:t>”</w:t>
            </w:r>
            <w:r w:rsidR="009E061E" w:rsidRPr="00614E71">
              <w:rPr>
                <w:rFonts w:eastAsia="Calibri" w:cs="Times New Roman"/>
                <w:szCs w:val="28"/>
              </w:rPr>
              <w:t xml:space="preserve">, AS </w:t>
            </w:r>
            <w:r w:rsidR="006711A8" w:rsidRPr="00614E71">
              <w:rPr>
                <w:rFonts w:eastAsia="Times New Roman" w:cs="Times New Roman"/>
                <w:szCs w:val="28"/>
                <w:lang w:eastAsia="lv-LV"/>
              </w:rPr>
              <w:t>„</w:t>
            </w:r>
            <w:r w:rsidR="009E061E" w:rsidRPr="00614E71">
              <w:rPr>
                <w:rFonts w:eastAsia="Calibri" w:cs="Times New Roman"/>
                <w:szCs w:val="28"/>
              </w:rPr>
              <w:t>Sadales tīkls</w:t>
            </w:r>
            <w:r w:rsidR="006711A8" w:rsidRPr="00614E71">
              <w:rPr>
                <w:rFonts w:eastAsia="Calibri" w:cs="Times New Roman"/>
                <w:szCs w:val="28"/>
              </w:rPr>
              <w:t>”</w:t>
            </w:r>
            <w:r w:rsidR="009E061E" w:rsidRPr="00614E71">
              <w:rPr>
                <w:rFonts w:eastAsia="Calibri" w:cs="Times New Roman"/>
                <w:szCs w:val="28"/>
              </w:rPr>
              <w:t xml:space="preserve"> un AS </w:t>
            </w:r>
            <w:r w:rsidR="006711A8" w:rsidRPr="00614E71">
              <w:rPr>
                <w:rFonts w:eastAsia="Times New Roman" w:cs="Times New Roman"/>
                <w:szCs w:val="28"/>
                <w:lang w:eastAsia="lv-LV"/>
              </w:rPr>
              <w:t>„</w:t>
            </w:r>
            <w:r w:rsidR="009E061E" w:rsidRPr="00614E71">
              <w:rPr>
                <w:rFonts w:eastAsia="Calibri" w:cs="Times New Roman"/>
                <w:szCs w:val="28"/>
              </w:rPr>
              <w:t>Latvenergo</w:t>
            </w:r>
            <w:r w:rsidR="006711A8" w:rsidRPr="00614E71">
              <w:rPr>
                <w:rFonts w:eastAsia="Calibri" w:cs="Times New Roman"/>
                <w:szCs w:val="28"/>
              </w:rPr>
              <w:t>”</w:t>
            </w:r>
            <w:r w:rsidR="009E061E" w:rsidRPr="00614E71">
              <w:rPr>
                <w:rFonts w:eastAsia="Calibri" w:cs="Times New Roman"/>
                <w:szCs w:val="28"/>
              </w:rPr>
              <w:t xml:space="preserve"> atzinumiem.</w:t>
            </w:r>
            <w:r w:rsidR="00F20233" w:rsidRPr="00614E71">
              <w:rPr>
                <w:rFonts w:eastAsia="Calibri" w:cs="Times New Roman"/>
                <w:szCs w:val="28"/>
              </w:rPr>
              <w:t xml:space="preserve"> Tā, piemēram, laika periodā no 2010.-</w:t>
            </w:r>
            <w:r w:rsidR="00790D76" w:rsidRPr="00614E71">
              <w:rPr>
                <w:rFonts w:eastAsia="Calibri" w:cs="Times New Roman"/>
                <w:szCs w:val="28"/>
              </w:rPr>
              <w:t>2012.gada</w:t>
            </w:r>
            <w:r w:rsidR="00C403CF">
              <w:rPr>
                <w:rFonts w:eastAsia="Calibri" w:cs="Times New Roman"/>
                <w:szCs w:val="28"/>
              </w:rPr>
              <w:t>m</w:t>
            </w:r>
            <w:r w:rsidR="00790D76" w:rsidRPr="00614E71">
              <w:rPr>
                <w:rFonts w:eastAsia="Calibri" w:cs="Times New Roman"/>
                <w:szCs w:val="28"/>
              </w:rPr>
              <w:t xml:space="preserve">, AS </w:t>
            </w:r>
            <w:r w:rsidR="00790D76" w:rsidRPr="00614E71">
              <w:rPr>
                <w:rFonts w:eastAsia="Times New Roman" w:cs="Times New Roman"/>
                <w:szCs w:val="28"/>
                <w:lang w:eastAsia="lv-LV"/>
              </w:rPr>
              <w:t>„</w:t>
            </w:r>
            <w:r w:rsidR="00790D76" w:rsidRPr="00614E71">
              <w:rPr>
                <w:rFonts w:eastAsia="Calibri" w:cs="Times New Roman"/>
                <w:szCs w:val="28"/>
              </w:rPr>
              <w:t xml:space="preserve">Latvijas Gāze” ir konstatējusi 343 patvaļīgas dabasgāzes patēriņa gadījumus, bet par dabasgāzes piegādes tirdzniecības un lietošanas noteikumu pārkāpšanu, </w:t>
            </w:r>
            <w:r w:rsidR="00AE71C5" w:rsidRPr="00614E71">
              <w:rPr>
                <w:rFonts w:eastAsia="Calibri" w:cs="Times New Roman"/>
                <w:szCs w:val="28"/>
              </w:rPr>
              <w:t>324 reizes</w:t>
            </w:r>
            <w:r w:rsidR="00790D76" w:rsidRPr="00614E71">
              <w:rPr>
                <w:rFonts w:eastAsia="Calibri" w:cs="Times New Roman"/>
                <w:szCs w:val="28"/>
              </w:rPr>
              <w:t xml:space="preserve"> </w:t>
            </w:r>
            <w:r w:rsidR="00AE71C5" w:rsidRPr="00614E71">
              <w:rPr>
                <w:rFonts w:eastAsia="Calibri" w:cs="Times New Roman"/>
                <w:szCs w:val="28"/>
              </w:rPr>
              <w:t xml:space="preserve">lūgusi </w:t>
            </w:r>
            <w:r w:rsidR="00790D76" w:rsidRPr="00614E71">
              <w:rPr>
                <w:rFonts w:eastAsia="Calibri" w:cs="Times New Roman"/>
                <w:szCs w:val="28"/>
              </w:rPr>
              <w:t>policiju uzsākt administratīvo lietvedību.</w:t>
            </w:r>
            <w:r w:rsidR="00AE71C5" w:rsidRPr="00614E71">
              <w:rPr>
                <w:rFonts w:eastAsia="Calibri" w:cs="Times New Roman"/>
                <w:szCs w:val="28"/>
              </w:rPr>
              <w:t xml:space="preserve"> Savukārt, AS „Sadales tīkls”</w:t>
            </w:r>
            <w:r w:rsidR="0044001E" w:rsidRPr="00614E71">
              <w:rPr>
                <w:rFonts w:eastAsia="Calibri" w:cs="Times New Roman"/>
                <w:szCs w:val="28"/>
              </w:rPr>
              <w:t xml:space="preserve"> ir konstatējusi 4657 </w:t>
            </w:r>
            <w:r w:rsidR="00AE71C5" w:rsidRPr="00614E71">
              <w:rPr>
                <w:rFonts w:eastAsia="Calibri" w:cs="Times New Roman"/>
                <w:szCs w:val="28"/>
              </w:rPr>
              <w:t>nelikumīgu elektroenerģijas izmanto</w:t>
            </w:r>
            <w:r w:rsidR="0044001E" w:rsidRPr="00614E71">
              <w:rPr>
                <w:rFonts w:eastAsia="Calibri" w:cs="Times New Roman"/>
                <w:szCs w:val="28"/>
              </w:rPr>
              <w:t>šanas</w:t>
            </w:r>
            <w:r w:rsidR="00AE71C5" w:rsidRPr="00614E71">
              <w:rPr>
                <w:rFonts w:eastAsia="Calibri" w:cs="Times New Roman"/>
                <w:szCs w:val="28"/>
              </w:rPr>
              <w:t xml:space="preserve"> pārkāpumus un ierosinājusi 600 administratīvā procesa lietas, turklāt, pār</w:t>
            </w:r>
            <w:r w:rsidR="0085771A" w:rsidRPr="00614E71">
              <w:rPr>
                <w:rFonts w:eastAsia="Calibri" w:cs="Times New Roman"/>
                <w:szCs w:val="28"/>
              </w:rPr>
              <w:t xml:space="preserve">kāpumi nereti tiek realizēti bīstamā veidā gan no elektrodrošības, gan ugunsdrošības viedokļa un ir konstatēti arī letāli gadījumi. Attiecībā uz pašvaldībām augstāk minētajā laika periodā par </w:t>
            </w:r>
            <w:r w:rsidR="0085771A" w:rsidRPr="00614E71">
              <w:t>elektroenerģijas, siltumenerģijas vai gāzes piegādes, tirdzniecības un lietošanas noteikumu pārkāpšanu, kā arī patvaļīgu šo energoresursu patērēšanu ir konstatē</w:t>
            </w:r>
            <w:r w:rsidR="0044001E" w:rsidRPr="00614E71">
              <w:t>ti</w:t>
            </w:r>
            <w:r w:rsidR="0085771A" w:rsidRPr="00614E71">
              <w:t xml:space="preserve"> administratīv</w:t>
            </w:r>
            <w:r w:rsidR="0044001E" w:rsidRPr="00614E71">
              <w:t>ie</w:t>
            </w:r>
            <w:r w:rsidR="0085771A" w:rsidRPr="00614E71">
              <w:t xml:space="preserve"> pārkāpum</w:t>
            </w:r>
            <w:r w:rsidR="0044001E" w:rsidRPr="00614E71">
              <w:t>i</w:t>
            </w:r>
            <w:r w:rsidR="0085771A" w:rsidRPr="00614E71">
              <w:t xml:space="preserve">, piemēram, </w:t>
            </w:r>
            <w:r w:rsidR="00C403CF">
              <w:t xml:space="preserve">Rēzeknes novadā - </w:t>
            </w:r>
            <w:r w:rsidR="0044001E" w:rsidRPr="00614E71">
              <w:t>65, Gulbenes novadā</w:t>
            </w:r>
            <w:r w:rsidR="00C403CF">
              <w:t xml:space="preserve"> -</w:t>
            </w:r>
            <w:r w:rsidR="0044001E" w:rsidRPr="00614E71">
              <w:t xml:space="preserve"> 41, Balvu novadā</w:t>
            </w:r>
            <w:r w:rsidR="00C403CF">
              <w:t xml:space="preserve"> -</w:t>
            </w:r>
            <w:r w:rsidR="0044001E" w:rsidRPr="00614E71">
              <w:t xml:space="preserve"> 13, Alūksnes novadā</w:t>
            </w:r>
            <w:r w:rsidR="00C403CF">
              <w:t xml:space="preserve"> -</w:t>
            </w:r>
            <w:r w:rsidR="0044001E" w:rsidRPr="00614E71">
              <w:t xml:space="preserve"> 15, Ogres novadā</w:t>
            </w:r>
            <w:r w:rsidR="00C403CF">
              <w:t xml:space="preserve"> -</w:t>
            </w:r>
            <w:r w:rsidR="0044001E" w:rsidRPr="00614E71">
              <w:t xml:space="preserve"> 6, </w:t>
            </w:r>
            <w:r w:rsidR="00995978" w:rsidRPr="00614E71">
              <w:t>Skrīveru novadā 4</w:t>
            </w:r>
            <w:r w:rsidR="00C403CF">
              <w:t xml:space="preserve"> -</w:t>
            </w:r>
            <w:r w:rsidR="00995978" w:rsidRPr="00614E71">
              <w:t>, Liepājas novadā</w:t>
            </w:r>
            <w:r w:rsidR="00C403CF">
              <w:t xml:space="preserve"> -</w:t>
            </w:r>
            <w:r w:rsidR="00995978" w:rsidRPr="00614E71">
              <w:t xml:space="preserve"> 42, Dagdas novadā</w:t>
            </w:r>
            <w:r w:rsidR="00C403CF">
              <w:t xml:space="preserve"> - </w:t>
            </w:r>
            <w:r w:rsidR="00995978" w:rsidRPr="00614E71">
              <w:t xml:space="preserve">12, </w:t>
            </w:r>
            <w:r w:rsidR="00265D5B" w:rsidRPr="00614E71">
              <w:t>Carnikavas novadā</w:t>
            </w:r>
            <w:r w:rsidR="00C403CF">
              <w:t xml:space="preserve"> -</w:t>
            </w:r>
            <w:r w:rsidR="00265D5B" w:rsidRPr="00614E71">
              <w:t xml:space="preserve"> 6, bet </w:t>
            </w:r>
            <w:r w:rsidR="00265D5B" w:rsidRPr="00614E71">
              <w:rPr>
                <w:rFonts w:eastAsia="Calibri" w:cs="Times New Roman"/>
                <w:szCs w:val="28"/>
              </w:rPr>
              <w:t>Rīgas Pašvaldības policijas darbinieki bija uzsākuši 23 administratīvā pārkāpuma lietas.</w:t>
            </w:r>
          </w:p>
          <w:p w:rsidR="00DA6858" w:rsidRPr="00614E71" w:rsidRDefault="00F068AE" w:rsidP="008960AC">
            <w:pPr>
              <w:widowControl w:val="0"/>
              <w:suppressAutoHyphens/>
              <w:autoSpaceDE w:val="0"/>
              <w:autoSpaceDN w:val="0"/>
              <w:adjustRightInd w:val="0"/>
              <w:jc w:val="both"/>
              <w:rPr>
                <w:rFonts w:eastAsia="Calibri" w:cs="Times New Roman"/>
                <w:szCs w:val="28"/>
              </w:rPr>
            </w:pPr>
            <w:r w:rsidRPr="00614E71">
              <w:rPr>
                <w:rFonts w:eastAsia="Calibri" w:cs="Times New Roman"/>
                <w:szCs w:val="28"/>
              </w:rPr>
              <w:t xml:space="preserve">Saskaņā ar </w:t>
            </w:r>
            <w:r w:rsidRPr="00614E71">
              <w:rPr>
                <w:rFonts w:cs="Times New Roman"/>
                <w:szCs w:val="28"/>
              </w:rPr>
              <w:t>Ministru kabineta 2014</w:t>
            </w:r>
            <w:r w:rsidR="006711A8" w:rsidRPr="00614E71">
              <w:rPr>
                <w:rFonts w:cs="Times New Roman"/>
                <w:szCs w:val="28"/>
              </w:rPr>
              <w:t xml:space="preserve">.gada 22.aprīļa protokollēmuma </w:t>
            </w:r>
            <w:r w:rsidR="006711A8" w:rsidRPr="00614E71">
              <w:rPr>
                <w:rFonts w:eastAsia="Times New Roman" w:cs="Times New Roman"/>
                <w:szCs w:val="28"/>
                <w:lang w:eastAsia="lv-LV"/>
              </w:rPr>
              <w:t>„</w:t>
            </w:r>
            <w:r w:rsidR="006711A8" w:rsidRPr="00614E71">
              <w:rPr>
                <w:rFonts w:cs="Times New Roman"/>
                <w:bCs/>
                <w:szCs w:val="28"/>
                <w:shd w:val="clear" w:color="auto" w:fill="FFFFFF"/>
              </w:rPr>
              <w:t xml:space="preserve">Informatīvais ziņojums </w:t>
            </w:r>
            <w:r w:rsidR="006711A8" w:rsidRPr="00614E71">
              <w:rPr>
                <w:rFonts w:eastAsia="Times New Roman" w:cs="Times New Roman"/>
                <w:szCs w:val="28"/>
                <w:lang w:eastAsia="lv-LV"/>
              </w:rPr>
              <w:t>„</w:t>
            </w:r>
            <w:r w:rsidRPr="00614E71">
              <w:rPr>
                <w:rFonts w:cs="Times New Roman"/>
                <w:bCs/>
                <w:szCs w:val="28"/>
                <w:shd w:val="clear" w:color="auto" w:fill="FFFFFF"/>
              </w:rPr>
              <w:t xml:space="preserve">Nozaru administratīvo pārkāpumu kodifikācijas ieviešanas sistēma”” (TA-775) </w:t>
            </w:r>
            <w:r w:rsidRPr="00614E71">
              <w:rPr>
                <w:rFonts w:cs="Times New Roman"/>
                <w:szCs w:val="28"/>
              </w:rPr>
              <w:t>(p</w:t>
            </w:r>
            <w:r w:rsidR="00C403CF">
              <w:rPr>
                <w:rFonts w:cs="Times New Roman"/>
                <w:szCs w:val="28"/>
              </w:rPr>
              <w:t>rot. N</w:t>
            </w:r>
            <w:r w:rsidRPr="00614E71">
              <w:rPr>
                <w:rFonts w:cs="Times New Roman"/>
                <w:szCs w:val="28"/>
              </w:rPr>
              <w:t>r.24</w:t>
            </w:r>
            <w:r w:rsidR="00C403CF">
              <w:rPr>
                <w:rFonts w:cs="Times New Roman"/>
                <w:szCs w:val="28"/>
              </w:rPr>
              <w:t>,</w:t>
            </w:r>
            <w:r w:rsidRPr="00614E71">
              <w:rPr>
                <w:rFonts w:cs="Times New Roman"/>
                <w:szCs w:val="28"/>
              </w:rPr>
              <w:t xml:space="preserve"> 26.§</w:t>
            </w:r>
            <w:r w:rsidR="00C403CF">
              <w:rPr>
                <w:rFonts w:cs="Times New Roman"/>
                <w:szCs w:val="28"/>
              </w:rPr>
              <w:t>.</w:t>
            </w:r>
            <w:r w:rsidRPr="00614E71">
              <w:rPr>
                <w:rFonts w:cs="Times New Roman"/>
                <w:szCs w:val="28"/>
              </w:rPr>
              <w:t xml:space="preserve">) </w:t>
            </w:r>
            <w:r w:rsidR="00C403CF">
              <w:rPr>
                <w:rFonts w:cs="Times New Roman"/>
                <w:bCs/>
                <w:szCs w:val="28"/>
                <w:shd w:val="clear" w:color="auto" w:fill="FFFFFF"/>
              </w:rPr>
              <w:t>3.punktu, L</w:t>
            </w:r>
            <w:r w:rsidRPr="00614E71">
              <w:rPr>
                <w:rFonts w:cs="Times New Roman"/>
                <w:bCs/>
                <w:szCs w:val="28"/>
                <w:shd w:val="clear" w:color="auto" w:fill="FFFFFF"/>
              </w:rPr>
              <w:t xml:space="preserve">ikumprojekts ir izskatīts un atbalstīts Tieslietu ministrijas </w:t>
            </w:r>
            <w:r w:rsidR="002E29BA">
              <w:rPr>
                <w:rFonts w:eastAsia="Times New Roman" w:cs="Times New Roman"/>
                <w:szCs w:val="28"/>
                <w:lang w:eastAsia="lv-LV"/>
              </w:rPr>
              <w:t>p</w:t>
            </w:r>
            <w:r w:rsidR="00B61F79">
              <w:rPr>
                <w:rFonts w:cs="Times New Roman"/>
                <w:szCs w:val="28"/>
              </w:rPr>
              <w:t>astāvīgajā</w:t>
            </w:r>
            <w:r w:rsidR="00B61F79">
              <w:rPr>
                <w:szCs w:val="28"/>
              </w:rPr>
              <w:t xml:space="preserve"> LAPK </w:t>
            </w:r>
            <w:r w:rsidR="002E29BA">
              <w:rPr>
                <w:rFonts w:cs="Times New Roman"/>
                <w:szCs w:val="28"/>
              </w:rPr>
              <w:t>darba grupā</w:t>
            </w:r>
            <w:r w:rsidR="00B61F79">
              <w:rPr>
                <w:rFonts w:cs="Times New Roman"/>
                <w:szCs w:val="28"/>
              </w:rPr>
              <w:t xml:space="preserve"> 2016.gada 1.decembrī</w:t>
            </w:r>
            <w:r w:rsidRPr="00614E71">
              <w:rPr>
                <w:rFonts w:cs="Times New Roman"/>
                <w:szCs w:val="28"/>
              </w:rPr>
              <w:t>.</w:t>
            </w:r>
          </w:p>
        </w:tc>
      </w:tr>
      <w:tr w:rsidR="00614E71" w:rsidRPr="00614E71" w:rsidTr="000E6716">
        <w:trPr>
          <w:gridBefore w:val="1"/>
          <w:wBefore w:w="5" w:type="dxa"/>
          <w:tblCellSpacing w:w="15" w:type="dxa"/>
        </w:trPr>
        <w:tc>
          <w:tcPr>
            <w:tcW w:w="631"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jc w:val="center"/>
              <w:rPr>
                <w:rFonts w:eastAsia="Times New Roman" w:cs="Times New Roman"/>
                <w:szCs w:val="28"/>
                <w:lang w:eastAsia="lv-LV"/>
              </w:rPr>
            </w:pPr>
            <w:r w:rsidRPr="00614E71">
              <w:rPr>
                <w:rFonts w:eastAsia="Times New Roman" w:cs="Times New Roman"/>
                <w:szCs w:val="28"/>
                <w:lang w:eastAsia="lv-LV"/>
              </w:rPr>
              <w:t>4.</w:t>
            </w:r>
          </w:p>
        </w:tc>
        <w:tc>
          <w:tcPr>
            <w:tcW w:w="1513" w:type="dxa"/>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7017"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E64B54" w:rsidP="00E64B5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bCs/>
                <w:sz w:val="28"/>
                <w:szCs w:val="28"/>
                <w:lang w:val="lv-LV" w:eastAsia="lv-LV"/>
              </w:rPr>
            </w:pPr>
            <w:r w:rsidRPr="00614E71">
              <w:rPr>
                <w:bCs/>
                <w:sz w:val="28"/>
                <w:szCs w:val="28"/>
                <w:lang w:val="lv-LV" w:eastAsia="lv-LV"/>
              </w:rPr>
              <w:t>Administratīvie pārkāpumi</w:t>
            </w:r>
            <w:r w:rsidRPr="00614E71">
              <w:rPr>
                <w:sz w:val="28"/>
                <w:szCs w:val="28"/>
                <w:lang w:val="lv-LV"/>
              </w:rPr>
              <w:t xml:space="preserve"> par normatīvajos aktos noteikto prasību un aprobežojumu</w:t>
            </w:r>
            <w:r w:rsidRPr="00614E71">
              <w:rPr>
                <w:bCs/>
                <w:sz w:val="28"/>
                <w:szCs w:val="28"/>
                <w:lang w:val="lv-LV" w:eastAsia="lv-LV"/>
              </w:rPr>
              <w:t xml:space="preserve"> neievērošanu elektrotīklu ekspluatācijas aizsargjoslās, kas noteikti LAPK  93.</w:t>
            </w:r>
            <w:r w:rsidRPr="00614E71">
              <w:rPr>
                <w:bCs/>
                <w:sz w:val="28"/>
                <w:szCs w:val="28"/>
                <w:vertAlign w:val="superscript"/>
                <w:lang w:val="lv-LV" w:eastAsia="lv-LV"/>
              </w:rPr>
              <w:t xml:space="preserve"> </w:t>
            </w:r>
            <w:r w:rsidRPr="00614E71">
              <w:rPr>
                <w:bCs/>
                <w:sz w:val="28"/>
                <w:szCs w:val="28"/>
                <w:lang w:val="lv-LV" w:eastAsia="lv-LV"/>
              </w:rPr>
              <w:t>pantā, kā arī lai noteiktu kompetento iestādi, kas var piemērot administratīvos sodus, tiks iekļauti Aizsargjoslu likumā.</w:t>
            </w:r>
          </w:p>
        </w:tc>
      </w:tr>
      <w:tr w:rsidR="00614E71" w:rsidRPr="00614E71" w:rsidTr="000E6716">
        <w:trPr>
          <w:gridBefore w:val="1"/>
          <w:wBefore w:w="5" w:type="dxa"/>
          <w:trHeight w:val="444"/>
          <w:tblCellSpacing w:w="15" w:type="dxa"/>
        </w:trPr>
        <w:tc>
          <w:tcPr>
            <w:tcW w:w="9221" w:type="dxa"/>
            <w:gridSpan w:val="10"/>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b/>
                <w:bCs/>
                <w:szCs w:val="28"/>
                <w:lang w:eastAsia="lv-LV"/>
              </w:rPr>
              <w:t>II. Tiesību akta projekta ietekme uz sabiedrību, tautsaimniecības attīstību un administratīvo slogu</w:t>
            </w:r>
          </w:p>
        </w:tc>
      </w:tr>
      <w:tr w:rsidR="00614E71" w:rsidRPr="00614E71" w:rsidTr="000E6716">
        <w:trPr>
          <w:gridBefore w:val="1"/>
          <w:wBefore w:w="5" w:type="dxa"/>
          <w:trHeight w:val="372"/>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1.</w:t>
            </w:r>
          </w:p>
        </w:tc>
        <w:tc>
          <w:tcPr>
            <w:tcW w:w="4542"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Sabiedrības mērķgrupas, kuras tiesiskais regulējums ietekmē vai varētu ietekmēt</w:t>
            </w:r>
          </w:p>
        </w:tc>
        <w:tc>
          <w:tcPr>
            <w:tcW w:w="4085" w:type="dxa"/>
            <w:gridSpan w:val="3"/>
            <w:tcBorders>
              <w:top w:val="outset" w:sz="6" w:space="0" w:color="auto"/>
              <w:left w:val="outset" w:sz="6" w:space="0" w:color="auto"/>
              <w:bottom w:val="outset" w:sz="6" w:space="0" w:color="auto"/>
              <w:right w:val="outset" w:sz="6" w:space="0" w:color="auto"/>
            </w:tcBorders>
            <w:hideMark/>
          </w:tcPr>
          <w:p w:rsidR="00DA6858" w:rsidRPr="00614E71" w:rsidRDefault="00364C48" w:rsidP="00A02B75">
            <w:pPr>
              <w:jc w:val="both"/>
              <w:rPr>
                <w:rFonts w:eastAsia="Calibri" w:cs="Times New Roman"/>
                <w:szCs w:val="28"/>
              </w:rPr>
            </w:pPr>
            <w:r>
              <w:rPr>
                <w:rFonts w:eastAsia="Calibri" w:cs="Times New Roman"/>
                <w:szCs w:val="28"/>
              </w:rPr>
              <w:t>Energosistēmu lietotājus</w:t>
            </w:r>
            <w:r w:rsidR="00071CA7">
              <w:rPr>
                <w:rFonts w:eastAsia="Calibri" w:cs="Times New Roman"/>
                <w:szCs w:val="28"/>
              </w:rPr>
              <w:t>,</w:t>
            </w:r>
            <w:r>
              <w:rPr>
                <w:rFonts w:eastAsia="Calibri" w:cs="Times New Roman"/>
                <w:szCs w:val="28"/>
              </w:rPr>
              <w:t xml:space="preserve"> kā arī</w:t>
            </w:r>
            <w:r w:rsidR="00071CA7">
              <w:rPr>
                <w:rFonts w:eastAsia="Calibri" w:cs="Times New Roman"/>
                <w:szCs w:val="28"/>
              </w:rPr>
              <w:t xml:space="preserve"> </w:t>
            </w:r>
            <w:r w:rsidR="00071CA7" w:rsidRPr="00C403CF">
              <w:rPr>
                <w:rFonts w:eastAsia="Calibri" w:cs="Times New Roman"/>
                <w:szCs w:val="28"/>
              </w:rPr>
              <w:t>pašvaldības policij</w:t>
            </w:r>
            <w:r>
              <w:rPr>
                <w:rFonts w:eastAsia="Calibri" w:cs="Times New Roman"/>
                <w:szCs w:val="28"/>
              </w:rPr>
              <w:t xml:space="preserve">ā, Valsts policijā </w:t>
            </w:r>
            <w:r w:rsidR="00F068AE" w:rsidRPr="00C403CF">
              <w:rPr>
                <w:rFonts w:eastAsia="Calibri" w:cs="Times New Roman"/>
                <w:szCs w:val="28"/>
              </w:rPr>
              <w:t>un</w:t>
            </w:r>
            <w:r w:rsidR="00F068AE" w:rsidRPr="00614E71">
              <w:rPr>
                <w:rFonts w:eastAsia="Calibri" w:cs="Times New Roman"/>
                <w:szCs w:val="28"/>
              </w:rPr>
              <w:t xml:space="preserve"> </w:t>
            </w:r>
            <w:r w:rsidR="00F068AE" w:rsidRPr="00614E71">
              <w:rPr>
                <w:rFonts w:eastAsia="Times New Roman" w:cs="Times New Roman"/>
                <w:bCs/>
                <w:szCs w:val="28"/>
                <w:lang w:eastAsia="lv-LV"/>
              </w:rPr>
              <w:t>paš</w:t>
            </w:r>
            <w:r>
              <w:rPr>
                <w:rFonts w:eastAsia="Times New Roman" w:cs="Times New Roman"/>
                <w:bCs/>
                <w:szCs w:val="28"/>
                <w:lang w:eastAsia="lv-LV"/>
              </w:rPr>
              <w:t>valdību administratīvās komisijā</w:t>
            </w:r>
            <w:r w:rsidR="00F068AE" w:rsidRPr="00614E71">
              <w:rPr>
                <w:rFonts w:eastAsia="Times New Roman" w:cs="Times New Roman"/>
                <w:bCs/>
                <w:szCs w:val="28"/>
                <w:lang w:eastAsia="lv-LV"/>
              </w:rPr>
              <w:t>s</w:t>
            </w:r>
            <w:r>
              <w:rPr>
                <w:rFonts w:cs="Times New Roman"/>
                <w:noProof/>
                <w:sz w:val="24"/>
                <w:szCs w:val="24"/>
              </w:rPr>
              <w:t xml:space="preserve"> </w:t>
            </w:r>
            <w:r w:rsidRPr="009D6AD3">
              <w:rPr>
                <w:rFonts w:eastAsia="Calibri" w:cs="Times New Roman"/>
                <w:szCs w:val="28"/>
                <w:u w:val="single"/>
              </w:rPr>
              <w:t>nodarbinātos</w:t>
            </w:r>
            <w:r w:rsidRPr="00364C48">
              <w:rPr>
                <w:rFonts w:eastAsia="Calibri" w:cs="Times New Roman"/>
                <w:szCs w:val="28"/>
              </w:rPr>
              <w:t>.</w:t>
            </w:r>
          </w:p>
        </w:tc>
      </w:tr>
      <w:tr w:rsidR="00614E71" w:rsidRPr="00614E71" w:rsidTr="000E6716">
        <w:trPr>
          <w:gridBefore w:val="1"/>
          <w:wBefore w:w="5" w:type="dxa"/>
          <w:trHeight w:val="408"/>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2.</w:t>
            </w:r>
          </w:p>
        </w:tc>
        <w:tc>
          <w:tcPr>
            <w:tcW w:w="4542"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Tiesiskā regulējuma ietekme uz tautsaimniecību un administratīvo slogu</w:t>
            </w:r>
          </w:p>
        </w:tc>
        <w:tc>
          <w:tcPr>
            <w:tcW w:w="4085" w:type="dxa"/>
            <w:gridSpan w:val="3"/>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jc w:val="both"/>
              <w:rPr>
                <w:rFonts w:eastAsia="Times New Roman" w:cs="Times New Roman"/>
                <w:szCs w:val="28"/>
                <w:lang w:eastAsia="lv-LV"/>
              </w:rPr>
            </w:pPr>
            <w:r w:rsidRPr="00614E71">
              <w:rPr>
                <w:rFonts w:eastAsia="Times New Roman" w:cs="Times New Roman"/>
                <w:szCs w:val="28"/>
                <w:lang w:eastAsia="lv-LV"/>
              </w:rPr>
              <w:t>Projekts šo jomu neskar</w:t>
            </w:r>
          </w:p>
        </w:tc>
      </w:tr>
      <w:tr w:rsidR="00614E71" w:rsidRPr="00614E71" w:rsidTr="000E6716">
        <w:trPr>
          <w:gridBefore w:val="1"/>
          <w:wBefore w:w="5" w:type="dxa"/>
          <w:trHeight w:val="408"/>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3.</w:t>
            </w:r>
          </w:p>
        </w:tc>
        <w:tc>
          <w:tcPr>
            <w:tcW w:w="4542"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Administratīvo izmaksu monetārs novērtējums</w:t>
            </w:r>
          </w:p>
        </w:tc>
        <w:tc>
          <w:tcPr>
            <w:tcW w:w="4085" w:type="dxa"/>
            <w:gridSpan w:val="3"/>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Projekts šo jomu neskar</w:t>
            </w:r>
          </w:p>
        </w:tc>
      </w:tr>
      <w:tr w:rsidR="00DA6858" w:rsidRPr="00614E71" w:rsidTr="000E6716">
        <w:trPr>
          <w:gridBefore w:val="1"/>
          <w:wBefore w:w="5" w:type="dxa"/>
          <w:trHeight w:val="276"/>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4.</w:t>
            </w:r>
          </w:p>
        </w:tc>
        <w:tc>
          <w:tcPr>
            <w:tcW w:w="4542"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4085" w:type="dxa"/>
            <w:gridSpan w:val="3"/>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rPr>
                <w:rFonts w:eastAsia="Times New Roman" w:cs="Times New Roman"/>
                <w:szCs w:val="28"/>
                <w:lang w:eastAsia="lv-LV"/>
              </w:rPr>
            </w:pPr>
            <w:r w:rsidRPr="00614E71">
              <w:rPr>
                <w:rFonts w:eastAsia="Times New Roman" w:cs="Times New Roman"/>
                <w:szCs w:val="28"/>
                <w:lang w:eastAsia="lv-LV"/>
              </w:rPr>
              <w:t>Nav</w:t>
            </w:r>
          </w:p>
        </w:tc>
      </w:tr>
      <w:tr w:rsidR="00614E71" w:rsidRPr="00614E71" w:rsidTr="000E6716">
        <w:tblPrEx>
          <w:tblCellSpacing w:w="20" w:type="dxa"/>
          <w:tblBorders>
            <w:left w:val="none" w:sz="0" w:space="0" w:color="auto"/>
            <w:bottom w:val="outset" w:sz="6" w:space="0" w:color="414142"/>
            <w:insideH w:val="outset" w:sz="6" w:space="0" w:color="auto"/>
            <w:insideV w:val="outset" w:sz="6" w:space="0" w:color="414142"/>
          </w:tblBorders>
          <w:tblCellMar>
            <w:top w:w="30" w:type="dxa"/>
            <w:left w:w="30" w:type="dxa"/>
            <w:bottom w:w="30" w:type="dxa"/>
            <w:right w:w="30" w:type="dxa"/>
          </w:tblCellMar>
        </w:tblPrEx>
        <w:trPr>
          <w:trHeight w:val="360"/>
          <w:tblCellSpacing w:w="20" w:type="dxa"/>
        </w:trPr>
        <w:tc>
          <w:tcPr>
            <w:tcW w:w="9256" w:type="dxa"/>
            <w:gridSpan w:val="11"/>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eastAsia="Times New Roman" w:cs="Times New Roman"/>
                <w:szCs w:val="28"/>
                <w:lang w:eastAsia="lv-LV"/>
              </w:rPr>
              <w:t> </w:t>
            </w:r>
            <w:r w:rsidRPr="00614E71">
              <w:rPr>
                <w:rFonts w:eastAsia="Times New Roman" w:cs="Times New Roman"/>
                <w:b/>
                <w:bCs/>
                <w:szCs w:val="28"/>
                <w:lang w:eastAsia="lv-LV"/>
              </w:rPr>
              <w:t>III. Tiesību akta projekta ietekme uz valsts budžetu un pašvaldību budžetiem</w:t>
            </w:r>
          </w:p>
        </w:tc>
      </w:tr>
      <w:tr w:rsidR="00614E71" w:rsidRPr="00614E71" w:rsidTr="000E6716">
        <w:tblPrEx>
          <w:tblCellSpacing w:w="20" w:type="dxa"/>
          <w:tblBorders>
            <w:left w:val="none" w:sz="0" w:space="0" w:color="auto"/>
            <w:bottom w:val="outset" w:sz="6" w:space="0" w:color="414142"/>
            <w:insideH w:val="outset" w:sz="6" w:space="0" w:color="auto"/>
            <w:insideV w:val="outset" w:sz="6" w:space="0" w:color="414142"/>
          </w:tblBorders>
          <w:tblCellMar>
            <w:top w:w="30" w:type="dxa"/>
            <w:left w:w="30" w:type="dxa"/>
            <w:bottom w:w="30" w:type="dxa"/>
            <w:right w:w="30" w:type="dxa"/>
          </w:tblCellMar>
        </w:tblPrEx>
        <w:trPr>
          <w:trHeight w:val="360"/>
          <w:tblCellSpacing w:w="20" w:type="dxa"/>
        </w:trPr>
        <w:tc>
          <w:tcPr>
            <w:tcW w:w="9256" w:type="dxa"/>
            <w:gridSpan w:val="11"/>
            <w:vAlign w:val="center"/>
          </w:tcPr>
          <w:p w:rsidR="00DA6858" w:rsidRPr="00614E71" w:rsidRDefault="00DA6858" w:rsidP="00A02B75">
            <w:pPr>
              <w:jc w:val="center"/>
              <w:rPr>
                <w:rFonts w:eastAsia="Times New Roman" w:cs="Times New Roman"/>
                <w:b/>
                <w:bCs/>
                <w:szCs w:val="28"/>
                <w:lang w:eastAsia="lv-LV"/>
              </w:rPr>
            </w:pPr>
            <w:r w:rsidRPr="00614E71">
              <w:rPr>
                <w:rFonts w:cs="Times New Roman"/>
                <w:szCs w:val="28"/>
                <w:lang w:eastAsia="lv-LV"/>
              </w:rPr>
              <w:t>Projekts šo jomu neskar</w:t>
            </w:r>
          </w:p>
        </w:tc>
      </w:tr>
      <w:tr w:rsidR="00614E71" w:rsidRPr="00614E71" w:rsidTr="000E6716">
        <w:tblPrEx>
          <w:tblCellSpacing w:w="20" w:type="dxa"/>
          <w:tblBorders>
            <w:left w:val="none" w:sz="0" w:space="0" w:color="auto"/>
            <w:bottom w:val="outset" w:sz="6" w:space="0" w:color="414142"/>
            <w:insideH w:val="outset" w:sz="6" w:space="0" w:color="auto"/>
            <w:insideV w:val="outset" w:sz="6" w:space="0" w:color="414142"/>
          </w:tblBorders>
          <w:tblCellMar>
            <w:top w:w="30" w:type="dxa"/>
            <w:left w:w="30" w:type="dxa"/>
            <w:bottom w:w="30" w:type="dxa"/>
            <w:right w:w="30" w:type="dxa"/>
          </w:tblCellMar>
        </w:tblPrEx>
        <w:trPr>
          <w:trHeight w:val="450"/>
          <w:tblCellSpacing w:w="20" w:type="dxa"/>
        </w:trPr>
        <w:tc>
          <w:tcPr>
            <w:tcW w:w="9256" w:type="dxa"/>
            <w:gridSpan w:val="11"/>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eastAsia="Times New Roman" w:cs="Times New Roman"/>
                <w:b/>
                <w:bCs/>
                <w:szCs w:val="28"/>
                <w:lang w:eastAsia="lv-LV"/>
              </w:rPr>
              <w:t>IV. Tiesību akta projekta ietekme uz spēkā esošo tiesību normu sistēmu</w:t>
            </w:r>
          </w:p>
        </w:tc>
      </w:tr>
      <w:tr w:rsidR="00614E71" w:rsidRPr="00614E71" w:rsidTr="000E6716">
        <w:tblPrEx>
          <w:tblCellSpacing w:w="20" w:type="dxa"/>
          <w:tblBorders>
            <w:left w:val="none" w:sz="0" w:space="0" w:color="auto"/>
            <w:bottom w:val="outset" w:sz="6" w:space="0" w:color="414142"/>
            <w:insideH w:val="outset" w:sz="6" w:space="0" w:color="auto"/>
            <w:insideV w:val="outset" w:sz="6" w:space="0" w:color="414142"/>
          </w:tblBorders>
          <w:tblCellMar>
            <w:top w:w="30" w:type="dxa"/>
            <w:left w:w="30" w:type="dxa"/>
            <w:bottom w:w="30" w:type="dxa"/>
            <w:right w:w="30" w:type="dxa"/>
          </w:tblCellMar>
        </w:tblPrEx>
        <w:trPr>
          <w:tblCellSpacing w:w="20" w:type="dxa"/>
        </w:trPr>
        <w:tc>
          <w:tcPr>
            <w:tcW w:w="9256" w:type="dxa"/>
            <w:gridSpan w:val="11"/>
            <w:hideMark/>
          </w:tcPr>
          <w:p w:rsidR="00DA6858" w:rsidRPr="00614E71" w:rsidRDefault="00DA6858" w:rsidP="00A02B75">
            <w:pPr>
              <w:jc w:val="center"/>
              <w:rPr>
                <w:rFonts w:eastAsia="Times New Roman" w:cs="Times New Roman"/>
                <w:szCs w:val="28"/>
                <w:lang w:eastAsia="lv-LV"/>
              </w:rPr>
            </w:pPr>
            <w:r w:rsidRPr="00614E71">
              <w:rPr>
                <w:rFonts w:cs="Times New Roman"/>
                <w:szCs w:val="28"/>
                <w:lang w:eastAsia="lv-LV"/>
              </w:rPr>
              <w:t>Projekts šo jomu neskar</w:t>
            </w:r>
          </w:p>
        </w:tc>
      </w:tr>
      <w:tr w:rsidR="00614E71" w:rsidRPr="00614E71" w:rsidTr="000E6716">
        <w:tblPrEx>
          <w:tblCellSpacing w:w="20" w:type="dxa"/>
          <w:tblBorders>
            <w:left w:val="none" w:sz="0" w:space="0" w:color="auto"/>
            <w:bottom w:val="outset" w:sz="6" w:space="0" w:color="414142"/>
            <w:insideH w:val="outset" w:sz="6" w:space="0" w:color="auto"/>
            <w:insideV w:val="outset" w:sz="6" w:space="0" w:color="414142"/>
          </w:tblBorders>
          <w:tblCellMar>
            <w:top w:w="30" w:type="dxa"/>
            <w:left w:w="30" w:type="dxa"/>
            <w:bottom w:w="30" w:type="dxa"/>
            <w:right w:w="30" w:type="dxa"/>
          </w:tblCellMar>
        </w:tblPrEx>
        <w:trPr>
          <w:tblCellSpacing w:w="20" w:type="dxa"/>
        </w:trPr>
        <w:tc>
          <w:tcPr>
            <w:tcW w:w="9256" w:type="dxa"/>
            <w:gridSpan w:val="11"/>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eastAsia="Times New Roman" w:cs="Times New Roman"/>
                <w:b/>
                <w:bCs/>
                <w:szCs w:val="28"/>
                <w:lang w:eastAsia="lv-LV"/>
              </w:rPr>
              <w:t>V. Tiesību akta projekta atbilstība Latvijas Republikas starptautiskajām saistībām</w:t>
            </w:r>
          </w:p>
        </w:tc>
      </w:tr>
      <w:tr w:rsidR="00614E71" w:rsidRPr="00614E71" w:rsidTr="000E6716">
        <w:tblPrEx>
          <w:tblCellSpacing w:w="20" w:type="dxa"/>
          <w:tblBorders>
            <w:left w:val="none" w:sz="0" w:space="0" w:color="auto"/>
            <w:bottom w:val="outset" w:sz="6" w:space="0" w:color="414142"/>
            <w:insideH w:val="outset" w:sz="6" w:space="0" w:color="auto"/>
            <w:insideV w:val="outset" w:sz="6" w:space="0" w:color="414142"/>
          </w:tblBorders>
          <w:tblCellMar>
            <w:top w:w="30" w:type="dxa"/>
            <w:left w:w="30" w:type="dxa"/>
            <w:bottom w:w="30" w:type="dxa"/>
            <w:right w:w="30" w:type="dxa"/>
          </w:tblCellMar>
        </w:tblPrEx>
        <w:trPr>
          <w:tblCellSpacing w:w="20" w:type="dxa"/>
        </w:trPr>
        <w:tc>
          <w:tcPr>
            <w:tcW w:w="9256" w:type="dxa"/>
            <w:gridSpan w:val="11"/>
            <w:vAlign w:val="center"/>
            <w:hideMark/>
          </w:tcPr>
          <w:p w:rsidR="00DA6858" w:rsidRPr="00614E71" w:rsidRDefault="00DA6858" w:rsidP="00A02B75">
            <w:pPr>
              <w:ind w:firstLine="300"/>
              <w:jc w:val="center"/>
              <w:rPr>
                <w:rFonts w:eastAsia="Times New Roman" w:cs="Times New Roman"/>
                <w:b/>
                <w:bCs/>
                <w:szCs w:val="28"/>
                <w:lang w:eastAsia="lv-LV"/>
              </w:rPr>
            </w:pPr>
            <w:r w:rsidRPr="00614E71">
              <w:rPr>
                <w:rFonts w:cs="Times New Roman"/>
                <w:szCs w:val="28"/>
                <w:lang w:eastAsia="lv-LV"/>
              </w:rPr>
              <w:t>Projekts šo jomu neskar</w:t>
            </w:r>
          </w:p>
        </w:tc>
      </w:tr>
      <w:tr w:rsidR="00614E71" w:rsidRPr="00614E71" w:rsidTr="000E6716">
        <w:trPr>
          <w:trHeight w:val="336"/>
          <w:tblCellSpacing w:w="15" w:type="dxa"/>
        </w:trPr>
        <w:tc>
          <w:tcPr>
            <w:tcW w:w="9256" w:type="dxa"/>
            <w:gridSpan w:val="11"/>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szCs w:val="28"/>
                <w:lang w:eastAsia="lv-LV"/>
              </w:rPr>
              <w:t> </w:t>
            </w:r>
            <w:r w:rsidRPr="00614E71">
              <w:rPr>
                <w:rFonts w:eastAsia="Times New Roman" w:cs="Times New Roman"/>
                <w:b/>
                <w:bCs/>
                <w:szCs w:val="28"/>
                <w:lang w:eastAsia="lv-LV"/>
              </w:rPr>
              <w:t>VI. Sabiedrības līdzdalība un komunikācijas aktivitātes</w:t>
            </w:r>
          </w:p>
        </w:tc>
      </w:tr>
      <w:tr w:rsidR="00614E71" w:rsidRPr="00614E71" w:rsidTr="000E6716">
        <w:trPr>
          <w:trHeight w:val="432"/>
          <w:tblCellSpacing w:w="15" w:type="dxa"/>
        </w:trPr>
        <w:tc>
          <w:tcPr>
            <w:tcW w:w="38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1.</w:t>
            </w:r>
          </w:p>
        </w:tc>
        <w:tc>
          <w:tcPr>
            <w:tcW w:w="2313"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Plānotās sabiedrības līdzdalības un komunikācijas aktivitātes saistībā ar projektu</w:t>
            </w:r>
          </w:p>
        </w:tc>
        <w:tc>
          <w:tcPr>
            <w:tcW w:w="6497"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F068AE" w:rsidP="00A02B75">
            <w:pPr>
              <w:widowControl w:val="0"/>
              <w:suppressAutoHyphens/>
              <w:autoSpaceDE w:val="0"/>
              <w:autoSpaceDN w:val="0"/>
              <w:adjustRightInd w:val="0"/>
              <w:jc w:val="both"/>
              <w:rPr>
                <w:rFonts w:cs="Times New Roman"/>
                <w:szCs w:val="28"/>
                <w:lang w:eastAsia="lv-LV"/>
              </w:rPr>
            </w:pPr>
            <w:r w:rsidRPr="00614E71">
              <w:rPr>
                <w:rFonts w:eastAsia="Calibri" w:cs="Times New Roman"/>
                <w:szCs w:val="28"/>
              </w:rPr>
              <w:t xml:space="preserve">Saskaņā ar </w:t>
            </w:r>
            <w:r w:rsidRPr="00614E71">
              <w:rPr>
                <w:rFonts w:cs="Times New Roman"/>
                <w:szCs w:val="28"/>
              </w:rPr>
              <w:t>Ministru kabineta 2014</w:t>
            </w:r>
            <w:r w:rsidR="006711A8" w:rsidRPr="00614E71">
              <w:rPr>
                <w:rFonts w:cs="Times New Roman"/>
                <w:szCs w:val="28"/>
              </w:rPr>
              <w:t xml:space="preserve">.gada 22.aprīļa protokollēmuma </w:t>
            </w:r>
            <w:r w:rsidR="006711A8" w:rsidRPr="00614E71">
              <w:rPr>
                <w:rFonts w:eastAsia="Times New Roman" w:cs="Times New Roman"/>
                <w:szCs w:val="28"/>
                <w:lang w:eastAsia="lv-LV"/>
              </w:rPr>
              <w:t>„</w:t>
            </w:r>
            <w:r w:rsidR="006711A8" w:rsidRPr="00614E71">
              <w:rPr>
                <w:rFonts w:cs="Times New Roman"/>
                <w:bCs/>
                <w:szCs w:val="28"/>
                <w:shd w:val="clear" w:color="auto" w:fill="FFFFFF"/>
              </w:rPr>
              <w:t xml:space="preserve">Informatīvais ziņojums </w:t>
            </w:r>
            <w:r w:rsidR="006711A8" w:rsidRPr="00614E71">
              <w:rPr>
                <w:rFonts w:eastAsia="Times New Roman" w:cs="Times New Roman"/>
                <w:szCs w:val="28"/>
                <w:lang w:eastAsia="lv-LV"/>
              </w:rPr>
              <w:t>„</w:t>
            </w:r>
            <w:r w:rsidRPr="00614E71">
              <w:rPr>
                <w:rFonts w:cs="Times New Roman"/>
                <w:bCs/>
                <w:szCs w:val="28"/>
                <w:shd w:val="clear" w:color="auto" w:fill="FFFFFF"/>
              </w:rPr>
              <w:t xml:space="preserve">Nozaru administratīvo pārkāpumu kodifikācijas ieviešanas sistēma”” (TA-775) </w:t>
            </w:r>
            <w:r w:rsidR="00C403CF">
              <w:rPr>
                <w:rFonts w:cs="Times New Roman"/>
                <w:szCs w:val="28"/>
              </w:rPr>
              <w:t>(prot. N</w:t>
            </w:r>
            <w:r w:rsidRPr="00614E71">
              <w:rPr>
                <w:rFonts w:cs="Times New Roman"/>
                <w:szCs w:val="28"/>
              </w:rPr>
              <w:t>r.24</w:t>
            </w:r>
            <w:r w:rsidR="00C403CF">
              <w:rPr>
                <w:rFonts w:cs="Times New Roman"/>
                <w:szCs w:val="28"/>
              </w:rPr>
              <w:t>,</w:t>
            </w:r>
            <w:r w:rsidRPr="00614E71">
              <w:rPr>
                <w:rFonts w:cs="Times New Roman"/>
                <w:szCs w:val="28"/>
              </w:rPr>
              <w:t xml:space="preserve"> 26.§) </w:t>
            </w:r>
            <w:r w:rsidR="00C403CF">
              <w:rPr>
                <w:rFonts w:cs="Times New Roman"/>
                <w:bCs/>
                <w:szCs w:val="28"/>
                <w:shd w:val="clear" w:color="auto" w:fill="FFFFFF"/>
              </w:rPr>
              <w:t>3.punktu, L</w:t>
            </w:r>
            <w:r w:rsidRPr="00614E71">
              <w:rPr>
                <w:rFonts w:cs="Times New Roman"/>
                <w:bCs/>
                <w:szCs w:val="28"/>
                <w:shd w:val="clear" w:color="auto" w:fill="FFFFFF"/>
              </w:rPr>
              <w:t xml:space="preserve">ikumprojekts ir izskatīts un atbalstīts Tieslietu ministrijas </w:t>
            </w:r>
            <w:r w:rsidR="002E29BA">
              <w:rPr>
                <w:rFonts w:eastAsia="Times New Roman" w:cs="Times New Roman"/>
                <w:szCs w:val="28"/>
                <w:lang w:eastAsia="lv-LV"/>
              </w:rPr>
              <w:t>p</w:t>
            </w:r>
            <w:r w:rsidR="00B61F79">
              <w:rPr>
                <w:rFonts w:cs="Times New Roman"/>
                <w:szCs w:val="28"/>
              </w:rPr>
              <w:t>astāvīgajā</w:t>
            </w:r>
            <w:r w:rsidR="00B61F79">
              <w:rPr>
                <w:szCs w:val="28"/>
              </w:rPr>
              <w:t xml:space="preserve"> LAPK </w:t>
            </w:r>
            <w:r w:rsidR="002E29BA">
              <w:rPr>
                <w:rFonts w:cs="Times New Roman"/>
                <w:szCs w:val="28"/>
              </w:rPr>
              <w:t>darba grupā</w:t>
            </w:r>
            <w:r w:rsidR="00B61F79">
              <w:rPr>
                <w:rFonts w:cs="Times New Roman"/>
                <w:szCs w:val="28"/>
              </w:rPr>
              <w:t xml:space="preserve"> 2016.gada 1.decembrī</w:t>
            </w:r>
            <w:r w:rsidR="00B61F79" w:rsidRPr="00614E71">
              <w:rPr>
                <w:rFonts w:cs="Times New Roman"/>
                <w:szCs w:val="28"/>
              </w:rPr>
              <w:t>.</w:t>
            </w:r>
          </w:p>
        </w:tc>
      </w:tr>
      <w:tr w:rsidR="00614E71" w:rsidRPr="00614E71" w:rsidTr="000E6716">
        <w:trPr>
          <w:trHeight w:val="264"/>
          <w:tblCellSpacing w:w="15" w:type="dxa"/>
        </w:trPr>
        <w:tc>
          <w:tcPr>
            <w:tcW w:w="38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2.</w:t>
            </w:r>
          </w:p>
        </w:tc>
        <w:tc>
          <w:tcPr>
            <w:tcW w:w="2313"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Sabiedrības līdzdalība projekta izstrādē</w:t>
            </w:r>
          </w:p>
        </w:tc>
        <w:tc>
          <w:tcPr>
            <w:tcW w:w="6497"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F068AE" w:rsidP="009712E1">
            <w:pPr>
              <w:jc w:val="both"/>
              <w:rPr>
                <w:rFonts w:eastAsia="Times New Roman" w:cs="Times New Roman"/>
                <w:szCs w:val="28"/>
                <w:lang w:eastAsia="lv-LV"/>
              </w:rPr>
            </w:pPr>
            <w:r w:rsidRPr="00614E71">
              <w:rPr>
                <w:rStyle w:val="st1"/>
                <w:rFonts w:cs="Times New Roman"/>
                <w:bCs/>
                <w:szCs w:val="28"/>
              </w:rPr>
              <w:t>S</w:t>
            </w:r>
            <w:r w:rsidRPr="00614E71">
              <w:rPr>
                <w:rFonts w:cs="Times New Roman"/>
                <w:iCs/>
                <w:szCs w:val="28"/>
              </w:rPr>
              <w:t>abiedrības līdzdalība projekta izstrādē nodrošināta, divas nedēļas pirms liku</w:t>
            </w:r>
            <w:r w:rsidR="009712E1">
              <w:rPr>
                <w:rFonts w:cs="Times New Roman"/>
                <w:iCs/>
                <w:szCs w:val="28"/>
              </w:rPr>
              <w:t xml:space="preserve">mprojekta izsludināšanas Valsts </w:t>
            </w:r>
            <w:r w:rsidRPr="00614E71">
              <w:rPr>
                <w:rFonts w:cs="Times New Roman"/>
                <w:iCs/>
                <w:szCs w:val="28"/>
              </w:rPr>
              <w:t>sekretāru sanāksmē to publicējot Ekonomikas ministrijas mājas lapā, kā arī tiks nodrošināta turpmākā likumprojekta saskaņošanas gaitā pēc tā izsludināšanas Valsts sekretāru sanāksmē.</w:t>
            </w:r>
          </w:p>
        </w:tc>
      </w:tr>
      <w:tr w:rsidR="00614E71" w:rsidRPr="00614E71" w:rsidTr="000E6716">
        <w:trPr>
          <w:trHeight w:val="372"/>
          <w:tblCellSpacing w:w="15" w:type="dxa"/>
        </w:trPr>
        <w:tc>
          <w:tcPr>
            <w:tcW w:w="38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0E6716">
            <w:pPr>
              <w:ind w:right="-10"/>
              <w:rPr>
                <w:rFonts w:eastAsia="Times New Roman" w:cs="Times New Roman"/>
                <w:szCs w:val="28"/>
                <w:lang w:eastAsia="lv-LV"/>
              </w:rPr>
            </w:pPr>
            <w:r w:rsidRPr="00614E71">
              <w:rPr>
                <w:rFonts w:eastAsia="Times New Roman" w:cs="Times New Roman"/>
                <w:szCs w:val="28"/>
                <w:lang w:eastAsia="lv-LV"/>
              </w:rPr>
              <w:t>3.</w:t>
            </w:r>
          </w:p>
        </w:tc>
        <w:tc>
          <w:tcPr>
            <w:tcW w:w="2313"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Sabiedrības līdzdalības rezultāti</w:t>
            </w:r>
          </w:p>
        </w:tc>
        <w:tc>
          <w:tcPr>
            <w:tcW w:w="6497"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B451FB" w:rsidP="00A02B75">
            <w:pPr>
              <w:rPr>
                <w:rFonts w:eastAsia="Times New Roman" w:cs="Times New Roman"/>
                <w:szCs w:val="28"/>
                <w:lang w:eastAsia="lv-LV"/>
              </w:rPr>
            </w:pPr>
            <w:r>
              <w:rPr>
                <w:rFonts w:eastAsia="Times New Roman" w:cs="Times New Roman"/>
                <w:szCs w:val="28"/>
                <w:lang w:eastAsia="lv-LV"/>
              </w:rPr>
              <w:t>Nav</w:t>
            </w:r>
          </w:p>
        </w:tc>
      </w:tr>
      <w:tr w:rsidR="00614E71" w:rsidRPr="00614E71" w:rsidTr="000E6716">
        <w:trPr>
          <w:trHeight w:val="372"/>
          <w:tblCellSpacing w:w="15" w:type="dxa"/>
        </w:trPr>
        <w:tc>
          <w:tcPr>
            <w:tcW w:w="384"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4.</w:t>
            </w:r>
          </w:p>
        </w:tc>
        <w:tc>
          <w:tcPr>
            <w:tcW w:w="2313"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6497"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rPr>
                <w:rFonts w:eastAsia="Times New Roman" w:cs="Times New Roman"/>
                <w:szCs w:val="28"/>
                <w:lang w:eastAsia="lv-LV"/>
              </w:rPr>
            </w:pPr>
            <w:r w:rsidRPr="00614E71">
              <w:rPr>
                <w:rFonts w:eastAsia="Times New Roman" w:cs="Times New Roman"/>
                <w:szCs w:val="28"/>
                <w:lang w:eastAsia="lv-LV"/>
              </w:rPr>
              <w:t>Nav</w:t>
            </w:r>
          </w:p>
        </w:tc>
      </w:tr>
      <w:tr w:rsidR="00614E71" w:rsidRPr="00614E71" w:rsidTr="000E6716">
        <w:trPr>
          <w:trHeight w:val="300"/>
          <w:tblCellSpacing w:w="15" w:type="dxa"/>
        </w:trPr>
        <w:tc>
          <w:tcPr>
            <w:tcW w:w="9256" w:type="dxa"/>
            <w:gridSpan w:val="11"/>
            <w:tcBorders>
              <w:top w:val="outset" w:sz="6" w:space="0" w:color="auto"/>
              <w:left w:val="outset" w:sz="6" w:space="0" w:color="auto"/>
              <w:bottom w:val="outset" w:sz="6" w:space="0" w:color="auto"/>
              <w:right w:val="outset" w:sz="6" w:space="0" w:color="auto"/>
            </w:tcBorders>
            <w:vAlign w:val="center"/>
            <w:hideMark/>
          </w:tcPr>
          <w:p w:rsidR="00DA6858" w:rsidRPr="00614E71" w:rsidRDefault="00DA6858" w:rsidP="00A02B75">
            <w:pPr>
              <w:spacing w:before="100" w:beforeAutospacing="1" w:after="100" w:afterAutospacing="1"/>
              <w:jc w:val="center"/>
              <w:rPr>
                <w:rFonts w:eastAsia="Times New Roman" w:cs="Times New Roman"/>
                <w:b/>
                <w:bCs/>
                <w:szCs w:val="28"/>
                <w:lang w:eastAsia="lv-LV"/>
              </w:rPr>
            </w:pPr>
            <w:r w:rsidRPr="00614E71">
              <w:rPr>
                <w:rFonts w:eastAsia="Times New Roman" w:cs="Times New Roman"/>
                <w:szCs w:val="28"/>
                <w:lang w:eastAsia="lv-LV"/>
              </w:rPr>
              <w:t> </w:t>
            </w:r>
            <w:r w:rsidRPr="00614E71">
              <w:rPr>
                <w:rFonts w:eastAsia="Times New Roman" w:cs="Times New Roman"/>
                <w:b/>
                <w:bCs/>
                <w:szCs w:val="28"/>
                <w:lang w:eastAsia="lv-LV"/>
              </w:rPr>
              <w:t> VII. Tiesību akta projekta izpildes nodrošināšana un tās ietekme uz institūcijām</w:t>
            </w:r>
          </w:p>
        </w:tc>
      </w:tr>
      <w:tr w:rsidR="00614E71" w:rsidRPr="00614E71" w:rsidTr="000E6716">
        <w:tblPrEx>
          <w:jc w:val="center"/>
          <w:tblInd w:w="0" w:type="dxa"/>
        </w:tblPrEx>
        <w:trPr>
          <w:trHeight w:val="336"/>
          <w:tblCellSpacing w:w="15" w:type="dxa"/>
          <w:jc w:val="center"/>
        </w:trPr>
        <w:tc>
          <w:tcPr>
            <w:tcW w:w="599"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1.</w:t>
            </w:r>
          </w:p>
        </w:tc>
        <w:tc>
          <w:tcPr>
            <w:tcW w:w="4781"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Projekta izpildē iesaistītās institūcijas</w:t>
            </w:r>
          </w:p>
        </w:tc>
        <w:tc>
          <w:tcPr>
            <w:tcW w:w="3816"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071CA7" w:rsidP="009712E1">
            <w:pPr>
              <w:jc w:val="both"/>
              <w:rPr>
                <w:rFonts w:eastAsia="Times New Roman" w:cs="Times New Roman"/>
                <w:szCs w:val="28"/>
                <w:lang w:eastAsia="lv-LV"/>
              </w:rPr>
            </w:pPr>
            <w:r w:rsidRPr="00C403CF">
              <w:rPr>
                <w:rFonts w:eastAsia="Calibri" w:cs="Times New Roman"/>
                <w:szCs w:val="28"/>
              </w:rPr>
              <w:t xml:space="preserve">Pašvaldības policija, Valsts policija un </w:t>
            </w:r>
            <w:r w:rsidRPr="00C403CF">
              <w:rPr>
                <w:rFonts w:eastAsia="Times New Roman" w:cs="Times New Roman"/>
                <w:bCs/>
                <w:szCs w:val="28"/>
                <w:lang w:eastAsia="lv-LV"/>
              </w:rPr>
              <w:t>pašvaldību</w:t>
            </w:r>
            <w:r w:rsidRPr="00614E71">
              <w:rPr>
                <w:rFonts w:eastAsia="Times New Roman" w:cs="Times New Roman"/>
                <w:bCs/>
                <w:szCs w:val="28"/>
                <w:lang w:eastAsia="lv-LV"/>
              </w:rPr>
              <w:t xml:space="preserve"> administratīvās komisijas</w:t>
            </w:r>
            <w:r w:rsidRPr="00614E71">
              <w:rPr>
                <w:rFonts w:cs="Times New Roman"/>
                <w:noProof/>
                <w:sz w:val="24"/>
                <w:szCs w:val="24"/>
              </w:rPr>
              <w:t>.</w:t>
            </w:r>
          </w:p>
        </w:tc>
      </w:tr>
      <w:tr w:rsidR="00614E71" w:rsidRPr="00614E71" w:rsidTr="000E6716">
        <w:tblPrEx>
          <w:jc w:val="center"/>
          <w:tblInd w:w="0" w:type="dxa"/>
        </w:tblPrEx>
        <w:trPr>
          <w:trHeight w:val="360"/>
          <w:tblCellSpacing w:w="15" w:type="dxa"/>
          <w:jc w:val="center"/>
        </w:trPr>
        <w:tc>
          <w:tcPr>
            <w:tcW w:w="599"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2.</w:t>
            </w:r>
          </w:p>
        </w:tc>
        <w:tc>
          <w:tcPr>
            <w:tcW w:w="4781"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 xml:space="preserve">Projekta izpildes ietekme uz pārvaldes funkcijām un institucionālo struktūru. </w:t>
            </w:r>
          </w:p>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Jaunu institūciju izveide, esošu institūciju likvidācija vai reorganizācija, to ietekme uz institūcijas cilvēkresursiem</w:t>
            </w:r>
          </w:p>
        </w:tc>
        <w:tc>
          <w:tcPr>
            <w:tcW w:w="3816"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bCs/>
                <w:szCs w:val="28"/>
                <w:lang w:eastAsia="lv-LV"/>
              </w:rPr>
              <w:t>Projekts neparedz veidot jaunas valsts institūcijas</w:t>
            </w:r>
            <w:r w:rsidR="009712E1">
              <w:rPr>
                <w:rFonts w:eastAsia="Times New Roman" w:cs="Times New Roman"/>
                <w:bCs/>
                <w:szCs w:val="28"/>
                <w:lang w:eastAsia="lv-LV"/>
              </w:rPr>
              <w:t>.</w:t>
            </w:r>
          </w:p>
        </w:tc>
      </w:tr>
      <w:tr w:rsidR="00614E71" w:rsidRPr="00614E71" w:rsidTr="000E6716">
        <w:tblPrEx>
          <w:jc w:val="center"/>
          <w:tblInd w:w="0" w:type="dxa"/>
        </w:tblPrEx>
        <w:trPr>
          <w:trHeight w:val="312"/>
          <w:tblCellSpacing w:w="15" w:type="dxa"/>
          <w:jc w:val="center"/>
        </w:trPr>
        <w:tc>
          <w:tcPr>
            <w:tcW w:w="599" w:type="dxa"/>
            <w:gridSpan w:val="4"/>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3.</w:t>
            </w:r>
          </w:p>
        </w:tc>
        <w:tc>
          <w:tcPr>
            <w:tcW w:w="4781" w:type="dxa"/>
            <w:gridSpan w:val="5"/>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rPr>
                <w:rFonts w:eastAsia="Times New Roman" w:cs="Times New Roman"/>
                <w:szCs w:val="28"/>
                <w:lang w:eastAsia="lv-LV"/>
              </w:rPr>
            </w:pPr>
            <w:r w:rsidRPr="00614E71">
              <w:rPr>
                <w:rFonts w:eastAsia="Times New Roman" w:cs="Times New Roman"/>
                <w:szCs w:val="28"/>
                <w:lang w:eastAsia="lv-LV"/>
              </w:rPr>
              <w:t>Cita informācija</w:t>
            </w:r>
          </w:p>
        </w:tc>
        <w:tc>
          <w:tcPr>
            <w:tcW w:w="3816" w:type="dxa"/>
            <w:gridSpan w:val="2"/>
            <w:tcBorders>
              <w:top w:val="outset" w:sz="6" w:space="0" w:color="auto"/>
              <w:left w:val="outset" w:sz="6" w:space="0" w:color="auto"/>
              <w:bottom w:val="outset" w:sz="6" w:space="0" w:color="auto"/>
              <w:right w:val="outset" w:sz="6" w:space="0" w:color="auto"/>
            </w:tcBorders>
            <w:hideMark/>
          </w:tcPr>
          <w:p w:rsidR="00DA6858" w:rsidRPr="00614E71" w:rsidRDefault="00DA6858" w:rsidP="00A02B75">
            <w:pPr>
              <w:spacing w:before="100" w:beforeAutospacing="1" w:after="100" w:afterAutospacing="1"/>
              <w:rPr>
                <w:rFonts w:eastAsia="Times New Roman" w:cs="Times New Roman"/>
                <w:szCs w:val="28"/>
                <w:lang w:eastAsia="lv-LV"/>
              </w:rPr>
            </w:pPr>
            <w:r w:rsidRPr="00614E71">
              <w:rPr>
                <w:rFonts w:eastAsia="Times New Roman" w:cs="Times New Roman"/>
                <w:szCs w:val="28"/>
                <w:lang w:eastAsia="lv-LV"/>
              </w:rPr>
              <w:t>Nav</w:t>
            </w:r>
          </w:p>
        </w:tc>
      </w:tr>
    </w:tbl>
    <w:p w:rsidR="00DA6858" w:rsidRPr="00614E71" w:rsidRDefault="00DA6858" w:rsidP="00DA6858">
      <w:pPr>
        <w:rPr>
          <w:rFonts w:cs="Times New Roman"/>
          <w:szCs w:val="28"/>
        </w:rPr>
      </w:pPr>
    </w:p>
    <w:p w:rsidR="00DA6858" w:rsidRDefault="00DA6858" w:rsidP="00DA6858">
      <w:pPr>
        <w:jc w:val="both"/>
        <w:rPr>
          <w:rFonts w:cs="Times New Roman"/>
          <w:szCs w:val="28"/>
        </w:rPr>
      </w:pPr>
      <w:r w:rsidRPr="00614E71">
        <w:rPr>
          <w:rFonts w:cs="Times New Roman"/>
          <w:szCs w:val="28"/>
        </w:rPr>
        <w:t>Iesniedzējs:</w:t>
      </w:r>
    </w:p>
    <w:p w:rsidR="000E6716" w:rsidRPr="00614E71" w:rsidRDefault="000E6716" w:rsidP="00DA6858">
      <w:pPr>
        <w:jc w:val="both"/>
        <w:rPr>
          <w:rFonts w:cs="Times New Roman"/>
          <w:szCs w:val="28"/>
        </w:rPr>
      </w:pPr>
    </w:p>
    <w:p w:rsidR="00DA6858" w:rsidRPr="00614E71" w:rsidRDefault="00DA6858" w:rsidP="00DA6858">
      <w:pPr>
        <w:tabs>
          <w:tab w:val="right" w:pos="8080"/>
        </w:tabs>
        <w:jc w:val="both"/>
        <w:rPr>
          <w:rFonts w:cs="Times New Roman"/>
          <w:szCs w:val="28"/>
        </w:rPr>
      </w:pPr>
      <w:r w:rsidRPr="00614E71">
        <w:rPr>
          <w:rFonts w:cs="Times New Roman"/>
          <w:szCs w:val="28"/>
        </w:rPr>
        <w:t>Ministru prezidenta biedrs,</w:t>
      </w:r>
    </w:p>
    <w:p w:rsidR="00DA6858" w:rsidRPr="00614E71" w:rsidRDefault="00DA6858" w:rsidP="00DA6858">
      <w:pPr>
        <w:tabs>
          <w:tab w:val="right" w:pos="8080"/>
        </w:tabs>
        <w:jc w:val="both"/>
        <w:rPr>
          <w:rFonts w:cs="Times New Roman"/>
          <w:szCs w:val="28"/>
        </w:rPr>
      </w:pPr>
      <w:r w:rsidRPr="00614E71">
        <w:rPr>
          <w:rFonts w:cs="Times New Roman"/>
          <w:szCs w:val="28"/>
        </w:rPr>
        <w:t>ekonomikas ministrs</w:t>
      </w:r>
      <w:r w:rsidRPr="00614E71">
        <w:rPr>
          <w:rFonts w:cs="Times New Roman"/>
          <w:szCs w:val="28"/>
        </w:rPr>
        <w:tab/>
        <w:t xml:space="preserve">A. Ašeradens       </w:t>
      </w:r>
    </w:p>
    <w:p w:rsidR="00DA6858" w:rsidRPr="00614E71" w:rsidRDefault="00DA6858" w:rsidP="00DA6858">
      <w:pPr>
        <w:tabs>
          <w:tab w:val="right" w:pos="8080"/>
        </w:tabs>
        <w:jc w:val="both"/>
        <w:rPr>
          <w:rFonts w:cs="Times New Roman"/>
          <w:szCs w:val="28"/>
        </w:rPr>
      </w:pPr>
    </w:p>
    <w:p w:rsidR="00DA6858" w:rsidRPr="00614E71" w:rsidRDefault="00DA6858" w:rsidP="00DA6858">
      <w:pPr>
        <w:tabs>
          <w:tab w:val="right" w:pos="8222"/>
        </w:tabs>
        <w:jc w:val="both"/>
        <w:rPr>
          <w:rFonts w:cs="Times New Roman"/>
          <w:szCs w:val="28"/>
        </w:rPr>
      </w:pPr>
      <w:r w:rsidRPr="00614E71">
        <w:rPr>
          <w:rFonts w:cs="Times New Roman"/>
          <w:szCs w:val="28"/>
        </w:rPr>
        <w:t xml:space="preserve">Vīza: </w:t>
      </w:r>
    </w:p>
    <w:p w:rsidR="00DA6858" w:rsidRPr="00614E71" w:rsidRDefault="00DA6858" w:rsidP="00DA6858">
      <w:pPr>
        <w:tabs>
          <w:tab w:val="right" w:pos="8080"/>
        </w:tabs>
        <w:jc w:val="both"/>
        <w:rPr>
          <w:rFonts w:cs="Times New Roman"/>
          <w:szCs w:val="28"/>
        </w:rPr>
      </w:pPr>
      <w:r w:rsidRPr="00614E71">
        <w:rPr>
          <w:rFonts w:cs="Times New Roman"/>
          <w:szCs w:val="28"/>
        </w:rPr>
        <w:t xml:space="preserve">Valsts sekretārs </w:t>
      </w:r>
      <w:r w:rsidRPr="00614E71">
        <w:rPr>
          <w:rFonts w:cs="Times New Roman"/>
          <w:szCs w:val="28"/>
        </w:rPr>
        <w:tab/>
        <w:t>J. Stinka</w:t>
      </w:r>
    </w:p>
    <w:p w:rsidR="00DA6858" w:rsidRPr="00614E71" w:rsidRDefault="00DA6858" w:rsidP="00DA6858">
      <w:pPr>
        <w:tabs>
          <w:tab w:val="right" w:pos="8080"/>
        </w:tabs>
        <w:jc w:val="both"/>
        <w:rPr>
          <w:rFonts w:cs="Times New Roman"/>
          <w:szCs w:val="28"/>
        </w:rPr>
      </w:pPr>
    </w:p>
    <w:p w:rsidR="00DA6858" w:rsidRPr="00614E71" w:rsidRDefault="00DA6858" w:rsidP="00DA6858">
      <w:pPr>
        <w:rPr>
          <w:sz w:val="20"/>
          <w:szCs w:val="20"/>
        </w:rPr>
      </w:pPr>
      <w:r w:rsidRPr="00614E71">
        <w:rPr>
          <w:sz w:val="20"/>
          <w:szCs w:val="20"/>
        </w:rPr>
        <w:fldChar w:fldCharType="begin"/>
      </w:r>
      <w:r w:rsidRPr="00614E71">
        <w:rPr>
          <w:sz w:val="20"/>
          <w:szCs w:val="20"/>
        </w:rPr>
        <w:instrText xml:space="preserve"> TIME \@ "dd.MM.yyyy HH:mm" </w:instrText>
      </w:r>
      <w:r w:rsidRPr="00614E71">
        <w:rPr>
          <w:sz w:val="20"/>
          <w:szCs w:val="20"/>
        </w:rPr>
        <w:fldChar w:fldCharType="end"/>
      </w:r>
    </w:p>
    <w:p w:rsidR="00DA6858" w:rsidRPr="00614E71" w:rsidRDefault="00DA6858" w:rsidP="00DA6858">
      <w:pPr>
        <w:rPr>
          <w:sz w:val="20"/>
          <w:szCs w:val="20"/>
        </w:rPr>
      </w:pPr>
      <w:r w:rsidRPr="00614E71">
        <w:rPr>
          <w:sz w:val="20"/>
          <w:szCs w:val="20"/>
        </w:rPr>
        <w:fldChar w:fldCharType="begin"/>
      </w:r>
      <w:r w:rsidRPr="00614E71">
        <w:rPr>
          <w:sz w:val="20"/>
          <w:szCs w:val="20"/>
        </w:rPr>
        <w:instrText xml:space="preserve"> NUMWORDS   \* MERGEFORMAT </w:instrText>
      </w:r>
      <w:r w:rsidRPr="00614E71">
        <w:rPr>
          <w:sz w:val="20"/>
          <w:szCs w:val="20"/>
        </w:rPr>
        <w:fldChar w:fldCharType="separate"/>
      </w:r>
      <w:r w:rsidR="00AB4C51">
        <w:rPr>
          <w:noProof/>
          <w:sz w:val="20"/>
          <w:szCs w:val="20"/>
        </w:rPr>
        <w:t>1415</w:t>
      </w:r>
      <w:r w:rsidRPr="00614E71">
        <w:rPr>
          <w:noProof/>
          <w:sz w:val="20"/>
          <w:szCs w:val="20"/>
        </w:rPr>
        <w:fldChar w:fldCharType="end"/>
      </w:r>
    </w:p>
    <w:p w:rsidR="00DA6858" w:rsidRPr="00614E71" w:rsidRDefault="00DA6858" w:rsidP="00DA6858">
      <w:pPr>
        <w:rPr>
          <w:sz w:val="20"/>
          <w:szCs w:val="20"/>
        </w:rPr>
      </w:pPr>
      <w:r w:rsidRPr="00614E71">
        <w:rPr>
          <w:sz w:val="20"/>
          <w:szCs w:val="20"/>
        </w:rPr>
        <w:t xml:space="preserve">G.Rēpele, </w:t>
      </w:r>
    </w:p>
    <w:p w:rsidR="006A130B" w:rsidRPr="00614E71" w:rsidRDefault="00DA6858" w:rsidP="00616A57">
      <w:pPr>
        <w:rPr>
          <w:sz w:val="20"/>
          <w:szCs w:val="20"/>
        </w:rPr>
      </w:pPr>
      <w:r w:rsidRPr="00614E71">
        <w:rPr>
          <w:noProof/>
          <w:sz w:val="20"/>
          <w:szCs w:val="20"/>
        </w:rPr>
        <w:t>67013033</w:t>
      </w:r>
      <w:r w:rsidRPr="00614E71">
        <w:rPr>
          <w:sz w:val="20"/>
          <w:szCs w:val="20"/>
        </w:rPr>
        <w:t xml:space="preserve">, </w:t>
      </w:r>
      <w:hyperlink r:id="rId8" w:history="1">
        <w:r w:rsidRPr="00614E71">
          <w:rPr>
            <w:rStyle w:val="Hyperlink"/>
            <w:color w:val="auto"/>
            <w:sz w:val="20"/>
            <w:szCs w:val="20"/>
          </w:rPr>
          <w:t>Gunta.Repele@em.gov.lv</w:t>
        </w:r>
      </w:hyperlink>
      <w:r w:rsidRPr="00614E71">
        <w:rPr>
          <w:sz w:val="20"/>
          <w:szCs w:val="20"/>
        </w:rPr>
        <w:t xml:space="preserve"> </w:t>
      </w:r>
    </w:p>
    <w:sectPr w:rsidR="006A130B" w:rsidRPr="00614E71" w:rsidSect="000E6716">
      <w:headerReference w:type="default" r:id="rId9"/>
      <w:footerReference w:type="default" r:id="rId10"/>
      <w:footerReference w:type="first" r:id="rId11"/>
      <w:pgSz w:w="11906" w:h="16838" w:code="9"/>
      <w:pgMar w:top="567" w:right="1134" w:bottom="851" w:left="1701" w:header="284" w:footer="41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F6" w:rsidRDefault="00EB55F6">
      <w:r>
        <w:separator/>
      </w:r>
    </w:p>
  </w:endnote>
  <w:endnote w:type="continuationSeparator" w:id="0">
    <w:p w:rsidR="00EB55F6" w:rsidRDefault="00EB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58" w:rsidRPr="007B4C8D" w:rsidRDefault="00DA6858" w:rsidP="00DA6858">
    <w:pPr>
      <w:jc w:val="both"/>
      <w:rPr>
        <w:rFonts w:cs="Times New Roman"/>
        <w:color w:val="000000" w:themeColor="text1"/>
        <w:sz w:val="20"/>
        <w:szCs w:val="20"/>
      </w:rPr>
    </w:pPr>
    <w:r w:rsidRPr="00645574">
      <w:rPr>
        <w:sz w:val="20"/>
        <w:szCs w:val="20"/>
      </w:rPr>
      <w:fldChar w:fldCharType="begin"/>
    </w:r>
    <w:r w:rsidRPr="00645574">
      <w:rPr>
        <w:sz w:val="20"/>
        <w:szCs w:val="20"/>
      </w:rPr>
      <w:instrText xml:space="preserve"> FILENAME   \* MERGEFORMAT </w:instrText>
    </w:r>
    <w:r w:rsidRPr="00645574">
      <w:rPr>
        <w:sz w:val="20"/>
        <w:szCs w:val="20"/>
      </w:rPr>
      <w:fldChar w:fldCharType="separate"/>
    </w:r>
    <w:r w:rsidR="00A46D38">
      <w:rPr>
        <w:noProof/>
        <w:sz w:val="20"/>
        <w:szCs w:val="20"/>
      </w:rPr>
      <w:t>EManot_EL_LAPK_220617.docx</w:t>
    </w:r>
    <w:r w:rsidRPr="00645574">
      <w:rPr>
        <w:sz w:val="20"/>
        <w:szCs w:val="20"/>
      </w:rPr>
      <w:fldChar w:fldCharType="end"/>
    </w:r>
    <w:r>
      <w:rPr>
        <w:sz w:val="20"/>
        <w:szCs w:val="20"/>
      </w:rPr>
      <w:t xml:space="preserve">; </w:t>
    </w:r>
    <w:r w:rsidRPr="0058567A">
      <w:rPr>
        <w:rFonts w:eastAsia="Times New Roman" w:cs="Times New Roman"/>
        <w:sz w:val="20"/>
        <w:szCs w:val="20"/>
        <w:lang w:val="x-none" w:eastAsia="x-none"/>
      </w:rPr>
      <w:t xml:space="preserve">Likumprojekta </w:t>
    </w:r>
    <w:r>
      <w:rPr>
        <w:rFonts w:eastAsia="Times New Roman" w:cs="Times New Roman"/>
        <w:sz w:val="20"/>
        <w:szCs w:val="20"/>
        <w:lang w:eastAsia="x-none"/>
      </w:rPr>
      <w:t>„</w:t>
    </w:r>
    <w:r w:rsidRPr="0058567A">
      <w:rPr>
        <w:rFonts w:eastAsia="Times New Roman" w:cs="Times New Roman"/>
        <w:sz w:val="20"/>
        <w:szCs w:val="20"/>
        <w:lang w:eastAsia="x-none"/>
      </w:rPr>
      <w:t xml:space="preserve">Grozījumi </w:t>
    </w:r>
    <w:r>
      <w:rPr>
        <w:rFonts w:eastAsia="Times New Roman" w:cs="Times New Roman"/>
        <w:sz w:val="20"/>
        <w:szCs w:val="20"/>
        <w:lang w:eastAsia="x-none"/>
      </w:rPr>
      <w:t xml:space="preserve">Enerģētikas </w:t>
    </w:r>
    <w:r>
      <w:rPr>
        <w:rFonts w:cs="Times New Roman"/>
        <w:color w:val="000000" w:themeColor="text1"/>
        <w:sz w:val="20"/>
        <w:szCs w:val="20"/>
      </w:rPr>
      <w:t xml:space="preserve">likumā” </w:t>
    </w:r>
    <w:r w:rsidRPr="0058567A">
      <w:rPr>
        <w:rFonts w:eastAsia="Times New Roman" w:cs="Times New Roman"/>
        <w:sz w:val="20"/>
        <w:szCs w:val="20"/>
        <w:lang w:val="x-none" w:eastAsia="x-none"/>
      </w:rPr>
      <w:t>sākotnējās ietekmes novērtējuma ziņojums (anotācija)</w:t>
    </w:r>
    <w:r w:rsidR="007B4C8D">
      <w:rPr>
        <w:rFonts w:eastAsia="Times New Roman" w:cs="Times New Roman"/>
        <w:sz w:val="20"/>
        <w:szCs w:val="20"/>
        <w:lang w:eastAsia="x-none"/>
      </w:rPr>
      <w:t xml:space="preserve"> (VSS-231)</w:t>
    </w:r>
  </w:p>
  <w:p w:rsidR="00CC297D" w:rsidRPr="00DA6858" w:rsidRDefault="00CC297D" w:rsidP="00DA6858">
    <w:pPr>
      <w:jc w:val="both"/>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7D" w:rsidRPr="00E033A0" w:rsidRDefault="000F0E01">
    <w:pPr>
      <w:pStyle w:val="Footer"/>
      <w:rPr>
        <w:sz w:val="20"/>
        <w:szCs w:val="20"/>
      </w:rPr>
    </w:pPr>
    <w:r>
      <w:rPr>
        <w:sz w:val="20"/>
        <w:szCs w:val="20"/>
      </w:rPr>
      <w:t>EMAnot_</w:t>
    </w:r>
    <w:r w:rsidR="009142AA">
      <w:rPr>
        <w:sz w:val="20"/>
        <w:szCs w:val="20"/>
      </w:rPr>
      <w:t>15</w:t>
    </w:r>
    <w:r w:rsidR="00FA3A5F">
      <w:rPr>
        <w:sz w:val="20"/>
        <w:szCs w:val="20"/>
      </w:rPr>
      <w:t>02</w:t>
    </w:r>
    <w:r>
      <w:rPr>
        <w:sz w:val="20"/>
        <w:szCs w:val="20"/>
      </w:rPr>
      <w:t>16_</w:t>
    </w:r>
    <w:r w:rsidR="001F4C3B">
      <w:rPr>
        <w:sz w:val="20"/>
        <w:szCs w:val="20"/>
      </w:rPr>
      <w:t>kreditbiroj</w:t>
    </w:r>
    <w:r w:rsidR="00CC297D" w:rsidRPr="00E033A0">
      <w:rPr>
        <w:sz w:val="20"/>
        <w:szCs w:val="20"/>
      </w:rPr>
      <w:t xml:space="preserve">; </w:t>
    </w:r>
    <w:r w:rsidR="005F2492" w:rsidRPr="005F2492">
      <w:rPr>
        <w:rFonts w:eastAsia="Times New Roman" w:cs="Times New Roman"/>
        <w:sz w:val="20"/>
        <w:szCs w:val="20"/>
        <w:lang w:val="x-none" w:eastAsia="x-none"/>
      </w:rPr>
      <w:t>Likumprojekta „Grozījum</w:t>
    </w:r>
    <w:r>
      <w:rPr>
        <w:rFonts w:eastAsia="Times New Roman" w:cs="Times New Roman"/>
        <w:sz w:val="20"/>
        <w:szCs w:val="20"/>
        <w:lang w:eastAsia="x-none"/>
      </w:rPr>
      <w:t>s</w:t>
    </w:r>
    <w:r w:rsidR="005F2492" w:rsidRPr="005F2492">
      <w:rPr>
        <w:rFonts w:eastAsia="Times New Roman" w:cs="Times New Roman"/>
        <w:sz w:val="20"/>
        <w:szCs w:val="20"/>
        <w:lang w:val="x-none" w:eastAsia="x-none"/>
      </w:rPr>
      <w:t xml:space="preserve"> </w:t>
    </w:r>
    <w:r w:rsidR="001F4C3B">
      <w:rPr>
        <w:rFonts w:eastAsia="Times New Roman" w:cs="Times New Roman"/>
        <w:sz w:val="20"/>
        <w:szCs w:val="20"/>
        <w:lang w:eastAsia="x-none"/>
      </w:rPr>
      <w:t>Kredītinformācijas biroju</w:t>
    </w:r>
    <w:r w:rsidR="005F2492" w:rsidRPr="005F2492">
      <w:rPr>
        <w:rFonts w:eastAsia="Times New Roman" w:cs="Times New Roman"/>
        <w:sz w:val="20"/>
        <w:szCs w:val="20"/>
        <w:lang w:val="x-none" w:eastAsia="x-none"/>
      </w:rPr>
      <w:t xml:space="preserve">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F6" w:rsidRDefault="00EB55F6">
      <w:r>
        <w:separator/>
      </w:r>
    </w:p>
  </w:footnote>
  <w:footnote w:type="continuationSeparator" w:id="0">
    <w:p w:rsidR="00EB55F6" w:rsidRDefault="00EB5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70923"/>
      <w:docPartObj>
        <w:docPartGallery w:val="Page Numbers (Top of Page)"/>
        <w:docPartUnique/>
      </w:docPartObj>
    </w:sdtPr>
    <w:sdtEndPr>
      <w:rPr>
        <w:noProof/>
        <w:sz w:val="24"/>
        <w:szCs w:val="24"/>
      </w:rPr>
    </w:sdtEndPr>
    <w:sdtContent>
      <w:p w:rsidR="00CC297D" w:rsidRPr="006C3FBC" w:rsidRDefault="00CC297D">
        <w:pPr>
          <w:pStyle w:val="Header"/>
          <w:jc w:val="center"/>
          <w:rPr>
            <w:sz w:val="24"/>
            <w:szCs w:val="24"/>
          </w:rPr>
        </w:pPr>
        <w:r w:rsidRPr="006C3FBC">
          <w:rPr>
            <w:sz w:val="24"/>
            <w:szCs w:val="24"/>
          </w:rPr>
          <w:fldChar w:fldCharType="begin"/>
        </w:r>
        <w:r w:rsidRPr="006C3FBC">
          <w:rPr>
            <w:sz w:val="24"/>
            <w:szCs w:val="24"/>
          </w:rPr>
          <w:instrText xml:space="preserve"> PAGE   \* MERGEFORMAT </w:instrText>
        </w:r>
        <w:r w:rsidRPr="006C3FBC">
          <w:rPr>
            <w:sz w:val="24"/>
            <w:szCs w:val="24"/>
          </w:rPr>
          <w:fldChar w:fldCharType="separate"/>
        </w:r>
        <w:r w:rsidR="00EA2B54">
          <w:rPr>
            <w:noProof/>
            <w:sz w:val="24"/>
            <w:szCs w:val="24"/>
          </w:rPr>
          <w:t>6</w:t>
        </w:r>
        <w:r w:rsidRPr="006C3FBC">
          <w:rPr>
            <w:noProof/>
            <w:sz w:val="24"/>
            <w:szCs w:val="24"/>
          </w:rPr>
          <w:fldChar w:fldCharType="end"/>
        </w:r>
      </w:p>
    </w:sdtContent>
  </w:sdt>
  <w:p w:rsidR="00CC297D" w:rsidRDefault="00CC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ECA"/>
    <w:multiLevelType w:val="hybridMultilevel"/>
    <w:tmpl w:val="E4CE431C"/>
    <w:lvl w:ilvl="0" w:tplc="AF5E2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A7004B"/>
    <w:multiLevelType w:val="hybridMultilevel"/>
    <w:tmpl w:val="FACC2B6E"/>
    <w:lvl w:ilvl="0" w:tplc="4E98A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16706"/>
    <w:multiLevelType w:val="hybridMultilevel"/>
    <w:tmpl w:val="23FCCD46"/>
    <w:lvl w:ilvl="0" w:tplc="5E6A8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0D5CC2"/>
    <w:multiLevelType w:val="hybridMultilevel"/>
    <w:tmpl w:val="55BA2DA8"/>
    <w:lvl w:ilvl="0" w:tplc="77FED9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845630"/>
    <w:multiLevelType w:val="hybridMultilevel"/>
    <w:tmpl w:val="CB0C318A"/>
    <w:lvl w:ilvl="0" w:tplc="21D2D0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B161C7"/>
    <w:multiLevelType w:val="hybridMultilevel"/>
    <w:tmpl w:val="F7447B14"/>
    <w:lvl w:ilvl="0" w:tplc="56E887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AD90426"/>
    <w:multiLevelType w:val="hybridMultilevel"/>
    <w:tmpl w:val="B1E2A7E4"/>
    <w:lvl w:ilvl="0" w:tplc="77FED98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1"/>
  </w:num>
  <w:num w:numId="5">
    <w:abstractNumId w:val="6"/>
  </w:num>
  <w:num w:numId="6">
    <w:abstractNumId w:val="2"/>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hideSpellingErrors/>
  <w:hideGrammaticalErrors/>
  <w:revisionView w:markup="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D"/>
    <w:rsid w:val="000148D0"/>
    <w:rsid w:val="000174F5"/>
    <w:rsid w:val="00021487"/>
    <w:rsid w:val="00023A9E"/>
    <w:rsid w:val="00033D87"/>
    <w:rsid w:val="00045AC2"/>
    <w:rsid w:val="0004663C"/>
    <w:rsid w:val="00051C6A"/>
    <w:rsid w:val="00053268"/>
    <w:rsid w:val="000613A3"/>
    <w:rsid w:val="00071CA7"/>
    <w:rsid w:val="0008668D"/>
    <w:rsid w:val="000A3AE5"/>
    <w:rsid w:val="000A7032"/>
    <w:rsid w:val="000E4CC7"/>
    <w:rsid w:val="000E6716"/>
    <w:rsid w:val="000F0E01"/>
    <w:rsid w:val="001113B4"/>
    <w:rsid w:val="00112192"/>
    <w:rsid w:val="001239C3"/>
    <w:rsid w:val="00133170"/>
    <w:rsid w:val="00135933"/>
    <w:rsid w:val="00141DA6"/>
    <w:rsid w:val="0014464B"/>
    <w:rsid w:val="00187028"/>
    <w:rsid w:val="001873FB"/>
    <w:rsid w:val="00190C5C"/>
    <w:rsid w:val="00196C1E"/>
    <w:rsid w:val="001B7522"/>
    <w:rsid w:val="001C05DC"/>
    <w:rsid w:val="001C3961"/>
    <w:rsid w:val="001C7A0C"/>
    <w:rsid w:val="001D2FAE"/>
    <w:rsid w:val="001F08CF"/>
    <w:rsid w:val="001F4C3B"/>
    <w:rsid w:val="001F63C2"/>
    <w:rsid w:val="001F6C14"/>
    <w:rsid w:val="00225792"/>
    <w:rsid w:val="002268D5"/>
    <w:rsid w:val="0023100D"/>
    <w:rsid w:val="0023244F"/>
    <w:rsid w:val="00240EAC"/>
    <w:rsid w:val="002622C8"/>
    <w:rsid w:val="00264B08"/>
    <w:rsid w:val="00265D5B"/>
    <w:rsid w:val="0027418D"/>
    <w:rsid w:val="00282956"/>
    <w:rsid w:val="00292568"/>
    <w:rsid w:val="00297273"/>
    <w:rsid w:val="002A31A5"/>
    <w:rsid w:val="002A5513"/>
    <w:rsid w:val="002B602B"/>
    <w:rsid w:val="002C43A0"/>
    <w:rsid w:val="002E29BA"/>
    <w:rsid w:val="0032290F"/>
    <w:rsid w:val="00326C14"/>
    <w:rsid w:val="003273F7"/>
    <w:rsid w:val="00350A9B"/>
    <w:rsid w:val="00364C48"/>
    <w:rsid w:val="003708CC"/>
    <w:rsid w:val="0037725F"/>
    <w:rsid w:val="00377B04"/>
    <w:rsid w:val="00387B17"/>
    <w:rsid w:val="00395345"/>
    <w:rsid w:val="003B1DF2"/>
    <w:rsid w:val="003D2857"/>
    <w:rsid w:val="003D2CE1"/>
    <w:rsid w:val="003E7C7B"/>
    <w:rsid w:val="00402694"/>
    <w:rsid w:val="00412F3D"/>
    <w:rsid w:val="004363F1"/>
    <w:rsid w:val="0044001E"/>
    <w:rsid w:val="00443533"/>
    <w:rsid w:val="00446456"/>
    <w:rsid w:val="00450463"/>
    <w:rsid w:val="00471106"/>
    <w:rsid w:val="00471111"/>
    <w:rsid w:val="00472EAD"/>
    <w:rsid w:val="00474A53"/>
    <w:rsid w:val="00475981"/>
    <w:rsid w:val="00477EE8"/>
    <w:rsid w:val="00484AB2"/>
    <w:rsid w:val="00490EFB"/>
    <w:rsid w:val="00494A7F"/>
    <w:rsid w:val="004D230A"/>
    <w:rsid w:val="004F2409"/>
    <w:rsid w:val="004F6D3A"/>
    <w:rsid w:val="005114AE"/>
    <w:rsid w:val="00513CB7"/>
    <w:rsid w:val="00516D7D"/>
    <w:rsid w:val="00525E1C"/>
    <w:rsid w:val="00531868"/>
    <w:rsid w:val="00532FE0"/>
    <w:rsid w:val="00533DA2"/>
    <w:rsid w:val="005402D1"/>
    <w:rsid w:val="00565E94"/>
    <w:rsid w:val="00566DFC"/>
    <w:rsid w:val="0058567A"/>
    <w:rsid w:val="00591CF6"/>
    <w:rsid w:val="005C1EF9"/>
    <w:rsid w:val="005F2492"/>
    <w:rsid w:val="005F7E36"/>
    <w:rsid w:val="00607191"/>
    <w:rsid w:val="00614E71"/>
    <w:rsid w:val="00616A57"/>
    <w:rsid w:val="0064138C"/>
    <w:rsid w:val="006463FB"/>
    <w:rsid w:val="006555E5"/>
    <w:rsid w:val="00662343"/>
    <w:rsid w:val="006711A8"/>
    <w:rsid w:val="00680FBD"/>
    <w:rsid w:val="006848B3"/>
    <w:rsid w:val="0069332E"/>
    <w:rsid w:val="00697776"/>
    <w:rsid w:val="006A130B"/>
    <w:rsid w:val="006C0819"/>
    <w:rsid w:val="006C3668"/>
    <w:rsid w:val="006C3FBC"/>
    <w:rsid w:val="006D5D44"/>
    <w:rsid w:val="006E0106"/>
    <w:rsid w:val="006E6DB7"/>
    <w:rsid w:val="006F3F1E"/>
    <w:rsid w:val="007033C5"/>
    <w:rsid w:val="00707F68"/>
    <w:rsid w:val="00716765"/>
    <w:rsid w:val="007416A9"/>
    <w:rsid w:val="00746D91"/>
    <w:rsid w:val="00750BBB"/>
    <w:rsid w:val="0076097C"/>
    <w:rsid w:val="00763DCE"/>
    <w:rsid w:val="00790D76"/>
    <w:rsid w:val="00792A0B"/>
    <w:rsid w:val="007B4C8D"/>
    <w:rsid w:val="007C133D"/>
    <w:rsid w:val="007D228B"/>
    <w:rsid w:val="007D6711"/>
    <w:rsid w:val="007E30A4"/>
    <w:rsid w:val="00800CDC"/>
    <w:rsid w:val="00810D13"/>
    <w:rsid w:val="008265C9"/>
    <w:rsid w:val="008378AD"/>
    <w:rsid w:val="00846237"/>
    <w:rsid w:val="008545F2"/>
    <w:rsid w:val="0085771A"/>
    <w:rsid w:val="00860878"/>
    <w:rsid w:val="00891CEE"/>
    <w:rsid w:val="008945DB"/>
    <w:rsid w:val="00895284"/>
    <w:rsid w:val="008960AC"/>
    <w:rsid w:val="008A166A"/>
    <w:rsid w:val="008A5C77"/>
    <w:rsid w:val="008A7E25"/>
    <w:rsid w:val="008C3781"/>
    <w:rsid w:val="008C4225"/>
    <w:rsid w:val="008F05E8"/>
    <w:rsid w:val="008F44DA"/>
    <w:rsid w:val="009142AA"/>
    <w:rsid w:val="00923C79"/>
    <w:rsid w:val="00931E77"/>
    <w:rsid w:val="0093627C"/>
    <w:rsid w:val="00937E6F"/>
    <w:rsid w:val="00947234"/>
    <w:rsid w:val="00955C96"/>
    <w:rsid w:val="009639C8"/>
    <w:rsid w:val="00963B7F"/>
    <w:rsid w:val="009651BB"/>
    <w:rsid w:val="009712E1"/>
    <w:rsid w:val="0097686C"/>
    <w:rsid w:val="009839B2"/>
    <w:rsid w:val="009845D2"/>
    <w:rsid w:val="00984F48"/>
    <w:rsid w:val="009851BD"/>
    <w:rsid w:val="00995978"/>
    <w:rsid w:val="009A7734"/>
    <w:rsid w:val="009B020C"/>
    <w:rsid w:val="009C05CD"/>
    <w:rsid w:val="009C427B"/>
    <w:rsid w:val="009D6AD3"/>
    <w:rsid w:val="009E061E"/>
    <w:rsid w:val="009F7F55"/>
    <w:rsid w:val="00A11117"/>
    <w:rsid w:val="00A171D8"/>
    <w:rsid w:val="00A215A1"/>
    <w:rsid w:val="00A26641"/>
    <w:rsid w:val="00A31A01"/>
    <w:rsid w:val="00A329C8"/>
    <w:rsid w:val="00A32D3F"/>
    <w:rsid w:val="00A33156"/>
    <w:rsid w:val="00A46D38"/>
    <w:rsid w:val="00A51749"/>
    <w:rsid w:val="00A7775D"/>
    <w:rsid w:val="00A825C2"/>
    <w:rsid w:val="00A9344B"/>
    <w:rsid w:val="00AA29A4"/>
    <w:rsid w:val="00AB4C51"/>
    <w:rsid w:val="00AB50DE"/>
    <w:rsid w:val="00AD7691"/>
    <w:rsid w:val="00AE6782"/>
    <w:rsid w:val="00AE71C5"/>
    <w:rsid w:val="00AF1260"/>
    <w:rsid w:val="00AF66DA"/>
    <w:rsid w:val="00AF7D29"/>
    <w:rsid w:val="00B018BB"/>
    <w:rsid w:val="00B12626"/>
    <w:rsid w:val="00B25423"/>
    <w:rsid w:val="00B25DC8"/>
    <w:rsid w:val="00B34D9A"/>
    <w:rsid w:val="00B40EAD"/>
    <w:rsid w:val="00B451FB"/>
    <w:rsid w:val="00B577C5"/>
    <w:rsid w:val="00B61F79"/>
    <w:rsid w:val="00B67B67"/>
    <w:rsid w:val="00B812A1"/>
    <w:rsid w:val="00B85756"/>
    <w:rsid w:val="00BA4E13"/>
    <w:rsid w:val="00BA69EA"/>
    <w:rsid w:val="00BB1EE2"/>
    <w:rsid w:val="00BC2169"/>
    <w:rsid w:val="00BD2CC6"/>
    <w:rsid w:val="00BE08FF"/>
    <w:rsid w:val="00BF6D8C"/>
    <w:rsid w:val="00C019FB"/>
    <w:rsid w:val="00C403CF"/>
    <w:rsid w:val="00C442F7"/>
    <w:rsid w:val="00C64430"/>
    <w:rsid w:val="00C651D3"/>
    <w:rsid w:val="00C67AE2"/>
    <w:rsid w:val="00C878F5"/>
    <w:rsid w:val="00C93C93"/>
    <w:rsid w:val="00C964C4"/>
    <w:rsid w:val="00C96E69"/>
    <w:rsid w:val="00CC297D"/>
    <w:rsid w:val="00CD14F3"/>
    <w:rsid w:val="00CD38E6"/>
    <w:rsid w:val="00CD611D"/>
    <w:rsid w:val="00CE1E8E"/>
    <w:rsid w:val="00CE3867"/>
    <w:rsid w:val="00D00FB9"/>
    <w:rsid w:val="00D02586"/>
    <w:rsid w:val="00D2454F"/>
    <w:rsid w:val="00D375F8"/>
    <w:rsid w:val="00D61ABE"/>
    <w:rsid w:val="00D63109"/>
    <w:rsid w:val="00D75B28"/>
    <w:rsid w:val="00D97909"/>
    <w:rsid w:val="00DA6858"/>
    <w:rsid w:val="00DC2912"/>
    <w:rsid w:val="00DC2FAA"/>
    <w:rsid w:val="00DC3B8B"/>
    <w:rsid w:val="00DD0074"/>
    <w:rsid w:val="00DE267C"/>
    <w:rsid w:val="00DF052E"/>
    <w:rsid w:val="00DF66AF"/>
    <w:rsid w:val="00E11022"/>
    <w:rsid w:val="00E1109C"/>
    <w:rsid w:val="00E1136E"/>
    <w:rsid w:val="00E16EF4"/>
    <w:rsid w:val="00E3012E"/>
    <w:rsid w:val="00E31A46"/>
    <w:rsid w:val="00E31DD8"/>
    <w:rsid w:val="00E449CD"/>
    <w:rsid w:val="00E4731B"/>
    <w:rsid w:val="00E60BAC"/>
    <w:rsid w:val="00E62EA5"/>
    <w:rsid w:val="00E64B54"/>
    <w:rsid w:val="00E90E7C"/>
    <w:rsid w:val="00E97B4D"/>
    <w:rsid w:val="00EA2B54"/>
    <w:rsid w:val="00EA3715"/>
    <w:rsid w:val="00EA4D0F"/>
    <w:rsid w:val="00EB100B"/>
    <w:rsid w:val="00EB2A74"/>
    <w:rsid w:val="00EB55F6"/>
    <w:rsid w:val="00EB5DAF"/>
    <w:rsid w:val="00EC3661"/>
    <w:rsid w:val="00ED060A"/>
    <w:rsid w:val="00ED0B01"/>
    <w:rsid w:val="00ED3FCA"/>
    <w:rsid w:val="00EF3A08"/>
    <w:rsid w:val="00F068AE"/>
    <w:rsid w:val="00F20233"/>
    <w:rsid w:val="00F25228"/>
    <w:rsid w:val="00F360C3"/>
    <w:rsid w:val="00F4279A"/>
    <w:rsid w:val="00F551B1"/>
    <w:rsid w:val="00F76F9E"/>
    <w:rsid w:val="00F95212"/>
    <w:rsid w:val="00F97CD5"/>
    <w:rsid w:val="00FA3A5F"/>
    <w:rsid w:val="00FB0F2D"/>
    <w:rsid w:val="00FB2938"/>
    <w:rsid w:val="00FC07C4"/>
    <w:rsid w:val="00FD4D0A"/>
    <w:rsid w:val="00FD5C2D"/>
    <w:rsid w:val="00FE2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FE240C-16C4-417C-BB0B-0FDD387C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29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D"/>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CC297D"/>
    <w:pPr>
      <w:tabs>
        <w:tab w:val="center" w:pos="4153"/>
        <w:tab w:val="right" w:pos="8306"/>
      </w:tabs>
    </w:pPr>
  </w:style>
  <w:style w:type="character" w:customStyle="1" w:styleId="HeaderChar">
    <w:name w:val="Header Char"/>
    <w:basedOn w:val="DefaultParagraphFont"/>
    <w:link w:val="Header"/>
    <w:uiPriority w:val="99"/>
    <w:rsid w:val="00CC297D"/>
    <w:rPr>
      <w:rFonts w:ascii="Times New Roman" w:hAnsi="Times New Roman"/>
      <w:sz w:val="28"/>
    </w:rPr>
  </w:style>
  <w:style w:type="paragraph" w:styleId="Footer">
    <w:name w:val="footer"/>
    <w:basedOn w:val="Normal"/>
    <w:link w:val="FooterChar"/>
    <w:uiPriority w:val="99"/>
    <w:unhideWhenUsed/>
    <w:rsid w:val="00CC297D"/>
    <w:pPr>
      <w:tabs>
        <w:tab w:val="center" w:pos="4153"/>
        <w:tab w:val="right" w:pos="8306"/>
      </w:tabs>
    </w:pPr>
  </w:style>
  <w:style w:type="character" w:customStyle="1" w:styleId="FooterChar">
    <w:name w:val="Footer Char"/>
    <w:basedOn w:val="DefaultParagraphFont"/>
    <w:link w:val="Footer"/>
    <w:uiPriority w:val="99"/>
    <w:rsid w:val="00CC297D"/>
    <w:rPr>
      <w:rFonts w:ascii="Times New Roman" w:hAnsi="Times New Roman"/>
      <w:sz w:val="28"/>
    </w:rPr>
  </w:style>
  <w:style w:type="character" w:customStyle="1" w:styleId="apple-converted-space">
    <w:name w:val="apple-converted-space"/>
    <w:basedOn w:val="DefaultParagraphFont"/>
    <w:rsid w:val="00CC297D"/>
  </w:style>
  <w:style w:type="paragraph" w:styleId="BodyTextIndent">
    <w:name w:val="Body Text Indent"/>
    <w:basedOn w:val="Normal"/>
    <w:link w:val="BodyTextIndentChar"/>
    <w:rsid w:val="00CC297D"/>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CC297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02694"/>
    <w:rPr>
      <w:color w:val="0563C1" w:themeColor="hyperlink"/>
      <w:u w:val="single"/>
    </w:rPr>
  </w:style>
  <w:style w:type="paragraph" w:customStyle="1" w:styleId="labojumupamats">
    <w:name w:val="labojumu_pamats"/>
    <w:basedOn w:val="Normal"/>
    <w:rsid w:val="00FC07C4"/>
    <w:pPr>
      <w:spacing w:before="100" w:beforeAutospacing="1" w:after="100" w:afterAutospacing="1"/>
    </w:pPr>
    <w:rPr>
      <w:rFonts w:eastAsia="Times New Roman" w:cs="Times New Roman"/>
      <w:sz w:val="24"/>
      <w:szCs w:val="24"/>
      <w:lang w:eastAsia="lv-LV"/>
    </w:rPr>
  </w:style>
  <w:style w:type="paragraph" w:customStyle="1" w:styleId="tv213">
    <w:name w:val="tv213"/>
    <w:basedOn w:val="Normal"/>
    <w:rsid w:val="00141DA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7F"/>
    <w:rPr>
      <w:rFonts w:ascii="Segoe UI" w:hAnsi="Segoe UI" w:cs="Segoe UI"/>
      <w:sz w:val="18"/>
      <w:szCs w:val="18"/>
    </w:rPr>
  </w:style>
  <w:style w:type="table" w:styleId="GridTable1Light">
    <w:name w:val="Grid Table 1 Light"/>
    <w:basedOn w:val="TableNormal"/>
    <w:uiPriority w:val="46"/>
    <w:rsid w:val="00292568"/>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F76F9E"/>
  </w:style>
  <w:style w:type="character" w:customStyle="1" w:styleId="st1">
    <w:name w:val="st1"/>
    <w:uiPriority w:val="99"/>
    <w:rsid w:val="00A32D3F"/>
  </w:style>
  <w:style w:type="paragraph" w:styleId="Subtitle">
    <w:name w:val="Subtitle"/>
    <w:basedOn w:val="Normal"/>
    <w:link w:val="SubtitleChar"/>
    <w:qFormat/>
    <w:rsid w:val="001113B4"/>
    <w:pPr>
      <w:ind w:left="851"/>
      <w:jc w:val="both"/>
    </w:pPr>
    <w:rPr>
      <w:rFonts w:eastAsia="Times New Roman" w:cs="Times New Roman"/>
      <w:szCs w:val="20"/>
      <w:lang w:val="x-none" w:eastAsia="lv-LV"/>
    </w:rPr>
  </w:style>
  <w:style w:type="character" w:customStyle="1" w:styleId="SubtitleChar">
    <w:name w:val="Subtitle Char"/>
    <w:basedOn w:val="DefaultParagraphFont"/>
    <w:link w:val="Subtitle"/>
    <w:rsid w:val="001113B4"/>
    <w:rPr>
      <w:rFonts w:ascii="Times New Roman" w:eastAsia="Times New Roman" w:hAnsi="Times New Roman" w:cs="Times New Roman"/>
      <w:sz w:val="28"/>
      <w:szCs w:val="20"/>
      <w:lang w:val="x-none" w:eastAsia="lv-LV"/>
    </w:rPr>
  </w:style>
  <w:style w:type="paragraph" w:styleId="NormalWeb">
    <w:name w:val="Normal (Web)"/>
    <w:basedOn w:val="Normal"/>
    <w:rsid w:val="00DA6858"/>
    <w:pPr>
      <w:spacing w:before="100" w:beforeAutospacing="1" w:after="100" w:afterAutospacing="1"/>
    </w:pPr>
    <w:rPr>
      <w:rFonts w:eastAsia="Times New Roman" w:cs="Times New Roman"/>
      <w:sz w:val="24"/>
      <w:szCs w:val="24"/>
    </w:rPr>
  </w:style>
  <w:style w:type="character" w:styleId="PlaceholderText">
    <w:name w:val="Placeholder Text"/>
    <w:basedOn w:val="DefaultParagraphFont"/>
    <w:uiPriority w:val="99"/>
    <w:semiHidden/>
    <w:rsid w:val="00E97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444">
      <w:bodyDiv w:val="1"/>
      <w:marLeft w:val="0"/>
      <w:marRight w:val="0"/>
      <w:marTop w:val="0"/>
      <w:marBottom w:val="0"/>
      <w:divBdr>
        <w:top w:val="none" w:sz="0" w:space="0" w:color="auto"/>
        <w:left w:val="none" w:sz="0" w:space="0" w:color="auto"/>
        <w:bottom w:val="none" w:sz="0" w:space="0" w:color="auto"/>
        <w:right w:val="none" w:sz="0" w:space="0" w:color="auto"/>
      </w:divBdr>
    </w:div>
    <w:div w:id="847528474">
      <w:bodyDiv w:val="1"/>
      <w:marLeft w:val="0"/>
      <w:marRight w:val="0"/>
      <w:marTop w:val="0"/>
      <w:marBottom w:val="0"/>
      <w:divBdr>
        <w:top w:val="none" w:sz="0" w:space="0" w:color="auto"/>
        <w:left w:val="none" w:sz="0" w:space="0" w:color="auto"/>
        <w:bottom w:val="none" w:sz="0" w:space="0" w:color="auto"/>
        <w:right w:val="none" w:sz="0" w:space="0" w:color="auto"/>
      </w:divBdr>
    </w:div>
    <w:div w:id="853303416">
      <w:bodyDiv w:val="1"/>
      <w:marLeft w:val="0"/>
      <w:marRight w:val="0"/>
      <w:marTop w:val="0"/>
      <w:marBottom w:val="0"/>
      <w:divBdr>
        <w:top w:val="none" w:sz="0" w:space="0" w:color="auto"/>
        <w:left w:val="none" w:sz="0" w:space="0" w:color="auto"/>
        <w:bottom w:val="none" w:sz="0" w:space="0" w:color="auto"/>
        <w:right w:val="none" w:sz="0" w:space="0" w:color="auto"/>
      </w:divBdr>
    </w:div>
    <w:div w:id="1317301464">
      <w:bodyDiv w:val="1"/>
      <w:marLeft w:val="0"/>
      <w:marRight w:val="0"/>
      <w:marTop w:val="0"/>
      <w:marBottom w:val="0"/>
      <w:divBdr>
        <w:top w:val="none" w:sz="0" w:space="0" w:color="auto"/>
        <w:left w:val="none" w:sz="0" w:space="0" w:color="auto"/>
        <w:bottom w:val="none" w:sz="0" w:space="0" w:color="auto"/>
        <w:right w:val="none" w:sz="0" w:space="0" w:color="auto"/>
      </w:divBdr>
    </w:div>
    <w:div w:id="1939629777">
      <w:bodyDiv w:val="1"/>
      <w:marLeft w:val="0"/>
      <w:marRight w:val="0"/>
      <w:marTop w:val="0"/>
      <w:marBottom w:val="0"/>
      <w:divBdr>
        <w:top w:val="none" w:sz="0" w:space="0" w:color="auto"/>
        <w:left w:val="none" w:sz="0" w:space="0" w:color="auto"/>
        <w:bottom w:val="none" w:sz="0" w:space="0" w:color="auto"/>
        <w:right w:val="none" w:sz="0" w:space="0" w:color="auto"/>
      </w:divBdr>
    </w:div>
    <w:div w:id="20592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epe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9F10-C913-4825-AFEF-281C61B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10384</Characters>
  <Application>Microsoft Office Word</Application>
  <DocSecurity>0</DocSecurity>
  <Lines>291</Lines>
  <Paragraphs>78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Gunta.Repele@em.gov.lv</dc:creator>
  <cp:keywords/>
  <dc:description/>
  <cp:lastModifiedBy>Kārlis Piģēns</cp:lastModifiedBy>
  <cp:revision>56</cp:revision>
  <cp:lastPrinted>2017-05-17T12:47:00Z</cp:lastPrinted>
  <dcterms:created xsi:type="dcterms:W3CDTF">2016-08-16T07:03:00Z</dcterms:created>
  <dcterms:modified xsi:type="dcterms:W3CDTF">2017-06-22T10:10:00Z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