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55D9" w14:textId="77777777" w:rsidR="00041339" w:rsidRPr="00A80218" w:rsidRDefault="0009673C" w:rsidP="00895F38">
      <w:pPr>
        <w:spacing w:after="0"/>
        <w:ind w:left="0" w:right="-99"/>
        <w:jc w:val="center"/>
        <w:rPr>
          <w:rFonts w:ascii="Times New Roman" w:hAnsi="Times New Roman" w:cs="Times New Roman"/>
          <w:b/>
          <w:sz w:val="26"/>
          <w:szCs w:val="26"/>
        </w:rPr>
      </w:pPr>
      <w:bookmarkStart w:id="0" w:name="OLE_LINK1"/>
      <w:bookmarkStart w:id="1" w:name="OLE_LINK2"/>
      <w:r w:rsidRPr="00A80218">
        <w:rPr>
          <w:rFonts w:ascii="Times New Roman" w:hAnsi="Times New Roman" w:cs="Times New Roman"/>
          <w:b/>
          <w:sz w:val="26"/>
          <w:szCs w:val="26"/>
        </w:rPr>
        <w:t>Ministru kabineta n</w:t>
      </w:r>
      <w:r w:rsidR="003F4905" w:rsidRPr="00A80218">
        <w:rPr>
          <w:rFonts w:ascii="Times New Roman" w:hAnsi="Times New Roman" w:cs="Times New Roman"/>
          <w:b/>
          <w:sz w:val="26"/>
          <w:szCs w:val="26"/>
        </w:rPr>
        <w:t>oteikumu projekta</w:t>
      </w:r>
      <w:bookmarkStart w:id="2" w:name="OLE_LINK5"/>
      <w:bookmarkStart w:id="3" w:name="OLE_LINK6"/>
      <w:r w:rsidR="00041339" w:rsidRPr="00A80218">
        <w:rPr>
          <w:rFonts w:ascii="Times New Roman" w:hAnsi="Times New Roman" w:cs="Times New Roman"/>
          <w:b/>
          <w:sz w:val="26"/>
          <w:szCs w:val="26"/>
        </w:rPr>
        <w:t xml:space="preserve"> </w:t>
      </w:r>
    </w:p>
    <w:bookmarkEnd w:id="0"/>
    <w:bookmarkEnd w:id="1"/>
    <w:bookmarkEnd w:id="2"/>
    <w:bookmarkEnd w:id="3"/>
    <w:p w14:paraId="4A2149F0" w14:textId="1065953B" w:rsidR="002E2B4C" w:rsidRPr="00A80218" w:rsidRDefault="0009673C" w:rsidP="00895F38">
      <w:pPr>
        <w:tabs>
          <w:tab w:val="left" w:pos="3119"/>
        </w:tabs>
        <w:spacing w:after="0"/>
        <w:ind w:left="0" w:right="-99"/>
        <w:jc w:val="center"/>
        <w:rPr>
          <w:rFonts w:ascii="Times New Roman" w:hAnsi="Times New Roman" w:cs="Times New Roman"/>
          <w:b/>
          <w:sz w:val="26"/>
          <w:szCs w:val="26"/>
        </w:rPr>
      </w:pPr>
      <w:r w:rsidRPr="00A80218">
        <w:rPr>
          <w:rFonts w:ascii="Times New Roman" w:hAnsi="Times New Roman" w:cs="Times New Roman"/>
          <w:b/>
          <w:sz w:val="26"/>
          <w:szCs w:val="26"/>
        </w:rPr>
        <w:t>„</w:t>
      </w:r>
      <w:r w:rsidR="00A126A3">
        <w:rPr>
          <w:rFonts w:ascii="Times New Roman" w:hAnsi="Times New Roman" w:cs="Times New Roman"/>
          <w:b/>
          <w:bCs/>
          <w:sz w:val="26"/>
          <w:szCs w:val="26"/>
        </w:rPr>
        <w:t>M</w:t>
      </w:r>
      <w:r w:rsidR="00DB68CD" w:rsidRPr="00A80218">
        <w:rPr>
          <w:rFonts w:ascii="Times New Roman" w:hAnsi="Times New Roman" w:cs="Times New Roman"/>
          <w:b/>
          <w:bCs/>
          <w:sz w:val="26"/>
          <w:szCs w:val="26"/>
        </w:rPr>
        <w:t>uitas atļauj</w:t>
      </w:r>
      <w:r w:rsidR="00A126A3">
        <w:rPr>
          <w:rFonts w:ascii="Times New Roman" w:hAnsi="Times New Roman" w:cs="Times New Roman"/>
          <w:b/>
          <w:bCs/>
          <w:sz w:val="26"/>
          <w:szCs w:val="26"/>
        </w:rPr>
        <w:t>u noteikumi</w:t>
      </w:r>
      <w:r w:rsidR="002E2B4C" w:rsidRPr="00A80218">
        <w:rPr>
          <w:rFonts w:ascii="Times New Roman" w:hAnsi="Times New Roman" w:cs="Times New Roman"/>
          <w:b/>
          <w:sz w:val="26"/>
          <w:szCs w:val="26"/>
        </w:rPr>
        <w:t xml:space="preserve">” </w:t>
      </w:r>
    </w:p>
    <w:p w14:paraId="7A1E496F" w14:textId="77777777" w:rsidR="00C26070" w:rsidRPr="00A80218" w:rsidRDefault="00C26070" w:rsidP="00895F38">
      <w:pPr>
        <w:spacing w:after="0"/>
        <w:ind w:left="0" w:right="-99"/>
        <w:jc w:val="center"/>
        <w:rPr>
          <w:rFonts w:ascii="Times New Roman" w:eastAsia="Times New Roman" w:hAnsi="Times New Roman" w:cs="Times New Roman"/>
          <w:b/>
          <w:bCs/>
          <w:sz w:val="26"/>
          <w:szCs w:val="26"/>
          <w:lang w:eastAsia="lv-LV"/>
        </w:rPr>
      </w:pPr>
      <w:r w:rsidRPr="00A80218">
        <w:rPr>
          <w:rFonts w:ascii="Times New Roman" w:eastAsia="Times New Roman" w:hAnsi="Times New Roman" w:cs="Times New Roman"/>
          <w:b/>
          <w:bCs/>
          <w:sz w:val="26"/>
          <w:szCs w:val="26"/>
          <w:lang w:eastAsia="lv-LV"/>
        </w:rPr>
        <w:t>sākotnējās ietekmes novērtējuma ziņojums (anotācija)</w:t>
      </w:r>
    </w:p>
    <w:p w14:paraId="112CC5E4" w14:textId="77777777" w:rsidR="00EA67A7" w:rsidRPr="00A80218" w:rsidRDefault="00EA67A7" w:rsidP="00EA67A7">
      <w:pPr>
        <w:spacing w:after="0"/>
        <w:ind w:left="0"/>
        <w:jc w:val="center"/>
        <w:rPr>
          <w:rFonts w:ascii="Times New Roman" w:eastAsia="Times New Roman" w:hAnsi="Times New Roman" w:cs="Times New Roman"/>
          <w:sz w:val="24"/>
          <w:szCs w:val="24"/>
          <w:lang w:eastAsia="lv-LV"/>
        </w:rPr>
      </w:pPr>
    </w:p>
    <w:tbl>
      <w:tblPr>
        <w:tblW w:w="906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126"/>
        <w:gridCol w:w="2126"/>
        <w:gridCol w:w="1546"/>
        <w:gridCol w:w="581"/>
        <w:gridCol w:w="2267"/>
      </w:tblGrid>
      <w:tr w:rsidR="00941AE5" w:rsidRPr="00A80218" w14:paraId="7717B912" w14:textId="77777777" w:rsidTr="00A80218">
        <w:trPr>
          <w:tblCellSpacing w:w="0" w:type="dxa"/>
        </w:trPr>
        <w:tc>
          <w:tcPr>
            <w:tcW w:w="9064" w:type="dxa"/>
            <w:gridSpan w:val="6"/>
            <w:tcBorders>
              <w:top w:val="outset" w:sz="6" w:space="0" w:color="auto"/>
              <w:left w:val="outset" w:sz="6" w:space="0" w:color="auto"/>
              <w:bottom w:val="outset" w:sz="6" w:space="0" w:color="auto"/>
              <w:right w:val="outset" w:sz="6" w:space="0" w:color="auto"/>
            </w:tcBorders>
            <w:vAlign w:val="center"/>
            <w:hideMark/>
          </w:tcPr>
          <w:p w14:paraId="7DB07F7C" w14:textId="77777777" w:rsidR="00C26070" w:rsidRPr="00A80218" w:rsidRDefault="00C26070" w:rsidP="004A01F4">
            <w:pPr>
              <w:spacing w:before="100" w:beforeAutospacing="1" w:after="100" w:afterAutospacing="1" w:line="40" w:lineRule="atLeast"/>
              <w:ind w:left="0" w:firstLineChars="709" w:firstLine="1708"/>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b/>
                <w:bCs/>
                <w:sz w:val="24"/>
                <w:szCs w:val="24"/>
                <w:lang w:eastAsia="lv-LV"/>
              </w:rPr>
              <w:t>I. Tiesību akta projekta izstrādes nepieciešamība</w:t>
            </w:r>
          </w:p>
        </w:tc>
      </w:tr>
      <w:tr w:rsidR="00941AE5" w:rsidRPr="00A80218" w14:paraId="2D69A561" w14:textId="77777777" w:rsidTr="00ED78C1">
        <w:trPr>
          <w:trHeight w:val="411"/>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423DFA6" w14:textId="77777777" w:rsidR="00C26070" w:rsidRPr="00A80218" w:rsidRDefault="00C26070" w:rsidP="009C19F3">
            <w:pPr>
              <w:spacing w:before="120" w:after="120"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hideMark/>
          </w:tcPr>
          <w:p w14:paraId="4F47C3BD" w14:textId="77777777" w:rsidR="00C26070" w:rsidRPr="00A80218" w:rsidRDefault="00C26070" w:rsidP="009C19F3">
            <w:pPr>
              <w:spacing w:before="120" w:after="120"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Pamatojums</w:t>
            </w:r>
          </w:p>
        </w:tc>
        <w:tc>
          <w:tcPr>
            <w:tcW w:w="6520" w:type="dxa"/>
            <w:gridSpan w:val="4"/>
            <w:tcBorders>
              <w:top w:val="outset" w:sz="6" w:space="0" w:color="auto"/>
              <w:left w:val="outset" w:sz="6" w:space="0" w:color="auto"/>
              <w:bottom w:val="outset" w:sz="6" w:space="0" w:color="auto"/>
              <w:right w:val="outset" w:sz="6" w:space="0" w:color="auto"/>
            </w:tcBorders>
          </w:tcPr>
          <w:p w14:paraId="3213672B" w14:textId="3829B299" w:rsidR="00427E42" w:rsidRPr="00A80218" w:rsidRDefault="004A01F4" w:rsidP="009C19F3">
            <w:pPr>
              <w:spacing w:before="120" w:after="120"/>
              <w:ind w:left="57" w:right="57"/>
              <w:rPr>
                <w:rFonts w:ascii="Times New Roman" w:hAnsi="Times New Roman" w:cs="Times New Roman"/>
                <w:sz w:val="24"/>
                <w:szCs w:val="24"/>
              </w:rPr>
            </w:pPr>
            <w:r w:rsidRPr="00A80218">
              <w:rPr>
                <w:rFonts w:ascii="Times New Roman" w:eastAsia="Times New Roman" w:hAnsi="Times New Roman" w:cs="Times New Roman"/>
                <w:sz w:val="24"/>
                <w:szCs w:val="24"/>
                <w:lang w:eastAsia="lv-LV"/>
              </w:rPr>
              <w:t xml:space="preserve">Muitas likuma 25.panta otrās daļas 1.punkts un 2.punkts. </w:t>
            </w:r>
          </w:p>
        </w:tc>
      </w:tr>
      <w:tr w:rsidR="00941AE5" w:rsidRPr="00A80218" w14:paraId="0F7EB2AD" w14:textId="77777777" w:rsidTr="00ED78C1">
        <w:trPr>
          <w:trHeight w:val="472"/>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8FA3C06" w14:textId="542B4B1E" w:rsidR="002D7DCA" w:rsidRPr="00A80218" w:rsidRDefault="0090466E" w:rsidP="009C19F3">
            <w:pPr>
              <w:spacing w:before="120" w:after="120"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hideMark/>
          </w:tcPr>
          <w:p w14:paraId="42DD9E74" w14:textId="66E7475F" w:rsidR="00FF3E82" w:rsidRPr="00A80218" w:rsidRDefault="00CA16A0" w:rsidP="009C19F3">
            <w:pPr>
              <w:spacing w:before="120" w:after="120"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Pašreizējā situācija un problēmas</w:t>
            </w:r>
            <w:r w:rsidRPr="00A80218">
              <w:rPr>
                <w:rFonts w:ascii="Times New Roman" w:hAnsi="Times New Roman" w:cs="Times New Roman"/>
                <w:sz w:val="24"/>
                <w:szCs w:val="24"/>
              </w:rPr>
              <w:t>, kuru risināšanai tiesību akta projekts izstrādāts, tiesiskā regulējuma mērķis un būtība</w:t>
            </w:r>
          </w:p>
          <w:p w14:paraId="1E0486F0" w14:textId="77777777" w:rsidR="00FF3E82" w:rsidRPr="00A80218" w:rsidRDefault="00FF3E82" w:rsidP="009C19F3">
            <w:pPr>
              <w:spacing w:before="120" w:after="120"/>
              <w:ind w:left="57" w:right="57"/>
              <w:rPr>
                <w:rFonts w:ascii="Times New Roman" w:eastAsia="Times New Roman" w:hAnsi="Times New Roman" w:cs="Times New Roman"/>
                <w:sz w:val="24"/>
                <w:szCs w:val="24"/>
                <w:lang w:eastAsia="lv-LV"/>
              </w:rPr>
            </w:pPr>
          </w:p>
          <w:p w14:paraId="191DB154" w14:textId="77777777" w:rsidR="00FF3E82" w:rsidRPr="00A80218" w:rsidRDefault="00FF3E82" w:rsidP="009C19F3">
            <w:pPr>
              <w:spacing w:before="120" w:after="120"/>
              <w:ind w:left="57" w:right="57"/>
              <w:rPr>
                <w:rFonts w:ascii="Times New Roman" w:eastAsia="Times New Roman" w:hAnsi="Times New Roman" w:cs="Times New Roman"/>
                <w:sz w:val="24"/>
                <w:szCs w:val="24"/>
                <w:lang w:eastAsia="lv-LV"/>
              </w:rPr>
            </w:pPr>
          </w:p>
          <w:p w14:paraId="66EAA34E" w14:textId="77777777" w:rsidR="00FF3E82" w:rsidRPr="00A80218" w:rsidRDefault="00FF3E82" w:rsidP="009C19F3">
            <w:pPr>
              <w:spacing w:before="120" w:after="120"/>
              <w:ind w:left="57" w:right="57"/>
              <w:rPr>
                <w:rFonts w:ascii="Times New Roman" w:eastAsia="Times New Roman" w:hAnsi="Times New Roman" w:cs="Times New Roman"/>
                <w:sz w:val="24"/>
                <w:szCs w:val="24"/>
                <w:lang w:eastAsia="lv-LV"/>
              </w:rPr>
            </w:pPr>
          </w:p>
          <w:p w14:paraId="51A9ED6A" w14:textId="5287DF25" w:rsidR="00FF3E82" w:rsidRPr="00A80218" w:rsidRDefault="00FF3E82" w:rsidP="009C19F3">
            <w:pPr>
              <w:spacing w:before="120" w:after="120"/>
              <w:ind w:left="57" w:right="57"/>
              <w:rPr>
                <w:rFonts w:ascii="Times New Roman" w:eastAsia="Times New Roman" w:hAnsi="Times New Roman" w:cs="Times New Roman"/>
                <w:sz w:val="24"/>
                <w:szCs w:val="24"/>
                <w:lang w:eastAsia="lv-LV"/>
              </w:rPr>
            </w:pPr>
          </w:p>
          <w:p w14:paraId="4188794A" w14:textId="77777777" w:rsidR="002D7DCA" w:rsidRPr="00A80218" w:rsidRDefault="002D7DCA" w:rsidP="009C19F3">
            <w:pPr>
              <w:spacing w:before="120" w:after="120"/>
              <w:ind w:left="57" w:right="57"/>
              <w:rPr>
                <w:rFonts w:ascii="Times New Roman" w:eastAsia="Times New Roman" w:hAnsi="Times New Roman" w:cs="Times New Roman"/>
                <w:sz w:val="24"/>
                <w:szCs w:val="24"/>
                <w:lang w:eastAsia="lv-LV"/>
              </w:rPr>
            </w:pPr>
          </w:p>
        </w:tc>
        <w:tc>
          <w:tcPr>
            <w:tcW w:w="6520" w:type="dxa"/>
            <w:gridSpan w:val="4"/>
            <w:tcBorders>
              <w:top w:val="outset" w:sz="6" w:space="0" w:color="auto"/>
              <w:left w:val="outset" w:sz="6" w:space="0" w:color="auto"/>
              <w:bottom w:val="outset" w:sz="6" w:space="0" w:color="auto"/>
              <w:right w:val="outset" w:sz="6" w:space="0" w:color="auto"/>
            </w:tcBorders>
          </w:tcPr>
          <w:p w14:paraId="33E4AFFB" w14:textId="77777777" w:rsidR="004577D1" w:rsidRPr="00005051" w:rsidRDefault="007A5769" w:rsidP="009C19F3">
            <w:pPr>
              <w:pStyle w:val="naiskr"/>
              <w:spacing w:before="120" w:beforeAutospacing="0" w:after="0" w:afterAutospacing="0"/>
              <w:ind w:left="57" w:right="57"/>
              <w:jc w:val="both"/>
            </w:pPr>
            <w:r w:rsidRPr="00005051">
              <w:t>2016.gadā spēkā stājās</w:t>
            </w:r>
            <w:r w:rsidR="004577D1" w:rsidRPr="00005051">
              <w:t xml:space="preserve"> jauns tiesiskais regulējums muitas jomā:</w:t>
            </w:r>
          </w:p>
          <w:p w14:paraId="7E7D1F4D" w14:textId="77777777" w:rsidR="004577D1" w:rsidRPr="00005051" w:rsidRDefault="004577D1" w:rsidP="009C19F3">
            <w:pPr>
              <w:pStyle w:val="naiskr"/>
              <w:spacing w:before="120" w:beforeAutospacing="0" w:after="0" w:afterAutospacing="0"/>
              <w:ind w:left="57" w:right="57"/>
              <w:jc w:val="both"/>
            </w:pPr>
            <w:r w:rsidRPr="00005051">
              <w:t xml:space="preserve">- </w:t>
            </w:r>
            <w:r w:rsidR="007A5769" w:rsidRPr="00005051">
              <w:t xml:space="preserve"> Eiropas Parlamenta un Padomes 2013.gada 9.oktobra Regula (ES) Nr.952/2013, ar ko izveido Savienības Muitas kodeksu</w:t>
            </w:r>
            <w:r w:rsidRPr="00005051">
              <w:t xml:space="preserve"> (turpmāk – regula Nr.952/2013);</w:t>
            </w:r>
          </w:p>
          <w:p w14:paraId="28312B89" w14:textId="77777777" w:rsidR="004577D1" w:rsidRPr="00005051" w:rsidRDefault="004577D1" w:rsidP="009C19F3">
            <w:pPr>
              <w:pStyle w:val="naiskr"/>
              <w:spacing w:before="120" w:beforeAutospacing="0" w:after="0" w:afterAutospacing="0"/>
              <w:ind w:left="57" w:right="57"/>
              <w:jc w:val="both"/>
            </w:pPr>
            <w:r w:rsidRPr="00005051">
              <w:t xml:space="preserve">- </w:t>
            </w:r>
            <w:r w:rsidR="007A5769" w:rsidRPr="00005051">
              <w:t xml:space="preserve"> Komisijas Deleģētā regula (ES) 2015/2446 (2015.gada 28.jūlijs), ar ko papildina Eiropas Parlamenta un Padomes Regulu (ES) Nr. 952/2013 attiecībā uz sīki izstrādātiem noteikumiem, kuri attiecas uz dažiem Savienības Muitas kodeksa noteikumiem (turpmāk – regula Nr.2015/2446)</w:t>
            </w:r>
            <w:r w:rsidRPr="00005051">
              <w:t xml:space="preserve">; </w:t>
            </w:r>
          </w:p>
          <w:p w14:paraId="1AFFBF13" w14:textId="77777777" w:rsidR="004577D1" w:rsidRPr="00005051" w:rsidRDefault="004577D1" w:rsidP="009C19F3">
            <w:pPr>
              <w:pStyle w:val="naiskr"/>
              <w:spacing w:before="120" w:beforeAutospacing="0" w:after="0" w:afterAutospacing="0"/>
              <w:ind w:left="57" w:right="57"/>
              <w:jc w:val="both"/>
            </w:pPr>
            <w:r w:rsidRPr="00005051">
              <w:t xml:space="preserve">- </w:t>
            </w:r>
            <w:r w:rsidR="007A5769" w:rsidRPr="00005051">
              <w:t>Komisijas Īstenošanas regula (ES) 2015/2447 (2015.gada 24.novembris), ar ko paredz sīki izstrādātus noteikumus, kas vajadzīgi, lai īstenotu konkrētus noteikumus Eiropas Parlamenta un Padomes Regulā (ES) Nr.952/2013, ar ko izveido Savienības Muitas kodeksu (turpmāk – regula Nr.2015/2447)</w:t>
            </w:r>
            <w:r w:rsidRPr="00005051">
              <w:t>;</w:t>
            </w:r>
          </w:p>
          <w:p w14:paraId="342281E3" w14:textId="17728D8F" w:rsidR="00947FFC" w:rsidRPr="00005051" w:rsidRDefault="004577D1" w:rsidP="009C19F3">
            <w:pPr>
              <w:pStyle w:val="naiskr"/>
              <w:spacing w:before="120" w:beforeAutospacing="0" w:after="0" w:afterAutospacing="0"/>
              <w:ind w:left="57" w:right="57"/>
              <w:jc w:val="both"/>
            </w:pPr>
            <w:r w:rsidRPr="00005051">
              <w:t xml:space="preserve">- </w:t>
            </w:r>
            <w:r w:rsidR="007A5769" w:rsidRPr="00005051">
              <w:t>Komisijas 2015.gada 17.decembra Deleģētās Regulas (ES) 2016/341, ar ko papildina Eiropas Parlamenta un Padomes Regulu (ES) Nr.952/2013 attiecībā uz pārejas noteikumiem, kurus paredz attiecībā uz konkrētiem Savienības Muitas Kodeksa noteikumiem, ja attiecīgās elektroniskās sistēmas vēl nedarbojas, un groza Deleģēto regulu (ES) 2015/2446 (turpmāk – regula Nr.2016/341).</w:t>
            </w:r>
            <w:r w:rsidR="00947FFC" w:rsidRPr="00005051">
              <w:t xml:space="preserve"> </w:t>
            </w:r>
          </w:p>
          <w:p w14:paraId="46E2C708" w14:textId="16789A17" w:rsidR="00947FFC" w:rsidRPr="00005051" w:rsidRDefault="007A5769" w:rsidP="009C19F3">
            <w:pPr>
              <w:pStyle w:val="naiskr"/>
              <w:spacing w:before="120" w:beforeAutospacing="0" w:after="0" w:afterAutospacing="0"/>
              <w:ind w:left="57" w:right="57"/>
              <w:jc w:val="both"/>
            </w:pPr>
            <w:r w:rsidRPr="00005051">
              <w:t xml:space="preserve">Saistībā ar regulu Nr.952/2013, regulu Nr.2015/2446 un regulu Nr.2015/2447 ir pieņemts jauns Muitas likums, kas stājās spēkā 2016.gada 5.jūlijā un kura </w:t>
            </w:r>
            <w:r w:rsidR="00947FFC" w:rsidRPr="00005051">
              <w:t>25</w:t>
            </w:r>
            <w:r w:rsidRPr="00005051">
              <w:t xml:space="preserve">.panta otrajā daļā paredzēts pilnvarojums Ministru kabinetam noteikt </w:t>
            </w:r>
            <w:r w:rsidR="00947FFC" w:rsidRPr="00005051">
              <w:t>kārtību, kādā izsniedz, groza, aptur, atjauno un anulē šā panta pirmajā daļā minētās atļaujas, sertifikātus, statusus, pilnvaras un apstiprinājumus, kā arī atsevišķus jautājumus par vienkāršoto deklarēšanu, ierakstu deklarētāja reģistros un atzītā nosūtītāja un atzītā saņēmēja statusa izmantošanu.</w:t>
            </w:r>
          </w:p>
          <w:p w14:paraId="046BD9B1" w14:textId="24DFE4D9" w:rsidR="003445E7" w:rsidRPr="00005051" w:rsidRDefault="007A5769" w:rsidP="009C19F3">
            <w:pPr>
              <w:pStyle w:val="naiskr"/>
              <w:spacing w:before="120" w:beforeAutospacing="0" w:after="0" w:afterAutospacing="0"/>
              <w:ind w:left="57" w:right="57"/>
              <w:jc w:val="both"/>
              <w:rPr>
                <w:bCs/>
              </w:rPr>
            </w:pPr>
            <w:r w:rsidRPr="00005051">
              <w:t>Muitas likuma pārejas noteikumu 2.</w:t>
            </w:r>
            <w:r w:rsidRPr="00005051">
              <w:rPr>
                <w:vertAlign w:val="superscript"/>
              </w:rPr>
              <w:t xml:space="preserve">1 </w:t>
            </w:r>
            <w:r w:rsidRPr="00005051">
              <w:t xml:space="preserve">punkta </w:t>
            </w:r>
            <w:r w:rsidR="003445E7" w:rsidRPr="00005051">
              <w:t>6</w:t>
            </w:r>
            <w:r w:rsidRPr="00005051">
              <w:t xml:space="preserve">., </w:t>
            </w:r>
            <w:r w:rsidR="003445E7" w:rsidRPr="00005051">
              <w:t>7</w:t>
            </w:r>
            <w:r w:rsidRPr="00005051">
              <w:t xml:space="preserve">. un </w:t>
            </w:r>
            <w:r w:rsidR="003445E7" w:rsidRPr="00005051">
              <w:t>8</w:t>
            </w:r>
            <w:r w:rsidRPr="00005051">
              <w:t>.apakšpunktā noteikts, ka līdz attiecīgo Ministru kabineta tiesību aktu spēkā stāšanās dienai, bet ne ilgāk kā līdz 2017.gada 1.augustam ir spēkā Ministru kabineta</w:t>
            </w:r>
            <w:r w:rsidR="003160C4" w:rsidRPr="00005051">
              <w:t xml:space="preserve"> </w:t>
            </w:r>
            <w:r w:rsidR="003445E7" w:rsidRPr="00005051">
              <w:t xml:space="preserve">2010.gada 8.jūnija </w:t>
            </w:r>
            <w:r w:rsidR="00C55942" w:rsidRPr="00005051">
              <w:t>noteikumi</w:t>
            </w:r>
            <w:r w:rsidR="003445E7" w:rsidRPr="00005051">
              <w:t xml:space="preserve"> Nr.506 “Kārtība, kādā izsniedz atļauju regulāro kuģu pārvadājumu pakalpojumu sniegšanai un atļauju vienkāršotās tranzīta procedūras piemērošanai, veicot pārvadājumus jūras satiksmē”</w:t>
            </w:r>
            <w:r w:rsidR="00C55942" w:rsidRPr="00005051">
              <w:t xml:space="preserve">, </w:t>
            </w:r>
            <w:r w:rsidR="003445E7" w:rsidRPr="00005051">
              <w:rPr>
                <w:rFonts w:eastAsia="Calibri"/>
              </w:rPr>
              <w:t>Ministru kabineta 2010.gada 8.jūnija noteiku</w:t>
            </w:r>
            <w:r w:rsidR="00C55942" w:rsidRPr="00005051">
              <w:rPr>
                <w:rFonts w:eastAsia="Calibri"/>
              </w:rPr>
              <w:t>mi</w:t>
            </w:r>
            <w:r w:rsidR="003445E7" w:rsidRPr="00005051">
              <w:rPr>
                <w:rFonts w:eastAsia="Calibri"/>
              </w:rPr>
              <w:t xml:space="preserve"> Nr.507 "Kārtība, kādā komersantam piešķir atzītā eksportētāja statusu un izsniedz pilnvaru patstāvīgi deklarēt preču izcelsmi"</w:t>
            </w:r>
            <w:r w:rsidR="00C55942" w:rsidRPr="00005051">
              <w:rPr>
                <w:rFonts w:eastAsia="Calibri"/>
              </w:rPr>
              <w:t xml:space="preserve">, kā arī </w:t>
            </w:r>
            <w:r w:rsidR="003445E7" w:rsidRPr="00005051">
              <w:rPr>
                <w:rFonts w:eastAsia="Calibri"/>
              </w:rPr>
              <w:t xml:space="preserve"> </w:t>
            </w:r>
            <w:r w:rsidR="003445E7" w:rsidRPr="00005051">
              <w:rPr>
                <w:bCs/>
              </w:rPr>
              <w:t xml:space="preserve">Ministru kabineta </w:t>
            </w:r>
            <w:r w:rsidR="00C55942" w:rsidRPr="00005051">
              <w:rPr>
                <w:bCs/>
              </w:rPr>
              <w:t>2010.gada 16.novembra noteikumi</w:t>
            </w:r>
            <w:r w:rsidR="003445E7" w:rsidRPr="00005051">
              <w:rPr>
                <w:bCs/>
              </w:rPr>
              <w:t xml:space="preserve"> Nr.1048 "</w:t>
            </w:r>
            <w:hyperlink r:id="rId8" w:history="1">
              <w:r w:rsidR="003445E7" w:rsidRPr="00005051">
                <w:rPr>
                  <w:rStyle w:val="Hyperlink"/>
                  <w:bCs/>
                  <w:color w:val="auto"/>
                  <w:u w:val="none"/>
                </w:rPr>
                <w:t xml:space="preserve">Noteikumi par vienkāršoto deklarēšanu un vietējo muitošanu, </w:t>
              </w:r>
              <w:r w:rsidR="003445E7" w:rsidRPr="00005051">
                <w:rPr>
                  <w:rStyle w:val="Hyperlink"/>
                  <w:bCs/>
                  <w:color w:val="auto"/>
                  <w:u w:val="none"/>
                </w:rPr>
                <w:lastRenderedPageBreak/>
                <w:t>atzītā nosūtītāja un atzītā saņēmēja statusu, vienoto atļauju un atzītā komersanta sertifikātu</w:t>
              </w:r>
            </w:hyperlink>
            <w:r w:rsidR="003445E7" w:rsidRPr="00005051">
              <w:rPr>
                <w:bCs/>
              </w:rPr>
              <w:t>"</w:t>
            </w:r>
            <w:r w:rsidR="00C55942" w:rsidRPr="00005051">
              <w:rPr>
                <w:bCs/>
              </w:rPr>
              <w:t xml:space="preserve">. </w:t>
            </w:r>
          </w:p>
          <w:p w14:paraId="4988D475" w14:textId="20B1652A" w:rsidR="007A5769" w:rsidRPr="00005051" w:rsidRDefault="007A5769" w:rsidP="009C19F3">
            <w:pPr>
              <w:pStyle w:val="naiskr"/>
              <w:spacing w:before="120" w:beforeAutospacing="0" w:after="0" w:afterAutospacing="0"/>
              <w:ind w:left="57" w:right="57"/>
              <w:jc w:val="both"/>
            </w:pPr>
            <w:r w:rsidRPr="00005051">
              <w:t xml:space="preserve">Lai samazinātu uz Muitas likuma pamata izdoto Ministru kabineta noteikumu apjomu, kā arī, lai uz </w:t>
            </w:r>
            <w:r w:rsidR="004C740C" w:rsidRPr="00005051">
              <w:t xml:space="preserve">tām muitas atļaujām, attiecībā uz kurām nepieciešams </w:t>
            </w:r>
            <w:proofErr w:type="spellStart"/>
            <w:r w:rsidR="004C740C" w:rsidRPr="00005051">
              <w:t>nacionākais</w:t>
            </w:r>
            <w:proofErr w:type="spellEnd"/>
            <w:r w:rsidR="004C740C" w:rsidRPr="00005051">
              <w:t xml:space="preserve"> regulējums, </w:t>
            </w:r>
            <w:r w:rsidRPr="00005051">
              <w:t>visas normas būtu atrodamas vienā normatīvajā aktā Ministru kabineta noteikumu projekts “</w:t>
            </w:r>
            <w:r w:rsidR="00A126A3" w:rsidRPr="00005051">
              <w:t>Muitas atļauju noteikumi</w:t>
            </w:r>
            <w:r w:rsidRPr="00005051">
              <w:t xml:space="preserve">” (turpmāk -  noteikumu projekts) apvieno trīs Ministru kabineta noteikumus, kas skar muitas </w:t>
            </w:r>
            <w:r w:rsidR="004C740C" w:rsidRPr="00005051">
              <w:t>atļauju</w:t>
            </w:r>
            <w:r w:rsidR="00F105F3" w:rsidRPr="00005051">
              <w:t xml:space="preserve"> jautājumus un, kas bija spēkā līdz 2017.gada 1.augustam.</w:t>
            </w:r>
          </w:p>
          <w:p w14:paraId="2F200DD4" w14:textId="4CCF69CF" w:rsidR="004A01F4" w:rsidRPr="00005051" w:rsidRDefault="00E34B0E" w:rsidP="009C19F3">
            <w:pPr>
              <w:pStyle w:val="naiskr"/>
              <w:spacing w:before="120" w:beforeAutospacing="0" w:after="0" w:afterAutospacing="0"/>
              <w:ind w:left="57" w:right="57"/>
              <w:jc w:val="both"/>
            </w:pPr>
            <w:r w:rsidRPr="00005051">
              <w:t>Līdz 2017.gada 1.augustam</w:t>
            </w:r>
            <w:r w:rsidR="004A01F4" w:rsidRPr="00005051">
              <w:t xml:space="preserve"> kārtību, kādā izsniedz, atsaka izsniegt, aptur vai anulē vienkāršotās deklarēšanas un vietējās muitošanas atļauju, atzītā komersanta sertifikātu, atzītā nosūtītāja un atzītā saņēmēja statusu, kā arī kārtību, kādā izsniedz vai saskaņo vienoto atļauju no</w:t>
            </w:r>
            <w:r w:rsidRPr="00005051">
              <w:t>teica</w:t>
            </w:r>
            <w:r w:rsidR="004A01F4" w:rsidRPr="00005051">
              <w:t xml:space="preserve"> Ministru kabineta 2010.gada 16.novembra noteikumi Nr.1048 „Noteikumi par vienkāršoto deklarēšanu un vietējo muitošanu, vienoto atļauju, atzītā komersanta sertifikātu un atzītā nosūtītāja un atzītā saņēmēja statusu” (turpmāk – </w:t>
            </w:r>
            <w:r w:rsidR="00C81DEC" w:rsidRPr="00005051">
              <w:t xml:space="preserve">MK </w:t>
            </w:r>
            <w:r w:rsidR="004A01F4" w:rsidRPr="00005051">
              <w:t>noteikumi Nr.1048).</w:t>
            </w:r>
          </w:p>
          <w:p w14:paraId="6CBF4370" w14:textId="77777777" w:rsidR="005B1388" w:rsidRPr="00005051" w:rsidRDefault="004A01F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sz w:val="24"/>
                <w:szCs w:val="24"/>
              </w:rPr>
              <w:t xml:space="preserve">No 2016.gada 1.maija ir piemērojami regulas Nr.952/2013, </w:t>
            </w:r>
            <w:r w:rsidRPr="00005051">
              <w:rPr>
                <w:rFonts w:ascii="Times New Roman" w:hAnsi="Times New Roman" w:cs="Times New Roman"/>
                <w:iCs/>
                <w:sz w:val="24"/>
                <w:szCs w:val="24"/>
              </w:rPr>
              <w:t xml:space="preserve">regulas Nr.2015/2446, regulas Nr.2015/2447 un regulas </w:t>
            </w:r>
            <w:r w:rsidRPr="00005051">
              <w:rPr>
                <w:rFonts w:ascii="Times New Roman" w:hAnsi="Times New Roman" w:cs="Times New Roman"/>
                <w:bCs/>
                <w:iCs/>
                <w:sz w:val="24"/>
                <w:szCs w:val="24"/>
              </w:rPr>
              <w:t>2016/341</w:t>
            </w:r>
            <w:r w:rsidRPr="00005051">
              <w:rPr>
                <w:rFonts w:ascii="Times New Roman" w:hAnsi="Times New Roman" w:cs="Times New Roman"/>
                <w:iCs/>
                <w:sz w:val="24"/>
                <w:szCs w:val="24"/>
              </w:rPr>
              <w:t xml:space="preserve"> nosacījumi, kas ievieš būtiskas izmaiņas muitas vienkāršojumu – vienkāršotās deklarēšanas, vietējās muitošanas</w:t>
            </w:r>
            <w:r w:rsidR="00AE1596" w:rsidRPr="00005051">
              <w:rPr>
                <w:rFonts w:ascii="Times New Roman" w:hAnsi="Times New Roman" w:cs="Times New Roman"/>
                <w:iCs/>
                <w:sz w:val="24"/>
                <w:szCs w:val="24"/>
              </w:rPr>
              <w:t>, kā arī</w:t>
            </w:r>
            <w:r w:rsidRPr="00005051">
              <w:rPr>
                <w:rFonts w:ascii="Times New Roman" w:hAnsi="Times New Roman" w:cs="Times New Roman"/>
                <w:iCs/>
                <w:sz w:val="24"/>
                <w:szCs w:val="24"/>
              </w:rPr>
              <w:t xml:space="preserve"> atzītā nosūtītāja un atzītā saņēmēja statusu un atzītā komersanta atļauju izmantošanā. </w:t>
            </w:r>
          </w:p>
          <w:p w14:paraId="22763DDA" w14:textId="0C59243D"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iCs/>
                <w:sz w:val="24"/>
                <w:szCs w:val="24"/>
              </w:rPr>
              <w:t xml:space="preserve">Vietējās muitošanas procedūra tiek aizstāta ar līdzīgu muitas vienkāršojumu – </w:t>
            </w:r>
            <w:r w:rsidRPr="00005051">
              <w:rPr>
                <w:rFonts w:ascii="Times New Roman" w:hAnsi="Times New Roman" w:cs="Times New Roman"/>
                <w:bCs/>
                <w:iCs/>
                <w:sz w:val="24"/>
                <w:szCs w:val="24"/>
              </w:rPr>
              <w:t>ieraksts deklarētāja reģistros</w:t>
            </w:r>
            <w:r w:rsidR="005B1388" w:rsidRPr="00005051">
              <w:rPr>
                <w:rFonts w:ascii="Times New Roman" w:hAnsi="Times New Roman" w:cs="Times New Roman"/>
                <w:bCs/>
                <w:iCs/>
                <w:sz w:val="24"/>
                <w:szCs w:val="24"/>
              </w:rPr>
              <w:t xml:space="preserve">, savukārt </w:t>
            </w:r>
            <w:r w:rsidRPr="00005051">
              <w:rPr>
                <w:rFonts w:ascii="Times New Roman" w:hAnsi="Times New Roman" w:cs="Times New Roman"/>
                <w:bCs/>
                <w:iCs/>
                <w:sz w:val="24"/>
                <w:szCs w:val="24"/>
              </w:rPr>
              <w:t>atzītā komersanta sertifikāts tiek aizstāts ar atzītā uzņēmēja atļauju. Ņemot vērā izmaiņas muitas vienkāršojumu jomā</w:t>
            </w:r>
            <w:r w:rsidR="005B1388" w:rsidRPr="00005051">
              <w:rPr>
                <w:rFonts w:ascii="Times New Roman" w:hAnsi="Times New Roman" w:cs="Times New Roman"/>
                <w:bCs/>
                <w:iCs/>
                <w:sz w:val="24"/>
                <w:szCs w:val="24"/>
              </w:rPr>
              <w:t>,</w:t>
            </w:r>
            <w:r w:rsidRPr="00005051">
              <w:rPr>
                <w:rFonts w:ascii="Times New Roman" w:hAnsi="Times New Roman" w:cs="Times New Roman"/>
                <w:bCs/>
                <w:iCs/>
                <w:sz w:val="24"/>
                <w:szCs w:val="24"/>
              </w:rPr>
              <w:t xml:space="preserve"> ir nepieciešams noteikt atsevišķus minēto atļauju izsniegšanas un izmantošanas nosacījumus. </w:t>
            </w:r>
          </w:p>
          <w:p w14:paraId="1374A329" w14:textId="63554CED"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Lai nodrošinātu sabiedrības, vides un veselības aizsardzību, un ņemot vērā veidu</w:t>
            </w:r>
            <w:r w:rsidR="005B1388" w:rsidRPr="00005051">
              <w:rPr>
                <w:rFonts w:ascii="Times New Roman" w:hAnsi="Times New Roman" w:cs="Times New Roman"/>
                <w:bCs/>
                <w:iCs/>
                <w:sz w:val="24"/>
                <w:szCs w:val="24"/>
              </w:rPr>
              <w:t>,</w:t>
            </w:r>
            <w:r w:rsidRPr="00005051">
              <w:rPr>
                <w:rFonts w:ascii="Times New Roman" w:hAnsi="Times New Roman" w:cs="Times New Roman"/>
                <w:bCs/>
                <w:iCs/>
                <w:sz w:val="24"/>
                <w:szCs w:val="24"/>
              </w:rPr>
              <w:t xml:space="preserve"> kādā tiek piemērots ieraksts deklarētāja reģistros, kā arī regulas Nr.2015/2446 A pielikumā “</w:t>
            </w:r>
            <w:r w:rsidR="005B1388" w:rsidRPr="00005051">
              <w:rPr>
                <w:rFonts w:ascii="Times New Roman" w:hAnsi="Times New Roman" w:cs="Times New Roman"/>
                <w:bCs/>
                <w:iCs/>
                <w:sz w:val="24"/>
                <w:szCs w:val="24"/>
              </w:rPr>
              <w:t>Kopējās datu prasības attiecībā uz pieteikumiem un lēmumiem”</w:t>
            </w:r>
            <w:r w:rsidRPr="00005051">
              <w:rPr>
                <w:rFonts w:ascii="Times New Roman" w:hAnsi="Times New Roman" w:cs="Times New Roman"/>
                <w:bCs/>
                <w:iCs/>
                <w:sz w:val="24"/>
                <w:szCs w:val="24"/>
              </w:rPr>
              <w:t xml:space="preserve"> noteikto attiecībā uz atzītā nosūtītāja un atzītā saņēmēja statusa atļauju, ir jānosaka preču veidi, kuru deklarēšanā nav izmantojams  ieraksts deklarētāja reģistros un atzītā nosūtī</w:t>
            </w:r>
            <w:r w:rsidR="005B1388" w:rsidRPr="00005051">
              <w:rPr>
                <w:rFonts w:ascii="Times New Roman" w:hAnsi="Times New Roman" w:cs="Times New Roman"/>
                <w:bCs/>
                <w:iCs/>
                <w:sz w:val="24"/>
                <w:szCs w:val="24"/>
              </w:rPr>
              <w:t>tāja un atzītā saņēmēja statuss.</w:t>
            </w:r>
            <w:r w:rsidRPr="00005051">
              <w:rPr>
                <w:rFonts w:ascii="Times New Roman" w:hAnsi="Times New Roman" w:cs="Times New Roman"/>
                <w:bCs/>
                <w:iCs/>
                <w:sz w:val="24"/>
                <w:szCs w:val="24"/>
              </w:rPr>
              <w:t xml:space="preserve"> Tas nozīmē, ka </w:t>
            </w:r>
            <w:r w:rsidR="005B1388" w:rsidRPr="00005051">
              <w:rPr>
                <w:rFonts w:ascii="Times New Roman" w:hAnsi="Times New Roman" w:cs="Times New Roman"/>
                <w:bCs/>
                <w:iCs/>
                <w:sz w:val="24"/>
                <w:szCs w:val="24"/>
              </w:rPr>
              <w:t xml:space="preserve">tiek </w:t>
            </w:r>
            <w:r w:rsidRPr="00005051">
              <w:rPr>
                <w:rFonts w:ascii="Times New Roman" w:hAnsi="Times New Roman" w:cs="Times New Roman"/>
                <w:bCs/>
                <w:iCs/>
                <w:sz w:val="24"/>
                <w:szCs w:val="24"/>
              </w:rPr>
              <w:t xml:space="preserve">saglabāti </w:t>
            </w:r>
            <w:r w:rsidR="005B1388" w:rsidRPr="00005051">
              <w:rPr>
                <w:rFonts w:ascii="Times New Roman" w:hAnsi="Times New Roman" w:cs="Times New Roman"/>
                <w:sz w:val="24"/>
                <w:szCs w:val="24"/>
              </w:rPr>
              <w:t>MK</w:t>
            </w:r>
            <w:r w:rsidR="00496213" w:rsidRPr="00005051">
              <w:rPr>
                <w:rFonts w:ascii="Times New Roman" w:hAnsi="Times New Roman" w:cs="Times New Roman"/>
                <w:sz w:val="24"/>
                <w:szCs w:val="24"/>
              </w:rPr>
              <w:t xml:space="preserve"> noteikumos Nr.1048 </w:t>
            </w:r>
            <w:r w:rsidRPr="00005051">
              <w:rPr>
                <w:rFonts w:ascii="Times New Roman" w:hAnsi="Times New Roman" w:cs="Times New Roman"/>
                <w:bCs/>
                <w:iCs/>
                <w:sz w:val="24"/>
                <w:szCs w:val="24"/>
              </w:rPr>
              <w:t xml:space="preserve">noteiktie ierobežojumi atsevišķa veida preču deklarēšanā, nosakot tos noteikumu projekta </w:t>
            </w:r>
            <w:r w:rsidR="005B1388" w:rsidRPr="00005051">
              <w:rPr>
                <w:rFonts w:ascii="Times New Roman" w:hAnsi="Times New Roman" w:cs="Times New Roman"/>
                <w:bCs/>
                <w:iCs/>
                <w:sz w:val="24"/>
                <w:szCs w:val="24"/>
              </w:rPr>
              <w:t>1</w:t>
            </w:r>
            <w:r w:rsidR="00A21EFA" w:rsidRPr="00005051">
              <w:rPr>
                <w:rFonts w:ascii="Times New Roman" w:hAnsi="Times New Roman" w:cs="Times New Roman"/>
                <w:bCs/>
                <w:iCs/>
                <w:sz w:val="24"/>
                <w:szCs w:val="24"/>
              </w:rPr>
              <w:t>3</w:t>
            </w:r>
            <w:r w:rsidRPr="00005051">
              <w:rPr>
                <w:rFonts w:ascii="Times New Roman" w:hAnsi="Times New Roman" w:cs="Times New Roman"/>
                <w:bCs/>
                <w:iCs/>
                <w:sz w:val="24"/>
                <w:szCs w:val="24"/>
              </w:rPr>
              <w:t>. punktā</w:t>
            </w:r>
            <w:r w:rsidR="005B1388" w:rsidRPr="00005051">
              <w:rPr>
                <w:rFonts w:ascii="Times New Roman" w:hAnsi="Times New Roman" w:cs="Times New Roman"/>
                <w:bCs/>
                <w:iCs/>
                <w:sz w:val="24"/>
                <w:szCs w:val="24"/>
              </w:rPr>
              <w:t xml:space="preserve"> un 2</w:t>
            </w:r>
            <w:r w:rsidR="00A21EFA" w:rsidRPr="00005051">
              <w:rPr>
                <w:rFonts w:ascii="Times New Roman" w:hAnsi="Times New Roman" w:cs="Times New Roman"/>
                <w:bCs/>
                <w:iCs/>
                <w:sz w:val="24"/>
                <w:szCs w:val="24"/>
              </w:rPr>
              <w:t>3</w:t>
            </w:r>
            <w:r w:rsidR="005B1388" w:rsidRPr="00005051">
              <w:rPr>
                <w:rFonts w:ascii="Times New Roman" w:hAnsi="Times New Roman" w:cs="Times New Roman"/>
                <w:bCs/>
                <w:iCs/>
                <w:sz w:val="24"/>
                <w:szCs w:val="24"/>
              </w:rPr>
              <w:t>.punktā.</w:t>
            </w:r>
            <w:r w:rsidRPr="00005051">
              <w:rPr>
                <w:rFonts w:ascii="Times New Roman" w:hAnsi="Times New Roman" w:cs="Times New Roman"/>
                <w:bCs/>
                <w:iCs/>
                <w:sz w:val="24"/>
                <w:szCs w:val="24"/>
              </w:rPr>
              <w:t xml:space="preserve">   </w:t>
            </w:r>
          </w:p>
          <w:p w14:paraId="153E804D" w14:textId="69D6FE5D" w:rsidR="00A21EFA" w:rsidRPr="00005051" w:rsidRDefault="00A21EFA" w:rsidP="00A21EFA">
            <w:pPr>
              <w:spacing w:before="120" w:after="0"/>
              <w:ind w:left="57" w:right="57"/>
              <w:rPr>
                <w:rFonts w:ascii="Times New Roman" w:hAnsi="Times New Roman" w:cs="Times New Roman"/>
                <w:sz w:val="24"/>
                <w:szCs w:val="24"/>
              </w:rPr>
            </w:pPr>
            <w:r w:rsidRPr="00005051">
              <w:rPr>
                <w:rFonts w:ascii="Times New Roman" w:hAnsi="Times New Roman" w:cs="Times New Roman"/>
                <w:color w:val="000000"/>
                <w:sz w:val="24"/>
                <w:szCs w:val="24"/>
              </w:rPr>
              <w:t xml:space="preserve">Noteikumu projekta 13.punktā un 23.punktā ir noteikti gadījumi, kad </w:t>
            </w:r>
            <w:proofErr w:type="spellStart"/>
            <w:r w:rsidRPr="00005051">
              <w:rPr>
                <w:rFonts w:ascii="Times New Roman" w:hAnsi="Times New Roman" w:cs="Times New Roman"/>
                <w:color w:val="000000"/>
                <w:sz w:val="24"/>
                <w:szCs w:val="24"/>
              </w:rPr>
              <w:t>kad</w:t>
            </w:r>
            <w:proofErr w:type="spellEnd"/>
            <w:r w:rsidRPr="00005051">
              <w:rPr>
                <w:rFonts w:ascii="Times New Roman" w:hAnsi="Times New Roman" w:cs="Times New Roman"/>
                <w:color w:val="000000"/>
                <w:sz w:val="24"/>
                <w:szCs w:val="24"/>
              </w:rPr>
              <w:t xml:space="preserve"> ieraksta deklarētāju reģistros atļauju neizmanto. Noteikumu projekta 13.8.punktā 23.7.punktā ir noteikts, ka atļauju nepiemēro citām precēm, kuru imports, eksports vai tranzīts ir aizliegts vai ierobežots saskaņā ar normatīvajiem aktiem. Normatīvajos aktos tiek noteikti ierobežojumi un aizliegumi attiecībā uz preču pārvietošanu, lai aizsargātu noteikta veida </w:t>
            </w:r>
            <w:r w:rsidRPr="00005051">
              <w:rPr>
                <w:rFonts w:ascii="Times New Roman" w:hAnsi="Times New Roman" w:cs="Times New Roman"/>
                <w:color w:val="000000"/>
                <w:sz w:val="24"/>
                <w:szCs w:val="24"/>
              </w:rPr>
              <w:lastRenderedPageBreak/>
              <w:t xml:space="preserve">intereses, piemēram, vidi, veselību vai drošību. Ierobežojumi vai aizliegumi uz preču pārvietošanu var tikt attiecināti gan saistībā ar preces būtību, gan saistībā ar saņēmēju, saņēmējvalsti, nosūtītāju vai nosūtītājvalsti, tāpēc nevar viennozīmīgi definēt ierobežojuma vai aizlieguma </w:t>
            </w:r>
            <w:proofErr w:type="spellStart"/>
            <w:r w:rsidRPr="00005051">
              <w:rPr>
                <w:rFonts w:ascii="Times New Roman" w:hAnsi="Times New Roman" w:cs="Times New Roman"/>
                <w:color w:val="000000"/>
                <w:sz w:val="24"/>
                <w:szCs w:val="24"/>
              </w:rPr>
              <w:t>attiecināmību</w:t>
            </w:r>
            <w:proofErr w:type="spellEnd"/>
            <w:r w:rsidRPr="00005051">
              <w:rPr>
                <w:rFonts w:ascii="Times New Roman" w:hAnsi="Times New Roman" w:cs="Times New Roman"/>
                <w:color w:val="000000"/>
                <w:sz w:val="24"/>
                <w:szCs w:val="24"/>
              </w:rPr>
              <w:t xml:space="preserve"> uz preces pārvietošanu. Ierobežojumi vai aizliegumi attiecībā uz precēm tiek pārskatīti, ņemot vērā pasaulē esošo situāciju, līdz ar ko daļa no ierobežojumiem kādā noteiktā brīdī </w:t>
            </w:r>
            <w:r w:rsidRPr="00005051">
              <w:rPr>
                <w:rFonts w:ascii="Times New Roman" w:hAnsi="Times New Roman" w:cs="Times New Roman"/>
                <w:sz w:val="24"/>
                <w:szCs w:val="24"/>
              </w:rPr>
              <w:t xml:space="preserve">var tikt atcelti, savukārt var tikt pieņemti arī jauni ierobežojumi. </w:t>
            </w:r>
          </w:p>
          <w:p w14:paraId="19CCCB3D" w14:textId="77777777" w:rsidR="00A21EFA" w:rsidRPr="00005051" w:rsidRDefault="00A21EFA" w:rsidP="00A21EFA">
            <w:pPr>
              <w:spacing w:before="120" w:after="0"/>
              <w:ind w:left="57" w:right="57"/>
              <w:rPr>
                <w:rStyle w:val="Hyperlink"/>
                <w:rFonts w:ascii="Times New Roman" w:eastAsia="Times New Roman" w:hAnsi="Times New Roman" w:cs="Times New Roman"/>
                <w:sz w:val="24"/>
                <w:szCs w:val="24"/>
                <w:lang w:eastAsia="lv-LV"/>
              </w:rPr>
            </w:pPr>
            <w:r w:rsidRPr="00005051">
              <w:rPr>
                <w:rFonts w:ascii="Times New Roman" w:hAnsi="Times New Roman" w:cs="Times New Roman"/>
                <w:sz w:val="24"/>
                <w:szCs w:val="24"/>
              </w:rPr>
              <w:t xml:space="preserve">Šādas preces var būt, piemēram, atkritumi, kuru apriti regulē </w:t>
            </w:r>
            <w:r w:rsidRPr="00005051">
              <w:rPr>
                <w:rFonts w:ascii="Times New Roman" w:hAnsi="Times New Roman" w:cs="Times New Roman"/>
                <w:vanish/>
                <w:sz w:val="24"/>
                <w:szCs w:val="24"/>
              </w:rPr>
              <w:t xml:space="preserve">1989.gada 22.marta </w:t>
            </w:r>
            <w:r w:rsidRPr="00005051">
              <w:rPr>
                <w:rFonts w:ascii="Times New Roman" w:hAnsi="Times New Roman" w:cs="Times New Roman"/>
                <w:sz w:val="24"/>
                <w:szCs w:val="24"/>
              </w:rPr>
              <w:t xml:space="preserve">1989.gada 22.marta Bāzeles Konvencija par kontroli pār kaitīgo atkritumu </w:t>
            </w:r>
            <w:proofErr w:type="spellStart"/>
            <w:r w:rsidRPr="00005051">
              <w:rPr>
                <w:rFonts w:ascii="Times New Roman" w:hAnsi="Times New Roman" w:cs="Times New Roman"/>
                <w:sz w:val="24"/>
                <w:szCs w:val="24"/>
              </w:rPr>
              <w:t>robežšķērsojošo</w:t>
            </w:r>
            <w:proofErr w:type="spellEnd"/>
            <w:r w:rsidRPr="00005051">
              <w:rPr>
                <w:rFonts w:ascii="Times New Roman" w:hAnsi="Times New Roman" w:cs="Times New Roman"/>
                <w:sz w:val="24"/>
                <w:szCs w:val="24"/>
              </w:rPr>
              <w:t xml:space="preserve"> transportēšanu un to aizvākšanu;  </w:t>
            </w:r>
            <w:r w:rsidRPr="00005051">
              <w:rPr>
                <w:rFonts w:ascii="Times New Roman" w:hAnsi="Times New Roman" w:cs="Times New Roman"/>
                <w:vanish/>
                <w:sz w:val="24"/>
                <w:szCs w:val="24"/>
              </w:rPr>
              <w:t xml:space="preserve">Eiropas Parlamenta un Padomes 2006.gada 14.jūnija </w:t>
            </w:r>
            <w:hyperlink r:id="rId9" w:tgtFrame="_blank" w:history="1">
              <w:r w:rsidRPr="00005051">
                <w:rPr>
                  <w:rFonts w:ascii="Times New Roman" w:hAnsi="Times New Roman" w:cs="Times New Roman"/>
                  <w:vanish/>
                  <w:sz w:val="24"/>
                  <w:szCs w:val="24"/>
                </w:rPr>
                <w:t>Regula Nr.1013/2006</w:t>
              </w:r>
            </w:hyperlink>
            <w:r w:rsidRPr="00005051">
              <w:rPr>
                <w:rFonts w:ascii="Times New Roman" w:hAnsi="Times New Roman" w:cs="Times New Roman"/>
                <w:vanish/>
                <w:sz w:val="24"/>
                <w:szCs w:val="24"/>
              </w:rPr>
              <w:t xml:space="preserve"> par atkritumu sūtījumiem</w:t>
            </w:r>
            <w:r w:rsidRPr="00005051">
              <w:rPr>
                <w:rFonts w:ascii="Times New Roman" w:hAnsi="Times New Roman" w:cs="Times New Roman"/>
                <w:sz w:val="24"/>
                <w:szCs w:val="24"/>
              </w:rPr>
              <w:t xml:space="preserve">Komisijas </w:t>
            </w:r>
            <w:r w:rsidRPr="00005051">
              <w:rPr>
                <w:rFonts w:ascii="Times New Roman" w:eastAsia="Times New Roman" w:hAnsi="Times New Roman" w:cs="Times New Roman"/>
                <w:bCs/>
                <w:sz w:val="24"/>
                <w:szCs w:val="24"/>
                <w:lang w:eastAsia="lv-LV"/>
              </w:rPr>
              <w:t>2007. gada 29. novembra</w:t>
            </w:r>
            <w:r w:rsidRPr="00005051">
              <w:rPr>
                <w:rFonts w:ascii="Times New Roman" w:hAnsi="Times New Roman" w:cs="Times New Roman"/>
                <w:sz w:val="24"/>
                <w:szCs w:val="24"/>
              </w:rPr>
              <w:t xml:space="preserve"> Regula (EK) Nr. 1418/2007 </w:t>
            </w:r>
            <w:r w:rsidRPr="00005051">
              <w:rPr>
                <w:rFonts w:ascii="Times New Roman" w:eastAsia="Times New Roman" w:hAnsi="Times New Roman" w:cs="Times New Roman"/>
                <w:sz w:val="24"/>
                <w:szCs w:val="24"/>
                <w:lang w:eastAsia="lv-LV"/>
              </w:rPr>
              <w:t xml:space="preserve">par Eiropas Parlamenta un Padomes Regulas (EK) Nr. 1013/2006 III vai IIIA pielikumā uzskaitītu dažu atkritumu eksportu reģenerācijai uz valstīm, uz kurām neattiecas ESAO Lēmums par atkritumu pārrobežu pārvietošanas kontroli, kā arī </w:t>
            </w:r>
            <w:r w:rsidRPr="00005051">
              <w:rPr>
                <w:rFonts w:ascii="Times New Roman" w:hAnsi="Times New Roman" w:cs="Times New Roman"/>
                <w:sz w:val="24"/>
                <w:szCs w:val="24"/>
              </w:rPr>
              <w:t xml:space="preserve">Komisijas </w:t>
            </w:r>
            <w:r w:rsidRPr="00005051">
              <w:rPr>
                <w:rFonts w:ascii="Times New Roman" w:eastAsia="Times New Roman" w:hAnsi="Times New Roman" w:cs="Times New Roman"/>
                <w:bCs/>
                <w:sz w:val="24"/>
                <w:szCs w:val="24"/>
                <w:lang w:eastAsia="lv-LV"/>
              </w:rPr>
              <w:t>2007. gada 29. novembra</w:t>
            </w:r>
            <w:r w:rsidRPr="00005051">
              <w:rPr>
                <w:rFonts w:ascii="Times New Roman" w:hAnsi="Times New Roman" w:cs="Times New Roman"/>
                <w:sz w:val="24"/>
                <w:szCs w:val="24"/>
              </w:rPr>
              <w:t xml:space="preserve"> Regula (EK) Nr. 1418/2007 </w:t>
            </w:r>
            <w:r w:rsidRPr="00005051">
              <w:rPr>
                <w:rFonts w:ascii="Times New Roman" w:eastAsia="Times New Roman" w:hAnsi="Times New Roman" w:cs="Times New Roman"/>
                <w:sz w:val="24"/>
                <w:szCs w:val="24"/>
                <w:lang w:eastAsia="lv-LV"/>
              </w:rPr>
              <w:t xml:space="preserve">par Eiropas Parlamenta un Padomes Regulas (EK) Nr. 1013/2006 III vai IIIA pielikumā uzskaitītu dažu atkritumu eksportu reģenerācijai uz valstīm, uz kurām neattiecas ESAO Lēmums par atkritumu pārrobežu pārvietošanas kontroli. Tāpat šādas preces var būt arī, piemēram, izstrādājumi no roņiem, kas minēti </w:t>
            </w:r>
            <w:r w:rsidRPr="00005051">
              <w:rPr>
                <w:rFonts w:ascii="Times New Roman" w:hAnsi="Times New Roman" w:cs="Times New Roman"/>
                <w:bCs/>
                <w:sz w:val="24"/>
                <w:szCs w:val="24"/>
              </w:rPr>
              <w:t xml:space="preserve">Eiropas Parlamenta un Padomes 2009. gada 16. septembra regulā (EK) Nr. 1007/2009 par tirdzniecību ar izstrādājumiem no roņiem un </w:t>
            </w:r>
            <w:r w:rsidRPr="00005051">
              <w:rPr>
                <w:rFonts w:ascii="Times New Roman" w:hAnsi="Times New Roman" w:cs="Times New Roman"/>
                <w:sz w:val="24"/>
                <w:szCs w:val="24"/>
              </w:rPr>
              <w:t xml:space="preserve"> </w:t>
            </w:r>
            <w:r w:rsidRPr="00005051">
              <w:rPr>
                <w:rFonts w:ascii="Times New Roman" w:hAnsi="Times New Roman" w:cs="Times New Roman"/>
                <w:bCs/>
                <w:sz w:val="24"/>
                <w:szCs w:val="24"/>
              </w:rPr>
              <w:t xml:space="preserve">Komisijas Īstenošanas 2015. gada 13. oktobra regulā (ES) 2015/1850, ar ko nosaka sīki izstrādātus noteikumus, lai īstenotu Eiropas Parlamenta un Padomes Regulu (EK) Nr. 1007/2009 par tirdzniecību ar izstrādājumiem no roņiem. Ar citām šāda </w:t>
            </w:r>
            <w:proofErr w:type="spellStart"/>
            <w:r w:rsidRPr="00005051">
              <w:rPr>
                <w:rFonts w:ascii="Times New Roman" w:hAnsi="Times New Roman" w:cs="Times New Roman"/>
                <w:bCs/>
                <w:sz w:val="24"/>
                <w:szCs w:val="24"/>
              </w:rPr>
              <w:t>veidām</w:t>
            </w:r>
            <w:proofErr w:type="spellEnd"/>
            <w:r w:rsidRPr="00005051">
              <w:rPr>
                <w:rFonts w:ascii="Times New Roman" w:hAnsi="Times New Roman" w:cs="Times New Roman"/>
                <w:bCs/>
                <w:sz w:val="24"/>
                <w:szCs w:val="24"/>
              </w:rPr>
              <w:t xml:space="preserve"> precēm un normatīvajiem aktiem, kas nosaka to apriti var iepazīties Valsts ieņēmumu dienesta tīmekļa vietnē </w:t>
            </w:r>
            <w:hyperlink r:id="rId10" w:history="1">
              <w:r w:rsidRPr="00005051">
                <w:rPr>
                  <w:rStyle w:val="Hyperlink"/>
                  <w:rFonts w:ascii="Times New Roman" w:eastAsia="Times New Roman" w:hAnsi="Times New Roman" w:cs="Times New Roman"/>
                  <w:sz w:val="24"/>
                  <w:szCs w:val="24"/>
                  <w:lang w:eastAsia="lv-LV"/>
                </w:rPr>
                <w:t>https://www.vid.gov.lv/lv/ierobezojumi-un-aizliegumi-precu-parvietosanai</w:t>
              </w:r>
            </w:hyperlink>
          </w:p>
          <w:p w14:paraId="609D9EA7"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Papildus informējam, ka ierobežojumi, kas ir spēkā uz 2017.gada 2.augustu, ir šādi:</w:t>
            </w:r>
          </w:p>
          <w:p w14:paraId="19DC4F0D"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 </w:t>
            </w:r>
            <w:proofErr w:type="spellStart"/>
            <w:r w:rsidRPr="00005051">
              <w:rPr>
                <w:rFonts w:ascii="Times New Roman" w:hAnsi="Times New Roman" w:cs="Times New Roman"/>
                <w:sz w:val="24"/>
                <w:szCs w:val="24"/>
              </w:rPr>
              <w:t>Fluorētās</w:t>
            </w:r>
            <w:proofErr w:type="spellEnd"/>
            <w:r w:rsidRPr="00005051">
              <w:rPr>
                <w:rFonts w:ascii="Times New Roman" w:hAnsi="Times New Roman" w:cs="Times New Roman"/>
                <w:sz w:val="24"/>
                <w:szCs w:val="24"/>
              </w:rPr>
              <w:t xml:space="preserve"> siltumnīcefekta gāzes;</w:t>
            </w:r>
          </w:p>
          <w:p w14:paraId="33D16C28"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Ozona slāni noārdošās vielas;</w:t>
            </w:r>
          </w:p>
          <w:p w14:paraId="042F0A7C"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 </w:t>
            </w:r>
            <w:proofErr w:type="spellStart"/>
            <w:r w:rsidRPr="00005051">
              <w:rPr>
                <w:rFonts w:ascii="Times New Roman" w:hAnsi="Times New Roman" w:cs="Times New Roman"/>
                <w:sz w:val="24"/>
                <w:szCs w:val="24"/>
              </w:rPr>
              <w:t>Dzīvsdrabs</w:t>
            </w:r>
            <w:proofErr w:type="spellEnd"/>
            <w:r w:rsidRPr="00005051">
              <w:rPr>
                <w:rFonts w:ascii="Times New Roman" w:hAnsi="Times New Roman" w:cs="Times New Roman"/>
                <w:sz w:val="24"/>
                <w:szCs w:val="24"/>
              </w:rPr>
              <w:t>;</w:t>
            </w:r>
          </w:p>
          <w:p w14:paraId="1BB1E342"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Bīstamās ķīmiskās vielas;</w:t>
            </w:r>
          </w:p>
          <w:p w14:paraId="126814E6"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Ar REACH regulu ierobežotās ķīmiskās vielas;</w:t>
            </w:r>
          </w:p>
          <w:p w14:paraId="3DF67EB1"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Atkritumi;</w:t>
            </w:r>
          </w:p>
          <w:p w14:paraId="34671C8D"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Jonizējošā starojuma avoti;</w:t>
            </w:r>
          </w:p>
          <w:p w14:paraId="72BF154D"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Aizsargājamie savvaļas augu un dzīvnieku sugu īpatņi;</w:t>
            </w:r>
          </w:p>
          <w:p w14:paraId="27A12123"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Kokmateriāli (FLEGT);</w:t>
            </w:r>
          </w:p>
          <w:p w14:paraId="6B81006C"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Narkotisko, psihotropo vielu prekursori;</w:t>
            </w:r>
          </w:p>
          <w:p w14:paraId="4EFA1EBA"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Medikamenti;</w:t>
            </w:r>
          </w:p>
          <w:p w14:paraId="6C79AA32"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Narkotiskās un psihotropās vielas;</w:t>
            </w:r>
          </w:p>
          <w:p w14:paraId="12833E32"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Preču drošums;</w:t>
            </w:r>
          </w:p>
          <w:p w14:paraId="4FF5CBB8"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Stratēģiskas nozīmes preces,</w:t>
            </w:r>
          </w:p>
          <w:p w14:paraId="23953D98"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Augu aizsardzības līdzekļi;</w:t>
            </w:r>
          </w:p>
          <w:p w14:paraId="2F68AB57"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Mēslošanas līdzekļi;</w:t>
            </w:r>
          </w:p>
          <w:p w14:paraId="5D81E825"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lastRenderedPageBreak/>
              <w:t>- Savvaļas dzīvnieku sugu kažokādas un gatavās preces no valstīm, kurās tos ķer ar kāju lamatām vai slazdošanas metodēm;</w:t>
            </w:r>
          </w:p>
          <w:p w14:paraId="5BB3AE7A"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Roņi un izstrādājumi no tiem;</w:t>
            </w:r>
          </w:p>
          <w:p w14:paraId="173972C3"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Kultūras priekšmeti;</w:t>
            </w:r>
          </w:p>
          <w:p w14:paraId="11F460A9"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Preces, kuras varētu izmantot nāvessoda izpildei, spīdzināšanai vai citādai nežēlīgai, necilvēcīgai vai pazemojošai rīcībai vai sodīšanai;</w:t>
            </w:r>
          </w:p>
          <w:p w14:paraId="672CE140"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Ieroči, to būtiskās sastāvdaļas un munīcija;</w:t>
            </w:r>
          </w:p>
          <w:p w14:paraId="3FCA3462"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Sprāgstvielu prekursori;</w:t>
            </w:r>
          </w:p>
          <w:p w14:paraId="4B486F2A"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Dimanti;</w:t>
            </w:r>
          </w:p>
          <w:p w14:paraId="34DD76C0"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 </w:t>
            </w:r>
            <w:proofErr w:type="spellStart"/>
            <w:r w:rsidRPr="00005051">
              <w:rPr>
                <w:rFonts w:ascii="Times New Roman" w:hAnsi="Times New Roman" w:cs="Times New Roman"/>
                <w:sz w:val="24"/>
                <w:szCs w:val="24"/>
              </w:rPr>
              <w:t>Invazīvās</w:t>
            </w:r>
            <w:proofErr w:type="spellEnd"/>
            <w:r w:rsidRPr="00005051">
              <w:rPr>
                <w:rFonts w:ascii="Times New Roman" w:hAnsi="Times New Roman" w:cs="Times New Roman"/>
                <w:sz w:val="24"/>
                <w:szCs w:val="24"/>
              </w:rPr>
              <w:t xml:space="preserve"> sugas;</w:t>
            </w:r>
          </w:p>
          <w:p w14:paraId="2F216B15"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Dzelzs un tērauda izstrādājumi;</w:t>
            </w:r>
          </w:p>
          <w:p w14:paraId="3015DB79"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Kaķu un suņu kažokādas;</w:t>
            </w:r>
          </w:p>
          <w:p w14:paraId="51917870" w14:textId="77777777" w:rsidR="00A21EFA" w:rsidRPr="00005051" w:rsidRDefault="00A21EFA" w:rsidP="00A21EFA">
            <w:pPr>
              <w:spacing w:after="0"/>
              <w:ind w:left="57" w:right="57"/>
              <w:rPr>
                <w:rFonts w:ascii="Times New Roman" w:hAnsi="Times New Roman" w:cs="Times New Roman"/>
                <w:sz w:val="24"/>
                <w:szCs w:val="24"/>
              </w:rPr>
            </w:pPr>
            <w:r w:rsidRPr="00005051">
              <w:rPr>
                <w:rFonts w:ascii="Times New Roman" w:hAnsi="Times New Roman" w:cs="Times New Roman"/>
                <w:sz w:val="24"/>
                <w:szCs w:val="24"/>
              </w:rPr>
              <w:t>- ES, ANO, NATO, EDSO sankcijas, kā arī ierobežojumi attiecībā uz preču saņēmēju vai saņēmējvalsti, nosūtītāju vai nosūtītājvalsti.</w:t>
            </w:r>
          </w:p>
          <w:p w14:paraId="467F37DC" w14:textId="4135BA12" w:rsidR="006A45B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675C1B" w:rsidRPr="00005051">
              <w:rPr>
                <w:rFonts w:ascii="Times New Roman" w:hAnsi="Times New Roman" w:cs="Times New Roman"/>
                <w:bCs/>
                <w:iCs/>
                <w:sz w:val="24"/>
                <w:szCs w:val="24"/>
              </w:rPr>
              <w:t>2</w:t>
            </w:r>
            <w:r w:rsidRPr="00005051">
              <w:rPr>
                <w:rFonts w:ascii="Times New Roman" w:hAnsi="Times New Roman" w:cs="Times New Roman"/>
                <w:bCs/>
                <w:iCs/>
                <w:sz w:val="24"/>
                <w:szCs w:val="24"/>
              </w:rPr>
              <w:t>.</w:t>
            </w:r>
            <w:r w:rsidR="004B3DE1" w:rsidRPr="00005051">
              <w:rPr>
                <w:rFonts w:ascii="Times New Roman" w:hAnsi="Times New Roman" w:cs="Times New Roman"/>
                <w:bCs/>
                <w:iCs/>
                <w:sz w:val="24"/>
                <w:szCs w:val="24"/>
              </w:rPr>
              <w:t>no</w:t>
            </w:r>
            <w:r w:rsidRPr="00005051">
              <w:rPr>
                <w:rFonts w:ascii="Times New Roman" w:hAnsi="Times New Roman" w:cs="Times New Roman"/>
                <w:bCs/>
                <w:iCs/>
                <w:sz w:val="24"/>
                <w:szCs w:val="24"/>
              </w:rPr>
              <w:t>daļā ietverti atsevišķi atļaujas izsniegšanas, grozījumu izdarīšanas, apturēšanas un anulēšanas nosacījumi vienkāršotās deklarācijas izmantošanai.</w:t>
            </w:r>
            <w:r w:rsidR="006A45B4" w:rsidRPr="00005051">
              <w:rPr>
                <w:rFonts w:ascii="Times New Roman" w:hAnsi="Times New Roman" w:cs="Times New Roman"/>
                <w:bCs/>
                <w:iCs/>
                <w:sz w:val="24"/>
                <w:szCs w:val="24"/>
              </w:rPr>
              <w:t xml:space="preserve"> </w:t>
            </w:r>
            <w:r w:rsidR="006A45B4" w:rsidRPr="00005051">
              <w:rPr>
                <w:rFonts w:ascii="Times New Roman" w:eastAsia="Times New Roman" w:hAnsi="Times New Roman" w:cs="Times New Roman"/>
                <w:color w:val="000000"/>
                <w:sz w:val="24"/>
                <w:szCs w:val="24"/>
                <w:lang w:eastAsia="lv-LV"/>
              </w:rPr>
              <w:t xml:space="preserve">No 2016.gada 1.maija vienkāršotā deklarāciju un nepilnā deklarācija kļūst par vienu muitas vienkāršojumu veidu – vienkāršoto deklarāciju. Atšķiras tās izmantojums – neregulāra (bez atļaujas) vai regulāra izmantošana (nepieciešama atļauja). </w:t>
            </w:r>
            <w:r w:rsidR="006A45B4" w:rsidRPr="00005051">
              <w:rPr>
                <w:rFonts w:ascii="Times New Roman" w:eastAsia="Times New Roman" w:hAnsi="Times New Roman" w:cs="Times New Roman"/>
                <w:sz w:val="24"/>
                <w:szCs w:val="24"/>
                <w:lang w:eastAsia="lv-LV"/>
              </w:rPr>
              <w:t>Vienkāršota muitas deklarācija</w:t>
            </w:r>
            <w:r w:rsidR="006A45B4" w:rsidRPr="00005051">
              <w:rPr>
                <w:rFonts w:ascii="Times New Roman" w:eastAsia="Times New Roman" w:hAnsi="Times New Roman" w:cs="Times New Roman"/>
                <w:bCs/>
                <w:sz w:val="24"/>
                <w:szCs w:val="24"/>
                <w:lang w:eastAsia="lv-LV"/>
              </w:rPr>
              <w:t xml:space="preserve"> </w:t>
            </w:r>
            <w:r w:rsidR="006A45B4" w:rsidRPr="00005051">
              <w:rPr>
                <w:rFonts w:ascii="Times New Roman" w:eastAsia="Times New Roman" w:hAnsi="Times New Roman" w:cs="Times New Roman"/>
                <w:sz w:val="24"/>
                <w:szCs w:val="24"/>
                <w:lang w:eastAsia="lv-LV"/>
              </w:rPr>
              <w:t>ir muitas deklarācija, kurā nav dažu standarta muitas deklarācijas datu vai nav pievienoti daži pavaddokumenti, kas vajadzīgi muitas procedūras piemērošanai.</w:t>
            </w:r>
          </w:p>
          <w:p w14:paraId="0F38461F" w14:textId="782D4C0C"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B62331" w:rsidRPr="00005051">
              <w:rPr>
                <w:rFonts w:ascii="Times New Roman" w:hAnsi="Times New Roman" w:cs="Times New Roman"/>
                <w:bCs/>
                <w:iCs/>
                <w:sz w:val="24"/>
                <w:szCs w:val="24"/>
              </w:rPr>
              <w:t>5</w:t>
            </w:r>
            <w:r w:rsidRPr="00005051">
              <w:rPr>
                <w:rFonts w:ascii="Times New Roman" w:hAnsi="Times New Roman" w:cs="Times New Roman"/>
                <w:bCs/>
                <w:iCs/>
                <w:sz w:val="24"/>
                <w:szCs w:val="24"/>
              </w:rPr>
              <w:t xml:space="preserve">.punktā noteikts, ka </w:t>
            </w:r>
            <w:r w:rsidR="00B62331" w:rsidRPr="00005051">
              <w:rPr>
                <w:rFonts w:ascii="Times New Roman" w:hAnsi="Times New Roman" w:cs="Times New Roman"/>
                <w:bCs/>
                <w:iCs/>
                <w:sz w:val="24"/>
                <w:szCs w:val="24"/>
              </w:rPr>
              <w:t>iesniegums</w:t>
            </w:r>
            <w:r w:rsidR="001D23A0" w:rsidRPr="00005051">
              <w:rPr>
                <w:rFonts w:ascii="Times New Roman" w:hAnsi="Times New Roman" w:cs="Times New Roman"/>
                <w:bCs/>
                <w:iCs/>
                <w:sz w:val="24"/>
                <w:szCs w:val="24"/>
              </w:rPr>
              <w:t xml:space="preserve"> atļaujas vienkāršotās deklarācijas izmantošanai saņemšanai</w:t>
            </w:r>
            <w:r w:rsidRPr="00005051">
              <w:rPr>
                <w:rFonts w:ascii="Times New Roman" w:hAnsi="Times New Roman" w:cs="Times New Roman"/>
                <w:bCs/>
                <w:iCs/>
                <w:sz w:val="24"/>
                <w:szCs w:val="24"/>
              </w:rPr>
              <w:t xml:space="preserve"> ir jāiesniedz saskaņā ar regulas Nr.2015/2446 2.panta 7.punkta “a” apakšpunkta nosacījumiem, izmantojot regulas 2016/341 12.pielikumā iekļauto </w:t>
            </w:r>
            <w:r w:rsidR="00B62331" w:rsidRPr="00005051">
              <w:rPr>
                <w:rFonts w:ascii="Times New Roman" w:hAnsi="Times New Roman" w:cs="Times New Roman"/>
                <w:bCs/>
                <w:iCs/>
                <w:sz w:val="24"/>
                <w:szCs w:val="24"/>
              </w:rPr>
              <w:t>iesnieguma</w:t>
            </w:r>
            <w:r w:rsidRPr="00005051">
              <w:rPr>
                <w:rFonts w:ascii="Times New Roman" w:hAnsi="Times New Roman" w:cs="Times New Roman"/>
                <w:bCs/>
                <w:iCs/>
                <w:sz w:val="24"/>
                <w:szCs w:val="24"/>
              </w:rPr>
              <w:t xml:space="preserve"> veidlapas paraugu. </w:t>
            </w:r>
          </w:p>
          <w:p w14:paraId="4EF552A6" w14:textId="50EFC00D" w:rsidR="005D1CAF" w:rsidRPr="00005051" w:rsidRDefault="004A01F4" w:rsidP="00540274">
            <w:pPr>
              <w:spacing w:before="120" w:after="0"/>
              <w:ind w:left="57" w:right="57"/>
              <w:rPr>
                <w:rFonts w:ascii="Times New Roman" w:hAnsi="Times New Roman" w:cs="Times New Roman"/>
                <w:sz w:val="24"/>
                <w:szCs w:val="24"/>
              </w:rPr>
            </w:pPr>
            <w:r w:rsidRPr="00005051">
              <w:rPr>
                <w:rFonts w:ascii="Times New Roman" w:hAnsi="Times New Roman" w:cs="Times New Roman"/>
                <w:bCs/>
                <w:iCs/>
                <w:sz w:val="24"/>
                <w:szCs w:val="24"/>
              </w:rPr>
              <w:t xml:space="preserve">Iesniedzot vienkāršoto deklarāciju, preces izlaiž, </w:t>
            </w:r>
            <w:r w:rsidRPr="00005051">
              <w:rPr>
                <w:rStyle w:val="sadalasteksts"/>
                <w:rFonts w:ascii="Times New Roman" w:hAnsi="Times New Roman" w:cs="Times New Roman"/>
                <w:sz w:val="24"/>
                <w:szCs w:val="24"/>
              </w:rPr>
              <w:t>ja ir samaksāta muitas parādam atbilstīgā ievedmuitas vai izvedmuitas nodokļa summa</w:t>
            </w:r>
            <w:r w:rsidR="00B62331" w:rsidRPr="00005051">
              <w:rPr>
                <w:rStyle w:val="sadalasteksts"/>
                <w:rFonts w:ascii="Times New Roman" w:hAnsi="Times New Roman" w:cs="Times New Roman"/>
                <w:sz w:val="24"/>
                <w:szCs w:val="24"/>
              </w:rPr>
              <w:t>,</w:t>
            </w:r>
            <w:r w:rsidRPr="00005051">
              <w:rPr>
                <w:rStyle w:val="sadalasteksts"/>
                <w:rFonts w:ascii="Times New Roman" w:hAnsi="Times New Roman" w:cs="Times New Roman"/>
                <w:sz w:val="24"/>
                <w:szCs w:val="24"/>
              </w:rPr>
              <w:t xml:space="preserve"> vai</w:t>
            </w:r>
            <w:r w:rsidR="00635FDA" w:rsidRPr="00005051">
              <w:rPr>
                <w:rStyle w:val="sadalasteksts"/>
                <w:rFonts w:ascii="Times New Roman" w:hAnsi="Times New Roman" w:cs="Times New Roman"/>
                <w:sz w:val="24"/>
                <w:szCs w:val="24"/>
              </w:rPr>
              <w:t>,</w:t>
            </w:r>
            <w:r w:rsidRPr="00005051">
              <w:rPr>
                <w:rStyle w:val="sadalasteksts"/>
                <w:rFonts w:ascii="Times New Roman" w:hAnsi="Times New Roman" w:cs="Times New Roman"/>
                <w:sz w:val="24"/>
                <w:szCs w:val="24"/>
              </w:rPr>
              <w:t xml:space="preserve"> ja ir sniegts galvojums muitas parāda vai iespējamā muitas parāda segšanai atbilstoši piemērotai muitas procedūrai.</w:t>
            </w:r>
            <w:r w:rsidRPr="00005051">
              <w:rPr>
                <w:rFonts w:ascii="Times New Roman" w:hAnsi="Times New Roman" w:cs="Times New Roman"/>
                <w:bCs/>
                <w:iCs/>
                <w:sz w:val="24"/>
                <w:szCs w:val="24"/>
              </w:rPr>
              <w:t xml:space="preserve"> Tā kā vienkāršotās deklarācijas piemērošanas sākuma posmā (C tipa deklarācija) muitai netiek iesniegti dati detalizētai muitas maksājumu aprēķināšanai, ir jāsniedz galvojums muitas parāda vai iespējamā muitas parāda segšanai, jo izlaišanas brīdī muitas maksājumi netiek ieka</w:t>
            </w:r>
            <w:r w:rsidR="00B62331" w:rsidRPr="00005051">
              <w:rPr>
                <w:rFonts w:ascii="Times New Roman" w:hAnsi="Times New Roman" w:cs="Times New Roman"/>
                <w:bCs/>
                <w:iCs/>
                <w:sz w:val="24"/>
                <w:szCs w:val="24"/>
              </w:rPr>
              <w:t>sēti. Tāpēc noteikumu projekta 6</w:t>
            </w:r>
            <w:r w:rsidRPr="00005051">
              <w:rPr>
                <w:rFonts w:ascii="Times New Roman" w:hAnsi="Times New Roman" w:cs="Times New Roman"/>
                <w:bCs/>
                <w:iCs/>
                <w:sz w:val="24"/>
                <w:szCs w:val="24"/>
              </w:rPr>
              <w:t xml:space="preserve">.punktā noteikta prasība </w:t>
            </w:r>
            <w:r w:rsidR="00635FDA" w:rsidRPr="00005051">
              <w:rPr>
                <w:rFonts w:ascii="Times New Roman" w:hAnsi="Times New Roman" w:cs="Times New Roman"/>
                <w:bCs/>
                <w:iCs/>
                <w:sz w:val="24"/>
                <w:szCs w:val="24"/>
              </w:rPr>
              <w:t>iesnieguma</w:t>
            </w:r>
            <w:r w:rsidRPr="00005051">
              <w:rPr>
                <w:rFonts w:ascii="Times New Roman" w:hAnsi="Times New Roman" w:cs="Times New Roman"/>
                <w:bCs/>
                <w:iCs/>
                <w:sz w:val="24"/>
                <w:szCs w:val="24"/>
              </w:rPr>
              <w:t xml:space="preserve"> iesniedzējam norādīt </w:t>
            </w:r>
            <w:r w:rsidR="00B62331" w:rsidRPr="00005051">
              <w:rPr>
                <w:rFonts w:ascii="Times New Roman" w:hAnsi="Times New Roman" w:cs="Times New Roman"/>
                <w:bCs/>
                <w:iCs/>
                <w:sz w:val="24"/>
                <w:szCs w:val="24"/>
              </w:rPr>
              <w:t>iesnieguma</w:t>
            </w:r>
            <w:r w:rsidRPr="00005051">
              <w:rPr>
                <w:rFonts w:ascii="Times New Roman" w:hAnsi="Times New Roman" w:cs="Times New Roman"/>
                <w:bCs/>
                <w:iCs/>
                <w:sz w:val="24"/>
                <w:szCs w:val="24"/>
              </w:rPr>
              <w:t xml:space="preserve"> iesniedzēja vispārējā galvojuma atsauces numuru vai lēmuma par atbrīvojumu no galvojuma numuru, ko paredzēts izmantot vienkāršotai deklarēšanai</w:t>
            </w:r>
            <w:r w:rsidR="00B908F9" w:rsidRPr="00005051">
              <w:rPr>
                <w:rFonts w:ascii="Times New Roman" w:hAnsi="Times New Roman" w:cs="Times New Roman"/>
                <w:bCs/>
                <w:iCs/>
                <w:sz w:val="24"/>
                <w:szCs w:val="24"/>
              </w:rPr>
              <w:t>, piemērojot muitas procedūru – laišana brīvā apgrozībā.</w:t>
            </w:r>
            <w:r w:rsidR="003F44BB" w:rsidRPr="00005051">
              <w:rPr>
                <w:rFonts w:ascii="Times New Roman" w:hAnsi="Times New Roman" w:cs="Times New Roman"/>
                <w:bCs/>
                <w:iCs/>
                <w:sz w:val="24"/>
                <w:szCs w:val="24"/>
              </w:rPr>
              <w:t xml:space="preserve"> </w:t>
            </w:r>
          </w:p>
          <w:p w14:paraId="400F080B" w14:textId="596EA9CE" w:rsidR="004A01F4" w:rsidRPr="00005051" w:rsidRDefault="004A01F4" w:rsidP="009C19F3">
            <w:pPr>
              <w:spacing w:before="120" w:after="0"/>
              <w:ind w:left="57" w:right="57"/>
              <w:rPr>
                <w:rFonts w:ascii="Times New Roman" w:hAnsi="Times New Roman" w:cs="Times New Roman"/>
                <w:sz w:val="24"/>
                <w:szCs w:val="24"/>
              </w:rPr>
            </w:pPr>
            <w:r w:rsidRPr="00005051">
              <w:rPr>
                <w:rFonts w:ascii="Times New Roman" w:hAnsi="Times New Roman" w:cs="Times New Roman"/>
                <w:bCs/>
                <w:iCs/>
                <w:sz w:val="24"/>
                <w:szCs w:val="24"/>
              </w:rPr>
              <w:t xml:space="preserve">Noteikumu projekta </w:t>
            </w:r>
            <w:r w:rsidR="006E6A84" w:rsidRPr="00005051">
              <w:rPr>
                <w:rFonts w:ascii="Times New Roman" w:hAnsi="Times New Roman" w:cs="Times New Roman"/>
                <w:bCs/>
                <w:iCs/>
                <w:sz w:val="24"/>
                <w:szCs w:val="24"/>
              </w:rPr>
              <w:t>9</w:t>
            </w:r>
            <w:r w:rsidRPr="00005051">
              <w:rPr>
                <w:rFonts w:ascii="Times New Roman" w:hAnsi="Times New Roman" w:cs="Times New Roman"/>
                <w:bCs/>
                <w:iCs/>
                <w:sz w:val="24"/>
                <w:szCs w:val="24"/>
              </w:rPr>
              <w:t>.punktā noteikts, ka</w:t>
            </w:r>
            <w:r w:rsidRPr="00005051">
              <w:rPr>
                <w:rFonts w:ascii="Times New Roman" w:hAnsi="Times New Roman" w:cs="Times New Roman"/>
                <w:sz w:val="24"/>
                <w:szCs w:val="24"/>
              </w:rPr>
              <w:t xml:space="preserve"> atļaujas izmantot vienkāršotu deklarāciju turētājs par visām izmaiņām atļaujas saņemšanai iesniegtajā </w:t>
            </w:r>
            <w:r w:rsidR="006E6A84" w:rsidRPr="00005051">
              <w:rPr>
                <w:rFonts w:ascii="Times New Roman" w:hAnsi="Times New Roman" w:cs="Times New Roman"/>
                <w:sz w:val="24"/>
                <w:szCs w:val="24"/>
              </w:rPr>
              <w:t>iesniegumā</w:t>
            </w:r>
            <w:r w:rsidRPr="00005051">
              <w:rPr>
                <w:rFonts w:ascii="Times New Roman" w:hAnsi="Times New Roman" w:cs="Times New Roman"/>
                <w:sz w:val="24"/>
                <w:szCs w:val="24"/>
              </w:rPr>
              <w:t xml:space="preserve"> un tam pievienotajos dokumentos rakstiski informē Valsts ieņēmumu dienestu. </w:t>
            </w:r>
          </w:p>
          <w:p w14:paraId="1BB46298" w14:textId="0B459FE4" w:rsidR="004A01F4" w:rsidRPr="00005051" w:rsidRDefault="004A01F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sz w:val="24"/>
                <w:szCs w:val="24"/>
              </w:rPr>
              <w:lastRenderedPageBreak/>
              <w:t>Tā kā vispārējie procedūras noteikumi par lēmuma pieņemšanu un pārraudzību, labvēlīgu lēmumu anulēšanu, atcelšanu un grozīšanu ir noteikti regul</w:t>
            </w:r>
            <w:r w:rsidR="00BF35C5" w:rsidRPr="00005051">
              <w:rPr>
                <w:rFonts w:ascii="Times New Roman" w:hAnsi="Times New Roman" w:cs="Times New Roman"/>
                <w:sz w:val="24"/>
                <w:szCs w:val="24"/>
              </w:rPr>
              <w:t>as</w:t>
            </w:r>
            <w:r w:rsidRPr="00005051">
              <w:rPr>
                <w:rFonts w:ascii="Times New Roman" w:hAnsi="Times New Roman" w:cs="Times New Roman"/>
                <w:sz w:val="24"/>
                <w:szCs w:val="24"/>
              </w:rPr>
              <w:t xml:space="preserve"> Nr.952/2013</w:t>
            </w:r>
            <w:r w:rsidR="00BF35C5" w:rsidRPr="00005051">
              <w:rPr>
                <w:rFonts w:ascii="Times New Roman" w:hAnsi="Times New Roman" w:cs="Times New Roman"/>
                <w:sz w:val="24"/>
                <w:szCs w:val="24"/>
              </w:rPr>
              <w:t xml:space="preserve"> 23.-32.pantos</w:t>
            </w:r>
            <w:r w:rsidRPr="00005051">
              <w:rPr>
                <w:rFonts w:ascii="Times New Roman" w:hAnsi="Times New Roman" w:cs="Times New Roman"/>
                <w:sz w:val="24"/>
                <w:szCs w:val="24"/>
              </w:rPr>
              <w:t xml:space="preserve">, </w:t>
            </w:r>
            <w:r w:rsidR="00BF35C5" w:rsidRPr="00005051">
              <w:rPr>
                <w:rFonts w:ascii="Times New Roman" w:hAnsi="Times New Roman" w:cs="Times New Roman"/>
                <w:iCs/>
                <w:sz w:val="24"/>
                <w:szCs w:val="24"/>
              </w:rPr>
              <w:t>regulas</w:t>
            </w:r>
            <w:r w:rsidRPr="00005051">
              <w:rPr>
                <w:rFonts w:ascii="Times New Roman" w:hAnsi="Times New Roman" w:cs="Times New Roman"/>
                <w:iCs/>
                <w:sz w:val="24"/>
                <w:szCs w:val="24"/>
              </w:rPr>
              <w:t xml:space="preserve"> Nr.2015/2446</w:t>
            </w:r>
            <w:r w:rsidR="00BF35C5" w:rsidRPr="00005051">
              <w:rPr>
                <w:rFonts w:ascii="Times New Roman" w:hAnsi="Times New Roman" w:cs="Times New Roman"/>
                <w:iCs/>
                <w:sz w:val="24"/>
                <w:szCs w:val="24"/>
              </w:rPr>
              <w:t xml:space="preserve"> 15.-18.pantos un regulas</w:t>
            </w:r>
            <w:r w:rsidRPr="00005051">
              <w:rPr>
                <w:rFonts w:ascii="Times New Roman" w:hAnsi="Times New Roman" w:cs="Times New Roman"/>
                <w:iCs/>
                <w:sz w:val="24"/>
                <w:szCs w:val="24"/>
              </w:rPr>
              <w:t xml:space="preserve"> Nr.2015/2447</w:t>
            </w:r>
            <w:r w:rsidR="00BF35C5" w:rsidRPr="00005051">
              <w:rPr>
                <w:rFonts w:ascii="Times New Roman" w:hAnsi="Times New Roman" w:cs="Times New Roman"/>
                <w:iCs/>
                <w:sz w:val="24"/>
                <w:szCs w:val="24"/>
              </w:rPr>
              <w:t xml:space="preserve"> 15.pantā</w:t>
            </w:r>
            <w:r w:rsidRPr="00005051">
              <w:rPr>
                <w:rFonts w:ascii="Times New Roman" w:hAnsi="Times New Roman" w:cs="Times New Roman"/>
                <w:iCs/>
                <w:sz w:val="24"/>
                <w:szCs w:val="24"/>
              </w:rPr>
              <w:t xml:space="preserve">, tad noteikumu projekta </w:t>
            </w:r>
            <w:r w:rsidR="006E6A84" w:rsidRPr="00005051">
              <w:rPr>
                <w:rFonts w:ascii="Times New Roman" w:hAnsi="Times New Roman" w:cs="Times New Roman"/>
                <w:iCs/>
                <w:sz w:val="24"/>
                <w:szCs w:val="24"/>
              </w:rPr>
              <w:t>10</w:t>
            </w:r>
            <w:r w:rsidRPr="00005051">
              <w:rPr>
                <w:rFonts w:ascii="Times New Roman" w:hAnsi="Times New Roman" w:cs="Times New Roman"/>
                <w:iCs/>
                <w:sz w:val="24"/>
                <w:szCs w:val="24"/>
              </w:rPr>
              <w:t>.punktā ir noteikti konkrēti gadījumi, kādos Valsts ieņēmumu dienests pieņem lēmumu par atļaujas izmantot vienkāršotu deklarāciju</w:t>
            </w:r>
            <w:r w:rsidRPr="00005051" w:rsidDel="00317DAB">
              <w:rPr>
                <w:rFonts w:ascii="Times New Roman" w:hAnsi="Times New Roman" w:cs="Times New Roman"/>
                <w:iCs/>
                <w:sz w:val="24"/>
                <w:szCs w:val="24"/>
              </w:rPr>
              <w:t xml:space="preserve"> </w:t>
            </w:r>
            <w:r w:rsidRPr="00005051">
              <w:rPr>
                <w:rFonts w:ascii="Times New Roman" w:hAnsi="Times New Roman" w:cs="Times New Roman"/>
                <w:iCs/>
                <w:sz w:val="24"/>
                <w:szCs w:val="24"/>
              </w:rPr>
              <w:t xml:space="preserve"> apturēšanu</w:t>
            </w:r>
            <w:r w:rsidR="009C7DB9" w:rsidRPr="00005051">
              <w:rPr>
                <w:rFonts w:ascii="Times New Roman" w:hAnsi="Times New Roman" w:cs="Times New Roman"/>
                <w:iCs/>
                <w:sz w:val="24"/>
                <w:szCs w:val="24"/>
              </w:rPr>
              <w:t>, savukārt 12.punkts nosaka atļaujas anulēšanas kritērijus.</w:t>
            </w:r>
            <w:r w:rsidRPr="00005051">
              <w:rPr>
                <w:rFonts w:ascii="Times New Roman" w:hAnsi="Times New Roman" w:cs="Times New Roman"/>
                <w:iCs/>
                <w:sz w:val="24"/>
                <w:szCs w:val="24"/>
              </w:rPr>
              <w:t xml:space="preserve"> </w:t>
            </w:r>
          </w:p>
          <w:p w14:paraId="710B5DD2" w14:textId="32BF01DD" w:rsidR="00A60C11" w:rsidRPr="00005051" w:rsidRDefault="00A60C11"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Noteikumu projekta 1</w:t>
            </w:r>
            <w:r w:rsidR="006E6A84" w:rsidRPr="00005051">
              <w:rPr>
                <w:rFonts w:ascii="Times New Roman" w:hAnsi="Times New Roman" w:cs="Times New Roman"/>
                <w:sz w:val="24"/>
                <w:szCs w:val="24"/>
              </w:rPr>
              <w:t>1</w:t>
            </w:r>
            <w:r w:rsidRPr="00005051">
              <w:rPr>
                <w:rFonts w:ascii="Times New Roman" w:hAnsi="Times New Roman" w:cs="Times New Roman"/>
                <w:sz w:val="24"/>
                <w:szCs w:val="24"/>
              </w:rPr>
              <w:t xml:space="preserve">.punktā noteikts, ka Valsts ieņēmumu dienests atjauno </w:t>
            </w:r>
            <w:r w:rsidR="005F22A2" w:rsidRPr="00005051">
              <w:rPr>
                <w:rFonts w:ascii="Times New Roman" w:hAnsi="Times New Roman" w:cs="Times New Roman"/>
                <w:sz w:val="24"/>
                <w:szCs w:val="24"/>
              </w:rPr>
              <w:t>atļauju izmantot vienkāršotu deklarāciju</w:t>
            </w:r>
            <w:r w:rsidRPr="00005051">
              <w:rPr>
                <w:rFonts w:ascii="Times New Roman" w:hAnsi="Times New Roman" w:cs="Times New Roman"/>
                <w:sz w:val="24"/>
                <w:szCs w:val="24"/>
              </w:rPr>
              <w:t>, ja atļaujas turētājs lēmumā par atļaujas apturēšanu noteiktajā termiņā novērš atļaujas apturēšanas iemeslus</w:t>
            </w:r>
          </w:p>
          <w:p w14:paraId="14B9D0C6" w14:textId="4669EE62" w:rsidR="006A45B4" w:rsidRPr="00005051" w:rsidRDefault="004A01F4" w:rsidP="009C19F3">
            <w:pPr>
              <w:spacing w:before="120" w:after="0"/>
              <w:ind w:left="57" w:right="57"/>
              <w:rPr>
                <w:rStyle w:val="Emphasis"/>
                <w:rFonts w:ascii="Times New Roman" w:hAnsi="Times New Roman" w:cs="Times New Roman"/>
                <w:i w:val="0"/>
                <w:sz w:val="24"/>
                <w:szCs w:val="24"/>
              </w:rPr>
            </w:pPr>
            <w:r w:rsidRPr="00005051">
              <w:rPr>
                <w:rFonts w:ascii="Times New Roman" w:hAnsi="Times New Roman" w:cs="Times New Roman"/>
                <w:bCs/>
                <w:iCs/>
                <w:sz w:val="24"/>
                <w:szCs w:val="24"/>
              </w:rPr>
              <w:t xml:space="preserve">Noteikumu projekta </w:t>
            </w:r>
            <w:r w:rsidR="009C7DB9" w:rsidRPr="00005051">
              <w:rPr>
                <w:rFonts w:ascii="Times New Roman" w:hAnsi="Times New Roman" w:cs="Times New Roman"/>
                <w:bCs/>
                <w:iCs/>
                <w:sz w:val="24"/>
                <w:szCs w:val="24"/>
              </w:rPr>
              <w:t>3</w:t>
            </w:r>
            <w:r w:rsidRPr="00005051">
              <w:rPr>
                <w:rFonts w:ascii="Times New Roman" w:hAnsi="Times New Roman" w:cs="Times New Roman"/>
                <w:bCs/>
                <w:iCs/>
                <w:sz w:val="24"/>
                <w:szCs w:val="24"/>
              </w:rPr>
              <w:t>.</w:t>
            </w:r>
            <w:r w:rsidR="004B3DE1" w:rsidRPr="00005051">
              <w:rPr>
                <w:rFonts w:ascii="Times New Roman" w:hAnsi="Times New Roman" w:cs="Times New Roman"/>
                <w:bCs/>
                <w:iCs/>
                <w:sz w:val="24"/>
                <w:szCs w:val="24"/>
              </w:rPr>
              <w:t>no</w:t>
            </w:r>
            <w:r w:rsidRPr="00005051">
              <w:rPr>
                <w:rFonts w:ascii="Times New Roman" w:hAnsi="Times New Roman" w:cs="Times New Roman"/>
                <w:bCs/>
                <w:iCs/>
                <w:sz w:val="24"/>
                <w:szCs w:val="24"/>
              </w:rPr>
              <w:t>daļā ietverti atsevišķi nosacījumi ieraksta deklarētāja reģistros atļaujas izsniegšanai, grozījumu izdarīšanai, apturēšanai, anulēšanai un izmantošanai.</w:t>
            </w:r>
            <w:r w:rsidR="006A45B4" w:rsidRPr="00005051">
              <w:rPr>
                <w:rFonts w:ascii="Times New Roman" w:hAnsi="Times New Roman" w:cs="Times New Roman"/>
                <w:bCs/>
                <w:iCs/>
                <w:sz w:val="24"/>
                <w:szCs w:val="24"/>
              </w:rPr>
              <w:t xml:space="preserve"> </w:t>
            </w:r>
            <w:r w:rsidR="006A45B4" w:rsidRPr="00005051">
              <w:rPr>
                <w:rFonts w:ascii="Times New Roman" w:hAnsi="Times New Roman" w:cs="Times New Roman"/>
                <w:sz w:val="24"/>
                <w:szCs w:val="24"/>
              </w:rPr>
              <w:t xml:space="preserve">No 2016.gada 1.maija vietējās muitošanas procedūra tiek aizstāta ar līdzīgu muitas vienkāršojumu – </w:t>
            </w:r>
            <w:r w:rsidR="006A45B4" w:rsidRPr="00005051">
              <w:rPr>
                <w:rStyle w:val="Strong"/>
                <w:rFonts w:ascii="Times New Roman" w:hAnsi="Times New Roman" w:cs="Times New Roman"/>
                <w:b w:val="0"/>
                <w:sz w:val="24"/>
                <w:szCs w:val="24"/>
              </w:rPr>
              <w:t>ieraksts deklarētāja reģistros</w:t>
            </w:r>
            <w:r w:rsidR="006A45B4" w:rsidRPr="00005051">
              <w:rPr>
                <w:rFonts w:ascii="Times New Roman" w:hAnsi="Times New Roman" w:cs="Times New Roman"/>
                <w:sz w:val="24"/>
                <w:szCs w:val="24"/>
              </w:rPr>
              <w:t xml:space="preserve"> </w:t>
            </w:r>
            <w:r w:rsidR="006A45B4" w:rsidRPr="00005051">
              <w:rPr>
                <w:rStyle w:val="Emphasis"/>
                <w:rFonts w:ascii="Times New Roman" w:hAnsi="Times New Roman" w:cs="Times New Roman"/>
                <w:sz w:val="24"/>
                <w:szCs w:val="24"/>
              </w:rPr>
              <w:t>(</w:t>
            </w:r>
            <w:proofErr w:type="spellStart"/>
            <w:r w:rsidR="006A45B4" w:rsidRPr="00005051">
              <w:rPr>
                <w:rStyle w:val="Emphasis"/>
                <w:rFonts w:ascii="Times New Roman" w:hAnsi="Times New Roman" w:cs="Times New Roman"/>
                <w:sz w:val="24"/>
                <w:szCs w:val="24"/>
              </w:rPr>
              <w:t>entry</w:t>
            </w:r>
            <w:proofErr w:type="spellEnd"/>
            <w:r w:rsidR="006A45B4" w:rsidRPr="00005051">
              <w:rPr>
                <w:rStyle w:val="Emphasis"/>
                <w:rFonts w:ascii="Times New Roman" w:hAnsi="Times New Roman" w:cs="Times New Roman"/>
                <w:sz w:val="24"/>
                <w:szCs w:val="24"/>
              </w:rPr>
              <w:t xml:space="preserve"> </w:t>
            </w:r>
            <w:proofErr w:type="spellStart"/>
            <w:r w:rsidR="006A45B4" w:rsidRPr="00005051">
              <w:rPr>
                <w:rStyle w:val="Emphasis"/>
                <w:rFonts w:ascii="Times New Roman" w:hAnsi="Times New Roman" w:cs="Times New Roman"/>
                <w:sz w:val="24"/>
                <w:szCs w:val="24"/>
              </w:rPr>
              <w:t>in</w:t>
            </w:r>
            <w:proofErr w:type="spellEnd"/>
            <w:r w:rsidR="006A45B4" w:rsidRPr="00005051">
              <w:rPr>
                <w:rStyle w:val="Emphasis"/>
                <w:rFonts w:ascii="Times New Roman" w:hAnsi="Times New Roman" w:cs="Times New Roman"/>
                <w:sz w:val="24"/>
                <w:szCs w:val="24"/>
              </w:rPr>
              <w:t xml:space="preserve"> </w:t>
            </w:r>
            <w:proofErr w:type="spellStart"/>
            <w:r w:rsidR="006A45B4" w:rsidRPr="00005051">
              <w:rPr>
                <w:rStyle w:val="Emphasis"/>
                <w:rFonts w:ascii="Times New Roman" w:hAnsi="Times New Roman" w:cs="Times New Roman"/>
                <w:sz w:val="24"/>
                <w:szCs w:val="24"/>
              </w:rPr>
              <w:t>the</w:t>
            </w:r>
            <w:proofErr w:type="spellEnd"/>
            <w:r w:rsidR="006A45B4" w:rsidRPr="00005051">
              <w:rPr>
                <w:rStyle w:val="Emphasis"/>
                <w:rFonts w:ascii="Times New Roman" w:hAnsi="Times New Roman" w:cs="Times New Roman"/>
                <w:sz w:val="24"/>
                <w:szCs w:val="24"/>
              </w:rPr>
              <w:t xml:space="preserve"> </w:t>
            </w:r>
            <w:proofErr w:type="spellStart"/>
            <w:r w:rsidR="006A45B4" w:rsidRPr="00005051">
              <w:rPr>
                <w:rStyle w:val="Emphasis"/>
                <w:rFonts w:ascii="Times New Roman" w:hAnsi="Times New Roman" w:cs="Times New Roman"/>
                <w:sz w:val="24"/>
                <w:szCs w:val="24"/>
              </w:rPr>
              <w:t>declarants</w:t>
            </w:r>
            <w:proofErr w:type="spellEnd"/>
            <w:r w:rsidR="006A45B4" w:rsidRPr="00005051">
              <w:rPr>
                <w:rStyle w:val="Emphasis"/>
                <w:rFonts w:ascii="Times New Roman" w:hAnsi="Times New Roman" w:cs="Times New Roman"/>
                <w:sz w:val="24"/>
                <w:szCs w:val="24"/>
              </w:rPr>
              <w:t xml:space="preserve"> </w:t>
            </w:r>
            <w:proofErr w:type="spellStart"/>
            <w:r w:rsidR="006A45B4" w:rsidRPr="00005051">
              <w:rPr>
                <w:rStyle w:val="Emphasis"/>
                <w:rFonts w:ascii="Times New Roman" w:hAnsi="Times New Roman" w:cs="Times New Roman"/>
                <w:sz w:val="24"/>
                <w:szCs w:val="24"/>
              </w:rPr>
              <w:t>records</w:t>
            </w:r>
            <w:proofErr w:type="spellEnd"/>
            <w:r w:rsidR="006A45B4" w:rsidRPr="00005051">
              <w:rPr>
                <w:rStyle w:val="Emphasis"/>
                <w:rFonts w:ascii="Times New Roman" w:hAnsi="Times New Roman" w:cs="Times New Roman"/>
                <w:sz w:val="24"/>
                <w:szCs w:val="24"/>
              </w:rPr>
              <w:t>).</w:t>
            </w:r>
          </w:p>
          <w:p w14:paraId="468C1D8D" w14:textId="74BD62C3" w:rsidR="004A01F4" w:rsidRPr="00005051" w:rsidRDefault="006A45B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vanish/>
                <w:color w:val="000000"/>
                <w:sz w:val="24"/>
                <w:szCs w:val="24"/>
              </w:rPr>
              <w:t>1) laišana brīvā apgrozībā, izņemot procedūru Nr.42 un 63;</w:t>
            </w:r>
            <w:r w:rsidRPr="00005051">
              <w:rPr>
                <w:rFonts w:ascii="Times New Roman" w:hAnsi="Times New Roman" w:cs="Times New Roman"/>
                <w:vanish/>
                <w:color w:val="000000"/>
                <w:sz w:val="24"/>
                <w:szCs w:val="24"/>
              </w:rPr>
              <w:br/>
              <w:t>2) uzglabāšana muitas noliktavā;</w:t>
            </w:r>
            <w:r w:rsidRPr="00005051">
              <w:rPr>
                <w:rFonts w:ascii="Times New Roman" w:hAnsi="Times New Roman" w:cs="Times New Roman"/>
                <w:vanish/>
                <w:color w:val="000000"/>
                <w:sz w:val="24"/>
                <w:szCs w:val="24"/>
              </w:rPr>
              <w:br/>
              <w:t>3) pagaidu ievešana;</w:t>
            </w:r>
            <w:r w:rsidRPr="00005051">
              <w:rPr>
                <w:rFonts w:ascii="Times New Roman" w:hAnsi="Times New Roman" w:cs="Times New Roman"/>
                <w:vanish/>
                <w:color w:val="000000"/>
                <w:sz w:val="24"/>
                <w:szCs w:val="24"/>
              </w:rPr>
              <w:br/>
              <w:t>4) galapatēriņš (</w:t>
            </w:r>
            <w:r w:rsidRPr="00005051">
              <w:rPr>
                <w:rStyle w:val="Emphasis"/>
                <w:rFonts w:ascii="Times New Roman" w:hAnsi="Times New Roman" w:cs="Times New Roman"/>
                <w:vanish/>
                <w:color w:val="000000"/>
                <w:sz w:val="24"/>
                <w:szCs w:val="24"/>
              </w:rPr>
              <w:t>end-use</w:t>
            </w:r>
            <w:r w:rsidRPr="00005051">
              <w:rPr>
                <w:rFonts w:ascii="Times New Roman" w:hAnsi="Times New Roman" w:cs="Times New Roman"/>
                <w:vanish/>
                <w:color w:val="000000"/>
                <w:sz w:val="24"/>
                <w:szCs w:val="24"/>
              </w:rPr>
              <w:t>);</w:t>
            </w:r>
            <w:r w:rsidRPr="00005051">
              <w:rPr>
                <w:rFonts w:ascii="Times New Roman" w:hAnsi="Times New Roman" w:cs="Times New Roman"/>
                <w:vanish/>
                <w:color w:val="000000"/>
                <w:sz w:val="24"/>
                <w:szCs w:val="24"/>
              </w:rPr>
              <w:br/>
              <w:t>5) ievešana pārstrādei;</w:t>
            </w:r>
            <w:r w:rsidRPr="00005051">
              <w:rPr>
                <w:rFonts w:ascii="Times New Roman" w:hAnsi="Times New Roman" w:cs="Times New Roman"/>
                <w:vanish/>
                <w:color w:val="000000"/>
                <w:sz w:val="24"/>
                <w:szCs w:val="24"/>
              </w:rPr>
              <w:br/>
              <w:t>6) eksports un reeksports (EIDR piemēro, ja nav jāsniedz muitas deklarācija, reeksporta deklarācija vai izvešanas kopsavilkuma deklarācija + eksporta muitas iestāde ir vienlaicīgi arī izvešanas muitas iestāde (DA 150.panta 4.punkts). Akcīzes precēm (atliktajā akcīzes nodokļa režīmā) EIDR var piemērot, ja pārvietošana notiek vienas dalībvalsts teritorijā un iestādes atsakās no elektroniskās pārraudzības (t.i., neizmanto Akcīzes preču pārvietošanas un kontroles sistēmu - EMCS) (DA 150.panta 5.punkts)).1) laišana brīvā apgrozībā, izņemot procedūru Nr.42 un 63;</w:t>
            </w:r>
            <w:r w:rsidRPr="00005051">
              <w:rPr>
                <w:rFonts w:ascii="Times New Roman" w:hAnsi="Times New Roman" w:cs="Times New Roman"/>
                <w:vanish/>
                <w:color w:val="000000"/>
                <w:sz w:val="24"/>
                <w:szCs w:val="24"/>
              </w:rPr>
              <w:br/>
              <w:t>2) uzglabāšana muitas noliktavā;</w:t>
            </w:r>
            <w:r w:rsidRPr="00005051">
              <w:rPr>
                <w:rFonts w:ascii="Times New Roman" w:hAnsi="Times New Roman" w:cs="Times New Roman"/>
                <w:vanish/>
                <w:color w:val="000000"/>
                <w:sz w:val="24"/>
                <w:szCs w:val="24"/>
              </w:rPr>
              <w:br/>
              <w:t>3) pagaidu ievešana;</w:t>
            </w:r>
            <w:r w:rsidRPr="00005051">
              <w:rPr>
                <w:rFonts w:ascii="Times New Roman" w:hAnsi="Times New Roman" w:cs="Times New Roman"/>
                <w:vanish/>
                <w:color w:val="000000"/>
                <w:sz w:val="24"/>
                <w:szCs w:val="24"/>
              </w:rPr>
              <w:br/>
              <w:t>4) galapatēriņš (</w:t>
            </w:r>
            <w:r w:rsidRPr="00005051">
              <w:rPr>
                <w:rStyle w:val="Emphasis"/>
                <w:rFonts w:ascii="Times New Roman" w:hAnsi="Times New Roman" w:cs="Times New Roman"/>
                <w:vanish/>
                <w:color w:val="000000"/>
                <w:sz w:val="24"/>
                <w:szCs w:val="24"/>
              </w:rPr>
              <w:t>end-use</w:t>
            </w:r>
            <w:r w:rsidRPr="00005051">
              <w:rPr>
                <w:rFonts w:ascii="Times New Roman" w:hAnsi="Times New Roman" w:cs="Times New Roman"/>
                <w:vanish/>
                <w:color w:val="000000"/>
                <w:sz w:val="24"/>
                <w:szCs w:val="24"/>
              </w:rPr>
              <w:t>);</w:t>
            </w:r>
            <w:r w:rsidRPr="00005051">
              <w:rPr>
                <w:rFonts w:ascii="Times New Roman" w:hAnsi="Times New Roman" w:cs="Times New Roman"/>
                <w:vanish/>
                <w:color w:val="000000"/>
                <w:sz w:val="24"/>
                <w:szCs w:val="24"/>
              </w:rPr>
              <w:br/>
              <w:t>5) ievešana pārstrādei;</w:t>
            </w:r>
            <w:r w:rsidRPr="00005051">
              <w:rPr>
                <w:rFonts w:ascii="Times New Roman" w:hAnsi="Times New Roman" w:cs="Times New Roman"/>
                <w:vanish/>
                <w:color w:val="000000"/>
                <w:sz w:val="24"/>
                <w:szCs w:val="24"/>
              </w:rPr>
              <w:br/>
              <w:t>6) eksports un reeksports (EIDR piemēro, ja nav jāsniedz muitas deklarācija, reeksporta deklarācija vai izvešanas kopsavilkuma deklarācija + eksporta muitas iestāde ir vienlaicīgi arī izvešanas muitas iestāde (DA 150.panta 4.punkts). Akcīzes precēm (atliktajā akcīzes nodokļa režīmā) EIDR var piemērot, ja pārvietošana notiek vienas dalībvalsts teritorijā un iestādes atsakās no elektroniskās pārraudzības (t.i., neizmanto Akcīzes preču pārvietošanas un kontroles sistēmu - EMCS) (DA 150.panta 5.punkts)).</w:t>
            </w:r>
            <w:r w:rsidR="004A01F4" w:rsidRPr="00005051">
              <w:rPr>
                <w:rFonts w:ascii="Times New Roman" w:hAnsi="Times New Roman" w:cs="Times New Roman"/>
                <w:bCs/>
                <w:iCs/>
                <w:sz w:val="24"/>
                <w:szCs w:val="24"/>
              </w:rPr>
              <w:t xml:space="preserve">Noteikumu projekta </w:t>
            </w:r>
            <w:r w:rsidR="00991907" w:rsidRPr="00005051">
              <w:rPr>
                <w:rFonts w:ascii="Times New Roman" w:hAnsi="Times New Roman" w:cs="Times New Roman"/>
                <w:bCs/>
                <w:iCs/>
                <w:sz w:val="24"/>
                <w:szCs w:val="24"/>
              </w:rPr>
              <w:t>1</w:t>
            </w:r>
            <w:r w:rsidR="006E6A84" w:rsidRPr="00005051">
              <w:rPr>
                <w:rFonts w:ascii="Times New Roman" w:hAnsi="Times New Roman" w:cs="Times New Roman"/>
                <w:bCs/>
                <w:iCs/>
                <w:sz w:val="24"/>
                <w:szCs w:val="24"/>
              </w:rPr>
              <w:t>4.punktā noteikts, ka  iesniegums</w:t>
            </w:r>
            <w:r w:rsidR="004A01F4" w:rsidRPr="00005051">
              <w:rPr>
                <w:rFonts w:ascii="Times New Roman" w:hAnsi="Times New Roman" w:cs="Times New Roman"/>
                <w:bCs/>
                <w:iCs/>
                <w:sz w:val="24"/>
                <w:szCs w:val="24"/>
              </w:rPr>
              <w:t xml:space="preserve"> ieraksta deklarētāja reģistros atļauj</w:t>
            </w:r>
            <w:r w:rsidR="006E6A84" w:rsidRPr="00005051">
              <w:rPr>
                <w:rFonts w:ascii="Times New Roman" w:hAnsi="Times New Roman" w:cs="Times New Roman"/>
                <w:bCs/>
                <w:iCs/>
                <w:sz w:val="24"/>
                <w:szCs w:val="24"/>
              </w:rPr>
              <w:t>as saņemšanai</w:t>
            </w:r>
            <w:r w:rsidR="004A01F4" w:rsidRPr="00005051">
              <w:rPr>
                <w:rFonts w:ascii="Times New Roman" w:hAnsi="Times New Roman" w:cs="Times New Roman"/>
                <w:bCs/>
                <w:iCs/>
                <w:sz w:val="24"/>
                <w:szCs w:val="24"/>
              </w:rPr>
              <w:t xml:space="preserve"> ir jāiesniedz saskaņā ar regulas Nr.2015/2446 2.panta 7.punkta “</w:t>
            </w:r>
            <w:r w:rsidR="00A53E9B" w:rsidRPr="00005051">
              <w:rPr>
                <w:rFonts w:ascii="Times New Roman" w:hAnsi="Times New Roman" w:cs="Times New Roman"/>
                <w:bCs/>
                <w:iCs/>
                <w:sz w:val="24"/>
                <w:szCs w:val="24"/>
              </w:rPr>
              <w:t>c</w:t>
            </w:r>
            <w:r w:rsidR="004A01F4" w:rsidRPr="00005051">
              <w:rPr>
                <w:rFonts w:ascii="Times New Roman" w:hAnsi="Times New Roman" w:cs="Times New Roman"/>
                <w:bCs/>
                <w:iCs/>
                <w:sz w:val="24"/>
                <w:szCs w:val="24"/>
              </w:rPr>
              <w:t xml:space="preserve">” apakšpunkta nosacījumiem, izmantojot regulas 2016/341 12.pielikumā iekļauto </w:t>
            </w:r>
            <w:r w:rsidR="006E6A84" w:rsidRPr="00005051">
              <w:rPr>
                <w:rFonts w:ascii="Times New Roman" w:hAnsi="Times New Roman" w:cs="Times New Roman"/>
                <w:bCs/>
                <w:iCs/>
                <w:sz w:val="24"/>
                <w:szCs w:val="24"/>
              </w:rPr>
              <w:t>iesnieguma</w:t>
            </w:r>
            <w:r w:rsidR="004A01F4" w:rsidRPr="00005051">
              <w:rPr>
                <w:rFonts w:ascii="Times New Roman" w:hAnsi="Times New Roman" w:cs="Times New Roman"/>
                <w:bCs/>
                <w:iCs/>
                <w:sz w:val="24"/>
                <w:szCs w:val="24"/>
              </w:rPr>
              <w:t xml:space="preserve"> veidlapas paraugu.</w:t>
            </w:r>
          </w:p>
          <w:p w14:paraId="085684AA" w14:textId="606754CD"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Piemērojot ierakstu deklarētāja reģistros, preces izlaiž, </w:t>
            </w:r>
            <w:r w:rsidRPr="00005051">
              <w:rPr>
                <w:rStyle w:val="sadalasteksts"/>
                <w:rFonts w:ascii="Times New Roman" w:hAnsi="Times New Roman" w:cs="Times New Roman"/>
                <w:sz w:val="24"/>
                <w:szCs w:val="24"/>
              </w:rPr>
              <w:t>ja ir samaksāta muitas parādam atbilstīgā ievedmuitas vai izvedmuitas nodokļa summa</w:t>
            </w:r>
            <w:r w:rsidR="00EF2543" w:rsidRPr="00005051">
              <w:rPr>
                <w:rStyle w:val="sadalasteksts"/>
                <w:rFonts w:ascii="Times New Roman" w:hAnsi="Times New Roman" w:cs="Times New Roman"/>
                <w:sz w:val="24"/>
                <w:szCs w:val="24"/>
              </w:rPr>
              <w:t>,</w:t>
            </w:r>
            <w:r w:rsidRPr="00005051">
              <w:rPr>
                <w:rStyle w:val="sadalasteksts"/>
                <w:rFonts w:ascii="Times New Roman" w:hAnsi="Times New Roman" w:cs="Times New Roman"/>
                <w:sz w:val="24"/>
                <w:szCs w:val="24"/>
              </w:rPr>
              <w:t xml:space="preserve"> vai</w:t>
            </w:r>
            <w:r w:rsidR="00EF2543" w:rsidRPr="00005051">
              <w:rPr>
                <w:rStyle w:val="sadalasteksts"/>
                <w:rFonts w:ascii="Times New Roman" w:hAnsi="Times New Roman" w:cs="Times New Roman"/>
                <w:sz w:val="24"/>
                <w:szCs w:val="24"/>
              </w:rPr>
              <w:t>,</w:t>
            </w:r>
            <w:r w:rsidRPr="00005051">
              <w:rPr>
                <w:rStyle w:val="sadalasteksts"/>
                <w:rFonts w:ascii="Times New Roman" w:hAnsi="Times New Roman" w:cs="Times New Roman"/>
                <w:sz w:val="24"/>
                <w:szCs w:val="24"/>
              </w:rPr>
              <w:t xml:space="preserve"> ja ir sniegts galvojums muitas parāda vai iespējamā muitas parāda segšanai atbilstoši piemērotai muitas procedūrai. </w:t>
            </w:r>
            <w:r w:rsidRPr="00005051">
              <w:rPr>
                <w:rFonts w:ascii="Times New Roman" w:hAnsi="Times New Roman" w:cs="Times New Roman"/>
                <w:bCs/>
                <w:iCs/>
                <w:sz w:val="24"/>
                <w:szCs w:val="24"/>
              </w:rPr>
              <w:t xml:space="preserve">Ieraksts deklarētāja reģistros ir specifisks deklarēšanas veids, kur sākotnēji muitai tiek iesniegts preču uzrādīšanas paziņojums, vienlaicīgi ņemot tās deklarētāja uzskaitē, kas nozīmē, ka šī vienkāršojuma piemērošanas sākuma posmā – iesniedzot uzrādīšanas paziņojumu muitai </w:t>
            </w:r>
            <w:r w:rsidR="004B3DE1" w:rsidRPr="00005051">
              <w:rPr>
                <w:rFonts w:ascii="Times New Roman" w:hAnsi="Times New Roman" w:cs="Times New Roman"/>
                <w:bCs/>
                <w:iCs/>
                <w:sz w:val="24"/>
                <w:szCs w:val="24"/>
              </w:rPr>
              <w:t>–</w:t>
            </w:r>
            <w:r w:rsidRPr="00005051">
              <w:rPr>
                <w:rFonts w:ascii="Times New Roman" w:hAnsi="Times New Roman" w:cs="Times New Roman"/>
                <w:bCs/>
                <w:iCs/>
                <w:sz w:val="24"/>
                <w:szCs w:val="24"/>
              </w:rPr>
              <w:t xml:space="preserve"> netiek iesniegti dati detalizētai muitas maksājumu aprēķināšanai. Līdz ar to</w:t>
            </w:r>
            <w:r w:rsidR="006E6A84" w:rsidRPr="00005051">
              <w:rPr>
                <w:rFonts w:ascii="Times New Roman" w:hAnsi="Times New Roman" w:cs="Times New Roman"/>
                <w:bCs/>
                <w:iCs/>
                <w:sz w:val="24"/>
                <w:szCs w:val="24"/>
              </w:rPr>
              <w:t>,</w:t>
            </w:r>
            <w:r w:rsidRPr="00005051">
              <w:rPr>
                <w:rFonts w:ascii="Times New Roman" w:hAnsi="Times New Roman" w:cs="Times New Roman"/>
                <w:bCs/>
                <w:iCs/>
                <w:sz w:val="24"/>
                <w:szCs w:val="24"/>
              </w:rPr>
              <w:t xml:space="preserve"> ir jāsniedz galvojums muitas parāda vai iespējamā muitas parāda segšanai, jo izlaišanas brīdī muitas maksājumi netiek iekasēti. Tāpēc noteikumu projekta 1</w:t>
            </w:r>
            <w:r w:rsidR="006E6A84" w:rsidRPr="00005051">
              <w:rPr>
                <w:rFonts w:ascii="Times New Roman" w:hAnsi="Times New Roman" w:cs="Times New Roman"/>
                <w:bCs/>
                <w:iCs/>
                <w:sz w:val="24"/>
                <w:szCs w:val="24"/>
              </w:rPr>
              <w:t>5</w:t>
            </w:r>
            <w:r w:rsidRPr="00005051">
              <w:rPr>
                <w:rFonts w:ascii="Times New Roman" w:hAnsi="Times New Roman" w:cs="Times New Roman"/>
                <w:bCs/>
                <w:iCs/>
                <w:sz w:val="24"/>
                <w:szCs w:val="24"/>
              </w:rPr>
              <w:t xml:space="preserve">.punktā noteikta prasība </w:t>
            </w:r>
            <w:r w:rsidR="006E6A84" w:rsidRPr="00005051">
              <w:rPr>
                <w:rFonts w:ascii="Times New Roman" w:hAnsi="Times New Roman" w:cs="Times New Roman"/>
                <w:bCs/>
                <w:iCs/>
                <w:sz w:val="24"/>
                <w:szCs w:val="24"/>
              </w:rPr>
              <w:t>iesnieguma</w:t>
            </w:r>
            <w:r w:rsidRPr="00005051">
              <w:rPr>
                <w:rFonts w:ascii="Times New Roman" w:hAnsi="Times New Roman" w:cs="Times New Roman"/>
                <w:bCs/>
                <w:iCs/>
                <w:sz w:val="24"/>
                <w:szCs w:val="24"/>
              </w:rPr>
              <w:t xml:space="preserve"> </w:t>
            </w:r>
            <w:r w:rsidR="006E6A84" w:rsidRPr="00005051">
              <w:rPr>
                <w:rFonts w:ascii="Times New Roman" w:hAnsi="Times New Roman" w:cs="Times New Roman"/>
                <w:bCs/>
                <w:iCs/>
                <w:sz w:val="24"/>
                <w:szCs w:val="24"/>
              </w:rPr>
              <w:t>iesniedzējam norādīt  iesnieguma</w:t>
            </w:r>
            <w:r w:rsidRPr="00005051">
              <w:rPr>
                <w:rFonts w:ascii="Times New Roman" w:hAnsi="Times New Roman" w:cs="Times New Roman"/>
                <w:bCs/>
                <w:iCs/>
                <w:sz w:val="24"/>
                <w:szCs w:val="24"/>
              </w:rPr>
              <w:t xml:space="preserve"> iesniedzēja vispārējā galvojuma atsauces numuru vai lēmuma par atbrīvojumu no galvojuma numuru, ko paredzēts izmantot ieraksta deklarētāja reģistros izmantošanai. </w:t>
            </w:r>
          </w:p>
          <w:p w14:paraId="7A2C2A72" w14:textId="74FFBE14"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Noteikumu projekta 1</w:t>
            </w:r>
            <w:r w:rsidR="006E6A84" w:rsidRPr="00005051">
              <w:rPr>
                <w:rFonts w:ascii="Times New Roman" w:hAnsi="Times New Roman" w:cs="Times New Roman"/>
                <w:bCs/>
                <w:iCs/>
                <w:sz w:val="24"/>
                <w:szCs w:val="24"/>
              </w:rPr>
              <w:t>6</w:t>
            </w:r>
            <w:r w:rsidRPr="00005051">
              <w:rPr>
                <w:rFonts w:ascii="Times New Roman" w:hAnsi="Times New Roman" w:cs="Times New Roman"/>
                <w:bCs/>
                <w:iCs/>
                <w:sz w:val="24"/>
                <w:szCs w:val="24"/>
              </w:rPr>
              <w:t xml:space="preserve">.punktā noteikti dokumenti, kas jāpievieno ieraksta deklarētāja reģistros atļaujas </w:t>
            </w:r>
            <w:r w:rsidR="006E6A84" w:rsidRPr="00005051">
              <w:rPr>
                <w:rFonts w:ascii="Times New Roman" w:hAnsi="Times New Roman" w:cs="Times New Roman"/>
                <w:bCs/>
                <w:iCs/>
                <w:sz w:val="24"/>
                <w:szCs w:val="24"/>
              </w:rPr>
              <w:t>iesniegumam</w:t>
            </w:r>
            <w:r w:rsidRPr="00005051">
              <w:rPr>
                <w:rFonts w:ascii="Times New Roman" w:hAnsi="Times New Roman" w:cs="Times New Roman"/>
                <w:bCs/>
                <w:iCs/>
                <w:sz w:val="24"/>
                <w:szCs w:val="24"/>
              </w:rPr>
              <w:t>.</w:t>
            </w:r>
          </w:p>
          <w:p w14:paraId="4A9CD19C" w14:textId="428F3312"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Noteikumu projekta 1</w:t>
            </w:r>
            <w:r w:rsidR="000D41F3" w:rsidRPr="00005051">
              <w:rPr>
                <w:rFonts w:ascii="Times New Roman" w:hAnsi="Times New Roman" w:cs="Times New Roman"/>
                <w:bCs/>
                <w:iCs/>
                <w:sz w:val="24"/>
                <w:szCs w:val="24"/>
              </w:rPr>
              <w:t>8</w:t>
            </w:r>
            <w:r w:rsidRPr="00005051">
              <w:rPr>
                <w:rFonts w:ascii="Times New Roman" w:hAnsi="Times New Roman" w:cs="Times New Roman"/>
                <w:bCs/>
                <w:iCs/>
                <w:sz w:val="24"/>
                <w:szCs w:val="24"/>
              </w:rPr>
              <w:t>.punktā noteikts, ka ieraksta deklarētāja reģistros atļaujas turētājs par visām izmaiņām atļaujas saņemšanai iesniegtajā pieteikumā rakstiski informē Valsts ieņēmumu dienestu.</w:t>
            </w:r>
          </w:p>
          <w:p w14:paraId="7D222A94" w14:textId="503BCD4A" w:rsidR="004A01F4" w:rsidRPr="00005051" w:rsidRDefault="00CB28B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sz w:val="24"/>
                <w:szCs w:val="24"/>
              </w:rPr>
              <w:t xml:space="preserve">Tā kā vispārējie procedūras noteikumi par lēmuma pieņemšanu un pārraudzību, labvēlīgu lēmumu anulēšanu, atcelšanu un grozīšanu ir noteikti regulas Nr.952/2013 23.-32.pantos, </w:t>
            </w:r>
            <w:r w:rsidRPr="00005051">
              <w:rPr>
                <w:rFonts w:ascii="Times New Roman" w:hAnsi="Times New Roman" w:cs="Times New Roman"/>
                <w:iCs/>
                <w:sz w:val="24"/>
                <w:szCs w:val="24"/>
              </w:rPr>
              <w:t xml:space="preserve">regulas </w:t>
            </w:r>
            <w:r w:rsidRPr="00005051">
              <w:rPr>
                <w:rFonts w:ascii="Times New Roman" w:hAnsi="Times New Roman" w:cs="Times New Roman"/>
                <w:iCs/>
                <w:sz w:val="24"/>
                <w:szCs w:val="24"/>
              </w:rPr>
              <w:lastRenderedPageBreak/>
              <w:t>Nr.2015/2446 15.-18.pantos un regulas Nr.2015/2447 15.pantā</w:t>
            </w:r>
            <w:r w:rsidR="004A01F4" w:rsidRPr="00005051">
              <w:rPr>
                <w:rFonts w:ascii="Times New Roman" w:hAnsi="Times New Roman" w:cs="Times New Roman"/>
                <w:bCs/>
                <w:iCs/>
                <w:sz w:val="24"/>
                <w:szCs w:val="24"/>
              </w:rPr>
              <w:t xml:space="preserve">, tad noteikumu projekta </w:t>
            </w:r>
            <w:r w:rsidR="003A41CC" w:rsidRPr="00005051">
              <w:rPr>
                <w:rFonts w:ascii="Times New Roman" w:hAnsi="Times New Roman" w:cs="Times New Roman"/>
                <w:bCs/>
                <w:iCs/>
                <w:sz w:val="24"/>
                <w:szCs w:val="24"/>
              </w:rPr>
              <w:t>1</w:t>
            </w:r>
            <w:r w:rsidR="000D41F3" w:rsidRPr="00005051">
              <w:rPr>
                <w:rFonts w:ascii="Times New Roman" w:hAnsi="Times New Roman" w:cs="Times New Roman"/>
                <w:bCs/>
                <w:iCs/>
                <w:sz w:val="24"/>
                <w:szCs w:val="24"/>
              </w:rPr>
              <w:t>9</w:t>
            </w:r>
            <w:r w:rsidR="004A01F4" w:rsidRPr="00005051">
              <w:rPr>
                <w:rFonts w:ascii="Times New Roman" w:hAnsi="Times New Roman" w:cs="Times New Roman"/>
                <w:bCs/>
                <w:iCs/>
                <w:sz w:val="24"/>
                <w:szCs w:val="24"/>
              </w:rPr>
              <w:t xml:space="preserve">.punktā ir noteikti gadījumi kādos Valsts ieņēmumu dienests pieņem lēmumu par </w:t>
            </w:r>
            <w:r w:rsidR="001D3183" w:rsidRPr="00005051">
              <w:rPr>
                <w:rFonts w:ascii="Times New Roman" w:hAnsi="Times New Roman" w:cs="Times New Roman"/>
                <w:bCs/>
                <w:iCs/>
                <w:sz w:val="24"/>
                <w:szCs w:val="24"/>
              </w:rPr>
              <w:t>ieraksta deklarētāja reģistros atļaujas</w:t>
            </w:r>
            <w:r w:rsidR="004A01F4" w:rsidRPr="00005051" w:rsidDel="00317DAB">
              <w:rPr>
                <w:rFonts w:ascii="Times New Roman" w:hAnsi="Times New Roman" w:cs="Times New Roman"/>
                <w:bCs/>
                <w:iCs/>
                <w:sz w:val="24"/>
                <w:szCs w:val="24"/>
              </w:rPr>
              <w:t xml:space="preserve"> </w:t>
            </w:r>
            <w:r w:rsidR="004A01F4" w:rsidRPr="00005051">
              <w:rPr>
                <w:rFonts w:ascii="Times New Roman" w:hAnsi="Times New Roman" w:cs="Times New Roman"/>
                <w:bCs/>
                <w:iCs/>
                <w:sz w:val="24"/>
                <w:szCs w:val="24"/>
              </w:rPr>
              <w:t xml:space="preserve"> apturēšanu</w:t>
            </w:r>
            <w:r w:rsidR="009C7DB9" w:rsidRPr="00005051">
              <w:rPr>
                <w:rFonts w:ascii="Times New Roman" w:hAnsi="Times New Roman" w:cs="Times New Roman"/>
                <w:bCs/>
                <w:iCs/>
                <w:sz w:val="24"/>
                <w:szCs w:val="24"/>
              </w:rPr>
              <w:t>, savukārt, 21.punkts nosaka atļaujas anulēšanas kritērijus.</w:t>
            </w:r>
            <w:r w:rsidR="004A01F4" w:rsidRPr="00005051">
              <w:rPr>
                <w:rFonts w:ascii="Times New Roman" w:hAnsi="Times New Roman" w:cs="Times New Roman"/>
                <w:bCs/>
                <w:iCs/>
                <w:sz w:val="24"/>
                <w:szCs w:val="24"/>
              </w:rPr>
              <w:t xml:space="preserve"> </w:t>
            </w:r>
          </w:p>
          <w:p w14:paraId="4B7EC9AF" w14:textId="5409ADFF" w:rsidR="005F22A2" w:rsidRPr="00005051" w:rsidRDefault="005F22A2"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0D41F3" w:rsidRPr="00005051">
              <w:rPr>
                <w:rFonts w:ascii="Times New Roman" w:hAnsi="Times New Roman" w:cs="Times New Roman"/>
                <w:bCs/>
                <w:iCs/>
                <w:sz w:val="24"/>
                <w:szCs w:val="24"/>
              </w:rPr>
              <w:t>20</w:t>
            </w:r>
            <w:r w:rsidRPr="00005051">
              <w:rPr>
                <w:rFonts w:ascii="Times New Roman" w:hAnsi="Times New Roman" w:cs="Times New Roman"/>
                <w:bCs/>
                <w:iCs/>
                <w:sz w:val="24"/>
                <w:szCs w:val="24"/>
              </w:rPr>
              <w:t xml:space="preserve">.punktā noteikts, ka Valsts ieņēmumu dienests atjauno ieraksta deklarētāja reģistros atļauju, ja atļaujas turētājs lēmumā par atļaujas apturēšanu noteiktajā termiņā novērš atļaujas apturēšanas iemeslus. </w:t>
            </w:r>
          </w:p>
          <w:p w14:paraId="20C15BA4" w14:textId="376E6EA0" w:rsidR="000D41F3" w:rsidRPr="00005051" w:rsidRDefault="000D41F3"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Noteikumu projekta 2</w:t>
            </w:r>
            <w:r w:rsidR="00B95F26" w:rsidRPr="00005051">
              <w:rPr>
                <w:rFonts w:ascii="Times New Roman" w:hAnsi="Times New Roman" w:cs="Times New Roman"/>
                <w:bCs/>
                <w:iCs/>
                <w:sz w:val="24"/>
                <w:szCs w:val="24"/>
              </w:rPr>
              <w:t>2</w:t>
            </w:r>
            <w:r w:rsidRPr="00005051">
              <w:rPr>
                <w:rFonts w:ascii="Times New Roman" w:hAnsi="Times New Roman" w:cs="Times New Roman"/>
                <w:bCs/>
                <w:iCs/>
                <w:sz w:val="24"/>
                <w:szCs w:val="24"/>
              </w:rPr>
              <w:t>.punktā noteiktas prasības kādām jāatbilst elektroniskās preču uzskaites nodrošināšanai izmantojamai programmatūrai.</w:t>
            </w:r>
          </w:p>
          <w:p w14:paraId="22C878F6" w14:textId="2D33C7FF"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B95F26" w:rsidRPr="00005051">
              <w:rPr>
                <w:rFonts w:ascii="Times New Roman" w:hAnsi="Times New Roman" w:cs="Times New Roman"/>
                <w:bCs/>
                <w:iCs/>
                <w:sz w:val="24"/>
                <w:szCs w:val="24"/>
              </w:rPr>
              <w:t>4</w:t>
            </w:r>
            <w:r w:rsidRPr="00005051">
              <w:rPr>
                <w:rFonts w:ascii="Times New Roman" w:hAnsi="Times New Roman" w:cs="Times New Roman"/>
                <w:bCs/>
                <w:iCs/>
                <w:sz w:val="24"/>
                <w:szCs w:val="24"/>
              </w:rPr>
              <w:t>.</w:t>
            </w:r>
            <w:r w:rsidR="004B3DE1" w:rsidRPr="00005051">
              <w:rPr>
                <w:rFonts w:ascii="Times New Roman" w:hAnsi="Times New Roman" w:cs="Times New Roman"/>
                <w:bCs/>
                <w:iCs/>
                <w:sz w:val="24"/>
                <w:szCs w:val="24"/>
              </w:rPr>
              <w:t>no</w:t>
            </w:r>
            <w:r w:rsidRPr="00005051">
              <w:rPr>
                <w:rFonts w:ascii="Times New Roman" w:hAnsi="Times New Roman" w:cs="Times New Roman"/>
                <w:bCs/>
                <w:iCs/>
                <w:sz w:val="24"/>
                <w:szCs w:val="24"/>
              </w:rPr>
              <w:t xml:space="preserve">daļā ietverti atsevišķi nosacījumi </w:t>
            </w:r>
            <w:r w:rsidR="00337B32" w:rsidRPr="00005051">
              <w:rPr>
                <w:rFonts w:ascii="Times New Roman" w:hAnsi="Times New Roman" w:cs="Times New Roman"/>
                <w:bCs/>
                <w:iCs/>
                <w:sz w:val="24"/>
                <w:szCs w:val="24"/>
              </w:rPr>
              <w:t xml:space="preserve">atļaujas </w:t>
            </w:r>
            <w:r w:rsidRPr="00005051">
              <w:rPr>
                <w:rFonts w:ascii="Times New Roman" w:hAnsi="Times New Roman" w:cs="Times New Roman"/>
                <w:bCs/>
                <w:iCs/>
                <w:sz w:val="24"/>
                <w:szCs w:val="24"/>
              </w:rPr>
              <w:t xml:space="preserve">atzītā nosūtītāja un atzītā saņēmēja statusa </w:t>
            </w:r>
            <w:r w:rsidR="00337B32" w:rsidRPr="00005051">
              <w:rPr>
                <w:rFonts w:ascii="Times New Roman" w:hAnsi="Times New Roman" w:cs="Times New Roman"/>
                <w:bCs/>
                <w:iCs/>
                <w:sz w:val="24"/>
                <w:szCs w:val="24"/>
              </w:rPr>
              <w:t>izmantošanai</w:t>
            </w:r>
            <w:r w:rsidRPr="00005051">
              <w:rPr>
                <w:rFonts w:ascii="Times New Roman" w:hAnsi="Times New Roman" w:cs="Times New Roman"/>
                <w:bCs/>
                <w:iCs/>
                <w:sz w:val="24"/>
                <w:szCs w:val="24"/>
              </w:rPr>
              <w:t xml:space="preserve"> izsniegšanai, grozījumu izdarīšanai, apturēšanai un anulēšanai.</w:t>
            </w:r>
          </w:p>
          <w:p w14:paraId="15EB75D4" w14:textId="60A31174" w:rsidR="00857039" w:rsidRPr="00005051" w:rsidRDefault="004A01F4"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Tā kā līdz </w:t>
            </w:r>
            <w:r w:rsidR="009E2753" w:rsidRPr="00005051">
              <w:rPr>
                <w:rFonts w:ascii="Times New Roman" w:hAnsi="Times New Roman" w:cs="Times New Roman"/>
                <w:iCs/>
                <w:sz w:val="24"/>
                <w:szCs w:val="24"/>
              </w:rPr>
              <w:t>Savienības Muitas kodeksa</w:t>
            </w:r>
            <w:r w:rsidR="009E2753" w:rsidRPr="00005051">
              <w:rPr>
                <w:rFonts w:ascii="Times New Roman" w:hAnsi="Times New Roman" w:cs="Times New Roman"/>
                <w:i/>
                <w:iCs/>
                <w:sz w:val="24"/>
                <w:szCs w:val="24"/>
              </w:rPr>
              <w:t xml:space="preserve"> </w:t>
            </w:r>
            <w:r w:rsidRPr="00005051">
              <w:rPr>
                <w:rFonts w:ascii="Times New Roman" w:hAnsi="Times New Roman" w:cs="Times New Roman"/>
                <w:sz w:val="24"/>
                <w:szCs w:val="24"/>
              </w:rPr>
              <w:t xml:space="preserve">Muitas lēmumu sistēmas ieviešanas datumam dalībvalstīm nav obligāti regulas Nr.2015/2446 A pielikumā </w:t>
            </w:r>
            <w:r w:rsidR="00FE57C7" w:rsidRPr="00005051">
              <w:rPr>
                <w:rFonts w:ascii="Times New Roman" w:hAnsi="Times New Roman" w:cs="Times New Roman"/>
                <w:sz w:val="24"/>
                <w:szCs w:val="24"/>
              </w:rPr>
              <w:t>“Kopējās datu prasības attiecībā uz pieteikumiem un lēmumiem”</w:t>
            </w:r>
            <w:r w:rsidRPr="00005051">
              <w:rPr>
                <w:rFonts w:ascii="Times New Roman" w:hAnsi="Times New Roman" w:cs="Times New Roman"/>
                <w:sz w:val="24"/>
                <w:szCs w:val="24"/>
              </w:rPr>
              <w:t xml:space="preserve"> norādītie formāti un kodi, regulas</w:t>
            </w:r>
            <w:r w:rsidRPr="00005051">
              <w:rPr>
                <w:rFonts w:ascii="Times New Roman" w:hAnsi="Times New Roman" w:cs="Times New Roman"/>
                <w:iCs/>
                <w:sz w:val="24"/>
                <w:szCs w:val="24"/>
              </w:rPr>
              <w:t xml:space="preserve"> </w:t>
            </w:r>
            <w:r w:rsidR="00FE57C7" w:rsidRPr="00005051">
              <w:rPr>
                <w:rFonts w:ascii="Times New Roman" w:hAnsi="Times New Roman" w:cs="Times New Roman"/>
                <w:iCs/>
                <w:sz w:val="24"/>
                <w:szCs w:val="24"/>
              </w:rPr>
              <w:t>Nr.</w:t>
            </w:r>
            <w:r w:rsidRPr="00005051">
              <w:rPr>
                <w:rFonts w:ascii="Times New Roman" w:hAnsi="Times New Roman" w:cs="Times New Roman"/>
                <w:bCs/>
                <w:iCs/>
                <w:sz w:val="24"/>
                <w:szCs w:val="24"/>
              </w:rPr>
              <w:t>2016/341</w:t>
            </w:r>
            <w:r w:rsidRPr="00005051">
              <w:rPr>
                <w:rFonts w:ascii="Times New Roman" w:hAnsi="Times New Roman" w:cs="Times New Roman"/>
                <w:sz w:val="24"/>
                <w:szCs w:val="24"/>
              </w:rPr>
              <w:t xml:space="preserve"> pielikumos nav noteikts </w:t>
            </w:r>
            <w:r w:rsidR="00FE57C7" w:rsidRPr="00005051">
              <w:rPr>
                <w:rFonts w:ascii="Times New Roman" w:hAnsi="Times New Roman" w:cs="Times New Roman"/>
                <w:sz w:val="24"/>
                <w:szCs w:val="24"/>
              </w:rPr>
              <w:t>iesnieguma</w:t>
            </w:r>
            <w:r w:rsidRPr="00005051">
              <w:rPr>
                <w:rFonts w:ascii="Times New Roman" w:hAnsi="Times New Roman" w:cs="Times New Roman"/>
                <w:sz w:val="24"/>
                <w:szCs w:val="24"/>
              </w:rPr>
              <w:t xml:space="preserve"> saturs atzītā nosūtītāja un atzītā saņēmēja statusa atļaujas saņemšanai, tomēr, atbilstoši regulas Nr.2015/2447 4.punktā noteiktajam, dalībvalstīm ir jānodrošina, ka tās ir ieviesušas efektīvas procedūras, kas tām ļauj pārbaudīt, ka ir izpildīti nosacījumi attiecīgās</w:t>
            </w:r>
            <w:r w:rsidR="0045082C" w:rsidRPr="00005051">
              <w:rPr>
                <w:rFonts w:ascii="Times New Roman" w:hAnsi="Times New Roman" w:cs="Times New Roman"/>
                <w:sz w:val="24"/>
                <w:szCs w:val="24"/>
              </w:rPr>
              <w:t xml:space="preserve"> atļaujas piešķiršanai. Līdz ar to</w:t>
            </w:r>
            <w:r w:rsidRPr="00005051">
              <w:rPr>
                <w:rFonts w:ascii="Times New Roman" w:hAnsi="Times New Roman" w:cs="Times New Roman"/>
                <w:sz w:val="24"/>
                <w:szCs w:val="24"/>
              </w:rPr>
              <w:t xml:space="preserve"> papildus regulas Nr.2015/2446 2.panta 6.punktā noteiktajām obligātajām prasībām attiecībā uz atzītā nosūtītāja un atzītā saņēmēja statusa atļaujas saturu, noteikumu projektā ir nepieciešams noteikt</w:t>
            </w:r>
            <w:r w:rsidR="00FE57C7" w:rsidRPr="00005051">
              <w:rPr>
                <w:rFonts w:ascii="Times New Roman" w:hAnsi="Times New Roman" w:cs="Times New Roman"/>
                <w:sz w:val="24"/>
                <w:szCs w:val="24"/>
              </w:rPr>
              <w:t>,</w:t>
            </w:r>
            <w:r w:rsidRPr="00005051">
              <w:rPr>
                <w:rFonts w:ascii="Times New Roman" w:hAnsi="Times New Roman" w:cs="Times New Roman"/>
                <w:sz w:val="24"/>
                <w:szCs w:val="24"/>
              </w:rPr>
              <w:t xml:space="preserve"> kādas ziņas ir jānorāda </w:t>
            </w:r>
            <w:r w:rsidR="00FE57C7" w:rsidRPr="00005051">
              <w:rPr>
                <w:rFonts w:ascii="Times New Roman" w:hAnsi="Times New Roman" w:cs="Times New Roman"/>
                <w:sz w:val="24"/>
                <w:szCs w:val="24"/>
              </w:rPr>
              <w:t>iesniegumā</w:t>
            </w:r>
            <w:r w:rsidRPr="00005051">
              <w:rPr>
                <w:rFonts w:ascii="Times New Roman" w:hAnsi="Times New Roman" w:cs="Times New Roman"/>
                <w:sz w:val="24"/>
                <w:szCs w:val="24"/>
              </w:rPr>
              <w:t xml:space="preserve"> atzītā nosūtītāja un atzītā saņēmēja statusa atļaujas saņemšanai. Tāpēc noteikumu projekta </w:t>
            </w:r>
            <w:r w:rsidR="00495171" w:rsidRPr="00005051">
              <w:rPr>
                <w:rFonts w:ascii="Times New Roman" w:hAnsi="Times New Roman" w:cs="Times New Roman"/>
                <w:sz w:val="24"/>
                <w:szCs w:val="24"/>
              </w:rPr>
              <w:t>2</w:t>
            </w:r>
            <w:r w:rsidR="008069A3" w:rsidRPr="00005051">
              <w:rPr>
                <w:rFonts w:ascii="Times New Roman" w:hAnsi="Times New Roman" w:cs="Times New Roman"/>
                <w:sz w:val="24"/>
                <w:szCs w:val="24"/>
              </w:rPr>
              <w:t>4</w:t>
            </w:r>
            <w:r w:rsidRPr="00005051">
              <w:rPr>
                <w:rFonts w:ascii="Times New Roman" w:hAnsi="Times New Roman" w:cs="Times New Roman"/>
                <w:sz w:val="24"/>
                <w:szCs w:val="24"/>
              </w:rPr>
              <w:t>.punktā noteikta informācij</w:t>
            </w:r>
            <w:r w:rsidR="0045082C" w:rsidRPr="00005051">
              <w:rPr>
                <w:rFonts w:ascii="Times New Roman" w:hAnsi="Times New Roman" w:cs="Times New Roman"/>
                <w:sz w:val="24"/>
                <w:szCs w:val="24"/>
              </w:rPr>
              <w:t>a</w:t>
            </w:r>
            <w:r w:rsidRPr="00005051">
              <w:rPr>
                <w:rFonts w:ascii="Times New Roman" w:hAnsi="Times New Roman" w:cs="Times New Roman"/>
                <w:sz w:val="24"/>
                <w:szCs w:val="24"/>
              </w:rPr>
              <w:t xml:space="preserve">, kuru ir nepieciešams norādīt minētajā </w:t>
            </w:r>
            <w:r w:rsidR="00FE57C7" w:rsidRPr="00005051">
              <w:rPr>
                <w:rFonts w:ascii="Times New Roman" w:hAnsi="Times New Roman" w:cs="Times New Roman"/>
                <w:sz w:val="24"/>
                <w:szCs w:val="24"/>
              </w:rPr>
              <w:t>iesniegumā</w:t>
            </w:r>
            <w:r w:rsidRPr="00005051">
              <w:rPr>
                <w:rFonts w:ascii="Times New Roman" w:hAnsi="Times New Roman" w:cs="Times New Roman"/>
                <w:sz w:val="24"/>
                <w:szCs w:val="24"/>
              </w:rPr>
              <w:t xml:space="preserve">. </w:t>
            </w:r>
            <w:r w:rsidR="00857039" w:rsidRPr="00005051">
              <w:rPr>
                <w:rFonts w:ascii="Times New Roman" w:hAnsi="Times New Roman" w:cs="Times New Roman"/>
                <w:sz w:val="24"/>
                <w:szCs w:val="24"/>
              </w:rPr>
              <w:t>Eiropas Parlamenta un Padomes 2013.gada 9.oktobra Regulas (ES) Nr.952/2013, ar ko izveido Savienības Muitas kodeksa 39.panta no a) līdz e) punktā ir noteikti kritēriji atzīta uzņēmēja (AEO) atļaujas saņemšanai. Detalizētāk nosacījumi to izpildei ir noteikti Komisijas Īstenošanas Regulas (ES) 2015/2447 (2015.gada 24.novembris), ar ko paredz sīki izstrādātus noteikumus, kas vajadzīgi, lai īstenotu konkrētus noteikumus Eiropas Parlamenta un Padomes Regulā (ES) Nr.952/2013 ar ko izveido Savienības Muitas kodeksu 24., 25., 26., 27., un 28. pantā.</w:t>
            </w:r>
          </w:p>
          <w:p w14:paraId="0513F094" w14:textId="77777777" w:rsidR="00857039" w:rsidRPr="00005051" w:rsidRDefault="00857039" w:rsidP="009C19F3">
            <w:pPr>
              <w:pStyle w:val="BodyText"/>
              <w:spacing w:before="120" w:after="0"/>
              <w:ind w:left="57" w:right="57"/>
              <w:jc w:val="both"/>
            </w:pPr>
            <w:r w:rsidRPr="00005051">
              <w:t>Minētie kritēriji un nosacījumi AEO atļauju saņemšanai ir vienādi visās ES dalībvalstīs.</w:t>
            </w:r>
          </w:p>
          <w:p w14:paraId="06527DEC" w14:textId="77777777" w:rsidR="00857039" w:rsidRPr="00005051" w:rsidRDefault="00857039" w:rsidP="009C19F3">
            <w:pPr>
              <w:pStyle w:val="BodyText"/>
              <w:spacing w:before="120" w:after="0"/>
              <w:ind w:left="57" w:right="57"/>
              <w:jc w:val="both"/>
            </w:pPr>
            <w:r w:rsidRPr="00005051">
              <w:t>Lai nodrošinātu vienotu AEO normatīvā regulējuma izpratni un panāktu to harmonizētu piemērošanu visās ES dalībvalstīs, kopš 2007.gada tiek izmantotas Eiropas Komisijas Nodokļu politikas un muitas savienības ģenerāldirektorāta</w:t>
            </w:r>
            <w:r w:rsidRPr="00005051">
              <w:rPr>
                <w:i/>
                <w:iCs/>
              </w:rPr>
              <w:t xml:space="preserve"> (</w:t>
            </w:r>
            <w:proofErr w:type="spellStart"/>
            <w:r w:rsidRPr="00005051">
              <w:rPr>
                <w:i/>
                <w:iCs/>
              </w:rPr>
              <w:t>European</w:t>
            </w:r>
            <w:proofErr w:type="spellEnd"/>
            <w:r w:rsidRPr="00005051">
              <w:rPr>
                <w:i/>
                <w:iCs/>
              </w:rPr>
              <w:t xml:space="preserve"> </w:t>
            </w:r>
            <w:proofErr w:type="spellStart"/>
            <w:r w:rsidRPr="00005051">
              <w:rPr>
                <w:i/>
                <w:iCs/>
              </w:rPr>
              <w:t>Commission</w:t>
            </w:r>
            <w:proofErr w:type="spellEnd"/>
            <w:r w:rsidRPr="00005051">
              <w:t xml:space="preserve"> </w:t>
            </w:r>
            <w:proofErr w:type="spellStart"/>
            <w:r w:rsidRPr="00005051">
              <w:rPr>
                <w:i/>
                <w:iCs/>
              </w:rPr>
              <w:t>Taxation</w:t>
            </w:r>
            <w:proofErr w:type="spellEnd"/>
            <w:r w:rsidRPr="00005051">
              <w:rPr>
                <w:i/>
                <w:iCs/>
              </w:rPr>
              <w:t xml:space="preserve"> </w:t>
            </w:r>
            <w:proofErr w:type="spellStart"/>
            <w:r w:rsidRPr="00005051">
              <w:rPr>
                <w:i/>
                <w:iCs/>
              </w:rPr>
              <w:t>and</w:t>
            </w:r>
            <w:proofErr w:type="spellEnd"/>
            <w:r w:rsidRPr="00005051">
              <w:rPr>
                <w:i/>
                <w:iCs/>
              </w:rPr>
              <w:t xml:space="preserve"> </w:t>
            </w:r>
            <w:proofErr w:type="spellStart"/>
            <w:r w:rsidRPr="00005051">
              <w:rPr>
                <w:i/>
                <w:iCs/>
              </w:rPr>
              <w:t>Customs</w:t>
            </w:r>
            <w:proofErr w:type="spellEnd"/>
            <w:r w:rsidRPr="00005051">
              <w:rPr>
                <w:i/>
                <w:iCs/>
              </w:rPr>
              <w:t xml:space="preserve"> </w:t>
            </w:r>
            <w:proofErr w:type="spellStart"/>
            <w:r w:rsidRPr="00005051">
              <w:rPr>
                <w:i/>
                <w:iCs/>
              </w:rPr>
              <w:t>Union</w:t>
            </w:r>
            <w:proofErr w:type="spellEnd"/>
            <w:r w:rsidRPr="00005051">
              <w:rPr>
                <w:i/>
                <w:iCs/>
              </w:rPr>
              <w:t>)</w:t>
            </w:r>
            <w:r w:rsidRPr="00005051">
              <w:t xml:space="preserve"> gan muitas administrācijām, gan komersantiem paredzētās vadlīnijas “Atzītie komersanti” (AEO </w:t>
            </w:r>
            <w:proofErr w:type="spellStart"/>
            <w:r w:rsidRPr="00005051">
              <w:lastRenderedPageBreak/>
              <w:t>Guidelines</w:t>
            </w:r>
            <w:proofErr w:type="spellEnd"/>
            <w:r w:rsidRPr="00005051">
              <w:t xml:space="preserve">). Šo vadlīniju aktuālākā versija tika apstiprināta 2016.gada 11.martā </w:t>
            </w:r>
            <w:hyperlink r:id="rId11" w:tgtFrame="_blank" w:history="1">
              <w:r w:rsidRPr="00005051">
                <w:rPr>
                  <w:rStyle w:val="Hyperlink"/>
                  <w:color w:val="auto"/>
                  <w:u w:val="none"/>
                </w:rPr>
                <w:t>un</w:t>
              </w:r>
            </w:hyperlink>
            <w:r w:rsidRPr="00005051">
              <w:t xml:space="preserve"> tā ir iztulkota visu ES dalībvalstu valodās un pieejama Eiropas Komisijas Nodokļu politikas un muitas savienības ģenerāldirektorāta</w:t>
            </w:r>
            <w:r w:rsidRPr="00005051">
              <w:rPr>
                <w:i/>
                <w:iCs/>
              </w:rPr>
              <w:t xml:space="preserve"> (</w:t>
            </w:r>
            <w:proofErr w:type="spellStart"/>
            <w:r w:rsidRPr="00005051">
              <w:rPr>
                <w:i/>
                <w:iCs/>
              </w:rPr>
              <w:t>European</w:t>
            </w:r>
            <w:proofErr w:type="spellEnd"/>
            <w:r w:rsidRPr="00005051">
              <w:rPr>
                <w:i/>
                <w:iCs/>
              </w:rPr>
              <w:t xml:space="preserve"> </w:t>
            </w:r>
            <w:proofErr w:type="spellStart"/>
            <w:r w:rsidRPr="00005051">
              <w:rPr>
                <w:i/>
                <w:iCs/>
              </w:rPr>
              <w:t>Commission</w:t>
            </w:r>
            <w:proofErr w:type="spellEnd"/>
            <w:r w:rsidRPr="00005051">
              <w:t xml:space="preserve"> </w:t>
            </w:r>
            <w:proofErr w:type="spellStart"/>
            <w:r w:rsidRPr="00005051">
              <w:rPr>
                <w:i/>
                <w:iCs/>
              </w:rPr>
              <w:t>Taxation</w:t>
            </w:r>
            <w:proofErr w:type="spellEnd"/>
            <w:r w:rsidRPr="00005051">
              <w:rPr>
                <w:i/>
                <w:iCs/>
              </w:rPr>
              <w:t xml:space="preserve"> </w:t>
            </w:r>
            <w:proofErr w:type="spellStart"/>
            <w:r w:rsidRPr="00005051">
              <w:rPr>
                <w:i/>
                <w:iCs/>
              </w:rPr>
              <w:t>and</w:t>
            </w:r>
            <w:proofErr w:type="spellEnd"/>
            <w:r w:rsidRPr="00005051">
              <w:rPr>
                <w:i/>
                <w:iCs/>
              </w:rPr>
              <w:t xml:space="preserve"> </w:t>
            </w:r>
            <w:proofErr w:type="spellStart"/>
            <w:r w:rsidRPr="00005051">
              <w:rPr>
                <w:i/>
                <w:iCs/>
              </w:rPr>
              <w:t>Customs</w:t>
            </w:r>
            <w:proofErr w:type="spellEnd"/>
            <w:r w:rsidRPr="00005051">
              <w:rPr>
                <w:i/>
                <w:iCs/>
              </w:rPr>
              <w:t xml:space="preserve"> </w:t>
            </w:r>
            <w:proofErr w:type="spellStart"/>
            <w:r w:rsidRPr="00005051">
              <w:rPr>
                <w:i/>
                <w:iCs/>
              </w:rPr>
              <w:t>Union</w:t>
            </w:r>
            <w:proofErr w:type="spellEnd"/>
            <w:r w:rsidRPr="00005051">
              <w:rPr>
                <w:i/>
                <w:iCs/>
              </w:rPr>
              <w:t>)</w:t>
            </w:r>
            <w:r w:rsidRPr="00005051">
              <w:t xml:space="preserve"> oficiālajā interneta mājas lapā. </w:t>
            </w:r>
          </w:p>
          <w:p w14:paraId="125474C9" w14:textId="0ADE1EDB" w:rsidR="00857039" w:rsidRPr="00005051" w:rsidRDefault="00857039" w:rsidP="009C19F3">
            <w:pPr>
              <w:pStyle w:val="BodyText"/>
              <w:spacing w:before="120" w:after="0"/>
              <w:ind w:left="57" w:right="57"/>
              <w:jc w:val="both"/>
            </w:pPr>
            <w:r w:rsidRPr="00005051">
              <w:t>AEO pašnovērtējuma anketas aizpildīšana palīdz komersantam labāk saprast AEO normatīvā regulējuma prasības un izpildīt tās, sagatavojot muitas administrācijai AEO atļaujas izsniegšanai nepieciešamo informāciju optimālākā veidā, kas ir labi strukturēts noteiktā normatīvā regulējuma nosacījumu secībā, un izslēdz nelietderīgu saraksti ar AEO pieteikuma iesniedzēju trūkumu novēršanai. Šādas anketas izmantošana paātrina AEO atļaujas izsniegšanas procesu kopumā.</w:t>
            </w:r>
          </w:p>
          <w:p w14:paraId="7FD53F51" w14:textId="19AEBE6F" w:rsidR="004A01F4" w:rsidRPr="00005051" w:rsidRDefault="004A01F4"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Savukārt, noteikumu projekta 2</w:t>
            </w:r>
            <w:r w:rsidR="008B3D4C" w:rsidRPr="00005051">
              <w:rPr>
                <w:rFonts w:ascii="Times New Roman" w:hAnsi="Times New Roman" w:cs="Times New Roman"/>
                <w:sz w:val="24"/>
                <w:szCs w:val="24"/>
              </w:rPr>
              <w:t>8</w:t>
            </w:r>
            <w:r w:rsidRPr="00005051">
              <w:rPr>
                <w:rFonts w:ascii="Times New Roman" w:hAnsi="Times New Roman" w:cs="Times New Roman"/>
                <w:sz w:val="24"/>
                <w:szCs w:val="24"/>
              </w:rPr>
              <w:t>.punktā ir noteikta informācija, kas jānorāda atzītā nosūtītāja un atzītā saņēmēja statusa atļaujā.</w:t>
            </w:r>
          </w:p>
          <w:p w14:paraId="32EB1158" w14:textId="029DDD67" w:rsidR="004A01F4" w:rsidRPr="00005051" w:rsidRDefault="00DC4C24"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T</w:t>
            </w:r>
            <w:r w:rsidR="004A01F4" w:rsidRPr="00005051">
              <w:rPr>
                <w:rFonts w:ascii="Times New Roman" w:hAnsi="Times New Roman" w:cs="Times New Roman"/>
                <w:sz w:val="24"/>
                <w:szCs w:val="24"/>
              </w:rPr>
              <w:t>ranzīta procedūras piemērošana ir saistīta ar preču identificēšanas pasākumu veikšanu, un</w:t>
            </w:r>
            <w:r w:rsidRPr="00005051">
              <w:rPr>
                <w:rFonts w:ascii="Times New Roman" w:hAnsi="Times New Roman" w:cs="Times New Roman"/>
                <w:sz w:val="24"/>
                <w:szCs w:val="24"/>
              </w:rPr>
              <w:t>,</w:t>
            </w:r>
            <w:r w:rsidR="004A01F4" w:rsidRPr="00005051">
              <w:rPr>
                <w:rFonts w:ascii="Times New Roman" w:hAnsi="Times New Roman" w:cs="Times New Roman"/>
                <w:sz w:val="24"/>
                <w:szCs w:val="24"/>
              </w:rPr>
              <w:t xml:space="preserve"> piemērojot Savienības tranzīta procedūru</w:t>
            </w:r>
            <w:r w:rsidRPr="00005051">
              <w:rPr>
                <w:rFonts w:ascii="Times New Roman" w:hAnsi="Times New Roman" w:cs="Times New Roman"/>
                <w:sz w:val="24"/>
                <w:szCs w:val="24"/>
              </w:rPr>
              <w:t>,</w:t>
            </w:r>
            <w:r w:rsidR="004A01F4" w:rsidRPr="00005051">
              <w:rPr>
                <w:rFonts w:ascii="Times New Roman" w:hAnsi="Times New Roman" w:cs="Times New Roman"/>
                <w:sz w:val="24"/>
                <w:szCs w:val="24"/>
              </w:rPr>
              <w:t xml:space="preserve"> muitas iestādei vai uzņēmējam, kam muitas dienesti to atļāvuši darīt (atzītajam nosūtītājam), izņemot regulas Nr.2015/2447 302.pantā noteiktajos gadījumos, ir jāuzliek plombu</w:t>
            </w:r>
            <w:r w:rsidRPr="00005051">
              <w:rPr>
                <w:rFonts w:ascii="Times New Roman" w:hAnsi="Times New Roman" w:cs="Times New Roman"/>
                <w:sz w:val="24"/>
                <w:szCs w:val="24"/>
              </w:rPr>
              <w:t>. G</w:t>
            </w:r>
            <w:r w:rsidR="004A01F4" w:rsidRPr="00005051">
              <w:rPr>
                <w:rFonts w:ascii="Times New Roman" w:hAnsi="Times New Roman" w:cs="Times New Roman"/>
                <w:sz w:val="24"/>
                <w:szCs w:val="24"/>
              </w:rPr>
              <w:t xml:space="preserve">adījumos, kad atzītajam nosūtītājam transporta līdzeklim vai iesaiņojumam ir jāuzliek plomba, tam ir jāizmanto īpaša veida plomba, kuras lietošanai jāsaņem regulas Nr.952/2013 233.panta 4.punkta “c” apakšpunktā minētā atļauja īpaša veida plombas izmantošanai. Minētais nosacījums ir iekļauts noteikumu projekta </w:t>
            </w:r>
            <w:r w:rsidR="00A37C40" w:rsidRPr="00005051">
              <w:rPr>
                <w:rFonts w:ascii="Times New Roman" w:hAnsi="Times New Roman" w:cs="Times New Roman"/>
                <w:sz w:val="24"/>
                <w:szCs w:val="24"/>
              </w:rPr>
              <w:t>2</w:t>
            </w:r>
            <w:r w:rsidR="008B3D4C" w:rsidRPr="00005051">
              <w:rPr>
                <w:rFonts w:ascii="Times New Roman" w:hAnsi="Times New Roman" w:cs="Times New Roman"/>
                <w:sz w:val="24"/>
                <w:szCs w:val="24"/>
              </w:rPr>
              <w:t>5</w:t>
            </w:r>
            <w:r w:rsidR="004A01F4" w:rsidRPr="00005051">
              <w:rPr>
                <w:rFonts w:ascii="Times New Roman" w:hAnsi="Times New Roman" w:cs="Times New Roman"/>
                <w:sz w:val="24"/>
                <w:szCs w:val="24"/>
              </w:rPr>
              <w:t>.punktā.</w:t>
            </w:r>
          </w:p>
          <w:p w14:paraId="7F052DD0" w14:textId="68187D58" w:rsidR="004A01F4" w:rsidRPr="00005051" w:rsidRDefault="004A01F4"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Noteikumu projekta </w:t>
            </w:r>
            <w:r w:rsidR="00D2228B" w:rsidRPr="00005051">
              <w:rPr>
                <w:rFonts w:ascii="Times New Roman" w:hAnsi="Times New Roman" w:cs="Times New Roman"/>
                <w:sz w:val="24"/>
                <w:szCs w:val="24"/>
              </w:rPr>
              <w:t>2</w:t>
            </w:r>
            <w:r w:rsidR="008B3D4C" w:rsidRPr="00005051">
              <w:rPr>
                <w:rFonts w:ascii="Times New Roman" w:hAnsi="Times New Roman" w:cs="Times New Roman"/>
                <w:sz w:val="24"/>
                <w:szCs w:val="24"/>
              </w:rPr>
              <w:t>6</w:t>
            </w:r>
            <w:r w:rsidRPr="00005051">
              <w:rPr>
                <w:rFonts w:ascii="Times New Roman" w:hAnsi="Times New Roman" w:cs="Times New Roman"/>
                <w:sz w:val="24"/>
                <w:szCs w:val="24"/>
              </w:rPr>
              <w:t xml:space="preserve">.punktā noteikti dokumenti, kas jāpievieno </w:t>
            </w:r>
            <w:r w:rsidR="00D2228B" w:rsidRPr="00005051">
              <w:rPr>
                <w:rFonts w:ascii="Times New Roman" w:hAnsi="Times New Roman" w:cs="Times New Roman"/>
                <w:sz w:val="24"/>
                <w:szCs w:val="24"/>
              </w:rPr>
              <w:t xml:space="preserve">iesniegumam </w:t>
            </w:r>
            <w:r w:rsidRPr="00005051">
              <w:rPr>
                <w:rFonts w:ascii="Times New Roman" w:hAnsi="Times New Roman" w:cs="Times New Roman"/>
                <w:sz w:val="24"/>
                <w:szCs w:val="24"/>
              </w:rPr>
              <w:t xml:space="preserve">atzītā nosūtītāja un atzītā saņēmēja statusa atļaujas saņemšanai. </w:t>
            </w:r>
          </w:p>
          <w:p w14:paraId="04BB8465" w14:textId="2C3ADDB0" w:rsidR="004A01F4" w:rsidRPr="00005051" w:rsidRDefault="004A01F4" w:rsidP="009C19F3">
            <w:pPr>
              <w:spacing w:before="120" w:after="0"/>
              <w:ind w:left="57" w:right="57"/>
              <w:rPr>
                <w:rFonts w:ascii="Times New Roman" w:hAnsi="Times New Roman" w:cs="Times New Roman"/>
                <w:sz w:val="24"/>
                <w:szCs w:val="24"/>
              </w:rPr>
            </w:pPr>
            <w:r w:rsidRPr="00005051">
              <w:rPr>
                <w:rFonts w:ascii="Times New Roman" w:hAnsi="Times New Roman" w:cs="Times New Roman"/>
                <w:bCs/>
                <w:iCs/>
                <w:sz w:val="24"/>
                <w:szCs w:val="24"/>
              </w:rPr>
              <w:t>Noteikumu projekta 2</w:t>
            </w:r>
            <w:r w:rsidR="008B3D4C" w:rsidRPr="00005051">
              <w:rPr>
                <w:rFonts w:ascii="Times New Roman" w:hAnsi="Times New Roman" w:cs="Times New Roman"/>
                <w:bCs/>
                <w:iCs/>
                <w:sz w:val="24"/>
                <w:szCs w:val="24"/>
              </w:rPr>
              <w:t>9</w:t>
            </w:r>
            <w:r w:rsidRPr="00005051">
              <w:rPr>
                <w:rFonts w:ascii="Times New Roman" w:hAnsi="Times New Roman" w:cs="Times New Roman"/>
                <w:bCs/>
                <w:iCs/>
                <w:sz w:val="24"/>
                <w:szCs w:val="24"/>
              </w:rPr>
              <w:t>.punktā noteikts, ka</w:t>
            </w:r>
            <w:r w:rsidRPr="00005051">
              <w:rPr>
                <w:rFonts w:ascii="Times New Roman" w:hAnsi="Times New Roman" w:cs="Times New Roman"/>
                <w:sz w:val="24"/>
                <w:szCs w:val="24"/>
              </w:rPr>
              <w:t xml:space="preserve"> atzītā nosūtītāja un atzītā saņēmēja statusa atļaujas turētājam par visām izmaiņām atļaujas saņemšanai iesniegtajā </w:t>
            </w:r>
            <w:r w:rsidR="00D2228B" w:rsidRPr="00005051">
              <w:rPr>
                <w:rFonts w:ascii="Times New Roman" w:hAnsi="Times New Roman" w:cs="Times New Roman"/>
                <w:sz w:val="24"/>
                <w:szCs w:val="24"/>
              </w:rPr>
              <w:t>iesniegumā</w:t>
            </w:r>
            <w:r w:rsidRPr="00005051">
              <w:rPr>
                <w:rFonts w:ascii="Times New Roman" w:hAnsi="Times New Roman" w:cs="Times New Roman"/>
                <w:sz w:val="24"/>
                <w:szCs w:val="24"/>
              </w:rPr>
              <w:t xml:space="preserve"> un tam pievienotajos dokumentos rakstiski jāinformē Valsts ieņēmumu dienests. </w:t>
            </w:r>
          </w:p>
          <w:p w14:paraId="28D2C5AC" w14:textId="777CD4E6" w:rsidR="004A01F4" w:rsidRPr="00005051" w:rsidRDefault="0095158F" w:rsidP="009C19F3">
            <w:pPr>
              <w:spacing w:before="120" w:after="0"/>
              <w:ind w:left="57" w:right="57"/>
              <w:rPr>
                <w:rFonts w:ascii="Times New Roman" w:hAnsi="Times New Roman" w:cs="Times New Roman"/>
                <w:sz w:val="24"/>
                <w:szCs w:val="24"/>
              </w:rPr>
            </w:pPr>
            <w:r w:rsidRPr="00005051">
              <w:rPr>
                <w:rFonts w:ascii="Times New Roman" w:hAnsi="Times New Roman" w:cs="Times New Roman"/>
                <w:bCs/>
                <w:iCs/>
                <w:sz w:val="24"/>
                <w:szCs w:val="24"/>
              </w:rPr>
              <w:t>N</w:t>
            </w:r>
            <w:r w:rsidR="004A01F4" w:rsidRPr="00005051">
              <w:rPr>
                <w:rFonts w:ascii="Times New Roman" w:hAnsi="Times New Roman" w:cs="Times New Roman"/>
                <w:bCs/>
                <w:iCs/>
                <w:sz w:val="24"/>
                <w:szCs w:val="24"/>
              </w:rPr>
              <w:t xml:space="preserve">oteikumu projekta </w:t>
            </w:r>
            <w:r w:rsidR="008B3D4C" w:rsidRPr="00005051">
              <w:rPr>
                <w:rFonts w:ascii="Times New Roman" w:hAnsi="Times New Roman" w:cs="Times New Roman"/>
                <w:bCs/>
                <w:iCs/>
                <w:sz w:val="24"/>
                <w:szCs w:val="24"/>
              </w:rPr>
              <w:t>30</w:t>
            </w:r>
            <w:r w:rsidR="004A01F4" w:rsidRPr="00005051">
              <w:rPr>
                <w:rFonts w:ascii="Times New Roman" w:hAnsi="Times New Roman" w:cs="Times New Roman"/>
                <w:bCs/>
                <w:iCs/>
                <w:sz w:val="24"/>
                <w:szCs w:val="24"/>
              </w:rPr>
              <w:t>.punktā ir noteikti konkrēti gadījumi kādos Valsts ieņēmumu dienests pieņem lēmumu par atzītā nosūtītāja un atzītā saņēmēja statusa atļaujas apturēšanu</w:t>
            </w:r>
            <w:r w:rsidR="008B3D4C" w:rsidRPr="00005051">
              <w:rPr>
                <w:rFonts w:ascii="Times New Roman" w:hAnsi="Times New Roman" w:cs="Times New Roman"/>
                <w:bCs/>
                <w:iCs/>
                <w:sz w:val="24"/>
                <w:szCs w:val="24"/>
              </w:rPr>
              <w:t>, savukārt 32.punkts nosaka atļaujas anulēšanas kritērijus.</w:t>
            </w:r>
            <w:r w:rsidR="004A01F4" w:rsidRPr="00005051">
              <w:rPr>
                <w:rFonts w:ascii="Times New Roman" w:hAnsi="Times New Roman" w:cs="Times New Roman"/>
                <w:sz w:val="24"/>
                <w:szCs w:val="24"/>
              </w:rPr>
              <w:t xml:space="preserve"> </w:t>
            </w:r>
          </w:p>
          <w:p w14:paraId="3BEF73E5" w14:textId="45490EF4" w:rsidR="00A37C40" w:rsidRPr="00005051" w:rsidRDefault="00A37C40"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105A9C" w:rsidRPr="00005051">
              <w:rPr>
                <w:rFonts w:ascii="Times New Roman" w:hAnsi="Times New Roman" w:cs="Times New Roman"/>
                <w:bCs/>
                <w:iCs/>
                <w:sz w:val="24"/>
                <w:szCs w:val="24"/>
              </w:rPr>
              <w:t>31</w:t>
            </w:r>
            <w:r w:rsidRPr="00005051">
              <w:rPr>
                <w:rFonts w:ascii="Times New Roman" w:hAnsi="Times New Roman" w:cs="Times New Roman"/>
                <w:bCs/>
                <w:iCs/>
                <w:sz w:val="24"/>
                <w:szCs w:val="24"/>
              </w:rPr>
              <w:t xml:space="preserve">.punktā noteikts, ka Valsts ieņēmumu dienests atjauno atzītā nosūtītāja un atzītā saņēmēja statusa atļaujas, ja atļaujas turētājs lēmumā par atļaujas apturēšanu noteiktajā termiņā novērš atļaujas apturēšanas iemeslus. </w:t>
            </w:r>
          </w:p>
          <w:p w14:paraId="38F62D0E" w14:textId="7ED3DA7A"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A12A5A" w:rsidRPr="00005051">
              <w:rPr>
                <w:rFonts w:ascii="Times New Roman" w:hAnsi="Times New Roman" w:cs="Times New Roman"/>
                <w:bCs/>
                <w:iCs/>
                <w:sz w:val="24"/>
                <w:szCs w:val="24"/>
              </w:rPr>
              <w:t>5</w:t>
            </w:r>
            <w:r w:rsidRPr="00005051">
              <w:rPr>
                <w:rFonts w:ascii="Times New Roman" w:hAnsi="Times New Roman" w:cs="Times New Roman"/>
                <w:bCs/>
                <w:iCs/>
                <w:sz w:val="24"/>
                <w:szCs w:val="24"/>
              </w:rPr>
              <w:t>.</w:t>
            </w:r>
            <w:r w:rsidR="00DC223F" w:rsidRPr="00005051">
              <w:rPr>
                <w:rFonts w:ascii="Times New Roman" w:hAnsi="Times New Roman" w:cs="Times New Roman"/>
                <w:bCs/>
                <w:iCs/>
                <w:sz w:val="24"/>
                <w:szCs w:val="24"/>
              </w:rPr>
              <w:t>no</w:t>
            </w:r>
            <w:r w:rsidRPr="00005051">
              <w:rPr>
                <w:rFonts w:ascii="Times New Roman" w:hAnsi="Times New Roman" w:cs="Times New Roman"/>
                <w:bCs/>
                <w:iCs/>
                <w:sz w:val="24"/>
                <w:szCs w:val="24"/>
              </w:rPr>
              <w:t xml:space="preserve">daļā ietverti atsevišķi nosacījumi atzītā uzņēmēja </w:t>
            </w:r>
            <w:r w:rsidR="00D2228B" w:rsidRPr="00005051">
              <w:rPr>
                <w:rFonts w:ascii="Times New Roman" w:hAnsi="Times New Roman" w:cs="Times New Roman"/>
                <w:bCs/>
                <w:iCs/>
                <w:sz w:val="24"/>
                <w:szCs w:val="24"/>
              </w:rPr>
              <w:t>statusa</w:t>
            </w:r>
            <w:r w:rsidRPr="00005051">
              <w:rPr>
                <w:rFonts w:ascii="Times New Roman" w:hAnsi="Times New Roman" w:cs="Times New Roman"/>
                <w:bCs/>
                <w:iCs/>
                <w:sz w:val="24"/>
                <w:szCs w:val="24"/>
              </w:rPr>
              <w:t xml:space="preserve"> atļaujas izsniegšanai, grozījumu izdarīšanai, apturēšanai un anulēšanai.</w:t>
            </w:r>
          </w:p>
          <w:p w14:paraId="1C5993BE" w14:textId="794BBEDB" w:rsidR="0095158F" w:rsidRPr="00005051" w:rsidRDefault="0095158F" w:rsidP="009C19F3">
            <w:pPr>
              <w:pStyle w:val="rtejustify"/>
              <w:spacing w:before="120" w:after="0"/>
              <w:ind w:left="57" w:right="57"/>
              <w:rPr>
                <w:color w:val="000000"/>
              </w:rPr>
            </w:pPr>
            <w:r w:rsidRPr="00005051">
              <w:rPr>
                <w:color w:val="000000"/>
              </w:rPr>
              <w:t xml:space="preserve">Atzītais uzņēmējs (jeb </w:t>
            </w:r>
            <w:proofErr w:type="spellStart"/>
            <w:r w:rsidRPr="00005051">
              <w:rPr>
                <w:rStyle w:val="Emphasis"/>
                <w:color w:val="000000"/>
              </w:rPr>
              <w:t>Authorised</w:t>
            </w:r>
            <w:proofErr w:type="spellEnd"/>
            <w:r w:rsidRPr="00005051">
              <w:rPr>
                <w:rStyle w:val="Emphasis"/>
                <w:color w:val="000000"/>
              </w:rPr>
              <w:t xml:space="preserve"> </w:t>
            </w:r>
            <w:proofErr w:type="spellStart"/>
            <w:r w:rsidRPr="00005051">
              <w:rPr>
                <w:rStyle w:val="Emphasis"/>
                <w:color w:val="000000"/>
              </w:rPr>
              <w:t>Economic</w:t>
            </w:r>
            <w:proofErr w:type="spellEnd"/>
            <w:r w:rsidRPr="00005051">
              <w:rPr>
                <w:rStyle w:val="Emphasis"/>
                <w:color w:val="000000"/>
              </w:rPr>
              <w:t xml:space="preserve"> Operator</w:t>
            </w:r>
            <w:r w:rsidRPr="00005051">
              <w:rPr>
                <w:color w:val="000000"/>
              </w:rPr>
              <w:t xml:space="preserve"> vai </w:t>
            </w:r>
            <w:r w:rsidRPr="00005051">
              <w:rPr>
                <w:rStyle w:val="Emphasis"/>
                <w:color w:val="000000"/>
              </w:rPr>
              <w:t>AEO</w:t>
            </w:r>
            <w:r w:rsidRPr="00005051">
              <w:rPr>
                <w:color w:val="000000"/>
              </w:rPr>
              <w:t>) ir persona, kura, veicot saimniecisko darbību, ir iesaistīta darbībās, kuras reglamentē tiesību akti muitas jomā, un kura atbilst atzītā uzņēmēja kritērijiem.</w:t>
            </w:r>
          </w:p>
          <w:p w14:paraId="33859B98" w14:textId="662EF010" w:rsidR="0095158F" w:rsidRPr="00005051" w:rsidRDefault="0095158F" w:rsidP="009C19F3">
            <w:pPr>
              <w:pStyle w:val="rtejustify"/>
              <w:spacing w:before="120" w:after="0"/>
              <w:ind w:left="57" w:right="57"/>
              <w:rPr>
                <w:color w:val="000000"/>
              </w:rPr>
            </w:pPr>
            <w:r w:rsidRPr="00005051">
              <w:rPr>
                <w:color w:val="000000"/>
              </w:rPr>
              <w:lastRenderedPageBreak/>
              <w:t xml:space="preserve">Atzītais uzņēmējs ir muitas sadarbības partneris un tam ir tiesības izmantot normatīvajos aktos atzītajiem uzņēmumiem paredzētos vienkāršojumus un atvieglojumus.  </w:t>
            </w:r>
          </w:p>
          <w:p w14:paraId="29B6F300" w14:textId="5F4FEC0C" w:rsidR="0095158F" w:rsidRPr="00005051" w:rsidRDefault="0095158F" w:rsidP="009C19F3">
            <w:pPr>
              <w:pStyle w:val="rtejustify"/>
              <w:spacing w:before="120" w:after="0"/>
              <w:ind w:left="57" w:right="57"/>
              <w:rPr>
                <w:color w:val="000000"/>
              </w:rPr>
            </w:pPr>
            <w:r w:rsidRPr="00005051">
              <w:rPr>
                <w:color w:val="000000"/>
              </w:rPr>
              <w:t xml:space="preserve">ES atzītā uzņēmēja statusu atzīst un priekšrocības sertificētiem komersantiem piemēro visās ES dalībvalstīs, neatkarīgi no tā, kurā dalībvalstī </w:t>
            </w:r>
            <w:proofErr w:type="spellStart"/>
            <w:r w:rsidRPr="00005051">
              <w:rPr>
                <w:color w:val="000000"/>
              </w:rPr>
              <w:t>atļaujair</w:t>
            </w:r>
            <w:proofErr w:type="spellEnd"/>
            <w:r w:rsidRPr="00005051">
              <w:rPr>
                <w:color w:val="000000"/>
              </w:rPr>
              <w:t xml:space="preserve"> izsniegta. Šo statusu atzīst valstīs, kuras nav ES dalībvalstis (trešajās valstīs), bet ar kurām ES ir noslēgtas vienošanās par atzītā uzņēmēja statusa un tai līdzvērtīgu koncepciju (programmu) savstarpējo atzīšanu. ES atzītajiem komersantiem trešajās valstīs piemēro tādas priekšrocības, par kurām savstarpējās atzīšanas ietvaros vienojās ES un attiecīgās trešās valsts muitas administrācijas. Lai iesaistītos muitošanas darbībās, atzītā uzņēmēja statuss nav obligāta prasība. Arī jebkuru muitas tiesību aktos paredzēto atļauju (jeb muitas atļauju) saņemšanai personai nav jābūt atzītajam uzņēmumam. Persona, novērtējot savu atbilstību atzītā uzņēmēja statusa kritērijiem, pati pieņem lēmumu, vai pieteikties šādas atļaujas saņemšanai.</w:t>
            </w:r>
          </w:p>
          <w:p w14:paraId="572B3632" w14:textId="7ACA3B92"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315F52" w:rsidRPr="00005051">
              <w:rPr>
                <w:rFonts w:ascii="Times New Roman" w:hAnsi="Times New Roman" w:cs="Times New Roman"/>
                <w:bCs/>
                <w:iCs/>
                <w:sz w:val="24"/>
                <w:szCs w:val="24"/>
              </w:rPr>
              <w:t>3</w:t>
            </w:r>
            <w:r w:rsidR="00A12A5A" w:rsidRPr="00005051">
              <w:rPr>
                <w:rFonts w:ascii="Times New Roman" w:hAnsi="Times New Roman" w:cs="Times New Roman"/>
                <w:bCs/>
                <w:iCs/>
                <w:sz w:val="24"/>
                <w:szCs w:val="24"/>
              </w:rPr>
              <w:t>3</w:t>
            </w:r>
            <w:r w:rsidRPr="00005051">
              <w:rPr>
                <w:rFonts w:ascii="Times New Roman" w:hAnsi="Times New Roman" w:cs="Times New Roman"/>
                <w:bCs/>
                <w:iCs/>
                <w:sz w:val="24"/>
                <w:szCs w:val="24"/>
              </w:rPr>
              <w:t xml:space="preserve">.punktā noteikts, ka </w:t>
            </w:r>
            <w:r w:rsidR="00315F52" w:rsidRPr="00005051">
              <w:rPr>
                <w:rFonts w:ascii="Times New Roman" w:hAnsi="Times New Roman" w:cs="Times New Roman"/>
                <w:bCs/>
                <w:iCs/>
                <w:sz w:val="24"/>
                <w:szCs w:val="24"/>
              </w:rPr>
              <w:t>iesniegums</w:t>
            </w:r>
            <w:r w:rsidRPr="00005051">
              <w:rPr>
                <w:rFonts w:ascii="Times New Roman" w:hAnsi="Times New Roman" w:cs="Times New Roman"/>
                <w:bCs/>
                <w:iCs/>
                <w:sz w:val="24"/>
                <w:szCs w:val="24"/>
              </w:rPr>
              <w:t xml:space="preserve"> atzītā uzņēmēja </w:t>
            </w:r>
            <w:r w:rsidR="00315F52" w:rsidRPr="00005051">
              <w:rPr>
                <w:rFonts w:ascii="Times New Roman" w:hAnsi="Times New Roman" w:cs="Times New Roman"/>
                <w:bCs/>
                <w:iCs/>
                <w:sz w:val="24"/>
                <w:szCs w:val="24"/>
              </w:rPr>
              <w:t xml:space="preserve">statusa </w:t>
            </w:r>
            <w:r w:rsidRPr="00005051">
              <w:rPr>
                <w:rFonts w:ascii="Times New Roman" w:hAnsi="Times New Roman" w:cs="Times New Roman"/>
                <w:bCs/>
                <w:iCs/>
                <w:sz w:val="24"/>
                <w:szCs w:val="24"/>
              </w:rPr>
              <w:t xml:space="preserve">atļaujas saņemšanai, saskaņā regulas Nr.2015/2446 2.panta 3.punkta otrās daļas un regulas Nr.2015/2447 2.panta 3.punkta otrās daļas nosacījumiem, ir jāiesniedz izmantojot regulas 2016/341 6.pielikumā iekļauto </w:t>
            </w:r>
            <w:r w:rsidR="00315F52" w:rsidRPr="00005051">
              <w:rPr>
                <w:rFonts w:ascii="Times New Roman" w:hAnsi="Times New Roman" w:cs="Times New Roman"/>
                <w:bCs/>
                <w:iCs/>
                <w:sz w:val="24"/>
                <w:szCs w:val="24"/>
              </w:rPr>
              <w:t>iesnieguma</w:t>
            </w:r>
            <w:r w:rsidRPr="00005051">
              <w:rPr>
                <w:rFonts w:ascii="Times New Roman" w:hAnsi="Times New Roman" w:cs="Times New Roman"/>
                <w:bCs/>
                <w:iCs/>
                <w:sz w:val="24"/>
                <w:szCs w:val="24"/>
              </w:rPr>
              <w:t xml:space="preserve"> veidlapas paraugu.</w:t>
            </w:r>
          </w:p>
          <w:p w14:paraId="2E34499C" w14:textId="5326E0D2" w:rsidR="002351F1"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Tā kā </w:t>
            </w:r>
            <w:r w:rsidR="00315F52" w:rsidRPr="00005051">
              <w:rPr>
                <w:rFonts w:ascii="Times New Roman" w:hAnsi="Times New Roman" w:cs="Times New Roman"/>
                <w:bCs/>
                <w:iCs/>
                <w:sz w:val="24"/>
                <w:szCs w:val="24"/>
              </w:rPr>
              <w:t>atzītā uzņēmēja statusa</w:t>
            </w:r>
            <w:r w:rsidRPr="00005051">
              <w:rPr>
                <w:rFonts w:ascii="Times New Roman" w:hAnsi="Times New Roman" w:cs="Times New Roman"/>
                <w:bCs/>
                <w:iCs/>
                <w:sz w:val="24"/>
                <w:szCs w:val="24"/>
              </w:rPr>
              <w:t xml:space="preserve"> </w:t>
            </w:r>
            <w:proofErr w:type="spellStart"/>
            <w:r w:rsidRPr="00005051">
              <w:rPr>
                <w:rFonts w:ascii="Times New Roman" w:hAnsi="Times New Roman" w:cs="Times New Roman"/>
                <w:bCs/>
                <w:iCs/>
                <w:sz w:val="24"/>
                <w:szCs w:val="24"/>
              </w:rPr>
              <w:t>pašnovērtēšanas</w:t>
            </w:r>
            <w:proofErr w:type="spellEnd"/>
            <w:r w:rsidRPr="00005051">
              <w:rPr>
                <w:rFonts w:ascii="Times New Roman" w:hAnsi="Times New Roman" w:cs="Times New Roman"/>
                <w:bCs/>
                <w:iCs/>
                <w:sz w:val="24"/>
                <w:szCs w:val="24"/>
              </w:rPr>
              <w:t xml:space="preserve"> anketas aizpildīšana palīdzēs uzņēmējam labāk saprast normatīvā regulējuma prasības attiecībā uz šīs atļaujas saņemšanas kritērijiem, kā arī sniegs Valsts ieņēmumu dienestam atļaujas izsniegšanai nepieciešamo informāciju optimālākā</w:t>
            </w:r>
            <w:r w:rsidR="00315F52" w:rsidRPr="00005051">
              <w:rPr>
                <w:rFonts w:ascii="Times New Roman" w:hAnsi="Times New Roman" w:cs="Times New Roman"/>
                <w:bCs/>
                <w:iCs/>
                <w:sz w:val="24"/>
                <w:szCs w:val="24"/>
              </w:rPr>
              <w:t xml:space="preserve"> veidā, tad noteikumu projekta 3</w:t>
            </w:r>
            <w:r w:rsidR="00A12A5A" w:rsidRPr="00005051">
              <w:rPr>
                <w:rFonts w:ascii="Times New Roman" w:hAnsi="Times New Roman" w:cs="Times New Roman"/>
                <w:bCs/>
                <w:iCs/>
                <w:sz w:val="24"/>
                <w:szCs w:val="24"/>
              </w:rPr>
              <w:t>4</w:t>
            </w:r>
            <w:r w:rsidRPr="00005051">
              <w:rPr>
                <w:rFonts w:ascii="Times New Roman" w:hAnsi="Times New Roman" w:cs="Times New Roman"/>
                <w:bCs/>
                <w:iCs/>
                <w:sz w:val="24"/>
                <w:szCs w:val="24"/>
              </w:rPr>
              <w:t xml:space="preserve">.punktā ir iekļauts nosacījums, kas nosaka, ka kopā ar </w:t>
            </w:r>
            <w:r w:rsidR="00315F52" w:rsidRPr="00005051">
              <w:rPr>
                <w:rFonts w:ascii="Times New Roman" w:hAnsi="Times New Roman" w:cs="Times New Roman"/>
                <w:bCs/>
                <w:iCs/>
                <w:sz w:val="24"/>
                <w:szCs w:val="24"/>
              </w:rPr>
              <w:t>iesniegumu</w:t>
            </w:r>
            <w:r w:rsidRPr="00005051">
              <w:rPr>
                <w:rFonts w:ascii="Times New Roman" w:hAnsi="Times New Roman" w:cs="Times New Roman"/>
                <w:bCs/>
                <w:iCs/>
                <w:sz w:val="24"/>
                <w:szCs w:val="24"/>
              </w:rPr>
              <w:t xml:space="preserve"> uzņēmējam ir jāiesniedz </w:t>
            </w:r>
            <w:r w:rsidR="00315F52" w:rsidRPr="00005051">
              <w:rPr>
                <w:rFonts w:ascii="Times New Roman" w:hAnsi="Times New Roman" w:cs="Times New Roman"/>
                <w:bCs/>
                <w:iCs/>
                <w:sz w:val="24"/>
                <w:szCs w:val="24"/>
              </w:rPr>
              <w:t>atzītā uzņēmēja statusa</w:t>
            </w:r>
            <w:r w:rsidRPr="00005051">
              <w:rPr>
                <w:rFonts w:ascii="Times New Roman" w:hAnsi="Times New Roman" w:cs="Times New Roman"/>
                <w:bCs/>
                <w:iCs/>
                <w:sz w:val="24"/>
                <w:szCs w:val="24"/>
              </w:rPr>
              <w:t xml:space="preserve"> </w:t>
            </w:r>
            <w:proofErr w:type="spellStart"/>
            <w:r w:rsidRPr="00005051">
              <w:rPr>
                <w:rFonts w:ascii="Times New Roman" w:hAnsi="Times New Roman" w:cs="Times New Roman"/>
                <w:bCs/>
                <w:iCs/>
                <w:sz w:val="24"/>
                <w:szCs w:val="24"/>
              </w:rPr>
              <w:t>pašnovērtēšanas</w:t>
            </w:r>
            <w:proofErr w:type="spellEnd"/>
            <w:r w:rsidRPr="00005051">
              <w:rPr>
                <w:rFonts w:ascii="Times New Roman" w:hAnsi="Times New Roman" w:cs="Times New Roman"/>
                <w:bCs/>
                <w:iCs/>
                <w:sz w:val="24"/>
                <w:szCs w:val="24"/>
              </w:rPr>
              <w:t xml:space="preserve"> anketa. </w:t>
            </w:r>
          </w:p>
          <w:p w14:paraId="51805752" w14:textId="113B2FFC" w:rsidR="002351F1" w:rsidRPr="00005051" w:rsidRDefault="002351F1" w:rsidP="009C19F3">
            <w:pPr>
              <w:spacing w:before="120" w:after="0"/>
              <w:ind w:left="57" w:right="57"/>
              <w:rPr>
                <w:rFonts w:ascii="Times New Roman" w:hAnsi="Times New Roman" w:cs="Times New Roman"/>
                <w:sz w:val="24"/>
                <w:szCs w:val="24"/>
              </w:rPr>
            </w:pPr>
            <w:r w:rsidRPr="00005051">
              <w:rPr>
                <w:rFonts w:ascii="Times New Roman" w:hAnsi="Times New Roman" w:cs="Times New Roman"/>
                <w:bCs/>
                <w:iCs/>
                <w:sz w:val="24"/>
                <w:szCs w:val="24"/>
              </w:rPr>
              <w:t xml:space="preserve">Atzītā uzņēmēja statusa </w:t>
            </w:r>
            <w:proofErr w:type="spellStart"/>
            <w:r w:rsidRPr="00005051">
              <w:rPr>
                <w:rFonts w:ascii="Times New Roman" w:hAnsi="Times New Roman" w:cs="Times New Roman"/>
                <w:bCs/>
                <w:iCs/>
                <w:sz w:val="24"/>
                <w:szCs w:val="24"/>
              </w:rPr>
              <w:t>pašnovērtēšanas</w:t>
            </w:r>
            <w:proofErr w:type="spellEnd"/>
            <w:r w:rsidRPr="00005051">
              <w:rPr>
                <w:rFonts w:ascii="Times New Roman" w:hAnsi="Times New Roman" w:cs="Times New Roman"/>
                <w:sz w:val="24"/>
                <w:szCs w:val="24"/>
              </w:rPr>
              <w:t xml:space="preserve"> anketa ir dokuments, kuru veido Eiropas Komisijas Nodokļu politikas un muitas savienības ģenerāldirektorāta vadlīniju “Atzītie uzņēmumi” 1.a) un 1.b) pielikums (anketa un skaidrojumi tās aizpildīšanai) un kurā TAXUD darba grupas ietvaros ar zināmu regularitāti var tikt veiktas izmaiņas (abos dokumentos). Izmaiņas apstiprina attiecīgā TAXUD darba grupa.</w:t>
            </w:r>
          </w:p>
          <w:p w14:paraId="00757BA7" w14:textId="44D2EBA6" w:rsidR="009779EC" w:rsidRPr="00005051" w:rsidRDefault="009779EC"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Atzītā uzņēmēja statusa </w:t>
            </w:r>
            <w:proofErr w:type="spellStart"/>
            <w:r w:rsidRPr="00005051">
              <w:rPr>
                <w:rFonts w:ascii="Times New Roman" w:hAnsi="Times New Roman" w:cs="Times New Roman"/>
                <w:bCs/>
                <w:iCs/>
                <w:sz w:val="24"/>
                <w:szCs w:val="24"/>
              </w:rPr>
              <w:t>pašnovērtēšanas</w:t>
            </w:r>
            <w:proofErr w:type="spellEnd"/>
            <w:r w:rsidRPr="00005051">
              <w:rPr>
                <w:rFonts w:ascii="Times New Roman" w:hAnsi="Times New Roman" w:cs="Times New Roman"/>
                <w:sz w:val="24"/>
                <w:szCs w:val="24"/>
              </w:rPr>
              <w:t xml:space="preserve"> anketa latviešu valodā publicēts Valsts ieņēmumu dienesta tīmekļvietnē.</w:t>
            </w:r>
          </w:p>
          <w:p w14:paraId="18F02EAB" w14:textId="5407FCB8"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A37C40" w:rsidRPr="00005051">
              <w:rPr>
                <w:rFonts w:ascii="Times New Roman" w:hAnsi="Times New Roman" w:cs="Times New Roman"/>
                <w:bCs/>
                <w:iCs/>
                <w:sz w:val="24"/>
                <w:szCs w:val="24"/>
              </w:rPr>
              <w:t>3</w:t>
            </w:r>
            <w:r w:rsidR="00E6048D" w:rsidRPr="00005051">
              <w:rPr>
                <w:rFonts w:ascii="Times New Roman" w:hAnsi="Times New Roman" w:cs="Times New Roman"/>
                <w:bCs/>
                <w:iCs/>
                <w:sz w:val="24"/>
                <w:szCs w:val="24"/>
              </w:rPr>
              <w:t>7</w:t>
            </w:r>
            <w:r w:rsidRPr="00005051">
              <w:rPr>
                <w:rFonts w:ascii="Times New Roman" w:hAnsi="Times New Roman" w:cs="Times New Roman"/>
                <w:bCs/>
                <w:iCs/>
                <w:sz w:val="24"/>
                <w:szCs w:val="24"/>
              </w:rPr>
              <w:t xml:space="preserve">.punktā noteikts, ka atzītā uzņēmēja atļaujas turētājam par visām izmaiņām atļaujas saņemšanai iesniegtajā </w:t>
            </w:r>
            <w:r w:rsidR="00CF7463" w:rsidRPr="00005051">
              <w:rPr>
                <w:rFonts w:ascii="Times New Roman" w:hAnsi="Times New Roman" w:cs="Times New Roman"/>
                <w:bCs/>
                <w:iCs/>
                <w:sz w:val="24"/>
                <w:szCs w:val="24"/>
              </w:rPr>
              <w:t>iesniegumā</w:t>
            </w:r>
            <w:r w:rsidRPr="00005051">
              <w:rPr>
                <w:rFonts w:ascii="Times New Roman" w:hAnsi="Times New Roman" w:cs="Times New Roman"/>
                <w:bCs/>
                <w:iCs/>
                <w:sz w:val="24"/>
                <w:szCs w:val="24"/>
              </w:rPr>
              <w:t xml:space="preserve"> un</w:t>
            </w:r>
            <w:r w:rsidR="00E6048D" w:rsidRPr="00005051">
              <w:rPr>
                <w:rFonts w:ascii="Times New Roman" w:hAnsi="Times New Roman" w:cs="Times New Roman"/>
                <w:bCs/>
                <w:iCs/>
                <w:sz w:val="24"/>
                <w:szCs w:val="24"/>
              </w:rPr>
              <w:t xml:space="preserve"> par atsevišķu ziņu izmaiņām</w:t>
            </w:r>
            <w:r w:rsidRPr="00005051">
              <w:rPr>
                <w:rFonts w:ascii="Times New Roman" w:hAnsi="Times New Roman" w:cs="Times New Roman"/>
                <w:bCs/>
                <w:iCs/>
                <w:sz w:val="24"/>
                <w:szCs w:val="24"/>
              </w:rPr>
              <w:t xml:space="preserve"> pašnovērtējuma anketā rakstiski jāinformē Valsts ieņēmumu dienests. </w:t>
            </w:r>
          </w:p>
          <w:p w14:paraId="5176F11D" w14:textId="4B41C24A" w:rsidR="00E6048D" w:rsidRPr="00005051" w:rsidRDefault="00E6048D"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Valsts ieņēmumu dienests jāinformē par </w:t>
            </w:r>
            <w:r w:rsidRPr="00005051">
              <w:rPr>
                <w:rFonts w:ascii="Times New Roman" w:hAnsi="Times New Roman" w:cs="Times New Roman"/>
                <w:bCs/>
                <w:sz w:val="24"/>
                <w:szCs w:val="24"/>
              </w:rPr>
              <w:t xml:space="preserve">pašnovērtējuma anketas 1.iedaļas 1.1.2.ailē un 1.2.5.ailē, 2.iedaļas 2.1.ailē, 4.iedaļas 4.1.ailē un 6.iedaļas 6.1.7.ailē norādāmo ziņu izmaiņām, respektīvi, tā ir informācija par uzņēmumu, atbilstības </w:t>
            </w:r>
            <w:r w:rsidRPr="00005051">
              <w:rPr>
                <w:rFonts w:ascii="Times New Roman" w:hAnsi="Times New Roman" w:cs="Times New Roman"/>
                <w:bCs/>
                <w:sz w:val="24"/>
                <w:szCs w:val="24"/>
              </w:rPr>
              <w:lastRenderedPageBreak/>
              <w:t>pamatojums, finansiālā  maksātspēja, kā arī atbilstība drošības un drošuma standartiem.</w:t>
            </w:r>
          </w:p>
          <w:p w14:paraId="513B046D" w14:textId="2B2BDB51" w:rsidR="004A01F4"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Saskaņā ar regulas Nr.2015/2446 251.panta 1.punkta “b” apakšpunktu un regulas Nr.2015/2447 345.panta 1.punktu vienkāršoto procedūru atļaujas vietējai muitošanai ievešanas procedūrām, kas piešķirtas, pamatojoties uz Regulu (EEK) Nr.2913/92 vai Regulu (EEK) Nr.2454/93, un kuras ir derīgas 2016.gada 1.maijā, saglabā derīgumu līdz to atkārtotai izvērtēšanai, bet ne vēlāk kā līdz 2019.gada 1.maijam. Līdz ar to pārejas periodā līdz minēto atļauju atkārtotai izvērtēšanai uzņēmēji var izmantot vienkāršoto procedūru atļaujas vietējai muitošanai ievešanas procedūrām ieraksta deklarētāja reģistros piemērošanai. Tāpēc noteikumu projekta </w:t>
            </w:r>
            <w:r w:rsidR="00A12A5A" w:rsidRPr="00005051">
              <w:rPr>
                <w:rFonts w:ascii="Times New Roman" w:hAnsi="Times New Roman" w:cs="Times New Roman"/>
                <w:bCs/>
                <w:iCs/>
                <w:sz w:val="24"/>
                <w:szCs w:val="24"/>
              </w:rPr>
              <w:t>75</w:t>
            </w:r>
            <w:r w:rsidRPr="00005051">
              <w:rPr>
                <w:rFonts w:ascii="Times New Roman" w:hAnsi="Times New Roman" w:cs="Times New Roman"/>
                <w:bCs/>
                <w:iCs/>
                <w:sz w:val="24"/>
                <w:szCs w:val="24"/>
              </w:rPr>
              <w:t>.punktā ietverts nosacījums līdz minēto atļauju atkārtotai izvērtēšanai atļaujas turētājiem nodrošināt elektroniskas preču uzskaites veikšanu ierakstam deklarētāja reģistros atbilstoši tām prasībām, kas bija spēkā atļauju izsniegšanas brīdī.</w:t>
            </w:r>
          </w:p>
          <w:p w14:paraId="0803ABA9" w14:textId="6A78D77F" w:rsidR="001D23A0" w:rsidRPr="00005051" w:rsidRDefault="004A01F4"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Ņemot vērā to, ka preču uzrādīšanas paziņojums aizstāj līdz 2015.gada 30.aprīlim izmantoto vietējās muitošanas paziņojumu un to, ka minētajiem paziņojumiem ir atšķirīgas datu kopas, kā arī ievērojot regulas 2016/341 21.panta 1.punkta nosacījumus, kas nosaka, ka līdz Īstenošanas lēmuma 2016/578 (aizstāj Īstenošanas lēmumu 2014/255/ES) pielikumā minēto valsts importa sistēmu attiecīgās jaunināšanas pabeigšanai muitas dienesti var atļaut izmantot citus līdzekļus, kas nav elektroniskās datu apstrādes metodes, t.sk. šobrīd izmantotās elektroniskās muitas sistēmas, noteikumu projekta </w:t>
            </w:r>
            <w:r w:rsidR="00CF7463" w:rsidRPr="00005051">
              <w:rPr>
                <w:rFonts w:ascii="Times New Roman" w:hAnsi="Times New Roman" w:cs="Times New Roman"/>
                <w:bCs/>
                <w:iCs/>
                <w:sz w:val="24"/>
                <w:szCs w:val="24"/>
              </w:rPr>
              <w:t>7</w:t>
            </w:r>
            <w:r w:rsidR="00A263DA" w:rsidRPr="00005051">
              <w:rPr>
                <w:rFonts w:ascii="Times New Roman" w:hAnsi="Times New Roman" w:cs="Times New Roman"/>
                <w:bCs/>
                <w:iCs/>
                <w:sz w:val="24"/>
                <w:szCs w:val="24"/>
              </w:rPr>
              <w:t>6</w:t>
            </w:r>
            <w:r w:rsidRPr="00005051">
              <w:rPr>
                <w:rFonts w:ascii="Times New Roman" w:hAnsi="Times New Roman" w:cs="Times New Roman"/>
                <w:bCs/>
                <w:iCs/>
                <w:sz w:val="24"/>
                <w:szCs w:val="24"/>
              </w:rPr>
              <w:t xml:space="preserve">.punktā noteikts, ka atļaujas turētājs līdz minēto importa sistēmu attiecīgas jaunināšanas pabeigšanai preču uzrādīšanas paziņojuma iesniegšanai izmanto Elektronisko muitas datu apstrādes sistēmu, nodrošinot, ka paziņojums satur </w:t>
            </w:r>
            <w:r w:rsidRPr="00005051">
              <w:rPr>
                <w:rFonts w:ascii="Times New Roman" w:hAnsi="Times New Roman" w:cs="Times New Roman"/>
                <w:sz w:val="24"/>
                <w:szCs w:val="24"/>
              </w:rPr>
              <w:t xml:space="preserve">Ministru kabineta 2010.gada 16.novembra noteikumos Nr.1048 </w:t>
            </w:r>
            <w:r w:rsidRPr="00005051">
              <w:rPr>
                <w:rFonts w:ascii="Times New Roman" w:hAnsi="Times New Roman" w:cs="Times New Roman"/>
                <w:bCs/>
                <w:iCs/>
                <w:sz w:val="24"/>
                <w:szCs w:val="24"/>
              </w:rPr>
              <w:t>noteikto informāciju</w:t>
            </w:r>
            <w:r w:rsidR="004C1DCC" w:rsidRPr="00005051">
              <w:rPr>
                <w:rFonts w:ascii="Times New Roman" w:hAnsi="Times New Roman" w:cs="Times New Roman"/>
                <w:bCs/>
                <w:iCs/>
                <w:sz w:val="24"/>
                <w:szCs w:val="24"/>
              </w:rPr>
              <w:t>.</w:t>
            </w:r>
            <w:r w:rsidR="001D23A0" w:rsidRPr="00005051">
              <w:rPr>
                <w:rFonts w:ascii="Times New Roman" w:hAnsi="Times New Roman" w:cs="Times New Roman"/>
                <w:bCs/>
                <w:iCs/>
                <w:sz w:val="24"/>
                <w:szCs w:val="24"/>
              </w:rPr>
              <w:t xml:space="preserve"> </w:t>
            </w:r>
          </w:p>
          <w:p w14:paraId="7A31D1E5" w14:textId="05BFD882" w:rsidR="001D23A0" w:rsidRPr="00005051" w:rsidRDefault="001D23A0" w:rsidP="009C19F3">
            <w:pPr>
              <w:spacing w:before="120" w:after="0"/>
              <w:ind w:left="57" w:right="57"/>
              <w:rPr>
                <w:rFonts w:ascii="Times New Roman" w:eastAsia="Times New Roman" w:hAnsi="Times New Roman" w:cs="Times New Roman"/>
                <w:sz w:val="24"/>
                <w:szCs w:val="24"/>
              </w:rPr>
            </w:pPr>
            <w:r w:rsidRPr="00005051">
              <w:rPr>
                <w:rFonts w:ascii="Times New Roman" w:hAnsi="Times New Roman" w:cs="Times New Roman"/>
                <w:bCs/>
                <w:iCs/>
                <w:sz w:val="24"/>
                <w:szCs w:val="24"/>
              </w:rPr>
              <w:t xml:space="preserve">Noteikumu projekta </w:t>
            </w:r>
            <w:r w:rsidR="00A263DA" w:rsidRPr="00005051">
              <w:rPr>
                <w:rFonts w:ascii="Times New Roman" w:hAnsi="Times New Roman" w:cs="Times New Roman"/>
                <w:bCs/>
                <w:iCs/>
                <w:sz w:val="24"/>
                <w:szCs w:val="24"/>
              </w:rPr>
              <w:t>6</w:t>
            </w:r>
            <w:r w:rsidRPr="00005051">
              <w:rPr>
                <w:rFonts w:ascii="Times New Roman" w:hAnsi="Times New Roman" w:cs="Times New Roman"/>
                <w:bCs/>
                <w:iCs/>
                <w:sz w:val="24"/>
                <w:szCs w:val="24"/>
              </w:rPr>
              <w:t>.nodaļā ietverti nosacījumi a</w:t>
            </w:r>
            <w:r w:rsidRPr="00005051">
              <w:rPr>
                <w:rFonts w:ascii="Times New Roman" w:eastAsia="Times New Roman" w:hAnsi="Times New Roman" w:cs="Times New Roman"/>
                <w:sz w:val="24"/>
                <w:szCs w:val="24"/>
                <w:lang w:eastAsia="lv-LV"/>
              </w:rPr>
              <w:t xml:space="preserve">tļaujas </w:t>
            </w:r>
            <w:r w:rsidRPr="00005051">
              <w:rPr>
                <w:rFonts w:ascii="Times New Roman" w:eastAsia="Times New Roman" w:hAnsi="Times New Roman" w:cs="Times New Roman"/>
                <w:sz w:val="24"/>
                <w:szCs w:val="24"/>
              </w:rPr>
              <w:t>izveidot regulāru kuģu satiksmi</w:t>
            </w:r>
            <w:r w:rsidRPr="00005051">
              <w:rPr>
                <w:rFonts w:ascii="Times New Roman" w:eastAsia="Times New Roman" w:hAnsi="Times New Roman" w:cs="Times New Roman"/>
                <w:i/>
                <w:sz w:val="24"/>
                <w:szCs w:val="24"/>
              </w:rPr>
              <w:t xml:space="preserve"> </w:t>
            </w:r>
            <w:r w:rsidRPr="00005051">
              <w:rPr>
                <w:rFonts w:ascii="Times New Roman" w:eastAsia="Times New Roman" w:hAnsi="Times New Roman" w:cs="Times New Roman"/>
                <w:sz w:val="24"/>
                <w:szCs w:val="24"/>
              </w:rPr>
              <w:t>izsniegšanai, grozīšanai, apturēšanai, atjaunošanai un anulēšanai.</w:t>
            </w:r>
          </w:p>
          <w:p w14:paraId="24276C2C" w14:textId="553090C6" w:rsidR="001D23A0" w:rsidRPr="00005051" w:rsidRDefault="001D23A0"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A263DA" w:rsidRPr="00005051">
              <w:rPr>
                <w:rFonts w:ascii="Times New Roman" w:hAnsi="Times New Roman" w:cs="Times New Roman"/>
                <w:bCs/>
                <w:iCs/>
                <w:sz w:val="24"/>
                <w:szCs w:val="24"/>
              </w:rPr>
              <w:t>7</w:t>
            </w:r>
            <w:r w:rsidRPr="00005051">
              <w:rPr>
                <w:rFonts w:ascii="Times New Roman" w:hAnsi="Times New Roman" w:cs="Times New Roman"/>
                <w:bCs/>
                <w:iCs/>
                <w:sz w:val="24"/>
                <w:szCs w:val="24"/>
              </w:rPr>
              <w:t xml:space="preserve">. nodaļā ietverti atļaujas izmantot Savienības tranzīta procedūru papīra formā attiecībā uz precēm, kuras pārvadā pa jūru izsniegšanas, grozījumu izdarīšanas, apturēšanas, atjaunošanas un anulēšanas nosacījumi. </w:t>
            </w:r>
          </w:p>
          <w:p w14:paraId="176DA6A2" w14:textId="4D6A1DFE" w:rsidR="001D23A0" w:rsidRPr="00005051" w:rsidRDefault="001D23A0"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A263DA" w:rsidRPr="00005051">
              <w:rPr>
                <w:rFonts w:ascii="Times New Roman" w:hAnsi="Times New Roman" w:cs="Times New Roman"/>
                <w:bCs/>
                <w:iCs/>
                <w:sz w:val="24"/>
                <w:szCs w:val="24"/>
              </w:rPr>
              <w:t>8.</w:t>
            </w:r>
            <w:r w:rsidRPr="00005051">
              <w:rPr>
                <w:rFonts w:ascii="Times New Roman" w:hAnsi="Times New Roman" w:cs="Times New Roman"/>
                <w:bCs/>
                <w:iCs/>
                <w:sz w:val="24"/>
                <w:szCs w:val="24"/>
              </w:rPr>
              <w:t xml:space="preserve"> nodaļā ietverti atļaujas izmantot Savienības tranzīta procedūru, kuras pamatā ir elektronisks manifests, attiecībā uz precēm, kuras pārvadā pa jūru izsniegšanas, grozījumu izdarīšanas, apturēšanas, atjaunošanas un anulēšanas nosacījumi. </w:t>
            </w:r>
          </w:p>
          <w:p w14:paraId="649E55BD" w14:textId="1738244B" w:rsidR="001D23A0" w:rsidRPr="00005051" w:rsidRDefault="001D23A0"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t xml:space="preserve">Noteikumu projekta </w:t>
            </w:r>
            <w:r w:rsidR="00A263DA" w:rsidRPr="00005051">
              <w:rPr>
                <w:rFonts w:ascii="Times New Roman" w:hAnsi="Times New Roman" w:cs="Times New Roman"/>
                <w:bCs/>
                <w:iCs/>
                <w:sz w:val="24"/>
                <w:szCs w:val="24"/>
              </w:rPr>
              <w:t>9.</w:t>
            </w:r>
            <w:r w:rsidRPr="00005051">
              <w:rPr>
                <w:rFonts w:ascii="Times New Roman" w:hAnsi="Times New Roman" w:cs="Times New Roman"/>
                <w:bCs/>
                <w:iCs/>
                <w:sz w:val="24"/>
                <w:szCs w:val="24"/>
              </w:rPr>
              <w:t xml:space="preserve"> nodaļā ietverti atļaujas izmantot Savienības tranzīta procedūru papīra formā attiecībā uz precēm, kuras pārvadā pa gaisu izsniegšanas, grozījumu izdarīšanas, apturēšanas, atjaunošanas un anulēšanas nosacījumi. </w:t>
            </w:r>
          </w:p>
          <w:p w14:paraId="371D250B" w14:textId="3CE6618A" w:rsidR="001D23A0" w:rsidRPr="00005051" w:rsidRDefault="001D23A0" w:rsidP="009C19F3">
            <w:pPr>
              <w:spacing w:before="120" w:after="0"/>
              <w:ind w:left="57" w:right="57"/>
              <w:rPr>
                <w:rFonts w:ascii="Times New Roman" w:hAnsi="Times New Roman" w:cs="Times New Roman"/>
                <w:bCs/>
                <w:iCs/>
                <w:sz w:val="24"/>
                <w:szCs w:val="24"/>
              </w:rPr>
            </w:pPr>
            <w:r w:rsidRPr="00005051">
              <w:rPr>
                <w:rFonts w:ascii="Times New Roman" w:hAnsi="Times New Roman" w:cs="Times New Roman"/>
                <w:bCs/>
                <w:iCs/>
                <w:sz w:val="24"/>
                <w:szCs w:val="24"/>
              </w:rPr>
              <w:lastRenderedPageBreak/>
              <w:t xml:space="preserve">Noteikumu projekta </w:t>
            </w:r>
            <w:r w:rsidR="00A263DA" w:rsidRPr="00005051">
              <w:rPr>
                <w:rFonts w:ascii="Times New Roman" w:hAnsi="Times New Roman" w:cs="Times New Roman"/>
                <w:bCs/>
                <w:iCs/>
                <w:sz w:val="24"/>
                <w:szCs w:val="24"/>
              </w:rPr>
              <w:t>10</w:t>
            </w:r>
            <w:r w:rsidRPr="00005051">
              <w:rPr>
                <w:rFonts w:ascii="Times New Roman" w:hAnsi="Times New Roman" w:cs="Times New Roman"/>
                <w:bCs/>
                <w:iCs/>
                <w:sz w:val="24"/>
                <w:szCs w:val="24"/>
              </w:rPr>
              <w:t xml:space="preserve">. nodaļā ietverti atļaujas izmantot Savienības tranzīta procedūru, kuras pamatā ir elektronisks manifests, attiecībā uz precēm, kuras pārvadā pa gaisu izsniegšanas, grozījumu izdarīšanas, apturēšanas, atjaunošanas un anulēšanas nosacījumi. </w:t>
            </w:r>
          </w:p>
          <w:p w14:paraId="64E44675" w14:textId="1578C914" w:rsidR="001D23A0" w:rsidRPr="00005051" w:rsidRDefault="00E34B0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Līdz 2017.gada 1.augustam</w:t>
            </w:r>
            <w:r w:rsidR="00832E54" w:rsidRPr="00005051">
              <w:rPr>
                <w:rFonts w:ascii="Times New Roman" w:hAnsi="Times New Roman" w:cs="Times New Roman"/>
                <w:sz w:val="24"/>
                <w:szCs w:val="24"/>
              </w:rPr>
              <w:t xml:space="preserve"> kārtību, kādā izsniedz atļaujas regulāro kuģu pārvadājumu pakalpojumu sniegšanai un atļauju vienkāršotās tranzīta procedūras piemērošanai, veicot pārvadājumus jūras satiksmē no</w:t>
            </w:r>
            <w:r w:rsidRPr="00005051">
              <w:rPr>
                <w:rFonts w:ascii="Times New Roman" w:hAnsi="Times New Roman" w:cs="Times New Roman"/>
                <w:sz w:val="24"/>
                <w:szCs w:val="24"/>
              </w:rPr>
              <w:t>teica</w:t>
            </w:r>
            <w:r w:rsidR="00832E54" w:rsidRPr="00005051">
              <w:rPr>
                <w:rFonts w:ascii="Times New Roman" w:hAnsi="Times New Roman" w:cs="Times New Roman"/>
                <w:sz w:val="24"/>
                <w:szCs w:val="24"/>
              </w:rPr>
              <w:t xml:space="preserve"> Ministru kabineta 2010.gada 8.jūnija noteikumi Nr.506 “Kārtība, kādā izsniedz atļauju regulāro kuģu pārvadājumu pakalpojumu sniegšanai un atļauju vienkāršotās tranzīta procedūras piemērošanai, veicot pārvadājumus jūras satiksmē” (turpmāk – MK noteikumi Nr.506)</w:t>
            </w:r>
            <w:r w:rsidR="0048237D" w:rsidRPr="00005051">
              <w:rPr>
                <w:rFonts w:ascii="Times New Roman" w:hAnsi="Times New Roman" w:cs="Times New Roman"/>
                <w:sz w:val="24"/>
                <w:szCs w:val="24"/>
              </w:rPr>
              <w:t xml:space="preserve">. </w:t>
            </w:r>
          </w:p>
          <w:p w14:paraId="45B20492" w14:textId="65F0A39C" w:rsidR="004B292D" w:rsidRPr="00005051" w:rsidRDefault="00832E54"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Atļaujas vienkāršotās tranzīta procedūras izmantošanai, veicot pārvadājumus pa gaisu </w:t>
            </w:r>
            <w:r w:rsidR="004B292D" w:rsidRPr="00005051">
              <w:rPr>
                <w:rFonts w:ascii="Times New Roman" w:hAnsi="Times New Roman" w:cs="Times New Roman"/>
                <w:sz w:val="24"/>
                <w:szCs w:val="24"/>
              </w:rPr>
              <w:t xml:space="preserve">(noteikumu projekta IX un X nodaļa) </w:t>
            </w:r>
            <w:r w:rsidRPr="00005051">
              <w:rPr>
                <w:rFonts w:ascii="Times New Roman" w:hAnsi="Times New Roman" w:cs="Times New Roman"/>
                <w:sz w:val="24"/>
                <w:szCs w:val="24"/>
              </w:rPr>
              <w:t xml:space="preserve">izsniegšanas kārtība </w:t>
            </w:r>
            <w:r w:rsidR="00A84D41" w:rsidRPr="00005051">
              <w:rPr>
                <w:rFonts w:ascii="Times New Roman" w:hAnsi="Times New Roman" w:cs="Times New Roman"/>
                <w:sz w:val="24"/>
                <w:szCs w:val="24"/>
              </w:rPr>
              <w:t>šobrīd</w:t>
            </w:r>
            <w:r w:rsidRPr="00005051">
              <w:rPr>
                <w:rFonts w:ascii="Times New Roman" w:hAnsi="Times New Roman" w:cs="Times New Roman"/>
                <w:sz w:val="24"/>
                <w:szCs w:val="24"/>
              </w:rPr>
              <w:t xml:space="preserve"> </w:t>
            </w:r>
            <w:r w:rsidR="00A32621" w:rsidRPr="00005051">
              <w:rPr>
                <w:rFonts w:ascii="Times New Roman" w:hAnsi="Times New Roman" w:cs="Times New Roman"/>
                <w:sz w:val="24"/>
                <w:szCs w:val="24"/>
              </w:rPr>
              <w:t xml:space="preserve">MK noteikumos Nr.506 </w:t>
            </w:r>
            <w:r w:rsidRPr="00005051">
              <w:rPr>
                <w:rFonts w:ascii="Times New Roman" w:hAnsi="Times New Roman" w:cs="Times New Roman"/>
                <w:sz w:val="24"/>
                <w:szCs w:val="24"/>
              </w:rPr>
              <w:t>nav noteikta.</w:t>
            </w:r>
          </w:p>
          <w:p w14:paraId="48353D88" w14:textId="5DC9A49C" w:rsidR="00832E54" w:rsidRPr="00005051" w:rsidRDefault="00832E54" w:rsidP="009C19F3">
            <w:pPr>
              <w:spacing w:before="120" w:after="0"/>
              <w:ind w:left="57" w:right="57"/>
              <w:rPr>
                <w:rFonts w:ascii="Times New Roman" w:hAnsi="Times New Roman" w:cs="Times New Roman"/>
                <w:sz w:val="24"/>
                <w:szCs w:val="24"/>
              </w:rPr>
            </w:pPr>
            <w:r w:rsidRPr="00005051">
              <w:rPr>
                <w:rFonts w:ascii="Times New Roman" w:hAnsi="Times New Roman" w:cs="Times New Roman"/>
                <w:iCs/>
                <w:sz w:val="24"/>
                <w:szCs w:val="24"/>
              </w:rPr>
              <w:t>Līdz 2016.gada 1.maijam muitas vienkāršojumam - “Atļaujai vienkāršotās tranzīta procedūras izmantošanai, veicot pārvadājumus jūras satiksmē” tika noteikti 2 līmeņi – piemērojot 1.līmeni</w:t>
            </w:r>
            <w:r w:rsidR="0079735E" w:rsidRPr="00005051">
              <w:rPr>
                <w:rFonts w:ascii="Times New Roman" w:hAnsi="Times New Roman" w:cs="Times New Roman"/>
                <w:iCs/>
                <w:sz w:val="24"/>
                <w:szCs w:val="24"/>
              </w:rPr>
              <w:t>,</w:t>
            </w:r>
            <w:r w:rsidRPr="00005051">
              <w:rPr>
                <w:rFonts w:ascii="Times New Roman" w:hAnsi="Times New Roman" w:cs="Times New Roman"/>
                <w:iCs/>
                <w:sz w:val="24"/>
                <w:szCs w:val="24"/>
              </w:rPr>
              <w:t xml:space="preserve"> atļaujas turētājs </w:t>
            </w:r>
            <w:r w:rsidRPr="00005051">
              <w:rPr>
                <w:rFonts w:ascii="Times New Roman" w:hAnsi="Times New Roman" w:cs="Times New Roman"/>
                <w:sz w:val="24"/>
                <w:szCs w:val="24"/>
              </w:rPr>
              <w:t>izmantoja preču kravas sa</w:t>
            </w:r>
            <w:r w:rsidR="004B292D" w:rsidRPr="00005051">
              <w:rPr>
                <w:rFonts w:ascii="Times New Roman" w:hAnsi="Times New Roman" w:cs="Times New Roman"/>
                <w:sz w:val="24"/>
                <w:szCs w:val="24"/>
              </w:rPr>
              <w:t>rakstu kā tranzīta deklarāciju, savukārt p</w:t>
            </w:r>
            <w:r w:rsidRPr="00005051">
              <w:rPr>
                <w:rFonts w:ascii="Times New Roman" w:hAnsi="Times New Roman" w:cs="Times New Roman"/>
                <w:sz w:val="24"/>
                <w:szCs w:val="24"/>
              </w:rPr>
              <w:t>iemērojot 2.līmeni</w:t>
            </w:r>
            <w:r w:rsidR="0079735E" w:rsidRPr="00005051">
              <w:rPr>
                <w:rFonts w:ascii="Times New Roman" w:hAnsi="Times New Roman" w:cs="Times New Roman"/>
                <w:sz w:val="24"/>
                <w:szCs w:val="24"/>
              </w:rPr>
              <w:t>,</w:t>
            </w:r>
            <w:r w:rsidRPr="00005051">
              <w:rPr>
                <w:rFonts w:ascii="Times New Roman" w:hAnsi="Times New Roman" w:cs="Times New Roman"/>
                <w:sz w:val="24"/>
                <w:szCs w:val="24"/>
              </w:rPr>
              <w:t xml:space="preserve"> atļaujas turētājs izmantoja vienotu kravas sarakstu kā tranzīta deklarāciju, ja kuģošanas sabiedrība apkalpoja lielāku skaitu regulāru reisu dalībvalstu starpā.</w:t>
            </w:r>
          </w:p>
          <w:p w14:paraId="3D8677F4" w14:textId="19EBEDA2" w:rsidR="00832E54" w:rsidRPr="00005051" w:rsidRDefault="00832E5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iCs/>
                <w:sz w:val="24"/>
                <w:szCs w:val="24"/>
              </w:rPr>
              <w:t xml:space="preserve">No 2016.gada 1.maija </w:t>
            </w:r>
            <w:r w:rsidR="00D02258" w:rsidRPr="00005051">
              <w:rPr>
                <w:rFonts w:ascii="Times New Roman" w:hAnsi="Times New Roman" w:cs="Times New Roman"/>
                <w:iCs/>
                <w:sz w:val="24"/>
                <w:szCs w:val="24"/>
              </w:rPr>
              <w:t>atļauja</w:t>
            </w:r>
            <w:r w:rsidRPr="00005051">
              <w:rPr>
                <w:rFonts w:ascii="Times New Roman" w:hAnsi="Times New Roman" w:cs="Times New Roman"/>
                <w:iCs/>
                <w:sz w:val="24"/>
                <w:szCs w:val="24"/>
              </w:rPr>
              <w:t xml:space="preserve"> vienkāršotās tranzīta procedūras izmantošanai, veicot pārvadājumus jūras satiksmē   tiek aizstāta ar divām atļaujām:</w:t>
            </w:r>
          </w:p>
          <w:p w14:paraId="6AB4948B" w14:textId="151B3A45" w:rsidR="00832E54" w:rsidRPr="00005051" w:rsidRDefault="00D02258"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iCs/>
                <w:sz w:val="24"/>
                <w:szCs w:val="24"/>
              </w:rPr>
              <w:t xml:space="preserve">- </w:t>
            </w:r>
            <w:r w:rsidR="00832E54" w:rsidRPr="00005051">
              <w:rPr>
                <w:rFonts w:ascii="Times New Roman" w:hAnsi="Times New Roman" w:cs="Times New Roman"/>
                <w:iCs/>
                <w:sz w:val="24"/>
                <w:szCs w:val="24"/>
              </w:rPr>
              <w:t xml:space="preserve">Atļauja izmantot Savienības tranzīta procedūru </w:t>
            </w:r>
            <w:r w:rsidRPr="00005051">
              <w:rPr>
                <w:rFonts w:ascii="Times New Roman" w:hAnsi="Times New Roman" w:cs="Times New Roman"/>
                <w:iCs/>
                <w:sz w:val="24"/>
                <w:szCs w:val="24"/>
              </w:rPr>
              <w:t xml:space="preserve">papīra formā </w:t>
            </w:r>
            <w:r w:rsidR="00832E54" w:rsidRPr="00005051">
              <w:rPr>
                <w:rFonts w:ascii="Times New Roman" w:hAnsi="Times New Roman" w:cs="Times New Roman"/>
                <w:iCs/>
                <w:sz w:val="24"/>
                <w:szCs w:val="24"/>
              </w:rPr>
              <w:t>attiecībā uz precēm, kuras pārvadā pa jūru,</w:t>
            </w:r>
          </w:p>
          <w:p w14:paraId="2CB38E96" w14:textId="4B15011F" w:rsidR="00832E54" w:rsidRPr="00005051" w:rsidRDefault="00832E5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iCs/>
                <w:sz w:val="24"/>
                <w:szCs w:val="24"/>
              </w:rPr>
              <w:t>- Atļauja izmantot Savienības tranzīta procedūru, kuras pamatā ir elektronisks manifests, attiecībā uz precēm, kuras pārvadā pa jūru.</w:t>
            </w:r>
          </w:p>
          <w:p w14:paraId="4BFEC12D" w14:textId="6871B230" w:rsidR="00832E54" w:rsidRPr="00005051" w:rsidRDefault="00832E54" w:rsidP="009C19F3">
            <w:pPr>
              <w:pStyle w:val="CM41"/>
              <w:spacing w:before="120"/>
              <w:ind w:left="57" w:right="57"/>
              <w:jc w:val="both"/>
            </w:pPr>
            <w:r w:rsidRPr="00005051">
              <w:rPr>
                <w:iCs/>
              </w:rPr>
              <w:t xml:space="preserve">Līdz 2016.gada 1.maijam muitas vienkāršojumam - “Atļaujai vienkāršotās tranzīta procedūras izmantošanai, veicot pārvadājumus pa gaisu” tika noteikti 2 līmeņi – piemērojot 1.līmeni, atļaujas turētājs </w:t>
            </w:r>
            <w:r w:rsidRPr="00005051">
              <w:t>izmantoja preču kravas sarakstu kā tranzīta deklarāciju</w:t>
            </w:r>
            <w:r w:rsidR="0079735E" w:rsidRPr="00005051">
              <w:t xml:space="preserve">. Savukārt, </w:t>
            </w:r>
            <w:r w:rsidRPr="00005051">
              <w:t>piemērojot 2.līmeni, atļaujas turētājs izmantoja pa datu apmaiņas sistēmu pārsūtītu kravas sarakstu kā tranzīta deklarāciju, ja aviosabiedrība apkalpoja lielāku skaitu regulāru reisu dalībvalstu starpā.</w:t>
            </w:r>
          </w:p>
          <w:p w14:paraId="0745C3E0" w14:textId="1CF064C3" w:rsidR="00832E54" w:rsidRPr="00005051" w:rsidRDefault="00832E5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iCs/>
                <w:sz w:val="24"/>
                <w:szCs w:val="24"/>
              </w:rPr>
              <w:t>No 2016.gada 1.maija</w:t>
            </w:r>
            <w:r w:rsidRPr="00005051" w:rsidDel="007E42A6">
              <w:rPr>
                <w:rFonts w:ascii="Times New Roman" w:hAnsi="Times New Roman" w:cs="Times New Roman"/>
                <w:iCs/>
                <w:sz w:val="24"/>
                <w:szCs w:val="24"/>
              </w:rPr>
              <w:t xml:space="preserve"> </w:t>
            </w:r>
            <w:r w:rsidR="00D02258" w:rsidRPr="00005051">
              <w:rPr>
                <w:rFonts w:ascii="Times New Roman" w:hAnsi="Times New Roman" w:cs="Times New Roman"/>
                <w:iCs/>
                <w:sz w:val="24"/>
                <w:szCs w:val="24"/>
              </w:rPr>
              <w:t>a</w:t>
            </w:r>
            <w:r w:rsidRPr="00005051">
              <w:rPr>
                <w:rFonts w:ascii="Times New Roman" w:hAnsi="Times New Roman" w:cs="Times New Roman"/>
                <w:iCs/>
                <w:sz w:val="24"/>
                <w:szCs w:val="24"/>
              </w:rPr>
              <w:t>tļauja vienkāršotās tranzīta procedūras izmantošanai, veicot pārvadājumus pa gaisu   tiek aizstāta ar divām atļaujām:</w:t>
            </w:r>
          </w:p>
          <w:p w14:paraId="1A782AC4" w14:textId="27158950" w:rsidR="00832E54" w:rsidRPr="00005051" w:rsidRDefault="00832E5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iCs/>
                <w:sz w:val="24"/>
                <w:szCs w:val="24"/>
              </w:rPr>
              <w:t>- Atļauja izmantot Savienības tranzīta procedūru</w:t>
            </w:r>
            <w:r w:rsidR="00D02258" w:rsidRPr="00005051">
              <w:rPr>
                <w:rFonts w:ascii="Times New Roman" w:hAnsi="Times New Roman" w:cs="Times New Roman"/>
                <w:iCs/>
                <w:sz w:val="24"/>
                <w:szCs w:val="24"/>
              </w:rPr>
              <w:t xml:space="preserve"> papīra formā</w:t>
            </w:r>
            <w:r w:rsidRPr="00005051">
              <w:rPr>
                <w:rFonts w:ascii="Times New Roman" w:hAnsi="Times New Roman" w:cs="Times New Roman"/>
                <w:iCs/>
                <w:sz w:val="24"/>
                <w:szCs w:val="24"/>
              </w:rPr>
              <w:t xml:space="preserve"> attiecībā uz</w:t>
            </w:r>
            <w:r w:rsidR="00D02258" w:rsidRPr="00005051">
              <w:rPr>
                <w:rFonts w:ascii="Times New Roman" w:hAnsi="Times New Roman" w:cs="Times New Roman"/>
                <w:iCs/>
                <w:sz w:val="24"/>
                <w:szCs w:val="24"/>
              </w:rPr>
              <w:t xml:space="preserve"> precēm, kuras pārvadā pa gaisu</w:t>
            </w:r>
            <w:r w:rsidRPr="00005051">
              <w:rPr>
                <w:rFonts w:ascii="Times New Roman" w:hAnsi="Times New Roman" w:cs="Times New Roman"/>
                <w:iCs/>
                <w:sz w:val="24"/>
                <w:szCs w:val="24"/>
              </w:rPr>
              <w:t>,</w:t>
            </w:r>
          </w:p>
          <w:p w14:paraId="1AD71DC5" w14:textId="4C5578D7" w:rsidR="00906823" w:rsidRPr="00005051" w:rsidRDefault="00832E54" w:rsidP="009C19F3">
            <w:pPr>
              <w:spacing w:before="120" w:after="0"/>
              <w:ind w:left="57" w:right="57"/>
              <w:rPr>
                <w:rFonts w:ascii="Times New Roman" w:hAnsi="Times New Roman" w:cs="Times New Roman"/>
                <w:iCs/>
                <w:sz w:val="24"/>
                <w:szCs w:val="24"/>
              </w:rPr>
            </w:pPr>
            <w:r w:rsidRPr="00005051">
              <w:rPr>
                <w:rFonts w:ascii="Times New Roman" w:hAnsi="Times New Roman" w:cs="Times New Roman"/>
                <w:iCs/>
                <w:sz w:val="24"/>
                <w:szCs w:val="24"/>
              </w:rPr>
              <w:lastRenderedPageBreak/>
              <w:t>- Atļauja izmantot Savienības tranzīta procedūru, kuras pamatā ir elektronisks manifests, attiecībā uz precēm, kuras pārvadā pa gaisu.</w:t>
            </w:r>
          </w:p>
          <w:p w14:paraId="5C2B6013" w14:textId="02B73E97" w:rsidR="00AD4598" w:rsidRPr="00005051" w:rsidRDefault="00906823" w:rsidP="009C19F3">
            <w:pPr>
              <w:spacing w:before="120" w:after="0"/>
              <w:ind w:left="57" w:right="57"/>
              <w:rPr>
                <w:rFonts w:ascii="Times New Roman" w:eastAsia="Times New Roman" w:hAnsi="Times New Roman" w:cs="Times New Roman"/>
                <w:sz w:val="24"/>
                <w:szCs w:val="24"/>
              </w:rPr>
            </w:pPr>
            <w:r w:rsidRPr="00005051">
              <w:rPr>
                <w:rFonts w:ascii="Times New Roman" w:hAnsi="Times New Roman" w:cs="Times New Roman"/>
                <w:bCs/>
                <w:iCs/>
                <w:sz w:val="24"/>
                <w:szCs w:val="24"/>
              </w:rPr>
              <w:t xml:space="preserve">Noteikumu projekta </w:t>
            </w:r>
            <w:r w:rsidR="00641CEE" w:rsidRPr="00005051">
              <w:rPr>
                <w:rFonts w:ascii="Times New Roman" w:hAnsi="Times New Roman" w:cs="Times New Roman"/>
                <w:bCs/>
                <w:iCs/>
                <w:sz w:val="24"/>
                <w:szCs w:val="24"/>
              </w:rPr>
              <w:t>11</w:t>
            </w:r>
            <w:r w:rsidRPr="00005051">
              <w:rPr>
                <w:rFonts w:ascii="Times New Roman" w:hAnsi="Times New Roman" w:cs="Times New Roman"/>
                <w:bCs/>
                <w:iCs/>
                <w:sz w:val="24"/>
                <w:szCs w:val="24"/>
              </w:rPr>
              <w:t xml:space="preserve">.nodaļā ietverti nosacījumi </w:t>
            </w:r>
            <w:r w:rsidRPr="00005051">
              <w:rPr>
                <w:rFonts w:ascii="Times New Roman" w:eastAsia="Calibri" w:hAnsi="Times New Roman" w:cs="Times New Roman"/>
                <w:sz w:val="24"/>
                <w:szCs w:val="24"/>
              </w:rPr>
              <w:t>atzītā eksportētāja atļaujas</w:t>
            </w:r>
            <w:r w:rsidRPr="00005051">
              <w:rPr>
                <w:rFonts w:ascii="Times New Roman" w:eastAsia="Calibri" w:hAnsi="Times New Roman" w:cs="Times New Roman"/>
                <w:bCs/>
                <w:sz w:val="24"/>
                <w:szCs w:val="24"/>
              </w:rPr>
              <w:t xml:space="preserve"> patstāvīgi deklarēt preču izcelsmi</w:t>
            </w:r>
            <w:r w:rsidRPr="00005051">
              <w:rPr>
                <w:rFonts w:ascii="Times New Roman" w:eastAsia="Times New Roman" w:hAnsi="Times New Roman" w:cs="Times New Roman"/>
                <w:i/>
                <w:sz w:val="24"/>
                <w:szCs w:val="24"/>
              </w:rPr>
              <w:t xml:space="preserve"> </w:t>
            </w:r>
            <w:r w:rsidRPr="00005051">
              <w:rPr>
                <w:rFonts w:ascii="Times New Roman" w:eastAsia="Times New Roman" w:hAnsi="Times New Roman" w:cs="Times New Roman"/>
                <w:sz w:val="24"/>
                <w:szCs w:val="24"/>
              </w:rPr>
              <w:t>izsniegšanai</w:t>
            </w:r>
            <w:r w:rsidR="00CF7B15" w:rsidRPr="00005051">
              <w:rPr>
                <w:rFonts w:ascii="Times New Roman" w:eastAsia="Times New Roman" w:hAnsi="Times New Roman" w:cs="Times New Roman"/>
                <w:sz w:val="24"/>
                <w:szCs w:val="24"/>
              </w:rPr>
              <w:t xml:space="preserve">, </w:t>
            </w:r>
            <w:r w:rsidRPr="00005051">
              <w:rPr>
                <w:rFonts w:ascii="Times New Roman" w:eastAsia="Times New Roman" w:hAnsi="Times New Roman" w:cs="Times New Roman"/>
                <w:sz w:val="24"/>
                <w:szCs w:val="24"/>
              </w:rPr>
              <w:t>grozīšanai</w:t>
            </w:r>
            <w:r w:rsidR="00CF7B15" w:rsidRPr="00005051">
              <w:rPr>
                <w:rFonts w:ascii="Times New Roman" w:eastAsia="Times New Roman" w:hAnsi="Times New Roman" w:cs="Times New Roman"/>
                <w:sz w:val="24"/>
                <w:szCs w:val="24"/>
              </w:rPr>
              <w:t xml:space="preserve"> un anulēšanai</w:t>
            </w:r>
            <w:r w:rsidRPr="00005051">
              <w:rPr>
                <w:rFonts w:ascii="Times New Roman" w:eastAsia="Times New Roman" w:hAnsi="Times New Roman" w:cs="Times New Roman"/>
                <w:sz w:val="24"/>
                <w:szCs w:val="24"/>
              </w:rPr>
              <w:t>.</w:t>
            </w:r>
            <w:r w:rsidR="00AD4598" w:rsidRPr="00005051">
              <w:rPr>
                <w:rFonts w:ascii="Times New Roman" w:eastAsia="Times New Roman" w:hAnsi="Times New Roman" w:cs="Times New Roman"/>
                <w:sz w:val="24"/>
                <w:szCs w:val="24"/>
              </w:rPr>
              <w:t xml:space="preserve"> </w:t>
            </w:r>
          </w:p>
          <w:p w14:paraId="3BD7E37C" w14:textId="03CC42BD" w:rsidR="00AD4598" w:rsidRPr="00005051" w:rsidRDefault="00AD4598" w:rsidP="009C19F3">
            <w:pPr>
              <w:spacing w:before="120" w:after="0"/>
              <w:ind w:left="57" w:right="57"/>
              <w:rPr>
                <w:rFonts w:ascii="Times New Roman" w:eastAsia="Times New Roman" w:hAnsi="Times New Roman" w:cs="Times New Roman"/>
                <w:sz w:val="24"/>
                <w:szCs w:val="24"/>
              </w:rPr>
            </w:pPr>
            <w:r w:rsidRPr="00005051">
              <w:rPr>
                <w:rFonts w:ascii="Times New Roman" w:hAnsi="Times New Roman" w:cs="Times New Roman"/>
                <w:vanish/>
                <w:color w:val="000000"/>
                <w:sz w:val="24"/>
                <w:szCs w:val="24"/>
              </w:rPr>
              <w:t>Līgumi, kas paredz izcelsmi apliecināt ar izcelsmi apliecinošiem sertifikātiem, nosaka, ka komersantiem, kuri bieži eksportē izcelsmes preces, muitas iestāde var piešķirt pilnvaru pašiem deklarēt preču izcelmi par jebkuru summu. Tas nozīmē, ka komersantam nav nepieciešams katram sūtījumam formēt muitas iestādē preču izcelsmi apliecinošu sertifikātu, bet ir iespēja sagatavot izcelsmes deklarāciju uz rēķina. Līgumi, kas paredz izcelsmi apliecināt ar izcelsmi apliecinošiem sertifikātiem, nosaka, ka komersantiem, kuri bieži eksportē izcelsmes preces, muitas iestāde var piešķirt pilnvaru pašiem deklarēt preču izcelmi par jebkuru summu. Tas nozīmē, ka komersantam nav nepieciešams katram sūtījumam formēt muitas iestādē preču izcelsmi apliecinošu sertifikātu, bet ir iespēja sagatavot izcelsmes deklarāciju uz rēķina. Līgumi, kas paredz izcelsmi apliecināt ar izcelsmi apliecinošiem sertifikātiem, nosaka, ka komersantiem, kuri bieži eksportē izcelsmes preces, muitas iestāde var piešķirt pilnvaru pašiem deklarēt preču izcelmi par jebkuru summu. Tas nozīmē, ka komersantam nav nepieciešams katram sūtījumam formēt muitas iestādē preču izcelsmi apliecinošu sertifikātu, bet ir iespēja sagatavot izcelsmes deklarāciju uz rēķina. </w:t>
            </w:r>
            <w:r w:rsidRPr="00005051">
              <w:rPr>
                <w:rFonts w:ascii="Times New Roman" w:hAnsi="Times New Roman" w:cs="Times New Roman"/>
                <w:color w:val="000000"/>
                <w:sz w:val="24"/>
                <w:szCs w:val="24"/>
              </w:rPr>
              <w:t xml:space="preserve">Līgumi, kas paredz izcelsmi apliecināt ar izcelsmi apliecinošiem sertifikātiem, nosaka, ka komersantiem, kuri bieži eksportē izcelsmes preces, muitas iestāde var piešķirt pilnvaru pašiem deklarēt preču </w:t>
            </w:r>
            <w:proofErr w:type="spellStart"/>
            <w:r w:rsidRPr="00005051">
              <w:rPr>
                <w:rFonts w:ascii="Times New Roman" w:hAnsi="Times New Roman" w:cs="Times New Roman"/>
                <w:color w:val="000000"/>
                <w:sz w:val="24"/>
                <w:szCs w:val="24"/>
              </w:rPr>
              <w:t>izcelmi</w:t>
            </w:r>
            <w:proofErr w:type="spellEnd"/>
            <w:r w:rsidRPr="00005051">
              <w:rPr>
                <w:rFonts w:ascii="Times New Roman" w:hAnsi="Times New Roman" w:cs="Times New Roman"/>
                <w:color w:val="000000"/>
                <w:sz w:val="24"/>
                <w:szCs w:val="24"/>
              </w:rPr>
              <w:t xml:space="preserve"> par jebkuru summu</w:t>
            </w:r>
            <w:r w:rsidR="00E96693" w:rsidRPr="00005051">
              <w:rPr>
                <w:rFonts w:ascii="Times New Roman" w:hAnsi="Times New Roman" w:cs="Times New Roman"/>
                <w:color w:val="000000"/>
                <w:sz w:val="24"/>
                <w:szCs w:val="24"/>
              </w:rPr>
              <w:t xml:space="preserve">, izsniedzot </w:t>
            </w:r>
            <w:r w:rsidR="00E96693" w:rsidRPr="00005051">
              <w:rPr>
                <w:rFonts w:ascii="Times New Roman" w:eastAsia="Calibri" w:hAnsi="Times New Roman" w:cs="Times New Roman"/>
                <w:sz w:val="24"/>
                <w:szCs w:val="24"/>
              </w:rPr>
              <w:t>atzītā eksportētāja atļauju</w:t>
            </w:r>
            <w:r w:rsidR="00E96693" w:rsidRPr="00005051">
              <w:rPr>
                <w:rFonts w:ascii="Times New Roman" w:eastAsia="Calibri" w:hAnsi="Times New Roman" w:cs="Times New Roman"/>
                <w:bCs/>
                <w:sz w:val="24"/>
                <w:szCs w:val="24"/>
              </w:rPr>
              <w:t xml:space="preserve"> patstāvīgi deklarēt preču izcelsmi</w:t>
            </w:r>
            <w:r w:rsidRPr="00005051">
              <w:rPr>
                <w:rFonts w:ascii="Times New Roman" w:hAnsi="Times New Roman" w:cs="Times New Roman"/>
                <w:color w:val="000000"/>
                <w:sz w:val="24"/>
                <w:szCs w:val="24"/>
              </w:rPr>
              <w:t>. Tas nozīmē, ka komersantam nav nepieciešams katram sūtījumam formēt muitas iestādē preču izcelsmi apliecinošu sertifikātu, bet ir iespēja sagatavot izcelsmes deklarāciju uz rēķina. </w:t>
            </w:r>
          </w:p>
          <w:p w14:paraId="34703BF9" w14:textId="00D918F5" w:rsidR="0079735E" w:rsidRPr="00005051" w:rsidRDefault="00E34B0E" w:rsidP="009C19F3">
            <w:pPr>
              <w:pStyle w:val="Heading1"/>
              <w:shd w:val="clear" w:color="auto" w:fill="FFFFFF"/>
              <w:spacing w:before="120"/>
              <w:ind w:left="57" w:right="57"/>
              <w:rPr>
                <w:rFonts w:ascii="Times New Roman" w:hAnsi="Times New Roman" w:cs="Times New Roman"/>
                <w:bCs/>
                <w:color w:val="auto"/>
                <w:sz w:val="24"/>
                <w:szCs w:val="24"/>
              </w:rPr>
            </w:pPr>
            <w:r w:rsidRPr="00005051">
              <w:rPr>
                <w:rFonts w:ascii="Times New Roman" w:hAnsi="Times New Roman" w:cs="Times New Roman"/>
                <w:color w:val="auto"/>
                <w:sz w:val="24"/>
                <w:szCs w:val="24"/>
              </w:rPr>
              <w:t>Līdz 2017.gada 1.augustam</w:t>
            </w:r>
            <w:r w:rsidR="0079735E" w:rsidRPr="00005051">
              <w:rPr>
                <w:rFonts w:ascii="Times New Roman" w:hAnsi="Times New Roman" w:cs="Times New Roman"/>
                <w:color w:val="auto"/>
                <w:sz w:val="24"/>
                <w:szCs w:val="24"/>
              </w:rPr>
              <w:t xml:space="preserve"> </w:t>
            </w:r>
            <w:bookmarkStart w:id="4" w:name="bkm38"/>
            <w:bookmarkStart w:id="5" w:name="bkm39"/>
            <w:bookmarkEnd w:id="4"/>
            <w:bookmarkEnd w:id="5"/>
            <w:r w:rsidR="0079735E" w:rsidRPr="00005051">
              <w:rPr>
                <w:rFonts w:ascii="Times New Roman" w:hAnsi="Times New Roman" w:cs="Times New Roman"/>
                <w:color w:val="auto"/>
                <w:sz w:val="24"/>
                <w:szCs w:val="24"/>
                <w:shd w:val="clear" w:color="auto" w:fill="FFFFFF"/>
              </w:rPr>
              <w:t>atzītā eksportētāja statusa iegūšanu regulē Ministru kabineta 2010.gada 8.jūnija noteikumi Nr.507 „Kārtība, kādā komersantam piešķir atzītā eksportētāja statusu un izsniedz pilnvaru patstāvīgi deklarēt preču izcelsmi” (turpmāk – MK noteikumi Nr.507).</w:t>
            </w:r>
          </w:p>
          <w:p w14:paraId="452BAFCD" w14:textId="77777777" w:rsidR="0079735E" w:rsidRPr="00005051" w:rsidRDefault="0079735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Regulas Nr.2015/2447 67.panta 1.punktā noteikts, ja Savienībai ir preferenču nolīgums ar trešo valsti, kurā noteikts, ka izcelsmes apliecinājums tiek izsniegts deklarācijas vai izcelsmes deklarācijas veidā, ko sagatavo atzīts eksportētājs, kas veic uzņēmējdarbību Savienības muitas teritorijā, var pieteikties atzītā eksportētāja atļaujas saņemšanai nolūkā sagatavot un aizstāt minētās deklarācijas.</w:t>
            </w:r>
          </w:p>
          <w:p w14:paraId="38042011" w14:textId="29CD93D7" w:rsidR="0079735E" w:rsidRPr="00005051" w:rsidRDefault="0079735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No 2017.gada gada 1.janvāra Vispārējās priekšrocību sistēmas (VPS) ietvaros sāk piemērot reģistrēto eksportētāju sistēmu (REX). Regulas Nr.2015/2447 86.panta 2.punktā noteikts, lai kļūtu par reģistrētu eksportētāju, eksportētājs vai preču pārsūtītājs, kurš veic uzņēmējdarbību Savienības muitas teritorijā, iesniedz </w:t>
            </w:r>
            <w:r w:rsidR="00546B6E" w:rsidRPr="00005051">
              <w:rPr>
                <w:rFonts w:ascii="Times New Roman" w:hAnsi="Times New Roman" w:cs="Times New Roman"/>
                <w:sz w:val="24"/>
                <w:szCs w:val="24"/>
              </w:rPr>
              <w:t>iesniegumu</w:t>
            </w:r>
            <w:r w:rsidRPr="00005051">
              <w:rPr>
                <w:rFonts w:ascii="Times New Roman" w:hAnsi="Times New Roman" w:cs="Times New Roman"/>
                <w:sz w:val="24"/>
                <w:szCs w:val="24"/>
              </w:rPr>
              <w:t xml:space="preserve"> attiecīgās dalībvalsts muitas dienestiem. </w:t>
            </w:r>
            <w:r w:rsidR="00546B6E" w:rsidRPr="00005051">
              <w:rPr>
                <w:rFonts w:ascii="Times New Roman" w:hAnsi="Times New Roman" w:cs="Times New Roman"/>
                <w:sz w:val="24"/>
                <w:szCs w:val="24"/>
              </w:rPr>
              <w:t>Iesniegumu</w:t>
            </w:r>
            <w:r w:rsidRPr="00005051">
              <w:rPr>
                <w:rFonts w:ascii="Times New Roman" w:hAnsi="Times New Roman" w:cs="Times New Roman"/>
                <w:sz w:val="24"/>
                <w:szCs w:val="24"/>
              </w:rPr>
              <w:t xml:space="preserve"> iesniedz, izmantojot 22-06.pielikumā iekļauto veidlapu.</w:t>
            </w:r>
          </w:p>
          <w:p w14:paraId="114F08CA" w14:textId="77777777" w:rsidR="0079735E" w:rsidRPr="00005051" w:rsidRDefault="0079735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Starptautisko nolīgumu pantā “Atzīts eksportētājs” noteikts, ka muitas iestādes var piešķirt atzītā eksportētāja statusu saskaņā ar jebkuriem nosacījumiem, kurus uzskata par atbilstīgiem.</w:t>
            </w:r>
          </w:p>
          <w:p w14:paraId="2010F458" w14:textId="77777777" w:rsidR="0079735E" w:rsidRPr="00005051" w:rsidRDefault="0079735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Respektīvi, ņemot vērā tiesību aktos ietvertās normas, atzītā eksportētāja statusa jēdziens (vai reģistrētā eksportētāja) minēts 3 līdzīgos gadījumos:</w:t>
            </w:r>
          </w:p>
          <w:p w14:paraId="457A87F8" w14:textId="77777777" w:rsidR="0079735E" w:rsidRPr="00005051" w:rsidRDefault="0079735E" w:rsidP="009C19F3">
            <w:pPr>
              <w:pStyle w:val="ListParagraph"/>
              <w:numPr>
                <w:ilvl w:val="0"/>
                <w:numId w:val="13"/>
              </w:numPr>
              <w:spacing w:before="120"/>
              <w:ind w:left="57" w:right="57" w:firstLine="0"/>
              <w:jc w:val="both"/>
              <w:rPr>
                <w:rFonts w:ascii="Times New Roman" w:hAnsi="Times New Roman" w:cs="Times New Roman"/>
                <w:sz w:val="24"/>
                <w:szCs w:val="24"/>
              </w:rPr>
            </w:pPr>
            <w:r w:rsidRPr="00005051">
              <w:rPr>
                <w:rFonts w:ascii="Times New Roman" w:hAnsi="Times New Roman" w:cs="Times New Roman"/>
                <w:sz w:val="24"/>
                <w:szCs w:val="24"/>
              </w:rPr>
              <w:t>Savienības pārsūtītājiem nolūkā aizstāt izcelsmes deklarācijas;</w:t>
            </w:r>
          </w:p>
          <w:p w14:paraId="08BF112F" w14:textId="77777777" w:rsidR="0079735E" w:rsidRPr="00005051" w:rsidRDefault="0079735E" w:rsidP="009C19F3">
            <w:pPr>
              <w:pStyle w:val="ListParagraph"/>
              <w:numPr>
                <w:ilvl w:val="0"/>
                <w:numId w:val="13"/>
              </w:numPr>
              <w:spacing w:before="120"/>
              <w:ind w:left="57" w:right="57" w:firstLine="0"/>
              <w:jc w:val="both"/>
              <w:rPr>
                <w:rFonts w:ascii="Times New Roman" w:hAnsi="Times New Roman" w:cs="Times New Roman"/>
                <w:sz w:val="24"/>
                <w:szCs w:val="24"/>
              </w:rPr>
            </w:pPr>
            <w:r w:rsidRPr="00005051">
              <w:rPr>
                <w:rFonts w:ascii="Times New Roman" w:hAnsi="Times New Roman" w:cs="Times New Roman"/>
                <w:sz w:val="24"/>
                <w:szCs w:val="24"/>
              </w:rPr>
              <w:t>REX ietvaros, VPS sistēmas piemērošanai;</w:t>
            </w:r>
          </w:p>
          <w:p w14:paraId="2502F49E" w14:textId="77777777" w:rsidR="0079735E" w:rsidRPr="00005051" w:rsidRDefault="0079735E" w:rsidP="009C19F3">
            <w:pPr>
              <w:pStyle w:val="ListParagraph"/>
              <w:numPr>
                <w:ilvl w:val="0"/>
                <w:numId w:val="13"/>
              </w:numPr>
              <w:spacing w:before="120"/>
              <w:ind w:left="57" w:right="57" w:firstLine="0"/>
              <w:jc w:val="both"/>
              <w:rPr>
                <w:rFonts w:ascii="Times New Roman" w:hAnsi="Times New Roman" w:cs="Times New Roman"/>
                <w:sz w:val="24"/>
                <w:szCs w:val="24"/>
              </w:rPr>
            </w:pPr>
            <w:r w:rsidRPr="00005051">
              <w:rPr>
                <w:rFonts w:ascii="Times New Roman" w:hAnsi="Times New Roman" w:cs="Times New Roman"/>
                <w:sz w:val="24"/>
                <w:szCs w:val="24"/>
              </w:rPr>
              <w:t>Starptautisko nolīgumu ietvaros.</w:t>
            </w:r>
          </w:p>
          <w:p w14:paraId="7D6F223E" w14:textId="10B33FF5" w:rsidR="0079735E" w:rsidRPr="00005051" w:rsidRDefault="00105B8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MK</w:t>
            </w:r>
            <w:r w:rsidR="0079735E" w:rsidRPr="00005051">
              <w:rPr>
                <w:rFonts w:ascii="Times New Roman" w:hAnsi="Times New Roman" w:cs="Times New Roman"/>
                <w:sz w:val="24"/>
                <w:szCs w:val="24"/>
              </w:rPr>
              <w:t xml:space="preserve"> noteikumos Nr.507 ietvertās tiesību normas ir attiecināmas uz atzītā eksportētāja statusa piešķiršanu starptautisko nolīgumu ietvaros. </w:t>
            </w:r>
            <w:r w:rsidRPr="00005051">
              <w:rPr>
                <w:rFonts w:ascii="Times New Roman" w:hAnsi="Times New Roman" w:cs="Times New Roman"/>
                <w:sz w:val="24"/>
                <w:szCs w:val="24"/>
              </w:rPr>
              <w:t>MK</w:t>
            </w:r>
            <w:r w:rsidR="0079735E" w:rsidRPr="00005051">
              <w:rPr>
                <w:rFonts w:ascii="Times New Roman" w:hAnsi="Times New Roman" w:cs="Times New Roman"/>
                <w:sz w:val="24"/>
                <w:szCs w:val="24"/>
              </w:rPr>
              <w:t xml:space="preserve"> noteikumos Nr.507 atsevišķi izdalīti ļoti liberāli </w:t>
            </w:r>
            <w:r w:rsidR="0079735E" w:rsidRPr="00005051">
              <w:rPr>
                <w:rFonts w:ascii="Times New Roman" w:hAnsi="Times New Roman" w:cs="Times New Roman"/>
                <w:sz w:val="24"/>
                <w:szCs w:val="24"/>
              </w:rPr>
              <w:lastRenderedPageBreak/>
              <w:t xml:space="preserve">nosacījumi atzītā eksportētāja statusa iegūšanai tirdzniecībā ar Korejas Republiku (uzņēmums ir reģistrēts Latvijas Republikas Uzņēmumu reģistra komercreģistrā, uzņēmumam nav nodokļu parāda un uzņēmums nav sodīts par noziedzīgiem nodarījumiem muitas jomā), jo Brīvās tirdzniecības līgums starp Eiropas Savienību un Korejas Republiku neparedz iespēju preces izcelsmi apliecināt ar muitā izsniegtu sertifikātu. Faktiski šīs normas liedz iespēju Valsts ieņēmumu dienestam no uzņēmuma pieprasīt informāciju par eksportējamās preces atbilstību izcelsmes iegūšanas kritērijiem. </w:t>
            </w:r>
          </w:p>
          <w:p w14:paraId="2B81A45A" w14:textId="44A3DE24" w:rsidR="0079735E" w:rsidRPr="00005051" w:rsidRDefault="0079735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Savukārt, attiecībā uz pārējām valstīm atsevišķas </w:t>
            </w:r>
            <w:r w:rsidR="00105B8E" w:rsidRPr="00005051">
              <w:rPr>
                <w:rFonts w:ascii="Times New Roman" w:hAnsi="Times New Roman" w:cs="Times New Roman"/>
                <w:sz w:val="24"/>
                <w:szCs w:val="24"/>
              </w:rPr>
              <w:t>MK</w:t>
            </w:r>
            <w:r w:rsidRPr="00005051">
              <w:rPr>
                <w:rFonts w:ascii="Times New Roman" w:hAnsi="Times New Roman" w:cs="Times New Roman"/>
                <w:sz w:val="24"/>
                <w:szCs w:val="24"/>
              </w:rPr>
              <w:t xml:space="preserve"> noteikumos Nr.507 iekļautās normas nevajadzīgi liedz iespēju uzņēmumam piešķirt atzītā eksportētāja statusu arī tad, ja tiek izpildīti preces izcelsmes iegūšanas kritēriji. </w:t>
            </w:r>
          </w:p>
          <w:p w14:paraId="278AE60A" w14:textId="275D3F81" w:rsidR="0079735E" w:rsidRPr="00005051" w:rsidRDefault="00105B8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MK</w:t>
            </w:r>
            <w:r w:rsidR="0079735E" w:rsidRPr="00005051">
              <w:rPr>
                <w:rFonts w:ascii="Times New Roman" w:hAnsi="Times New Roman" w:cs="Times New Roman"/>
                <w:sz w:val="24"/>
                <w:szCs w:val="24"/>
              </w:rPr>
              <w:t xml:space="preserve"> noteikumu Nr.507 5.punktā ir uzskaitīti atzītā eksportētāja statusa saņemšanai iesniedzamie dokumenti. No šā uzskaitījuma ir secināms, ka atzītā eksportētāja statusu var saņemt tikai ražotāji. Šis nosacījums nav atbilstošs citu Savienības dalībvalstu praksei, kā arī Eiropas Komisijas viedoklim, ka preces izcelsmi var apliecināt persona, kurai ir jebkura veida pierādījumi par attiecīgās preces izcelsmi.</w:t>
            </w:r>
          </w:p>
          <w:p w14:paraId="16A7E334" w14:textId="77777777" w:rsidR="0079735E" w:rsidRPr="00005051" w:rsidRDefault="0079735E" w:rsidP="009C19F3">
            <w:pPr>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Regulas Nr.2015/2447 67.pantā noteikts, ka atzītā eksportētāja atļauju piešķir tikai personām, kuras atbilst nosacījumiem, kas izklāstīti izcelsmes noteikumos, kuri iekļauti vai nu nolīgumos, kurus Savienība ir noslēgusi ar dažām valstīm vai teritorijām, kas atrodas ārpus savienības muitas teritorijas, vai tiesību aktos, kurus savienība ir pieņēmusi vienpusēji attiecībā uz minētajām valstīm vai teritorijām.</w:t>
            </w:r>
          </w:p>
          <w:p w14:paraId="41C40600" w14:textId="5E6EC461" w:rsidR="0079735E" w:rsidRPr="00005051" w:rsidRDefault="0079735E" w:rsidP="009C19F3">
            <w:pPr>
              <w:autoSpaceDE w:val="0"/>
              <w:autoSpaceDN w:val="0"/>
              <w:adjustRightInd w:val="0"/>
              <w:spacing w:before="120" w:after="0"/>
              <w:ind w:left="57" w:right="57"/>
              <w:rPr>
                <w:rFonts w:ascii="Times New Roman" w:hAnsi="Times New Roman" w:cs="Times New Roman"/>
                <w:sz w:val="24"/>
                <w:szCs w:val="24"/>
              </w:rPr>
            </w:pPr>
            <w:r w:rsidRPr="00005051">
              <w:rPr>
                <w:rFonts w:ascii="Times New Roman" w:hAnsi="Times New Roman" w:cs="Times New Roman"/>
                <w:sz w:val="24"/>
                <w:szCs w:val="24"/>
              </w:rPr>
              <w:t xml:space="preserve">Lai saņemtu atzītā eksportētāja atļauju, persona Valsts ieņēmumu dienestam iesniedz </w:t>
            </w:r>
            <w:r w:rsidR="00105B8E" w:rsidRPr="00005051">
              <w:rPr>
                <w:rFonts w:ascii="Times New Roman" w:hAnsi="Times New Roman" w:cs="Times New Roman"/>
                <w:sz w:val="24"/>
                <w:szCs w:val="24"/>
              </w:rPr>
              <w:t>iesniegumu</w:t>
            </w:r>
            <w:r w:rsidRPr="00005051">
              <w:rPr>
                <w:rFonts w:ascii="Times New Roman" w:hAnsi="Times New Roman" w:cs="Times New Roman"/>
                <w:sz w:val="24"/>
                <w:szCs w:val="24"/>
              </w:rPr>
              <w:t xml:space="preserve">, norādot visu nepieciešamo informāciju preces izcelsmes noteikšanai. Valsts ieņēmumu dienests, lemjot par atļaujas piešķiršanu, no personas, kura vēlas iegūt atzītā eksportētāja statusu, var pieprasīt jebkuru informāciju, kura nepieciešama, lai pārliecinātos, ka tiek izpildīti nosacījumi, kas izklāstīti preču izcelsmes noteikumos. Informācija par šiem nosacījumiem pieejama Valsts ieņēmumu dienesta </w:t>
            </w:r>
            <w:r w:rsidR="005B3017" w:rsidRPr="00005051">
              <w:rPr>
                <w:rFonts w:ascii="Times New Roman" w:hAnsi="Times New Roman" w:cs="Times New Roman"/>
                <w:sz w:val="24"/>
                <w:szCs w:val="24"/>
              </w:rPr>
              <w:t>tīmekļa</w:t>
            </w:r>
            <w:r w:rsidRPr="00005051">
              <w:rPr>
                <w:rFonts w:ascii="Times New Roman" w:hAnsi="Times New Roman" w:cs="Times New Roman"/>
                <w:sz w:val="24"/>
                <w:szCs w:val="24"/>
              </w:rPr>
              <w:t xml:space="preserve"> vietnē.</w:t>
            </w:r>
          </w:p>
          <w:p w14:paraId="18270C1D" w14:textId="10F87F58" w:rsidR="0079735E" w:rsidRPr="00005051" w:rsidRDefault="00105B8E" w:rsidP="009C19F3">
            <w:pPr>
              <w:spacing w:before="120" w:after="0"/>
              <w:ind w:left="57" w:right="57"/>
              <w:rPr>
                <w:rFonts w:ascii="Times New Roman" w:eastAsia="Calibri" w:hAnsi="Times New Roman" w:cs="Times New Roman"/>
                <w:sz w:val="24"/>
                <w:szCs w:val="24"/>
              </w:rPr>
            </w:pPr>
            <w:bookmarkStart w:id="6" w:name="p-79723"/>
            <w:bookmarkStart w:id="7" w:name="p5"/>
            <w:bookmarkEnd w:id="6"/>
            <w:bookmarkEnd w:id="7"/>
            <w:r w:rsidRPr="00005051">
              <w:rPr>
                <w:rFonts w:ascii="Times New Roman" w:eastAsia="Calibri" w:hAnsi="Times New Roman" w:cs="Times New Roman"/>
                <w:sz w:val="24"/>
                <w:szCs w:val="24"/>
              </w:rPr>
              <w:t>Iesnieguma</w:t>
            </w:r>
            <w:r w:rsidR="0079735E" w:rsidRPr="00005051">
              <w:rPr>
                <w:rFonts w:ascii="Times New Roman" w:eastAsia="Calibri" w:hAnsi="Times New Roman" w:cs="Times New Roman"/>
                <w:sz w:val="24"/>
                <w:szCs w:val="24"/>
              </w:rPr>
              <w:t xml:space="preserve"> iesniedzējam jānorāda šādas ziņas:</w:t>
            </w:r>
          </w:p>
          <w:p w14:paraId="2D086D68" w14:textId="77777777" w:rsidR="0079735E" w:rsidRPr="00005051" w:rsidRDefault="0079735E" w:rsidP="009C19F3">
            <w:pPr>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Eksportējamās produkcijas nosaukums un HS kods, valstis, uz kurām plānots eksportēt preces, vai persona pati ražo preces, vai tās ir iegādātas Savienībā, visas ziņas un pamatojumi par eksportējamās preces atbilstību nepieciešamajiem izcelsmes iegūšanas kritērijiem.</w:t>
            </w:r>
          </w:p>
          <w:p w14:paraId="375A0373" w14:textId="568EA425" w:rsidR="0079735E" w:rsidRPr="00005051" w:rsidRDefault="00105B8E" w:rsidP="009C19F3">
            <w:pPr>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Iesniegumam</w:t>
            </w:r>
            <w:r w:rsidR="0079735E" w:rsidRPr="00005051">
              <w:rPr>
                <w:rFonts w:ascii="Times New Roman" w:eastAsia="Calibri" w:hAnsi="Times New Roman" w:cs="Times New Roman"/>
                <w:sz w:val="24"/>
                <w:szCs w:val="24"/>
              </w:rPr>
              <w:t xml:space="preserve"> pievieno dokumentus, kas apliecina, ka ir ievēroti izcelsmes noteikumu nosacījumi atbilstoši nolīgumam vai vienošanās starp Savienību un trešo valsti:</w:t>
            </w:r>
          </w:p>
          <w:p w14:paraId="1343365C" w14:textId="77777777" w:rsidR="0079735E" w:rsidRPr="00005051" w:rsidRDefault="0079735E" w:rsidP="009C19F3">
            <w:pPr>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1) ja preču ražošanā tiek izmantoti izejmateriāli, kuriem ir Savienības izcelsme, to izcelsmi apliecina ar Regulas Nr.2015/2447 63.panta 2.punktā minēto piegādātāja deklarāciju;</w:t>
            </w:r>
          </w:p>
          <w:p w14:paraId="14892A43" w14:textId="77777777" w:rsidR="0079735E" w:rsidRPr="00005051" w:rsidRDefault="0079735E" w:rsidP="009C19F3">
            <w:pPr>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lastRenderedPageBreak/>
              <w:t>2) ja preču ražošanā ir izmantoti nenoteiktas izcelsmes izejmateriāli un eksportam paredzētās preces izcelsmes noteikšanai piemērojama pievienotās vērtības metode, to izcelsmi pierāda ar pašizmaksas kalkulāciju;</w:t>
            </w:r>
          </w:p>
          <w:p w14:paraId="6D2700B6" w14:textId="77777777" w:rsidR="0079735E" w:rsidRPr="00005051" w:rsidRDefault="0079735E" w:rsidP="009C19F3">
            <w:pPr>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3) ja preču ražošanā piemērota kumulācija ar preferenciālās zonas valstīm, to izcelsmi pierāda ar izmantoto izejvielu izcelsmi apliecinošu dokumentu.</w:t>
            </w:r>
          </w:p>
          <w:p w14:paraId="0C53450D" w14:textId="77777777" w:rsidR="0079735E" w:rsidRPr="00005051" w:rsidRDefault="0079735E" w:rsidP="009C19F3">
            <w:pPr>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REX sistēmas ietvaros uzņēmums Valsts ieņēmumu dienestā iesniedz papīra formātā aizpildītu Regulas Nr.2015/2447 22-06.pielikumu.</w:t>
            </w:r>
          </w:p>
          <w:p w14:paraId="718CABCE" w14:textId="77777777" w:rsidR="0079735E" w:rsidRPr="00005051" w:rsidRDefault="0079735E" w:rsidP="009C19F3">
            <w:pPr>
              <w:autoSpaceDE w:val="0"/>
              <w:autoSpaceDN w:val="0"/>
              <w:adjustRightInd w:val="0"/>
              <w:spacing w:before="120" w:after="0"/>
              <w:ind w:left="57" w:right="57"/>
              <w:rPr>
                <w:rFonts w:ascii="Times New Roman" w:eastAsia="Calibri" w:hAnsi="Times New Roman" w:cs="Times New Roman"/>
                <w:sz w:val="24"/>
                <w:szCs w:val="24"/>
              </w:rPr>
            </w:pPr>
            <w:bookmarkStart w:id="8" w:name="p-79725"/>
            <w:bookmarkStart w:id="9" w:name="p7"/>
            <w:bookmarkEnd w:id="8"/>
            <w:bookmarkEnd w:id="9"/>
            <w:r w:rsidRPr="00005051">
              <w:rPr>
                <w:rFonts w:ascii="Times New Roman" w:eastAsia="Calibri" w:hAnsi="Times New Roman" w:cs="Times New Roman"/>
                <w:sz w:val="24"/>
                <w:szCs w:val="24"/>
              </w:rPr>
              <w:t>Atļaujas patstāvīgi deklarēt preču izcelsmi piešķiršanas gadījumā atzītais eksportētājs uzņemas saistības:</w:t>
            </w:r>
          </w:p>
          <w:p w14:paraId="3CA804DB" w14:textId="77777777" w:rsidR="0079735E" w:rsidRPr="00005051" w:rsidRDefault="0079735E" w:rsidP="009C19F3">
            <w:pPr>
              <w:autoSpaceDE w:val="0"/>
              <w:autoSpaceDN w:val="0"/>
              <w:adjustRightInd w:val="0"/>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1) pēc Valsts ieņēmumu dienesta pieprasījuma iesniegt Valsts ieņēmumu dienestā eksportēto preču izcelsmes apliecinājumus;</w:t>
            </w:r>
          </w:p>
          <w:p w14:paraId="14CF2BB0" w14:textId="77777777" w:rsidR="0079735E" w:rsidRPr="00005051" w:rsidRDefault="0079735E" w:rsidP="009C19F3">
            <w:pPr>
              <w:autoSpaceDE w:val="0"/>
              <w:autoSpaceDN w:val="0"/>
              <w:adjustRightInd w:val="0"/>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2) glabāt izcelsmes apliecinājumus trīs gadus no izcelsmes apliecinājuma piešķiršanas dienas;</w:t>
            </w:r>
          </w:p>
          <w:p w14:paraId="6ACBC884" w14:textId="77777777" w:rsidR="0079735E" w:rsidRPr="00005051" w:rsidRDefault="0079735E" w:rsidP="009C19F3">
            <w:pPr>
              <w:autoSpaceDE w:val="0"/>
              <w:autoSpaceDN w:val="0"/>
              <w:adjustRightInd w:val="0"/>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3) noformēt izcelsmes apliecinājumus tikai tām precēm, kuras atbilst nosacījumiem, kas izklāstīti konkrētajā nolīgumā vai vienošanās starp Savienību un trešo valsti.</w:t>
            </w:r>
          </w:p>
          <w:p w14:paraId="26D85808" w14:textId="77777777" w:rsidR="0079735E" w:rsidRPr="00005051" w:rsidRDefault="0079735E" w:rsidP="009C19F3">
            <w:pPr>
              <w:autoSpaceDE w:val="0"/>
              <w:autoSpaceDN w:val="0"/>
              <w:adjustRightInd w:val="0"/>
              <w:spacing w:before="120" w:after="0"/>
              <w:ind w:left="57" w:right="57"/>
              <w:rPr>
                <w:rFonts w:ascii="Times New Roman" w:eastAsia="Calibri" w:hAnsi="Times New Roman" w:cs="Times New Roman"/>
                <w:sz w:val="24"/>
                <w:szCs w:val="24"/>
              </w:rPr>
            </w:pPr>
            <w:r w:rsidRPr="00005051">
              <w:rPr>
                <w:rFonts w:ascii="Times New Roman" w:eastAsia="Calibri" w:hAnsi="Times New Roman" w:cs="Times New Roman"/>
                <w:sz w:val="24"/>
                <w:szCs w:val="24"/>
              </w:rPr>
              <w:t>Ņemot vērā to, ka atzītā eksportētāja atļauju patstāvīgi deklarēt preču izcelsmi piešķir tikai personām, kuras atbilst Komisijas Regulas Nr.2015/2447, 67.panta 3.punktā paredzētajiem nosacījumiem, Valsts ieņēmumu dienests var atteikt atļaujas patstāvīgi deklarēt preču izcelsmi izdošanu gadījumā, ja persona nesniedz pietiekamas ziņas, lai noteiktu vai eksportējamā prece atbilst Regulas Nr.2015/2447 67.panta 3.punktā paredzētajiem nosacījumiem. Ja persona Valsts ieņēmumu dienestam nesniedz informāciju par to, ka ir mainījušies nosacījumi, pamatojoties uz kuriem tika noteikta eksportējamās produkcijas izcelsme, Valsts ieņēmumu dienests anulē atļauju patstāvīgi deklarēt preču izcelsmi.</w:t>
            </w:r>
          </w:p>
          <w:p w14:paraId="6392BD8D" w14:textId="08C3887C" w:rsidR="005A3B23" w:rsidRPr="00005051" w:rsidRDefault="0079735E" w:rsidP="009C19F3">
            <w:pPr>
              <w:autoSpaceDE w:val="0"/>
              <w:autoSpaceDN w:val="0"/>
              <w:adjustRightInd w:val="0"/>
              <w:spacing w:before="120" w:after="0"/>
              <w:ind w:left="57" w:right="57"/>
              <w:rPr>
                <w:rFonts w:ascii="Times New Roman" w:hAnsi="Times New Roman" w:cs="Times New Roman"/>
                <w:sz w:val="24"/>
                <w:szCs w:val="24"/>
              </w:rPr>
            </w:pPr>
            <w:r w:rsidRPr="00005051">
              <w:rPr>
                <w:rFonts w:ascii="Times New Roman" w:eastAsia="Calibri" w:hAnsi="Times New Roman" w:cs="Times New Roman"/>
                <w:sz w:val="24"/>
                <w:szCs w:val="24"/>
              </w:rPr>
              <w:t>Ņemot vērā to, ka Regulā Nr.952/2013 netiek lietots termins “komersants”, kas tika lietots</w:t>
            </w:r>
            <w:r w:rsidRPr="00005051">
              <w:rPr>
                <w:rFonts w:ascii="Times New Roman" w:hAnsi="Times New Roman" w:cs="Times New Roman"/>
                <w:sz w:val="24"/>
                <w:szCs w:val="24"/>
              </w:rPr>
              <w:t xml:space="preserve"> </w:t>
            </w:r>
            <w:r w:rsidRPr="00005051">
              <w:rPr>
                <w:rFonts w:ascii="Times New Roman" w:eastAsia="Calibri" w:hAnsi="Times New Roman" w:cs="Times New Roman"/>
                <w:sz w:val="24"/>
                <w:szCs w:val="24"/>
              </w:rPr>
              <w:t>Ministru kabineta 2010.gada 8.jūnija noteikumos Nr.507, noteikumu projektā tiek lietots termins “uzņēmums” atbilstoši</w:t>
            </w:r>
            <w:r w:rsidRPr="00005051">
              <w:rPr>
                <w:rFonts w:ascii="Times New Roman" w:hAnsi="Times New Roman" w:cs="Times New Roman"/>
                <w:sz w:val="24"/>
                <w:szCs w:val="24"/>
              </w:rPr>
              <w:t xml:space="preserve"> </w:t>
            </w:r>
            <w:r w:rsidRPr="00005051">
              <w:rPr>
                <w:rFonts w:ascii="Times New Roman" w:eastAsia="Calibri" w:hAnsi="Times New Roman" w:cs="Times New Roman"/>
                <w:sz w:val="24"/>
                <w:szCs w:val="24"/>
              </w:rPr>
              <w:t xml:space="preserve">Regulā Nr.952/2013 lietotajai terminoloģijai. </w:t>
            </w:r>
            <w:bookmarkStart w:id="10" w:name="p-79727"/>
            <w:bookmarkStart w:id="11" w:name="p8"/>
            <w:bookmarkEnd w:id="10"/>
            <w:bookmarkEnd w:id="11"/>
          </w:p>
        </w:tc>
      </w:tr>
      <w:tr w:rsidR="00941AE5" w:rsidRPr="00A80218" w14:paraId="513EBCB7" w14:textId="77777777" w:rsidTr="00ED78C1">
        <w:trPr>
          <w:trHeight w:val="476"/>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0A995245" w14:textId="6051EDA7" w:rsidR="002D7DCA" w:rsidRPr="00A80218"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lastRenderedPageBreak/>
              <w:t>3</w:t>
            </w:r>
            <w:r w:rsidR="002D7DCA"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36F5D61E" w14:textId="77777777" w:rsidR="002D7DCA" w:rsidRPr="00A80218"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Projekta izstrādē iesaistītās institūcijas</w:t>
            </w:r>
          </w:p>
        </w:tc>
        <w:tc>
          <w:tcPr>
            <w:tcW w:w="6520" w:type="dxa"/>
            <w:gridSpan w:val="4"/>
            <w:tcBorders>
              <w:top w:val="outset" w:sz="6" w:space="0" w:color="auto"/>
              <w:left w:val="outset" w:sz="6" w:space="0" w:color="auto"/>
              <w:bottom w:val="outset" w:sz="6" w:space="0" w:color="auto"/>
              <w:right w:val="outset" w:sz="6" w:space="0" w:color="auto"/>
            </w:tcBorders>
            <w:hideMark/>
          </w:tcPr>
          <w:p w14:paraId="10240775" w14:textId="556A6693" w:rsidR="002D7DCA" w:rsidRPr="00A80218" w:rsidRDefault="004658E3" w:rsidP="00620FE9">
            <w:pPr>
              <w:spacing w:after="0" w:line="40" w:lineRule="atLeast"/>
              <w:ind w:left="57" w:right="57" w:hanging="23"/>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Va</w:t>
            </w:r>
            <w:r w:rsidR="00AD6F89" w:rsidRPr="00A80218">
              <w:rPr>
                <w:rFonts w:ascii="Times New Roman" w:eastAsia="Times New Roman" w:hAnsi="Times New Roman" w:cs="Times New Roman"/>
                <w:sz w:val="24"/>
                <w:szCs w:val="24"/>
                <w:lang w:eastAsia="lv-LV"/>
              </w:rPr>
              <w:t>lsts ieņēmumu dienests</w:t>
            </w:r>
            <w:r w:rsidR="004C1DCC" w:rsidRPr="00A80218">
              <w:rPr>
                <w:rFonts w:ascii="Times New Roman" w:eastAsia="Times New Roman" w:hAnsi="Times New Roman" w:cs="Times New Roman"/>
                <w:sz w:val="24"/>
                <w:szCs w:val="24"/>
                <w:lang w:eastAsia="lv-LV"/>
              </w:rPr>
              <w:t>.</w:t>
            </w:r>
          </w:p>
        </w:tc>
      </w:tr>
      <w:tr w:rsidR="00941AE5" w:rsidRPr="00A80218" w14:paraId="0F707D11" w14:textId="77777777" w:rsidTr="00ED78C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EDA8E92" w14:textId="77777777" w:rsidR="002D7DCA" w:rsidRPr="00A80218" w:rsidRDefault="006C7812"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4</w:t>
            </w:r>
            <w:r w:rsidR="002D7DCA"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519C6BED" w14:textId="77777777" w:rsidR="002D7DCA" w:rsidRPr="00A80218" w:rsidRDefault="002D7DCA"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hideMark/>
          </w:tcPr>
          <w:p w14:paraId="78E54AB8" w14:textId="77777777" w:rsidR="002D7DCA" w:rsidRPr="00A80218" w:rsidRDefault="000B29AA" w:rsidP="00620FE9">
            <w:pPr>
              <w:spacing w:after="0"/>
              <w:ind w:left="57" w:right="57" w:hanging="23"/>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Nav</w:t>
            </w:r>
          </w:p>
        </w:tc>
      </w:tr>
      <w:tr w:rsidR="00A80218" w:rsidRPr="00A80218" w14:paraId="27CA0842" w14:textId="77777777" w:rsidTr="00ED78C1">
        <w:trPr>
          <w:tblCellSpacing w:w="0" w:type="dxa"/>
        </w:trPr>
        <w:tc>
          <w:tcPr>
            <w:tcW w:w="418" w:type="dxa"/>
            <w:tcBorders>
              <w:top w:val="outset" w:sz="6" w:space="0" w:color="auto"/>
              <w:left w:val="nil"/>
              <w:bottom w:val="nil"/>
              <w:right w:val="nil"/>
            </w:tcBorders>
          </w:tcPr>
          <w:p w14:paraId="7D1C4BA3" w14:textId="77777777" w:rsidR="00A80218" w:rsidRPr="00A80218" w:rsidRDefault="00A80218" w:rsidP="0056343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p>
        </w:tc>
        <w:tc>
          <w:tcPr>
            <w:tcW w:w="2126" w:type="dxa"/>
            <w:tcBorders>
              <w:top w:val="outset" w:sz="6" w:space="0" w:color="auto"/>
              <w:left w:val="nil"/>
              <w:bottom w:val="nil"/>
              <w:right w:val="nil"/>
            </w:tcBorders>
          </w:tcPr>
          <w:p w14:paraId="418EAED1" w14:textId="77777777" w:rsidR="00A80218" w:rsidRPr="00A80218" w:rsidRDefault="00A80218" w:rsidP="004E3590">
            <w:pPr>
              <w:spacing w:before="100" w:beforeAutospacing="1" w:after="100" w:afterAutospacing="1" w:line="40" w:lineRule="atLeast"/>
              <w:ind w:left="172"/>
              <w:jc w:val="left"/>
              <w:rPr>
                <w:rFonts w:ascii="Times New Roman" w:eastAsia="Times New Roman" w:hAnsi="Times New Roman" w:cs="Times New Roman"/>
                <w:sz w:val="24"/>
                <w:szCs w:val="24"/>
                <w:lang w:eastAsia="lv-LV"/>
              </w:rPr>
            </w:pPr>
          </w:p>
        </w:tc>
        <w:tc>
          <w:tcPr>
            <w:tcW w:w="6520" w:type="dxa"/>
            <w:gridSpan w:val="4"/>
            <w:tcBorders>
              <w:top w:val="outset" w:sz="6" w:space="0" w:color="auto"/>
              <w:left w:val="nil"/>
              <w:bottom w:val="nil"/>
              <w:right w:val="nil"/>
            </w:tcBorders>
          </w:tcPr>
          <w:p w14:paraId="19D5527B" w14:textId="77777777" w:rsidR="00A80218" w:rsidRPr="00A80218" w:rsidRDefault="00A80218" w:rsidP="00620FE9">
            <w:pPr>
              <w:spacing w:after="0"/>
              <w:ind w:left="57" w:right="57" w:hanging="23"/>
              <w:jc w:val="left"/>
              <w:rPr>
                <w:rFonts w:ascii="Times New Roman" w:eastAsia="Times New Roman" w:hAnsi="Times New Roman" w:cs="Times New Roman"/>
                <w:sz w:val="24"/>
                <w:szCs w:val="24"/>
                <w:lang w:eastAsia="lv-LV"/>
              </w:rPr>
            </w:pPr>
          </w:p>
        </w:tc>
      </w:tr>
      <w:tr w:rsidR="00941AE5" w:rsidRPr="00A80218" w14:paraId="22F25157" w14:textId="77777777" w:rsidTr="00A80218">
        <w:trPr>
          <w:tblCellSpacing w:w="0" w:type="dxa"/>
        </w:trPr>
        <w:tc>
          <w:tcPr>
            <w:tcW w:w="9064" w:type="dxa"/>
            <w:gridSpan w:val="6"/>
            <w:tcBorders>
              <w:top w:val="outset" w:sz="6" w:space="0" w:color="auto"/>
              <w:left w:val="outset" w:sz="6" w:space="0" w:color="auto"/>
              <w:bottom w:val="outset" w:sz="6" w:space="0" w:color="auto"/>
              <w:right w:val="outset" w:sz="6" w:space="0" w:color="auto"/>
            </w:tcBorders>
            <w:vAlign w:val="center"/>
            <w:hideMark/>
          </w:tcPr>
          <w:p w14:paraId="697AB157" w14:textId="77777777" w:rsidR="00490599" w:rsidRPr="00A80218" w:rsidRDefault="00490599" w:rsidP="00633309">
            <w:pPr>
              <w:spacing w:before="100" w:beforeAutospacing="1" w:after="100" w:afterAutospacing="1" w:line="40" w:lineRule="atLeast"/>
              <w:ind w:left="0"/>
              <w:jc w:val="center"/>
              <w:rPr>
                <w:rFonts w:ascii="Times New Roman" w:eastAsia="Times New Roman" w:hAnsi="Times New Roman" w:cs="Times New Roman"/>
                <w:b/>
                <w:sz w:val="24"/>
                <w:szCs w:val="24"/>
                <w:lang w:eastAsia="lv-LV"/>
              </w:rPr>
            </w:pPr>
            <w:r w:rsidRPr="00A80218">
              <w:rPr>
                <w:rFonts w:ascii="Times New Roman" w:eastAsia="Times New Roman" w:hAnsi="Times New Roman" w:cs="Times New Roman"/>
                <w:b/>
                <w:sz w:val="24"/>
                <w:szCs w:val="24"/>
                <w:lang w:eastAsia="lv-LV"/>
              </w:rPr>
              <w:t>II. Tiesību akta projekta ietekme uz sabiedrību</w:t>
            </w:r>
            <w:r w:rsidR="00633309" w:rsidRPr="00A80218">
              <w:rPr>
                <w:rFonts w:ascii="Times New Roman" w:hAnsi="Times New Roman" w:cs="Times New Roman"/>
                <w:b/>
                <w:bCs/>
                <w:sz w:val="24"/>
                <w:szCs w:val="24"/>
              </w:rPr>
              <w:t>, tautsaimniecības attīstību un administratīvo slogu</w:t>
            </w:r>
          </w:p>
        </w:tc>
      </w:tr>
      <w:tr w:rsidR="00941AE5" w:rsidRPr="00A80218" w14:paraId="6E9D0CC1" w14:textId="77777777" w:rsidTr="00ED78C1">
        <w:trPr>
          <w:trHeight w:val="46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45273E50" w14:textId="77777777" w:rsidR="00490599" w:rsidRPr="00A80218" w:rsidRDefault="000F17F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1</w:t>
            </w:r>
            <w:r w:rsidR="00490599"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0D8E5663" w14:textId="77777777" w:rsidR="00490599" w:rsidRPr="00A80218" w:rsidRDefault="00490599" w:rsidP="00496857">
            <w:pPr>
              <w:spacing w:before="100" w:beforeAutospacing="1" w:after="100" w:afterAutospacing="1" w:line="40" w:lineRule="atLeast"/>
              <w:ind w:left="111"/>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Sabiedrības </w:t>
            </w:r>
            <w:proofErr w:type="spellStart"/>
            <w:r w:rsidRPr="00A80218">
              <w:rPr>
                <w:rFonts w:ascii="Times New Roman" w:eastAsia="Times New Roman" w:hAnsi="Times New Roman" w:cs="Times New Roman"/>
                <w:sz w:val="24"/>
                <w:szCs w:val="24"/>
                <w:lang w:eastAsia="lv-LV"/>
              </w:rPr>
              <w:t>mērķgrupa</w:t>
            </w:r>
            <w:r w:rsidR="006A02DF" w:rsidRPr="00A80218">
              <w:rPr>
                <w:rFonts w:ascii="Times New Roman" w:eastAsia="Times New Roman" w:hAnsi="Times New Roman" w:cs="Times New Roman"/>
                <w:sz w:val="24"/>
                <w:szCs w:val="24"/>
                <w:lang w:eastAsia="lv-LV"/>
              </w:rPr>
              <w:t>s</w:t>
            </w:r>
            <w:proofErr w:type="spellEnd"/>
            <w:r w:rsidR="006A02DF" w:rsidRPr="00A80218">
              <w:rPr>
                <w:rFonts w:ascii="Times New Roman" w:eastAsia="Times New Roman" w:hAnsi="Times New Roman" w:cs="Times New Roman"/>
                <w:sz w:val="24"/>
                <w:szCs w:val="24"/>
                <w:lang w:eastAsia="lv-LV"/>
              </w:rPr>
              <w:t xml:space="preserve">, </w:t>
            </w:r>
            <w:r w:rsidR="006A02DF" w:rsidRPr="00A80218">
              <w:rPr>
                <w:rFonts w:ascii="Times New Roman" w:hAnsi="Times New Roman" w:cs="Times New Roman"/>
                <w:sz w:val="24"/>
                <w:szCs w:val="24"/>
              </w:rPr>
              <w:t>kuras tiesiskais regulējums ietekmē vai varētu ietekmēt</w:t>
            </w:r>
          </w:p>
        </w:tc>
        <w:tc>
          <w:tcPr>
            <w:tcW w:w="6520" w:type="dxa"/>
            <w:gridSpan w:val="4"/>
            <w:tcBorders>
              <w:top w:val="outset" w:sz="6" w:space="0" w:color="auto"/>
              <w:left w:val="outset" w:sz="6" w:space="0" w:color="auto"/>
              <w:bottom w:val="outset" w:sz="6" w:space="0" w:color="auto"/>
              <w:right w:val="outset" w:sz="6" w:space="0" w:color="auto"/>
            </w:tcBorders>
            <w:hideMark/>
          </w:tcPr>
          <w:p w14:paraId="4E487D87" w14:textId="06CE4853" w:rsidR="004A6B56" w:rsidRPr="00A80218" w:rsidRDefault="001E523E" w:rsidP="001E523E">
            <w:pPr>
              <w:spacing w:before="120"/>
              <w:ind w:left="57" w:right="57"/>
              <w:rPr>
                <w:rFonts w:ascii="Times New Roman" w:eastAsia="Times New Roman" w:hAnsi="Times New Roman" w:cs="Times New Roman"/>
                <w:sz w:val="24"/>
                <w:szCs w:val="24"/>
              </w:rPr>
            </w:pPr>
            <w:r w:rsidRPr="00A80218">
              <w:rPr>
                <w:rFonts w:ascii="Times New Roman" w:eastAsia="Times New Roman" w:hAnsi="Times New Roman" w:cs="Times New Roman"/>
                <w:sz w:val="24"/>
                <w:szCs w:val="24"/>
                <w:lang w:eastAsia="lv-LV"/>
              </w:rPr>
              <w:t>-</w:t>
            </w:r>
            <w:r w:rsidRPr="00A80218">
              <w:rPr>
                <w:rFonts w:ascii="Times New Roman" w:eastAsia="Times New Roman" w:hAnsi="Times New Roman" w:cs="Times New Roman"/>
                <w:sz w:val="24"/>
                <w:szCs w:val="24"/>
              </w:rPr>
              <w:t xml:space="preserve"> </w:t>
            </w:r>
            <w:r w:rsidR="004A01F4" w:rsidRPr="00A80218">
              <w:rPr>
                <w:rFonts w:ascii="Times New Roman" w:eastAsia="Times New Roman" w:hAnsi="Times New Roman" w:cs="Times New Roman"/>
                <w:sz w:val="24"/>
                <w:szCs w:val="24"/>
              </w:rPr>
              <w:t xml:space="preserve">Projekta </w:t>
            </w:r>
            <w:proofErr w:type="spellStart"/>
            <w:r w:rsidR="004A01F4" w:rsidRPr="00A80218">
              <w:rPr>
                <w:rFonts w:ascii="Times New Roman" w:eastAsia="Times New Roman" w:hAnsi="Times New Roman" w:cs="Times New Roman"/>
                <w:sz w:val="24"/>
                <w:szCs w:val="24"/>
              </w:rPr>
              <w:t>mērķgrupa</w:t>
            </w:r>
            <w:proofErr w:type="spellEnd"/>
            <w:r w:rsidR="004A01F4" w:rsidRPr="00A80218">
              <w:rPr>
                <w:rFonts w:ascii="Times New Roman" w:eastAsia="Times New Roman" w:hAnsi="Times New Roman" w:cs="Times New Roman"/>
                <w:sz w:val="24"/>
                <w:szCs w:val="24"/>
              </w:rPr>
              <w:t xml:space="preserve"> ir tie komersanti, kas ir saņēmuši vai nākotnē saņems </w:t>
            </w:r>
            <w:r w:rsidR="004A01F4" w:rsidRPr="00A80218">
              <w:rPr>
                <w:rFonts w:ascii="Times New Roman" w:eastAsia="Times New Roman" w:hAnsi="Times New Roman" w:cs="Times New Roman"/>
                <w:bCs/>
                <w:sz w:val="24"/>
                <w:szCs w:val="24"/>
              </w:rPr>
              <w:t xml:space="preserve">vienkāršotās deklarēšanas un ierakstu deklarētāja reģistros, </w:t>
            </w:r>
            <w:r w:rsidR="004A01F4" w:rsidRPr="00A80218">
              <w:rPr>
                <w:rFonts w:ascii="Times New Roman" w:eastAsia="Times New Roman" w:hAnsi="Times New Roman" w:cs="Times New Roman"/>
                <w:bCs/>
                <w:sz w:val="24"/>
                <w:szCs w:val="24"/>
              </w:rPr>
              <w:lastRenderedPageBreak/>
              <w:t>atzītā nosūtītāja un atzītā saņēmēja statusu un atzītā uzņēmēja atļauju</w:t>
            </w:r>
            <w:r w:rsidR="00C4071F" w:rsidRPr="00A80218">
              <w:rPr>
                <w:rFonts w:ascii="Times New Roman" w:eastAsia="Times New Roman" w:hAnsi="Times New Roman" w:cs="Times New Roman"/>
                <w:sz w:val="24"/>
                <w:szCs w:val="24"/>
              </w:rPr>
              <w:t>.</w:t>
            </w:r>
          </w:p>
          <w:p w14:paraId="216B0387" w14:textId="77777777" w:rsidR="004A01F4" w:rsidRPr="00A80218" w:rsidRDefault="004A01F4" w:rsidP="00EC7FD5">
            <w:pPr>
              <w:spacing w:before="120" w:after="0"/>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Līdz šim Latvijā ir izsniegtas 9 vienkāršotās deklarēšanas atļaujas, 38 vietējās muitošanas atļaujas, izsniegti 24 atzītā uzņēmēja atļaujas, piešķirts atzītā saņēmēja statuss 71 </w:t>
            </w:r>
            <w:r w:rsidR="004C1DCC" w:rsidRPr="00A80218">
              <w:rPr>
                <w:rFonts w:ascii="Times New Roman" w:eastAsia="Times New Roman" w:hAnsi="Times New Roman" w:cs="Times New Roman"/>
                <w:sz w:val="24"/>
                <w:szCs w:val="24"/>
                <w:lang w:eastAsia="lv-LV"/>
              </w:rPr>
              <w:t>komersantam</w:t>
            </w:r>
            <w:r w:rsidRPr="00A80218">
              <w:rPr>
                <w:rFonts w:ascii="Times New Roman" w:eastAsia="Times New Roman" w:hAnsi="Times New Roman" w:cs="Times New Roman"/>
                <w:sz w:val="24"/>
                <w:szCs w:val="24"/>
                <w:lang w:eastAsia="lv-LV"/>
              </w:rPr>
              <w:t>, savukārt 76 komersantiem piešķirts atzītā nosūtītāja statuss</w:t>
            </w:r>
            <w:r w:rsidR="004C1DCC" w:rsidRPr="00A80218">
              <w:rPr>
                <w:rFonts w:ascii="Times New Roman" w:eastAsia="Times New Roman" w:hAnsi="Times New Roman" w:cs="Times New Roman"/>
                <w:sz w:val="24"/>
                <w:szCs w:val="24"/>
                <w:lang w:eastAsia="lv-LV"/>
              </w:rPr>
              <w:t>.</w:t>
            </w:r>
          </w:p>
          <w:p w14:paraId="359ACE68" w14:textId="1C80D836" w:rsidR="009172B7" w:rsidRPr="00A80218" w:rsidRDefault="001E523E" w:rsidP="00EC7FD5">
            <w:pPr>
              <w:spacing w:before="120" w:after="0"/>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 </w:t>
            </w:r>
            <w:r w:rsidR="009172B7" w:rsidRPr="00A80218">
              <w:rPr>
                <w:rFonts w:ascii="Times New Roman" w:eastAsia="Times New Roman" w:hAnsi="Times New Roman" w:cs="Times New Roman"/>
                <w:sz w:val="24"/>
                <w:szCs w:val="24"/>
                <w:lang w:eastAsia="lv-LV"/>
              </w:rPr>
              <w:t xml:space="preserve">Projekta </w:t>
            </w:r>
            <w:proofErr w:type="spellStart"/>
            <w:r w:rsidR="009172B7" w:rsidRPr="00A80218">
              <w:rPr>
                <w:rFonts w:ascii="Times New Roman" w:eastAsia="Times New Roman" w:hAnsi="Times New Roman" w:cs="Times New Roman"/>
                <w:sz w:val="24"/>
                <w:szCs w:val="24"/>
                <w:lang w:eastAsia="lv-LV"/>
              </w:rPr>
              <w:t>mērķgrupa</w:t>
            </w:r>
            <w:proofErr w:type="spellEnd"/>
            <w:r w:rsidR="009172B7" w:rsidRPr="00A80218">
              <w:rPr>
                <w:rFonts w:ascii="Times New Roman" w:eastAsia="Times New Roman" w:hAnsi="Times New Roman" w:cs="Times New Roman"/>
                <w:sz w:val="24"/>
                <w:szCs w:val="24"/>
                <w:lang w:eastAsia="lv-LV"/>
              </w:rPr>
              <w:t xml:space="preserve"> ir tās kuģošanas sabiedrības, kas nākotnē iegūs atļaujas regulāro kuģu pārvadājumu pakalpojumu sniegšanai un atļaujas izmantot Savienības tranzīta procedūras, veicot pārvadājumus jūras satiksmē, kā arī tās kuģošanas sabiedrības, kas minētās atļaujas jau ir saņēmušas, kā arī aviosabiedrības, kas nākotnē iegūs atļaujas izmantot Savienības tranzīta procedūras attiecībā uz precēm, kuras pārvadā pa gaisu, kā arī tās aviosabiedrības, kas minētās atļaujas jau ir saņēmušas.</w:t>
            </w:r>
          </w:p>
          <w:p w14:paraId="0EED47F2" w14:textId="77777777" w:rsidR="009172B7" w:rsidRPr="00A80218" w:rsidRDefault="009172B7" w:rsidP="00EC7FD5">
            <w:pPr>
              <w:spacing w:before="120" w:after="0"/>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Līdz šim Latvijā ir izsniegtas 7 regulāro kuģu pārvadājumu pakalpojumu sniegšanas atļaujas (šobrīd aktīva ir 1 atļauja) un 2 atļaujas vienkāršotās tranzīta procedūras izmantošanai, veicot pārvadājumus pa gaisu (1. un 2.līmeņa).</w:t>
            </w:r>
          </w:p>
          <w:p w14:paraId="21AE6C54" w14:textId="77777777" w:rsidR="009172B7" w:rsidRPr="00A80218" w:rsidRDefault="009172B7" w:rsidP="00EC7FD5">
            <w:pPr>
              <w:spacing w:before="120" w:after="0"/>
              <w:ind w:left="57" w:right="57"/>
              <w:rPr>
                <w:rFonts w:ascii="Times New Roman" w:hAnsi="Times New Roman" w:cs="Times New Roman"/>
                <w:sz w:val="24"/>
                <w:szCs w:val="24"/>
              </w:rPr>
            </w:pPr>
            <w:r w:rsidRPr="00A80218">
              <w:rPr>
                <w:rFonts w:ascii="Times New Roman" w:eastAsia="Times New Roman" w:hAnsi="Times New Roman" w:cs="Times New Roman"/>
                <w:sz w:val="24"/>
                <w:szCs w:val="24"/>
                <w:lang w:eastAsia="lv-LV"/>
              </w:rPr>
              <w:t>Līdz šim Latvijā nav izsniegta neviena</w:t>
            </w:r>
            <w:r w:rsidRPr="00A80218">
              <w:rPr>
                <w:rFonts w:ascii="Times New Roman" w:hAnsi="Times New Roman" w:cs="Times New Roman"/>
                <w:sz w:val="24"/>
                <w:szCs w:val="24"/>
              </w:rPr>
              <w:t xml:space="preserve"> atļauja vienkāršotās tranzīta procedūras piemērošanai, veicot pārvadājumus jūras satiksmē.</w:t>
            </w:r>
          </w:p>
          <w:p w14:paraId="2894C6D8" w14:textId="09D6FAAC" w:rsidR="009172B7" w:rsidRPr="00A80218" w:rsidRDefault="001E523E" w:rsidP="00EC7FD5">
            <w:pPr>
              <w:spacing w:before="120" w:after="0"/>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 </w:t>
            </w:r>
            <w:r w:rsidR="00F955DF" w:rsidRPr="00A80218">
              <w:rPr>
                <w:rFonts w:ascii="Times New Roman" w:eastAsia="Times New Roman" w:hAnsi="Times New Roman" w:cs="Times New Roman"/>
                <w:sz w:val="24"/>
                <w:szCs w:val="24"/>
                <w:lang w:eastAsia="lv-LV"/>
              </w:rPr>
              <w:t xml:space="preserve">Projekta </w:t>
            </w:r>
            <w:proofErr w:type="spellStart"/>
            <w:r w:rsidR="00F955DF" w:rsidRPr="00A80218">
              <w:rPr>
                <w:rFonts w:ascii="Times New Roman" w:eastAsia="Times New Roman" w:hAnsi="Times New Roman" w:cs="Times New Roman"/>
                <w:sz w:val="24"/>
                <w:szCs w:val="24"/>
                <w:lang w:eastAsia="lv-LV"/>
              </w:rPr>
              <w:t>mērķgrupa</w:t>
            </w:r>
            <w:proofErr w:type="spellEnd"/>
            <w:r w:rsidR="00F955DF" w:rsidRPr="00A80218">
              <w:rPr>
                <w:rFonts w:ascii="Times New Roman" w:eastAsia="Times New Roman" w:hAnsi="Times New Roman" w:cs="Times New Roman"/>
                <w:sz w:val="24"/>
                <w:szCs w:val="24"/>
                <w:lang w:eastAsia="lv-LV"/>
              </w:rPr>
              <w:t xml:space="preserve"> ir </w:t>
            </w:r>
            <w:r w:rsidR="009172B7" w:rsidRPr="00A80218">
              <w:rPr>
                <w:rFonts w:ascii="Times New Roman" w:eastAsia="Times New Roman" w:hAnsi="Times New Roman" w:cs="Times New Roman"/>
                <w:sz w:val="24"/>
                <w:szCs w:val="24"/>
                <w:lang w:eastAsia="lv-LV"/>
              </w:rPr>
              <w:t xml:space="preserve">Latvijas Republikā reģistrētas juridiskas un fiziskas personas, kas veic preču eksportu uz trešajām valstīm vai </w:t>
            </w:r>
            <w:proofErr w:type="spellStart"/>
            <w:r w:rsidR="009172B7" w:rsidRPr="00A80218">
              <w:rPr>
                <w:rFonts w:ascii="Times New Roman" w:eastAsia="Times New Roman" w:hAnsi="Times New Roman" w:cs="Times New Roman"/>
                <w:sz w:val="24"/>
                <w:szCs w:val="24"/>
                <w:lang w:eastAsia="lv-LV"/>
              </w:rPr>
              <w:t>pārsūta</w:t>
            </w:r>
            <w:proofErr w:type="spellEnd"/>
            <w:r w:rsidR="009172B7" w:rsidRPr="00A80218">
              <w:rPr>
                <w:rFonts w:ascii="Times New Roman" w:eastAsia="Times New Roman" w:hAnsi="Times New Roman" w:cs="Times New Roman"/>
                <w:sz w:val="24"/>
                <w:szCs w:val="24"/>
                <w:lang w:eastAsia="lv-LV"/>
              </w:rPr>
              <w:t xml:space="preserve"> preces uz citu vietu Savienībā preferenciālo režīmu ietvaros.</w:t>
            </w:r>
          </w:p>
        </w:tc>
      </w:tr>
      <w:tr w:rsidR="00941AE5" w:rsidRPr="00A80218" w14:paraId="1C71E742" w14:textId="77777777" w:rsidTr="00ED78C1">
        <w:trPr>
          <w:trHeight w:val="51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9FF4279" w14:textId="77777777" w:rsidR="00490599" w:rsidRPr="00A80218" w:rsidRDefault="006A02DF"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lastRenderedPageBreak/>
              <w:t>2</w:t>
            </w:r>
            <w:r w:rsidR="00490599"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70A5E742" w14:textId="0ADDE322" w:rsidR="00490599" w:rsidRPr="00A80218" w:rsidRDefault="00E243EF" w:rsidP="006A02DF">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0218">
              <w:rPr>
                <w:rFonts w:ascii="Times New Roman" w:hAnsi="Times New Roman" w:cs="Times New Roman"/>
                <w:sz w:val="24"/>
                <w:szCs w:val="24"/>
              </w:rPr>
              <w:t>Tiesiskā regulējuma ietekme uz tautsaimniecību un administratīvo slogu</w:t>
            </w:r>
          </w:p>
        </w:tc>
        <w:tc>
          <w:tcPr>
            <w:tcW w:w="6520" w:type="dxa"/>
            <w:gridSpan w:val="4"/>
            <w:tcBorders>
              <w:top w:val="outset" w:sz="6" w:space="0" w:color="auto"/>
              <w:left w:val="outset" w:sz="6" w:space="0" w:color="auto"/>
              <w:bottom w:val="outset" w:sz="6" w:space="0" w:color="auto"/>
              <w:right w:val="outset" w:sz="6" w:space="0" w:color="auto"/>
            </w:tcBorders>
            <w:hideMark/>
          </w:tcPr>
          <w:p w14:paraId="27A5BDDF" w14:textId="7A4B649C" w:rsidR="00490599" w:rsidRPr="00A80218" w:rsidRDefault="009172B7" w:rsidP="00A630DC">
            <w:pPr>
              <w:spacing w:before="120" w:after="0"/>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paredz, ka administratīvais slogs uzņēmumiem tiks samazināts vai saglabāsies esošajā līmenī, jo saņemot atļauju patstāvīgi deklarēt preču izcelsmi, uzņēmumam nebūs nepieciešams doties uz muitas iestādi apstiprināt preču izcelsmi apliecinošo sertifikātu EUR.1 vai EUR.MED, kas ir alternatīva preču izcelsmes apliecināšanas iespēja. Pie kam, preču izcelsmi apliecinošie sertifikāti EUR.1 un EUR.MED tiek apstiprināti tikai Rīgā, Ventspilī un Daugavpilī.</w:t>
            </w:r>
          </w:p>
        </w:tc>
      </w:tr>
      <w:tr w:rsidR="00941AE5" w:rsidRPr="00A80218" w14:paraId="01002B35" w14:textId="77777777" w:rsidTr="00ED78C1">
        <w:trPr>
          <w:trHeight w:val="531"/>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8C1A13F" w14:textId="77777777" w:rsidR="00490599" w:rsidRPr="00A80218" w:rsidRDefault="00414A8B"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3</w:t>
            </w:r>
            <w:r w:rsidR="00490599"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1753D8AA" w14:textId="77777777" w:rsidR="00490599" w:rsidRPr="00A80218" w:rsidRDefault="00414A8B" w:rsidP="007F13F6">
            <w:pPr>
              <w:spacing w:before="100" w:beforeAutospacing="1" w:after="100" w:afterAutospacing="1" w:line="40" w:lineRule="atLeast"/>
              <w:ind w:left="126"/>
              <w:jc w:val="left"/>
              <w:rPr>
                <w:rFonts w:ascii="Times New Roman" w:eastAsia="Times New Roman" w:hAnsi="Times New Roman" w:cs="Times New Roman"/>
                <w:sz w:val="24"/>
                <w:szCs w:val="24"/>
                <w:lang w:eastAsia="lv-LV"/>
              </w:rPr>
            </w:pPr>
            <w:r w:rsidRPr="00A80218">
              <w:rPr>
                <w:rFonts w:ascii="Times New Roman" w:hAnsi="Times New Roman" w:cs="Times New Roman"/>
                <w:sz w:val="24"/>
                <w:szCs w:val="24"/>
              </w:rPr>
              <w:t>Administratīvo izmaksu monetārs novērtējums</w:t>
            </w:r>
          </w:p>
        </w:tc>
        <w:tc>
          <w:tcPr>
            <w:tcW w:w="6520" w:type="dxa"/>
            <w:gridSpan w:val="4"/>
            <w:tcBorders>
              <w:top w:val="outset" w:sz="6" w:space="0" w:color="auto"/>
              <w:left w:val="outset" w:sz="6" w:space="0" w:color="auto"/>
              <w:bottom w:val="outset" w:sz="6" w:space="0" w:color="auto"/>
              <w:right w:val="outset" w:sz="6" w:space="0" w:color="auto"/>
            </w:tcBorders>
            <w:hideMark/>
          </w:tcPr>
          <w:p w14:paraId="06AB9F05" w14:textId="4162FBD2" w:rsidR="00490599" w:rsidRPr="00A80218" w:rsidRDefault="008E71FA" w:rsidP="00A630DC">
            <w:pPr>
              <w:spacing w:line="40" w:lineRule="atLeast"/>
              <w:ind w:left="34"/>
              <w:rPr>
                <w:rFonts w:ascii="Times New Roman" w:eastAsia="Times New Roman" w:hAnsi="Times New Roman" w:cs="Times New Roman"/>
                <w:sz w:val="24"/>
                <w:szCs w:val="24"/>
                <w:highlight w:val="yellow"/>
                <w:lang w:eastAsia="lv-LV"/>
              </w:rPr>
            </w:pPr>
            <w:r w:rsidRPr="00A80218">
              <w:rPr>
                <w:rFonts w:ascii="Times New Roman" w:eastAsia="Times New Roman" w:hAnsi="Times New Roman" w:cs="Times New Roman"/>
                <w:sz w:val="24"/>
                <w:szCs w:val="24"/>
                <w:lang w:eastAsia="lv-LV"/>
              </w:rPr>
              <w:t>Noteikumu p</w:t>
            </w:r>
            <w:r w:rsidR="00987DE1" w:rsidRPr="00A80218">
              <w:rPr>
                <w:rFonts w:ascii="Times New Roman" w:eastAsia="Times New Roman" w:hAnsi="Times New Roman" w:cs="Times New Roman"/>
                <w:sz w:val="24"/>
                <w:szCs w:val="24"/>
                <w:lang w:eastAsia="lv-LV"/>
              </w:rPr>
              <w:t>rojekts šo jomu neskar</w:t>
            </w:r>
            <w:r w:rsidR="00A630DC" w:rsidRPr="00A80218">
              <w:rPr>
                <w:rFonts w:ascii="Times New Roman" w:eastAsia="Times New Roman" w:hAnsi="Times New Roman" w:cs="Times New Roman"/>
                <w:sz w:val="24"/>
                <w:szCs w:val="24"/>
                <w:lang w:eastAsia="lv-LV"/>
              </w:rPr>
              <w:t>.</w:t>
            </w:r>
          </w:p>
        </w:tc>
      </w:tr>
      <w:tr w:rsidR="00941AE5" w:rsidRPr="00A80218" w14:paraId="71BDD9AA" w14:textId="77777777" w:rsidTr="00ED78C1">
        <w:trPr>
          <w:trHeight w:val="531"/>
          <w:tblCellSpacing w:w="0" w:type="dxa"/>
        </w:trPr>
        <w:tc>
          <w:tcPr>
            <w:tcW w:w="418" w:type="dxa"/>
            <w:tcBorders>
              <w:top w:val="outset" w:sz="6" w:space="0" w:color="auto"/>
              <w:left w:val="outset" w:sz="6" w:space="0" w:color="auto"/>
              <w:bottom w:val="outset" w:sz="6" w:space="0" w:color="auto"/>
              <w:right w:val="outset" w:sz="6" w:space="0" w:color="auto"/>
            </w:tcBorders>
          </w:tcPr>
          <w:p w14:paraId="21AAE854" w14:textId="36716410" w:rsidR="00AF7C80" w:rsidRPr="00A80218" w:rsidRDefault="00AF7C80" w:rsidP="00563436">
            <w:pPr>
              <w:spacing w:before="100" w:beforeAutospacing="1" w:after="100" w:afterAutospacing="1" w:line="40" w:lineRule="atLeast"/>
              <w:ind w:left="0"/>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4.</w:t>
            </w:r>
          </w:p>
        </w:tc>
        <w:tc>
          <w:tcPr>
            <w:tcW w:w="2126" w:type="dxa"/>
            <w:tcBorders>
              <w:top w:val="outset" w:sz="6" w:space="0" w:color="auto"/>
              <w:left w:val="outset" w:sz="6" w:space="0" w:color="auto"/>
              <w:bottom w:val="outset" w:sz="6" w:space="0" w:color="auto"/>
              <w:right w:val="outset" w:sz="6" w:space="0" w:color="auto"/>
            </w:tcBorders>
          </w:tcPr>
          <w:p w14:paraId="349F9CB5" w14:textId="2305C21A" w:rsidR="00AF7C80" w:rsidRPr="00A80218" w:rsidRDefault="00AF7C80" w:rsidP="007F13F6">
            <w:pPr>
              <w:spacing w:before="100" w:beforeAutospacing="1" w:after="100" w:afterAutospacing="1" w:line="40" w:lineRule="atLeast"/>
              <w:ind w:left="126"/>
              <w:jc w:val="left"/>
              <w:rPr>
                <w:rFonts w:ascii="Times New Roman" w:hAnsi="Times New Roman" w:cs="Times New Roman"/>
                <w:sz w:val="24"/>
                <w:szCs w:val="24"/>
              </w:rPr>
            </w:pPr>
            <w:r w:rsidRPr="00A80218">
              <w:rPr>
                <w:rFonts w:ascii="Times New Roman" w:eastAsia="Times New Roman" w:hAnsi="Times New Roman" w:cs="Times New Roman"/>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tcPr>
          <w:p w14:paraId="6A4B9C73" w14:textId="0D6382C8" w:rsidR="00AF7C80" w:rsidRPr="00A80218" w:rsidRDefault="00AF7C80" w:rsidP="00A630DC">
            <w:pPr>
              <w:spacing w:line="40" w:lineRule="atLeast"/>
              <w:ind w:left="34"/>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Nav</w:t>
            </w:r>
            <w:r w:rsidR="00A630DC" w:rsidRPr="00A80218">
              <w:rPr>
                <w:rFonts w:ascii="Times New Roman" w:eastAsia="Times New Roman" w:hAnsi="Times New Roman" w:cs="Times New Roman"/>
                <w:sz w:val="24"/>
                <w:szCs w:val="24"/>
                <w:lang w:eastAsia="lv-LV"/>
              </w:rPr>
              <w:t>.</w:t>
            </w:r>
          </w:p>
        </w:tc>
      </w:tr>
      <w:tr w:rsidR="00A80218" w:rsidRPr="00A80218" w14:paraId="0BF6DCE8" w14:textId="77777777" w:rsidTr="00A80218">
        <w:trPr>
          <w:tblCellSpacing w:w="0" w:type="dxa"/>
        </w:trPr>
        <w:tc>
          <w:tcPr>
            <w:tcW w:w="9064" w:type="dxa"/>
            <w:gridSpan w:val="6"/>
            <w:tcBorders>
              <w:top w:val="single" w:sz="4" w:space="0" w:color="auto"/>
              <w:left w:val="nil"/>
              <w:bottom w:val="outset" w:sz="6" w:space="0" w:color="auto"/>
              <w:right w:val="nil"/>
            </w:tcBorders>
          </w:tcPr>
          <w:p w14:paraId="0251820D" w14:textId="77777777" w:rsidR="00A80218" w:rsidRPr="00A80218" w:rsidRDefault="00A80218" w:rsidP="00346247">
            <w:pPr>
              <w:spacing w:before="100" w:beforeAutospacing="1" w:after="100" w:afterAutospacing="1" w:line="40" w:lineRule="atLeast"/>
              <w:ind w:left="0"/>
              <w:jc w:val="center"/>
              <w:rPr>
                <w:rFonts w:ascii="Times New Roman" w:hAnsi="Times New Roman" w:cs="Times New Roman"/>
                <w:sz w:val="24"/>
                <w:szCs w:val="24"/>
              </w:rPr>
            </w:pPr>
          </w:p>
        </w:tc>
      </w:tr>
      <w:tr w:rsidR="00941AE5" w:rsidRPr="00A80218" w14:paraId="4B040024" w14:textId="77777777" w:rsidTr="00A80218">
        <w:trPr>
          <w:tblCellSpacing w:w="0" w:type="dxa"/>
        </w:trPr>
        <w:tc>
          <w:tcPr>
            <w:tcW w:w="9064" w:type="dxa"/>
            <w:gridSpan w:val="6"/>
            <w:tcBorders>
              <w:top w:val="outset" w:sz="6" w:space="0" w:color="auto"/>
              <w:left w:val="outset" w:sz="6" w:space="0" w:color="auto"/>
              <w:bottom w:val="outset" w:sz="6" w:space="0" w:color="auto"/>
              <w:right w:val="outset" w:sz="6" w:space="0" w:color="auto"/>
            </w:tcBorders>
            <w:hideMark/>
          </w:tcPr>
          <w:p w14:paraId="6884D59E" w14:textId="77777777" w:rsidR="00015133" w:rsidRPr="00A80218" w:rsidRDefault="00015133" w:rsidP="00346247">
            <w:pPr>
              <w:spacing w:before="100" w:beforeAutospacing="1" w:after="100" w:afterAutospacing="1" w:line="40" w:lineRule="atLeast"/>
              <w:ind w:left="0"/>
              <w:jc w:val="center"/>
              <w:rPr>
                <w:rFonts w:ascii="Times New Roman" w:eastAsia="Times New Roman" w:hAnsi="Times New Roman" w:cs="Times New Roman"/>
                <w:b/>
                <w:bCs/>
                <w:sz w:val="24"/>
                <w:szCs w:val="24"/>
                <w:lang w:eastAsia="lv-LV"/>
              </w:rPr>
            </w:pPr>
            <w:r w:rsidRPr="00A80218">
              <w:rPr>
                <w:rFonts w:ascii="Times New Roman" w:hAnsi="Times New Roman" w:cs="Times New Roman"/>
                <w:sz w:val="24"/>
                <w:szCs w:val="24"/>
              </w:rPr>
              <w:br w:type="page"/>
            </w:r>
            <w:r w:rsidRPr="00A80218">
              <w:rPr>
                <w:rFonts w:ascii="Times New Roman" w:eastAsia="Times New Roman" w:hAnsi="Times New Roman" w:cs="Times New Roman"/>
                <w:b/>
                <w:bCs/>
                <w:sz w:val="24"/>
                <w:szCs w:val="24"/>
                <w:lang w:eastAsia="lv-LV"/>
              </w:rPr>
              <w:t>V. Tiesību akta projekta atbilstība Latvijas Republikas starptautiskajām saistībām</w:t>
            </w:r>
          </w:p>
        </w:tc>
      </w:tr>
      <w:tr w:rsidR="00941AE5" w:rsidRPr="00A80218" w14:paraId="1181D249" w14:textId="77777777" w:rsidTr="00ED78C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3863493" w14:textId="43F4D0C1" w:rsidR="00015133" w:rsidRPr="00A80218" w:rsidRDefault="00015133" w:rsidP="00015133">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1.</w:t>
            </w:r>
          </w:p>
        </w:tc>
        <w:tc>
          <w:tcPr>
            <w:tcW w:w="2126" w:type="dxa"/>
            <w:tcBorders>
              <w:top w:val="outset" w:sz="6" w:space="0" w:color="auto"/>
              <w:left w:val="outset" w:sz="6" w:space="0" w:color="auto"/>
              <w:bottom w:val="outset" w:sz="6" w:space="0" w:color="auto"/>
              <w:right w:val="outset" w:sz="6" w:space="0" w:color="auto"/>
            </w:tcBorders>
            <w:hideMark/>
          </w:tcPr>
          <w:p w14:paraId="7E9BE0E3"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Saistības pret Eiropas Savienību</w:t>
            </w:r>
          </w:p>
        </w:tc>
        <w:tc>
          <w:tcPr>
            <w:tcW w:w="6520" w:type="dxa"/>
            <w:gridSpan w:val="4"/>
            <w:tcBorders>
              <w:top w:val="outset" w:sz="6" w:space="0" w:color="auto"/>
              <w:left w:val="outset" w:sz="6" w:space="0" w:color="auto"/>
              <w:bottom w:val="outset" w:sz="6" w:space="0" w:color="auto"/>
              <w:right w:val="outset" w:sz="6" w:space="0" w:color="auto"/>
            </w:tcBorders>
            <w:hideMark/>
          </w:tcPr>
          <w:p w14:paraId="4C89FC69" w14:textId="4FA1C555" w:rsidR="004A01F4" w:rsidRPr="00A80218" w:rsidRDefault="004C1DCC" w:rsidP="006E6F09">
            <w:pPr>
              <w:spacing w:before="120" w:after="0"/>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 xml:space="preserve">1. </w:t>
            </w:r>
            <w:r w:rsidR="004A01F4" w:rsidRPr="00A80218">
              <w:rPr>
                <w:rFonts w:ascii="Times New Roman" w:eastAsia="Calibri" w:hAnsi="Times New Roman" w:cs="Times New Roman"/>
                <w:sz w:val="24"/>
                <w:szCs w:val="24"/>
              </w:rPr>
              <w:t>Eiropas Parlamenta un Padomes 2013.gada 9.oktobra Regula (ES) Nr.952/2013, ar ko izveido Savienības Muitas kodeksu.</w:t>
            </w:r>
          </w:p>
          <w:p w14:paraId="2BEACB2E" w14:textId="0C1C2F84" w:rsidR="004A01F4" w:rsidRPr="00A80218" w:rsidRDefault="004C1DCC" w:rsidP="006E6F09">
            <w:pPr>
              <w:spacing w:before="120" w:after="0"/>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 xml:space="preserve">2. </w:t>
            </w:r>
            <w:r w:rsidR="004A01F4" w:rsidRPr="00A80218">
              <w:rPr>
                <w:rFonts w:ascii="Times New Roman" w:eastAsia="Calibri" w:hAnsi="Times New Roman" w:cs="Times New Roman"/>
                <w:sz w:val="24"/>
                <w:szCs w:val="24"/>
              </w:rPr>
              <w:t>Komisijas 2015.gada 28. jūlija Deleģētā regula (ES) Nr.2015/2446, ar ko papildina Eiropas Parlamenta un Padomes Regulu (ES) Nr. 952/2013 attiecībā uz sīki izstrādātiem noteikumiem, kuri attiecas uz dažiem Savienības Muitas kodeksa noteikumiem.</w:t>
            </w:r>
          </w:p>
          <w:p w14:paraId="261F4E64" w14:textId="30578211" w:rsidR="004A01F4" w:rsidRPr="00A80218" w:rsidRDefault="004C1DCC" w:rsidP="006E6F09">
            <w:pPr>
              <w:spacing w:before="120" w:after="0"/>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lastRenderedPageBreak/>
              <w:t xml:space="preserve">3. </w:t>
            </w:r>
            <w:r w:rsidR="004A01F4" w:rsidRPr="00A80218">
              <w:rPr>
                <w:rFonts w:ascii="Times New Roman" w:eastAsia="Calibri" w:hAnsi="Times New Roman" w:cs="Times New Roman"/>
                <w:sz w:val="24"/>
                <w:szCs w:val="24"/>
              </w:rPr>
              <w:t>Komisijas 2015.gada 24.novembra Īstenošanas regula (ES) Nr.2015/2447, ar ko paredz sīki izstrādātus noteikumus, kas vajadzīgi, lai īstenotu konkrētus noteikumus Eiropas Parlamenta un Padomes Regulā (ES) Nr. 952/2013, ar ko izveido Savienības Muitas kodeksu.</w:t>
            </w:r>
          </w:p>
          <w:p w14:paraId="3D0F5D79" w14:textId="456A5748" w:rsidR="00015133" w:rsidRPr="00A80218" w:rsidRDefault="004C1DCC" w:rsidP="006E6F09">
            <w:pPr>
              <w:spacing w:before="120" w:after="0"/>
              <w:ind w:left="57" w:right="57"/>
              <w:rPr>
                <w:rFonts w:ascii="Times New Roman" w:hAnsi="Times New Roman" w:cs="Times New Roman"/>
                <w:sz w:val="24"/>
                <w:szCs w:val="24"/>
              </w:rPr>
            </w:pPr>
            <w:r w:rsidRPr="00A80218">
              <w:rPr>
                <w:rFonts w:ascii="Times New Roman" w:eastAsia="Calibri" w:hAnsi="Times New Roman" w:cs="Times New Roman"/>
                <w:sz w:val="24"/>
                <w:szCs w:val="24"/>
              </w:rPr>
              <w:t xml:space="preserve">4. </w:t>
            </w:r>
            <w:r w:rsidR="004A01F4" w:rsidRPr="00A80218">
              <w:rPr>
                <w:rFonts w:ascii="Times New Roman" w:eastAsia="Calibri" w:hAnsi="Times New Roman" w:cs="Times New Roman"/>
                <w:sz w:val="24"/>
                <w:szCs w:val="24"/>
              </w:rPr>
              <w:t>Komisijas 2015.gada 17.decembra Deleģētās regula (ES) 2016/341, ar ko papildina Eiropas Parlamenta un Padomes regulu (ES) Nr.952/2013 attiecībā uz pārejas noteikumiem, kurus paredz attiecībā uz konkrētiem Savienības Muitas Kodeksa noteikumiem, ja attiecīgas elektroniskās sistēmas vēl nedarbojas, un groza Deleģēto regulu Nr.2015/2446</w:t>
            </w:r>
            <w:r w:rsidRPr="00A80218">
              <w:rPr>
                <w:rFonts w:ascii="Times New Roman" w:eastAsia="Calibri" w:hAnsi="Times New Roman" w:cs="Times New Roman"/>
                <w:sz w:val="24"/>
                <w:szCs w:val="24"/>
              </w:rPr>
              <w:t>.</w:t>
            </w:r>
          </w:p>
        </w:tc>
      </w:tr>
      <w:tr w:rsidR="00941AE5" w:rsidRPr="00A80218" w14:paraId="6A0B7BA9" w14:textId="77777777" w:rsidTr="00ED78C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C6D0081" w14:textId="77777777" w:rsidR="00015133" w:rsidRPr="00A80218" w:rsidRDefault="00015133" w:rsidP="00015133">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lastRenderedPageBreak/>
              <w:t> 2.</w:t>
            </w:r>
          </w:p>
        </w:tc>
        <w:tc>
          <w:tcPr>
            <w:tcW w:w="2126" w:type="dxa"/>
            <w:tcBorders>
              <w:top w:val="outset" w:sz="6" w:space="0" w:color="auto"/>
              <w:left w:val="outset" w:sz="6" w:space="0" w:color="auto"/>
              <w:bottom w:val="outset" w:sz="6" w:space="0" w:color="auto"/>
              <w:right w:val="outset" w:sz="6" w:space="0" w:color="auto"/>
            </w:tcBorders>
            <w:hideMark/>
          </w:tcPr>
          <w:p w14:paraId="3CB9215E"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Citas starptautiskās saistības</w:t>
            </w:r>
          </w:p>
        </w:tc>
        <w:tc>
          <w:tcPr>
            <w:tcW w:w="6520" w:type="dxa"/>
            <w:gridSpan w:val="4"/>
            <w:tcBorders>
              <w:top w:val="outset" w:sz="6" w:space="0" w:color="auto"/>
              <w:left w:val="outset" w:sz="6" w:space="0" w:color="auto"/>
              <w:bottom w:val="outset" w:sz="6" w:space="0" w:color="auto"/>
              <w:right w:val="outset" w:sz="6" w:space="0" w:color="auto"/>
            </w:tcBorders>
            <w:hideMark/>
          </w:tcPr>
          <w:p w14:paraId="2541D816" w14:textId="0B8453EC" w:rsidR="00015133" w:rsidRPr="00A80218" w:rsidRDefault="000950B2" w:rsidP="006E6F09">
            <w:pPr>
              <w:tabs>
                <w:tab w:val="left" w:pos="459"/>
              </w:tabs>
              <w:spacing w:before="120" w:after="0"/>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šo jomu neskar</w:t>
            </w:r>
            <w:r w:rsidR="00015133" w:rsidRPr="00A80218">
              <w:rPr>
                <w:rFonts w:ascii="Times New Roman" w:eastAsia="Times New Roman" w:hAnsi="Times New Roman" w:cs="Times New Roman"/>
                <w:sz w:val="24"/>
                <w:szCs w:val="24"/>
                <w:lang w:eastAsia="lv-LV"/>
              </w:rPr>
              <w:t xml:space="preserve"> </w:t>
            </w:r>
          </w:p>
        </w:tc>
      </w:tr>
      <w:tr w:rsidR="00941AE5" w:rsidRPr="00A80218" w14:paraId="77A451DB" w14:textId="77777777" w:rsidTr="00ED78C1">
        <w:trPr>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5940106" w14:textId="77777777" w:rsidR="00015133" w:rsidRPr="00A80218" w:rsidRDefault="00015133" w:rsidP="00015133">
            <w:pPr>
              <w:spacing w:before="100" w:beforeAutospacing="1" w:after="100" w:afterAutospacing="1" w:line="40" w:lineRule="atLeast"/>
              <w:ind w:left="0" w:firstLineChars="709" w:firstLine="1702"/>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3.</w:t>
            </w:r>
          </w:p>
        </w:tc>
        <w:tc>
          <w:tcPr>
            <w:tcW w:w="2126" w:type="dxa"/>
            <w:tcBorders>
              <w:top w:val="outset" w:sz="6" w:space="0" w:color="auto"/>
              <w:left w:val="outset" w:sz="6" w:space="0" w:color="auto"/>
              <w:bottom w:val="outset" w:sz="6" w:space="0" w:color="auto"/>
              <w:right w:val="outset" w:sz="6" w:space="0" w:color="auto"/>
            </w:tcBorders>
            <w:hideMark/>
          </w:tcPr>
          <w:p w14:paraId="29F81BF9"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hideMark/>
          </w:tcPr>
          <w:p w14:paraId="2EF13C55" w14:textId="59231A04" w:rsidR="00015133" w:rsidRPr="00A80218" w:rsidRDefault="004D2B99" w:rsidP="006E6F09">
            <w:pPr>
              <w:spacing w:before="120" w:after="0"/>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Nav</w:t>
            </w:r>
            <w:r w:rsidR="000950B2" w:rsidRPr="00A80218">
              <w:rPr>
                <w:rFonts w:ascii="Times New Roman" w:eastAsia="Times New Roman" w:hAnsi="Times New Roman" w:cs="Times New Roman"/>
                <w:sz w:val="24"/>
                <w:szCs w:val="24"/>
                <w:lang w:eastAsia="lv-LV"/>
              </w:rPr>
              <w:t xml:space="preserve"> </w:t>
            </w:r>
          </w:p>
        </w:tc>
      </w:tr>
      <w:tr w:rsidR="00941AE5" w:rsidRPr="00A80218" w14:paraId="311B4B85" w14:textId="77777777" w:rsidTr="00A80218">
        <w:trPr>
          <w:trHeight w:val="523"/>
          <w:tblCellSpacing w:w="0" w:type="dxa"/>
        </w:trPr>
        <w:tc>
          <w:tcPr>
            <w:tcW w:w="9064" w:type="dxa"/>
            <w:gridSpan w:val="6"/>
            <w:tcBorders>
              <w:top w:val="outset" w:sz="6" w:space="0" w:color="auto"/>
              <w:left w:val="outset" w:sz="6" w:space="0" w:color="auto"/>
              <w:bottom w:val="outset" w:sz="6" w:space="0" w:color="auto"/>
              <w:right w:val="outset" w:sz="6" w:space="0" w:color="auto"/>
            </w:tcBorders>
            <w:vAlign w:val="center"/>
            <w:hideMark/>
          </w:tcPr>
          <w:p w14:paraId="75E53B9C" w14:textId="77777777" w:rsidR="00015133" w:rsidRPr="00A80218" w:rsidRDefault="00015133" w:rsidP="000950B2">
            <w:pPr>
              <w:spacing w:after="0"/>
              <w:ind w:left="0"/>
              <w:jc w:val="center"/>
              <w:rPr>
                <w:rFonts w:ascii="Times New Roman" w:eastAsia="Times New Roman" w:hAnsi="Times New Roman" w:cs="Times New Roman"/>
                <w:b/>
                <w:lang w:eastAsia="lv-LV"/>
              </w:rPr>
            </w:pPr>
            <w:r w:rsidRPr="00A80218">
              <w:rPr>
                <w:rFonts w:ascii="Times New Roman" w:eastAsia="Times New Roman" w:hAnsi="Times New Roman" w:cs="Times New Roman"/>
                <w:b/>
                <w:lang w:eastAsia="lv-LV"/>
              </w:rPr>
              <w:t>1.tabula</w:t>
            </w:r>
          </w:p>
          <w:p w14:paraId="762CD604" w14:textId="77777777" w:rsidR="00015133" w:rsidRPr="00A80218" w:rsidRDefault="00015133" w:rsidP="000950B2">
            <w:pPr>
              <w:spacing w:after="0"/>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b/>
                <w:lang w:eastAsia="lv-LV"/>
              </w:rPr>
              <w:t>Tiesību akta projekta atbilstība ES tiesību aktiem</w:t>
            </w:r>
          </w:p>
        </w:tc>
      </w:tr>
      <w:tr w:rsidR="00941AE5" w:rsidRPr="00A80218" w14:paraId="1FA4DAED" w14:textId="77777777" w:rsidTr="00A80218">
        <w:trPr>
          <w:trHeight w:val="1252"/>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7F2CEEBA" w14:textId="0974885F" w:rsidR="00015133" w:rsidRPr="00A80218" w:rsidRDefault="00015133" w:rsidP="00CE4119">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Attiecīgā ES tiesību akta datums, numurs un nosaukums</w:t>
            </w:r>
          </w:p>
        </w:tc>
        <w:tc>
          <w:tcPr>
            <w:tcW w:w="6520" w:type="dxa"/>
            <w:gridSpan w:val="4"/>
            <w:tcBorders>
              <w:top w:val="outset" w:sz="6" w:space="0" w:color="auto"/>
              <w:left w:val="outset" w:sz="6" w:space="0" w:color="auto"/>
              <w:bottom w:val="outset" w:sz="6" w:space="0" w:color="auto"/>
              <w:right w:val="outset" w:sz="6" w:space="0" w:color="auto"/>
            </w:tcBorders>
            <w:vAlign w:val="center"/>
            <w:hideMark/>
          </w:tcPr>
          <w:p w14:paraId="00EC228B" w14:textId="50784A65" w:rsidR="004A01F4" w:rsidRPr="00A80218" w:rsidRDefault="004A01F4" w:rsidP="003544B5">
            <w:pPr>
              <w:spacing w:after="0"/>
              <w:ind w:lef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Regula Nr.952/2013</w:t>
            </w:r>
            <w:r w:rsidR="0099021B" w:rsidRPr="00A80218">
              <w:rPr>
                <w:rFonts w:ascii="Times New Roman" w:eastAsia="Times New Roman" w:hAnsi="Times New Roman" w:cs="Times New Roman"/>
                <w:sz w:val="24"/>
                <w:szCs w:val="24"/>
                <w:lang w:eastAsia="lv-LV"/>
              </w:rPr>
              <w:t>;</w:t>
            </w:r>
            <w:r w:rsidRPr="00A80218">
              <w:rPr>
                <w:rFonts w:ascii="Times New Roman" w:eastAsia="Times New Roman" w:hAnsi="Times New Roman" w:cs="Times New Roman"/>
                <w:sz w:val="24"/>
                <w:szCs w:val="24"/>
                <w:lang w:eastAsia="lv-LV"/>
              </w:rPr>
              <w:t> </w:t>
            </w:r>
          </w:p>
          <w:p w14:paraId="7DF5E8C9" w14:textId="0C6FB18B" w:rsidR="004A01F4" w:rsidRPr="00A80218" w:rsidRDefault="004A01F4" w:rsidP="003544B5">
            <w:pPr>
              <w:spacing w:after="0"/>
              <w:ind w:lef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 Nr.2015/2446</w:t>
            </w:r>
            <w:r w:rsidR="0099021B" w:rsidRPr="00A80218">
              <w:rPr>
                <w:rFonts w:ascii="Times New Roman" w:eastAsia="Calibri" w:hAnsi="Times New Roman" w:cs="Times New Roman"/>
                <w:sz w:val="24"/>
                <w:szCs w:val="24"/>
              </w:rPr>
              <w:t>;</w:t>
            </w:r>
          </w:p>
          <w:p w14:paraId="5DF0735C" w14:textId="0186A909" w:rsidR="004A01F4" w:rsidRPr="00A80218" w:rsidRDefault="004A01F4" w:rsidP="003544B5">
            <w:pPr>
              <w:spacing w:after="0"/>
              <w:ind w:lef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 Nr.2015/2447</w:t>
            </w:r>
            <w:r w:rsidR="0099021B" w:rsidRPr="00A80218">
              <w:rPr>
                <w:rFonts w:ascii="Times New Roman" w:eastAsia="Calibri" w:hAnsi="Times New Roman" w:cs="Times New Roman"/>
                <w:sz w:val="24"/>
                <w:szCs w:val="24"/>
              </w:rPr>
              <w:t>;</w:t>
            </w:r>
          </w:p>
          <w:p w14:paraId="79CF455C" w14:textId="3BA9E278" w:rsidR="00015133" w:rsidRPr="00A80218" w:rsidRDefault="004A01F4" w:rsidP="003544B5">
            <w:pPr>
              <w:spacing w:after="0"/>
              <w:ind w:lef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 Nr.2016/341</w:t>
            </w:r>
            <w:r w:rsidR="0099021B" w:rsidRPr="00A80218">
              <w:rPr>
                <w:rFonts w:ascii="Times New Roman" w:eastAsia="Calibri" w:hAnsi="Times New Roman" w:cs="Times New Roman"/>
                <w:sz w:val="24"/>
                <w:szCs w:val="24"/>
              </w:rPr>
              <w:t>.</w:t>
            </w:r>
          </w:p>
        </w:tc>
      </w:tr>
      <w:tr w:rsidR="00941AE5" w:rsidRPr="00A80218" w14:paraId="1A81BE21" w14:textId="77777777" w:rsidTr="00A80218">
        <w:trPr>
          <w:trHeight w:val="165"/>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126F7D5C" w14:textId="2022F2A4" w:rsidR="00331EF4" w:rsidRPr="00A80218" w:rsidRDefault="00331EF4" w:rsidP="00331EF4">
            <w:pPr>
              <w:spacing w:after="0"/>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A28DBEE" w14:textId="48C08B32" w:rsidR="00331EF4" w:rsidRPr="00A80218" w:rsidRDefault="00331EF4" w:rsidP="00331EF4">
            <w:pPr>
              <w:spacing w:after="0"/>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B</w:t>
            </w:r>
          </w:p>
        </w:tc>
        <w:tc>
          <w:tcPr>
            <w:tcW w:w="2127" w:type="dxa"/>
            <w:gridSpan w:val="2"/>
            <w:tcBorders>
              <w:top w:val="outset" w:sz="6" w:space="0" w:color="auto"/>
              <w:left w:val="outset" w:sz="6" w:space="0" w:color="auto"/>
              <w:bottom w:val="outset" w:sz="6" w:space="0" w:color="auto"/>
              <w:right w:val="outset" w:sz="6" w:space="0" w:color="auto"/>
            </w:tcBorders>
            <w:vAlign w:val="center"/>
            <w:hideMark/>
          </w:tcPr>
          <w:p w14:paraId="6C8A2B6D" w14:textId="17B646D2" w:rsidR="00331EF4" w:rsidRPr="00A80218" w:rsidRDefault="00331EF4" w:rsidP="00331EF4">
            <w:pPr>
              <w:spacing w:after="0"/>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w:t>
            </w:r>
          </w:p>
        </w:tc>
        <w:tc>
          <w:tcPr>
            <w:tcW w:w="2267" w:type="dxa"/>
            <w:tcBorders>
              <w:top w:val="outset" w:sz="6" w:space="0" w:color="auto"/>
              <w:left w:val="outset" w:sz="6" w:space="0" w:color="auto"/>
              <w:bottom w:val="outset" w:sz="6" w:space="0" w:color="auto"/>
              <w:right w:val="outset" w:sz="6" w:space="0" w:color="auto"/>
            </w:tcBorders>
            <w:vAlign w:val="center"/>
            <w:hideMark/>
          </w:tcPr>
          <w:p w14:paraId="0BB0D901" w14:textId="46C7969E" w:rsidR="00331EF4" w:rsidRPr="00A80218" w:rsidRDefault="00331EF4" w:rsidP="00331EF4">
            <w:pPr>
              <w:spacing w:after="0"/>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D</w:t>
            </w:r>
          </w:p>
        </w:tc>
      </w:tr>
      <w:tr w:rsidR="00941AE5" w:rsidRPr="00A80218" w14:paraId="5C8DF097" w14:textId="77777777" w:rsidTr="00A80218">
        <w:trPr>
          <w:trHeight w:val="165"/>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tcPr>
          <w:p w14:paraId="730EB68B" w14:textId="77777777" w:rsidR="00A62E81" w:rsidRPr="00A80218" w:rsidRDefault="00A62E81" w:rsidP="00331EF4">
            <w:pPr>
              <w:spacing w:after="0"/>
              <w:ind w:left="0"/>
              <w:jc w:val="center"/>
              <w:rPr>
                <w:rFonts w:ascii="Times New Roman" w:eastAsia="Times New Roman" w:hAnsi="Times New Roman" w:cs="Times New Roman"/>
                <w:sz w:val="24"/>
                <w:szCs w:val="24"/>
                <w:lang w:eastAsia="lv-LV"/>
              </w:rPr>
            </w:pPr>
          </w:p>
        </w:tc>
        <w:tc>
          <w:tcPr>
            <w:tcW w:w="2126" w:type="dxa"/>
            <w:tcBorders>
              <w:top w:val="outset" w:sz="6" w:space="0" w:color="auto"/>
              <w:left w:val="outset" w:sz="6" w:space="0" w:color="auto"/>
              <w:bottom w:val="outset" w:sz="6" w:space="0" w:color="auto"/>
              <w:right w:val="outset" w:sz="6" w:space="0" w:color="auto"/>
            </w:tcBorders>
            <w:vAlign w:val="center"/>
          </w:tcPr>
          <w:p w14:paraId="167DEECE" w14:textId="77777777" w:rsidR="00A62E81" w:rsidRPr="00A80218" w:rsidRDefault="00A62E81" w:rsidP="00331EF4">
            <w:pPr>
              <w:spacing w:after="0"/>
              <w:ind w:left="0"/>
              <w:jc w:val="center"/>
              <w:rPr>
                <w:rFonts w:ascii="Times New Roman" w:eastAsia="Times New Roman" w:hAnsi="Times New Roman" w:cs="Times New Roman"/>
                <w:sz w:val="24"/>
                <w:szCs w:val="24"/>
                <w:lang w:eastAsia="lv-LV"/>
              </w:rPr>
            </w:pPr>
          </w:p>
        </w:tc>
        <w:tc>
          <w:tcPr>
            <w:tcW w:w="2127" w:type="dxa"/>
            <w:gridSpan w:val="2"/>
            <w:tcBorders>
              <w:top w:val="outset" w:sz="6" w:space="0" w:color="auto"/>
              <w:left w:val="outset" w:sz="6" w:space="0" w:color="auto"/>
              <w:bottom w:val="outset" w:sz="6" w:space="0" w:color="auto"/>
              <w:right w:val="outset" w:sz="6" w:space="0" w:color="auto"/>
            </w:tcBorders>
            <w:vAlign w:val="center"/>
          </w:tcPr>
          <w:p w14:paraId="783F157F" w14:textId="77777777" w:rsidR="00A62E81" w:rsidRPr="00A80218" w:rsidRDefault="00A62E81" w:rsidP="00331EF4">
            <w:pPr>
              <w:spacing w:after="0"/>
              <w:ind w:left="0"/>
              <w:jc w:val="center"/>
              <w:rPr>
                <w:rFonts w:ascii="Times New Roman" w:eastAsia="Times New Roman" w:hAnsi="Times New Roman" w:cs="Times New Roman"/>
                <w:sz w:val="24"/>
                <w:szCs w:val="24"/>
                <w:lang w:eastAsia="lv-LV"/>
              </w:rPr>
            </w:pPr>
          </w:p>
        </w:tc>
        <w:tc>
          <w:tcPr>
            <w:tcW w:w="2267" w:type="dxa"/>
            <w:tcBorders>
              <w:top w:val="outset" w:sz="6" w:space="0" w:color="auto"/>
              <w:left w:val="outset" w:sz="6" w:space="0" w:color="auto"/>
              <w:bottom w:val="outset" w:sz="6" w:space="0" w:color="auto"/>
              <w:right w:val="outset" w:sz="6" w:space="0" w:color="auto"/>
            </w:tcBorders>
            <w:vAlign w:val="center"/>
          </w:tcPr>
          <w:p w14:paraId="27289FFA" w14:textId="77777777" w:rsidR="00A62E81" w:rsidRPr="00A80218" w:rsidRDefault="00A62E81" w:rsidP="00331EF4">
            <w:pPr>
              <w:spacing w:after="0"/>
              <w:ind w:left="0"/>
              <w:jc w:val="center"/>
              <w:rPr>
                <w:rFonts w:ascii="Times New Roman" w:eastAsia="Times New Roman" w:hAnsi="Times New Roman" w:cs="Times New Roman"/>
                <w:sz w:val="24"/>
                <w:szCs w:val="24"/>
                <w:lang w:eastAsia="lv-LV"/>
              </w:rPr>
            </w:pPr>
          </w:p>
        </w:tc>
      </w:tr>
      <w:tr w:rsidR="00941AE5" w:rsidRPr="00A80218" w14:paraId="30B670DA"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hideMark/>
          </w:tcPr>
          <w:p w14:paraId="7E67A564" w14:textId="331FD177" w:rsidR="00015133" w:rsidRPr="00A80218" w:rsidRDefault="004A01F4"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Regulas Nr.2015/2446 2.panta 7.punkta “a” apakšpunkts</w:t>
            </w:r>
          </w:p>
        </w:tc>
        <w:tc>
          <w:tcPr>
            <w:tcW w:w="2126" w:type="dxa"/>
            <w:tcBorders>
              <w:top w:val="outset" w:sz="6" w:space="0" w:color="auto"/>
              <w:left w:val="outset" w:sz="6" w:space="0" w:color="auto"/>
              <w:bottom w:val="outset" w:sz="6" w:space="0" w:color="auto"/>
              <w:right w:val="outset" w:sz="6" w:space="0" w:color="auto"/>
            </w:tcBorders>
            <w:hideMark/>
          </w:tcPr>
          <w:p w14:paraId="6940F060" w14:textId="6F0562B3" w:rsidR="00015133" w:rsidRPr="00A80218" w:rsidRDefault="00015133" w:rsidP="003544B5">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w:t>
            </w:r>
            <w:r w:rsidR="00EE5C75" w:rsidRPr="00A80218">
              <w:rPr>
                <w:rFonts w:ascii="Times New Roman" w:eastAsia="Times New Roman" w:hAnsi="Times New Roman" w:cs="Times New Roman"/>
                <w:sz w:val="24"/>
                <w:szCs w:val="24"/>
                <w:lang w:eastAsia="lv-LV"/>
              </w:rPr>
              <w:t xml:space="preserve">projekta </w:t>
            </w:r>
            <w:r w:rsidR="003544B5" w:rsidRPr="00A80218">
              <w:rPr>
                <w:rFonts w:ascii="Times New Roman" w:eastAsia="Times New Roman" w:hAnsi="Times New Roman" w:cs="Times New Roman"/>
                <w:sz w:val="24"/>
                <w:szCs w:val="24"/>
                <w:lang w:eastAsia="lv-LV"/>
              </w:rPr>
              <w:t>5</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hideMark/>
          </w:tcPr>
          <w:p w14:paraId="7B52873C" w14:textId="77777777" w:rsidR="00015133" w:rsidRPr="00A80218" w:rsidRDefault="00015133"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hideMark/>
          </w:tcPr>
          <w:p w14:paraId="281B0C5F" w14:textId="77777777" w:rsidR="00015133" w:rsidRPr="00A80218" w:rsidRDefault="00015133"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655B77C7"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4E3FF43F" w14:textId="6048CF27" w:rsidR="00A62E81" w:rsidRPr="00A80218" w:rsidRDefault="00A62E81"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A80218">
              <w:rPr>
                <w:rFonts w:ascii="Times New Roman" w:eastAsia="Calibri" w:hAnsi="Times New Roman" w:cs="Times New Roman"/>
                <w:sz w:val="24"/>
                <w:szCs w:val="24"/>
              </w:rPr>
              <w:t>Regulas 2016/341 12.pielikums</w:t>
            </w:r>
          </w:p>
        </w:tc>
        <w:tc>
          <w:tcPr>
            <w:tcW w:w="2126" w:type="dxa"/>
            <w:tcBorders>
              <w:top w:val="outset" w:sz="6" w:space="0" w:color="auto"/>
              <w:left w:val="outset" w:sz="6" w:space="0" w:color="auto"/>
              <w:bottom w:val="outset" w:sz="6" w:space="0" w:color="auto"/>
              <w:right w:val="outset" w:sz="6" w:space="0" w:color="auto"/>
            </w:tcBorders>
          </w:tcPr>
          <w:p w14:paraId="0689FB78" w14:textId="00C67F60" w:rsidR="00A62E81" w:rsidRPr="00A80218" w:rsidRDefault="00A62E81" w:rsidP="003544B5">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3544B5" w:rsidRPr="00A80218">
              <w:rPr>
                <w:rFonts w:ascii="Times New Roman" w:eastAsia="Times New Roman" w:hAnsi="Times New Roman" w:cs="Times New Roman"/>
                <w:sz w:val="24"/>
                <w:szCs w:val="24"/>
                <w:lang w:eastAsia="lv-LV"/>
              </w:rPr>
              <w:t>5</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7680D141" w14:textId="42C4F927" w:rsidR="00A62E81"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46E8A053" w14:textId="76C4E588" w:rsidR="00A62E81"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464F077A"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68B0F01F" w14:textId="58D67804" w:rsidR="00A62E81" w:rsidRPr="00A80218" w:rsidRDefault="001567D8"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A80218">
              <w:rPr>
                <w:rFonts w:ascii="Times New Roman" w:eastAsia="Calibri" w:hAnsi="Times New Roman" w:cs="Times New Roman"/>
                <w:sz w:val="24"/>
                <w:szCs w:val="24"/>
              </w:rPr>
              <w:t>Regulas Nr.2015/2446 145.pants</w:t>
            </w:r>
          </w:p>
        </w:tc>
        <w:tc>
          <w:tcPr>
            <w:tcW w:w="2126" w:type="dxa"/>
            <w:tcBorders>
              <w:top w:val="outset" w:sz="6" w:space="0" w:color="auto"/>
              <w:left w:val="outset" w:sz="6" w:space="0" w:color="auto"/>
              <w:bottom w:val="outset" w:sz="6" w:space="0" w:color="auto"/>
              <w:right w:val="outset" w:sz="6" w:space="0" w:color="auto"/>
            </w:tcBorders>
          </w:tcPr>
          <w:p w14:paraId="66F8CCC5" w14:textId="4B2F6A6A" w:rsidR="00A62E81" w:rsidRPr="00A80218" w:rsidRDefault="004C1DCC" w:rsidP="003544B5">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 xml:space="preserve">rojekta </w:t>
            </w:r>
            <w:r w:rsidR="003544B5" w:rsidRPr="00A80218">
              <w:rPr>
                <w:rFonts w:ascii="Times New Roman" w:eastAsia="Times New Roman" w:hAnsi="Times New Roman" w:cs="Times New Roman"/>
                <w:sz w:val="24"/>
                <w:szCs w:val="24"/>
                <w:lang w:eastAsia="lv-LV"/>
              </w:rPr>
              <w:t>8</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71D496E7" w14:textId="19971720" w:rsidR="00A62E81"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03AE06FF" w14:textId="7AA68066" w:rsidR="00A62E81"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1CE38455"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4CADB16B" w14:textId="329008E8" w:rsidR="001567D8" w:rsidRPr="00A80218" w:rsidRDefault="001567D8" w:rsidP="00ED1137">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Nr.2015/2446 2.panta 7.punkta “</w:t>
            </w:r>
            <w:r w:rsidR="00ED1137" w:rsidRPr="00A80218">
              <w:rPr>
                <w:rFonts w:ascii="Times New Roman" w:eastAsia="Calibri" w:hAnsi="Times New Roman" w:cs="Times New Roman"/>
                <w:sz w:val="24"/>
                <w:szCs w:val="24"/>
              </w:rPr>
              <w:t>c</w:t>
            </w:r>
            <w:r w:rsidRPr="00A80218">
              <w:rPr>
                <w:rFonts w:ascii="Times New Roman" w:eastAsia="Calibri" w:hAnsi="Times New Roman" w:cs="Times New Roman"/>
                <w:sz w:val="24"/>
                <w:szCs w:val="24"/>
              </w:rPr>
              <w:t>” apakšpunkts</w:t>
            </w:r>
          </w:p>
        </w:tc>
        <w:tc>
          <w:tcPr>
            <w:tcW w:w="2126" w:type="dxa"/>
            <w:tcBorders>
              <w:top w:val="outset" w:sz="6" w:space="0" w:color="auto"/>
              <w:left w:val="outset" w:sz="6" w:space="0" w:color="auto"/>
              <w:bottom w:val="outset" w:sz="6" w:space="0" w:color="auto"/>
              <w:right w:val="outset" w:sz="6" w:space="0" w:color="auto"/>
            </w:tcBorders>
          </w:tcPr>
          <w:p w14:paraId="3E7C3F4C" w14:textId="2E438D83" w:rsidR="001567D8" w:rsidRPr="00A80218" w:rsidRDefault="004C1DCC"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 xml:space="preserve">rojekta </w:t>
            </w:r>
            <w:r w:rsidR="00ED1137" w:rsidRPr="00A80218">
              <w:rPr>
                <w:rFonts w:ascii="Times New Roman" w:eastAsia="Times New Roman" w:hAnsi="Times New Roman" w:cs="Times New Roman"/>
                <w:sz w:val="24"/>
                <w:szCs w:val="24"/>
                <w:lang w:eastAsia="lv-LV"/>
              </w:rPr>
              <w:t>14</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3F950FE4" w14:textId="545EE4D1"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548F6A07" w14:textId="6098BBC5"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02A91D83"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6E270BD5" w14:textId="15A369A2" w:rsidR="001567D8" w:rsidRPr="00A80218"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2016/341 12.pielikums</w:t>
            </w:r>
          </w:p>
        </w:tc>
        <w:tc>
          <w:tcPr>
            <w:tcW w:w="2126" w:type="dxa"/>
            <w:tcBorders>
              <w:top w:val="outset" w:sz="6" w:space="0" w:color="auto"/>
              <w:left w:val="outset" w:sz="6" w:space="0" w:color="auto"/>
              <w:bottom w:val="outset" w:sz="6" w:space="0" w:color="auto"/>
              <w:right w:val="outset" w:sz="6" w:space="0" w:color="auto"/>
            </w:tcBorders>
          </w:tcPr>
          <w:p w14:paraId="6AFDD36D" w14:textId="17563DCA" w:rsidR="001567D8" w:rsidRPr="00A80218" w:rsidRDefault="004C1DCC"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 xml:space="preserve">rojekta </w:t>
            </w:r>
            <w:r w:rsidR="00ED1137" w:rsidRPr="00A80218">
              <w:rPr>
                <w:rFonts w:ascii="Times New Roman" w:eastAsia="Times New Roman" w:hAnsi="Times New Roman" w:cs="Times New Roman"/>
                <w:sz w:val="24"/>
                <w:szCs w:val="24"/>
                <w:lang w:eastAsia="lv-LV"/>
              </w:rPr>
              <w:t>14</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26A4EFEA" w14:textId="577CF69F"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2094AC77" w14:textId="5E685200"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3CE1C76B"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59E7BDA8" w14:textId="7517E86B" w:rsidR="001567D8" w:rsidRPr="00A80218"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Times New Roman" w:hAnsi="Times New Roman" w:cs="Times New Roman"/>
                <w:sz w:val="24"/>
                <w:szCs w:val="24"/>
                <w:lang w:eastAsia="lv-LV"/>
              </w:rPr>
              <w:t>Regulas Nr.2015/2446 150.panta 1.punkts</w:t>
            </w:r>
          </w:p>
        </w:tc>
        <w:tc>
          <w:tcPr>
            <w:tcW w:w="2126" w:type="dxa"/>
            <w:tcBorders>
              <w:top w:val="outset" w:sz="6" w:space="0" w:color="auto"/>
              <w:left w:val="outset" w:sz="6" w:space="0" w:color="auto"/>
              <w:bottom w:val="outset" w:sz="6" w:space="0" w:color="auto"/>
              <w:right w:val="outset" w:sz="6" w:space="0" w:color="auto"/>
            </w:tcBorders>
          </w:tcPr>
          <w:p w14:paraId="2A63B185" w14:textId="6FC93C60" w:rsidR="001567D8" w:rsidRPr="00A80218" w:rsidRDefault="004C1DCC" w:rsidP="00ED1137">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rojekta 1</w:t>
            </w:r>
            <w:r w:rsidR="00ED1137" w:rsidRPr="00A80218">
              <w:rPr>
                <w:rFonts w:ascii="Times New Roman" w:eastAsia="Times New Roman" w:hAnsi="Times New Roman" w:cs="Times New Roman"/>
                <w:sz w:val="24"/>
                <w:szCs w:val="24"/>
                <w:lang w:eastAsia="lv-LV"/>
              </w:rPr>
              <w:t>7</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4D9E0CD6" w14:textId="697A9B1A"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435F5F8F" w14:textId="2C68BF49"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ED1137" w:rsidRPr="00A80218" w14:paraId="1B16421F"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0BE8E8F3" w14:textId="7DF96D08" w:rsidR="00ED1137" w:rsidRPr="00A80218" w:rsidRDefault="00ED1137" w:rsidP="00ED1137">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Regulas Nr.952/2013 233.panta </w:t>
            </w:r>
            <w:r w:rsidR="00EC5B30" w:rsidRPr="00A80218">
              <w:rPr>
                <w:rFonts w:ascii="Times New Roman" w:eastAsia="Times New Roman" w:hAnsi="Times New Roman" w:cs="Times New Roman"/>
                <w:sz w:val="24"/>
                <w:szCs w:val="24"/>
                <w:lang w:eastAsia="lv-LV"/>
              </w:rPr>
              <w:t>4.punkta “c”</w:t>
            </w:r>
            <w:r w:rsidRPr="00A80218">
              <w:rPr>
                <w:rFonts w:ascii="Times New Roman" w:eastAsia="Times New Roman" w:hAnsi="Times New Roman" w:cs="Times New Roman"/>
                <w:sz w:val="24"/>
                <w:szCs w:val="24"/>
                <w:lang w:eastAsia="lv-LV"/>
              </w:rPr>
              <w:t xml:space="preserve"> apakšpunkts</w:t>
            </w:r>
          </w:p>
        </w:tc>
        <w:tc>
          <w:tcPr>
            <w:tcW w:w="2126" w:type="dxa"/>
            <w:tcBorders>
              <w:top w:val="outset" w:sz="6" w:space="0" w:color="auto"/>
              <w:left w:val="outset" w:sz="6" w:space="0" w:color="auto"/>
              <w:bottom w:val="outset" w:sz="6" w:space="0" w:color="auto"/>
              <w:right w:val="outset" w:sz="6" w:space="0" w:color="auto"/>
            </w:tcBorders>
          </w:tcPr>
          <w:p w14:paraId="013D5C3E" w14:textId="36E5FDF3" w:rsidR="00ED1137" w:rsidRPr="00A80218" w:rsidRDefault="00ED1137"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projekta 2</w:t>
            </w:r>
            <w:r w:rsidR="00641CEE">
              <w:rPr>
                <w:rFonts w:ascii="Times New Roman" w:eastAsia="Times New Roman" w:hAnsi="Times New Roman" w:cs="Times New Roman"/>
                <w:sz w:val="24"/>
                <w:szCs w:val="24"/>
                <w:lang w:eastAsia="lv-LV"/>
              </w:rPr>
              <w:t>5</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2A085F36" w14:textId="50F61EB8" w:rsidR="00ED1137"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1E39664C" w14:textId="7ACC0D36" w:rsidR="00ED1137"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ED1137" w:rsidRPr="00A80218" w14:paraId="2B04CDCF"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49E7CD6C" w14:textId="6A6B448D" w:rsidR="00ED1137" w:rsidRPr="00A80218" w:rsidRDefault="00ED1137" w:rsidP="00ED1137">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lastRenderedPageBreak/>
              <w:t>Regulas Nr.2015/2446 191.pants</w:t>
            </w:r>
          </w:p>
        </w:tc>
        <w:tc>
          <w:tcPr>
            <w:tcW w:w="2126" w:type="dxa"/>
            <w:tcBorders>
              <w:top w:val="outset" w:sz="6" w:space="0" w:color="auto"/>
              <w:left w:val="outset" w:sz="6" w:space="0" w:color="auto"/>
              <w:bottom w:val="outset" w:sz="6" w:space="0" w:color="auto"/>
              <w:right w:val="outset" w:sz="6" w:space="0" w:color="auto"/>
            </w:tcBorders>
          </w:tcPr>
          <w:p w14:paraId="5CC08DD6" w14:textId="7CA4FF88" w:rsidR="00ED1137" w:rsidRPr="00A80218" w:rsidRDefault="00ED1137"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projekta 2</w:t>
            </w:r>
            <w:r w:rsidR="00641CEE">
              <w:rPr>
                <w:rFonts w:ascii="Times New Roman" w:eastAsia="Times New Roman" w:hAnsi="Times New Roman" w:cs="Times New Roman"/>
                <w:sz w:val="24"/>
                <w:szCs w:val="24"/>
                <w:lang w:eastAsia="lv-LV"/>
              </w:rPr>
              <w:t>7</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620E3045" w14:textId="5056144F" w:rsidR="00ED1137"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555EA5A0" w14:textId="3EBAC806" w:rsidR="00ED1137"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460D63B2"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63B5D723" w14:textId="17E64E4F" w:rsidR="001567D8" w:rsidRPr="00A80218" w:rsidRDefault="001567D8" w:rsidP="0099021B">
            <w:pPr>
              <w:spacing w:before="100" w:beforeAutospacing="1" w:after="100" w:afterAutospacing="1" w:line="40" w:lineRule="atLeast"/>
              <w:ind w:left="57" w:right="57"/>
              <w:rPr>
                <w:rFonts w:ascii="Times New Roman" w:eastAsia="Times New Roman" w:hAnsi="Times New Roman" w:cs="Times New Roman"/>
                <w:sz w:val="24"/>
                <w:szCs w:val="24"/>
                <w:lang w:eastAsia="lv-LV"/>
              </w:rPr>
            </w:pPr>
            <w:r w:rsidRPr="00A80218">
              <w:rPr>
                <w:rFonts w:ascii="Times New Roman" w:eastAsia="Calibri" w:hAnsi="Times New Roman" w:cs="Times New Roman"/>
                <w:sz w:val="24"/>
                <w:szCs w:val="24"/>
              </w:rPr>
              <w:t>Regulas Nr.2015/2446 2.panta 3.punkta otrā daļa</w:t>
            </w:r>
          </w:p>
        </w:tc>
        <w:tc>
          <w:tcPr>
            <w:tcW w:w="2126" w:type="dxa"/>
            <w:tcBorders>
              <w:top w:val="outset" w:sz="6" w:space="0" w:color="auto"/>
              <w:left w:val="outset" w:sz="6" w:space="0" w:color="auto"/>
              <w:bottom w:val="outset" w:sz="6" w:space="0" w:color="auto"/>
              <w:right w:val="outset" w:sz="6" w:space="0" w:color="auto"/>
            </w:tcBorders>
          </w:tcPr>
          <w:p w14:paraId="520B41B7" w14:textId="73659C1C" w:rsidR="001567D8" w:rsidRPr="00A80218" w:rsidRDefault="004C1DCC"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 xml:space="preserve">rojekta </w:t>
            </w:r>
            <w:r w:rsidR="00914751" w:rsidRPr="00A80218">
              <w:rPr>
                <w:rFonts w:ascii="Times New Roman" w:eastAsia="Times New Roman" w:hAnsi="Times New Roman" w:cs="Times New Roman"/>
                <w:sz w:val="24"/>
                <w:szCs w:val="24"/>
                <w:lang w:eastAsia="lv-LV"/>
              </w:rPr>
              <w:t>3</w:t>
            </w:r>
            <w:r w:rsidR="00641CEE">
              <w:rPr>
                <w:rFonts w:ascii="Times New Roman" w:eastAsia="Times New Roman" w:hAnsi="Times New Roman" w:cs="Times New Roman"/>
                <w:sz w:val="24"/>
                <w:szCs w:val="24"/>
                <w:lang w:eastAsia="lv-LV"/>
              </w:rPr>
              <w:t>3</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14E4E7D1" w14:textId="6A253690"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2C9E0AB4" w14:textId="2A308B51"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6526AD54"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6A4BA1A3" w14:textId="642D62DD" w:rsidR="001567D8" w:rsidRPr="00A80218"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Nr.2015/2447 2.panta 3.punkta otrā daļa</w:t>
            </w:r>
          </w:p>
        </w:tc>
        <w:tc>
          <w:tcPr>
            <w:tcW w:w="2126" w:type="dxa"/>
            <w:tcBorders>
              <w:top w:val="outset" w:sz="6" w:space="0" w:color="auto"/>
              <w:left w:val="outset" w:sz="6" w:space="0" w:color="auto"/>
              <w:bottom w:val="outset" w:sz="6" w:space="0" w:color="auto"/>
              <w:right w:val="outset" w:sz="6" w:space="0" w:color="auto"/>
            </w:tcBorders>
          </w:tcPr>
          <w:p w14:paraId="7284C8FF" w14:textId="4AAF8FED" w:rsidR="001567D8" w:rsidRPr="00A80218" w:rsidRDefault="004C1DCC"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 xml:space="preserve">rojekta </w:t>
            </w:r>
            <w:r w:rsidR="00641CEE">
              <w:rPr>
                <w:rFonts w:ascii="Times New Roman" w:eastAsia="Times New Roman" w:hAnsi="Times New Roman" w:cs="Times New Roman"/>
                <w:sz w:val="24"/>
                <w:szCs w:val="24"/>
                <w:lang w:eastAsia="lv-LV"/>
              </w:rPr>
              <w:t>33</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6B1FD638" w14:textId="30AB34C4"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3F6A1EA6" w14:textId="235D76CC"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45705221"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4177DBBA" w14:textId="010BA3B1" w:rsidR="001567D8" w:rsidRPr="00A80218" w:rsidRDefault="001567D8" w:rsidP="0099021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2016/341 6.pielikums</w:t>
            </w:r>
          </w:p>
        </w:tc>
        <w:tc>
          <w:tcPr>
            <w:tcW w:w="2126" w:type="dxa"/>
            <w:tcBorders>
              <w:top w:val="outset" w:sz="6" w:space="0" w:color="auto"/>
              <w:left w:val="outset" w:sz="6" w:space="0" w:color="auto"/>
              <w:bottom w:val="outset" w:sz="6" w:space="0" w:color="auto"/>
              <w:right w:val="outset" w:sz="6" w:space="0" w:color="auto"/>
            </w:tcBorders>
          </w:tcPr>
          <w:p w14:paraId="2E354FFA" w14:textId="48363FD5" w:rsidR="001567D8" w:rsidRPr="00A80218" w:rsidRDefault="004C1DCC"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w:t>
            </w:r>
            <w:r w:rsidR="001567D8" w:rsidRPr="00A80218">
              <w:rPr>
                <w:rFonts w:ascii="Times New Roman" w:eastAsia="Times New Roman" w:hAnsi="Times New Roman" w:cs="Times New Roman"/>
                <w:sz w:val="24"/>
                <w:szCs w:val="24"/>
                <w:lang w:eastAsia="lv-LV"/>
              </w:rPr>
              <w:t xml:space="preserve">rojekta </w:t>
            </w:r>
            <w:r w:rsidR="00641CEE">
              <w:rPr>
                <w:rFonts w:ascii="Times New Roman" w:eastAsia="Times New Roman" w:hAnsi="Times New Roman" w:cs="Times New Roman"/>
                <w:sz w:val="24"/>
                <w:szCs w:val="24"/>
                <w:lang w:eastAsia="lv-LV"/>
              </w:rPr>
              <w:t>33</w:t>
            </w:r>
            <w:r w:rsidR="001567D8"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4E4A08C1" w14:textId="3313FFBF"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093EB347" w14:textId="53A337D1" w:rsidR="001567D8" w:rsidRPr="00A80218" w:rsidRDefault="004C1DCC"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ED0D83" w:rsidRPr="00A80218" w14:paraId="566EAC0A"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6F3052E8" w14:textId="48358635" w:rsidR="00ED0D83" w:rsidRPr="00A80218" w:rsidRDefault="00ED0D83" w:rsidP="00ED0D83">
            <w:pPr>
              <w:spacing w:before="100" w:beforeAutospacing="1" w:after="100" w:afterAutospacing="1" w:line="40" w:lineRule="atLeast"/>
              <w:ind w:left="57" w:right="57"/>
              <w:rPr>
                <w:rFonts w:ascii="Times New Roman" w:hAnsi="Times New Roman" w:cs="Times New Roman"/>
                <w:sz w:val="24"/>
                <w:szCs w:val="24"/>
              </w:rPr>
            </w:pPr>
            <w:r w:rsidRPr="00A80218">
              <w:rPr>
                <w:rFonts w:ascii="Times New Roman" w:eastAsia="Calibri" w:hAnsi="Times New Roman" w:cs="Times New Roman"/>
                <w:sz w:val="24"/>
                <w:szCs w:val="24"/>
              </w:rPr>
              <w:t>Regulas Nr.2015/2446 26.pants</w:t>
            </w:r>
          </w:p>
        </w:tc>
        <w:tc>
          <w:tcPr>
            <w:tcW w:w="2126" w:type="dxa"/>
            <w:tcBorders>
              <w:top w:val="outset" w:sz="6" w:space="0" w:color="auto"/>
              <w:left w:val="outset" w:sz="6" w:space="0" w:color="auto"/>
              <w:bottom w:val="outset" w:sz="6" w:space="0" w:color="auto"/>
              <w:right w:val="outset" w:sz="6" w:space="0" w:color="auto"/>
            </w:tcBorders>
          </w:tcPr>
          <w:p w14:paraId="2BE973E3" w14:textId="6E445435" w:rsidR="00ED0D83" w:rsidRPr="00A80218" w:rsidRDefault="00ED0D83"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projekta 3</w:t>
            </w:r>
            <w:r w:rsidR="00641CEE">
              <w:rPr>
                <w:rFonts w:ascii="Times New Roman" w:eastAsia="Times New Roman" w:hAnsi="Times New Roman" w:cs="Times New Roman"/>
                <w:sz w:val="24"/>
                <w:szCs w:val="24"/>
                <w:lang w:eastAsia="lv-LV"/>
              </w:rPr>
              <w:t>4</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360F8AA1" w14:textId="66BEA634" w:rsidR="00ED0D83"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0D46210D" w14:textId="294DB8DD" w:rsidR="00ED0D83"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ED0D83" w:rsidRPr="00A80218" w14:paraId="11B857EF"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3A8C4D8A" w14:textId="4CC2F81F" w:rsidR="00ED0D83" w:rsidRPr="00A80218" w:rsidRDefault="009B12C7" w:rsidP="0099021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Nr.2015/2446 A pielikuma X sadaļa</w:t>
            </w:r>
          </w:p>
        </w:tc>
        <w:tc>
          <w:tcPr>
            <w:tcW w:w="2126" w:type="dxa"/>
            <w:tcBorders>
              <w:top w:val="outset" w:sz="6" w:space="0" w:color="auto"/>
              <w:left w:val="outset" w:sz="6" w:space="0" w:color="auto"/>
              <w:bottom w:val="outset" w:sz="6" w:space="0" w:color="auto"/>
              <w:right w:val="outset" w:sz="6" w:space="0" w:color="auto"/>
            </w:tcBorders>
          </w:tcPr>
          <w:p w14:paraId="33876912" w14:textId="52DE1273" w:rsidR="00ED0D83" w:rsidRPr="00A80218" w:rsidRDefault="009B12C7"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41</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6CD6AB62" w14:textId="0364F968" w:rsidR="00ED0D83"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0279B243" w14:textId="08F77F59" w:rsidR="00ED0D83"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ED0D83" w:rsidRPr="00A80218" w14:paraId="13421C26"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52E87A97" w14:textId="7082E010" w:rsidR="00ED0D83" w:rsidRPr="00A80218" w:rsidRDefault="009B12C7" w:rsidP="0099021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Nr.2015/2446 120.panta 2.punkts</w:t>
            </w:r>
          </w:p>
        </w:tc>
        <w:tc>
          <w:tcPr>
            <w:tcW w:w="2126" w:type="dxa"/>
            <w:tcBorders>
              <w:top w:val="outset" w:sz="6" w:space="0" w:color="auto"/>
              <w:left w:val="outset" w:sz="6" w:space="0" w:color="auto"/>
              <w:bottom w:val="outset" w:sz="6" w:space="0" w:color="auto"/>
              <w:right w:val="outset" w:sz="6" w:space="0" w:color="auto"/>
            </w:tcBorders>
          </w:tcPr>
          <w:p w14:paraId="3BB3C726" w14:textId="27818596" w:rsidR="00ED0D83" w:rsidRPr="00A80218" w:rsidRDefault="009B12C7"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42</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7AEBE3E7" w14:textId="7AC86FF7" w:rsidR="00ED0D83"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469312B9" w14:textId="5BBFDC83" w:rsidR="00ED0D83"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4E43C9" w:rsidRPr="00A80218" w14:paraId="2117811D"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0AFE5942" w14:textId="47F95730" w:rsidR="004E43C9" w:rsidRPr="00A80218" w:rsidRDefault="006725E8" w:rsidP="00EC5B30">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w:t>
            </w:r>
            <w:r w:rsidR="00EC5B30" w:rsidRPr="00A80218">
              <w:rPr>
                <w:rFonts w:ascii="Times New Roman" w:eastAsia="Calibri" w:hAnsi="Times New Roman" w:cs="Times New Roman"/>
                <w:sz w:val="24"/>
                <w:szCs w:val="24"/>
              </w:rPr>
              <w:t>as 2016/341 26.panta 1.punkta “b”</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c</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d</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e</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 29.panta 1.punkta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a</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w:t>
            </w:r>
          </w:p>
        </w:tc>
        <w:tc>
          <w:tcPr>
            <w:tcW w:w="2126" w:type="dxa"/>
            <w:tcBorders>
              <w:top w:val="outset" w:sz="6" w:space="0" w:color="auto"/>
              <w:left w:val="outset" w:sz="6" w:space="0" w:color="auto"/>
              <w:bottom w:val="outset" w:sz="6" w:space="0" w:color="auto"/>
              <w:right w:val="outset" w:sz="6" w:space="0" w:color="auto"/>
            </w:tcBorders>
          </w:tcPr>
          <w:p w14:paraId="5AB2DD64" w14:textId="46A08A29" w:rsidR="004E43C9" w:rsidRPr="00A80218" w:rsidRDefault="00CD2A98"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50</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1AE429CF" w14:textId="1C665645"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3E24B3EE" w14:textId="7E3E4F44"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4E43C9" w:rsidRPr="00A80218" w14:paraId="04FC21A5"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26A78347" w14:textId="167364D7" w:rsidR="004E43C9" w:rsidRPr="00A80218" w:rsidRDefault="005121D5" w:rsidP="00EC5B30">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 xml:space="preserve">Regulas 2016/341 26.panta 1.punkta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b</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c</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d</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e</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w:t>
            </w:r>
          </w:p>
        </w:tc>
        <w:tc>
          <w:tcPr>
            <w:tcW w:w="2126" w:type="dxa"/>
            <w:tcBorders>
              <w:top w:val="outset" w:sz="6" w:space="0" w:color="auto"/>
              <w:left w:val="outset" w:sz="6" w:space="0" w:color="auto"/>
              <w:bottom w:val="outset" w:sz="6" w:space="0" w:color="auto"/>
              <w:right w:val="outset" w:sz="6" w:space="0" w:color="auto"/>
            </w:tcBorders>
          </w:tcPr>
          <w:p w14:paraId="0363F0BF" w14:textId="1FBF4819" w:rsidR="004E43C9" w:rsidRPr="00A80218" w:rsidRDefault="005121D5"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54</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2C177A79" w14:textId="68F71D5D"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1BC23872" w14:textId="25E48176"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4E43C9" w:rsidRPr="00A80218" w14:paraId="082E3CDD"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59D39AAB" w14:textId="1FBFD132" w:rsidR="004E43C9" w:rsidRPr="00A80218" w:rsidRDefault="0005745B" w:rsidP="0005745B">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2016/341 28.panta 1.punkts un 3.punkts</w:t>
            </w:r>
          </w:p>
        </w:tc>
        <w:tc>
          <w:tcPr>
            <w:tcW w:w="2126" w:type="dxa"/>
            <w:tcBorders>
              <w:top w:val="outset" w:sz="6" w:space="0" w:color="auto"/>
              <w:left w:val="outset" w:sz="6" w:space="0" w:color="auto"/>
              <w:bottom w:val="outset" w:sz="6" w:space="0" w:color="auto"/>
              <w:right w:val="outset" w:sz="6" w:space="0" w:color="auto"/>
            </w:tcBorders>
          </w:tcPr>
          <w:p w14:paraId="25E16811" w14:textId="43963A49" w:rsidR="004E43C9" w:rsidRPr="00A80218" w:rsidRDefault="00B879F6"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56</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536214C3" w14:textId="3B06A8E3"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74C36CB4" w14:textId="4EC86AFD"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4E43C9" w:rsidRPr="00A80218" w14:paraId="1C79D772"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547AC821" w14:textId="087B3377" w:rsidR="004E43C9" w:rsidRPr="00A80218" w:rsidRDefault="00F82E5E" w:rsidP="00EC5B30">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 xml:space="preserve">Regulas 2016/341 26.panta 1.punkta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a</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c</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d</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e</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 29.panta 1.punkta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a</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w:t>
            </w:r>
          </w:p>
        </w:tc>
        <w:tc>
          <w:tcPr>
            <w:tcW w:w="2126" w:type="dxa"/>
            <w:tcBorders>
              <w:top w:val="outset" w:sz="6" w:space="0" w:color="auto"/>
              <w:left w:val="outset" w:sz="6" w:space="0" w:color="auto"/>
              <w:bottom w:val="outset" w:sz="6" w:space="0" w:color="auto"/>
              <w:right w:val="outset" w:sz="6" w:space="0" w:color="auto"/>
            </w:tcBorders>
          </w:tcPr>
          <w:p w14:paraId="055C7122" w14:textId="44DA1603" w:rsidR="004E43C9" w:rsidRPr="00A80218" w:rsidRDefault="00D802F1"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60</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466CE258" w14:textId="35A2D27C"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5A341E43" w14:textId="0A0255A2" w:rsidR="004E43C9"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F41256" w:rsidRPr="00A80218" w14:paraId="05D4C93B"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09E1E3BB" w14:textId="70625431" w:rsidR="00F41256" w:rsidRPr="00A80218" w:rsidRDefault="00F41256" w:rsidP="00EC5B30">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w:t>
            </w:r>
            <w:r w:rsidR="00EC5B30" w:rsidRPr="00A80218">
              <w:rPr>
                <w:rFonts w:ascii="Times New Roman" w:eastAsia="Calibri" w:hAnsi="Times New Roman" w:cs="Times New Roman"/>
                <w:sz w:val="24"/>
                <w:szCs w:val="24"/>
              </w:rPr>
              <w:t>as 2016/341 26.panta 1.punkta “a”</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c</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d</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e</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w:t>
            </w:r>
          </w:p>
        </w:tc>
        <w:tc>
          <w:tcPr>
            <w:tcW w:w="2126" w:type="dxa"/>
            <w:tcBorders>
              <w:top w:val="outset" w:sz="6" w:space="0" w:color="auto"/>
              <w:left w:val="outset" w:sz="6" w:space="0" w:color="auto"/>
              <w:bottom w:val="outset" w:sz="6" w:space="0" w:color="auto"/>
              <w:right w:val="outset" w:sz="6" w:space="0" w:color="auto"/>
            </w:tcBorders>
          </w:tcPr>
          <w:p w14:paraId="39EA4371" w14:textId="01EE079B" w:rsidR="00F41256" w:rsidRPr="00A80218" w:rsidRDefault="00F41256"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62</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6B2A1CF7" w14:textId="7777BDE3" w:rsidR="00F41256"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49A6248B" w14:textId="5994FE74" w:rsidR="00F41256"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05669A" w:rsidRPr="00A80218" w14:paraId="3AE61B0B"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52B12E5A" w14:textId="766B379A" w:rsidR="0005669A" w:rsidRPr="00A80218" w:rsidRDefault="0005669A" w:rsidP="00EC5B30">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 xml:space="preserve">Regulas 2016/341 27.panta 1.punkts un 29.panta 1.punkta </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a</w:t>
            </w:r>
            <w:r w:rsidR="00EC5B30" w:rsidRPr="00A80218">
              <w:rPr>
                <w:rFonts w:ascii="Times New Roman" w:eastAsia="Calibri" w:hAnsi="Times New Roman" w:cs="Times New Roman"/>
                <w:sz w:val="24"/>
                <w:szCs w:val="24"/>
              </w:rPr>
              <w:t>”</w:t>
            </w:r>
            <w:r w:rsidRPr="00A80218">
              <w:rPr>
                <w:rFonts w:ascii="Times New Roman" w:eastAsia="Calibri" w:hAnsi="Times New Roman" w:cs="Times New Roman"/>
                <w:sz w:val="24"/>
                <w:szCs w:val="24"/>
              </w:rPr>
              <w:t xml:space="preserve"> apakšpunkts</w:t>
            </w:r>
          </w:p>
        </w:tc>
        <w:tc>
          <w:tcPr>
            <w:tcW w:w="2126" w:type="dxa"/>
            <w:tcBorders>
              <w:top w:val="outset" w:sz="6" w:space="0" w:color="auto"/>
              <w:left w:val="outset" w:sz="6" w:space="0" w:color="auto"/>
              <w:bottom w:val="outset" w:sz="6" w:space="0" w:color="auto"/>
              <w:right w:val="outset" w:sz="6" w:space="0" w:color="auto"/>
            </w:tcBorders>
          </w:tcPr>
          <w:p w14:paraId="724C0544" w14:textId="785B7DC5" w:rsidR="0005669A" w:rsidRPr="00A80218" w:rsidRDefault="0005669A"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66</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6972F8FD" w14:textId="3B9893A5"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7AC6E257" w14:textId="376ABEB9"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05669A" w:rsidRPr="00A80218" w14:paraId="7431B137"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04F16875" w14:textId="1F3E61F2" w:rsidR="0005669A" w:rsidRPr="00A80218" w:rsidRDefault="0012331D" w:rsidP="00F41256">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lastRenderedPageBreak/>
              <w:t>Regulas 2016/341 27.panta 1.punkts un 3.punkts</w:t>
            </w:r>
          </w:p>
        </w:tc>
        <w:tc>
          <w:tcPr>
            <w:tcW w:w="2126" w:type="dxa"/>
            <w:tcBorders>
              <w:top w:val="outset" w:sz="6" w:space="0" w:color="auto"/>
              <w:left w:val="outset" w:sz="6" w:space="0" w:color="auto"/>
              <w:bottom w:val="outset" w:sz="6" w:space="0" w:color="auto"/>
              <w:right w:val="outset" w:sz="6" w:space="0" w:color="auto"/>
            </w:tcBorders>
          </w:tcPr>
          <w:p w14:paraId="3C4101A8" w14:textId="30655CA7" w:rsidR="0005669A" w:rsidRPr="00A80218" w:rsidRDefault="0012331D" w:rsidP="00641CEE">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r w:rsidR="00641CEE">
              <w:rPr>
                <w:rFonts w:ascii="Times New Roman" w:eastAsia="Times New Roman" w:hAnsi="Times New Roman" w:cs="Times New Roman"/>
                <w:sz w:val="24"/>
                <w:szCs w:val="24"/>
                <w:lang w:eastAsia="lv-LV"/>
              </w:rPr>
              <w:t>68</w:t>
            </w:r>
            <w:r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24E969DE" w14:textId="0E349C8A"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298F2957" w14:textId="1987E257"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05669A" w:rsidRPr="00A80218" w14:paraId="39DAF369"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291A861E" w14:textId="55ACC3A4" w:rsidR="0005669A" w:rsidRPr="00A80218" w:rsidRDefault="009F6E7C" w:rsidP="009F6E7C">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Nr.2015/2447 67.panta 3.punkts</w:t>
            </w:r>
          </w:p>
        </w:tc>
        <w:tc>
          <w:tcPr>
            <w:tcW w:w="2126" w:type="dxa"/>
            <w:tcBorders>
              <w:top w:val="outset" w:sz="6" w:space="0" w:color="auto"/>
              <w:left w:val="outset" w:sz="6" w:space="0" w:color="auto"/>
              <w:bottom w:val="outset" w:sz="6" w:space="0" w:color="auto"/>
              <w:right w:val="outset" w:sz="6" w:space="0" w:color="auto"/>
            </w:tcBorders>
          </w:tcPr>
          <w:p w14:paraId="3A16841F" w14:textId="77777777" w:rsidR="00641CEE" w:rsidRDefault="009F6E7C" w:rsidP="00F41256">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Noteikumu projekta </w:t>
            </w:r>
          </w:p>
          <w:p w14:paraId="7997F44D" w14:textId="545C3118" w:rsidR="0005669A" w:rsidRPr="00A80218" w:rsidRDefault="00641CEE" w:rsidP="00F41256">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r w:rsidR="009F6E7C"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55843225" w14:textId="5F852CC2"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4B849F2A" w14:textId="799E9E09"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05669A" w:rsidRPr="00A80218" w14:paraId="55A1A09F" w14:textId="77777777" w:rsidTr="00A80218">
        <w:trPr>
          <w:trHeight w:val="889"/>
          <w:tblCellSpacing w:w="0" w:type="dxa"/>
        </w:trPr>
        <w:tc>
          <w:tcPr>
            <w:tcW w:w="2544" w:type="dxa"/>
            <w:gridSpan w:val="2"/>
            <w:tcBorders>
              <w:top w:val="outset" w:sz="6" w:space="0" w:color="auto"/>
              <w:left w:val="outset" w:sz="6" w:space="0" w:color="auto"/>
              <w:bottom w:val="outset" w:sz="6" w:space="0" w:color="auto"/>
              <w:right w:val="outset" w:sz="6" w:space="0" w:color="auto"/>
            </w:tcBorders>
          </w:tcPr>
          <w:p w14:paraId="71EAC3BD" w14:textId="12811553" w:rsidR="0005669A" w:rsidRPr="00A80218" w:rsidRDefault="004049C2" w:rsidP="00F41256">
            <w:pPr>
              <w:spacing w:before="100" w:beforeAutospacing="1" w:after="100" w:afterAutospacing="1" w:line="40" w:lineRule="atLeast"/>
              <w:ind w:left="57" w:right="57"/>
              <w:rPr>
                <w:rFonts w:ascii="Times New Roman" w:eastAsia="Calibri" w:hAnsi="Times New Roman" w:cs="Times New Roman"/>
                <w:sz w:val="24"/>
                <w:szCs w:val="24"/>
              </w:rPr>
            </w:pPr>
            <w:r w:rsidRPr="00A80218">
              <w:rPr>
                <w:rFonts w:ascii="Times New Roman" w:eastAsia="Calibri" w:hAnsi="Times New Roman" w:cs="Times New Roman"/>
                <w:sz w:val="24"/>
                <w:szCs w:val="24"/>
              </w:rPr>
              <w:t>Regulas Nr.2015/2447 67.panta 3.punkts</w:t>
            </w:r>
          </w:p>
        </w:tc>
        <w:tc>
          <w:tcPr>
            <w:tcW w:w="2126" w:type="dxa"/>
            <w:tcBorders>
              <w:top w:val="outset" w:sz="6" w:space="0" w:color="auto"/>
              <w:left w:val="outset" w:sz="6" w:space="0" w:color="auto"/>
              <w:bottom w:val="outset" w:sz="6" w:space="0" w:color="auto"/>
              <w:right w:val="outset" w:sz="6" w:space="0" w:color="auto"/>
            </w:tcBorders>
          </w:tcPr>
          <w:p w14:paraId="56641C73" w14:textId="7BBE1AD4" w:rsidR="0005669A" w:rsidRPr="00A80218" w:rsidRDefault="00641CEE" w:rsidP="004049C2">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74</w:t>
            </w:r>
            <w:r w:rsidR="004049C2" w:rsidRPr="00A80218">
              <w:rPr>
                <w:rFonts w:ascii="Times New Roman" w:eastAsia="Times New Roman" w:hAnsi="Times New Roman" w:cs="Times New Roman"/>
                <w:sz w:val="24"/>
                <w:szCs w:val="24"/>
                <w:lang w:eastAsia="lv-LV"/>
              </w:rPr>
              <w:t>.punkts</w:t>
            </w:r>
          </w:p>
        </w:tc>
        <w:tc>
          <w:tcPr>
            <w:tcW w:w="2127" w:type="dxa"/>
            <w:gridSpan w:val="2"/>
            <w:tcBorders>
              <w:top w:val="outset" w:sz="6" w:space="0" w:color="auto"/>
              <w:left w:val="outset" w:sz="6" w:space="0" w:color="auto"/>
              <w:bottom w:val="outset" w:sz="6" w:space="0" w:color="auto"/>
              <w:right w:val="outset" w:sz="6" w:space="0" w:color="auto"/>
            </w:tcBorders>
          </w:tcPr>
          <w:p w14:paraId="59A44C1B" w14:textId="32966B7A"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Tiek ieviests pilnībā</w:t>
            </w:r>
          </w:p>
        </w:tc>
        <w:tc>
          <w:tcPr>
            <w:tcW w:w="2267" w:type="dxa"/>
            <w:tcBorders>
              <w:top w:val="outset" w:sz="6" w:space="0" w:color="auto"/>
              <w:left w:val="outset" w:sz="6" w:space="0" w:color="auto"/>
              <w:bottom w:val="outset" w:sz="6" w:space="0" w:color="auto"/>
              <w:right w:val="outset" w:sz="6" w:space="0" w:color="auto"/>
            </w:tcBorders>
          </w:tcPr>
          <w:p w14:paraId="0F0889F8" w14:textId="12F9AC15" w:rsidR="0005669A" w:rsidRPr="00A80218" w:rsidRDefault="005A7044" w:rsidP="0099021B">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Nacionālais tiesību akts neparedz stingrākas prasības</w:t>
            </w:r>
          </w:p>
        </w:tc>
      </w:tr>
      <w:tr w:rsidR="00941AE5" w:rsidRPr="00A80218" w14:paraId="30F90CCC" w14:textId="77777777" w:rsidTr="00A80218">
        <w:trPr>
          <w:trHeight w:val="281"/>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62143AF4"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14:paraId="3D2681BA"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Kādēļ?</w:t>
            </w:r>
          </w:p>
        </w:tc>
        <w:tc>
          <w:tcPr>
            <w:tcW w:w="6520" w:type="dxa"/>
            <w:gridSpan w:val="4"/>
            <w:tcBorders>
              <w:top w:val="outset" w:sz="6" w:space="0" w:color="auto"/>
              <w:left w:val="outset" w:sz="6" w:space="0" w:color="auto"/>
              <w:bottom w:val="outset" w:sz="6" w:space="0" w:color="auto"/>
              <w:right w:val="outset" w:sz="6" w:space="0" w:color="auto"/>
            </w:tcBorders>
            <w:hideMark/>
          </w:tcPr>
          <w:p w14:paraId="094B834E" w14:textId="6E9E4A16" w:rsidR="00015133" w:rsidRPr="00A80218"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šo jomu neskar</w:t>
            </w:r>
          </w:p>
        </w:tc>
      </w:tr>
      <w:tr w:rsidR="00941AE5" w:rsidRPr="00A80218" w14:paraId="5FF7D253" w14:textId="77777777" w:rsidTr="00A80218">
        <w:trPr>
          <w:trHeight w:val="913"/>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5D6CB032"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20" w:type="dxa"/>
            <w:gridSpan w:val="4"/>
            <w:tcBorders>
              <w:top w:val="outset" w:sz="6" w:space="0" w:color="auto"/>
              <w:left w:val="outset" w:sz="6" w:space="0" w:color="auto"/>
              <w:bottom w:val="outset" w:sz="6" w:space="0" w:color="auto"/>
              <w:right w:val="outset" w:sz="6" w:space="0" w:color="auto"/>
            </w:tcBorders>
            <w:hideMark/>
          </w:tcPr>
          <w:p w14:paraId="2DB04FF2" w14:textId="43EEDA09" w:rsidR="00015133" w:rsidRPr="00A80218"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šo jomu neskar</w:t>
            </w:r>
          </w:p>
        </w:tc>
      </w:tr>
      <w:tr w:rsidR="00941AE5" w:rsidRPr="00A80218" w14:paraId="3170ABA1" w14:textId="77777777" w:rsidTr="00A80218">
        <w:trPr>
          <w:trHeight w:val="579"/>
          <w:tblCellSpacing w:w="0" w:type="dxa"/>
        </w:trPr>
        <w:tc>
          <w:tcPr>
            <w:tcW w:w="2544" w:type="dxa"/>
            <w:gridSpan w:val="2"/>
            <w:tcBorders>
              <w:top w:val="outset" w:sz="6" w:space="0" w:color="auto"/>
              <w:left w:val="outset" w:sz="6" w:space="0" w:color="auto"/>
              <w:bottom w:val="outset" w:sz="6" w:space="0" w:color="auto"/>
              <w:right w:val="outset" w:sz="6" w:space="0" w:color="auto"/>
            </w:tcBorders>
            <w:hideMark/>
          </w:tcPr>
          <w:p w14:paraId="414CAB12"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Cita informācija</w:t>
            </w:r>
          </w:p>
        </w:tc>
        <w:tc>
          <w:tcPr>
            <w:tcW w:w="6520" w:type="dxa"/>
            <w:gridSpan w:val="4"/>
            <w:tcBorders>
              <w:top w:val="outset" w:sz="6" w:space="0" w:color="auto"/>
              <w:left w:val="outset" w:sz="6" w:space="0" w:color="auto"/>
              <w:bottom w:val="outset" w:sz="6" w:space="0" w:color="auto"/>
              <w:right w:val="outset" w:sz="6" w:space="0" w:color="auto"/>
            </w:tcBorders>
            <w:hideMark/>
          </w:tcPr>
          <w:p w14:paraId="354BA11D" w14:textId="32AA001E"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Nav</w:t>
            </w:r>
          </w:p>
        </w:tc>
      </w:tr>
      <w:tr w:rsidR="00941AE5" w:rsidRPr="00A80218" w14:paraId="24790BA0" w14:textId="77777777" w:rsidTr="00A80218">
        <w:trPr>
          <w:trHeight w:val="792"/>
          <w:tblCellSpacing w:w="0" w:type="dxa"/>
        </w:trPr>
        <w:tc>
          <w:tcPr>
            <w:tcW w:w="9064" w:type="dxa"/>
            <w:gridSpan w:val="6"/>
            <w:tcBorders>
              <w:top w:val="outset" w:sz="6" w:space="0" w:color="auto"/>
              <w:left w:val="outset" w:sz="6" w:space="0" w:color="auto"/>
              <w:bottom w:val="outset" w:sz="6" w:space="0" w:color="auto"/>
              <w:right w:val="outset" w:sz="6" w:space="0" w:color="auto"/>
            </w:tcBorders>
            <w:vAlign w:val="center"/>
            <w:hideMark/>
          </w:tcPr>
          <w:p w14:paraId="4A750E03" w14:textId="77777777" w:rsidR="00015133" w:rsidRPr="00A80218" w:rsidRDefault="00015133" w:rsidP="00B60C42">
            <w:pPr>
              <w:spacing w:after="0"/>
              <w:ind w:left="0"/>
              <w:jc w:val="center"/>
              <w:rPr>
                <w:rFonts w:ascii="Times New Roman" w:eastAsia="Times New Roman" w:hAnsi="Times New Roman" w:cs="Times New Roman"/>
                <w:b/>
                <w:lang w:eastAsia="lv-LV"/>
              </w:rPr>
            </w:pPr>
            <w:r w:rsidRPr="00A80218">
              <w:rPr>
                <w:rFonts w:ascii="Times New Roman" w:eastAsia="Times New Roman" w:hAnsi="Times New Roman" w:cs="Times New Roman"/>
                <w:b/>
                <w:lang w:eastAsia="lv-LV"/>
              </w:rPr>
              <w:t>2.tabula</w:t>
            </w:r>
          </w:p>
          <w:p w14:paraId="07A770B8" w14:textId="29B1A5EF" w:rsidR="00015133" w:rsidRPr="00A80218" w:rsidRDefault="00015133" w:rsidP="00B60C42">
            <w:pPr>
              <w:spacing w:after="0"/>
              <w:ind w:left="0"/>
              <w:jc w:val="center"/>
              <w:rPr>
                <w:rFonts w:ascii="Times New Roman" w:eastAsia="Times New Roman" w:hAnsi="Times New Roman" w:cs="Times New Roman"/>
                <w:b/>
                <w:lang w:eastAsia="lv-LV"/>
              </w:rPr>
            </w:pPr>
            <w:r w:rsidRPr="00A80218">
              <w:rPr>
                <w:rFonts w:ascii="Times New Roman" w:eastAsia="Times New Roman" w:hAnsi="Times New Roman" w:cs="Times New Roman"/>
                <w:b/>
                <w:lang w:eastAsia="lv-LV"/>
              </w:rPr>
              <w:t>Ar tiesību akta projektu</w:t>
            </w:r>
            <w:r w:rsidR="00FB5C20" w:rsidRPr="00A80218">
              <w:rPr>
                <w:rFonts w:ascii="Times New Roman" w:eastAsia="Times New Roman" w:hAnsi="Times New Roman" w:cs="Times New Roman"/>
                <w:b/>
                <w:lang w:eastAsia="lv-LV"/>
              </w:rPr>
              <w:t xml:space="preserve"> izpildītās vai</w:t>
            </w:r>
            <w:r w:rsidRPr="00A80218">
              <w:rPr>
                <w:rFonts w:ascii="Times New Roman" w:eastAsia="Times New Roman" w:hAnsi="Times New Roman" w:cs="Times New Roman"/>
                <w:b/>
                <w:lang w:eastAsia="lv-LV"/>
              </w:rPr>
              <w:t xml:space="preserve"> uzņemtās saistības, kas izriet no starptautiskajiem tiesību aktiem vai starptautiskas institūcijas vai organizācijas dokumentiem</w:t>
            </w:r>
            <w:r w:rsidR="006B1833" w:rsidRPr="00A80218">
              <w:rPr>
                <w:rFonts w:ascii="Times New Roman" w:eastAsia="Times New Roman" w:hAnsi="Times New Roman" w:cs="Times New Roman"/>
                <w:b/>
                <w:lang w:eastAsia="lv-LV"/>
              </w:rPr>
              <w:t>.</w:t>
            </w:r>
          </w:p>
          <w:p w14:paraId="3D9BFE56" w14:textId="77777777" w:rsidR="00015133" w:rsidRPr="00A80218" w:rsidRDefault="00015133" w:rsidP="00B60C42">
            <w:pPr>
              <w:spacing w:after="0"/>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b/>
                <w:lang w:eastAsia="lv-LV"/>
              </w:rPr>
              <w:t>Pasākumi šo saistību izpildei</w:t>
            </w:r>
          </w:p>
        </w:tc>
      </w:tr>
      <w:tr w:rsidR="00941AE5" w:rsidRPr="00A80218" w14:paraId="153D6A21" w14:textId="77777777" w:rsidTr="00A80218">
        <w:trPr>
          <w:trHeight w:val="411"/>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52BFBF8F" w14:textId="77777777" w:rsidR="00015133" w:rsidRPr="00A80218" w:rsidRDefault="00015133" w:rsidP="006B18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520" w:type="dxa"/>
            <w:gridSpan w:val="4"/>
            <w:tcBorders>
              <w:top w:val="outset" w:sz="6" w:space="0" w:color="auto"/>
              <w:left w:val="outset" w:sz="6" w:space="0" w:color="auto"/>
              <w:bottom w:val="outset" w:sz="6" w:space="0" w:color="auto"/>
              <w:right w:val="outset" w:sz="6" w:space="0" w:color="auto"/>
            </w:tcBorders>
            <w:hideMark/>
          </w:tcPr>
          <w:p w14:paraId="2124A0E6" w14:textId="5CCE25C9" w:rsidR="00015133" w:rsidRPr="00A80218"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šo jomu neskar</w:t>
            </w:r>
          </w:p>
        </w:tc>
      </w:tr>
      <w:tr w:rsidR="00941AE5" w:rsidRPr="00A80218" w14:paraId="044BEA5E" w14:textId="77777777" w:rsidTr="00A80218">
        <w:trPr>
          <w:trHeight w:val="358"/>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701D2DE8" w14:textId="1F378BEE" w:rsidR="00015133" w:rsidRPr="00A80218"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A</w:t>
            </w:r>
          </w:p>
        </w:tc>
        <w:tc>
          <w:tcPr>
            <w:tcW w:w="3672" w:type="dxa"/>
            <w:gridSpan w:val="2"/>
            <w:tcBorders>
              <w:top w:val="outset" w:sz="6" w:space="0" w:color="auto"/>
              <w:left w:val="outset" w:sz="6" w:space="0" w:color="auto"/>
              <w:bottom w:val="outset" w:sz="6" w:space="0" w:color="auto"/>
              <w:right w:val="outset" w:sz="6" w:space="0" w:color="auto"/>
            </w:tcBorders>
            <w:vAlign w:val="center"/>
            <w:hideMark/>
          </w:tcPr>
          <w:p w14:paraId="2A7706C8" w14:textId="30FFF597" w:rsidR="00015133" w:rsidRPr="00A80218" w:rsidRDefault="00015133" w:rsidP="006B1833">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B</w:t>
            </w:r>
          </w:p>
        </w:tc>
        <w:tc>
          <w:tcPr>
            <w:tcW w:w="2848" w:type="dxa"/>
            <w:gridSpan w:val="2"/>
            <w:tcBorders>
              <w:top w:val="outset" w:sz="6" w:space="0" w:color="auto"/>
              <w:left w:val="outset" w:sz="6" w:space="0" w:color="auto"/>
              <w:bottom w:val="outset" w:sz="6" w:space="0" w:color="auto"/>
              <w:right w:val="outset" w:sz="6" w:space="0" w:color="auto"/>
            </w:tcBorders>
            <w:vAlign w:val="center"/>
            <w:hideMark/>
          </w:tcPr>
          <w:p w14:paraId="334BF6E8" w14:textId="667D6A4F" w:rsidR="00015133" w:rsidRPr="00A80218" w:rsidRDefault="00015133" w:rsidP="00190DB7">
            <w:pPr>
              <w:spacing w:before="100" w:beforeAutospacing="1" w:after="100" w:afterAutospacing="1" w:line="40" w:lineRule="atLeast"/>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w:t>
            </w:r>
          </w:p>
        </w:tc>
      </w:tr>
      <w:tr w:rsidR="00941AE5" w:rsidRPr="00A80218" w14:paraId="0D463AA2" w14:textId="77777777" w:rsidTr="00A80218">
        <w:trPr>
          <w:trHeight w:val="161"/>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6F6AC195" w14:textId="4F13E9BF" w:rsidR="00015133" w:rsidRPr="00A80218" w:rsidRDefault="00015133" w:rsidP="006B1833">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Projekts šo jomu neskar</w:t>
            </w:r>
          </w:p>
        </w:tc>
        <w:tc>
          <w:tcPr>
            <w:tcW w:w="3672" w:type="dxa"/>
            <w:gridSpan w:val="2"/>
            <w:tcBorders>
              <w:top w:val="outset" w:sz="6" w:space="0" w:color="auto"/>
              <w:left w:val="outset" w:sz="6" w:space="0" w:color="auto"/>
              <w:bottom w:val="outset" w:sz="6" w:space="0" w:color="auto"/>
              <w:right w:val="outset" w:sz="6" w:space="0" w:color="auto"/>
            </w:tcBorders>
            <w:vAlign w:val="center"/>
            <w:hideMark/>
          </w:tcPr>
          <w:p w14:paraId="6D915C20" w14:textId="1933C30E" w:rsidR="00015133" w:rsidRPr="00A80218"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šo jomu neskar</w:t>
            </w:r>
          </w:p>
        </w:tc>
        <w:tc>
          <w:tcPr>
            <w:tcW w:w="2848" w:type="dxa"/>
            <w:gridSpan w:val="2"/>
            <w:tcBorders>
              <w:top w:val="outset" w:sz="6" w:space="0" w:color="auto"/>
              <w:left w:val="outset" w:sz="6" w:space="0" w:color="auto"/>
              <w:bottom w:val="outset" w:sz="6" w:space="0" w:color="auto"/>
              <w:right w:val="outset" w:sz="6" w:space="0" w:color="auto"/>
            </w:tcBorders>
            <w:vAlign w:val="center"/>
            <w:hideMark/>
          </w:tcPr>
          <w:p w14:paraId="7C882026" w14:textId="051F0A97" w:rsidR="00015133" w:rsidRPr="00A80218" w:rsidRDefault="00190DB7"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Noteikumu projekts šo jomu neskar</w:t>
            </w:r>
          </w:p>
        </w:tc>
      </w:tr>
      <w:tr w:rsidR="00941AE5" w:rsidRPr="00A80218" w14:paraId="21891045" w14:textId="77777777" w:rsidTr="00A80218">
        <w:trPr>
          <w:trHeight w:val="161"/>
          <w:tblCellSpacing w:w="0" w:type="dxa"/>
        </w:trPr>
        <w:tc>
          <w:tcPr>
            <w:tcW w:w="2544" w:type="dxa"/>
            <w:gridSpan w:val="2"/>
            <w:tcBorders>
              <w:top w:val="outset" w:sz="6" w:space="0" w:color="auto"/>
              <w:left w:val="outset" w:sz="6" w:space="0" w:color="auto"/>
              <w:bottom w:val="outset" w:sz="6" w:space="0" w:color="auto"/>
              <w:right w:val="outset" w:sz="6" w:space="0" w:color="auto"/>
            </w:tcBorders>
            <w:vAlign w:val="center"/>
            <w:hideMark/>
          </w:tcPr>
          <w:p w14:paraId="5A4410D2" w14:textId="77777777" w:rsidR="00015133" w:rsidRPr="00A80218" w:rsidRDefault="00015133" w:rsidP="00190DB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Vai starptautiskajā dokumentā paredzētās saistības nav pretrunā ar </w:t>
            </w:r>
            <w:r w:rsidRPr="00A80218">
              <w:rPr>
                <w:rFonts w:ascii="Times New Roman" w:eastAsia="Times New Roman" w:hAnsi="Times New Roman" w:cs="Times New Roman"/>
                <w:sz w:val="24"/>
                <w:szCs w:val="24"/>
                <w:lang w:eastAsia="lv-LV"/>
              </w:rPr>
              <w:lastRenderedPageBreak/>
              <w:t>jau esošajām Latvijas Republikas starptautiskajām saistībām</w:t>
            </w:r>
          </w:p>
        </w:tc>
        <w:tc>
          <w:tcPr>
            <w:tcW w:w="6520" w:type="dxa"/>
            <w:gridSpan w:val="4"/>
            <w:tcBorders>
              <w:top w:val="outset" w:sz="6" w:space="0" w:color="auto"/>
              <w:left w:val="outset" w:sz="6" w:space="0" w:color="auto"/>
              <w:bottom w:val="outset" w:sz="6" w:space="0" w:color="auto"/>
              <w:right w:val="outset" w:sz="6" w:space="0" w:color="auto"/>
            </w:tcBorders>
            <w:hideMark/>
          </w:tcPr>
          <w:p w14:paraId="00463C6F" w14:textId="3ED3519F" w:rsidR="00015133" w:rsidRPr="00A80218" w:rsidRDefault="00EA55C6" w:rsidP="00EA55C6">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lastRenderedPageBreak/>
              <w:t>Noteikumu p</w:t>
            </w:r>
            <w:r w:rsidR="00015133" w:rsidRPr="00A80218">
              <w:rPr>
                <w:rFonts w:ascii="Times New Roman" w:eastAsia="Times New Roman" w:hAnsi="Times New Roman" w:cs="Times New Roman"/>
                <w:sz w:val="24"/>
                <w:szCs w:val="24"/>
                <w:lang w:eastAsia="lv-LV"/>
              </w:rPr>
              <w:t>rojekts šo jomu neskar</w:t>
            </w:r>
          </w:p>
        </w:tc>
      </w:tr>
      <w:tr w:rsidR="00941AE5" w:rsidRPr="00A80218" w14:paraId="16A0A454" w14:textId="77777777" w:rsidTr="00A80218">
        <w:trPr>
          <w:trHeight w:val="289"/>
          <w:tblCellSpacing w:w="0" w:type="dxa"/>
        </w:trPr>
        <w:tc>
          <w:tcPr>
            <w:tcW w:w="2544" w:type="dxa"/>
            <w:gridSpan w:val="2"/>
            <w:tcBorders>
              <w:top w:val="outset" w:sz="6" w:space="0" w:color="auto"/>
              <w:left w:val="outset" w:sz="6" w:space="0" w:color="auto"/>
              <w:bottom w:val="outset" w:sz="6" w:space="0" w:color="auto"/>
              <w:right w:val="outset" w:sz="6" w:space="0" w:color="auto"/>
            </w:tcBorders>
            <w:hideMark/>
          </w:tcPr>
          <w:p w14:paraId="2241E569"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hideMark/>
          </w:tcPr>
          <w:p w14:paraId="550AB3CD" w14:textId="77777777" w:rsidR="00015133" w:rsidRPr="00A80218" w:rsidRDefault="00015133" w:rsidP="003462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Nav.</w:t>
            </w:r>
          </w:p>
        </w:tc>
      </w:tr>
      <w:tr w:rsidR="009C19F3" w:rsidRPr="00A80218" w14:paraId="78EE771F" w14:textId="77777777" w:rsidTr="00A80218">
        <w:trPr>
          <w:trHeight w:val="289"/>
          <w:tblCellSpacing w:w="0" w:type="dxa"/>
        </w:trPr>
        <w:tc>
          <w:tcPr>
            <w:tcW w:w="2544" w:type="dxa"/>
            <w:gridSpan w:val="2"/>
            <w:tcBorders>
              <w:top w:val="single" w:sz="4" w:space="0" w:color="auto"/>
              <w:left w:val="nil"/>
              <w:bottom w:val="nil"/>
              <w:right w:val="nil"/>
            </w:tcBorders>
          </w:tcPr>
          <w:p w14:paraId="49245958" w14:textId="77777777" w:rsidR="009C19F3" w:rsidRPr="00A80218" w:rsidRDefault="009C19F3" w:rsidP="009C19F3">
            <w:pPr>
              <w:spacing w:after="0" w:line="40" w:lineRule="atLeast"/>
              <w:ind w:left="0"/>
              <w:jc w:val="left"/>
              <w:rPr>
                <w:rFonts w:ascii="Times New Roman" w:eastAsia="Times New Roman" w:hAnsi="Times New Roman" w:cs="Times New Roman"/>
                <w:sz w:val="24"/>
                <w:szCs w:val="24"/>
                <w:lang w:eastAsia="lv-LV"/>
              </w:rPr>
            </w:pPr>
          </w:p>
        </w:tc>
        <w:tc>
          <w:tcPr>
            <w:tcW w:w="6520" w:type="dxa"/>
            <w:gridSpan w:val="4"/>
            <w:tcBorders>
              <w:top w:val="single" w:sz="4" w:space="0" w:color="auto"/>
              <w:left w:val="nil"/>
              <w:bottom w:val="nil"/>
              <w:right w:val="nil"/>
            </w:tcBorders>
          </w:tcPr>
          <w:p w14:paraId="12844F9A" w14:textId="77777777" w:rsidR="009C19F3" w:rsidRPr="00A80218" w:rsidRDefault="009C19F3" w:rsidP="009C19F3">
            <w:pPr>
              <w:spacing w:after="0" w:line="40" w:lineRule="atLeast"/>
              <w:ind w:left="0"/>
              <w:jc w:val="left"/>
              <w:rPr>
                <w:rFonts w:ascii="Times New Roman" w:eastAsia="Times New Roman" w:hAnsi="Times New Roman" w:cs="Times New Roman"/>
                <w:sz w:val="24"/>
                <w:szCs w:val="24"/>
                <w:lang w:eastAsia="lv-LV"/>
              </w:rPr>
            </w:pPr>
          </w:p>
        </w:tc>
      </w:tr>
      <w:tr w:rsidR="00941AE5" w:rsidRPr="00A80218" w14:paraId="15949208" w14:textId="77777777" w:rsidTr="00A80218">
        <w:trPr>
          <w:tblCellSpacing w:w="0" w:type="dxa"/>
        </w:trPr>
        <w:tc>
          <w:tcPr>
            <w:tcW w:w="9064" w:type="dxa"/>
            <w:gridSpan w:val="6"/>
            <w:tcBorders>
              <w:top w:val="single" w:sz="4" w:space="0" w:color="auto"/>
              <w:left w:val="single" w:sz="4" w:space="0" w:color="auto"/>
              <w:bottom w:val="single" w:sz="4" w:space="0" w:color="auto"/>
              <w:right w:val="single" w:sz="4" w:space="0" w:color="auto"/>
            </w:tcBorders>
          </w:tcPr>
          <w:p w14:paraId="616FB58B" w14:textId="7BF5A628" w:rsidR="001567D8" w:rsidRPr="00A80218" w:rsidRDefault="001567D8" w:rsidP="00FF48FE">
            <w:pPr>
              <w:spacing w:before="100" w:beforeAutospacing="1" w:line="40" w:lineRule="atLeast"/>
              <w:ind w:left="0"/>
              <w:jc w:val="center"/>
              <w:rPr>
                <w:rFonts w:ascii="Times New Roman" w:eastAsia="Times New Roman" w:hAnsi="Times New Roman" w:cs="Times New Roman"/>
                <w:b/>
                <w:bCs/>
                <w:sz w:val="24"/>
                <w:szCs w:val="24"/>
                <w:lang w:eastAsia="lv-LV"/>
              </w:rPr>
            </w:pPr>
            <w:r w:rsidRPr="00A80218">
              <w:rPr>
                <w:rFonts w:ascii="Times New Roman" w:eastAsia="Times New Roman" w:hAnsi="Times New Roman" w:cs="Times New Roman"/>
                <w:b/>
                <w:bCs/>
                <w:sz w:val="24"/>
                <w:szCs w:val="24"/>
                <w:lang w:eastAsia="lv-LV"/>
              </w:rPr>
              <w:t>VI. Sabiedrības līdzdalība un komunikācijas aktivitātes</w:t>
            </w:r>
          </w:p>
        </w:tc>
      </w:tr>
      <w:tr w:rsidR="00941AE5" w:rsidRPr="00A80218" w14:paraId="5FB15078" w14:textId="77777777" w:rsidTr="00ED78C1">
        <w:trPr>
          <w:trHeight w:val="427"/>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69FAEC25" w14:textId="77777777" w:rsidR="001567D8" w:rsidRPr="00A80218" w:rsidRDefault="001567D8" w:rsidP="006C2B41">
            <w:pPr>
              <w:spacing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xml:space="preserve"> 1.</w:t>
            </w:r>
          </w:p>
        </w:tc>
        <w:tc>
          <w:tcPr>
            <w:tcW w:w="2126" w:type="dxa"/>
            <w:tcBorders>
              <w:top w:val="outset" w:sz="6" w:space="0" w:color="auto"/>
              <w:left w:val="outset" w:sz="6" w:space="0" w:color="auto"/>
              <w:bottom w:val="outset" w:sz="6" w:space="0" w:color="auto"/>
              <w:right w:val="outset" w:sz="6" w:space="0" w:color="auto"/>
            </w:tcBorders>
            <w:hideMark/>
          </w:tcPr>
          <w:p w14:paraId="5A4244DF" w14:textId="3C96C7FC" w:rsidR="001567D8" w:rsidRPr="00A80218" w:rsidRDefault="001567D8" w:rsidP="006C2B41">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Plānotās sabiedrības līdzdalības un komunikācijas aktivitātes saistībā ar projektu</w:t>
            </w:r>
          </w:p>
        </w:tc>
        <w:tc>
          <w:tcPr>
            <w:tcW w:w="6520" w:type="dxa"/>
            <w:gridSpan w:val="4"/>
            <w:tcBorders>
              <w:top w:val="outset" w:sz="6" w:space="0" w:color="auto"/>
              <w:left w:val="outset" w:sz="6" w:space="0" w:color="auto"/>
              <w:bottom w:val="outset" w:sz="6" w:space="0" w:color="auto"/>
              <w:right w:val="outset" w:sz="6" w:space="0" w:color="auto"/>
            </w:tcBorders>
            <w:hideMark/>
          </w:tcPr>
          <w:p w14:paraId="3B58FB66" w14:textId="36134E16" w:rsidR="001567D8" w:rsidRPr="00A80218" w:rsidRDefault="00C169A4" w:rsidP="00C169A4">
            <w:pPr>
              <w:pStyle w:val="naiskr"/>
              <w:spacing w:before="0" w:after="0"/>
              <w:ind w:left="57" w:right="57"/>
              <w:jc w:val="both"/>
            </w:pPr>
            <w:r w:rsidRPr="00A80218">
              <w:t>Sabiedrības līdzdalība ir nodrošināta, publicējot uzziņu par  noteikumu projekta izstrādes uzsākšanu 2016.gada 5.februārī Finanšu ministrijas tīmekļvietnē sadaļā “Sabiedrības līdzdalība”.</w:t>
            </w:r>
          </w:p>
        </w:tc>
      </w:tr>
      <w:tr w:rsidR="00941AE5" w:rsidRPr="00A80218" w14:paraId="7C1CD4AC" w14:textId="77777777" w:rsidTr="00ED78C1">
        <w:trPr>
          <w:trHeight w:val="463"/>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3068F252" w14:textId="77777777" w:rsidR="001567D8" w:rsidRPr="00A80218" w:rsidRDefault="001567D8" w:rsidP="006C2B41">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2.</w:t>
            </w:r>
          </w:p>
        </w:tc>
        <w:tc>
          <w:tcPr>
            <w:tcW w:w="2126" w:type="dxa"/>
            <w:tcBorders>
              <w:top w:val="outset" w:sz="6" w:space="0" w:color="auto"/>
              <w:left w:val="outset" w:sz="6" w:space="0" w:color="auto"/>
              <w:bottom w:val="outset" w:sz="6" w:space="0" w:color="auto"/>
              <w:right w:val="outset" w:sz="6" w:space="0" w:color="auto"/>
            </w:tcBorders>
            <w:hideMark/>
          </w:tcPr>
          <w:p w14:paraId="45250EC1" w14:textId="5E26677C" w:rsidR="001567D8" w:rsidRPr="00A80218" w:rsidRDefault="001567D8" w:rsidP="006C2B41">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Sabiedrības līdzdalība projekta izstrādē</w:t>
            </w:r>
          </w:p>
        </w:tc>
        <w:tc>
          <w:tcPr>
            <w:tcW w:w="6520" w:type="dxa"/>
            <w:gridSpan w:val="4"/>
            <w:tcBorders>
              <w:top w:val="outset" w:sz="6" w:space="0" w:color="auto"/>
              <w:left w:val="outset" w:sz="6" w:space="0" w:color="auto"/>
              <w:bottom w:val="outset" w:sz="6" w:space="0" w:color="auto"/>
              <w:right w:val="outset" w:sz="6" w:space="0" w:color="auto"/>
            </w:tcBorders>
            <w:hideMark/>
          </w:tcPr>
          <w:p w14:paraId="6394257A" w14:textId="77777777" w:rsidR="00C169A4" w:rsidRPr="00A80218" w:rsidRDefault="00C169A4" w:rsidP="00C169A4">
            <w:pPr>
              <w:pStyle w:val="naiskr"/>
              <w:spacing w:before="0" w:after="0"/>
              <w:ind w:left="57" w:right="57"/>
              <w:jc w:val="both"/>
              <w:rPr>
                <w:i/>
                <w:lang w:bidi="lv-LV"/>
              </w:rPr>
            </w:pPr>
            <w:r w:rsidRPr="00A80218">
              <w:rPr>
                <w:lang w:bidi="lv-LV"/>
              </w:rPr>
              <w:t>Noteikumu projekts, pielikums un anotācija tika nosūtīti viedokļa izteikšanai Latvijas Tirdzniecības un rūpniecības kamerai, Latvijas Tranzīta biznesa asociācijai (turpmāk - LTBA), Latvijas Loģistikas asociācijai (turpmāk - LLA), Latvijas Nacionālajai kravas ekspeditoru un loģistikas asociācijai (turpmāk - LAFF) un Latvijas Darba devēju konfederācijai</w:t>
            </w:r>
            <w:r w:rsidRPr="00A80218">
              <w:rPr>
                <w:i/>
                <w:lang w:bidi="lv-LV"/>
              </w:rPr>
              <w:t>.</w:t>
            </w:r>
          </w:p>
          <w:p w14:paraId="1BB7FACA" w14:textId="1F2EDAFF" w:rsidR="00F225C3" w:rsidRPr="00A80218" w:rsidRDefault="00C169A4" w:rsidP="00C169A4">
            <w:pPr>
              <w:pStyle w:val="naiskr"/>
              <w:spacing w:before="0" w:after="0"/>
              <w:ind w:left="57" w:right="57"/>
              <w:jc w:val="both"/>
            </w:pPr>
            <w:r w:rsidRPr="00A80218">
              <w:t xml:space="preserve">Noteikumu projekts izskatīts Konsultatīvajā padomē muitas politikas jomā. </w:t>
            </w:r>
          </w:p>
        </w:tc>
      </w:tr>
      <w:tr w:rsidR="00941AE5" w:rsidRPr="00A80218" w14:paraId="1611A458" w14:textId="77777777" w:rsidTr="00ED78C1">
        <w:trPr>
          <w:trHeight w:val="260"/>
          <w:tblCellSpacing w:w="0" w:type="dxa"/>
        </w:trPr>
        <w:tc>
          <w:tcPr>
            <w:tcW w:w="418" w:type="dxa"/>
            <w:tcBorders>
              <w:top w:val="outset" w:sz="6" w:space="0" w:color="auto"/>
              <w:left w:val="outset" w:sz="6" w:space="0" w:color="auto"/>
              <w:bottom w:val="outset" w:sz="6" w:space="0" w:color="auto"/>
              <w:right w:val="outset" w:sz="6" w:space="0" w:color="auto"/>
            </w:tcBorders>
          </w:tcPr>
          <w:p w14:paraId="35D6D3D1" w14:textId="7CAF93D1" w:rsidR="001567D8" w:rsidRPr="00A80218" w:rsidRDefault="001567D8" w:rsidP="006C2B41">
            <w:pPr>
              <w:spacing w:after="0"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3</w:t>
            </w:r>
            <w:r w:rsidR="004C1DCC"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tcPr>
          <w:p w14:paraId="0D88CEF2" w14:textId="2E19FC43" w:rsidR="001567D8" w:rsidRPr="00A80218" w:rsidRDefault="001567D8" w:rsidP="006C2B41">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Sabiedrības līdzdalības rezultāti</w:t>
            </w:r>
          </w:p>
        </w:tc>
        <w:tc>
          <w:tcPr>
            <w:tcW w:w="6520" w:type="dxa"/>
            <w:gridSpan w:val="4"/>
            <w:tcBorders>
              <w:top w:val="outset" w:sz="6" w:space="0" w:color="auto"/>
              <w:left w:val="outset" w:sz="6" w:space="0" w:color="auto"/>
              <w:bottom w:val="outset" w:sz="6" w:space="0" w:color="auto"/>
              <w:right w:val="outset" w:sz="6" w:space="0" w:color="auto"/>
            </w:tcBorders>
          </w:tcPr>
          <w:p w14:paraId="5477E178" w14:textId="67225F25" w:rsidR="001567D8" w:rsidRPr="00A80218" w:rsidDel="00EE5C75" w:rsidRDefault="00C169A4" w:rsidP="00C169A4">
            <w:pPr>
              <w:spacing w:before="100" w:beforeAutospacing="1" w:after="100" w:afterAutospacing="1" w:line="40" w:lineRule="atLeast"/>
              <w:ind w:left="57" w:right="57"/>
              <w:jc w:val="left"/>
              <w:rPr>
                <w:rFonts w:ascii="Times New Roman" w:eastAsia="Times New Roman" w:hAnsi="Times New Roman" w:cs="Times New Roman"/>
                <w:sz w:val="24"/>
                <w:szCs w:val="24"/>
                <w:lang w:eastAsia="lv-LV"/>
              </w:rPr>
            </w:pPr>
            <w:r w:rsidRPr="00A80218">
              <w:rPr>
                <w:rFonts w:ascii="Times New Roman" w:hAnsi="Times New Roman" w:cs="Times New Roman"/>
                <w:sz w:val="24"/>
                <w:szCs w:val="24"/>
              </w:rPr>
              <w:t>Konsultatīvās padomes muitas politikas jomā locekļi kopumā atbalsta noteikumu projektu piedāvātajā redakcijā.</w:t>
            </w:r>
          </w:p>
        </w:tc>
      </w:tr>
      <w:tr w:rsidR="00941AE5" w:rsidRPr="00A80218" w14:paraId="458BEF68" w14:textId="77777777" w:rsidTr="00ED78C1">
        <w:trPr>
          <w:trHeight w:val="260"/>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7917BAA6" w14:textId="0E04422C" w:rsidR="001567D8" w:rsidRPr="00A80218" w:rsidRDefault="001567D8" w:rsidP="006C2B41">
            <w:pPr>
              <w:spacing w:after="0"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4.</w:t>
            </w:r>
          </w:p>
        </w:tc>
        <w:tc>
          <w:tcPr>
            <w:tcW w:w="2126" w:type="dxa"/>
            <w:tcBorders>
              <w:top w:val="outset" w:sz="6" w:space="0" w:color="auto"/>
              <w:left w:val="outset" w:sz="6" w:space="0" w:color="auto"/>
              <w:bottom w:val="outset" w:sz="6" w:space="0" w:color="auto"/>
              <w:right w:val="outset" w:sz="6" w:space="0" w:color="auto"/>
            </w:tcBorders>
            <w:hideMark/>
          </w:tcPr>
          <w:p w14:paraId="1E606F5D" w14:textId="77777777" w:rsidR="001567D8" w:rsidRPr="00A80218" w:rsidRDefault="001567D8" w:rsidP="006C2B41">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hideMark/>
          </w:tcPr>
          <w:p w14:paraId="749CFC67" w14:textId="4532E53E" w:rsidR="001567D8" w:rsidRPr="00A80218" w:rsidRDefault="001567D8" w:rsidP="005060D5">
            <w:pPr>
              <w:spacing w:before="100" w:beforeAutospacing="1" w:after="100" w:afterAutospacing="1" w:line="40" w:lineRule="atLeast"/>
              <w:ind w:left="158"/>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Nav</w:t>
            </w:r>
          </w:p>
        </w:tc>
      </w:tr>
      <w:tr w:rsidR="009C19F3" w:rsidRPr="00A80218" w14:paraId="40B73681" w14:textId="77777777" w:rsidTr="00A80218">
        <w:trPr>
          <w:trHeight w:val="151"/>
          <w:tblCellSpacing w:w="0" w:type="dxa"/>
        </w:trPr>
        <w:tc>
          <w:tcPr>
            <w:tcW w:w="9064" w:type="dxa"/>
            <w:gridSpan w:val="6"/>
            <w:tcBorders>
              <w:top w:val="single" w:sz="4" w:space="0" w:color="auto"/>
              <w:left w:val="nil"/>
              <w:bottom w:val="nil"/>
              <w:right w:val="nil"/>
            </w:tcBorders>
          </w:tcPr>
          <w:p w14:paraId="38D78FDF" w14:textId="77777777" w:rsidR="009C19F3" w:rsidRPr="00A80218" w:rsidRDefault="009C19F3" w:rsidP="00A80218">
            <w:pPr>
              <w:spacing w:after="0"/>
              <w:ind w:left="0"/>
              <w:jc w:val="center"/>
              <w:rPr>
                <w:rFonts w:ascii="Times New Roman" w:eastAsia="Times New Roman" w:hAnsi="Times New Roman" w:cs="Times New Roman"/>
                <w:b/>
                <w:bCs/>
                <w:sz w:val="24"/>
                <w:szCs w:val="24"/>
                <w:lang w:eastAsia="lv-LV"/>
              </w:rPr>
            </w:pPr>
          </w:p>
        </w:tc>
      </w:tr>
      <w:tr w:rsidR="00941AE5" w:rsidRPr="00A80218" w14:paraId="508D3DB5" w14:textId="77777777" w:rsidTr="00A80218">
        <w:trPr>
          <w:tblCellSpacing w:w="0" w:type="dxa"/>
        </w:trPr>
        <w:tc>
          <w:tcPr>
            <w:tcW w:w="9064" w:type="dxa"/>
            <w:gridSpan w:val="6"/>
            <w:tcBorders>
              <w:top w:val="single" w:sz="4" w:space="0" w:color="auto"/>
              <w:left w:val="single" w:sz="4" w:space="0" w:color="auto"/>
              <w:bottom w:val="single" w:sz="4" w:space="0" w:color="auto"/>
              <w:right w:val="single" w:sz="4" w:space="0" w:color="auto"/>
            </w:tcBorders>
            <w:hideMark/>
          </w:tcPr>
          <w:p w14:paraId="6E5BBDCC" w14:textId="5A48C50F" w:rsidR="00FF48FE" w:rsidRPr="00A80218" w:rsidRDefault="00836187" w:rsidP="00FF48FE">
            <w:pPr>
              <w:spacing w:before="100" w:beforeAutospacing="1" w:line="40" w:lineRule="atLeast"/>
              <w:ind w:left="0"/>
              <w:jc w:val="center"/>
              <w:rPr>
                <w:rFonts w:ascii="Times New Roman" w:eastAsia="Times New Roman" w:hAnsi="Times New Roman" w:cs="Times New Roman"/>
                <w:sz w:val="24"/>
                <w:szCs w:val="24"/>
                <w:lang w:eastAsia="lv-LV"/>
              </w:rPr>
            </w:pPr>
            <w:r w:rsidRPr="00A80218">
              <w:rPr>
                <w:rFonts w:ascii="Times New Roman" w:eastAsia="Times New Roman" w:hAnsi="Times New Roman" w:cs="Times New Roman"/>
                <w:b/>
                <w:bCs/>
                <w:sz w:val="24"/>
                <w:szCs w:val="24"/>
                <w:lang w:eastAsia="lv-LV"/>
              </w:rPr>
              <w:t>VII. Tiesību akta projekta izpildes nodrošināšana un tās ietekme uz institūcijām</w:t>
            </w:r>
          </w:p>
        </w:tc>
      </w:tr>
      <w:tr w:rsidR="00941AE5" w:rsidRPr="00A80218" w14:paraId="1FE62719" w14:textId="77777777" w:rsidTr="00ED78C1">
        <w:trPr>
          <w:trHeight w:val="427"/>
          <w:tblCellSpacing w:w="0" w:type="dxa"/>
        </w:trPr>
        <w:tc>
          <w:tcPr>
            <w:tcW w:w="418" w:type="dxa"/>
            <w:tcBorders>
              <w:top w:val="nil"/>
              <w:left w:val="single" w:sz="4" w:space="0" w:color="auto"/>
              <w:bottom w:val="outset" w:sz="6" w:space="0" w:color="auto"/>
              <w:right w:val="nil"/>
            </w:tcBorders>
            <w:hideMark/>
          </w:tcPr>
          <w:p w14:paraId="558539AB" w14:textId="28727F74" w:rsidR="00836187" w:rsidRPr="00A80218" w:rsidRDefault="00B32CC6" w:rsidP="00A36B47">
            <w:pPr>
              <w:spacing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1.</w:t>
            </w:r>
          </w:p>
        </w:tc>
        <w:tc>
          <w:tcPr>
            <w:tcW w:w="2126" w:type="dxa"/>
            <w:tcBorders>
              <w:top w:val="nil"/>
              <w:left w:val="nil"/>
              <w:bottom w:val="outset" w:sz="6" w:space="0" w:color="auto"/>
              <w:right w:val="nil"/>
            </w:tcBorders>
            <w:hideMark/>
          </w:tcPr>
          <w:p w14:paraId="73024B0E" w14:textId="77777777" w:rsidR="00836187" w:rsidRPr="00A80218" w:rsidRDefault="00836187" w:rsidP="004E3590">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Projekta izpildē iesaistītās institūcijas</w:t>
            </w:r>
          </w:p>
        </w:tc>
        <w:tc>
          <w:tcPr>
            <w:tcW w:w="6520" w:type="dxa"/>
            <w:gridSpan w:val="4"/>
            <w:tcBorders>
              <w:top w:val="nil"/>
              <w:left w:val="nil"/>
              <w:bottom w:val="outset" w:sz="6" w:space="0" w:color="auto"/>
              <w:right w:val="single" w:sz="4" w:space="0" w:color="auto"/>
            </w:tcBorders>
            <w:hideMark/>
          </w:tcPr>
          <w:p w14:paraId="3A06548B" w14:textId="4C91488D" w:rsidR="00836187" w:rsidRPr="00A80218" w:rsidRDefault="00836187" w:rsidP="005060D5">
            <w:pPr>
              <w:spacing w:before="100" w:beforeAutospacing="1" w:after="100" w:afterAutospacing="1" w:line="40" w:lineRule="atLeast"/>
              <w:ind w:left="158"/>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V</w:t>
            </w:r>
            <w:r w:rsidR="00AD6F89" w:rsidRPr="00A80218">
              <w:rPr>
                <w:rFonts w:ascii="Times New Roman" w:eastAsia="Times New Roman" w:hAnsi="Times New Roman" w:cs="Times New Roman"/>
                <w:sz w:val="24"/>
                <w:szCs w:val="24"/>
                <w:lang w:eastAsia="lv-LV"/>
              </w:rPr>
              <w:t>alsts ieņēmumu dienests</w:t>
            </w:r>
          </w:p>
        </w:tc>
      </w:tr>
      <w:tr w:rsidR="00941AE5" w:rsidRPr="00A80218" w14:paraId="6D05CFB5" w14:textId="77777777" w:rsidTr="00ED78C1">
        <w:trPr>
          <w:trHeight w:val="463"/>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5B76B250" w14:textId="77777777" w:rsidR="00836187" w:rsidRPr="00A80218" w:rsidRDefault="00836187" w:rsidP="00A36B47">
            <w:pPr>
              <w:spacing w:before="100" w:beforeAutospacing="1" w:after="100" w:afterAutospacing="1"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2.</w:t>
            </w:r>
          </w:p>
        </w:tc>
        <w:tc>
          <w:tcPr>
            <w:tcW w:w="2126" w:type="dxa"/>
            <w:tcBorders>
              <w:top w:val="outset" w:sz="6" w:space="0" w:color="auto"/>
              <w:left w:val="outset" w:sz="6" w:space="0" w:color="auto"/>
              <w:bottom w:val="outset" w:sz="6" w:space="0" w:color="auto"/>
              <w:right w:val="outset" w:sz="6" w:space="0" w:color="auto"/>
            </w:tcBorders>
            <w:hideMark/>
          </w:tcPr>
          <w:p w14:paraId="73A384CC" w14:textId="23A90D95" w:rsidR="00836187" w:rsidRPr="00A80218" w:rsidRDefault="004E3590" w:rsidP="004E3590">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520" w:type="dxa"/>
            <w:gridSpan w:val="4"/>
            <w:tcBorders>
              <w:top w:val="outset" w:sz="6" w:space="0" w:color="auto"/>
              <w:left w:val="outset" w:sz="6" w:space="0" w:color="auto"/>
              <w:bottom w:val="outset" w:sz="6" w:space="0" w:color="auto"/>
              <w:right w:val="outset" w:sz="6" w:space="0" w:color="auto"/>
            </w:tcBorders>
            <w:hideMark/>
          </w:tcPr>
          <w:p w14:paraId="632A68DD" w14:textId="1BF08745" w:rsidR="0018043E" w:rsidRPr="00A80218" w:rsidRDefault="00C169A4" w:rsidP="00C169A4">
            <w:pPr>
              <w:pStyle w:val="naisnod"/>
              <w:ind w:left="57" w:right="57"/>
              <w:jc w:val="both"/>
            </w:pPr>
            <w:r w:rsidRPr="00A80218">
              <w:t>Noteikumu projekta izpildes nodrošināšana tiks veikta esošo funkciju un cilvēkresursu ietvaros. Jaunas institūcijas netiks izveidotas, netiks veikta esošo institūciju likvidācija vai reorganizācija.</w:t>
            </w:r>
          </w:p>
        </w:tc>
      </w:tr>
      <w:tr w:rsidR="00941AE5" w:rsidRPr="00A80218" w14:paraId="458ED95B" w14:textId="77777777" w:rsidTr="00ED78C1">
        <w:trPr>
          <w:trHeight w:val="260"/>
          <w:tblCellSpacing w:w="0" w:type="dxa"/>
        </w:trPr>
        <w:tc>
          <w:tcPr>
            <w:tcW w:w="418" w:type="dxa"/>
            <w:tcBorders>
              <w:top w:val="outset" w:sz="6" w:space="0" w:color="auto"/>
              <w:left w:val="outset" w:sz="6" w:space="0" w:color="auto"/>
              <w:bottom w:val="outset" w:sz="6" w:space="0" w:color="auto"/>
              <w:right w:val="outset" w:sz="6" w:space="0" w:color="auto"/>
            </w:tcBorders>
            <w:hideMark/>
          </w:tcPr>
          <w:p w14:paraId="12FE4266" w14:textId="77777777" w:rsidR="00836187" w:rsidRPr="00A80218" w:rsidRDefault="00C02D80" w:rsidP="00A36B47">
            <w:pPr>
              <w:spacing w:after="0" w:line="40" w:lineRule="atLeast"/>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 3</w:t>
            </w:r>
            <w:r w:rsidR="00836187" w:rsidRPr="00A80218">
              <w:rPr>
                <w:rFonts w:ascii="Times New Roman" w:eastAsia="Times New Roman" w:hAnsi="Times New Roman" w:cs="Times New Roman"/>
                <w:sz w:val="24"/>
                <w:szCs w:val="24"/>
                <w:lang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3F460F68" w14:textId="77777777" w:rsidR="00836187" w:rsidRPr="00A80218" w:rsidRDefault="00836187" w:rsidP="00B5686C">
            <w:pPr>
              <w:spacing w:before="100" w:beforeAutospacing="1" w:after="100" w:afterAutospacing="1" w:line="40" w:lineRule="atLeast"/>
              <w:ind w:left="19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t>Cita informācija</w:t>
            </w:r>
          </w:p>
        </w:tc>
        <w:tc>
          <w:tcPr>
            <w:tcW w:w="6520" w:type="dxa"/>
            <w:gridSpan w:val="4"/>
            <w:tcBorders>
              <w:top w:val="outset" w:sz="6" w:space="0" w:color="auto"/>
              <w:left w:val="outset" w:sz="6" w:space="0" w:color="auto"/>
              <w:bottom w:val="outset" w:sz="6" w:space="0" w:color="auto"/>
              <w:right w:val="outset" w:sz="6" w:space="0" w:color="auto"/>
            </w:tcBorders>
            <w:hideMark/>
          </w:tcPr>
          <w:p w14:paraId="7DC9E623" w14:textId="50EEE69E" w:rsidR="00836187" w:rsidRPr="00005051" w:rsidRDefault="00CD72F0" w:rsidP="000D387F">
            <w:pPr>
              <w:ind w:left="57" w:right="57"/>
              <w:rPr>
                <w:rFonts w:ascii="Times New Roman" w:eastAsia="Times New Roman" w:hAnsi="Times New Roman" w:cs="Times New Roman"/>
                <w:sz w:val="24"/>
                <w:szCs w:val="24"/>
                <w:lang w:eastAsia="lv-LV"/>
              </w:rPr>
            </w:pPr>
            <w:r w:rsidRPr="00005051">
              <w:rPr>
                <w:rFonts w:ascii="Times New Roman" w:eastAsia="Times New Roman" w:hAnsi="Times New Roman" w:cs="Times New Roman"/>
                <w:sz w:val="24"/>
                <w:szCs w:val="24"/>
                <w:lang w:eastAsia="lv-LV"/>
              </w:rPr>
              <w:t xml:space="preserve">Ņemot vērā, ka 2017.gada 2.augusta </w:t>
            </w:r>
            <w:proofErr w:type="spellStart"/>
            <w:r w:rsidRPr="00005051">
              <w:rPr>
                <w:rFonts w:ascii="Times New Roman" w:eastAsia="Times New Roman" w:hAnsi="Times New Roman" w:cs="Times New Roman"/>
                <w:sz w:val="24"/>
                <w:szCs w:val="24"/>
                <w:lang w:eastAsia="lv-LV"/>
              </w:rPr>
              <w:t>Starpministriju</w:t>
            </w:r>
            <w:proofErr w:type="spellEnd"/>
            <w:r w:rsidRPr="00005051">
              <w:rPr>
                <w:rFonts w:ascii="Times New Roman" w:eastAsia="Times New Roman" w:hAnsi="Times New Roman" w:cs="Times New Roman"/>
                <w:sz w:val="24"/>
                <w:szCs w:val="24"/>
                <w:lang w:eastAsia="lv-LV"/>
              </w:rPr>
              <w:t xml:space="preserve"> sanāksmes laikā par noteikumu projektu no komersantu puses tika identificēti neskaidri jautājumi par atļaujas vienkāršotas deklarācijas izmantošanai un ieraksta deklarētāja reģistros atļaujas izmantošanu saistībā ar īpašo procedūru atļaujām, Finanšu ministrija 2017.gada </w:t>
            </w:r>
            <w:r w:rsidRPr="00005051">
              <w:rPr>
                <w:rFonts w:ascii="Times New Roman" w:eastAsia="Times New Roman" w:hAnsi="Times New Roman" w:cs="Times New Roman"/>
                <w:sz w:val="24"/>
                <w:szCs w:val="24"/>
                <w:lang w:eastAsia="lv-LV"/>
              </w:rPr>
              <w:lastRenderedPageBreak/>
              <w:t xml:space="preserve">2.augustā nosūtīja Valsts ieņēmumu dienestam vēstuli Nr. 5-13/5982 uz lūgumu līdz 2017.gada 4.septembrim iesniegt Finanšu ministrijā sagatavotu informatīvo  materiālu, kas, </w:t>
            </w:r>
            <w:r w:rsidR="00BE626B" w:rsidRPr="00005051">
              <w:rPr>
                <w:rFonts w:ascii="Times New Roman" w:hAnsi="Times New Roman" w:cs="Times New Roman"/>
                <w:bCs/>
                <w:sz w:val="24"/>
                <w:szCs w:val="24"/>
                <w:lang w:eastAsia="lv-LV"/>
              </w:rPr>
              <w:t>pēc tā izskatīšanas un apspriešanas arī Finanšu ministrijas Konsultatīvās padomes muitas politikas jomā sanāksmē, tiks publicēts Valsts ieņēmumu dienesta tīmekļa vietnē saskaņā ar Muitas likuma 5.panta otro daļu.</w:t>
            </w:r>
          </w:p>
        </w:tc>
      </w:tr>
    </w:tbl>
    <w:p w14:paraId="453B0944" w14:textId="0C04F56B" w:rsidR="005C6A66" w:rsidRPr="00A80218" w:rsidRDefault="00A672E0" w:rsidP="009C19F3">
      <w:pPr>
        <w:spacing w:after="0"/>
        <w:ind w:left="0"/>
        <w:jc w:val="left"/>
        <w:rPr>
          <w:rFonts w:ascii="Times New Roman" w:eastAsia="Times New Roman" w:hAnsi="Times New Roman" w:cs="Times New Roman"/>
          <w:sz w:val="24"/>
          <w:szCs w:val="24"/>
          <w:lang w:eastAsia="lv-LV"/>
        </w:rPr>
      </w:pPr>
      <w:r w:rsidRPr="00A80218">
        <w:rPr>
          <w:rFonts w:ascii="Times New Roman" w:eastAsia="Times New Roman" w:hAnsi="Times New Roman" w:cs="Times New Roman"/>
          <w:sz w:val="24"/>
          <w:szCs w:val="24"/>
          <w:lang w:eastAsia="lv-LV"/>
        </w:rPr>
        <w:lastRenderedPageBreak/>
        <w:t xml:space="preserve">Anotācijas </w:t>
      </w:r>
      <w:r w:rsidR="004D3309" w:rsidRPr="00A80218">
        <w:rPr>
          <w:rFonts w:ascii="Times New Roman" w:eastAsia="Times New Roman" w:hAnsi="Times New Roman" w:cs="Times New Roman"/>
          <w:sz w:val="24"/>
          <w:szCs w:val="24"/>
          <w:lang w:eastAsia="lv-LV"/>
        </w:rPr>
        <w:t>III</w:t>
      </w:r>
      <w:r w:rsidR="001567D8" w:rsidRPr="00A80218">
        <w:rPr>
          <w:rFonts w:ascii="Times New Roman" w:eastAsia="Times New Roman" w:hAnsi="Times New Roman" w:cs="Times New Roman"/>
          <w:sz w:val="24"/>
          <w:szCs w:val="24"/>
          <w:lang w:eastAsia="lv-LV"/>
        </w:rPr>
        <w:t xml:space="preserve"> un </w:t>
      </w:r>
      <w:r w:rsidR="004D3309" w:rsidRPr="00A80218">
        <w:rPr>
          <w:rFonts w:ascii="Times New Roman" w:eastAsia="Times New Roman" w:hAnsi="Times New Roman" w:cs="Times New Roman"/>
          <w:sz w:val="24"/>
          <w:szCs w:val="24"/>
          <w:lang w:eastAsia="lv-LV"/>
        </w:rPr>
        <w:t>IV</w:t>
      </w:r>
      <w:r w:rsidR="001567D8" w:rsidRPr="00A80218">
        <w:rPr>
          <w:rFonts w:ascii="Times New Roman" w:eastAsia="Times New Roman" w:hAnsi="Times New Roman" w:cs="Times New Roman"/>
          <w:sz w:val="24"/>
          <w:szCs w:val="24"/>
          <w:lang w:eastAsia="lv-LV"/>
        </w:rPr>
        <w:t xml:space="preserve"> </w:t>
      </w:r>
      <w:r w:rsidR="00BF4463" w:rsidRPr="00A80218">
        <w:rPr>
          <w:rFonts w:ascii="Times New Roman" w:eastAsia="Times New Roman" w:hAnsi="Times New Roman" w:cs="Times New Roman"/>
          <w:sz w:val="24"/>
          <w:szCs w:val="24"/>
          <w:lang w:eastAsia="lv-LV"/>
        </w:rPr>
        <w:t>sadaļ</w:t>
      </w:r>
      <w:r w:rsidR="00987DE1" w:rsidRPr="00A80218">
        <w:rPr>
          <w:rFonts w:ascii="Times New Roman" w:eastAsia="Times New Roman" w:hAnsi="Times New Roman" w:cs="Times New Roman"/>
          <w:sz w:val="24"/>
          <w:szCs w:val="24"/>
          <w:lang w:eastAsia="lv-LV"/>
        </w:rPr>
        <w:t>a – projekts š</w:t>
      </w:r>
      <w:r w:rsidR="0094568F" w:rsidRPr="00A80218">
        <w:rPr>
          <w:rFonts w:ascii="Times New Roman" w:eastAsia="Times New Roman" w:hAnsi="Times New Roman" w:cs="Times New Roman"/>
          <w:sz w:val="24"/>
          <w:szCs w:val="24"/>
          <w:lang w:eastAsia="lv-LV"/>
        </w:rPr>
        <w:t>o</w:t>
      </w:r>
      <w:r w:rsidR="00987DE1" w:rsidRPr="00A80218">
        <w:rPr>
          <w:rFonts w:ascii="Times New Roman" w:eastAsia="Times New Roman" w:hAnsi="Times New Roman" w:cs="Times New Roman"/>
          <w:sz w:val="24"/>
          <w:szCs w:val="24"/>
          <w:lang w:eastAsia="lv-LV"/>
        </w:rPr>
        <w:t xml:space="preserve"> jom</w:t>
      </w:r>
      <w:r w:rsidR="0094568F" w:rsidRPr="00A80218">
        <w:rPr>
          <w:rFonts w:ascii="Times New Roman" w:eastAsia="Times New Roman" w:hAnsi="Times New Roman" w:cs="Times New Roman"/>
          <w:sz w:val="24"/>
          <w:szCs w:val="24"/>
          <w:lang w:eastAsia="lv-LV"/>
        </w:rPr>
        <w:t>u</w:t>
      </w:r>
      <w:r w:rsidR="00987DE1" w:rsidRPr="00A80218">
        <w:rPr>
          <w:rFonts w:ascii="Times New Roman" w:eastAsia="Times New Roman" w:hAnsi="Times New Roman" w:cs="Times New Roman"/>
          <w:sz w:val="24"/>
          <w:szCs w:val="24"/>
          <w:lang w:eastAsia="lv-LV"/>
        </w:rPr>
        <w:t xml:space="preserve"> neskar.</w:t>
      </w:r>
      <w:r w:rsidR="00670E79" w:rsidRPr="00A80218">
        <w:rPr>
          <w:rFonts w:ascii="Times New Roman" w:eastAsia="Times New Roman" w:hAnsi="Times New Roman" w:cs="Times New Roman"/>
          <w:sz w:val="24"/>
          <w:szCs w:val="24"/>
          <w:lang w:eastAsia="lv-LV"/>
        </w:rPr>
        <w:t xml:space="preserve"> </w:t>
      </w:r>
    </w:p>
    <w:p w14:paraId="4176B033" w14:textId="77777777" w:rsidR="004C1DCC" w:rsidRPr="00A80218" w:rsidRDefault="004C1DCC" w:rsidP="001567D8">
      <w:pPr>
        <w:spacing w:after="0"/>
        <w:ind w:left="0" w:firstLine="709"/>
        <w:rPr>
          <w:rFonts w:ascii="Times New Roman" w:eastAsia="Times New Roman" w:hAnsi="Times New Roman" w:cs="Times New Roman"/>
          <w:b/>
          <w:sz w:val="24"/>
          <w:szCs w:val="24"/>
          <w:lang w:eastAsia="lv-LV"/>
        </w:rPr>
      </w:pPr>
    </w:p>
    <w:p w14:paraId="15EF7D0B" w14:textId="77777777" w:rsidR="00B755B9" w:rsidRDefault="00B755B9" w:rsidP="001567D8">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0860F976" w14:textId="77777777" w:rsidR="00B755B9" w:rsidRDefault="00B755B9" w:rsidP="001567D8">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49D1383C" w14:textId="77777777" w:rsidR="00B755B9" w:rsidRDefault="00B755B9" w:rsidP="001567D8">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p>
    <w:p w14:paraId="7136DF77" w14:textId="7CEA7681" w:rsidR="00005051" w:rsidRDefault="00E04202" w:rsidP="001567D8">
      <w:pPr>
        <w:tabs>
          <w:tab w:val="left" w:pos="6804"/>
          <w:tab w:val="left" w:pos="7088"/>
          <w:tab w:val="left" w:pos="7371"/>
        </w:tabs>
        <w:spacing w:after="0"/>
        <w:ind w:left="0" w:right="-624"/>
        <w:jc w:val="left"/>
        <w:rPr>
          <w:rFonts w:ascii="Times New Roman" w:eastAsia="Times New Roman" w:hAnsi="Times New Roman" w:cs="Times New Roman"/>
          <w:sz w:val="24"/>
          <w:szCs w:val="24"/>
          <w:lang w:eastAsia="lv-LV"/>
        </w:rPr>
      </w:pPr>
      <w:bookmarkStart w:id="12" w:name="_GoBack"/>
      <w:bookmarkEnd w:id="12"/>
      <w:r w:rsidRPr="00A80218">
        <w:rPr>
          <w:rFonts w:ascii="Times New Roman" w:eastAsia="Times New Roman" w:hAnsi="Times New Roman" w:cs="Times New Roman"/>
          <w:sz w:val="24"/>
          <w:szCs w:val="24"/>
          <w:lang w:eastAsia="lv-LV"/>
        </w:rPr>
        <w:t>Finanšu ministr</w:t>
      </w:r>
      <w:r w:rsidR="00005051">
        <w:rPr>
          <w:rFonts w:ascii="Times New Roman" w:eastAsia="Times New Roman" w:hAnsi="Times New Roman" w:cs="Times New Roman"/>
          <w:sz w:val="24"/>
          <w:szCs w:val="24"/>
          <w:lang w:eastAsia="lv-LV"/>
        </w:rPr>
        <w:t>a vietā-</w:t>
      </w:r>
    </w:p>
    <w:p w14:paraId="3D823FBE" w14:textId="5DC3C980" w:rsidR="00E04202" w:rsidRPr="00A80218" w:rsidRDefault="00005051" w:rsidP="001567D8">
      <w:pPr>
        <w:tabs>
          <w:tab w:val="left" w:pos="6804"/>
          <w:tab w:val="left" w:pos="7088"/>
          <w:tab w:val="left" w:pos="7371"/>
        </w:tabs>
        <w:spacing w:after="0"/>
        <w:ind w:left="0" w:right="-624"/>
        <w:jc w:val="left"/>
        <w:rPr>
          <w:rFonts w:ascii="Times New Roman" w:hAnsi="Times New Roman" w:cs="Times New Roman"/>
          <w:sz w:val="24"/>
          <w:szCs w:val="24"/>
        </w:rPr>
      </w:pPr>
      <w:r>
        <w:rPr>
          <w:rFonts w:ascii="Times New Roman" w:eastAsia="Times New Roman" w:hAnsi="Times New Roman" w:cs="Times New Roman"/>
          <w:sz w:val="24"/>
          <w:szCs w:val="24"/>
          <w:lang w:eastAsia="lv-LV"/>
        </w:rPr>
        <w:t>Ministru prezidents</w:t>
      </w:r>
      <w:r w:rsidR="005F23AA" w:rsidRPr="00A80218">
        <w:rPr>
          <w:rFonts w:ascii="Times New Roman" w:eastAsia="Times New Roman" w:hAnsi="Times New Roman" w:cs="Times New Roman"/>
          <w:sz w:val="24"/>
          <w:szCs w:val="24"/>
          <w:lang w:eastAsia="lv-LV"/>
        </w:rPr>
        <w:tab/>
      </w:r>
      <w:proofErr w:type="spellStart"/>
      <w:r>
        <w:rPr>
          <w:rFonts w:ascii="Times New Roman" w:hAnsi="Times New Roman" w:cs="Times New Roman"/>
          <w:sz w:val="24"/>
          <w:szCs w:val="24"/>
        </w:rPr>
        <w:t>M.Kučinskis</w:t>
      </w:r>
      <w:proofErr w:type="spellEnd"/>
    </w:p>
    <w:p w14:paraId="220F3923" w14:textId="123F1A61" w:rsidR="00C4036B" w:rsidRPr="00A80218" w:rsidRDefault="00C4036B" w:rsidP="001567D8">
      <w:pPr>
        <w:tabs>
          <w:tab w:val="left" w:pos="6804"/>
          <w:tab w:val="left" w:pos="7088"/>
          <w:tab w:val="left" w:pos="7371"/>
        </w:tabs>
        <w:spacing w:after="0"/>
        <w:ind w:left="0" w:right="-624"/>
        <w:jc w:val="left"/>
        <w:rPr>
          <w:rFonts w:ascii="Times New Roman" w:hAnsi="Times New Roman" w:cs="Times New Roman"/>
          <w:sz w:val="24"/>
          <w:szCs w:val="24"/>
        </w:rPr>
      </w:pPr>
    </w:p>
    <w:p w14:paraId="6A673F43" w14:textId="77777777" w:rsidR="00C4036B" w:rsidRDefault="00C4036B" w:rsidP="00C4036B">
      <w:pPr>
        <w:spacing w:line="40" w:lineRule="atLeast"/>
        <w:rPr>
          <w:sz w:val="20"/>
          <w:szCs w:val="20"/>
        </w:rPr>
      </w:pPr>
    </w:p>
    <w:p w14:paraId="7FF4FEB3" w14:textId="15B20B46" w:rsidR="00C4036B" w:rsidRPr="009C19F3" w:rsidRDefault="00C4036B" w:rsidP="00C4036B">
      <w:pPr>
        <w:spacing w:after="0"/>
        <w:ind w:left="0"/>
        <w:rPr>
          <w:rFonts w:ascii="Times New Roman" w:hAnsi="Times New Roman" w:cs="Times New Roman"/>
          <w:sz w:val="20"/>
          <w:szCs w:val="20"/>
        </w:rPr>
      </w:pPr>
      <w:r w:rsidRPr="009C19F3">
        <w:rPr>
          <w:rFonts w:ascii="Times New Roman" w:hAnsi="Times New Roman" w:cs="Times New Roman"/>
          <w:sz w:val="20"/>
          <w:szCs w:val="20"/>
        </w:rPr>
        <w:t>Vībāne, 67095559</w:t>
      </w:r>
    </w:p>
    <w:p w14:paraId="74DC1C73" w14:textId="043AA6AA" w:rsidR="00C4036B" w:rsidRPr="009C19F3" w:rsidRDefault="00B755B9" w:rsidP="00C4036B">
      <w:pPr>
        <w:spacing w:after="0"/>
        <w:ind w:left="0"/>
        <w:rPr>
          <w:rFonts w:ascii="Times New Roman" w:hAnsi="Times New Roman" w:cs="Times New Roman"/>
          <w:i/>
          <w:iCs/>
          <w:sz w:val="20"/>
          <w:szCs w:val="20"/>
        </w:rPr>
      </w:pPr>
      <w:hyperlink r:id="rId12" w:history="1">
        <w:r w:rsidR="009C19F3" w:rsidRPr="0000511C">
          <w:rPr>
            <w:rStyle w:val="Hyperlink"/>
            <w:rFonts w:ascii="Times New Roman" w:hAnsi="Times New Roman" w:cs="Times New Roman"/>
            <w:sz w:val="20"/>
            <w:szCs w:val="20"/>
          </w:rPr>
          <w:t>Marika.Vibane@fm.gov.lv</w:t>
        </w:r>
      </w:hyperlink>
      <w:r w:rsidR="009C19F3">
        <w:rPr>
          <w:rFonts w:ascii="Times New Roman" w:hAnsi="Times New Roman" w:cs="Times New Roman"/>
          <w:sz w:val="20"/>
          <w:szCs w:val="20"/>
        </w:rPr>
        <w:t xml:space="preserve"> </w:t>
      </w:r>
    </w:p>
    <w:p w14:paraId="15237451" w14:textId="77777777" w:rsidR="00C4036B" w:rsidRPr="009C19F3" w:rsidRDefault="00C4036B" w:rsidP="009C19F3">
      <w:pPr>
        <w:spacing w:before="120" w:after="0"/>
        <w:ind w:left="0"/>
        <w:rPr>
          <w:rFonts w:ascii="Times New Roman" w:hAnsi="Times New Roman" w:cs="Times New Roman"/>
          <w:sz w:val="20"/>
          <w:szCs w:val="20"/>
        </w:rPr>
      </w:pPr>
      <w:proofErr w:type="spellStart"/>
      <w:r w:rsidRPr="009C19F3">
        <w:rPr>
          <w:rFonts w:ascii="Times New Roman" w:hAnsi="Times New Roman" w:cs="Times New Roman"/>
          <w:sz w:val="20"/>
          <w:szCs w:val="20"/>
        </w:rPr>
        <w:t>Cveigele</w:t>
      </w:r>
      <w:proofErr w:type="spellEnd"/>
      <w:r w:rsidRPr="009C19F3">
        <w:rPr>
          <w:rFonts w:ascii="Times New Roman" w:hAnsi="Times New Roman" w:cs="Times New Roman"/>
          <w:sz w:val="20"/>
          <w:szCs w:val="20"/>
        </w:rPr>
        <w:t>, 67120868</w:t>
      </w:r>
    </w:p>
    <w:p w14:paraId="0C31FE20" w14:textId="4A1A586F" w:rsidR="00C4036B" w:rsidRPr="009C19F3" w:rsidRDefault="00B755B9" w:rsidP="00C4036B">
      <w:pPr>
        <w:spacing w:after="0"/>
        <w:ind w:left="0"/>
        <w:rPr>
          <w:rFonts w:ascii="Times New Roman" w:hAnsi="Times New Roman" w:cs="Times New Roman"/>
          <w:sz w:val="20"/>
          <w:szCs w:val="20"/>
        </w:rPr>
      </w:pPr>
      <w:hyperlink r:id="rId13" w:history="1">
        <w:r w:rsidR="009C19F3" w:rsidRPr="0000511C">
          <w:rPr>
            <w:rStyle w:val="Hyperlink"/>
            <w:rFonts w:ascii="Times New Roman" w:hAnsi="Times New Roman" w:cs="Times New Roman"/>
            <w:sz w:val="20"/>
            <w:szCs w:val="20"/>
          </w:rPr>
          <w:t>Diana.Cveigele@vid.gov.lv</w:t>
        </w:r>
      </w:hyperlink>
      <w:r w:rsidR="009C19F3">
        <w:rPr>
          <w:rFonts w:ascii="Times New Roman" w:hAnsi="Times New Roman" w:cs="Times New Roman"/>
          <w:sz w:val="20"/>
          <w:szCs w:val="20"/>
        </w:rPr>
        <w:t xml:space="preserve"> </w:t>
      </w:r>
    </w:p>
    <w:p w14:paraId="74EEDC07" w14:textId="77777777" w:rsidR="00C4036B" w:rsidRPr="009C19F3" w:rsidRDefault="00C4036B" w:rsidP="00C4036B">
      <w:pPr>
        <w:spacing w:after="0"/>
        <w:ind w:left="0"/>
        <w:rPr>
          <w:rFonts w:ascii="Times New Roman" w:hAnsi="Times New Roman" w:cs="Times New Roman"/>
          <w:sz w:val="20"/>
          <w:szCs w:val="20"/>
        </w:rPr>
      </w:pPr>
    </w:p>
    <w:p w14:paraId="19E3A726" w14:textId="77777777" w:rsidR="00C4036B" w:rsidRPr="009C19F3" w:rsidRDefault="00C4036B" w:rsidP="001567D8">
      <w:pPr>
        <w:tabs>
          <w:tab w:val="left" w:pos="6804"/>
          <w:tab w:val="left" w:pos="7088"/>
          <w:tab w:val="left" w:pos="7371"/>
        </w:tabs>
        <w:spacing w:after="0"/>
        <w:ind w:left="0" w:right="-624"/>
        <w:jc w:val="left"/>
        <w:rPr>
          <w:rFonts w:ascii="Times New Roman" w:hAnsi="Times New Roman" w:cs="Times New Roman"/>
          <w:sz w:val="20"/>
          <w:szCs w:val="20"/>
        </w:rPr>
      </w:pPr>
    </w:p>
    <w:sectPr w:rsidR="00C4036B" w:rsidRPr="009C19F3" w:rsidSect="00A80218">
      <w:headerReference w:type="default" r:id="rId14"/>
      <w:footerReference w:type="default" r:id="rId15"/>
      <w:footerReference w:type="first" r:id="rId16"/>
      <w:pgSz w:w="11907" w:h="16839" w:code="9"/>
      <w:pgMar w:top="1418" w:right="1134" w:bottom="1134" w:left="1701"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457D4" w14:textId="77777777" w:rsidR="005F7D06" w:rsidRDefault="005F7D06" w:rsidP="003B0A1E">
      <w:pPr>
        <w:spacing w:after="0"/>
      </w:pPr>
      <w:r>
        <w:separator/>
      </w:r>
    </w:p>
  </w:endnote>
  <w:endnote w:type="continuationSeparator" w:id="0">
    <w:p w14:paraId="4426586B" w14:textId="77777777" w:rsidR="005F7D06" w:rsidRDefault="005F7D06"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2885" w14:textId="2B195DD7" w:rsidR="00FF3E82" w:rsidRPr="00AC2E47" w:rsidRDefault="00FF3E82" w:rsidP="00FF3E82">
    <w:pPr>
      <w:spacing w:after="0"/>
      <w:ind w:left="0"/>
      <w:rPr>
        <w:rFonts w:ascii="Times New Roman" w:hAnsi="Times New Roman" w:cs="Times New Roman"/>
        <w:sz w:val="20"/>
        <w:szCs w:val="20"/>
      </w:rPr>
    </w:pPr>
    <w:r w:rsidRPr="00064B0B">
      <w:rPr>
        <w:rFonts w:ascii="Times New Roman" w:hAnsi="Times New Roman" w:cs="Times New Roman"/>
        <w:sz w:val="20"/>
        <w:szCs w:val="20"/>
      </w:rPr>
      <w:t>FMAnot_</w:t>
    </w:r>
    <w:r w:rsidR="00B516BF">
      <w:rPr>
        <w:rFonts w:ascii="Times New Roman" w:hAnsi="Times New Roman" w:cs="Times New Roman"/>
        <w:sz w:val="20"/>
        <w:szCs w:val="20"/>
      </w:rPr>
      <w:t>0</w:t>
    </w:r>
    <w:r w:rsidR="00005051">
      <w:rPr>
        <w:rFonts w:ascii="Times New Roman" w:hAnsi="Times New Roman" w:cs="Times New Roman"/>
        <w:sz w:val="20"/>
        <w:szCs w:val="20"/>
      </w:rPr>
      <w:t>9</w:t>
    </w:r>
    <w:r w:rsidR="00B516BF">
      <w:rPr>
        <w:rFonts w:ascii="Times New Roman" w:hAnsi="Times New Roman" w:cs="Times New Roman"/>
        <w:sz w:val="20"/>
        <w:szCs w:val="20"/>
      </w:rPr>
      <w:t>08</w:t>
    </w:r>
    <w:r>
      <w:rPr>
        <w:rFonts w:ascii="Times New Roman" w:hAnsi="Times New Roman" w:cs="Times New Roman"/>
        <w:sz w:val="20"/>
        <w:szCs w:val="20"/>
      </w:rPr>
      <w:t>17_atlaujas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965" w14:textId="7FFF7176" w:rsidR="00DC6B52" w:rsidRPr="00AC2E47" w:rsidRDefault="00064B0B" w:rsidP="00064B0B">
    <w:pPr>
      <w:spacing w:after="0"/>
      <w:ind w:left="0"/>
      <w:rPr>
        <w:rFonts w:ascii="Times New Roman" w:hAnsi="Times New Roman" w:cs="Times New Roman"/>
        <w:sz w:val="20"/>
        <w:szCs w:val="20"/>
      </w:rPr>
    </w:pPr>
    <w:r w:rsidRPr="00064B0B">
      <w:rPr>
        <w:rFonts w:ascii="Times New Roman" w:hAnsi="Times New Roman" w:cs="Times New Roman"/>
        <w:sz w:val="20"/>
        <w:szCs w:val="20"/>
      </w:rPr>
      <w:t>FMAnot_</w:t>
    </w:r>
    <w:r w:rsidR="00B516BF">
      <w:rPr>
        <w:rFonts w:ascii="Times New Roman" w:hAnsi="Times New Roman" w:cs="Times New Roman"/>
        <w:sz w:val="20"/>
        <w:szCs w:val="20"/>
      </w:rPr>
      <w:t>0</w:t>
    </w:r>
    <w:r w:rsidR="00F105F3">
      <w:rPr>
        <w:rFonts w:ascii="Times New Roman" w:hAnsi="Times New Roman" w:cs="Times New Roman"/>
        <w:sz w:val="20"/>
        <w:szCs w:val="20"/>
      </w:rPr>
      <w:t>9</w:t>
    </w:r>
    <w:r w:rsidR="00B516BF">
      <w:rPr>
        <w:rFonts w:ascii="Times New Roman" w:hAnsi="Times New Roman" w:cs="Times New Roman"/>
        <w:sz w:val="20"/>
        <w:szCs w:val="20"/>
      </w:rPr>
      <w:t>08</w:t>
    </w:r>
    <w:r w:rsidR="00FF3E82">
      <w:rPr>
        <w:rFonts w:ascii="Times New Roman" w:hAnsi="Times New Roman" w:cs="Times New Roman"/>
        <w:sz w:val="20"/>
        <w:szCs w:val="20"/>
      </w:rPr>
      <w:t>17_atlaujas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167E" w14:textId="77777777" w:rsidR="005F7D06" w:rsidRDefault="005F7D06" w:rsidP="003B0A1E">
      <w:pPr>
        <w:spacing w:after="0"/>
      </w:pPr>
      <w:r>
        <w:separator/>
      </w:r>
    </w:p>
  </w:footnote>
  <w:footnote w:type="continuationSeparator" w:id="0">
    <w:p w14:paraId="06F97E14" w14:textId="77777777" w:rsidR="005F7D06" w:rsidRDefault="005F7D06" w:rsidP="003B0A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286251"/>
      <w:docPartObj>
        <w:docPartGallery w:val="Page Numbers (Top of Page)"/>
        <w:docPartUnique/>
      </w:docPartObj>
    </w:sdtPr>
    <w:sdtEndPr/>
    <w:sdtContent>
      <w:p w14:paraId="7D6D5AAA" w14:textId="4254989A" w:rsidR="00DC6B52" w:rsidRDefault="00DC6B52">
        <w:pPr>
          <w:pStyle w:val="Header"/>
          <w:jc w:val="center"/>
        </w:pPr>
        <w:r>
          <w:fldChar w:fldCharType="begin"/>
        </w:r>
        <w:r>
          <w:instrText xml:space="preserve"> PAGE   \* MERGEFORMAT </w:instrText>
        </w:r>
        <w:r>
          <w:fldChar w:fldCharType="separate"/>
        </w:r>
        <w:r w:rsidR="00B755B9">
          <w:rPr>
            <w:noProof/>
          </w:rPr>
          <w:t>18</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2135"/>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3633866"/>
    <w:multiLevelType w:val="hybridMultilevel"/>
    <w:tmpl w:val="3FE8134C"/>
    <w:lvl w:ilvl="0" w:tplc="DC0EC6E2">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3" w15:restartNumberingAfterBreak="0">
    <w:nsid w:val="25B96009"/>
    <w:multiLevelType w:val="hybridMultilevel"/>
    <w:tmpl w:val="04F239DA"/>
    <w:lvl w:ilvl="0" w:tplc="C5C46DEA">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8D106AC"/>
    <w:multiLevelType w:val="hybridMultilevel"/>
    <w:tmpl w:val="2B92F0BC"/>
    <w:lvl w:ilvl="0" w:tplc="D5EA12DE">
      <w:start w:val="1"/>
      <w:numFmt w:val="decimal"/>
      <w:lvlText w:val="%1)"/>
      <w:lvlJc w:val="left"/>
      <w:pPr>
        <w:ind w:left="720" w:hanging="360"/>
      </w:pPr>
      <w:rPr>
        <w:color w:val="1F497D"/>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95D0779"/>
    <w:multiLevelType w:val="hybridMultilevel"/>
    <w:tmpl w:val="D6BC79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5D68D8"/>
    <w:multiLevelType w:val="hybridMultilevel"/>
    <w:tmpl w:val="C94CE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3D484F"/>
    <w:multiLevelType w:val="hybridMultilevel"/>
    <w:tmpl w:val="A36045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CA11C5E"/>
    <w:multiLevelType w:val="hybridMultilevel"/>
    <w:tmpl w:val="368E569C"/>
    <w:lvl w:ilvl="0" w:tplc="4A0E4ACE">
      <w:start w:val="42"/>
      <w:numFmt w:val="bullet"/>
      <w:lvlText w:val="-"/>
      <w:lvlJc w:val="left"/>
      <w:pPr>
        <w:ind w:left="628" w:hanging="360"/>
      </w:pPr>
      <w:rPr>
        <w:rFonts w:ascii="Times New Roman" w:eastAsia="Times New Roman" w:hAnsi="Times New Roman" w:cs="Times New Roman" w:hint="default"/>
      </w:rPr>
    </w:lvl>
    <w:lvl w:ilvl="1" w:tplc="04260003" w:tentative="1">
      <w:start w:val="1"/>
      <w:numFmt w:val="bullet"/>
      <w:lvlText w:val="o"/>
      <w:lvlJc w:val="left"/>
      <w:pPr>
        <w:ind w:left="1348" w:hanging="360"/>
      </w:pPr>
      <w:rPr>
        <w:rFonts w:ascii="Courier New" w:hAnsi="Courier New" w:cs="Courier New" w:hint="default"/>
      </w:rPr>
    </w:lvl>
    <w:lvl w:ilvl="2" w:tplc="04260005" w:tentative="1">
      <w:start w:val="1"/>
      <w:numFmt w:val="bullet"/>
      <w:lvlText w:val=""/>
      <w:lvlJc w:val="left"/>
      <w:pPr>
        <w:ind w:left="2068" w:hanging="360"/>
      </w:pPr>
      <w:rPr>
        <w:rFonts w:ascii="Wingdings" w:hAnsi="Wingdings" w:hint="default"/>
      </w:rPr>
    </w:lvl>
    <w:lvl w:ilvl="3" w:tplc="04260001" w:tentative="1">
      <w:start w:val="1"/>
      <w:numFmt w:val="bullet"/>
      <w:lvlText w:val=""/>
      <w:lvlJc w:val="left"/>
      <w:pPr>
        <w:ind w:left="2788" w:hanging="360"/>
      </w:pPr>
      <w:rPr>
        <w:rFonts w:ascii="Symbol" w:hAnsi="Symbol" w:hint="default"/>
      </w:rPr>
    </w:lvl>
    <w:lvl w:ilvl="4" w:tplc="04260003" w:tentative="1">
      <w:start w:val="1"/>
      <w:numFmt w:val="bullet"/>
      <w:lvlText w:val="o"/>
      <w:lvlJc w:val="left"/>
      <w:pPr>
        <w:ind w:left="3508" w:hanging="360"/>
      </w:pPr>
      <w:rPr>
        <w:rFonts w:ascii="Courier New" w:hAnsi="Courier New" w:cs="Courier New" w:hint="default"/>
      </w:rPr>
    </w:lvl>
    <w:lvl w:ilvl="5" w:tplc="04260005" w:tentative="1">
      <w:start w:val="1"/>
      <w:numFmt w:val="bullet"/>
      <w:lvlText w:val=""/>
      <w:lvlJc w:val="left"/>
      <w:pPr>
        <w:ind w:left="4228" w:hanging="360"/>
      </w:pPr>
      <w:rPr>
        <w:rFonts w:ascii="Wingdings" w:hAnsi="Wingdings" w:hint="default"/>
      </w:rPr>
    </w:lvl>
    <w:lvl w:ilvl="6" w:tplc="04260001" w:tentative="1">
      <w:start w:val="1"/>
      <w:numFmt w:val="bullet"/>
      <w:lvlText w:val=""/>
      <w:lvlJc w:val="left"/>
      <w:pPr>
        <w:ind w:left="4948" w:hanging="360"/>
      </w:pPr>
      <w:rPr>
        <w:rFonts w:ascii="Symbol" w:hAnsi="Symbol" w:hint="default"/>
      </w:rPr>
    </w:lvl>
    <w:lvl w:ilvl="7" w:tplc="04260003" w:tentative="1">
      <w:start w:val="1"/>
      <w:numFmt w:val="bullet"/>
      <w:lvlText w:val="o"/>
      <w:lvlJc w:val="left"/>
      <w:pPr>
        <w:ind w:left="5668" w:hanging="360"/>
      </w:pPr>
      <w:rPr>
        <w:rFonts w:ascii="Courier New" w:hAnsi="Courier New" w:cs="Courier New" w:hint="default"/>
      </w:rPr>
    </w:lvl>
    <w:lvl w:ilvl="8" w:tplc="04260005" w:tentative="1">
      <w:start w:val="1"/>
      <w:numFmt w:val="bullet"/>
      <w:lvlText w:val=""/>
      <w:lvlJc w:val="left"/>
      <w:pPr>
        <w:ind w:left="6388" w:hanging="360"/>
      </w:pPr>
      <w:rPr>
        <w:rFonts w:ascii="Wingdings" w:hAnsi="Wingdings" w:hint="default"/>
      </w:rPr>
    </w:lvl>
  </w:abstractNum>
  <w:abstractNum w:abstractNumId="9" w15:restartNumberingAfterBreak="0">
    <w:nsid w:val="4B8E4DD8"/>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C13D1D"/>
    <w:multiLevelType w:val="hybridMultilevel"/>
    <w:tmpl w:val="A71A2D0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E4187F"/>
    <w:multiLevelType w:val="hybridMultilevel"/>
    <w:tmpl w:val="660E9C66"/>
    <w:lvl w:ilvl="0" w:tplc="ABBCD566">
      <w:start w:val="2013"/>
      <w:numFmt w:val="bullet"/>
      <w:lvlText w:val="-"/>
      <w:lvlJc w:val="left"/>
      <w:pPr>
        <w:ind w:left="467" w:hanging="360"/>
      </w:pPr>
      <w:rPr>
        <w:rFonts w:ascii="Times New Roman" w:eastAsiaTheme="minorHAnsi"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12" w15:restartNumberingAfterBreak="0">
    <w:nsid w:val="65762F32"/>
    <w:multiLevelType w:val="hybridMultilevel"/>
    <w:tmpl w:val="FACAB124"/>
    <w:lvl w:ilvl="0" w:tplc="C6B0C2C8">
      <w:numFmt w:val="bullet"/>
      <w:lvlText w:val="-"/>
      <w:lvlJc w:val="left"/>
      <w:pPr>
        <w:ind w:left="640" w:hanging="360"/>
      </w:pPr>
      <w:rPr>
        <w:rFonts w:ascii="Times New Roman" w:eastAsiaTheme="minorHAnsi" w:hAnsi="Times New Roman" w:cs="Times New Roman" w:hint="default"/>
      </w:rPr>
    </w:lvl>
    <w:lvl w:ilvl="1" w:tplc="04260003" w:tentative="1">
      <w:start w:val="1"/>
      <w:numFmt w:val="bullet"/>
      <w:lvlText w:val="o"/>
      <w:lvlJc w:val="left"/>
      <w:pPr>
        <w:ind w:left="1360" w:hanging="360"/>
      </w:pPr>
      <w:rPr>
        <w:rFonts w:ascii="Courier New" w:hAnsi="Courier New" w:cs="Courier New" w:hint="default"/>
      </w:rPr>
    </w:lvl>
    <w:lvl w:ilvl="2" w:tplc="04260005" w:tentative="1">
      <w:start w:val="1"/>
      <w:numFmt w:val="bullet"/>
      <w:lvlText w:val=""/>
      <w:lvlJc w:val="left"/>
      <w:pPr>
        <w:ind w:left="2080" w:hanging="360"/>
      </w:pPr>
      <w:rPr>
        <w:rFonts w:ascii="Wingdings" w:hAnsi="Wingdings" w:hint="default"/>
      </w:rPr>
    </w:lvl>
    <w:lvl w:ilvl="3" w:tplc="04260001" w:tentative="1">
      <w:start w:val="1"/>
      <w:numFmt w:val="bullet"/>
      <w:lvlText w:val=""/>
      <w:lvlJc w:val="left"/>
      <w:pPr>
        <w:ind w:left="2800" w:hanging="360"/>
      </w:pPr>
      <w:rPr>
        <w:rFonts w:ascii="Symbol" w:hAnsi="Symbol" w:hint="default"/>
      </w:rPr>
    </w:lvl>
    <w:lvl w:ilvl="4" w:tplc="04260003" w:tentative="1">
      <w:start w:val="1"/>
      <w:numFmt w:val="bullet"/>
      <w:lvlText w:val="o"/>
      <w:lvlJc w:val="left"/>
      <w:pPr>
        <w:ind w:left="3520" w:hanging="360"/>
      </w:pPr>
      <w:rPr>
        <w:rFonts w:ascii="Courier New" w:hAnsi="Courier New" w:cs="Courier New" w:hint="default"/>
      </w:rPr>
    </w:lvl>
    <w:lvl w:ilvl="5" w:tplc="04260005" w:tentative="1">
      <w:start w:val="1"/>
      <w:numFmt w:val="bullet"/>
      <w:lvlText w:val=""/>
      <w:lvlJc w:val="left"/>
      <w:pPr>
        <w:ind w:left="4240" w:hanging="360"/>
      </w:pPr>
      <w:rPr>
        <w:rFonts w:ascii="Wingdings" w:hAnsi="Wingdings" w:hint="default"/>
      </w:rPr>
    </w:lvl>
    <w:lvl w:ilvl="6" w:tplc="04260001" w:tentative="1">
      <w:start w:val="1"/>
      <w:numFmt w:val="bullet"/>
      <w:lvlText w:val=""/>
      <w:lvlJc w:val="left"/>
      <w:pPr>
        <w:ind w:left="4960" w:hanging="360"/>
      </w:pPr>
      <w:rPr>
        <w:rFonts w:ascii="Symbol" w:hAnsi="Symbol" w:hint="default"/>
      </w:rPr>
    </w:lvl>
    <w:lvl w:ilvl="7" w:tplc="04260003" w:tentative="1">
      <w:start w:val="1"/>
      <w:numFmt w:val="bullet"/>
      <w:lvlText w:val="o"/>
      <w:lvlJc w:val="left"/>
      <w:pPr>
        <w:ind w:left="5680" w:hanging="360"/>
      </w:pPr>
      <w:rPr>
        <w:rFonts w:ascii="Courier New" w:hAnsi="Courier New" w:cs="Courier New" w:hint="default"/>
      </w:rPr>
    </w:lvl>
    <w:lvl w:ilvl="8" w:tplc="04260005" w:tentative="1">
      <w:start w:val="1"/>
      <w:numFmt w:val="bullet"/>
      <w:lvlText w:val=""/>
      <w:lvlJc w:val="left"/>
      <w:pPr>
        <w:ind w:left="6400" w:hanging="360"/>
      </w:pPr>
      <w:rPr>
        <w:rFonts w:ascii="Wingdings" w:hAnsi="Wingdings" w:hint="default"/>
      </w:rPr>
    </w:lvl>
  </w:abstractNum>
  <w:abstractNum w:abstractNumId="13" w15:restartNumberingAfterBreak="0">
    <w:nsid w:val="78436216"/>
    <w:multiLevelType w:val="hybridMultilevel"/>
    <w:tmpl w:val="7AE4E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6"/>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3"/>
  </w:num>
  <w:num w:numId="11">
    <w:abstractNumId w:val="0"/>
  </w:num>
  <w:num w:numId="12">
    <w:abstractNumId w:val="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70"/>
    <w:rsid w:val="000015B0"/>
    <w:rsid w:val="00001ECB"/>
    <w:rsid w:val="00005051"/>
    <w:rsid w:val="000058DD"/>
    <w:rsid w:val="00006251"/>
    <w:rsid w:val="00006E60"/>
    <w:rsid w:val="000079C0"/>
    <w:rsid w:val="0001074A"/>
    <w:rsid w:val="00010FAD"/>
    <w:rsid w:val="00011472"/>
    <w:rsid w:val="000128A2"/>
    <w:rsid w:val="0001413F"/>
    <w:rsid w:val="00014346"/>
    <w:rsid w:val="00014352"/>
    <w:rsid w:val="00015133"/>
    <w:rsid w:val="00016716"/>
    <w:rsid w:val="0001769E"/>
    <w:rsid w:val="00020FDD"/>
    <w:rsid w:val="00021D0B"/>
    <w:rsid w:val="00021D55"/>
    <w:rsid w:val="0002308D"/>
    <w:rsid w:val="0002396B"/>
    <w:rsid w:val="00024B9B"/>
    <w:rsid w:val="00025396"/>
    <w:rsid w:val="00026F81"/>
    <w:rsid w:val="00027E5E"/>
    <w:rsid w:val="0003110D"/>
    <w:rsid w:val="00032486"/>
    <w:rsid w:val="00032772"/>
    <w:rsid w:val="000331B9"/>
    <w:rsid w:val="0003336D"/>
    <w:rsid w:val="000344F5"/>
    <w:rsid w:val="000373B0"/>
    <w:rsid w:val="00040544"/>
    <w:rsid w:val="0004072A"/>
    <w:rsid w:val="00040DC3"/>
    <w:rsid w:val="00041339"/>
    <w:rsid w:val="000432DC"/>
    <w:rsid w:val="000448B4"/>
    <w:rsid w:val="000455CC"/>
    <w:rsid w:val="000466A2"/>
    <w:rsid w:val="00047323"/>
    <w:rsid w:val="000477F0"/>
    <w:rsid w:val="00052345"/>
    <w:rsid w:val="00053AC7"/>
    <w:rsid w:val="00053C3D"/>
    <w:rsid w:val="00053DD9"/>
    <w:rsid w:val="00054DDF"/>
    <w:rsid w:val="0005520E"/>
    <w:rsid w:val="00055342"/>
    <w:rsid w:val="00056392"/>
    <w:rsid w:val="0005669A"/>
    <w:rsid w:val="00056B93"/>
    <w:rsid w:val="0005745B"/>
    <w:rsid w:val="0006100D"/>
    <w:rsid w:val="000615C6"/>
    <w:rsid w:val="00062599"/>
    <w:rsid w:val="00062EBC"/>
    <w:rsid w:val="00063167"/>
    <w:rsid w:val="00063375"/>
    <w:rsid w:val="00063C76"/>
    <w:rsid w:val="00063ECB"/>
    <w:rsid w:val="000642F6"/>
    <w:rsid w:val="00064612"/>
    <w:rsid w:val="00064B0B"/>
    <w:rsid w:val="0006671A"/>
    <w:rsid w:val="00066D5E"/>
    <w:rsid w:val="00066DD7"/>
    <w:rsid w:val="00070186"/>
    <w:rsid w:val="0007077A"/>
    <w:rsid w:val="00070992"/>
    <w:rsid w:val="00071DDB"/>
    <w:rsid w:val="00075AE3"/>
    <w:rsid w:val="00076313"/>
    <w:rsid w:val="000803AC"/>
    <w:rsid w:val="00081806"/>
    <w:rsid w:val="00082B1E"/>
    <w:rsid w:val="00082BE2"/>
    <w:rsid w:val="0008422E"/>
    <w:rsid w:val="00084BED"/>
    <w:rsid w:val="00085163"/>
    <w:rsid w:val="00085C54"/>
    <w:rsid w:val="00086348"/>
    <w:rsid w:val="0008682D"/>
    <w:rsid w:val="00086C4E"/>
    <w:rsid w:val="00091396"/>
    <w:rsid w:val="0009378E"/>
    <w:rsid w:val="00094113"/>
    <w:rsid w:val="00094915"/>
    <w:rsid w:val="000950B2"/>
    <w:rsid w:val="00096032"/>
    <w:rsid w:val="0009640D"/>
    <w:rsid w:val="0009673C"/>
    <w:rsid w:val="00096E55"/>
    <w:rsid w:val="00097A68"/>
    <w:rsid w:val="000A05CC"/>
    <w:rsid w:val="000A094D"/>
    <w:rsid w:val="000A3BCF"/>
    <w:rsid w:val="000A4766"/>
    <w:rsid w:val="000A573B"/>
    <w:rsid w:val="000B0BF5"/>
    <w:rsid w:val="000B1464"/>
    <w:rsid w:val="000B2413"/>
    <w:rsid w:val="000B29AA"/>
    <w:rsid w:val="000B2A87"/>
    <w:rsid w:val="000B2BA5"/>
    <w:rsid w:val="000B32E9"/>
    <w:rsid w:val="000B3763"/>
    <w:rsid w:val="000B624E"/>
    <w:rsid w:val="000B7C36"/>
    <w:rsid w:val="000C22A3"/>
    <w:rsid w:val="000C30E6"/>
    <w:rsid w:val="000C32C9"/>
    <w:rsid w:val="000C3927"/>
    <w:rsid w:val="000C3E90"/>
    <w:rsid w:val="000C4036"/>
    <w:rsid w:val="000C54B0"/>
    <w:rsid w:val="000C55C8"/>
    <w:rsid w:val="000C79BC"/>
    <w:rsid w:val="000D0957"/>
    <w:rsid w:val="000D2057"/>
    <w:rsid w:val="000D2C98"/>
    <w:rsid w:val="000D387F"/>
    <w:rsid w:val="000D41F3"/>
    <w:rsid w:val="000D45E6"/>
    <w:rsid w:val="000D4EAB"/>
    <w:rsid w:val="000D7389"/>
    <w:rsid w:val="000E08BE"/>
    <w:rsid w:val="000E0F24"/>
    <w:rsid w:val="000E13C5"/>
    <w:rsid w:val="000E208D"/>
    <w:rsid w:val="000E262F"/>
    <w:rsid w:val="000E3353"/>
    <w:rsid w:val="000E4850"/>
    <w:rsid w:val="000E6DF8"/>
    <w:rsid w:val="000F0E77"/>
    <w:rsid w:val="000F17FF"/>
    <w:rsid w:val="000F2411"/>
    <w:rsid w:val="000F3ADC"/>
    <w:rsid w:val="000F6735"/>
    <w:rsid w:val="000F6B58"/>
    <w:rsid w:val="000F6BB7"/>
    <w:rsid w:val="000F7BE7"/>
    <w:rsid w:val="00100644"/>
    <w:rsid w:val="001007FA"/>
    <w:rsid w:val="00100BD3"/>
    <w:rsid w:val="00101353"/>
    <w:rsid w:val="00101542"/>
    <w:rsid w:val="00102D96"/>
    <w:rsid w:val="00103E09"/>
    <w:rsid w:val="00105435"/>
    <w:rsid w:val="00105A9C"/>
    <w:rsid w:val="00105B8E"/>
    <w:rsid w:val="00106DE3"/>
    <w:rsid w:val="00107B6C"/>
    <w:rsid w:val="00107BF8"/>
    <w:rsid w:val="0011064F"/>
    <w:rsid w:val="00110C0D"/>
    <w:rsid w:val="0011417B"/>
    <w:rsid w:val="00114911"/>
    <w:rsid w:val="00114B07"/>
    <w:rsid w:val="001171B7"/>
    <w:rsid w:val="001175D5"/>
    <w:rsid w:val="00117E73"/>
    <w:rsid w:val="0012331D"/>
    <w:rsid w:val="00123847"/>
    <w:rsid w:val="00124328"/>
    <w:rsid w:val="00124882"/>
    <w:rsid w:val="00127C69"/>
    <w:rsid w:val="00130586"/>
    <w:rsid w:val="00132CE2"/>
    <w:rsid w:val="00132E79"/>
    <w:rsid w:val="00136347"/>
    <w:rsid w:val="00136854"/>
    <w:rsid w:val="00136A66"/>
    <w:rsid w:val="00137A58"/>
    <w:rsid w:val="00140606"/>
    <w:rsid w:val="0014060B"/>
    <w:rsid w:val="001428D1"/>
    <w:rsid w:val="00142C3D"/>
    <w:rsid w:val="00144589"/>
    <w:rsid w:val="001447CA"/>
    <w:rsid w:val="00145066"/>
    <w:rsid w:val="00145BC2"/>
    <w:rsid w:val="00146A84"/>
    <w:rsid w:val="00146D2C"/>
    <w:rsid w:val="00147013"/>
    <w:rsid w:val="0014798E"/>
    <w:rsid w:val="0015262B"/>
    <w:rsid w:val="00153025"/>
    <w:rsid w:val="001531F2"/>
    <w:rsid w:val="001539D3"/>
    <w:rsid w:val="0015424F"/>
    <w:rsid w:val="00154D04"/>
    <w:rsid w:val="001560D7"/>
    <w:rsid w:val="00156451"/>
    <w:rsid w:val="001566F5"/>
    <w:rsid w:val="001567D8"/>
    <w:rsid w:val="001600BC"/>
    <w:rsid w:val="00160EE4"/>
    <w:rsid w:val="00161470"/>
    <w:rsid w:val="0016210B"/>
    <w:rsid w:val="00162333"/>
    <w:rsid w:val="0016243A"/>
    <w:rsid w:val="00163F6F"/>
    <w:rsid w:val="0016418B"/>
    <w:rsid w:val="00164545"/>
    <w:rsid w:val="00164FC1"/>
    <w:rsid w:val="00167A1C"/>
    <w:rsid w:val="00167BF2"/>
    <w:rsid w:val="00167D58"/>
    <w:rsid w:val="0017112B"/>
    <w:rsid w:val="001711B5"/>
    <w:rsid w:val="00171A50"/>
    <w:rsid w:val="001739E3"/>
    <w:rsid w:val="00173D17"/>
    <w:rsid w:val="001741BA"/>
    <w:rsid w:val="0017545C"/>
    <w:rsid w:val="00176622"/>
    <w:rsid w:val="00176B35"/>
    <w:rsid w:val="0017716B"/>
    <w:rsid w:val="0018043E"/>
    <w:rsid w:val="00180440"/>
    <w:rsid w:val="0018241F"/>
    <w:rsid w:val="001833FE"/>
    <w:rsid w:val="00183ABA"/>
    <w:rsid w:val="00184216"/>
    <w:rsid w:val="00184382"/>
    <w:rsid w:val="001853FB"/>
    <w:rsid w:val="00186231"/>
    <w:rsid w:val="00190DB7"/>
    <w:rsid w:val="00194E76"/>
    <w:rsid w:val="0019616B"/>
    <w:rsid w:val="001962DB"/>
    <w:rsid w:val="00196699"/>
    <w:rsid w:val="00196C75"/>
    <w:rsid w:val="001A2D14"/>
    <w:rsid w:val="001A33BD"/>
    <w:rsid w:val="001A5BA9"/>
    <w:rsid w:val="001A79B3"/>
    <w:rsid w:val="001B238A"/>
    <w:rsid w:val="001B2DE4"/>
    <w:rsid w:val="001B36B5"/>
    <w:rsid w:val="001B4708"/>
    <w:rsid w:val="001B4995"/>
    <w:rsid w:val="001B50C6"/>
    <w:rsid w:val="001B514E"/>
    <w:rsid w:val="001B6A27"/>
    <w:rsid w:val="001B7D14"/>
    <w:rsid w:val="001C0AFC"/>
    <w:rsid w:val="001C1603"/>
    <w:rsid w:val="001C1F15"/>
    <w:rsid w:val="001C2FFC"/>
    <w:rsid w:val="001C33A0"/>
    <w:rsid w:val="001C3608"/>
    <w:rsid w:val="001C5CE6"/>
    <w:rsid w:val="001C67C0"/>
    <w:rsid w:val="001C7139"/>
    <w:rsid w:val="001C7546"/>
    <w:rsid w:val="001C76EF"/>
    <w:rsid w:val="001D1731"/>
    <w:rsid w:val="001D23A0"/>
    <w:rsid w:val="001D3183"/>
    <w:rsid w:val="001D5918"/>
    <w:rsid w:val="001E0C45"/>
    <w:rsid w:val="001E1098"/>
    <w:rsid w:val="001E3549"/>
    <w:rsid w:val="001E4235"/>
    <w:rsid w:val="001E4F4E"/>
    <w:rsid w:val="001E51FA"/>
    <w:rsid w:val="001E523E"/>
    <w:rsid w:val="001E5976"/>
    <w:rsid w:val="001F046C"/>
    <w:rsid w:val="001F249E"/>
    <w:rsid w:val="001F3523"/>
    <w:rsid w:val="001F4EFB"/>
    <w:rsid w:val="001F54B3"/>
    <w:rsid w:val="001F658F"/>
    <w:rsid w:val="001F6D21"/>
    <w:rsid w:val="001F7286"/>
    <w:rsid w:val="001F77B4"/>
    <w:rsid w:val="00200C53"/>
    <w:rsid w:val="00200EEE"/>
    <w:rsid w:val="00201968"/>
    <w:rsid w:val="00201A4D"/>
    <w:rsid w:val="00202927"/>
    <w:rsid w:val="0020295D"/>
    <w:rsid w:val="002033FE"/>
    <w:rsid w:val="00205449"/>
    <w:rsid w:val="00206D22"/>
    <w:rsid w:val="002078C5"/>
    <w:rsid w:val="00207D4F"/>
    <w:rsid w:val="002100B3"/>
    <w:rsid w:val="00212388"/>
    <w:rsid w:val="00212DF2"/>
    <w:rsid w:val="00213214"/>
    <w:rsid w:val="00215DFB"/>
    <w:rsid w:val="002168EA"/>
    <w:rsid w:val="00216F28"/>
    <w:rsid w:val="002174F3"/>
    <w:rsid w:val="0021754D"/>
    <w:rsid w:val="00217C38"/>
    <w:rsid w:val="00220676"/>
    <w:rsid w:val="00220B8F"/>
    <w:rsid w:val="00221224"/>
    <w:rsid w:val="002227CB"/>
    <w:rsid w:val="00223646"/>
    <w:rsid w:val="00226ABE"/>
    <w:rsid w:val="00227178"/>
    <w:rsid w:val="0023067C"/>
    <w:rsid w:val="002308C7"/>
    <w:rsid w:val="00233436"/>
    <w:rsid w:val="002334D5"/>
    <w:rsid w:val="00233E8D"/>
    <w:rsid w:val="00233E8E"/>
    <w:rsid w:val="00234EE2"/>
    <w:rsid w:val="00234F22"/>
    <w:rsid w:val="002351F1"/>
    <w:rsid w:val="002352B9"/>
    <w:rsid w:val="00236203"/>
    <w:rsid w:val="00237AA1"/>
    <w:rsid w:val="00237FE7"/>
    <w:rsid w:val="00240067"/>
    <w:rsid w:val="002402E4"/>
    <w:rsid w:val="00240933"/>
    <w:rsid w:val="00240A17"/>
    <w:rsid w:val="00241038"/>
    <w:rsid w:val="00241CAA"/>
    <w:rsid w:val="0024350A"/>
    <w:rsid w:val="002460AD"/>
    <w:rsid w:val="00246B36"/>
    <w:rsid w:val="00246FBB"/>
    <w:rsid w:val="0024715B"/>
    <w:rsid w:val="00250202"/>
    <w:rsid w:val="002522D4"/>
    <w:rsid w:val="0025288E"/>
    <w:rsid w:val="0025371B"/>
    <w:rsid w:val="00254D23"/>
    <w:rsid w:val="002574C6"/>
    <w:rsid w:val="002579CC"/>
    <w:rsid w:val="00257EC0"/>
    <w:rsid w:val="0026022E"/>
    <w:rsid w:val="00261BD4"/>
    <w:rsid w:val="00261C5D"/>
    <w:rsid w:val="002624DD"/>
    <w:rsid w:val="00262C51"/>
    <w:rsid w:val="002633EF"/>
    <w:rsid w:val="002658E7"/>
    <w:rsid w:val="00266487"/>
    <w:rsid w:val="00266BE4"/>
    <w:rsid w:val="002672A9"/>
    <w:rsid w:val="002674DE"/>
    <w:rsid w:val="002728F2"/>
    <w:rsid w:val="00272DD3"/>
    <w:rsid w:val="00274EBA"/>
    <w:rsid w:val="00276147"/>
    <w:rsid w:val="00280DC0"/>
    <w:rsid w:val="00281396"/>
    <w:rsid w:val="00281C39"/>
    <w:rsid w:val="0028428E"/>
    <w:rsid w:val="00284C81"/>
    <w:rsid w:val="00284F65"/>
    <w:rsid w:val="00285224"/>
    <w:rsid w:val="00285B54"/>
    <w:rsid w:val="00286ACF"/>
    <w:rsid w:val="00290545"/>
    <w:rsid w:val="0029066D"/>
    <w:rsid w:val="00290672"/>
    <w:rsid w:val="0029116E"/>
    <w:rsid w:val="002927A9"/>
    <w:rsid w:val="00292AC0"/>
    <w:rsid w:val="002930E7"/>
    <w:rsid w:val="002932D1"/>
    <w:rsid w:val="00294F4D"/>
    <w:rsid w:val="0029537B"/>
    <w:rsid w:val="002970F7"/>
    <w:rsid w:val="00297454"/>
    <w:rsid w:val="00297830"/>
    <w:rsid w:val="00297D44"/>
    <w:rsid w:val="002A01F7"/>
    <w:rsid w:val="002A0973"/>
    <w:rsid w:val="002A19B2"/>
    <w:rsid w:val="002A1D04"/>
    <w:rsid w:val="002A319B"/>
    <w:rsid w:val="002A3474"/>
    <w:rsid w:val="002A3FD8"/>
    <w:rsid w:val="002A5506"/>
    <w:rsid w:val="002A560D"/>
    <w:rsid w:val="002A5DF2"/>
    <w:rsid w:val="002A7477"/>
    <w:rsid w:val="002B0DC4"/>
    <w:rsid w:val="002B2082"/>
    <w:rsid w:val="002B2ADE"/>
    <w:rsid w:val="002B3AF9"/>
    <w:rsid w:val="002B5591"/>
    <w:rsid w:val="002B55E6"/>
    <w:rsid w:val="002B60F5"/>
    <w:rsid w:val="002B6D5D"/>
    <w:rsid w:val="002B6ED9"/>
    <w:rsid w:val="002B7155"/>
    <w:rsid w:val="002C0425"/>
    <w:rsid w:val="002C076C"/>
    <w:rsid w:val="002C0A46"/>
    <w:rsid w:val="002C0D2E"/>
    <w:rsid w:val="002C2772"/>
    <w:rsid w:val="002C2F0E"/>
    <w:rsid w:val="002C3097"/>
    <w:rsid w:val="002C3D74"/>
    <w:rsid w:val="002C4009"/>
    <w:rsid w:val="002C4963"/>
    <w:rsid w:val="002C665C"/>
    <w:rsid w:val="002D10FE"/>
    <w:rsid w:val="002D3734"/>
    <w:rsid w:val="002D5599"/>
    <w:rsid w:val="002D6161"/>
    <w:rsid w:val="002D6599"/>
    <w:rsid w:val="002D6F64"/>
    <w:rsid w:val="002D712A"/>
    <w:rsid w:val="002D7DCA"/>
    <w:rsid w:val="002E02D2"/>
    <w:rsid w:val="002E0FB9"/>
    <w:rsid w:val="002E1022"/>
    <w:rsid w:val="002E18AE"/>
    <w:rsid w:val="002E2A8C"/>
    <w:rsid w:val="002E2B4C"/>
    <w:rsid w:val="002E469D"/>
    <w:rsid w:val="002E7084"/>
    <w:rsid w:val="002E73A3"/>
    <w:rsid w:val="002E742E"/>
    <w:rsid w:val="002F0097"/>
    <w:rsid w:val="002F3922"/>
    <w:rsid w:val="002F3971"/>
    <w:rsid w:val="002F3C2A"/>
    <w:rsid w:val="002F4B42"/>
    <w:rsid w:val="002F4DE4"/>
    <w:rsid w:val="002F5294"/>
    <w:rsid w:val="002F786C"/>
    <w:rsid w:val="002F7889"/>
    <w:rsid w:val="0030025E"/>
    <w:rsid w:val="00302B00"/>
    <w:rsid w:val="00304764"/>
    <w:rsid w:val="0030479D"/>
    <w:rsid w:val="00304EC6"/>
    <w:rsid w:val="00306967"/>
    <w:rsid w:val="003069BB"/>
    <w:rsid w:val="00306BA2"/>
    <w:rsid w:val="003073F3"/>
    <w:rsid w:val="00311A12"/>
    <w:rsid w:val="0031215B"/>
    <w:rsid w:val="00313252"/>
    <w:rsid w:val="00313DD0"/>
    <w:rsid w:val="00314FD7"/>
    <w:rsid w:val="003153FD"/>
    <w:rsid w:val="00315C74"/>
    <w:rsid w:val="00315F52"/>
    <w:rsid w:val="00316030"/>
    <w:rsid w:val="003160C4"/>
    <w:rsid w:val="00316D9E"/>
    <w:rsid w:val="0032014A"/>
    <w:rsid w:val="00322E4F"/>
    <w:rsid w:val="00323F1A"/>
    <w:rsid w:val="003263FA"/>
    <w:rsid w:val="003268AB"/>
    <w:rsid w:val="00331EF4"/>
    <w:rsid w:val="0033269B"/>
    <w:rsid w:val="00332F21"/>
    <w:rsid w:val="00333667"/>
    <w:rsid w:val="00333ADA"/>
    <w:rsid w:val="00333B34"/>
    <w:rsid w:val="00334621"/>
    <w:rsid w:val="00335669"/>
    <w:rsid w:val="0033659B"/>
    <w:rsid w:val="00336684"/>
    <w:rsid w:val="00336A4F"/>
    <w:rsid w:val="00336DF3"/>
    <w:rsid w:val="00336E15"/>
    <w:rsid w:val="00337B32"/>
    <w:rsid w:val="003407E5"/>
    <w:rsid w:val="00340A83"/>
    <w:rsid w:val="00341FDE"/>
    <w:rsid w:val="00342D62"/>
    <w:rsid w:val="00343850"/>
    <w:rsid w:val="0034459D"/>
    <w:rsid w:val="003445E7"/>
    <w:rsid w:val="00345745"/>
    <w:rsid w:val="00345997"/>
    <w:rsid w:val="00346247"/>
    <w:rsid w:val="00346AE0"/>
    <w:rsid w:val="00347A37"/>
    <w:rsid w:val="00347BCF"/>
    <w:rsid w:val="003503B8"/>
    <w:rsid w:val="00350EBA"/>
    <w:rsid w:val="00351020"/>
    <w:rsid w:val="003527F8"/>
    <w:rsid w:val="00353957"/>
    <w:rsid w:val="003544B5"/>
    <w:rsid w:val="0035496B"/>
    <w:rsid w:val="003554EC"/>
    <w:rsid w:val="003562AF"/>
    <w:rsid w:val="00356689"/>
    <w:rsid w:val="00357FB6"/>
    <w:rsid w:val="003632DC"/>
    <w:rsid w:val="00365978"/>
    <w:rsid w:val="00365A08"/>
    <w:rsid w:val="00365DF2"/>
    <w:rsid w:val="00366413"/>
    <w:rsid w:val="003677B2"/>
    <w:rsid w:val="00367A5D"/>
    <w:rsid w:val="0037077D"/>
    <w:rsid w:val="00371917"/>
    <w:rsid w:val="00371A60"/>
    <w:rsid w:val="00372DB5"/>
    <w:rsid w:val="0037378B"/>
    <w:rsid w:val="00374251"/>
    <w:rsid w:val="0037510C"/>
    <w:rsid w:val="0037544A"/>
    <w:rsid w:val="00376C04"/>
    <w:rsid w:val="003770DD"/>
    <w:rsid w:val="003770E1"/>
    <w:rsid w:val="00377389"/>
    <w:rsid w:val="0037786A"/>
    <w:rsid w:val="003800AC"/>
    <w:rsid w:val="00380F42"/>
    <w:rsid w:val="0038166F"/>
    <w:rsid w:val="0038206D"/>
    <w:rsid w:val="003849AB"/>
    <w:rsid w:val="00385895"/>
    <w:rsid w:val="00385C57"/>
    <w:rsid w:val="00385E2C"/>
    <w:rsid w:val="003862DA"/>
    <w:rsid w:val="003868F2"/>
    <w:rsid w:val="00386908"/>
    <w:rsid w:val="003873CB"/>
    <w:rsid w:val="00387C2B"/>
    <w:rsid w:val="00390D7E"/>
    <w:rsid w:val="0039311E"/>
    <w:rsid w:val="00393E3E"/>
    <w:rsid w:val="00394693"/>
    <w:rsid w:val="0039472D"/>
    <w:rsid w:val="00394CFF"/>
    <w:rsid w:val="00395096"/>
    <w:rsid w:val="00395307"/>
    <w:rsid w:val="00395D3D"/>
    <w:rsid w:val="003975DF"/>
    <w:rsid w:val="0039791C"/>
    <w:rsid w:val="003A0155"/>
    <w:rsid w:val="003A0C55"/>
    <w:rsid w:val="003A0CF8"/>
    <w:rsid w:val="003A29CD"/>
    <w:rsid w:val="003A2C08"/>
    <w:rsid w:val="003A2FEC"/>
    <w:rsid w:val="003A3DD2"/>
    <w:rsid w:val="003A41CC"/>
    <w:rsid w:val="003A44AB"/>
    <w:rsid w:val="003A4836"/>
    <w:rsid w:val="003A48CC"/>
    <w:rsid w:val="003A6D80"/>
    <w:rsid w:val="003A7A16"/>
    <w:rsid w:val="003B0A1E"/>
    <w:rsid w:val="003B196C"/>
    <w:rsid w:val="003B252D"/>
    <w:rsid w:val="003B3A42"/>
    <w:rsid w:val="003B3CCA"/>
    <w:rsid w:val="003B6ECD"/>
    <w:rsid w:val="003B720D"/>
    <w:rsid w:val="003C0706"/>
    <w:rsid w:val="003C0A05"/>
    <w:rsid w:val="003C0DEC"/>
    <w:rsid w:val="003C116F"/>
    <w:rsid w:val="003C1D19"/>
    <w:rsid w:val="003C5BB7"/>
    <w:rsid w:val="003C5C90"/>
    <w:rsid w:val="003C5CB5"/>
    <w:rsid w:val="003C62FD"/>
    <w:rsid w:val="003C74FD"/>
    <w:rsid w:val="003D0EE4"/>
    <w:rsid w:val="003D0F6A"/>
    <w:rsid w:val="003D7E8C"/>
    <w:rsid w:val="003E13B5"/>
    <w:rsid w:val="003E1B62"/>
    <w:rsid w:val="003E21F9"/>
    <w:rsid w:val="003E2A34"/>
    <w:rsid w:val="003E55A8"/>
    <w:rsid w:val="003E6444"/>
    <w:rsid w:val="003E7AEA"/>
    <w:rsid w:val="003F0903"/>
    <w:rsid w:val="003F44BB"/>
    <w:rsid w:val="003F47AE"/>
    <w:rsid w:val="003F4905"/>
    <w:rsid w:val="003F5366"/>
    <w:rsid w:val="003F5B02"/>
    <w:rsid w:val="003F63B1"/>
    <w:rsid w:val="0040075F"/>
    <w:rsid w:val="0040143E"/>
    <w:rsid w:val="00401FF6"/>
    <w:rsid w:val="0040354D"/>
    <w:rsid w:val="0040471F"/>
    <w:rsid w:val="004049C2"/>
    <w:rsid w:val="00404BEC"/>
    <w:rsid w:val="004052FF"/>
    <w:rsid w:val="0040543F"/>
    <w:rsid w:val="004061B2"/>
    <w:rsid w:val="004066D7"/>
    <w:rsid w:val="00406B05"/>
    <w:rsid w:val="0040753A"/>
    <w:rsid w:val="00407E46"/>
    <w:rsid w:val="00407F01"/>
    <w:rsid w:val="0041017F"/>
    <w:rsid w:val="004108EA"/>
    <w:rsid w:val="00412402"/>
    <w:rsid w:val="00413FA9"/>
    <w:rsid w:val="00414A8B"/>
    <w:rsid w:val="00414FEE"/>
    <w:rsid w:val="00415D55"/>
    <w:rsid w:val="0041674C"/>
    <w:rsid w:val="00416ABD"/>
    <w:rsid w:val="00416DE9"/>
    <w:rsid w:val="0041746F"/>
    <w:rsid w:val="004205AD"/>
    <w:rsid w:val="00420C2A"/>
    <w:rsid w:val="004215F7"/>
    <w:rsid w:val="0042313D"/>
    <w:rsid w:val="00423709"/>
    <w:rsid w:val="00423FD7"/>
    <w:rsid w:val="004248AC"/>
    <w:rsid w:val="00424CCB"/>
    <w:rsid w:val="004256D7"/>
    <w:rsid w:val="00427E42"/>
    <w:rsid w:val="00434426"/>
    <w:rsid w:val="00435971"/>
    <w:rsid w:val="00435A1F"/>
    <w:rsid w:val="004378AA"/>
    <w:rsid w:val="004404B3"/>
    <w:rsid w:val="0044052A"/>
    <w:rsid w:val="0044092C"/>
    <w:rsid w:val="004418EF"/>
    <w:rsid w:val="00444800"/>
    <w:rsid w:val="00444DA2"/>
    <w:rsid w:val="004452FC"/>
    <w:rsid w:val="0044566E"/>
    <w:rsid w:val="00445CD9"/>
    <w:rsid w:val="004478E6"/>
    <w:rsid w:val="0045082C"/>
    <w:rsid w:val="00451AF3"/>
    <w:rsid w:val="004534A5"/>
    <w:rsid w:val="004534FD"/>
    <w:rsid w:val="00456C1B"/>
    <w:rsid w:val="004577D1"/>
    <w:rsid w:val="00460941"/>
    <w:rsid w:val="00463812"/>
    <w:rsid w:val="004641D4"/>
    <w:rsid w:val="00465369"/>
    <w:rsid w:val="004658E3"/>
    <w:rsid w:val="00465A28"/>
    <w:rsid w:val="0046650E"/>
    <w:rsid w:val="004676C3"/>
    <w:rsid w:val="00470B80"/>
    <w:rsid w:val="00473007"/>
    <w:rsid w:val="00473CB0"/>
    <w:rsid w:val="00474B5F"/>
    <w:rsid w:val="0047534E"/>
    <w:rsid w:val="00475A91"/>
    <w:rsid w:val="00476455"/>
    <w:rsid w:val="0048082F"/>
    <w:rsid w:val="00481998"/>
    <w:rsid w:val="0048237D"/>
    <w:rsid w:val="00484A15"/>
    <w:rsid w:val="004850C1"/>
    <w:rsid w:val="004858F1"/>
    <w:rsid w:val="00485FB6"/>
    <w:rsid w:val="00490599"/>
    <w:rsid w:val="004915E5"/>
    <w:rsid w:val="00491A36"/>
    <w:rsid w:val="00492CDD"/>
    <w:rsid w:val="00492D0D"/>
    <w:rsid w:val="00492F40"/>
    <w:rsid w:val="00493F80"/>
    <w:rsid w:val="00495171"/>
    <w:rsid w:val="004954F4"/>
    <w:rsid w:val="00495669"/>
    <w:rsid w:val="00496213"/>
    <w:rsid w:val="00496857"/>
    <w:rsid w:val="00496F90"/>
    <w:rsid w:val="00497199"/>
    <w:rsid w:val="004A01F4"/>
    <w:rsid w:val="004A0401"/>
    <w:rsid w:val="004A0D08"/>
    <w:rsid w:val="004A13E6"/>
    <w:rsid w:val="004A168A"/>
    <w:rsid w:val="004A1B27"/>
    <w:rsid w:val="004A1D10"/>
    <w:rsid w:val="004A218F"/>
    <w:rsid w:val="004A246A"/>
    <w:rsid w:val="004A3CE6"/>
    <w:rsid w:val="004A40C3"/>
    <w:rsid w:val="004A61DB"/>
    <w:rsid w:val="004A6B56"/>
    <w:rsid w:val="004A773E"/>
    <w:rsid w:val="004A7FF5"/>
    <w:rsid w:val="004B084A"/>
    <w:rsid w:val="004B146D"/>
    <w:rsid w:val="004B2071"/>
    <w:rsid w:val="004B292D"/>
    <w:rsid w:val="004B2DE4"/>
    <w:rsid w:val="004B2DFA"/>
    <w:rsid w:val="004B32D9"/>
    <w:rsid w:val="004B3BAB"/>
    <w:rsid w:val="004B3DE1"/>
    <w:rsid w:val="004B4AAF"/>
    <w:rsid w:val="004B7E6E"/>
    <w:rsid w:val="004C0947"/>
    <w:rsid w:val="004C1DCC"/>
    <w:rsid w:val="004C3271"/>
    <w:rsid w:val="004C425D"/>
    <w:rsid w:val="004C740C"/>
    <w:rsid w:val="004D079F"/>
    <w:rsid w:val="004D13EA"/>
    <w:rsid w:val="004D1BFE"/>
    <w:rsid w:val="004D2B99"/>
    <w:rsid w:val="004D2BF7"/>
    <w:rsid w:val="004D319B"/>
    <w:rsid w:val="004D3309"/>
    <w:rsid w:val="004D42FE"/>
    <w:rsid w:val="004D49CE"/>
    <w:rsid w:val="004D4FC9"/>
    <w:rsid w:val="004D547F"/>
    <w:rsid w:val="004D6EE6"/>
    <w:rsid w:val="004E2625"/>
    <w:rsid w:val="004E2DC2"/>
    <w:rsid w:val="004E3590"/>
    <w:rsid w:val="004E38E3"/>
    <w:rsid w:val="004E3A9C"/>
    <w:rsid w:val="004E42F1"/>
    <w:rsid w:val="004E43C9"/>
    <w:rsid w:val="004E4ED0"/>
    <w:rsid w:val="004E5205"/>
    <w:rsid w:val="004E59DC"/>
    <w:rsid w:val="004E70CB"/>
    <w:rsid w:val="004E7CC9"/>
    <w:rsid w:val="004F1C0A"/>
    <w:rsid w:val="004F22ED"/>
    <w:rsid w:val="004F2CF1"/>
    <w:rsid w:val="004F40BF"/>
    <w:rsid w:val="004F46D0"/>
    <w:rsid w:val="004F4FBE"/>
    <w:rsid w:val="004F5F66"/>
    <w:rsid w:val="00501916"/>
    <w:rsid w:val="00501AC0"/>
    <w:rsid w:val="005031E8"/>
    <w:rsid w:val="00505801"/>
    <w:rsid w:val="005060D5"/>
    <w:rsid w:val="005107C2"/>
    <w:rsid w:val="00511B91"/>
    <w:rsid w:val="005121D5"/>
    <w:rsid w:val="00512D0C"/>
    <w:rsid w:val="00513CB4"/>
    <w:rsid w:val="00516D0D"/>
    <w:rsid w:val="005172D1"/>
    <w:rsid w:val="00522F8F"/>
    <w:rsid w:val="005236E5"/>
    <w:rsid w:val="0052471D"/>
    <w:rsid w:val="00525B3E"/>
    <w:rsid w:val="00526145"/>
    <w:rsid w:val="00526592"/>
    <w:rsid w:val="00526C44"/>
    <w:rsid w:val="005316C9"/>
    <w:rsid w:val="005340F5"/>
    <w:rsid w:val="0053437C"/>
    <w:rsid w:val="00534D46"/>
    <w:rsid w:val="005358A6"/>
    <w:rsid w:val="00535B2C"/>
    <w:rsid w:val="00536CF6"/>
    <w:rsid w:val="00540274"/>
    <w:rsid w:val="00541347"/>
    <w:rsid w:val="00541F04"/>
    <w:rsid w:val="0054250A"/>
    <w:rsid w:val="00544D50"/>
    <w:rsid w:val="00546B6E"/>
    <w:rsid w:val="005477A6"/>
    <w:rsid w:val="00551798"/>
    <w:rsid w:val="00552B04"/>
    <w:rsid w:val="00553E56"/>
    <w:rsid w:val="00554619"/>
    <w:rsid w:val="005554A4"/>
    <w:rsid w:val="005559C9"/>
    <w:rsid w:val="00555BC8"/>
    <w:rsid w:val="005600A5"/>
    <w:rsid w:val="00561806"/>
    <w:rsid w:val="00563321"/>
    <w:rsid w:val="00563436"/>
    <w:rsid w:val="00564DD3"/>
    <w:rsid w:val="00565BA7"/>
    <w:rsid w:val="00566021"/>
    <w:rsid w:val="00566E9B"/>
    <w:rsid w:val="005713BB"/>
    <w:rsid w:val="00572784"/>
    <w:rsid w:val="005729F5"/>
    <w:rsid w:val="00572C7A"/>
    <w:rsid w:val="005735ED"/>
    <w:rsid w:val="005744E7"/>
    <w:rsid w:val="005751F3"/>
    <w:rsid w:val="00575E29"/>
    <w:rsid w:val="00575F4D"/>
    <w:rsid w:val="00577952"/>
    <w:rsid w:val="005808DA"/>
    <w:rsid w:val="00581FBC"/>
    <w:rsid w:val="00582354"/>
    <w:rsid w:val="005837A6"/>
    <w:rsid w:val="005848C7"/>
    <w:rsid w:val="00586503"/>
    <w:rsid w:val="00586DDF"/>
    <w:rsid w:val="005870D5"/>
    <w:rsid w:val="00587441"/>
    <w:rsid w:val="00590F2F"/>
    <w:rsid w:val="00590F8D"/>
    <w:rsid w:val="00591750"/>
    <w:rsid w:val="00591BA4"/>
    <w:rsid w:val="00592C65"/>
    <w:rsid w:val="005938F0"/>
    <w:rsid w:val="005940FD"/>
    <w:rsid w:val="00594ECA"/>
    <w:rsid w:val="0059650A"/>
    <w:rsid w:val="00596772"/>
    <w:rsid w:val="00597A01"/>
    <w:rsid w:val="005A0ECD"/>
    <w:rsid w:val="005A10C4"/>
    <w:rsid w:val="005A1B44"/>
    <w:rsid w:val="005A2614"/>
    <w:rsid w:val="005A2AC1"/>
    <w:rsid w:val="005A3B23"/>
    <w:rsid w:val="005A4864"/>
    <w:rsid w:val="005A4BF5"/>
    <w:rsid w:val="005A6D2D"/>
    <w:rsid w:val="005A7044"/>
    <w:rsid w:val="005A79E1"/>
    <w:rsid w:val="005A7F96"/>
    <w:rsid w:val="005B0DE6"/>
    <w:rsid w:val="005B1388"/>
    <w:rsid w:val="005B28AC"/>
    <w:rsid w:val="005B3017"/>
    <w:rsid w:val="005B3604"/>
    <w:rsid w:val="005B3F4F"/>
    <w:rsid w:val="005B57D5"/>
    <w:rsid w:val="005B7678"/>
    <w:rsid w:val="005B793B"/>
    <w:rsid w:val="005C20AC"/>
    <w:rsid w:val="005C28C6"/>
    <w:rsid w:val="005C3B5D"/>
    <w:rsid w:val="005C4085"/>
    <w:rsid w:val="005C41A4"/>
    <w:rsid w:val="005C4640"/>
    <w:rsid w:val="005C4939"/>
    <w:rsid w:val="005C4B5B"/>
    <w:rsid w:val="005C5709"/>
    <w:rsid w:val="005C6625"/>
    <w:rsid w:val="005C6818"/>
    <w:rsid w:val="005C6A66"/>
    <w:rsid w:val="005C6ADC"/>
    <w:rsid w:val="005C6F43"/>
    <w:rsid w:val="005C775B"/>
    <w:rsid w:val="005D05B1"/>
    <w:rsid w:val="005D1CAF"/>
    <w:rsid w:val="005D2987"/>
    <w:rsid w:val="005D2C81"/>
    <w:rsid w:val="005D315F"/>
    <w:rsid w:val="005D378E"/>
    <w:rsid w:val="005D3817"/>
    <w:rsid w:val="005D4A18"/>
    <w:rsid w:val="005D4A40"/>
    <w:rsid w:val="005D5609"/>
    <w:rsid w:val="005D61F4"/>
    <w:rsid w:val="005D67F6"/>
    <w:rsid w:val="005D7453"/>
    <w:rsid w:val="005D7900"/>
    <w:rsid w:val="005E0882"/>
    <w:rsid w:val="005E15DC"/>
    <w:rsid w:val="005E2903"/>
    <w:rsid w:val="005F22A2"/>
    <w:rsid w:val="005F23AA"/>
    <w:rsid w:val="005F3A0D"/>
    <w:rsid w:val="005F4EEA"/>
    <w:rsid w:val="005F6683"/>
    <w:rsid w:val="005F6E5A"/>
    <w:rsid w:val="005F7CD2"/>
    <w:rsid w:val="005F7D06"/>
    <w:rsid w:val="00603101"/>
    <w:rsid w:val="00603C63"/>
    <w:rsid w:val="0060691F"/>
    <w:rsid w:val="00606B64"/>
    <w:rsid w:val="00607794"/>
    <w:rsid w:val="0060791D"/>
    <w:rsid w:val="00607E84"/>
    <w:rsid w:val="00610CB9"/>
    <w:rsid w:val="00611A09"/>
    <w:rsid w:val="006139AF"/>
    <w:rsid w:val="00613B2D"/>
    <w:rsid w:val="00614A4E"/>
    <w:rsid w:val="00614EE3"/>
    <w:rsid w:val="006156FB"/>
    <w:rsid w:val="00615CD4"/>
    <w:rsid w:val="00617140"/>
    <w:rsid w:val="006173DB"/>
    <w:rsid w:val="006178C8"/>
    <w:rsid w:val="00617DD3"/>
    <w:rsid w:val="00620FE9"/>
    <w:rsid w:val="00622CDC"/>
    <w:rsid w:val="00624D1C"/>
    <w:rsid w:val="0062520B"/>
    <w:rsid w:val="00625653"/>
    <w:rsid w:val="00625E34"/>
    <w:rsid w:val="006276FB"/>
    <w:rsid w:val="00627BD1"/>
    <w:rsid w:val="00632352"/>
    <w:rsid w:val="00632E2F"/>
    <w:rsid w:val="00633309"/>
    <w:rsid w:val="00633434"/>
    <w:rsid w:val="00633EAE"/>
    <w:rsid w:val="00634539"/>
    <w:rsid w:val="00635059"/>
    <w:rsid w:val="0063594D"/>
    <w:rsid w:val="00635FDA"/>
    <w:rsid w:val="006361D2"/>
    <w:rsid w:val="0063732D"/>
    <w:rsid w:val="00640D66"/>
    <w:rsid w:val="00641CEE"/>
    <w:rsid w:val="00641FF3"/>
    <w:rsid w:val="0064324D"/>
    <w:rsid w:val="006436AF"/>
    <w:rsid w:val="00643A5A"/>
    <w:rsid w:val="00643BC9"/>
    <w:rsid w:val="00644F30"/>
    <w:rsid w:val="006464B7"/>
    <w:rsid w:val="0064750B"/>
    <w:rsid w:val="00650643"/>
    <w:rsid w:val="0065234C"/>
    <w:rsid w:val="00652DC6"/>
    <w:rsid w:val="006539EA"/>
    <w:rsid w:val="00653C5E"/>
    <w:rsid w:val="0065512C"/>
    <w:rsid w:val="006552CE"/>
    <w:rsid w:val="006568F3"/>
    <w:rsid w:val="006570E0"/>
    <w:rsid w:val="00661206"/>
    <w:rsid w:val="00661236"/>
    <w:rsid w:val="006620CB"/>
    <w:rsid w:val="006630ED"/>
    <w:rsid w:val="00663F5C"/>
    <w:rsid w:val="00664D09"/>
    <w:rsid w:val="00664F09"/>
    <w:rsid w:val="00670BC8"/>
    <w:rsid w:val="00670E79"/>
    <w:rsid w:val="00671969"/>
    <w:rsid w:val="006725E4"/>
    <w:rsid w:val="006725E8"/>
    <w:rsid w:val="00672CED"/>
    <w:rsid w:val="006743CE"/>
    <w:rsid w:val="0067464A"/>
    <w:rsid w:val="006756D7"/>
    <w:rsid w:val="006758A0"/>
    <w:rsid w:val="00675C1B"/>
    <w:rsid w:val="006766DF"/>
    <w:rsid w:val="00680F60"/>
    <w:rsid w:val="006819F9"/>
    <w:rsid w:val="00683B03"/>
    <w:rsid w:val="00685905"/>
    <w:rsid w:val="0068776E"/>
    <w:rsid w:val="00690ADE"/>
    <w:rsid w:val="006912C8"/>
    <w:rsid w:val="00691710"/>
    <w:rsid w:val="00692697"/>
    <w:rsid w:val="00694472"/>
    <w:rsid w:val="006968FF"/>
    <w:rsid w:val="006977F2"/>
    <w:rsid w:val="006978B8"/>
    <w:rsid w:val="006979A9"/>
    <w:rsid w:val="006A02DF"/>
    <w:rsid w:val="006A1643"/>
    <w:rsid w:val="006A2EF9"/>
    <w:rsid w:val="006A3553"/>
    <w:rsid w:val="006A3893"/>
    <w:rsid w:val="006A3C8F"/>
    <w:rsid w:val="006A45B4"/>
    <w:rsid w:val="006A479A"/>
    <w:rsid w:val="006A4C1D"/>
    <w:rsid w:val="006A6C71"/>
    <w:rsid w:val="006A72ED"/>
    <w:rsid w:val="006A7DC3"/>
    <w:rsid w:val="006B1833"/>
    <w:rsid w:val="006B2047"/>
    <w:rsid w:val="006B25A4"/>
    <w:rsid w:val="006B40A0"/>
    <w:rsid w:val="006B4FD1"/>
    <w:rsid w:val="006B65F2"/>
    <w:rsid w:val="006B68F0"/>
    <w:rsid w:val="006C01CF"/>
    <w:rsid w:val="006C1638"/>
    <w:rsid w:val="006C247B"/>
    <w:rsid w:val="006C2740"/>
    <w:rsid w:val="006C38F5"/>
    <w:rsid w:val="006C3CB1"/>
    <w:rsid w:val="006C3D2E"/>
    <w:rsid w:val="006C4CB1"/>
    <w:rsid w:val="006C5638"/>
    <w:rsid w:val="006C7812"/>
    <w:rsid w:val="006D0336"/>
    <w:rsid w:val="006D0D3A"/>
    <w:rsid w:val="006D3350"/>
    <w:rsid w:val="006D386C"/>
    <w:rsid w:val="006D3957"/>
    <w:rsid w:val="006D4119"/>
    <w:rsid w:val="006D4DA7"/>
    <w:rsid w:val="006D7EDF"/>
    <w:rsid w:val="006E074E"/>
    <w:rsid w:val="006E1B61"/>
    <w:rsid w:val="006E239F"/>
    <w:rsid w:val="006E31E8"/>
    <w:rsid w:val="006E32DA"/>
    <w:rsid w:val="006E395E"/>
    <w:rsid w:val="006E3DCD"/>
    <w:rsid w:val="006E4590"/>
    <w:rsid w:val="006E66A2"/>
    <w:rsid w:val="006E6A84"/>
    <w:rsid w:val="006E6F09"/>
    <w:rsid w:val="006E7A84"/>
    <w:rsid w:val="006E7BD6"/>
    <w:rsid w:val="006F0BF7"/>
    <w:rsid w:val="006F1EE7"/>
    <w:rsid w:val="006F4056"/>
    <w:rsid w:val="006F497D"/>
    <w:rsid w:val="006F499F"/>
    <w:rsid w:val="006F5775"/>
    <w:rsid w:val="006F69C2"/>
    <w:rsid w:val="006F75BA"/>
    <w:rsid w:val="0070054D"/>
    <w:rsid w:val="00701BE8"/>
    <w:rsid w:val="00703C19"/>
    <w:rsid w:val="00703F49"/>
    <w:rsid w:val="007063C1"/>
    <w:rsid w:val="00706526"/>
    <w:rsid w:val="00707BF9"/>
    <w:rsid w:val="007113F0"/>
    <w:rsid w:val="00711B8F"/>
    <w:rsid w:val="00711DE2"/>
    <w:rsid w:val="00712ED5"/>
    <w:rsid w:val="007153F1"/>
    <w:rsid w:val="00715E65"/>
    <w:rsid w:val="00716645"/>
    <w:rsid w:val="00717783"/>
    <w:rsid w:val="007179D6"/>
    <w:rsid w:val="00717B54"/>
    <w:rsid w:val="007209D4"/>
    <w:rsid w:val="00721AE5"/>
    <w:rsid w:val="007221BD"/>
    <w:rsid w:val="00722B4F"/>
    <w:rsid w:val="00722F9D"/>
    <w:rsid w:val="007266E9"/>
    <w:rsid w:val="007278E0"/>
    <w:rsid w:val="00730758"/>
    <w:rsid w:val="00730F9A"/>
    <w:rsid w:val="007310A0"/>
    <w:rsid w:val="00731B81"/>
    <w:rsid w:val="007323C3"/>
    <w:rsid w:val="00732690"/>
    <w:rsid w:val="0073382D"/>
    <w:rsid w:val="00733A63"/>
    <w:rsid w:val="007347EB"/>
    <w:rsid w:val="00734CC8"/>
    <w:rsid w:val="00734F8D"/>
    <w:rsid w:val="00735A82"/>
    <w:rsid w:val="00736B54"/>
    <w:rsid w:val="0073720F"/>
    <w:rsid w:val="00737265"/>
    <w:rsid w:val="0073754B"/>
    <w:rsid w:val="00740CA7"/>
    <w:rsid w:val="00742455"/>
    <w:rsid w:val="0074329F"/>
    <w:rsid w:val="007466EB"/>
    <w:rsid w:val="00746B6C"/>
    <w:rsid w:val="00747858"/>
    <w:rsid w:val="00747AD0"/>
    <w:rsid w:val="00750C1C"/>
    <w:rsid w:val="00751152"/>
    <w:rsid w:val="0075166E"/>
    <w:rsid w:val="00752AB2"/>
    <w:rsid w:val="00757DB4"/>
    <w:rsid w:val="00760630"/>
    <w:rsid w:val="00760945"/>
    <w:rsid w:val="007611D3"/>
    <w:rsid w:val="00761564"/>
    <w:rsid w:val="00765CD2"/>
    <w:rsid w:val="00766BE3"/>
    <w:rsid w:val="0077113D"/>
    <w:rsid w:val="0077354C"/>
    <w:rsid w:val="00774319"/>
    <w:rsid w:val="00774AAF"/>
    <w:rsid w:val="007768F0"/>
    <w:rsid w:val="00776CAE"/>
    <w:rsid w:val="007773E4"/>
    <w:rsid w:val="00777613"/>
    <w:rsid w:val="00780D6E"/>
    <w:rsid w:val="00781413"/>
    <w:rsid w:val="007817B5"/>
    <w:rsid w:val="00781BEF"/>
    <w:rsid w:val="00782E36"/>
    <w:rsid w:val="00783AE2"/>
    <w:rsid w:val="00784795"/>
    <w:rsid w:val="007852AF"/>
    <w:rsid w:val="00787AD4"/>
    <w:rsid w:val="00790054"/>
    <w:rsid w:val="00792D51"/>
    <w:rsid w:val="00793A5E"/>
    <w:rsid w:val="0079609A"/>
    <w:rsid w:val="007960F5"/>
    <w:rsid w:val="007964EB"/>
    <w:rsid w:val="0079735E"/>
    <w:rsid w:val="007A065A"/>
    <w:rsid w:val="007A1D10"/>
    <w:rsid w:val="007A47D1"/>
    <w:rsid w:val="007A51F1"/>
    <w:rsid w:val="007A55A5"/>
    <w:rsid w:val="007A5769"/>
    <w:rsid w:val="007A64B9"/>
    <w:rsid w:val="007A781E"/>
    <w:rsid w:val="007B04AC"/>
    <w:rsid w:val="007B1D4D"/>
    <w:rsid w:val="007B200E"/>
    <w:rsid w:val="007B2186"/>
    <w:rsid w:val="007B2983"/>
    <w:rsid w:val="007B38C1"/>
    <w:rsid w:val="007B3914"/>
    <w:rsid w:val="007B4F58"/>
    <w:rsid w:val="007B7CD9"/>
    <w:rsid w:val="007C31D1"/>
    <w:rsid w:val="007C3DF6"/>
    <w:rsid w:val="007C5A61"/>
    <w:rsid w:val="007C6527"/>
    <w:rsid w:val="007C6831"/>
    <w:rsid w:val="007C6C6A"/>
    <w:rsid w:val="007C6F21"/>
    <w:rsid w:val="007C700E"/>
    <w:rsid w:val="007C7503"/>
    <w:rsid w:val="007C7E6C"/>
    <w:rsid w:val="007D098F"/>
    <w:rsid w:val="007D12AF"/>
    <w:rsid w:val="007D1F94"/>
    <w:rsid w:val="007D3BF4"/>
    <w:rsid w:val="007D4D38"/>
    <w:rsid w:val="007D53D6"/>
    <w:rsid w:val="007D750C"/>
    <w:rsid w:val="007E0EB1"/>
    <w:rsid w:val="007E0EE6"/>
    <w:rsid w:val="007E1532"/>
    <w:rsid w:val="007E1F62"/>
    <w:rsid w:val="007E2610"/>
    <w:rsid w:val="007E2ED1"/>
    <w:rsid w:val="007E3F20"/>
    <w:rsid w:val="007E531B"/>
    <w:rsid w:val="007E54FC"/>
    <w:rsid w:val="007E6EA4"/>
    <w:rsid w:val="007E71F1"/>
    <w:rsid w:val="007E74CC"/>
    <w:rsid w:val="007F03BE"/>
    <w:rsid w:val="007F0801"/>
    <w:rsid w:val="007F08BF"/>
    <w:rsid w:val="007F13F6"/>
    <w:rsid w:val="007F1BD9"/>
    <w:rsid w:val="007F1E4E"/>
    <w:rsid w:val="007F3647"/>
    <w:rsid w:val="007F40E7"/>
    <w:rsid w:val="007F57EF"/>
    <w:rsid w:val="00800FF7"/>
    <w:rsid w:val="008015AC"/>
    <w:rsid w:val="008015B5"/>
    <w:rsid w:val="008016D8"/>
    <w:rsid w:val="00802ABC"/>
    <w:rsid w:val="00804853"/>
    <w:rsid w:val="00804C01"/>
    <w:rsid w:val="0080543E"/>
    <w:rsid w:val="008069A3"/>
    <w:rsid w:val="00807AF0"/>
    <w:rsid w:val="00813A95"/>
    <w:rsid w:val="00815610"/>
    <w:rsid w:val="00816DD0"/>
    <w:rsid w:val="0081798D"/>
    <w:rsid w:val="00817FAC"/>
    <w:rsid w:val="0082055F"/>
    <w:rsid w:val="00820829"/>
    <w:rsid w:val="00820857"/>
    <w:rsid w:val="00821358"/>
    <w:rsid w:val="0082151F"/>
    <w:rsid w:val="00821DCB"/>
    <w:rsid w:val="00822EC2"/>
    <w:rsid w:val="0082342A"/>
    <w:rsid w:val="008249EB"/>
    <w:rsid w:val="0082631C"/>
    <w:rsid w:val="0083010A"/>
    <w:rsid w:val="00831001"/>
    <w:rsid w:val="00831EB8"/>
    <w:rsid w:val="00832E54"/>
    <w:rsid w:val="0083478F"/>
    <w:rsid w:val="008352F1"/>
    <w:rsid w:val="00835DB6"/>
    <w:rsid w:val="00835FE1"/>
    <w:rsid w:val="00836187"/>
    <w:rsid w:val="008376B8"/>
    <w:rsid w:val="00840904"/>
    <w:rsid w:val="00840FC6"/>
    <w:rsid w:val="008414D6"/>
    <w:rsid w:val="008420D7"/>
    <w:rsid w:val="00842D31"/>
    <w:rsid w:val="008439EA"/>
    <w:rsid w:val="00844825"/>
    <w:rsid w:val="008456D3"/>
    <w:rsid w:val="00846E26"/>
    <w:rsid w:val="00847995"/>
    <w:rsid w:val="00847F3D"/>
    <w:rsid w:val="0085168D"/>
    <w:rsid w:val="008521A3"/>
    <w:rsid w:val="0085264B"/>
    <w:rsid w:val="00853580"/>
    <w:rsid w:val="0085543F"/>
    <w:rsid w:val="008557BD"/>
    <w:rsid w:val="00856DB0"/>
    <w:rsid w:val="00857039"/>
    <w:rsid w:val="008575B5"/>
    <w:rsid w:val="00857C38"/>
    <w:rsid w:val="0086237E"/>
    <w:rsid w:val="0086376E"/>
    <w:rsid w:val="008651F0"/>
    <w:rsid w:val="008654C8"/>
    <w:rsid w:val="0086665D"/>
    <w:rsid w:val="0087285C"/>
    <w:rsid w:val="00874E4F"/>
    <w:rsid w:val="00876737"/>
    <w:rsid w:val="008774FE"/>
    <w:rsid w:val="00877904"/>
    <w:rsid w:val="00882993"/>
    <w:rsid w:val="00883511"/>
    <w:rsid w:val="00884C17"/>
    <w:rsid w:val="008853FF"/>
    <w:rsid w:val="008861E2"/>
    <w:rsid w:val="00886392"/>
    <w:rsid w:val="00886629"/>
    <w:rsid w:val="0088753A"/>
    <w:rsid w:val="00887B99"/>
    <w:rsid w:val="00887DDB"/>
    <w:rsid w:val="008923B8"/>
    <w:rsid w:val="00893C9C"/>
    <w:rsid w:val="00895F34"/>
    <w:rsid w:val="00895F38"/>
    <w:rsid w:val="008A069A"/>
    <w:rsid w:val="008A1269"/>
    <w:rsid w:val="008A2B48"/>
    <w:rsid w:val="008A2E6D"/>
    <w:rsid w:val="008A318B"/>
    <w:rsid w:val="008A4286"/>
    <w:rsid w:val="008A53C7"/>
    <w:rsid w:val="008A5C45"/>
    <w:rsid w:val="008A613F"/>
    <w:rsid w:val="008A64BD"/>
    <w:rsid w:val="008A6511"/>
    <w:rsid w:val="008A7466"/>
    <w:rsid w:val="008B0709"/>
    <w:rsid w:val="008B08A7"/>
    <w:rsid w:val="008B141B"/>
    <w:rsid w:val="008B1A7C"/>
    <w:rsid w:val="008B1F07"/>
    <w:rsid w:val="008B2510"/>
    <w:rsid w:val="008B3D4C"/>
    <w:rsid w:val="008B62C4"/>
    <w:rsid w:val="008B6440"/>
    <w:rsid w:val="008B72A3"/>
    <w:rsid w:val="008C1AF0"/>
    <w:rsid w:val="008C1B72"/>
    <w:rsid w:val="008C1DCB"/>
    <w:rsid w:val="008C2643"/>
    <w:rsid w:val="008C352E"/>
    <w:rsid w:val="008C4AF7"/>
    <w:rsid w:val="008C5285"/>
    <w:rsid w:val="008C54F4"/>
    <w:rsid w:val="008C6393"/>
    <w:rsid w:val="008C7D84"/>
    <w:rsid w:val="008D419F"/>
    <w:rsid w:val="008D448C"/>
    <w:rsid w:val="008D492F"/>
    <w:rsid w:val="008D4E13"/>
    <w:rsid w:val="008D539B"/>
    <w:rsid w:val="008D6158"/>
    <w:rsid w:val="008D66DC"/>
    <w:rsid w:val="008E2601"/>
    <w:rsid w:val="008E41D5"/>
    <w:rsid w:val="008E4628"/>
    <w:rsid w:val="008E4886"/>
    <w:rsid w:val="008E512C"/>
    <w:rsid w:val="008E5C04"/>
    <w:rsid w:val="008E70C7"/>
    <w:rsid w:val="008E71FA"/>
    <w:rsid w:val="008E75A8"/>
    <w:rsid w:val="008E7FA7"/>
    <w:rsid w:val="008F1539"/>
    <w:rsid w:val="008F1979"/>
    <w:rsid w:val="008F1FE5"/>
    <w:rsid w:val="008F2869"/>
    <w:rsid w:val="008F3756"/>
    <w:rsid w:val="008F3881"/>
    <w:rsid w:val="008F6809"/>
    <w:rsid w:val="008F7245"/>
    <w:rsid w:val="008F770F"/>
    <w:rsid w:val="0090189A"/>
    <w:rsid w:val="00902045"/>
    <w:rsid w:val="00902F3B"/>
    <w:rsid w:val="0090325A"/>
    <w:rsid w:val="0090466E"/>
    <w:rsid w:val="00904E2D"/>
    <w:rsid w:val="00905C1D"/>
    <w:rsid w:val="00906823"/>
    <w:rsid w:val="009141C6"/>
    <w:rsid w:val="00914234"/>
    <w:rsid w:val="00914751"/>
    <w:rsid w:val="009153F2"/>
    <w:rsid w:val="009154AA"/>
    <w:rsid w:val="00915ECD"/>
    <w:rsid w:val="009166C8"/>
    <w:rsid w:val="009172B7"/>
    <w:rsid w:val="00917650"/>
    <w:rsid w:val="00917BA0"/>
    <w:rsid w:val="00917CFE"/>
    <w:rsid w:val="00920186"/>
    <w:rsid w:val="009210B3"/>
    <w:rsid w:val="0092148F"/>
    <w:rsid w:val="00921AAC"/>
    <w:rsid w:val="00921E94"/>
    <w:rsid w:val="00922661"/>
    <w:rsid w:val="00922766"/>
    <w:rsid w:val="00923F25"/>
    <w:rsid w:val="009257ED"/>
    <w:rsid w:val="0092701A"/>
    <w:rsid w:val="00930B0A"/>
    <w:rsid w:val="00930B21"/>
    <w:rsid w:val="00931622"/>
    <w:rsid w:val="0093254D"/>
    <w:rsid w:val="009330D5"/>
    <w:rsid w:val="00933B5A"/>
    <w:rsid w:val="00935936"/>
    <w:rsid w:val="00937688"/>
    <w:rsid w:val="00937F13"/>
    <w:rsid w:val="00940112"/>
    <w:rsid w:val="009410C5"/>
    <w:rsid w:val="009416E5"/>
    <w:rsid w:val="00941AE5"/>
    <w:rsid w:val="009420D4"/>
    <w:rsid w:val="00942319"/>
    <w:rsid w:val="0094568F"/>
    <w:rsid w:val="00946EFF"/>
    <w:rsid w:val="00947FFC"/>
    <w:rsid w:val="0095158F"/>
    <w:rsid w:val="0095254C"/>
    <w:rsid w:val="00953AA6"/>
    <w:rsid w:val="00953D0D"/>
    <w:rsid w:val="00954786"/>
    <w:rsid w:val="00954DDD"/>
    <w:rsid w:val="00956CAC"/>
    <w:rsid w:val="00960AEB"/>
    <w:rsid w:val="00961381"/>
    <w:rsid w:val="0096204E"/>
    <w:rsid w:val="009629BF"/>
    <w:rsid w:val="00962A20"/>
    <w:rsid w:val="0096348A"/>
    <w:rsid w:val="009639A9"/>
    <w:rsid w:val="00965BA7"/>
    <w:rsid w:val="00966CD4"/>
    <w:rsid w:val="009672A1"/>
    <w:rsid w:val="00970214"/>
    <w:rsid w:val="0097069B"/>
    <w:rsid w:val="00970B4E"/>
    <w:rsid w:val="009713B6"/>
    <w:rsid w:val="00971747"/>
    <w:rsid w:val="0097174A"/>
    <w:rsid w:val="009722E8"/>
    <w:rsid w:val="0097287D"/>
    <w:rsid w:val="00972D21"/>
    <w:rsid w:val="00972E6D"/>
    <w:rsid w:val="00974957"/>
    <w:rsid w:val="00974D54"/>
    <w:rsid w:val="009753C1"/>
    <w:rsid w:val="009777BF"/>
    <w:rsid w:val="009779EC"/>
    <w:rsid w:val="00977B56"/>
    <w:rsid w:val="009815BD"/>
    <w:rsid w:val="0098249B"/>
    <w:rsid w:val="009826CC"/>
    <w:rsid w:val="00984053"/>
    <w:rsid w:val="009843DA"/>
    <w:rsid w:val="009847EF"/>
    <w:rsid w:val="0098612F"/>
    <w:rsid w:val="00987DE1"/>
    <w:rsid w:val="0099021B"/>
    <w:rsid w:val="00990310"/>
    <w:rsid w:val="00991712"/>
    <w:rsid w:val="00991907"/>
    <w:rsid w:val="0099205D"/>
    <w:rsid w:val="00992BEC"/>
    <w:rsid w:val="00993087"/>
    <w:rsid w:val="00993129"/>
    <w:rsid w:val="00993362"/>
    <w:rsid w:val="00993F64"/>
    <w:rsid w:val="0099589F"/>
    <w:rsid w:val="00996610"/>
    <w:rsid w:val="00996A74"/>
    <w:rsid w:val="00997A36"/>
    <w:rsid w:val="009A0DD2"/>
    <w:rsid w:val="009A1871"/>
    <w:rsid w:val="009A33AF"/>
    <w:rsid w:val="009A5991"/>
    <w:rsid w:val="009A6608"/>
    <w:rsid w:val="009B0A05"/>
    <w:rsid w:val="009B12C7"/>
    <w:rsid w:val="009B1FEB"/>
    <w:rsid w:val="009B2751"/>
    <w:rsid w:val="009B3086"/>
    <w:rsid w:val="009B4C3D"/>
    <w:rsid w:val="009B5524"/>
    <w:rsid w:val="009B61A5"/>
    <w:rsid w:val="009B6C2D"/>
    <w:rsid w:val="009C0F3C"/>
    <w:rsid w:val="009C19F3"/>
    <w:rsid w:val="009C2620"/>
    <w:rsid w:val="009C2FE6"/>
    <w:rsid w:val="009C3014"/>
    <w:rsid w:val="009C4F95"/>
    <w:rsid w:val="009C5880"/>
    <w:rsid w:val="009C7A5E"/>
    <w:rsid w:val="009C7DB9"/>
    <w:rsid w:val="009D02EE"/>
    <w:rsid w:val="009D0B7B"/>
    <w:rsid w:val="009D185F"/>
    <w:rsid w:val="009D2F3E"/>
    <w:rsid w:val="009D4AD8"/>
    <w:rsid w:val="009D50B2"/>
    <w:rsid w:val="009D642C"/>
    <w:rsid w:val="009E1A3D"/>
    <w:rsid w:val="009E1EDB"/>
    <w:rsid w:val="009E2203"/>
    <w:rsid w:val="009E25FE"/>
    <w:rsid w:val="009E2753"/>
    <w:rsid w:val="009E5649"/>
    <w:rsid w:val="009E593A"/>
    <w:rsid w:val="009E63EC"/>
    <w:rsid w:val="009E64CD"/>
    <w:rsid w:val="009F1952"/>
    <w:rsid w:val="009F228B"/>
    <w:rsid w:val="009F266B"/>
    <w:rsid w:val="009F3890"/>
    <w:rsid w:val="009F6E7C"/>
    <w:rsid w:val="009F708E"/>
    <w:rsid w:val="00A00E73"/>
    <w:rsid w:val="00A04C49"/>
    <w:rsid w:val="00A06B51"/>
    <w:rsid w:val="00A0720A"/>
    <w:rsid w:val="00A10B5E"/>
    <w:rsid w:val="00A10B6E"/>
    <w:rsid w:val="00A1132E"/>
    <w:rsid w:val="00A126A3"/>
    <w:rsid w:val="00A12A5A"/>
    <w:rsid w:val="00A13DDC"/>
    <w:rsid w:val="00A15C5E"/>
    <w:rsid w:val="00A17B26"/>
    <w:rsid w:val="00A21A6D"/>
    <w:rsid w:val="00A21EFA"/>
    <w:rsid w:val="00A22599"/>
    <w:rsid w:val="00A22FE6"/>
    <w:rsid w:val="00A24070"/>
    <w:rsid w:val="00A25661"/>
    <w:rsid w:val="00A25680"/>
    <w:rsid w:val="00A263DA"/>
    <w:rsid w:val="00A2744C"/>
    <w:rsid w:val="00A27A38"/>
    <w:rsid w:val="00A3060B"/>
    <w:rsid w:val="00A30F1A"/>
    <w:rsid w:val="00A32621"/>
    <w:rsid w:val="00A32C7E"/>
    <w:rsid w:val="00A34550"/>
    <w:rsid w:val="00A35F60"/>
    <w:rsid w:val="00A36B47"/>
    <w:rsid w:val="00A37C40"/>
    <w:rsid w:val="00A40211"/>
    <w:rsid w:val="00A40FDF"/>
    <w:rsid w:val="00A411DE"/>
    <w:rsid w:val="00A41598"/>
    <w:rsid w:val="00A430F0"/>
    <w:rsid w:val="00A43E12"/>
    <w:rsid w:val="00A44D4F"/>
    <w:rsid w:val="00A4550C"/>
    <w:rsid w:val="00A47166"/>
    <w:rsid w:val="00A47322"/>
    <w:rsid w:val="00A50C11"/>
    <w:rsid w:val="00A5187D"/>
    <w:rsid w:val="00A523C6"/>
    <w:rsid w:val="00A5317E"/>
    <w:rsid w:val="00A53E9B"/>
    <w:rsid w:val="00A5425B"/>
    <w:rsid w:val="00A5596C"/>
    <w:rsid w:val="00A55B08"/>
    <w:rsid w:val="00A572E5"/>
    <w:rsid w:val="00A57794"/>
    <w:rsid w:val="00A5781B"/>
    <w:rsid w:val="00A6064D"/>
    <w:rsid w:val="00A60C11"/>
    <w:rsid w:val="00A621AF"/>
    <w:rsid w:val="00A62E81"/>
    <w:rsid w:val="00A630DC"/>
    <w:rsid w:val="00A63A46"/>
    <w:rsid w:val="00A63D34"/>
    <w:rsid w:val="00A6443D"/>
    <w:rsid w:val="00A6640C"/>
    <w:rsid w:val="00A66AD6"/>
    <w:rsid w:val="00A672E0"/>
    <w:rsid w:val="00A71C83"/>
    <w:rsid w:val="00A723DD"/>
    <w:rsid w:val="00A724B6"/>
    <w:rsid w:val="00A72F28"/>
    <w:rsid w:val="00A72F54"/>
    <w:rsid w:val="00A732AF"/>
    <w:rsid w:val="00A739B7"/>
    <w:rsid w:val="00A74995"/>
    <w:rsid w:val="00A77204"/>
    <w:rsid w:val="00A77745"/>
    <w:rsid w:val="00A80218"/>
    <w:rsid w:val="00A804BA"/>
    <w:rsid w:val="00A808D8"/>
    <w:rsid w:val="00A83B58"/>
    <w:rsid w:val="00A84954"/>
    <w:rsid w:val="00A84D41"/>
    <w:rsid w:val="00A85229"/>
    <w:rsid w:val="00A87103"/>
    <w:rsid w:val="00A90F56"/>
    <w:rsid w:val="00A91A60"/>
    <w:rsid w:val="00A9370D"/>
    <w:rsid w:val="00A93D42"/>
    <w:rsid w:val="00A9429B"/>
    <w:rsid w:val="00A94D51"/>
    <w:rsid w:val="00A95E92"/>
    <w:rsid w:val="00A974C5"/>
    <w:rsid w:val="00AA29E0"/>
    <w:rsid w:val="00AA3773"/>
    <w:rsid w:val="00AA44C2"/>
    <w:rsid w:val="00AA45EB"/>
    <w:rsid w:val="00AA4CE3"/>
    <w:rsid w:val="00AA63A0"/>
    <w:rsid w:val="00AA7E67"/>
    <w:rsid w:val="00AB05BE"/>
    <w:rsid w:val="00AB2A73"/>
    <w:rsid w:val="00AB316A"/>
    <w:rsid w:val="00AB51B0"/>
    <w:rsid w:val="00AC196C"/>
    <w:rsid w:val="00AC250A"/>
    <w:rsid w:val="00AC2E47"/>
    <w:rsid w:val="00AC3036"/>
    <w:rsid w:val="00AC3116"/>
    <w:rsid w:val="00AC4909"/>
    <w:rsid w:val="00AC5A84"/>
    <w:rsid w:val="00AC71BE"/>
    <w:rsid w:val="00AC74A0"/>
    <w:rsid w:val="00AC769B"/>
    <w:rsid w:val="00AD0042"/>
    <w:rsid w:val="00AD0363"/>
    <w:rsid w:val="00AD0D8B"/>
    <w:rsid w:val="00AD16A9"/>
    <w:rsid w:val="00AD19B5"/>
    <w:rsid w:val="00AD2997"/>
    <w:rsid w:val="00AD38FB"/>
    <w:rsid w:val="00AD3A71"/>
    <w:rsid w:val="00AD43F2"/>
    <w:rsid w:val="00AD4598"/>
    <w:rsid w:val="00AD637E"/>
    <w:rsid w:val="00AD6F89"/>
    <w:rsid w:val="00AE0F4C"/>
    <w:rsid w:val="00AE11EA"/>
    <w:rsid w:val="00AE1596"/>
    <w:rsid w:val="00AE15E7"/>
    <w:rsid w:val="00AE1BC3"/>
    <w:rsid w:val="00AE2037"/>
    <w:rsid w:val="00AE29E7"/>
    <w:rsid w:val="00AE3388"/>
    <w:rsid w:val="00AE4448"/>
    <w:rsid w:val="00AE4D62"/>
    <w:rsid w:val="00AE52B5"/>
    <w:rsid w:val="00AE548D"/>
    <w:rsid w:val="00AF119F"/>
    <w:rsid w:val="00AF20F5"/>
    <w:rsid w:val="00AF292E"/>
    <w:rsid w:val="00AF3991"/>
    <w:rsid w:val="00AF51A0"/>
    <w:rsid w:val="00AF7848"/>
    <w:rsid w:val="00AF7C80"/>
    <w:rsid w:val="00B00016"/>
    <w:rsid w:val="00B00983"/>
    <w:rsid w:val="00B019BD"/>
    <w:rsid w:val="00B03F04"/>
    <w:rsid w:val="00B0594C"/>
    <w:rsid w:val="00B06446"/>
    <w:rsid w:val="00B06507"/>
    <w:rsid w:val="00B06AFC"/>
    <w:rsid w:val="00B0705E"/>
    <w:rsid w:val="00B1119A"/>
    <w:rsid w:val="00B1276D"/>
    <w:rsid w:val="00B127BD"/>
    <w:rsid w:val="00B1438C"/>
    <w:rsid w:val="00B14E71"/>
    <w:rsid w:val="00B15BA6"/>
    <w:rsid w:val="00B172EB"/>
    <w:rsid w:val="00B174D2"/>
    <w:rsid w:val="00B21FCC"/>
    <w:rsid w:val="00B220A3"/>
    <w:rsid w:val="00B23916"/>
    <w:rsid w:val="00B23C11"/>
    <w:rsid w:val="00B23C30"/>
    <w:rsid w:val="00B23E8E"/>
    <w:rsid w:val="00B24010"/>
    <w:rsid w:val="00B24517"/>
    <w:rsid w:val="00B24AAE"/>
    <w:rsid w:val="00B26F78"/>
    <w:rsid w:val="00B32CC6"/>
    <w:rsid w:val="00B32FA1"/>
    <w:rsid w:val="00B3465B"/>
    <w:rsid w:val="00B35E21"/>
    <w:rsid w:val="00B401B9"/>
    <w:rsid w:val="00B41AFE"/>
    <w:rsid w:val="00B42309"/>
    <w:rsid w:val="00B433BC"/>
    <w:rsid w:val="00B43478"/>
    <w:rsid w:val="00B446E0"/>
    <w:rsid w:val="00B46848"/>
    <w:rsid w:val="00B46B0E"/>
    <w:rsid w:val="00B50D13"/>
    <w:rsid w:val="00B516BF"/>
    <w:rsid w:val="00B52DCF"/>
    <w:rsid w:val="00B54459"/>
    <w:rsid w:val="00B550E7"/>
    <w:rsid w:val="00B552A2"/>
    <w:rsid w:val="00B55757"/>
    <w:rsid w:val="00B55846"/>
    <w:rsid w:val="00B56249"/>
    <w:rsid w:val="00B5686C"/>
    <w:rsid w:val="00B56E35"/>
    <w:rsid w:val="00B570C2"/>
    <w:rsid w:val="00B60C42"/>
    <w:rsid w:val="00B61D04"/>
    <w:rsid w:val="00B62331"/>
    <w:rsid w:val="00B6281F"/>
    <w:rsid w:val="00B64F16"/>
    <w:rsid w:val="00B66F2E"/>
    <w:rsid w:val="00B70146"/>
    <w:rsid w:val="00B70615"/>
    <w:rsid w:val="00B715B6"/>
    <w:rsid w:val="00B72362"/>
    <w:rsid w:val="00B72407"/>
    <w:rsid w:val="00B72D11"/>
    <w:rsid w:val="00B73D78"/>
    <w:rsid w:val="00B755B9"/>
    <w:rsid w:val="00B75F05"/>
    <w:rsid w:val="00B77A5E"/>
    <w:rsid w:val="00B80299"/>
    <w:rsid w:val="00B80364"/>
    <w:rsid w:val="00B80A29"/>
    <w:rsid w:val="00B8165F"/>
    <w:rsid w:val="00B820DD"/>
    <w:rsid w:val="00B8367C"/>
    <w:rsid w:val="00B84EA9"/>
    <w:rsid w:val="00B86CA7"/>
    <w:rsid w:val="00B879D7"/>
    <w:rsid w:val="00B879F6"/>
    <w:rsid w:val="00B908F9"/>
    <w:rsid w:val="00B93D4E"/>
    <w:rsid w:val="00B94AAB"/>
    <w:rsid w:val="00B95F26"/>
    <w:rsid w:val="00B978FB"/>
    <w:rsid w:val="00BA0066"/>
    <w:rsid w:val="00BA03E9"/>
    <w:rsid w:val="00BA1F33"/>
    <w:rsid w:val="00BA2666"/>
    <w:rsid w:val="00BA35AC"/>
    <w:rsid w:val="00BA594C"/>
    <w:rsid w:val="00BA5D05"/>
    <w:rsid w:val="00BA5F2A"/>
    <w:rsid w:val="00BB17BD"/>
    <w:rsid w:val="00BB2FF0"/>
    <w:rsid w:val="00BB301F"/>
    <w:rsid w:val="00BB5913"/>
    <w:rsid w:val="00BB5EE1"/>
    <w:rsid w:val="00BB7CD5"/>
    <w:rsid w:val="00BC1685"/>
    <w:rsid w:val="00BC1D0C"/>
    <w:rsid w:val="00BC21F7"/>
    <w:rsid w:val="00BC25DF"/>
    <w:rsid w:val="00BD00A7"/>
    <w:rsid w:val="00BD05A4"/>
    <w:rsid w:val="00BD36B1"/>
    <w:rsid w:val="00BD51CC"/>
    <w:rsid w:val="00BD651A"/>
    <w:rsid w:val="00BD700A"/>
    <w:rsid w:val="00BD739B"/>
    <w:rsid w:val="00BD7D53"/>
    <w:rsid w:val="00BD7E65"/>
    <w:rsid w:val="00BD7F75"/>
    <w:rsid w:val="00BE0048"/>
    <w:rsid w:val="00BE05C4"/>
    <w:rsid w:val="00BE0AA0"/>
    <w:rsid w:val="00BE0D56"/>
    <w:rsid w:val="00BE160D"/>
    <w:rsid w:val="00BE1A9B"/>
    <w:rsid w:val="00BE20ED"/>
    <w:rsid w:val="00BE2F8F"/>
    <w:rsid w:val="00BE40C4"/>
    <w:rsid w:val="00BE445F"/>
    <w:rsid w:val="00BE579D"/>
    <w:rsid w:val="00BE626B"/>
    <w:rsid w:val="00BE70CA"/>
    <w:rsid w:val="00BE725F"/>
    <w:rsid w:val="00BE737A"/>
    <w:rsid w:val="00BE7817"/>
    <w:rsid w:val="00BF0316"/>
    <w:rsid w:val="00BF045F"/>
    <w:rsid w:val="00BF18F4"/>
    <w:rsid w:val="00BF1C99"/>
    <w:rsid w:val="00BF204F"/>
    <w:rsid w:val="00BF2ECB"/>
    <w:rsid w:val="00BF35C5"/>
    <w:rsid w:val="00BF4463"/>
    <w:rsid w:val="00BF5773"/>
    <w:rsid w:val="00BF6DA8"/>
    <w:rsid w:val="00BF7084"/>
    <w:rsid w:val="00C0122B"/>
    <w:rsid w:val="00C01AFD"/>
    <w:rsid w:val="00C02382"/>
    <w:rsid w:val="00C02D80"/>
    <w:rsid w:val="00C04EB8"/>
    <w:rsid w:val="00C04F50"/>
    <w:rsid w:val="00C05B32"/>
    <w:rsid w:val="00C06FFA"/>
    <w:rsid w:val="00C07036"/>
    <w:rsid w:val="00C11733"/>
    <w:rsid w:val="00C1314D"/>
    <w:rsid w:val="00C141BD"/>
    <w:rsid w:val="00C169A4"/>
    <w:rsid w:val="00C16B47"/>
    <w:rsid w:val="00C17DED"/>
    <w:rsid w:val="00C2075C"/>
    <w:rsid w:val="00C22C1E"/>
    <w:rsid w:val="00C22D8F"/>
    <w:rsid w:val="00C23AE7"/>
    <w:rsid w:val="00C241EB"/>
    <w:rsid w:val="00C2445E"/>
    <w:rsid w:val="00C2458A"/>
    <w:rsid w:val="00C245AB"/>
    <w:rsid w:val="00C2492A"/>
    <w:rsid w:val="00C258D8"/>
    <w:rsid w:val="00C26070"/>
    <w:rsid w:val="00C27D01"/>
    <w:rsid w:val="00C27D63"/>
    <w:rsid w:val="00C3191D"/>
    <w:rsid w:val="00C32362"/>
    <w:rsid w:val="00C332CF"/>
    <w:rsid w:val="00C3335E"/>
    <w:rsid w:val="00C33917"/>
    <w:rsid w:val="00C34F6B"/>
    <w:rsid w:val="00C3751B"/>
    <w:rsid w:val="00C37D70"/>
    <w:rsid w:val="00C4036B"/>
    <w:rsid w:val="00C4071F"/>
    <w:rsid w:val="00C40E3D"/>
    <w:rsid w:val="00C42F1D"/>
    <w:rsid w:val="00C42FE0"/>
    <w:rsid w:val="00C44380"/>
    <w:rsid w:val="00C44C5D"/>
    <w:rsid w:val="00C450C4"/>
    <w:rsid w:val="00C457D4"/>
    <w:rsid w:val="00C45B06"/>
    <w:rsid w:val="00C46BAA"/>
    <w:rsid w:val="00C4764D"/>
    <w:rsid w:val="00C501B8"/>
    <w:rsid w:val="00C506C4"/>
    <w:rsid w:val="00C51307"/>
    <w:rsid w:val="00C52C82"/>
    <w:rsid w:val="00C52F37"/>
    <w:rsid w:val="00C535AD"/>
    <w:rsid w:val="00C54EA0"/>
    <w:rsid w:val="00C55942"/>
    <w:rsid w:val="00C56C72"/>
    <w:rsid w:val="00C574BF"/>
    <w:rsid w:val="00C60F3E"/>
    <w:rsid w:val="00C61247"/>
    <w:rsid w:val="00C61B2A"/>
    <w:rsid w:val="00C6328B"/>
    <w:rsid w:val="00C6364E"/>
    <w:rsid w:val="00C63748"/>
    <w:rsid w:val="00C704A7"/>
    <w:rsid w:val="00C70FD9"/>
    <w:rsid w:val="00C710CA"/>
    <w:rsid w:val="00C711DA"/>
    <w:rsid w:val="00C72479"/>
    <w:rsid w:val="00C750C1"/>
    <w:rsid w:val="00C75153"/>
    <w:rsid w:val="00C75B55"/>
    <w:rsid w:val="00C76ABD"/>
    <w:rsid w:val="00C77EB8"/>
    <w:rsid w:val="00C81A50"/>
    <w:rsid w:val="00C81DEC"/>
    <w:rsid w:val="00C81F8A"/>
    <w:rsid w:val="00C82078"/>
    <w:rsid w:val="00C82DD2"/>
    <w:rsid w:val="00C8446B"/>
    <w:rsid w:val="00C85EF6"/>
    <w:rsid w:val="00C871F1"/>
    <w:rsid w:val="00C878A1"/>
    <w:rsid w:val="00C9017A"/>
    <w:rsid w:val="00C9275F"/>
    <w:rsid w:val="00C93960"/>
    <w:rsid w:val="00C97E24"/>
    <w:rsid w:val="00CA16A0"/>
    <w:rsid w:val="00CA2B2A"/>
    <w:rsid w:val="00CA2FD4"/>
    <w:rsid w:val="00CA3278"/>
    <w:rsid w:val="00CA3FA7"/>
    <w:rsid w:val="00CA541B"/>
    <w:rsid w:val="00CA635C"/>
    <w:rsid w:val="00CB0015"/>
    <w:rsid w:val="00CB0C63"/>
    <w:rsid w:val="00CB15DD"/>
    <w:rsid w:val="00CB2750"/>
    <w:rsid w:val="00CB28B4"/>
    <w:rsid w:val="00CB37C0"/>
    <w:rsid w:val="00CB42A4"/>
    <w:rsid w:val="00CB4F71"/>
    <w:rsid w:val="00CB5C09"/>
    <w:rsid w:val="00CB6EA8"/>
    <w:rsid w:val="00CC007C"/>
    <w:rsid w:val="00CC0FCE"/>
    <w:rsid w:val="00CC148C"/>
    <w:rsid w:val="00CC1F33"/>
    <w:rsid w:val="00CC2571"/>
    <w:rsid w:val="00CC3251"/>
    <w:rsid w:val="00CC6628"/>
    <w:rsid w:val="00CC7429"/>
    <w:rsid w:val="00CC74EF"/>
    <w:rsid w:val="00CC7C74"/>
    <w:rsid w:val="00CC7D3D"/>
    <w:rsid w:val="00CD0FDA"/>
    <w:rsid w:val="00CD1AC9"/>
    <w:rsid w:val="00CD219E"/>
    <w:rsid w:val="00CD2A98"/>
    <w:rsid w:val="00CD2ACD"/>
    <w:rsid w:val="00CD2B75"/>
    <w:rsid w:val="00CD30F3"/>
    <w:rsid w:val="00CD4E4A"/>
    <w:rsid w:val="00CD72F0"/>
    <w:rsid w:val="00CD76BE"/>
    <w:rsid w:val="00CD7A72"/>
    <w:rsid w:val="00CE09F6"/>
    <w:rsid w:val="00CE3B2A"/>
    <w:rsid w:val="00CE4119"/>
    <w:rsid w:val="00CE4BA1"/>
    <w:rsid w:val="00CE516B"/>
    <w:rsid w:val="00CE588F"/>
    <w:rsid w:val="00CE7312"/>
    <w:rsid w:val="00CF08B0"/>
    <w:rsid w:val="00CF14FB"/>
    <w:rsid w:val="00CF3848"/>
    <w:rsid w:val="00CF3CE8"/>
    <w:rsid w:val="00CF4705"/>
    <w:rsid w:val="00CF5487"/>
    <w:rsid w:val="00CF5CE6"/>
    <w:rsid w:val="00CF6A02"/>
    <w:rsid w:val="00CF7074"/>
    <w:rsid w:val="00CF7463"/>
    <w:rsid w:val="00CF7B15"/>
    <w:rsid w:val="00D01496"/>
    <w:rsid w:val="00D02258"/>
    <w:rsid w:val="00D02C55"/>
    <w:rsid w:val="00D04427"/>
    <w:rsid w:val="00D05EEF"/>
    <w:rsid w:val="00D06B75"/>
    <w:rsid w:val="00D115E0"/>
    <w:rsid w:val="00D11BD4"/>
    <w:rsid w:val="00D12513"/>
    <w:rsid w:val="00D12604"/>
    <w:rsid w:val="00D12F55"/>
    <w:rsid w:val="00D15A65"/>
    <w:rsid w:val="00D2228B"/>
    <w:rsid w:val="00D2466A"/>
    <w:rsid w:val="00D25B47"/>
    <w:rsid w:val="00D26C91"/>
    <w:rsid w:val="00D26C9A"/>
    <w:rsid w:val="00D27A56"/>
    <w:rsid w:val="00D30816"/>
    <w:rsid w:val="00D3344B"/>
    <w:rsid w:val="00D35106"/>
    <w:rsid w:val="00D3527C"/>
    <w:rsid w:val="00D35EB9"/>
    <w:rsid w:val="00D361F8"/>
    <w:rsid w:val="00D36684"/>
    <w:rsid w:val="00D37BD3"/>
    <w:rsid w:val="00D402B0"/>
    <w:rsid w:val="00D410DF"/>
    <w:rsid w:val="00D413CE"/>
    <w:rsid w:val="00D43EB7"/>
    <w:rsid w:val="00D4433D"/>
    <w:rsid w:val="00D445E7"/>
    <w:rsid w:val="00D44F9F"/>
    <w:rsid w:val="00D464B1"/>
    <w:rsid w:val="00D465CF"/>
    <w:rsid w:val="00D503E9"/>
    <w:rsid w:val="00D50CC3"/>
    <w:rsid w:val="00D519CB"/>
    <w:rsid w:val="00D54AB5"/>
    <w:rsid w:val="00D56850"/>
    <w:rsid w:val="00D57CEA"/>
    <w:rsid w:val="00D62A98"/>
    <w:rsid w:val="00D637C7"/>
    <w:rsid w:val="00D65D56"/>
    <w:rsid w:val="00D66441"/>
    <w:rsid w:val="00D671BC"/>
    <w:rsid w:val="00D71067"/>
    <w:rsid w:val="00D71370"/>
    <w:rsid w:val="00D7174D"/>
    <w:rsid w:val="00D75D34"/>
    <w:rsid w:val="00D7660E"/>
    <w:rsid w:val="00D76FD2"/>
    <w:rsid w:val="00D802F1"/>
    <w:rsid w:val="00D8179F"/>
    <w:rsid w:val="00D8195E"/>
    <w:rsid w:val="00D81C2C"/>
    <w:rsid w:val="00D81CEB"/>
    <w:rsid w:val="00D84DD0"/>
    <w:rsid w:val="00D85406"/>
    <w:rsid w:val="00D85C90"/>
    <w:rsid w:val="00D85D77"/>
    <w:rsid w:val="00D87689"/>
    <w:rsid w:val="00D87A10"/>
    <w:rsid w:val="00D909A0"/>
    <w:rsid w:val="00D914D4"/>
    <w:rsid w:val="00D957D8"/>
    <w:rsid w:val="00D9630A"/>
    <w:rsid w:val="00D9660D"/>
    <w:rsid w:val="00D96A72"/>
    <w:rsid w:val="00D97C40"/>
    <w:rsid w:val="00DA0491"/>
    <w:rsid w:val="00DA213B"/>
    <w:rsid w:val="00DA38CC"/>
    <w:rsid w:val="00DA391B"/>
    <w:rsid w:val="00DA4DFD"/>
    <w:rsid w:val="00DA57DA"/>
    <w:rsid w:val="00DB0553"/>
    <w:rsid w:val="00DB0742"/>
    <w:rsid w:val="00DB16B4"/>
    <w:rsid w:val="00DB1985"/>
    <w:rsid w:val="00DB2336"/>
    <w:rsid w:val="00DB2885"/>
    <w:rsid w:val="00DB3AE8"/>
    <w:rsid w:val="00DB57AB"/>
    <w:rsid w:val="00DB68CD"/>
    <w:rsid w:val="00DC2193"/>
    <w:rsid w:val="00DC223F"/>
    <w:rsid w:val="00DC39DF"/>
    <w:rsid w:val="00DC3EA6"/>
    <w:rsid w:val="00DC4225"/>
    <w:rsid w:val="00DC4353"/>
    <w:rsid w:val="00DC4A69"/>
    <w:rsid w:val="00DC4AFF"/>
    <w:rsid w:val="00DC4C24"/>
    <w:rsid w:val="00DC5C1A"/>
    <w:rsid w:val="00DC6872"/>
    <w:rsid w:val="00DC6B52"/>
    <w:rsid w:val="00DC7265"/>
    <w:rsid w:val="00DC7D12"/>
    <w:rsid w:val="00DD153B"/>
    <w:rsid w:val="00DD4665"/>
    <w:rsid w:val="00DD485C"/>
    <w:rsid w:val="00DD635C"/>
    <w:rsid w:val="00DD65CF"/>
    <w:rsid w:val="00DD68AF"/>
    <w:rsid w:val="00DE0407"/>
    <w:rsid w:val="00DE06D2"/>
    <w:rsid w:val="00DE245C"/>
    <w:rsid w:val="00DE2DED"/>
    <w:rsid w:val="00DE5E20"/>
    <w:rsid w:val="00DE6BA3"/>
    <w:rsid w:val="00DE6CC1"/>
    <w:rsid w:val="00DF2603"/>
    <w:rsid w:val="00DF277D"/>
    <w:rsid w:val="00DF4DF3"/>
    <w:rsid w:val="00E00A81"/>
    <w:rsid w:val="00E01D8C"/>
    <w:rsid w:val="00E04030"/>
    <w:rsid w:val="00E04202"/>
    <w:rsid w:val="00E0438B"/>
    <w:rsid w:val="00E04DC8"/>
    <w:rsid w:val="00E04F21"/>
    <w:rsid w:val="00E05EF2"/>
    <w:rsid w:val="00E062D6"/>
    <w:rsid w:val="00E06389"/>
    <w:rsid w:val="00E064A8"/>
    <w:rsid w:val="00E109FB"/>
    <w:rsid w:val="00E13BAF"/>
    <w:rsid w:val="00E16243"/>
    <w:rsid w:val="00E200CE"/>
    <w:rsid w:val="00E20C58"/>
    <w:rsid w:val="00E243EF"/>
    <w:rsid w:val="00E2582E"/>
    <w:rsid w:val="00E25A08"/>
    <w:rsid w:val="00E25E1B"/>
    <w:rsid w:val="00E27964"/>
    <w:rsid w:val="00E3001D"/>
    <w:rsid w:val="00E302AE"/>
    <w:rsid w:val="00E32302"/>
    <w:rsid w:val="00E32419"/>
    <w:rsid w:val="00E32FEB"/>
    <w:rsid w:val="00E3440C"/>
    <w:rsid w:val="00E34B0E"/>
    <w:rsid w:val="00E34C26"/>
    <w:rsid w:val="00E358F9"/>
    <w:rsid w:val="00E35BFB"/>
    <w:rsid w:val="00E37521"/>
    <w:rsid w:val="00E37628"/>
    <w:rsid w:val="00E401CE"/>
    <w:rsid w:val="00E430F0"/>
    <w:rsid w:val="00E43B20"/>
    <w:rsid w:val="00E4473D"/>
    <w:rsid w:val="00E463B4"/>
    <w:rsid w:val="00E5029D"/>
    <w:rsid w:val="00E50824"/>
    <w:rsid w:val="00E51B59"/>
    <w:rsid w:val="00E51EB4"/>
    <w:rsid w:val="00E52DD8"/>
    <w:rsid w:val="00E52DE4"/>
    <w:rsid w:val="00E53927"/>
    <w:rsid w:val="00E563AE"/>
    <w:rsid w:val="00E563F0"/>
    <w:rsid w:val="00E568AA"/>
    <w:rsid w:val="00E57E52"/>
    <w:rsid w:val="00E6048D"/>
    <w:rsid w:val="00E605B7"/>
    <w:rsid w:val="00E6069F"/>
    <w:rsid w:val="00E6372D"/>
    <w:rsid w:val="00E63E3C"/>
    <w:rsid w:val="00E6674F"/>
    <w:rsid w:val="00E70428"/>
    <w:rsid w:val="00E706B2"/>
    <w:rsid w:val="00E7244C"/>
    <w:rsid w:val="00E72C99"/>
    <w:rsid w:val="00E73C1D"/>
    <w:rsid w:val="00E7795E"/>
    <w:rsid w:val="00E8040D"/>
    <w:rsid w:val="00E804A7"/>
    <w:rsid w:val="00E8328F"/>
    <w:rsid w:val="00E8439B"/>
    <w:rsid w:val="00E85159"/>
    <w:rsid w:val="00E85278"/>
    <w:rsid w:val="00E9063B"/>
    <w:rsid w:val="00E93646"/>
    <w:rsid w:val="00E93D11"/>
    <w:rsid w:val="00E942F4"/>
    <w:rsid w:val="00E96693"/>
    <w:rsid w:val="00E970C6"/>
    <w:rsid w:val="00E973D5"/>
    <w:rsid w:val="00E97B13"/>
    <w:rsid w:val="00EA0855"/>
    <w:rsid w:val="00EA08AE"/>
    <w:rsid w:val="00EA0FF0"/>
    <w:rsid w:val="00EA16D3"/>
    <w:rsid w:val="00EA280A"/>
    <w:rsid w:val="00EA3107"/>
    <w:rsid w:val="00EA333B"/>
    <w:rsid w:val="00EA390D"/>
    <w:rsid w:val="00EA3F8E"/>
    <w:rsid w:val="00EA447A"/>
    <w:rsid w:val="00EA4C73"/>
    <w:rsid w:val="00EA4F21"/>
    <w:rsid w:val="00EA5185"/>
    <w:rsid w:val="00EA55C6"/>
    <w:rsid w:val="00EA6091"/>
    <w:rsid w:val="00EA67A7"/>
    <w:rsid w:val="00EA72A9"/>
    <w:rsid w:val="00EA7FF2"/>
    <w:rsid w:val="00EB005B"/>
    <w:rsid w:val="00EB0AE4"/>
    <w:rsid w:val="00EB1337"/>
    <w:rsid w:val="00EB1FFC"/>
    <w:rsid w:val="00EB334C"/>
    <w:rsid w:val="00EB4BDF"/>
    <w:rsid w:val="00EB5F49"/>
    <w:rsid w:val="00EB7ADB"/>
    <w:rsid w:val="00EC053B"/>
    <w:rsid w:val="00EC0AF8"/>
    <w:rsid w:val="00EC0FE4"/>
    <w:rsid w:val="00EC10B6"/>
    <w:rsid w:val="00EC1172"/>
    <w:rsid w:val="00EC2580"/>
    <w:rsid w:val="00EC2B94"/>
    <w:rsid w:val="00EC4E69"/>
    <w:rsid w:val="00EC56CF"/>
    <w:rsid w:val="00EC5B30"/>
    <w:rsid w:val="00EC5DA9"/>
    <w:rsid w:val="00EC610A"/>
    <w:rsid w:val="00EC7804"/>
    <w:rsid w:val="00EC7FD5"/>
    <w:rsid w:val="00ED0700"/>
    <w:rsid w:val="00ED0C9E"/>
    <w:rsid w:val="00ED0D83"/>
    <w:rsid w:val="00ED1137"/>
    <w:rsid w:val="00ED129E"/>
    <w:rsid w:val="00ED1550"/>
    <w:rsid w:val="00ED1CD2"/>
    <w:rsid w:val="00ED1F70"/>
    <w:rsid w:val="00ED32F8"/>
    <w:rsid w:val="00ED3B69"/>
    <w:rsid w:val="00ED473C"/>
    <w:rsid w:val="00ED5857"/>
    <w:rsid w:val="00ED6E61"/>
    <w:rsid w:val="00ED78C1"/>
    <w:rsid w:val="00ED7B90"/>
    <w:rsid w:val="00EE0855"/>
    <w:rsid w:val="00EE136D"/>
    <w:rsid w:val="00EE1BC8"/>
    <w:rsid w:val="00EE2616"/>
    <w:rsid w:val="00EE2D34"/>
    <w:rsid w:val="00EE5C75"/>
    <w:rsid w:val="00EE698D"/>
    <w:rsid w:val="00EE73D4"/>
    <w:rsid w:val="00EE7566"/>
    <w:rsid w:val="00EF0AFF"/>
    <w:rsid w:val="00EF21C2"/>
    <w:rsid w:val="00EF2209"/>
    <w:rsid w:val="00EF2470"/>
    <w:rsid w:val="00EF2543"/>
    <w:rsid w:val="00EF31E5"/>
    <w:rsid w:val="00EF39B1"/>
    <w:rsid w:val="00EF4F42"/>
    <w:rsid w:val="00EF4FA1"/>
    <w:rsid w:val="00EF5031"/>
    <w:rsid w:val="00EF6107"/>
    <w:rsid w:val="00EF63D5"/>
    <w:rsid w:val="00EF69E1"/>
    <w:rsid w:val="00EF6B9B"/>
    <w:rsid w:val="00EF6BF7"/>
    <w:rsid w:val="00EF6D45"/>
    <w:rsid w:val="00F0253E"/>
    <w:rsid w:val="00F03EF2"/>
    <w:rsid w:val="00F057FB"/>
    <w:rsid w:val="00F059AE"/>
    <w:rsid w:val="00F05E7F"/>
    <w:rsid w:val="00F06171"/>
    <w:rsid w:val="00F071DA"/>
    <w:rsid w:val="00F079A8"/>
    <w:rsid w:val="00F105F3"/>
    <w:rsid w:val="00F10D74"/>
    <w:rsid w:val="00F1151B"/>
    <w:rsid w:val="00F13C6F"/>
    <w:rsid w:val="00F15F4D"/>
    <w:rsid w:val="00F16125"/>
    <w:rsid w:val="00F16C74"/>
    <w:rsid w:val="00F16D28"/>
    <w:rsid w:val="00F16FC6"/>
    <w:rsid w:val="00F17BB9"/>
    <w:rsid w:val="00F225C3"/>
    <w:rsid w:val="00F23EA1"/>
    <w:rsid w:val="00F25516"/>
    <w:rsid w:val="00F25F1B"/>
    <w:rsid w:val="00F269F5"/>
    <w:rsid w:val="00F27319"/>
    <w:rsid w:val="00F30687"/>
    <w:rsid w:val="00F318E4"/>
    <w:rsid w:val="00F323D1"/>
    <w:rsid w:val="00F3268A"/>
    <w:rsid w:val="00F32932"/>
    <w:rsid w:val="00F32AFB"/>
    <w:rsid w:val="00F33B9F"/>
    <w:rsid w:val="00F33BB9"/>
    <w:rsid w:val="00F34223"/>
    <w:rsid w:val="00F346AB"/>
    <w:rsid w:val="00F35099"/>
    <w:rsid w:val="00F3587F"/>
    <w:rsid w:val="00F36198"/>
    <w:rsid w:val="00F373EE"/>
    <w:rsid w:val="00F379B6"/>
    <w:rsid w:val="00F40F90"/>
    <w:rsid w:val="00F41256"/>
    <w:rsid w:val="00F42374"/>
    <w:rsid w:val="00F4326B"/>
    <w:rsid w:val="00F44E08"/>
    <w:rsid w:val="00F451A2"/>
    <w:rsid w:val="00F4603D"/>
    <w:rsid w:val="00F46BA7"/>
    <w:rsid w:val="00F475E3"/>
    <w:rsid w:val="00F50334"/>
    <w:rsid w:val="00F50EAC"/>
    <w:rsid w:val="00F540C8"/>
    <w:rsid w:val="00F55735"/>
    <w:rsid w:val="00F55EC3"/>
    <w:rsid w:val="00F567BD"/>
    <w:rsid w:val="00F575C7"/>
    <w:rsid w:val="00F577AA"/>
    <w:rsid w:val="00F60690"/>
    <w:rsid w:val="00F61633"/>
    <w:rsid w:val="00F647BC"/>
    <w:rsid w:val="00F6654D"/>
    <w:rsid w:val="00F673C9"/>
    <w:rsid w:val="00F72005"/>
    <w:rsid w:val="00F722F4"/>
    <w:rsid w:val="00F72528"/>
    <w:rsid w:val="00F725CD"/>
    <w:rsid w:val="00F72886"/>
    <w:rsid w:val="00F730BB"/>
    <w:rsid w:val="00F735DB"/>
    <w:rsid w:val="00F73B38"/>
    <w:rsid w:val="00F74728"/>
    <w:rsid w:val="00F7482C"/>
    <w:rsid w:val="00F75551"/>
    <w:rsid w:val="00F75921"/>
    <w:rsid w:val="00F773D4"/>
    <w:rsid w:val="00F805FD"/>
    <w:rsid w:val="00F80ACA"/>
    <w:rsid w:val="00F81753"/>
    <w:rsid w:val="00F818CA"/>
    <w:rsid w:val="00F82E5E"/>
    <w:rsid w:val="00F855BE"/>
    <w:rsid w:val="00F8580D"/>
    <w:rsid w:val="00F86AF9"/>
    <w:rsid w:val="00F87411"/>
    <w:rsid w:val="00F8765B"/>
    <w:rsid w:val="00F8788B"/>
    <w:rsid w:val="00F91449"/>
    <w:rsid w:val="00F92021"/>
    <w:rsid w:val="00F92A6A"/>
    <w:rsid w:val="00F92E91"/>
    <w:rsid w:val="00F9324F"/>
    <w:rsid w:val="00F932BA"/>
    <w:rsid w:val="00F93E33"/>
    <w:rsid w:val="00F945D5"/>
    <w:rsid w:val="00F955DF"/>
    <w:rsid w:val="00F95604"/>
    <w:rsid w:val="00F97443"/>
    <w:rsid w:val="00FA08BB"/>
    <w:rsid w:val="00FA0ECB"/>
    <w:rsid w:val="00FA377A"/>
    <w:rsid w:val="00FA3847"/>
    <w:rsid w:val="00FA429B"/>
    <w:rsid w:val="00FA4FF4"/>
    <w:rsid w:val="00FA4FF5"/>
    <w:rsid w:val="00FA506D"/>
    <w:rsid w:val="00FA69FC"/>
    <w:rsid w:val="00FB0320"/>
    <w:rsid w:val="00FB0E61"/>
    <w:rsid w:val="00FB16DD"/>
    <w:rsid w:val="00FB2EFA"/>
    <w:rsid w:val="00FB4DBC"/>
    <w:rsid w:val="00FB51CE"/>
    <w:rsid w:val="00FB5385"/>
    <w:rsid w:val="00FB5C20"/>
    <w:rsid w:val="00FB5DC1"/>
    <w:rsid w:val="00FB666C"/>
    <w:rsid w:val="00FB6B3F"/>
    <w:rsid w:val="00FB72E5"/>
    <w:rsid w:val="00FC007A"/>
    <w:rsid w:val="00FC03B7"/>
    <w:rsid w:val="00FC26C5"/>
    <w:rsid w:val="00FC2848"/>
    <w:rsid w:val="00FC4592"/>
    <w:rsid w:val="00FC66D9"/>
    <w:rsid w:val="00FC7181"/>
    <w:rsid w:val="00FC7B99"/>
    <w:rsid w:val="00FD038A"/>
    <w:rsid w:val="00FD1504"/>
    <w:rsid w:val="00FD1BCE"/>
    <w:rsid w:val="00FD42E4"/>
    <w:rsid w:val="00FD4720"/>
    <w:rsid w:val="00FD5A68"/>
    <w:rsid w:val="00FD5F8C"/>
    <w:rsid w:val="00FD5FDC"/>
    <w:rsid w:val="00FD6537"/>
    <w:rsid w:val="00FD7E8B"/>
    <w:rsid w:val="00FE03BC"/>
    <w:rsid w:val="00FE10D8"/>
    <w:rsid w:val="00FE1D78"/>
    <w:rsid w:val="00FE2F48"/>
    <w:rsid w:val="00FE451F"/>
    <w:rsid w:val="00FE57C7"/>
    <w:rsid w:val="00FE5B95"/>
    <w:rsid w:val="00FE5BE7"/>
    <w:rsid w:val="00FF02AA"/>
    <w:rsid w:val="00FF06A6"/>
    <w:rsid w:val="00FF3766"/>
    <w:rsid w:val="00FF3C73"/>
    <w:rsid w:val="00FF3E82"/>
    <w:rsid w:val="00FF48FE"/>
    <w:rsid w:val="00FF6375"/>
    <w:rsid w:val="00FF65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75AC2D"/>
  <w15:docId w15:val="{B899F9A7-4FB2-4D4B-8992-789F74B9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1">
    <w:name w:val="heading 1"/>
    <w:basedOn w:val="Normal"/>
    <w:next w:val="Normal"/>
    <w:link w:val="Heading1Char"/>
    <w:uiPriority w:val="9"/>
    <w:qFormat/>
    <w:rsid w:val="007973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sadalasteksts">
    <w:name w:val="sadalasteksts"/>
    <w:basedOn w:val="DefaultParagraphFont"/>
    <w:rsid w:val="004A01F4"/>
  </w:style>
  <w:style w:type="paragraph" w:customStyle="1" w:styleId="tv2132">
    <w:name w:val="tv2132"/>
    <w:basedOn w:val="Normal"/>
    <w:rsid w:val="00947FFC"/>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CM41">
    <w:name w:val="CM4+1"/>
    <w:basedOn w:val="Normal"/>
    <w:next w:val="Normal"/>
    <w:uiPriority w:val="99"/>
    <w:rsid w:val="00832E54"/>
    <w:pPr>
      <w:autoSpaceDE w:val="0"/>
      <w:autoSpaceDN w:val="0"/>
      <w:adjustRightInd w:val="0"/>
      <w:spacing w:after="0"/>
      <w:ind w:left="0"/>
      <w:jc w:val="left"/>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735E"/>
    <w:rPr>
      <w:rFonts w:asciiTheme="majorHAnsi" w:eastAsiaTheme="majorEastAsia" w:hAnsiTheme="majorHAnsi" w:cstheme="majorBidi"/>
      <w:color w:val="365F91" w:themeColor="accent1" w:themeShade="BF"/>
      <w:sz w:val="32"/>
      <w:szCs w:val="32"/>
    </w:rPr>
  </w:style>
  <w:style w:type="paragraph" w:customStyle="1" w:styleId="rtejustify">
    <w:name w:val="rtejustify"/>
    <w:basedOn w:val="Normal"/>
    <w:rsid w:val="0095158F"/>
    <w:pPr>
      <w:spacing w:after="150"/>
      <w:ind w:left="0"/>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95158F"/>
    <w:rPr>
      <w:i/>
      <w:iCs/>
    </w:rPr>
  </w:style>
  <w:style w:type="paragraph" w:styleId="BodyText">
    <w:name w:val="Body Text"/>
    <w:basedOn w:val="Normal"/>
    <w:link w:val="BodyTextChar"/>
    <w:uiPriority w:val="99"/>
    <w:unhideWhenUsed/>
    <w:rsid w:val="00857039"/>
    <w:pPr>
      <w:spacing w:after="120"/>
      <w:ind w:left="0"/>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857039"/>
    <w:rPr>
      <w:rFonts w:ascii="Times New Roman" w:eastAsia="Times New Roman" w:hAnsi="Times New Roman" w:cs="Times New Roman"/>
      <w:sz w:val="24"/>
      <w:szCs w:val="24"/>
      <w:lang w:eastAsia="lv-LV"/>
    </w:rPr>
  </w:style>
  <w:style w:type="paragraph" w:customStyle="1" w:styleId="title-doc-first">
    <w:name w:val="title-doc-first"/>
    <w:basedOn w:val="Normal"/>
    <w:rsid w:val="00C81A50"/>
    <w:pPr>
      <w:spacing w:before="120" w:after="0"/>
      <w:ind w:left="0"/>
      <w:jc w:val="center"/>
    </w:pPr>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627BD1"/>
    <w:pPr>
      <w:spacing w:after="150"/>
      <w:ind w:left="0"/>
      <w:jc w:val="left"/>
    </w:pPr>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27BD1"/>
    <w:pPr>
      <w:adjustRightInd w:val="0"/>
    </w:pPr>
    <w:rPr>
      <w:rFonts w:ascii="Times New Roman" w:eastAsiaTheme="minorHAnsi" w:hAnsi="Times New Roman"/>
      <w:color w:val="auto"/>
      <w:lang w:eastAsia="en-US"/>
    </w:rPr>
  </w:style>
  <w:style w:type="paragraph" w:customStyle="1" w:styleId="CM3">
    <w:name w:val="CM3"/>
    <w:basedOn w:val="Default"/>
    <w:next w:val="Default"/>
    <w:uiPriority w:val="99"/>
    <w:rsid w:val="00627BD1"/>
    <w:pPr>
      <w:adjustRightInd w:val="0"/>
    </w:pPr>
    <w:rPr>
      <w:rFonts w:ascii="Times New Roman" w:eastAsiaTheme="minorHAnsi" w:hAnsi="Times New Roman"/>
      <w:color w:val="auto"/>
      <w:lang w:eastAsia="en-US"/>
    </w:rPr>
  </w:style>
  <w:style w:type="paragraph" w:customStyle="1" w:styleId="CM4">
    <w:name w:val="CM4"/>
    <w:basedOn w:val="Default"/>
    <w:next w:val="Default"/>
    <w:uiPriority w:val="99"/>
    <w:rsid w:val="00627BD1"/>
    <w:pPr>
      <w:adjustRightInd w:val="0"/>
    </w:pPr>
    <w:rPr>
      <w:rFonts w:ascii="Times New Roman" w:eastAsiaTheme="minorHAnsi" w:hAnsi="Times New Roman"/>
      <w:color w:val="auto"/>
      <w:lang w:eastAsia="en-US"/>
    </w:rPr>
  </w:style>
  <w:style w:type="character" w:customStyle="1" w:styleId="Bodytext0">
    <w:name w:val="Body text_"/>
    <w:link w:val="BodyText2"/>
    <w:rsid w:val="00C05B32"/>
    <w:rPr>
      <w:rFonts w:ascii="Arial" w:eastAsia="Arial" w:hAnsi="Arial" w:cs="Arial"/>
      <w:sz w:val="19"/>
      <w:szCs w:val="19"/>
      <w:shd w:val="clear" w:color="auto" w:fill="FFFFFF"/>
    </w:rPr>
  </w:style>
  <w:style w:type="paragraph" w:customStyle="1" w:styleId="BodyText2">
    <w:name w:val="Body Text2"/>
    <w:basedOn w:val="Normal"/>
    <w:link w:val="Bodytext0"/>
    <w:rsid w:val="00C05B32"/>
    <w:pPr>
      <w:widowControl w:val="0"/>
      <w:shd w:val="clear" w:color="auto" w:fill="FFFFFF"/>
      <w:spacing w:before="60" w:after="1080" w:line="0" w:lineRule="atLeast"/>
      <w:ind w:left="0" w:hanging="360"/>
      <w:jc w:val="right"/>
    </w:pP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1705">
      <w:bodyDiv w:val="1"/>
      <w:marLeft w:val="0"/>
      <w:marRight w:val="0"/>
      <w:marTop w:val="0"/>
      <w:marBottom w:val="0"/>
      <w:divBdr>
        <w:top w:val="none" w:sz="0" w:space="0" w:color="auto"/>
        <w:left w:val="none" w:sz="0" w:space="0" w:color="auto"/>
        <w:bottom w:val="none" w:sz="0" w:space="0" w:color="auto"/>
        <w:right w:val="none" w:sz="0" w:space="0" w:color="auto"/>
      </w:divBdr>
    </w:div>
    <w:div w:id="75590595">
      <w:bodyDiv w:val="1"/>
      <w:marLeft w:val="0"/>
      <w:marRight w:val="0"/>
      <w:marTop w:val="0"/>
      <w:marBottom w:val="0"/>
      <w:divBdr>
        <w:top w:val="none" w:sz="0" w:space="0" w:color="auto"/>
        <w:left w:val="none" w:sz="0" w:space="0" w:color="auto"/>
        <w:bottom w:val="none" w:sz="0" w:space="0" w:color="auto"/>
        <w:right w:val="none" w:sz="0" w:space="0" w:color="auto"/>
      </w:divBdr>
    </w:div>
    <w:div w:id="99841432">
      <w:bodyDiv w:val="1"/>
      <w:marLeft w:val="0"/>
      <w:marRight w:val="0"/>
      <w:marTop w:val="0"/>
      <w:marBottom w:val="0"/>
      <w:divBdr>
        <w:top w:val="none" w:sz="0" w:space="0" w:color="auto"/>
        <w:left w:val="none" w:sz="0" w:space="0" w:color="auto"/>
        <w:bottom w:val="none" w:sz="0" w:space="0" w:color="auto"/>
        <w:right w:val="none" w:sz="0" w:space="0" w:color="auto"/>
      </w:divBdr>
    </w:div>
    <w:div w:id="107891632">
      <w:bodyDiv w:val="1"/>
      <w:marLeft w:val="0"/>
      <w:marRight w:val="0"/>
      <w:marTop w:val="0"/>
      <w:marBottom w:val="0"/>
      <w:divBdr>
        <w:top w:val="none" w:sz="0" w:space="0" w:color="auto"/>
        <w:left w:val="none" w:sz="0" w:space="0" w:color="auto"/>
        <w:bottom w:val="none" w:sz="0" w:space="0" w:color="auto"/>
        <w:right w:val="none" w:sz="0" w:space="0" w:color="auto"/>
      </w:divBdr>
    </w:div>
    <w:div w:id="115105505">
      <w:bodyDiv w:val="1"/>
      <w:marLeft w:val="0"/>
      <w:marRight w:val="0"/>
      <w:marTop w:val="0"/>
      <w:marBottom w:val="0"/>
      <w:divBdr>
        <w:top w:val="none" w:sz="0" w:space="0" w:color="auto"/>
        <w:left w:val="none" w:sz="0" w:space="0" w:color="auto"/>
        <w:bottom w:val="none" w:sz="0" w:space="0" w:color="auto"/>
        <w:right w:val="none" w:sz="0" w:space="0" w:color="auto"/>
      </w:divBdr>
    </w:div>
    <w:div w:id="142626013">
      <w:bodyDiv w:val="1"/>
      <w:marLeft w:val="0"/>
      <w:marRight w:val="0"/>
      <w:marTop w:val="0"/>
      <w:marBottom w:val="0"/>
      <w:divBdr>
        <w:top w:val="none" w:sz="0" w:space="0" w:color="auto"/>
        <w:left w:val="none" w:sz="0" w:space="0" w:color="auto"/>
        <w:bottom w:val="none" w:sz="0" w:space="0" w:color="auto"/>
        <w:right w:val="none" w:sz="0" w:space="0" w:color="auto"/>
      </w:divBdr>
    </w:div>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347946158">
      <w:bodyDiv w:val="1"/>
      <w:marLeft w:val="0"/>
      <w:marRight w:val="0"/>
      <w:marTop w:val="0"/>
      <w:marBottom w:val="0"/>
      <w:divBdr>
        <w:top w:val="none" w:sz="0" w:space="0" w:color="auto"/>
        <w:left w:val="none" w:sz="0" w:space="0" w:color="auto"/>
        <w:bottom w:val="none" w:sz="0" w:space="0" w:color="auto"/>
        <w:right w:val="none" w:sz="0" w:space="0" w:color="auto"/>
      </w:divBdr>
    </w:div>
    <w:div w:id="362639326">
      <w:bodyDiv w:val="1"/>
      <w:marLeft w:val="0"/>
      <w:marRight w:val="0"/>
      <w:marTop w:val="0"/>
      <w:marBottom w:val="0"/>
      <w:divBdr>
        <w:top w:val="none" w:sz="0" w:space="0" w:color="auto"/>
        <w:left w:val="none" w:sz="0" w:space="0" w:color="auto"/>
        <w:bottom w:val="none" w:sz="0" w:space="0" w:color="auto"/>
        <w:right w:val="none" w:sz="0" w:space="0" w:color="auto"/>
      </w:divBdr>
    </w:div>
    <w:div w:id="370421638">
      <w:bodyDiv w:val="1"/>
      <w:marLeft w:val="0"/>
      <w:marRight w:val="0"/>
      <w:marTop w:val="0"/>
      <w:marBottom w:val="0"/>
      <w:divBdr>
        <w:top w:val="none" w:sz="0" w:space="0" w:color="auto"/>
        <w:left w:val="none" w:sz="0" w:space="0" w:color="auto"/>
        <w:bottom w:val="none" w:sz="0" w:space="0" w:color="auto"/>
        <w:right w:val="none" w:sz="0" w:space="0" w:color="auto"/>
      </w:divBdr>
    </w:div>
    <w:div w:id="459423046">
      <w:bodyDiv w:val="1"/>
      <w:marLeft w:val="0"/>
      <w:marRight w:val="0"/>
      <w:marTop w:val="0"/>
      <w:marBottom w:val="0"/>
      <w:divBdr>
        <w:top w:val="none" w:sz="0" w:space="0" w:color="auto"/>
        <w:left w:val="none" w:sz="0" w:space="0" w:color="auto"/>
        <w:bottom w:val="none" w:sz="0" w:space="0" w:color="auto"/>
        <w:right w:val="none" w:sz="0" w:space="0" w:color="auto"/>
      </w:divBdr>
    </w:div>
    <w:div w:id="477303562">
      <w:bodyDiv w:val="1"/>
      <w:marLeft w:val="0"/>
      <w:marRight w:val="0"/>
      <w:marTop w:val="0"/>
      <w:marBottom w:val="0"/>
      <w:divBdr>
        <w:top w:val="none" w:sz="0" w:space="0" w:color="auto"/>
        <w:left w:val="none" w:sz="0" w:space="0" w:color="auto"/>
        <w:bottom w:val="none" w:sz="0" w:space="0" w:color="auto"/>
        <w:right w:val="none" w:sz="0" w:space="0" w:color="auto"/>
      </w:divBdr>
      <w:divsChild>
        <w:div w:id="1342664008">
          <w:marLeft w:val="0"/>
          <w:marRight w:val="0"/>
          <w:marTop w:val="0"/>
          <w:marBottom w:val="0"/>
          <w:divBdr>
            <w:top w:val="none" w:sz="0" w:space="0" w:color="auto"/>
            <w:left w:val="none" w:sz="0" w:space="0" w:color="auto"/>
            <w:bottom w:val="none" w:sz="0" w:space="0" w:color="auto"/>
            <w:right w:val="none" w:sz="0" w:space="0" w:color="auto"/>
          </w:divBdr>
          <w:divsChild>
            <w:div w:id="191698497">
              <w:marLeft w:val="0"/>
              <w:marRight w:val="0"/>
              <w:marTop w:val="0"/>
              <w:marBottom w:val="0"/>
              <w:divBdr>
                <w:top w:val="none" w:sz="0" w:space="0" w:color="auto"/>
                <w:left w:val="none" w:sz="0" w:space="0" w:color="auto"/>
                <w:bottom w:val="none" w:sz="0" w:space="0" w:color="auto"/>
                <w:right w:val="none" w:sz="0" w:space="0" w:color="auto"/>
              </w:divBdr>
              <w:divsChild>
                <w:div w:id="690759690">
                  <w:marLeft w:val="0"/>
                  <w:marRight w:val="0"/>
                  <w:marTop w:val="0"/>
                  <w:marBottom w:val="0"/>
                  <w:divBdr>
                    <w:top w:val="none" w:sz="0" w:space="0" w:color="auto"/>
                    <w:left w:val="none" w:sz="0" w:space="0" w:color="auto"/>
                    <w:bottom w:val="none" w:sz="0" w:space="0" w:color="auto"/>
                    <w:right w:val="none" w:sz="0" w:space="0" w:color="auto"/>
                  </w:divBdr>
                  <w:divsChild>
                    <w:div w:id="1337341370">
                      <w:marLeft w:val="0"/>
                      <w:marRight w:val="0"/>
                      <w:marTop w:val="0"/>
                      <w:marBottom w:val="0"/>
                      <w:divBdr>
                        <w:top w:val="none" w:sz="0" w:space="0" w:color="auto"/>
                        <w:left w:val="none" w:sz="0" w:space="0" w:color="auto"/>
                        <w:bottom w:val="none" w:sz="0" w:space="0" w:color="auto"/>
                        <w:right w:val="none" w:sz="0" w:space="0" w:color="auto"/>
                      </w:divBdr>
                      <w:divsChild>
                        <w:div w:id="1534609867">
                          <w:marLeft w:val="0"/>
                          <w:marRight w:val="0"/>
                          <w:marTop w:val="0"/>
                          <w:marBottom w:val="0"/>
                          <w:divBdr>
                            <w:top w:val="none" w:sz="0" w:space="0" w:color="auto"/>
                            <w:left w:val="none" w:sz="0" w:space="0" w:color="auto"/>
                            <w:bottom w:val="none" w:sz="0" w:space="0" w:color="auto"/>
                            <w:right w:val="none" w:sz="0" w:space="0" w:color="auto"/>
                          </w:divBdr>
                          <w:divsChild>
                            <w:div w:id="10068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480888">
      <w:bodyDiv w:val="1"/>
      <w:marLeft w:val="0"/>
      <w:marRight w:val="0"/>
      <w:marTop w:val="0"/>
      <w:marBottom w:val="0"/>
      <w:divBdr>
        <w:top w:val="none" w:sz="0" w:space="0" w:color="auto"/>
        <w:left w:val="none" w:sz="0" w:space="0" w:color="auto"/>
        <w:bottom w:val="none" w:sz="0" w:space="0" w:color="auto"/>
        <w:right w:val="none" w:sz="0" w:space="0" w:color="auto"/>
      </w:divBdr>
    </w:div>
    <w:div w:id="661353586">
      <w:bodyDiv w:val="1"/>
      <w:marLeft w:val="45"/>
      <w:marRight w:val="45"/>
      <w:marTop w:val="90"/>
      <w:marBottom w:val="90"/>
      <w:divBdr>
        <w:top w:val="none" w:sz="0" w:space="0" w:color="auto"/>
        <w:left w:val="none" w:sz="0" w:space="0" w:color="auto"/>
        <w:bottom w:val="none" w:sz="0" w:space="0" w:color="auto"/>
        <w:right w:val="none" w:sz="0" w:space="0" w:color="auto"/>
      </w:divBdr>
      <w:divsChild>
        <w:div w:id="529533366">
          <w:marLeft w:val="0"/>
          <w:marRight w:val="0"/>
          <w:marTop w:val="240"/>
          <w:marBottom w:val="0"/>
          <w:divBdr>
            <w:top w:val="none" w:sz="0" w:space="0" w:color="auto"/>
            <w:left w:val="none" w:sz="0" w:space="0" w:color="auto"/>
            <w:bottom w:val="none" w:sz="0" w:space="0" w:color="auto"/>
            <w:right w:val="none" w:sz="0" w:space="0" w:color="auto"/>
          </w:divBdr>
        </w:div>
      </w:divsChild>
    </w:div>
    <w:div w:id="690764853">
      <w:bodyDiv w:val="1"/>
      <w:marLeft w:val="0"/>
      <w:marRight w:val="0"/>
      <w:marTop w:val="0"/>
      <w:marBottom w:val="0"/>
      <w:divBdr>
        <w:top w:val="none" w:sz="0" w:space="0" w:color="auto"/>
        <w:left w:val="none" w:sz="0" w:space="0" w:color="auto"/>
        <w:bottom w:val="none" w:sz="0" w:space="0" w:color="auto"/>
        <w:right w:val="none" w:sz="0" w:space="0" w:color="auto"/>
      </w:divBdr>
      <w:divsChild>
        <w:div w:id="1751731390">
          <w:marLeft w:val="0"/>
          <w:marRight w:val="0"/>
          <w:marTop w:val="0"/>
          <w:marBottom w:val="0"/>
          <w:divBdr>
            <w:top w:val="none" w:sz="0" w:space="0" w:color="auto"/>
            <w:left w:val="none" w:sz="0" w:space="0" w:color="auto"/>
            <w:bottom w:val="none" w:sz="0" w:space="0" w:color="auto"/>
            <w:right w:val="none" w:sz="0" w:space="0" w:color="auto"/>
          </w:divBdr>
          <w:divsChild>
            <w:div w:id="154878720">
              <w:marLeft w:val="0"/>
              <w:marRight w:val="0"/>
              <w:marTop w:val="0"/>
              <w:marBottom w:val="0"/>
              <w:divBdr>
                <w:top w:val="none" w:sz="0" w:space="0" w:color="auto"/>
                <w:left w:val="none" w:sz="0" w:space="0" w:color="auto"/>
                <w:bottom w:val="none" w:sz="0" w:space="0" w:color="auto"/>
                <w:right w:val="none" w:sz="0" w:space="0" w:color="auto"/>
              </w:divBdr>
              <w:divsChild>
                <w:div w:id="1561208171">
                  <w:marLeft w:val="0"/>
                  <w:marRight w:val="0"/>
                  <w:marTop w:val="0"/>
                  <w:marBottom w:val="0"/>
                  <w:divBdr>
                    <w:top w:val="none" w:sz="0" w:space="0" w:color="auto"/>
                    <w:left w:val="none" w:sz="0" w:space="0" w:color="auto"/>
                    <w:bottom w:val="none" w:sz="0" w:space="0" w:color="auto"/>
                    <w:right w:val="none" w:sz="0" w:space="0" w:color="auto"/>
                  </w:divBdr>
                  <w:divsChild>
                    <w:div w:id="618726473">
                      <w:marLeft w:val="0"/>
                      <w:marRight w:val="0"/>
                      <w:marTop w:val="0"/>
                      <w:marBottom w:val="0"/>
                      <w:divBdr>
                        <w:top w:val="none" w:sz="0" w:space="0" w:color="auto"/>
                        <w:left w:val="none" w:sz="0" w:space="0" w:color="auto"/>
                        <w:bottom w:val="none" w:sz="0" w:space="0" w:color="auto"/>
                        <w:right w:val="none" w:sz="0" w:space="0" w:color="auto"/>
                      </w:divBdr>
                      <w:divsChild>
                        <w:div w:id="963658489">
                          <w:marLeft w:val="0"/>
                          <w:marRight w:val="0"/>
                          <w:marTop w:val="300"/>
                          <w:marBottom w:val="0"/>
                          <w:divBdr>
                            <w:top w:val="none" w:sz="0" w:space="0" w:color="auto"/>
                            <w:left w:val="none" w:sz="0" w:space="0" w:color="auto"/>
                            <w:bottom w:val="none" w:sz="0" w:space="0" w:color="auto"/>
                            <w:right w:val="none" w:sz="0" w:space="0" w:color="auto"/>
                          </w:divBdr>
                          <w:divsChild>
                            <w:div w:id="315884015">
                              <w:marLeft w:val="0"/>
                              <w:marRight w:val="0"/>
                              <w:marTop w:val="0"/>
                              <w:marBottom w:val="0"/>
                              <w:divBdr>
                                <w:top w:val="none" w:sz="0" w:space="0" w:color="auto"/>
                                <w:left w:val="none" w:sz="0" w:space="0" w:color="auto"/>
                                <w:bottom w:val="none" w:sz="0" w:space="0" w:color="auto"/>
                                <w:right w:val="none" w:sz="0" w:space="0" w:color="auto"/>
                              </w:divBdr>
                            </w:div>
                            <w:div w:id="2077237871">
                              <w:marLeft w:val="0"/>
                              <w:marRight w:val="0"/>
                              <w:marTop w:val="0"/>
                              <w:marBottom w:val="0"/>
                              <w:divBdr>
                                <w:top w:val="none" w:sz="0" w:space="0" w:color="auto"/>
                                <w:left w:val="none" w:sz="0" w:space="0" w:color="auto"/>
                                <w:bottom w:val="none" w:sz="0" w:space="0" w:color="auto"/>
                                <w:right w:val="none" w:sz="0" w:space="0" w:color="auto"/>
                              </w:divBdr>
                              <w:divsChild>
                                <w:div w:id="14047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288718">
      <w:bodyDiv w:val="1"/>
      <w:marLeft w:val="0"/>
      <w:marRight w:val="0"/>
      <w:marTop w:val="0"/>
      <w:marBottom w:val="0"/>
      <w:divBdr>
        <w:top w:val="none" w:sz="0" w:space="0" w:color="auto"/>
        <w:left w:val="none" w:sz="0" w:space="0" w:color="auto"/>
        <w:bottom w:val="none" w:sz="0" w:space="0" w:color="auto"/>
        <w:right w:val="none" w:sz="0" w:space="0" w:color="auto"/>
      </w:divBdr>
    </w:div>
    <w:div w:id="783110515">
      <w:bodyDiv w:val="1"/>
      <w:marLeft w:val="0"/>
      <w:marRight w:val="0"/>
      <w:marTop w:val="0"/>
      <w:marBottom w:val="0"/>
      <w:divBdr>
        <w:top w:val="none" w:sz="0" w:space="0" w:color="auto"/>
        <w:left w:val="none" w:sz="0" w:space="0" w:color="auto"/>
        <w:bottom w:val="none" w:sz="0" w:space="0" w:color="auto"/>
        <w:right w:val="none" w:sz="0" w:space="0" w:color="auto"/>
      </w:divBdr>
    </w:div>
    <w:div w:id="800922230">
      <w:bodyDiv w:val="1"/>
      <w:marLeft w:val="0"/>
      <w:marRight w:val="0"/>
      <w:marTop w:val="0"/>
      <w:marBottom w:val="0"/>
      <w:divBdr>
        <w:top w:val="none" w:sz="0" w:space="0" w:color="auto"/>
        <w:left w:val="none" w:sz="0" w:space="0" w:color="auto"/>
        <w:bottom w:val="none" w:sz="0" w:space="0" w:color="auto"/>
        <w:right w:val="none" w:sz="0" w:space="0" w:color="auto"/>
      </w:divBdr>
    </w:div>
    <w:div w:id="938411936">
      <w:bodyDiv w:val="1"/>
      <w:marLeft w:val="0"/>
      <w:marRight w:val="0"/>
      <w:marTop w:val="0"/>
      <w:marBottom w:val="0"/>
      <w:divBdr>
        <w:top w:val="none" w:sz="0" w:space="0" w:color="auto"/>
        <w:left w:val="none" w:sz="0" w:space="0" w:color="auto"/>
        <w:bottom w:val="none" w:sz="0" w:space="0" w:color="auto"/>
        <w:right w:val="none" w:sz="0" w:space="0" w:color="auto"/>
      </w:divBdr>
    </w:div>
    <w:div w:id="941494610">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54101578">
      <w:bodyDiv w:val="1"/>
      <w:marLeft w:val="0"/>
      <w:marRight w:val="0"/>
      <w:marTop w:val="0"/>
      <w:marBottom w:val="0"/>
      <w:divBdr>
        <w:top w:val="none" w:sz="0" w:space="0" w:color="auto"/>
        <w:left w:val="none" w:sz="0" w:space="0" w:color="auto"/>
        <w:bottom w:val="none" w:sz="0" w:space="0" w:color="auto"/>
        <w:right w:val="none" w:sz="0" w:space="0" w:color="auto"/>
      </w:divBdr>
    </w:div>
    <w:div w:id="1216892012">
      <w:bodyDiv w:val="1"/>
      <w:marLeft w:val="0"/>
      <w:marRight w:val="0"/>
      <w:marTop w:val="0"/>
      <w:marBottom w:val="0"/>
      <w:divBdr>
        <w:top w:val="none" w:sz="0" w:space="0" w:color="auto"/>
        <w:left w:val="none" w:sz="0" w:space="0" w:color="auto"/>
        <w:bottom w:val="none" w:sz="0" w:space="0" w:color="auto"/>
        <w:right w:val="none" w:sz="0" w:space="0" w:color="auto"/>
      </w:divBdr>
    </w:div>
    <w:div w:id="1277450424">
      <w:bodyDiv w:val="1"/>
      <w:marLeft w:val="0"/>
      <w:marRight w:val="0"/>
      <w:marTop w:val="0"/>
      <w:marBottom w:val="0"/>
      <w:divBdr>
        <w:top w:val="none" w:sz="0" w:space="0" w:color="auto"/>
        <w:left w:val="none" w:sz="0" w:space="0" w:color="auto"/>
        <w:bottom w:val="none" w:sz="0" w:space="0" w:color="auto"/>
        <w:right w:val="none" w:sz="0" w:space="0" w:color="auto"/>
      </w:divBdr>
    </w:div>
    <w:div w:id="1359893627">
      <w:bodyDiv w:val="1"/>
      <w:marLeft w:val="0"/>
      <w:marRight w:val="0"/>
      <w:marTop w:val="0"/>
      <w:marBottom w:val="0"/>
      <w:divBdr>
        <w:top w:val="none" w:sz="0" w:space="0" w:color="auto"/>
        <w:left w:val="none" w:sz="0" w:space="0" w:color="auto"/>
        <w:bottom w:val="none" w:sz="0" w:space="0" w:color="auto"/>
        <w:right w:val="none" w:sz="0" w:space="0" w:color="auto"/>
      </w:divBdr>
      <w:divsChild>
        <w:div w:id="742801137">
          <w:marLeft w:val="0"/>
          <w:marRight w:val="0"/>
          <w:marTop w:val="0"/>
          <w:marBottom w:val="0"/>
          <w:divBdr>
            <w:top w:val="none" w:sz="0" w:space="0" w:color="auto"/>
            <w:left w:val="none" w:sz="0" w:space="0" w:color="auto"/>
            <w:bottom w:val="none" w:sz="0" w:space="0" w:color="auto"/>
            <w:right w:val="none" w:sz="0" w:space="0" w:color="auto"/>
          </w:divBdr>
          <w:divsChild>
            <w:div w:id="1856261520">
              <w:marLeft w:val="0"/>
              <w:marRight w:val="0"/>
              <w:marTop w:val="0"/>
              <w:marBottom w:val="0"/>
              <w:divBdr>
                <w:top w:val="none" w:sz="0" w:space="0" w:color="auto"/>
                <w:left w:val="none" w:sz="0" w:space="0" w:color="auto"/>
                <w:bottom w:val="none" w:sz="0" w:space="0" w:color="auto"/>
                <w:right w:val="none" w:sz="0" w:space="0" w:color="auto"/>
              </w:divBdr>
              <w:divsChild>
                <w:div w:id="63917788">
                  <w:marLeft w:val="-225"/>
                  <w:marRight w:val="-225"/>
                  <w:marTop w:val="0"/>
                  <w:marBottom w:val="0"/>
                  <w:divBdr>
                    <w:top w:val="none" w:sz="0" w:space="0" w:color="auto"/>
                    <w:left w:val="none" w:sz="0" w:space="0" w:color="auto"/>
                    <w:bottom w:val="none" w:sz="0" w:space="0" w:color="auto"/>
                    <w:right w:val="none" w:sz="0" w:space="0" w:color="auto"/>
                  </w:divBdr>
                  <w:divsChild>
                    <w:div w:id="390419982">
                      <w:marLeft w:val="0"/>
                      <w:marRight w:val="0"/>
                      <w:marTop w:val="0"/>
                      <w:marBottom w:val="0"/>
                      <w:divBdr>
                        <w:top w:val="none" w:sz="0" w:space="0" w:color="auto"/>
                        <w:left w:val="none" w:sz="0" w:space="0" w:color="auto"/>
                        <w:bottom w:val="none" w:sz="0" w:space="0" w:color="auto"/>
                        <w:right w:val="none" w:sz="0" w:space="0" w:color="auto"/>
                      </w:divBdr>
                      <w:divsChild>
                        <w:div w:id="1683777053">
                          <w:marLeft w:val="0"/>
                          <w:marRight w:val="0"/>
                          <w:marTop w:val="0"/>
                          <w:marBottom w:val="0"/>
                          <w:divBdr>
                            <w:top w:val="none" w:sz="0" w:space="0" w:color="auto"/>
                            <w:left w:val="none" w:sz="0" w:space="0" w:color="auto"/>
                            <w:bottom w:val="none" w:sz="0" w:space="0" w:color="auto"/>
                            <w:right w:val="none" w:sz="0" w:space="0" w:color="auto"/>
                          </w:divBdr>
                          <w:divsChild>
                            <w:div w:id="1831404704">
                              <w:marLeft w:val="0"/>
                              <w:marRight w:val="0"/>
                              <w:marTop w:val="0"/>
                              <w:marBottom w:val="0"/>
                              <w:divBdr>
                                <w:top w:val="none" w:sz="0" w:space="0" w:color="auto"/>
                                <w:left w:val="none" w:sz="0" w:space="0" w:color="auto"/>
                                <w:bottom w:val="none" w:sz="0" w:space="0" w:color="auto"/>
                                <w:right w:val="none" w:sz="0" w:space="0" w:color="auto"/>
                              </w:divBdr>
                              <w:divsChild>
                                <w:div w:id="1122454666">
                                  <w:marLeft w:val="0"/>
                                  <w:marRight w:val="0"/>
                                  <w:marTop w:val="0"/>
                                  <w:marBottom w:val="0"/>
                                  <w:divBdr>
                                    <w:top w:val="none" w:sz="0" w:space="0" w:color="auto"/>
                                    <w:left w:val="none" w:sz="0" w:space="0" w:color="auto"/>
                                    <w:bottom w:val="none" w:sz="0" w:space="0" w:color="auto"/>
                                    <w:right w:val="none" w:sz="0" w:space="0" w:color="auto"/>
                                  </w:divBdr>
                                  <w:divsChild>
                                    <w:div w:id="1107047803">
                                      <w:marLeft w:val="0"/>
                                      <w:marRight w:val="0"/>
                                      <w:marTop w:val="0"/>
                                      <w:marBottom w:val="0"/>
                                      <w:divBdr>
                                        <w:top w:val="none" w:sz="0" w:space="0" w:color="auto"/>
                                        <w:left w:val="none" w:sz="0" w:space="0" w:color="auto"/>
                                        <w:bottom w:val="none" w:sz="0" w:space="0" w:color="auto"/>
                                        <w:right w:val="none" w:sz="0" w:space="0" w:color="auto"/>
                                      </w:divBdr>
                                      <w:divsChild>
                                        <w:div w:id="992178502">
                                          <w:marLeft w:val="0"/>
                                          <w:marRight w:val="0"/>
                                          <w:marTop w:val="0"/>
                                          <w:marBottom w:val="0"/>
                                          <w:divBdr>
                                            <w:top w:val="none" w:sz="0" w:space="0" w:color="auto"/>
                                            <w:left w:val="none" w:sz="0" w:space="0" w:color="auto"/>
                                            <w:bottom w:val="none" w:sz="0" w:space="0" w:color="auto"/>
                                            <w:right w:val="none" w:sz="0" w:space="0" w:color="auto"/>
                                          </w:divBdr>
                                          <w:divsChild>
                                            <w:div w:id="1444108406">
                                              <w:marLeft w:val="0"/>
                                              <w:marRight w:val="0"/>
                                              <w:marTop w:val="0"/>
                                              <w:marBottom w:val="0"/>
                                              <w:divBdr>
                                                <w:top w:val="none" w:sz="0" w:space="0" w:color="auto"/>
                                                <w:left w:val="none" w:sz="0" w:space="0" w:color="auto"/>
                                                <w:bottom w:val="none" w:sz="0" w:space="0" w:color="auto"/>
                                                <w:right w:val="none" w:sz="0" w:space="0" w:color="auto"/>
                                              </w:divBdr>
                                              <w:divsChild>
                                                <w:div w:id="1978104793">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484463856">
      <w:bodyDiv w:val="1"/>
      <w:marLeft w:val="0"/>
      <w:marRight w:val="0"/>
      <w:marTop w:val="0"/>
      <w:marBottom w:val="0"/>
      <w:divBdr>
        <w:top w:val="none" w:sz="0" w:space="0" w:color="auto"/>
        <w:left w:val="none" w:sz="0" w:space="0" w:color="auto"/>
        <w:bottom w:val="none" w:sz="0" w:space="0" w:color="auto"/>
        <w:right w:val="none" w:sz="0" w:space="0" w:color="auto"/>
      </w:divBdr>
      <w:divsChild>
        <w:div w:id="125708935">
          <w:marLeft w:val="0"/>
          <w:marRight w:val="0"/>
          <w:marTop w:val="0"/>
          <w:marBottom w:val="0"/>
          <w:divBdr>
            <w:top w:val="none" w:sz="0" w:space="0" w:color="auto"/>
            <w:left w:val="none" w:sz="0" w:space="0" w:color="auto"/>
            <w:bottom w:val="none" w:sz="0" w:space="0" w:color="auto"/>
            <w:right w:val="none" w:sz="0" w:space="0" w:color="auto"/>
          </w:divBdr>
        </w:div>
        <w:div w:id="129785862">
          <w:marLeft w:val="0"/>
          <w:marRight w:val="0"/>
          <w:marTop w:val="0"/>
          <w:marBottom w:val="0"/>
          <w:divBdr>
            <w:top w:val="none" w:sz="0" w:space="0" w:color="auto"/>
            <w:left w:val="none" w:sz="0" w:space="0" w:color="auto"/>
            <w:bottom w:val="none" w:sz="0" w:space="0" w:color="auto"/>
            <w:right w:val="none" w:sz="0" w:space="0" w:color="auto"/>
          </w:divBdr>
        </w:div>
        <w:div w:id="293483422">
          <w:marLeft w:val="0"/>
          <w:marRight w:val="0"/>
          <w:marTop w:val="0"/>
          <w:marBottom w:val="0"/>
          <w:divBdr>
            <w:top w:val="none" w:sz="0" w:space="0" w:color="auto"/>
            <w:left w:val="none" w:sz="0" w:space="0" w:color="auto"/>
            <w:bottom w:val="none" w:sz="0" w:space="0" w:color="auto"/>
            <w:right w:val="none" w:sz="0" w:space="0" w:color="auto"/>
          </w:divBdr>
        </w:div>
        <w:div w:id="612325540">
          <w:marLeft w:val="0"/>
          <w:marRight w:val="0"/>
          <w:marTop w:val="0"/>
          <w:marBottom w:val="0"/>
          <w:divBdr>
            <w:top w:val="none" w:sz="0" w:space="0" w:color="auto"/>
            <w:left w:val="none" w:sz="0" w:space="0" w:color="auto"/>
            <w:bottom w:val="none" w:sz="0" w:space="0" w:color="auto"/>
            <w:right w:val="none" w:sz="0" w:space="0" w:color="auto"/>
          </w:divBdr>
        </w:div>
        <w:div w:id="676074767">
          <w:marLeft w:val="0"/>
          <w:marRight w:val="0"/>
          <w:marTop w:val="0"/>
          <w:marBottom w:val="0"/>
          <w:divBdr>
            <w:top w:val="none" w:sz="0" w:space="0" w:color="auto"/>
            <w:left w:val="none" w:sz="0" w:space="0" w:color="auto"/>
            <w:bottom w:val="none" w:sz="0" w:space="0" w:color="auto"/>
            <w:right w:val="none" w:sz="0" w:space="0" w:color="auto"/>
          </w:divBdr>
        </w:div>
        <w:div w:id="716441244">
          <w:marLeft w:val="0"/>
          <w:marRight w:val="0"/>
          <w:marTop w:val="0"/>
          <w:marBottom w:val="0"/>
          <w:divBdr>
            <w:top w:val="none" w:sz="0" w:space="0" w:color="auto"/>
            <w:left w:val="none" w:sz="0" w:space="0" w:color="auto"/>
            <w:bottom w:val="none" w:sz="0" w:space="0" w:color="auto"/>
            <w:right w:val="none" w:sz="0" w:space="0" w:color="auto"/>
          </w:divBdr>
        </w:div>
        <w:div w:id="1528837642">
          <w:marLeft w:val="0"/>
          <w:marRight w:val="0"/>
          <w:marTop w:val="0"/>
          <w:marBottom w:val="0"/>
          <w:divBdr>
            <w:top w:val="none" w:sz="0" w:space="0" w:color="auto"/>
            <w:left w:val="none" w:sz="0" w:space="0" w:color="auto"/>
            <w:bottom w:val="none" w:sz="0" w:space="0" w:color="auto"/>
            <w:right w:val="none" w:sz="0" w:space="0" w:color="auto"/>
          </w:divBdr>
        </w:div>
        <w:div w:id="1673147286">
          <w:marLeft w:val="0"/>
          <w:marRight w:val="0"/>
          <w:marTop w:val="0"/>
          <w:marBottom w:val="0"/>
          <w:divBdr>
            <w:top w:val="none" w:sz="0" w:space="0" w:color="auto"/>
            <w:left w:val="none" w:sz="0" w:space="0" w:color="auto"/>
            <w:bottom w:val="none" w:sz="0" w:space="0" w:color="auto"/>
            <w:right w:val="none" w:sz="0" w:space="0" w:color="auto"/>
          </w:divBdr>
        </w:div>
        <w:div w:id="1679623868">
          <w:marLeft w:val="0"/>
          <w:marRight w:val="0"/>
          <w:marTop w:val="0"/>
          <w:marBottom w:val="0"/>
          <w:divBdr>
            <w:top w:val="none" w:sz="0" w:space="0" w:color="auto"/>
            <w:left w:val="none" w:sz="0" w:space="0" w:color="auto"/>
            <w:bottom w:val="none" w:sz="0" w:space="0" w:color="auto"/>
            <w:right w:val="none" w:sz="0" w:space="0" w:color="auto"/>
          </w:divBdr>
        </w:div>
        <w:div w:id="1924140280">
          <w:marLeft w:val="0"/>
          <w:marRight w:val="0"/>
          <w:marTop w:val="0"/>
          <w:marBottom w:val="0"/>
          <w:divBdr>
            <w:top w:val="none" w:sz="0" w:space="0" w:color="auto"/>
            <w:left w:val="none" w:sz="0" w:space="0" w:color="auto"/>
            <w:bottom w:val="none" w:sz="0" w:space="0" w:color="auto"/>
            <w:right w:val="none" w:sz="0" w:space="0" w:color="auto"/>
          </w:divBdr>
        </w:div>
      </w:divsChild>
    </w:div>
    <w:div w:id="1600749177">
      <w:bodyDiv w:val="1"/>
      <w:marLeft w:val="0"/>
      <w:marRight w:val="0"/>
      <w:marTop w:val="0"/>
      <w:marBottom w:val="0"/>
      <w:divBdr>
        <w:top w:val="none" w:sz="0" w:space="0" w:color="auto"/>
        <w:left w:val="none" w:sz="0" w:space="0" w:color="auto"/>
        <w:bottom w:val="none" w:sz="0" w:space="0" w:color="auto"/>
        <w:right w:val="none" w:sz="0" w:space="0" w:color="auto"/>
      </w:divBdr>
    </w:div>
    <w:div w:id="1607274703">
      <w:bodyDiv w:val="1"/>
      <w:marLeft w:val="0"/>
      <w:marRight w:val="0"/>
      <w:marTop w:val="0"/>
      <w:marBottom w:val="0"/>
      <w:divBdr>
        <w:top w:val="none" w:sz="0" w:space="0" w:color="auto"/>
        <w:left w:val="none" w:sz="0" w:space="0" w:color="auto"/>
        <w:bottom w:val="none" w:sz="0" w:space="0" w:color="auto"/>
        <w:right w:val="none" w:sz="0" w:space="0" w:color="auto"/>
      </w:divBdr>
    </w:div>
    <w:div w:id="1781952251">
      <w:bodyDiv w:val="1"/>
      <w:marLeft w:val="0"/>
      <w:marRight w:val="0"/>
      <w:marTop w:val="0"/>
      <w:marBottom w:val="0"/>
      <w:divBdr>
        <w:top w:val="none" w:sz="0" w:space="0" w:color="auto"/>
        <w:left w:val="none" w:sz="0" w:space="0" w:color="auto"/>
        <w:bottom w:val="none" w:sz="0" w:space="0" w:color="auto"/>
        <w:right w:val="none" w:sz="0" w:space="0" w:color="auto"/>
      </w:divBdr>
    </w:div>
    <w:div w:id="1865746961">
      <w:bodyDiv w:val="1"/>
      <w:marLeft w:val="0"/>
      <w:marRight w:val="0"/>
      <w:marTop w:val="0"/>
      <w:marBottom w:val="0"/>
      <w:divBdr>
        <w:top w:val="none" w:sz="0" w:space="0" w:color="auto"/>
        <w:left w:val="none" w:sz="0" w:space="0" w:color="auto"/>
        <w:bottom w:val="none" w:sz="0" w:space="0" w:color="auto"/>
        <w:right w:val="none" w:sz="0" w:space="0" w:color="auto"/>
      </w:divBdr>
    </w:div>
    <w:div w:id="1885868697">
      <w:bodyDiv w:val="1"/>
      <w:marLeft w:val="0"/>
      <w:marRight w:val="0"/>
      <w:marTop w:val="0"/>
      <w:marBottom w:val="0"/>
      <w:divBdr>
        <w:top w:val="none" w:sz="0" w:space="0" w:color="auto"/>
        <w:left w:val="none" w:sz="0" w:space="0" w:color="auto"/>
        <w:bottom w:val="none" w:sz="0" w:space="0" w:color="auto"/>
        <w:right w:val="none" w:sz="0" w:space="0" w:color="auto"/>
      </w:divBdr>
    </w:div>
    <w:div w:id="1943800387">
      <w:bodyDiv w:val="1"/>
      <w:marLeft w:val="0"/>
      <w:marRight w:val="0"/>
      <w:marTop w:val="0"/>
      <w:marBottom w:val="0"/>
      <w:divBdr>
        <w:top w:val="none" w:sz="0" w:space="0" w:color="auto"/>
        <w:left w:val="none" w:sz="0" w:space="0" w:color="auto"/>
        <w:bottom w:val="none" w:sz="0" w:space="0" w:color="auto"/>
        <w:right w:val="none" w:sz="0" w:space="0" w:color="auto"/>
      </w:divBdr>
    </w:div>
    <w:div w:id="2000648193">
      <w:bodyDiv w:val="1"/>
      <w:marLeft w:val="0"/>
      <w:marRight w:val="0"/>
      <w:marTop w:val="0"/>
      <w:marBottom w:val="0"/>
      <w:divBdr>
        <w:top w:val="none" w:sz="0" w:space="0" w:color="auto"/>
        <w:left w:val="none" w:sz="0" w:space="0" w:color="auto"/>
        <w:bottom w:val="none" w:sz="0" w:space="0" w:color="auto"/>
        <w:right w:val="none" w:sz="0" w:space="0" w:color="auto"/>
      </w:divBdr>
      <w:divsChild>
        <w:div w:id="1568415155">
          <w:marLeft w:val="0"/>
          <w:marRight w:val="0"/>
          <w:marTop w:val="0"/>
          <w:marBottom w:val="0"/>
          <w:divBdr>
            <w:top w:val="none" w:sz="0" w:space="0" w:color="auto"/>
            <w:left w:val="none" w:sz="0" w:space="0" w:color="auto"/>
            <w:bottom w:val="none" w:sz="0" w:space="0" w:color="auto"/>
            <w:right w:val="none" w:sz="0" w:space="0" w:color="auto"/>
          </w:divBdr>
          <w:divsChild>
            <w:div w:id="1786383527">
              <w:marLeft w:val="0"/>
              <w:marRight w:val="0"/>
              <w:marTop w:val="0"/>
              <w:marBottom w:val="0"/>
              <w:divBdr>
                <w:top w:val="none" w:sz="0" w:space="0" w:color="auto"/>
                <w:left w:val="none" w:sz="0" w:space="0" w:color="auto"/>
                <w:bottom w:val="none" w:sz="0" w:space="0" w:color="auto"/>
                <w:right w:val="none" w:sz="0" w:space="0" w:color="auto"/>
              </w:divBdr>
              <w:divsChild>
                <w:div w:id="975572942">
                  <w:marLeft w:val="-225"/>
                  <w:marRight w:val="-225"/>
                  <w:marTop w:val="0"/>
                  <w:marBottom w:val="0"/>
                  <w:divBdr>
                    <w:top w:val="none" w:sz="0" w:space="0" w:color="auto"/>
                    <w:left w:val="none" w:sz="0" w:space="0" w:color="auto"/>
                    <w:bottom w:val="none" w:sz="0" w:space="0" w:color="auto"/>
                    <w:right w:val="none" w:sz="0" w:space="0" w:color="auto"/>
                  </w:divBdr>
                  <w:divsChild>
                    <w:div w:id="1192576804">
                      <w:marLeft w:val="0"/>
                      <w:marRight w:val="0"/>
                      <w:marTop w:val="0"/>
                      <w:marBottom w:val="0"/>
                      <w:divBdr>
                        <w:top w:val="none" w:sz="0" w:space="0" w:color="auto"/>
                        <w:left w:val="none" w:sz="0" w:space="0" w:color="auto"/>
                        <w:bottom w:val="none" w:sz="0" w:space="0" w:color="auto"/>
                        <w:right w:val="none" w:sz="0" w:space="0" w:color="auto"/>
                      </w:divBdr>
                      <w:divsChild>
                        <w:div w:id="353380600">
                          <w:marLeft w:val="0"/>
                          <w:marRight w:val="0"/>
                          <w:marTop w:val="0"/>
                          <w:marBottom w:val="0"/>
                          <w:divBdr>
                            <w:top w:val="none" w:sz="0" w:space="0" w:color="auto"/>
                            <w:left w:val="none" w:sz="0" w:space="0" w:color="auto"/>
                            <w:bottom w:val="none" w:sz="0" w:space="0" w:color="auto"/>
                            <w:right w:val="none" w:sz="0" w:space="0" w:color="auto"/>
                          </w:divBdr>
                          <w:divsChild>
                            <w:div w:id="1270118139">
                              <w:marLeft w:val="0"/>
                              <w:marRight w:val="0"/>
                              <w:marTop w:val="0"/>
                              <w:marBottom w:val="0"/>
                              <w:divBdr>
                                <w:top w:val="none" w:sz="0" w:space="0" w:color="auto"/>
                                <w:left w:val="none" w:sz="0" w:space="0" w:color="auto"/>
                                <w:bottom w:val="none" w:sz="0" w:space="0" w:color="auto"/>
                                <w:right w:val="none" w:sz="0" w:space="0" w:color="auto"/>
                              </w:divBdr>
                              <w:divsChild>
                                <w:div w:id="1053384572">
                                  <w:marLeft w:val="0"/>
                                  <w:marRight w:val="0"/>
                                  <w:marTop w:val="0"/>
                                  <w:marBottom w:val="0"/>
                                  <w:divBdr>
                                    <w:top w:val="none" w:sz="0" w:space="0" w:color="auto"/>
                                    <w:left w:val="none" w:sz="0" w:space="0" w:color="auto"/>
                                    <w:bottom w:val="none" w:sz="0" w:space="0" w:color="auto"/>
                                    <w:right w:val="none" w:sz="0" w:space="0" w:color="auto"/>
                                  </w:divBdr>
                                  <w:divsChild>
                                    <w:div w:id="713776430">
                                      <w:marLeft w:val="0"/>
                                      <w:marRight w:val="0"/>
                                      <w:marTop w:val="0"/>
                                      <w:marBottom w:val="0"/>
                                      <w:divBdr>
                                        <w:top w:val="none" w:sz="0" w:space="0" w:color="auto"/>
                                        <w:left w:val="none" w:sz="0" w:space="0" w:color="auto"/>
                                        <w:bottom w:val="none" w:sz="0" w:space="0" w:color="auto"/>
                                        <w:right w:val="none" w:sz="0" w:space="0" w:color="auto"/>
                                      </w:divBdr>
                                      <w:divsChild>
                                        <w:div w:id="1611619562">
                                          <w:marLeft w:val="0"/>
                                          <w:marRight w:val="0"/>
                                          <w:marTop w:val="0"/>
                                          <w:marBottom w:val="0"/>
                                          <w:divBdr>
                                            <w:top w:val="none" w:sz="0" w:space="0" w:color="auto"/>
                                            <w:left w:val="none" w:sz="0" w:space="0" w:color="auto"/>
                                            <w:bottom w:val="none" w:sz="0" w:space="0" w:color="auto"/>
                                            <w:right w:val="none" w:sz="0" w:space="0" w:color="auto"/>
                                          </w:divBdr>
                                          <w:divsChild>
                                            <w:div w:id="584846920">
                                              <w:marLeft w:val="0"/>
                                              <w:marRight w:val="0"/>
                                              <w:marTop w:val="0"/>
                                              <w:marBottom w:val="0"/>
                                              <w:divBdr>
                                                <w:top w:val="none" w:sz="0" w:space="0" w:color="auto"/>
                                                <w:left w:val="none" w:sz="0" w:space="0" w:color="auto"/>
                                                <w:bottom w:val="none" w:sz="0" w:space="0" w:color="auto"/>
                                                <w:right w:val="none" w:sz="0" w:space="0" w:color="auto"/>
                                              </w:divBdr>
                                              <w:divsChild>
                                                <w:div w:id="1837456445">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2034067142">
      <w:bodyDiv w:val="1"/>
      <w:marLeft w:val="0"/>
      <w:marRight w:val="0"/>
      <w:marTop w:val="0"/>
      <w:marBottom w:val="0"/>
      <w:divBdr>
        <w:top w:val="none" w:sz="0" w:space="0" w:color="auto"/>
        <w:left w:val="none" w:sz="0" w:space="0" w:color="auto"/>
        <w:bottom w:val="none" w:sz="0" w:space="0" w:color="auto"/>
        <w:right w:val="none" w:sz="0" w:space="0" w:color="auto"/>
      </w:divBdr>
      <w:divsChild>
        <w:div w:id="1198741353">
          <w:marLeft w:val="0"/>
          <w:marRight w:val="0"/>
          <w:marTop w:val="0"/>
          <w:marBottom w:val="0"/>
          <w:divBdr>
            <w:top w:val="none" w:sz="0" w:space="0" w:color="auto"/>
            <w:left w:val="none" w:sz="0" w:space="0" w:color="auto"/>
            <w:bottom w:val="none" w:sz="0" w:space="0" w:color="auto"/>
            <w:right w:val="none" w:sz="0" w:space="0" w:color="auto"/>
          </w:divBdr>
          <w:divsChild>
            <w:div w:id="1491485416">
              <w:marLeft w:val="0"/>
              <w:marRight w:val="0"/>
              <w:marTop w:val="0"/>
              <w:marBottom w:val="0"/>
              <w:divBdr>
                <w:top w:val="none" w:sz="0" w:space="0" w:color="auto"/>
                <w:left w:val="none" w:sz="0" w:space="0" w:color="auto"/>
                <w:bottom w:val="none" w:sz="0" w:space="0" w:color="auto"/>
                <w:right w:val="none" w:sz="0" w:space="0" w:color="auto"/>
              </w:divBdr>
              <w:divsChild>
                <w:div w:id="155190695">
                  <w:marLeft w:val="-225"/>
                  <w:marRight w:val="-225"/>
                  <w:marTop w:val="0"/>
                  <w:marBottom w:val="0"/>
                  <w:divBdr>
                    <w:top w:val="none" w:sz="0" w:space="0" w:color="auto"/>
                    <w:left w:val="none" w:sz="0" w:space="0" w:color="auto"/>
                    <w:bottom w:val="none" w:sz="0" w:space="0" w:color="auto"/>
                    <w:right w:val="none" w:sz="0" w:space="0" w:color="auto"/>
                  </w:divBdr>
                  <w:divsChild>
                    <w:div w:id="1370913971">
                      <w:marLeft w:val="0"/>
                      <w:marRight w:val="0"/>
                      <w:marTop w:val="0"/>
                      <w:marBottom w:val="0"/>
                      <w:divBdr>
                        <w:top w:val="none" w:sz="0" w:space="0" w:color="auto"/>
                        <w:left w:val="none" w:sz="0" w:space="0" w:color="auto"/>
                        <w:bottom w:val="none" w:sz="0" w:space="0" w:color="auto"/>
                        <w:right w:val="none" w:sz="0" w:space="0" w:color="auto"/>
                      </w:divBdr>
                      <w:divsChild>
                        <w:div w:id="125858229">
                          <w:marLeft w:val="0"/>
                          <w:marRight w:val="0"/>
                          <w:marTop w:val="0"/>
                          <w:marBottom w:val="0"/>
                          <w:divBdr>
                            <w:top w:val="none" w:sz="0" w:space="0" w:color="auto"/>
                            <w:left w:val="none" w:sz="0" w:space="0" w:color="auto"/>
                            <w:bottom w:val="none" w:sz="0" w:space="0" w:color="auto"/>
                            <w:right w:val="none" w:sz="0" w:space="0" w:color="auto"/>
                          </w:divBdr>
                          <w:divsChild>
                            <w:div w:id="789860621">
                              <w:marLeft w:val="0"/>
                              <w:marRight w:val="0"/>
                              <w:marTop w:val="0"/>
                              <w:marBottom w:val="0"/>
                              <w:divBdr>
                                <w:top w:val="none" w:sz="0" w:space="0" w:color="auto"/>
                                <w:left w:val="none" w:sz="0" w:space="0" w:color="auto"/>
                                <w:bottom w:val="none" w:sz="0" w:space="0" w:color="auto"/>
                                <w:right w:val="none" w:sz="0" w:space="0" w:color="auto"/>
                              </w:divBdr>
                              <w:divsChild>
                                <w:div w:id="2021614774">
                                  <w:marLeft w:val="0"/>
                                  <w:marRight w:val="0"/>
                                  <w:marTop w:val="0"/>
                                  <w:marBottom w:val="0"/>
                                  <w:divBdr>
                                    <w:top w:val="none" w:sz="0" w:space="0" w:color="auto"/>
                                    <w:left w:val="none" w:sz="0" w:space="0" w:color="auto"/>
                                    <w:bottom w:val="none" w:sz="0" w:space="0" w:color="auto"/>
                                    <w:right w:val="none" w:sz="0" w:space="0" w:color="auto"/>
                                  </w:divBdr>
                                  <w:divsChild>
                                    <w:div w:id="643316957">
                                      <w:marLeft w:val="0"/>
                                      <w:marRight w:val="0"/>
                                      <w:marTop w:val="0"/>
                                      <w:marBottom w:val="0"/>
                                      <w:divBdr>
                                        <w:top w:val="none" w:sz="0" w:space="0" w:color="auto"/>
                                        <w:left w:val="none" w:sz="0" w:space="0" w:color="auto"/>
                                        <w:bottom w:val="none" w:sz="0" w:space="0" w:color="auto"/>
                                        <w:right w:val="none" w:sz="0" w:space="0" w:color="auto"/>
                                      </w:divBdr>
                                      <w:divsChild>
                                        <w:div w:id="68969673">
                                          <w:marLeft w:val="0"/>
                                          <w:marRight w:val="0"/>
                                          <w:marTop w:val="0"/>
                                          <w:marBottom w:val="0"/>
                                          <w:divBdr>
                                            <w:top w:val="none" w:sz="0" w:space="0" w:color="auto"/>
                                            <w:left w:val="none" w:sz="0" w:space="0" w:color="auto"/>
                                            <w:bottom w:val="none" w:sz="0" w:space="0" w:color="auto"/>
                                            <w:right w:val="none" w:sz="0" w:space="0" w:color="auto"/>
                                          </w:divBdr>
                                          <w:divsChild>
                                            <w:div w:id="757022421">
                                              <w:marLeft w:val="0"/>
                                              <w:marRight w:val="0"/>
                                              <w:marTop w:val="0"/>
                                              <w:marBottom w:val="0"/>
                                              <w:divBdr>
                                                <w:top w:val="none" w:sz="0" w:space="0" w:color="auto"/>
                                                <w:left w:val="none" w:sz="0" w:space="0" w:color="auto"/>
                                                <w:bottom w:val="none" w:sz="0" w:space="0" w:color="auto"/>
                                                <w:right w:val="none" w:sz="0" w:space="0" w:color="auto"/>
                                              </w:divBdr>
                                              <w:divsChild>
                                                <w:div w:id="1786582822">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208444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1563-noteikumi-par-vienkarsoto-deklaresanu-un-vietejo-muitosanu-atzita-nosutitaja-un-atzita-sanemeja-statusu-vienoto-atlauju" TargetMode="External"/><Relationship Id="rId13" Type="http://schemas.openxmlformats.org/officeDocument/2006/relationships/hyperlink" Target="mailto:Diana.Cveigele@vi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ka.Vibane@f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taxation_customs/customs/policy_issues/customs_security/aeo/index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d.gov.lv/lv/ierobezojumi-un-aizliegumi-precu-parvietosanai"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6R1013:20120308:LV: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7293-15DD-4C58-8CF1-B3182DAE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31012</Words>
  <Characters>17678</Characters>
  <Application>Microsoft Office Word</Application>
  <DocSecurity>0</DocSecurity>
  <Lines>147</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“Muitas atļauju noteikumi” anotācija</vt:lpstr>
      <vt:lpstr>Noteikumi par vienkāršoto deklarēšanu un vietējo muitošanu, atzītā nosūtītāja un atzītā saņēmēja statusu, vienoto atļauju un atzītā komersanta sertifikātu</vt:lpstr>
    </vt:vector>
  </TitlesOfParts>
  <Manager>Solvita Āmare-Pilka</Manager>
  <Company>Finanšu ministrija</Company>
  <LinksUpToDate>false</LinksUpToDate>
  <CharactersWithSpaces>48593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“Muitas atļauju noteikumi” anotācija</dc:title>
  <dc:subject>Anotācija</dc:subject>
  <dc:creator>Marika Vībāne</dc:creator>
  <cp:keywords>muita</cp:keywords>
  <dc:description>Marika.Vibane@fm.gov.lv_x000d_
67095559</dc:description>
  <cp:lastModifiedBy>Jolanta Krastiņa</cp:lastModifiedBy>
  <cp:revision>4</cp:revision>
  <cp:lastPrinted>2017-08-09T15:03:00Z</cp:lastPrinted>
  <dcterms:created xsi:type="dcterms:W3CDTF">2017-08-09T09:09:00Z</dcterms:created>
  <dcterms:modified xsi:type="dcterms:W3CDTF">2017-08-09T15:03:00Z</dcterms:modified>
  <cp:category>Anotācija</cp:category>
</cp:coreProperties>
</file>