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98DE5" w14:textId="77777777" w:rsidR="009F0BEC" w:rsidRDefault="00240F51" w:rsidP="009F0BEC">
      <w:pPr>
        <w:spacing w:after="0" w:line="240" w:lineRule="auto"/>
        <w:jc w:val="center"/>
        <w:rPr>
          <w:rFonts w:eastAsia="Times New Roman" w:cs="Times New Roman"/>
          <w:b/>
          <w:bCs/>
          <w:szCs w:val="24"/>
          <w:lang w:eastAsia="lv-LV"/>
        </w:rPr>
      </w:pPr>
      <w:bookmarkStart w:id="0" w:name="_GoBack"/>
      <w:bookmarkEnd w:id="0"/>
      <w:r w:rsidRPr="009F0BEC">
        <w:rPr>
          <w:rFonts w:eastAsia="Times New Roman" w:cs="Times New Roman"/>
          <w:b/>
          <w:bCs/>
          <w:szCs w:val="24"/>
          <w:lang w:eastAsia="lv-LV"/>
        </w:rPr>
        <w:t xml:space="preserve"> </w:t>
      </w:r>
      <w:r w:rsidR="00EA44F3" w:rsidRPr="009F0BEC">
        <w:rPr>
          <w:rFonts w:eastAsia="Times New Roman" w:cs="Times New Roman"/>
          <w:b/>
          <w:bCs/>
          <w:szCs w:val="24"/>
          <w:lang w:eastAsia="lv-LV"/>
        </w:rPr>
        <w:t>Ministru kabineta noteikumu</w:t>
      </w:r>
      <w:r w:rsidR="005D4AE6" w:rsidRPr="009F0BEC">
        <w:rPr>
          <w:rFonts w:eastAsia="Times New Roman" w:cs="Times New Roman"/>
          <w:b/>
          <w:bCs/>
          <w:szCs w:val="24"/>
          <w:lang w:eastAsia="lv-LV"/>
        </w:rPr>
        <w:t xml:space="preserve"> projekta</w:t>
      </w:r>
    </w:p>
    <w:p w14:paraId="72432C12" w14:textId="5BA569CC" w:rsidR="005D4AE6" w:rsidRDefault="005D4AE6" w:rsidP="009F0BEC">
      <w:pPr>
        <w:spacing w:after="0" w:line="240" w:lineRule="auto"/>
        <w:jc w:val="center"/>
        <w:rPr>
          <w:rFonts w:eastAsia="Times New Roman" w:cs="Times New Roman"/>
          <w:b/>
          <w:bCs/>
          <w:szCs w:val="24"/>
          <w:lang w:eastAsia="lv-LV"/>
        </w:rPr>
      </w:pPr>
      <w:r w:rsidRPr="009F0BEC">
        <w:rPr>
          <w:rFonts w:eastAsia="Times New Roman" w:cs="Times New Roman"/>
          <w:b/>
          <w:bCs/>
          <w:szCs w:val="24"/>
          <w:lang w:eastAsia="lv-LV"/>
        </w:rPr>
        <w:t xml:space="preserve"> </w:t>
      </w:r>
      <w:r w:rsidR="00566458" w:rsidRPr="009F0BEC">
        <w:rPr>
          <w:rFonts w:eastAsia="Times New Roman" w:cs="Times New Roman"/>
          <w:b/>
          <w:bCs/>
          <w:szCs w:val="24"/>
          <w:lang w:eastAsia="lv-LV"/>
        </w:rPr>
        <w:t>“</w:t>
      </w:r>
      <w:r w:rsidR="00CE54F4" w:rsidRPr="009F0BEC">
        <w:rPr>
          <w:rFonts w:eastAsia="Times New Roman" w:cs="Times New Roman"/>
          <w:b/>
          <w:bCs/>
          <w:szCs w:val="24"/>
          <w:lang w:eastAsia="lv-LV"/>
        </w:rPr>
        <w:t>Muitas procedūras – tranzīts – piemērošanas noteikumi</w:t>
      </w:r>
      <w:r w:rsidR="00566458" w:rsidRPr="009F0BEC">
        <w:rPr>
          <w:rFonts w:eastAsia="Times New Roman" w:cs="Times New Roman"/>
          <w:b/>
          <w:bCs/>
          <w:szCs w:val="24"/>
          <w:lang w:eastAsia="lv-LV"/>
        </w:rPr>
        <w:t xml:space="preserve">” </w:t>
      </w:r>
      <w:r w:rsidRPr="009F0BEC">
        <w:rPr>
          <w:rFonts w:eastAsia="Times New Roman" w:cs="Times New Roman"/>
          <w:b/>
          <w:bCs/>
          <w:szCs w:val="24"/>
          <w:lang w:eastAsia="lv-LV"/>
        </w:rPr>
        <w:t>sākotnējās ietekmes novērtējuma ziņojums (anotācija)</w:t>
      </w:r>
    </w:p>
    <w:p w14:paraId="53AE63FD" w14:textId="77777777" w:rsidR="009F0BEC" w:rsidRPr="009F0BEC" w:rsidRDefault="009F0BEC" w:rsidP="009F0BEC">
      <w:pPr>
        <w:spacing w:after="0" w:line="240" w:lineRule="auto"/>
        <w:jc w:val="center"/>
        <w:rPr>
          <w:rFonts w:eastAsia="Times New Roman" w:cs="Times New Roman"/>
          <w:b/>
          <w:bCs/>
          <w:szCs w:val="24"/>
          <w:lang w:eastAsia="lv-LV"/>
        </w:rPr>
      </w:pPr>
    </w:p>
    <w:tbl>
      <w:tblPr>
        <w:tblW w:w="5327" w:type="pct"/>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
        <w:gridCol w:w="447"/>
        <w:gridCol w:w="8"/>
        <w:gridCol w:w="2657"/>
        <w:gridCol w:w="147"/>
        <w:gridCol w:w="6371"/>
        <w:gridCol w:w="10"/>
      </w:tblGrid>
      <w:tr w:rsidR="005D4AE6" w:rsidRPr="009F0BEC" w14:paraId="6357E53D" w14:textId="77777777" w:rsidTr="0037347C">
        <w:trPr>
          <w:gridBefore w:val="1"/>
          <w:gridAfter w:val="1"/>
          <w:wBefore w:w="4" w:type="pct"/>
          <w:wAfter w:w="5" w:type="pct"/>
          <w:trHeight w:val="405"/>
        </w:trPr>
        <w:tc>
          <w:tcPr>
            <w:tcW w:w="4991" w:type="pct"/>
            <w:gridSpan w:val="5"/>
            <w:tcBorders>
              <w:top w:val="outset" w:sz="6" w:space="0" w:color="auto"/>
              <w:left w:val="outset" w:sz="6" w:space="0" w:color="auto"/>
              <w:bottom w:val="outset" w:sz="6" w:space="0" w:color="auto"/>
              <w:right w:val="outset" w:sz="6" w:space="0" w:color="auto"/>
            </w:tcBorders>
            <w:vAlign w:val="center"/>
            <w:hideMark/>
          </w:tcPr>
          <w:p w14:paraId="15FE999D" w14:textId="77777777" w:rsidR="005D4AE6" w:rsidRPr="009F0BEC" w:rsidRDefault="005D4AE6" w:rsidP="005D4AE6">
            <w:pPr>
              <w:spacing w:before="100" w:beforeAutospacing="1" w:after="100" w:afterAutospacing="1" w:line="240" w:lineRule="auto"/>
              <w:rPr>
                <w:rFonts w:eastAsia="Times New Roman" w:cs="Times New Roman"/>
                <w:szCs w:val="24"/>
                <w:lang w:eastAsia="lv-LV"/>
              </w:rPr>
            </w:pPr>
            <w:r w:rsidRPr="009F0BEC">
              <w:rPr>
                <w:rFonts w:eastAsia="Times New Roman" w:cs="Times New Roman"/>
                <w:b/>
                <w:bCs/>
                <w:szCs w:val="24"/>
                <w:lang w:eastAsia="lv-LV"/>
              </w:rPr>
              <w:t>I. Tiesību akta projekta izstrādes nepieciešamība</w:t>
            </w:r>
          </w:p>
        </w:tc>
      </w:tr>
      <w:tr w:rsidR="00163B6D" w:rsidRPr="009F0BEC" w14:paraId="23F2CFE5" w14:textId="77777777" w:rsidTr="0037347C">
        <w:trPr>
          <w:gridBefore w:val="1"/>
          <w:gridAfter w:val="1"/>
          <w:wBefore w:w="4" w:type="pct"/>
          <w:wAfter w:w="5" w:type="pct"/>
          <w:trHeight w:val="405"/>
        </w:trPr>
        <w:tc>
          <w:tcPr>
            <w:tcW w:w="236" w:type="pct"/>
            <w:gridSpan w:val="2"/>
            <w:tcBorders>
              <w:top w:val="outset" w:sz="6" w:space="0" w:color="auto"/>
              <w:left w:val="outset" w:sz="6" w:space="0" w:color="auto"/>
              <w:bottom w:val="outset" w:sz="6" w:space="0" w:color="auto"/>
              <w:right w:val="outset" w:sz="6" w:space="0" w:color="auto"/>
            </w:tcBorders>
            <w:hideMark/>
          </w:tcPr>
          <w:p w14:paraId="3E0240C2" w14:textId="77777777" w:rsidR="005D4AE6" w:rsidRPr="009F0BEC" w:rsidRDefault="005D4AE6" w:rsidP="005D4AE6">
            <w:pPr>
              <w:spacing w:before="100" w:beforeAutospacing="1" w:after="100" w:afterAutospacing="1" w:line="240" w:lineRule="auto"/>
              <w:rPr>
                <w:rFonts w:eastAsia="Times New Roman" w:cs="Times New Roman"/>
                <w:szCs w:val="24"/>
                <w:lang w:eastAsia="lv-LV"/>
              </w:rPr>
            </w:pPr>
            <w:r w:rsidRPr="009F0BEC">
              <w:rPr>
                <w:rFonts w:eastAsia="Times New Roman" w:cs="Times New Roman"/>
                <w:szCs w:val="24"/>
                <w:lang w:eastAsia="lv-LV"/>
              </w:rPr>
              <w:t>1.</w:t>
            </w:r>
          </w:p>
        </w:tc>
        <w:tc>
          <w:tcPr>
            <w:tcW w:w="1377" w:type="pct"/>
            <w:tcBorders>
              <w:top w:val="outset" w:sz="6" w:space="0" w:color="auto"/>
              <w:left w:val="outset" w:sz="6" w:space="0" w:color="auto"/>
              <w:bottom w:val="outset" w:sz="6" w:space="0" w:color="auto"/>
              <w:right w:val="outset" w:sz="6" w:space="0" w:color="auto"/>
            </w:tcBorders>
            <w:hideMark/>
          </w:tcPr>
          <w:p w14:paraId="777B2605" w14:textId="77777777" w:rsidR="005D4AE6" w:rsidRPr="009F0BEC" w:rsidRDefault="005D4AE6" w:rsidP="005D4AE6">
            <w:pPr>
              <w:spacing w:after="0" w:line="240" w:lineRule="auto"/>
              <w:rPr>
                <w:rFonts w:eastAsia="Times New Roman" w:cs="Times New Roman"/>
                <w:szCs w:val="24"/>
                <w:lang w:eastAsia="lv-LV"/>
              </w:rPr>
            </w:pPr>
            <w:r w:rsidRPr="009F0BEC">
              <w:rPr>
                <w:rFonts w:eastAsia="Times New Roman" w:cs="Times New Roman"/>
                <w:szCs w:val="24"/>
                <w:lang w:eastAsia="lv-LV"/>
              </w:rPr>
              <w:t>Pamatojums</w:t>
            </w:r>
          </w:p>
        </w:tc>
        <w:tc>
          <w:tcPr>
            <w:tcW w:w="3378" w:type="pct"/>
            <w:gridSpan w:val="2"/>
            <w:tcBorders>
              <w:top w:val="outset" w:sz="6" w:space="0" w:color="auto"/>
              <w:left w:val="outset" w:sz="6" w:space="0" w:color="auto"/>
              <w:bottom w:val="outset" w:sz="6" w:space="0" w:color="auto"/>
              <w:right w:val="outset" w:sz="6" w:space="0" w:color="auto"/>
            </w:tcBorders>
            <w:hideMark/>
          </w:tcPr>
          <w:p w14:paraId="4A6E7BF6" w14:textId="45763FB6" w:rsidR="003A22FC" w:rsidRPr="009F0BEC" w:rsidRDefault="00A30EB2" w:rsidP="00261AE8">
            <w:pPr>
              <w:spacing w:after="0" w:line="240" w:lineRule="auto"/>
              <w:jc w:val="both"/>
              <w:rPr>
                <w:rFonts w:eastAsia="Times New Roman" w:cs="Times New Roman"/>
                <w:iCs/>
                <w:szCs w:val="24"/>
                <w:lang w:eastAsia="lv-LV"/>
              </w:rPr>
            </w:pPr>
            <w:r w:rsidRPr="009F0BEC">
              <w:rPr>
                <w:rFonts w:cs="Times New Roman"/>
              </w:rPr>
              <w:t>Muitas likum</w:t>
            </w:r>
            <w:r w:rsidR="0074527A" w:rsidRPr="009F0BEC">
              <w:rPr>
                <w:rFonts w:cs="Times New Roman"/>
              </w:rPr>
              <w:t>a</w:t>
            </w:r>
            <w:r w:rsidRPr="009F0BEC">
              <w:rPr>
                <w:rFonts w:cs="Times New Roman"/>
              </w:rPr>
              <w:t xml:space="preserve"> (turpmāk - likums) </w:t>
            </w:r>
            <w:r w:rsidR="00566458" w:rsidRPr="009F0BEC">
              <w:rPr>
                <w:rFonts w:eastAsia="Times New Roman" w:cs="Times New Roman"/>
                <w:iCs/>
                <w:szCs w:val="24"/>
                <w:lang w:eastAsia="lv-LV"/>
              </w:rPr>
              <w:t xml:space="preserve">6.panta </w:t>
            </w:r>
            <w:r w:rsidR="00261AE8" w:rsidRPr="009F0BEC">
              <w:rPr>
                <w:rFonts w:eastAsia="Times New Roman" w:cs="Times New Roman"/>
                <w:iCs/>
                <w:szCs w:val="24"/>
                <w:lang w:eastAsia="lv-LV"/>
              </w:rPr>
              <w:t>6.punkts</w:t>
            </w:r>
            <w:r w:rsidR="00710AA1" w:rsidRPr="009F0BEC">
              <w:rPr>
                <w:rFonts w:eastAsia="Times New Roman" w:cs="Times New Roman"/>
                <w:iCs/>
                <w:szCs w:val="24"/>
                <w:lang w:eastAsia="lv-LV"/>
              </w:rPr>
              <w:t>, 22.panta trešā daļa, 23.panta otrā daļa</w:t>
            </w:r>
            <w:r w:rsidR="003A22FC" w:rsidRPr="009F0BEC">
              <w:rPr>
                <w:rFonts w:eastAsia="Times New Roman" w:cs="Times New Roman"/>
                <w:iCs/>
                <w:szCs w:val="24"/>
                <w:lang w:eastAsia="lv-LV"/>
              </w:rPr>
              <w:t xml:space="preserve">. </w:t>
            </w:r>
          </w:p>
          <w:p w14:paraId="0B9666CF" w14:textId="77777777" w:rsidR="00A25683" w:rsidRPr="009F0BEC" w:rsidRDefault="00A25683" w:rsidP="00261AE8">
            <w:pPr>
              <w:spacing w:after="0" w:line="240" w:lineRule="auto"/>
              <w:jc w:val="both"/>
              <w:rPr>
                <w:rFonts w:eastAsia="Times New Roman" w:cs="Times New Roman"/>
                <w:szCs w:val="24"/>
                <w:lang w:eastAsia="lv-LV"/>
              </w:rPr>
            </w:pPr>
          </w:p>
        </w:tc>
      </w:tr>
      <w:tr w:rsidR="00163B6D" w:rsidRPr="009F0BEC" w14:paraId="557743E4" w14:textId="77777777" w:rsidTr="0037347C">
        <w:trPr>
          <w:gridBefore w:val="1"/>
          <w:gridAfter w:val="1"/>
          <w:wBefore w:w="4" w:type="pct"/>
          <w:wAfter w:w="5" w:type="pct"/>
          <w:trHeight w:val="465"/>
        </w:trPr>
        <w:tc>
          <w:tcPr>
            <w:tcW w:w="236" w:type="pct"/>
            <w:gridSpan w:val="2"/>
            <w:tcBorders>
              <w:top w:val="outset" w:sz="6" w:space="0" w:color="auto"/>
              <w:left w:val="outset" w:sz="6" w:space="0" w:color="auto"/>
              <w:bottom w:val="outset" w:sz="6" w:space="0" w:color="auto"/>
              <w:right w:val="outset" w:sz="6" w:space="0" w:color="auto"/>
            </w:tcBorders>
            <w:hideMark/>
          </w:tcPr>
          <w:p w14:paraId="351E3C9D" w14:textId="77777777" w:rsidR="005D4AE6" w:rsidRPr="009F0BEC" w:rsidRDefault="005D4AE6" w:rsidP="005D4AE6">
            <w:pPr>
              <w:spacing w:before="100" w:beforeAutospacing="1" w:after="100" w:afterAutospacing="1" w:line="240" w:lineRule="auto"/>
              <w:rPr>
                <w:rFonts w:eastAsia="Times New Roman" w:cs="Times New Roman"/>
                <w:szCs w:val="24"/>
                <w:lang w:eastAsia="lv-LV"/>
              </w:rPr>
            </w:pPr>
            <w:r w:rsidRPr="009F0BEC">
              <w:rPr>
                <w:rFonts w:eastAsia="Times New Roman" w:cs="Times New Roman"/>
                <w:szCs w:val="24"/>
                <w:lang w:eastAsia="lv-LV"/>
              </w:rPr>
              <w:t>2.</w:t>
            </w:r>
          </w:p>
        </w:tc>
        <w:tc>
          <w:tcPr>
            <w:tcW w:w="1377" w:type="pct"/>
            <w:tcBorders>
              <w:top w:val="outset" w:sz="6" w:space="0" w:color="auto"/>
              <w:left w:val="outset" w:sz="6" w:space="0" w:color="auto"/>
              <w:bottom w:val="outset" w:sz="6" w:space="0" w:color="auto"/>
              <w:right w:val="outset" w:sz="6" w:space="0" w:color="auto"/>
            </w:tcBorders>
            <w:hideMark/>
          </w:tcPr>
          <w:p w14:paraId="64082441" w14:textId="77777777" w:rsidR="001D2F2C" w:rsidRPr="009F0BEC" w:rsidRDefault="005D4AE6" w:rsidP="005D4AE6">
            <w:pPr>
              <w:spacing w:after="0" w:line="240" w:lineRule="auto"/>
              <w:rPr>
                <w:rFonts w:eastAsia="Times New Roman" w:cs="Times New Roman"/>
                <w:szCs w:val="24"/>
                <w:lang w:eastAsia="lv-LV"/>
              </w:rPr>
            </w:pPr>
            <w:r w:rsidRPr="009F0BEC">
              <w:rPr>
                <w:rFonts w:eastAsia="Times New Roman" w:cs="Times New Roman"/>
                <w:szCs w:val="24"/>
                <w:lang w:eastAsia="lv-LV"/>
              </w:rPr>
              <w:t>Pašreizējā situācija un problēmas, kuru risināšanai tiesību akta projekts izstrādāts, tiesiskā regulējuma mērķis un būtība</w:t>
            </w:r>
          </w:p>
          <w:p w14:paraId="2763CDEC" w14:textId="77777777" w:rsidR="001D2F2C" w:rsidRPr="009F0BEC" w:rsidRDefault="001D2F2C" w:rsidP="00C627CC">
            <w:pPr>
              <w:rPr>
                <w:rFonts w:eastAsia="Times New Roman" w:cs="Times New Roman"/>
                <w:szCs w:val="24"/>
                <w:lang w:eastAsia="lv-LV"/>
              </w:rPr>
            </w:pPr>
          </w:p>
          <w:p w14:paraId="3ADF9753" w14:textId="77777777" w:rsidR="001D2F2C" w:rsidRPr="009F0BEC" w:rsidRDefault="001D2F2C" w:rsidP="00C627CC">
            <w:pPr>
              <w:rPr>
                <w:rFonts w:eastAsia="Times New Roman" w:cs="Times New Roman"/>
                <w:szCs w:val="24"/>
                <w:lang w:eastAsia="lv-LV"/>
              </w:rPr>
            </w:pPr>
          </w:p>
          <w:p w14:paraId="2EBD14A9" w14:textId="77777777" w:rsidR="001D2F2C" w:rsidRPr="009F0BEC" w:rsidRDefault="001D2F2C" w:rsidP="00C627CC">
            <w:pPr>
              <w:rPr>
                <w:rFonts w:eastAsia="Times New Roman" w:cs="Times New Roman"/>
                <w:szCs w:val="24"/>
                <w:lang w:eastAsia="lv-LV"/>
              </w:rPr>
            </w:pPr>
          </w:p>
          <w:p w14:paraId="26CE5224" w14:textId="77777777" w:rsidR="001D2F2C" w:rsidRPr="009F0BEC" w:rsidRDefault="001D2F2C" w:rsidP="00C627CC">
            <w:pPr>
              <w:rPr>
                <w:rFonts w:eastAsia="Times New Roman" w:cs="Times New Roman"/>
                <w:szCs w:val="24"/>
                <w:lang w:eastAsia="lv-LV"/>
              </w:rPr>
            </w:pPr>
          </w:p>
          <w:p w14:paraId="5431F223" w14:textId="77777777" w:rsidR="001D2F2C" w:rsidRPr="009F0BEC" w:rsidRDefault="001D2F2C" w:rsidP="00C627CC">
            <w:pPr>
              <w:rPr>
                <w:rFonts w:eastAsia="Times New Roman" w:cs="Times New Roman"/>
                <w:szCs w:val="24"/>
                <w:lang w:eastAsia="lv-LV"/>
              </w:rPr>
            </w:pPr>
          </w:p>
          <w:p w14:paraId="1B23185C" w14:textId="77777777" w:rsidR="001D2F2C" w:rsidRPr="009F0BEC" w:rsidRDefault="001D2F2C" w:rsidP="00C627CC">
            <w:pPr>
              <w:rPr>
                <w:rFonts w:eastAsia="Times New Roman" w:cs="Times New Roman"/>
                <w:szCs w:val="24"/>
                <w:lang w:eastAsia="lv-LV"/>
              </w:rPr>
            </w:pPr>
          </w:p>
          <w:p w14:paraId="2C6A4DA0" w14:textId="77777777" w:rsidR="001D2F2C" w:rsidRPr="009F0BEC" w:rsidRDefault="001D2F2C" w:rsidP="00C627CC">
            <w:pPr>
              <w:rPr>
                <w:rFonts w:eastAsia="Times New Roman" w:cs="Times New Roman"/>
                <w:szCs w:val="24"/>
                <w:lang w:eastAsia="lv-LV"/>
              </w:rPr>
            </w:pPr>
          </w:p>
          <w:p w14:paraId="0530C28E" w14:textId="77777777" w:rsidR="001D2F2C" w:rsidRPr="009F0BEC" w:rsidRDefault="001D2F2C" w:rsidP="00C627CC">
            <w:pPr>
              <w:rPr>
                <w:rFonts w:eastAsia="Times New Roman" w:cs="Times New Roman"/>
                <w:szCs w:val="24"/>
                <w:lang w:eastAsia="lv-LV"/>
              </w:rPr>
            </w:pPr>
          </w:p>
          <w:p w14:paraId="3AA46361" w14:textId="77777777" w:rsidR="001D2F2C" w:rsidRPr="009F0BEC" w:rsidRDefault="001D2F2C" w:rsidP="001D2F2C">
            <w:pPr>
              <w:rPr>
                <w:rFonts w:eastAsia="Times New Roman" w:cs="Times New Roman"/>
                <w:szCs w:val="24"/>
                <w:lang w:eastAsia="lv-LV"/>
              </w:rPr>
            </w:pPr>
          </w:p>
          <w:p w14:paraId="4F855701" w14:textId="77777777" w:rsidR="003E1AB9" w:rsidRPr="009F0BEC" w:rsidRDefault="003E1AB9" w:rsidP="00C627CC">
            <w:pPr>
              <w:rPr>
                <w:rFonts w:eastAsia="Times New Roman" w:cs="Times New Roman"/>
                <w:szCs w:val="24"/>
                <w:lang w:eastAsia="lv-LV"/>
              </w:rPr>
            </w:pPr>
          </w:p>
          <w:p w14:paraId="4967A83D" w14:textId="77777777" w:rsidR="003E1AB9" w:rsidRPr="009F0BEC" w:rsidRDefault="003E1AB9" w:rsidP="003E1AB9">
            <w:pPr>
              <w:rPr>
                <w:rFonts w:eastAsia="Times New Roman" w:cs="Times New Roman"/>
                <w:szCs w:val="24"/>
                <w:lang w:eastAsia="lv-LV"/>
              </w:rPr>
            </w:pPr>
          </w:p>
          <w:p w14:paraId="28AE1510" w14:textId="77777777" w:rsidR="003E1AB9" w:rsidRPr="009F0BEC" w:rsidRDefault="003E1AB9" w:rsidP="003E1AB9">
            <w:pPr>
              <w:rPr>
                <w:rFonts w:eastAsia="Times New Roman" w:cs="Times New Roman"/>
                <w:szCs w:val="24"/>
                <w:lang w:eastAsia="lv-LV"/>
              </w:rPr>
            </w:pPr>
          </w:p>
          <w:p w14:paraId="396AC5AE" w14:textId="77777777" w:rsidR="003E1AB9" w:rsidRPr="009F0BEC" w:rsidRDefault="003E1AB9" w:rsidP="003E1AB9">
            <w:pPr>
              <w:rPr>
                <w:rFonts w:eastAsia="Times New Roman" w:cs="Times New Roman"/>
                <w:szCs w:val="24"/>
                <w:lang w:eastAsia="lv-LV"/>
              </w:rPr>
            </w:pPr>
          </w:p>
          <w:p w14:paraId="502E66E5" w14:textId="77777777" w:rsidR="003E1AB9" w:rsidRPr="009F0BEC" w:rsidRDefault="003E1AB9" w:rsidP="003E1AB9">
            <w:pPr>
              <w:rPr>
                <w:rFonts w:eastAsia="Times New Roman" w:cs="Times New Roman"/>
                <w:szCs w:val="24"/>
                <w:lang w:eastAsia="lv-LV"/>
              </w:rPr>
            </w:pPr>
          </w:p>
          <w:p w14:paraId="1F2E525C" w14:textId="77777777" w:rsidR="003E1AB9" w:rsidRPr="009F0BEC" w:rsidRDefault="003E1AB9" w:rsidP="003E1AB9">
            <w:pPr>
              <w:rPr>
                <w:rFonts w:eastAsia="Times New Roman" w:cs="Times New Roman"/>
                <w:szCs w:val="24"/>
                <w:lang w:eastAsia="lv-LV"/>
              </w:rPr>
            </w:pPr>
          </w:p>
          <w:p w14:paraId="4F1A4DDE" w14:textId="77777777" w:rsidR="003E1AB9" w:rsidRPr="009F0BEC" w:rsidRDefault="003E1AB9" w:rsidP="003E1AB9">
            <w:pPr>
              <w:rPr>
                <w:rFonts w:eastAsia="Times New Roman" w:cs="Times New Roman"/>
                <w:szCs w:val="24"/>
                <w:lang w:eastAsia="lv-LV"/>
              </w:rPr>
            </w:pPr>
          </w:p>
          <w:p w14:paraId="3F2A0B33" w14:textId="77777777" w:rsidR="003E1AB9" w:rsidRPr="009F0BEC" w:rsidRDefault="003E1AB9" w:rsidP="003E1AB9">
            <w:pPr>
              <w:rPr>
                <w:rFonts w:eastAsia="Times New Roman" w:cs="Times New Roman"/>
                <w:szCs w:val="24"/>
                <w:lang w:eastAsia="lv-LV"/>
              </w:rPr>
            </w:pPr>
          </w:p>
          <w:p w14:paraId="4AFC7D4B" w14:textId="77777777" w:rsidR="003E1AB9" w:rsidRPr="009F0BEC" w:rsidRDefault="003E1AB9" w:rsidP="003E1AB9">
            <w:pPr>
              <w:rPr>
                <w:rFonts w:eastAsia="Times New Roman" w:cs="Times New Roman"/>
                <w:szCs w:val="24"/>
                <w:lang w:eastAsia="lv-LV"/>
              </w:rPr>
            </w:pPr>
          </w:p>
          <w:p w14:paraId="535F70F3" w14:textId="77777777" w:rsidR="005D4AE6" w:rsidRPr="009F0BEC" w:rsidRDefault="005D4AE6" w:rsidP="003E1AB9">
            <w:pPr>
              <w:rPr>
                <w:rFonts w:eastAsia="Times New Roman" w:cs="Times New Roman"/>
                <w:szCs w:val="24"/>
                <w:lang w:eastAsia="lv-LV"/>
              </w:rPr>
            </w:pPr>
          </w:p>
        </w:tc>
        <w:tc>
          <w:tcPr>
            <w:tcW w:w="3378" w:type="pct"/>
            <w:gridSpan w:val="2"/>
            <w:tcBorders>
              <w:top w:val="outset" w:sz="6" w:space="0" w:color="auto"/>
              <w:left w:val="outset" w:sz="6" w:space="0" w:color="auto"/>
              <w:bottom w:val="outset" w:sz="6" w:space="0" w:color="auto"/>
              <w:right w:val="outset" w:sz="6" w:space="0" w:color="auto"/>
            </w:tcBorders>
            <w:hideMark/>
          </w:tcPr>
          <w:p w14:paraId="0F7CF7CB" w14:textId="77777777" w:rsidR="004C4C34" w:rsidRPr="009F0BEC" w:rsidRDefault="004C4C34" w:rsidP="003462D6">
            <w:pPr>
              <w:spacing w:after="0" w:line="240" w:lineRule="auto"/>
              <w:ind w:firstLine="395"/>
              <w:jc w:val="both"/>
              <w:rPr>
                <w:rFonts w:eastAsia="Times New Roman" w:cs="Times New Roman"/>
                <w:szCs w:val="24"/>
                <w:lang w:eastAsia="lv-LV"/>
              </w:rPr>
            </w:pPr>
            <w:r w:rsidRPr="009F0BEC">
              <w:rPr>
                <w:rFonts w:eastAsia="Times New Roman" w:cs="Times New Roman"/>
                <w:szCs w:val="24"/>
                <w:lang w:eastAsia="lv-LV"/>
              </w:rPr>
              <w:t>2016.gada 1.maij</w:t>
            </w:r>
            <w:r w:rsidR="003462D6" w:rsidRPr="009F0BEC">
              <w:rPr>
                <w:rFonts w:eastAsia="Times New Roman" w:cs="Times New Roman"/>
                <w:szCs w:val="24"/>
                <w:lang w:eastAsia="lv-LV"/>
              </w:rPr>
              <w:t>ā</w:t>
            </w:r>
            <w:r w:rsidRPr="009F0BEC">
              <w:rPr>
                <w:rFonts w:eastAsia="Times New Roman" w:cs="Times New Roman"/>
                <w:szCs w:val="24"/>
                <w:lang w:eastAsia="lv-LV"/>
              </w:rPr>
              <w:t xml:space="preserve"> </w:t>
            </w:r>
            <w:r w:rsidR="000739CF" w:rsidRPr="009F0BEC">
              <w:rPr>
                <w:rFonts w:eastAsia="Times New Roman" w:cs="Times New Roman"/>
                <w:szCs w:val="24"/>
                <w:lang w:eastAsia="lv-LV"/>
              </w:rPr>
              <w:t>spēkā stā</w:t>
            </w:r>
            <w:r w:rsidR="003462D6" w:rsidRPr="009F0BEC">
              <w:rPr>
                <w:rFonts w:eastAsia="Times New Roman" w:cs="Times New Roman"/>
                <w:szCs w:val="24"/>
                <w:lang w:eastAsia="lv-LV"/>
              </w:rPr>
              <w:t>jās</w:t>
            </w:r>
            <w:r w:rsidRPr="009F0BEC">
              <w:rPr>
                <w:rFonts w:eastAsia="Times New Roman" w:cs="Times New Roman"/>
                <w:szCs w:val="24"/>
                <w:lang w:eastAsia="lv-LV"/>
              </w:rPr>
              <w:t xml:space="preserve"> Eiropas Parlamenta un Padomes 2013.gada 9.ok</w:t>
            </w:r>
            <w:r w:rsidR="00065975" w:rsidRPr="009F0BEC">
              <w:rPr>
                <w:rFonts w:eastAsia="Times New Roman" w:cs="Times New Roman"/>
                <w:szCs w:val="24"/>
                <w:lang w:eastAsia="lv-LV"/>
              </w:rPr>
              <w:t xml:space="preserve">tobra Regula (ES) Nr.952/2013, </w:t>
            </w:r>
            <w:r w:rsidRPr="009F0BEC">
              <w:rPr>
                <w:rFonts w:eastAsia="Times New Roman" w:cs="Times New Roman"/>
                <w:szCs w:val="24"/>
                <w:lang w:eastAsia="lv-LV"/>
              </w:rPr>
              <w:t>ar ko izveido Savienības Muitas kodeksu (turpmāk – regula Nr.952/2013), Komisijas Deleģētā regula (ES) 2015/2446 (2015.gada 28.jūlijs), ar ko papildina Eiropas Parlamenta un Padomes Regulu (ES) Nr. 952/2013 attiecībā uz sīki izstrādātiem noteikumiem, kuri attiecas uz dažiem Savienības Muitas kodeksa noteikumiem (turpmāk – regula Nr.2015/</w:t>
            </w:r>
            <w:r w:rsidR="00220EAE" w:rsidRPr="009F0BEC">
              <w:rPr>
                <w:rFonts w:eastAsia="Times New Roman" w:cs="Times New Roman"/>
                <w:szCs w:val="24"/>
                <w:lang w:eastAsia="lv-LV"/>
              </w:rPr>
              <w:t>2</w:t>
            </w:r>
            <w:r w:rsidRPr="009F0BEC">
              <w:rPr>
                <w:rFonts w:eastAsia="Times New Roman" w:cs="Times New Roman"/>
                <w:szCs w:val="24"/>
                <w:lang w:eastAsia="lv-LV"/>
              </w:rPr>
              <w:t>446</w:t>
            </w:r>
            <w:r w:rsidR="00220EAE" w:rsidRPr="009F0BEC">
              <w:rPr>
                <w:rFonts w:eastAsia="Times New Roman" w:cs="Times New Roman"/>
                <w:szCs w:val="24"/>
                <w:lang w:eastAsia="lv-LV"/>
              </w:rPr>
              <w:t>)</w:t>
            </w:r>
            <w:r w:rsidRPr="009F0BEC">
              <w:rPr>
                <w:rFonts w:eastAsia="Times New Roman" w:cs="Times New Roman"/>
                <w:szCs w:val="24"/>
                <w:lang w:eastAsia="lv-LV"/>
              </w:rPr>
              <w:t xml:space="preserve">, Komisijas Īstenošanas regula (ES) 2015/2447 (2015.gada 24.novembris), ar ko paredz sīki izstrādātus noteikumus, kas vajadzīgi, lai īstenotu konkrētus noteikumus Eiropas Parlamenta un Padomes Regulā (ES) Nr.952/2013, ar ko izveido Savienības Muitas kodeksu (turpmāk </w:t>
            </w:r>
            <w:r w:rsidR="000739CF" w:rsidRPr="009F0BEC">
              <w:rPr>
                <w:rFonts w:eastAsia="Times New Roman" w:cs="Times New Roman"/>
                <w:szCs w:val="24"/>
                <w:lang w:eastAsia="lv-LV"/>
              </w:rPr>
              <w:t>–</w:t>
            </w:r>
            <w:r w:rsidRPr="009F0BEC">
              <w:rPr>
                <w:rFonts w:eastAsia="Times New Roman" w:cs="Times New Roman"/>
                <w:szCs w:val="24"/>
                <w:lang w:eastAsia="lv-LV"/>
              </w:rPr>
              <w:t xml:space="preserve"> regula Nr.2015/2447)</w:t>
            </w:r>
            <w:r w:rsidR="00065975" w:rsidRPr="009F0BEC">
              <w:rPr>
                <w:rFonts w:eastAsia="Times New Roman" w:cs="Times New Roman"/>
                <w:szCs w:val="24"/>
                <w:lang w:eastAsia="lv-LV"/>
              </w:rPr>
              <w:t>,</w:t>
            </w:r>
            <w:r w:rsidRPr="009F0BEC">
              <w:rPr>
                <w:rFonts w:eastAsia="Times New Roman" w:cs="Times New Roman"/>
                <w:szCs w:val="24"/>
                <w:lang w:eastAsia="lv-LV"/>
              </w:rPr>
              <w:t xml:space="preserve"> </w:t>
            </w:r>
            <w:r w:rsidR="00065975" w:rsidRPr="009F0BEC">
              <w:rPr>
                <w:rFonts w:eastAsia="Times New Roman" w:cs="Times New Roman"/>
                <w:szCs w:val="24"/>
                <w:lang w:eastAsia="lv-LV"/>
              </w:rPr>
              <w:t>kā arī Komisijas 2015.gada 17.decembra Deleģētās Regulas (ES) 201</w:t>
            </w:r>
            <w:r w:rsidR="000739CF" w:rsidRPr="009F0BEC">
              <w:rPr>
                <w:rFonts w:eastAsia="Times New Roman" w:cs="Times New Roman"/>
                <w:szCs w:val="24"/>
                <w:lang w:eastAsia="lv-LV"/>
              </w:rPr>
              <w:t>6</w:t>
            </w:r>
            <w:r w:rsidR="00065975" w:rsidRPr="009F0BEC">
              <w:rPr>
                <w:rFonts w:eastAsia="Times New Roman" w:cs="Times New Roman"/>
                <w:szCs w:val="24"/>
                <w:lang w:eastAsia="lv-LV"/>
              </w:rPr>
              <w:t>/</w:t>
            </w:r>
            <w:r w:rsidR="000739CF" w:rsidRPr="009F0BEC">
              <w:rPr>
                <w:rFonts w:eastAsia="Times New Roman" w:cs="Times New Roman"/>
                <w:szCs w:val="24"/>
                <w:lang w:eastAsia="lv-LV"/>
              </w:rPr>
              <w:t>341</w:t>
            </w:r>
            <w:r w:rsidR="00065975" w:rsidRPr="009F0BEC">
              <w:rPr>
                <w:rFonts w:eastAsia="Times New Roman" w:cs="Times New Roman"/>
                <w:szCs w:val="24"/>
                <w:lang w:eastAsia="lv-LV"/>
              </w:rPr>
              <w:t xml:space="preserve">, ar ko papildina Eiropas Parlamenta un Padomes Regulu (ES) Nr.952/2013 attiecībā uz pārejas noteikumiem, kurus paredz attiecībā uz konkrētiem Savienības Muitas Kodeksa noteikumiem, ja attiecīgās elektroniskās sistēmas vēl nedarbojas, un groza Deleģēto regulu (ES) 2015/2446 (turpmāk </w:t>
            </w:r>
            <w:r w:rsidR="000739CF" w:rsidRPr="009F0BEC">
              <w:rPr>
                <w:rFonts w:eastAsia="Times New Roman" w:cs="Times New Roman"/>
                <w:szCs w:val="24"/>
                <w:lang w:eastAsia="lv-LV"/>
              </w:rPr>
              <w:t>–</w:t>
            </w:r>
            <w:r w:rsidR="00065975" w:rsidRPr="009F0BEC">
              <w:rPr>
                <w:rFonts w:eastAsia="Times New Roman" w:cs="Times New Roman"/>
                <w:szCs w:val="24"/>
                <w:lang w:eastAsia="lv-LV"/>
              </w:rPr>
              <w:t xml:space="preserve"> regula Nr.201</w:t>
            </w:r>
            <w:r w:rsidR="000739CF" w:rsidRPr="009F0BEC">
              <w:rPr>
                <w:rFonts w:eastAsia="Times New Roman" w:cs="Times New Roman"/>
                <w:szCs w:val="24"/>
                <w:lang w:eastAsia="lv-LV"/>
              </w:rPr>
              <w:t>6</w:t>
            </w:r>
            <w:r w:rsidR="00065975" w:rsidRPr="009F0BEC">
              <w:rPr>
                <w:rFonts w:eastAsia="Times New Roman" w:cs="Times New Roman"/>
                <w:szCs w:val="24"/>
                <w:lang w:eastAsia="lv-LV"/>
              </w:rPr>
              <w:t>/</w:t>
            </w:r>
            <w:r w:rsidR="000739CF" w:rsidRPr="009F0BEC">
              <w:rPr>
                <w:rFonts w:eastAsia="Times New Roman" w:cs="Times New Roman"/>
                <w:szCs w:val="24"/>
                <w:lang w:eastAsia="lv-LV"/>
              </w:rPr>
              <w:t>341</w:t>
            </w:r>
            <w:r w:rsidR="00065975" w:rsidRPr="009F0BEC">
              <w:rPr>
                <w:rFonts w:eastAsia="Times New Roman" w:cs="Times New Roman"/>
                <w:szCs w:val="24"/>
                <w:lang w:eastAsia="lv-LV"/>
              </w:rPr>
              <w:t>).</w:t>
            </w:r>
          </w:p>
          <w:p w14:paraId="483ACE3C" w14:textId="77777777" w:rsidR="00DC0827" w:rsidRPr="009F0BEC" w:rsidRDefault="00DC0827" w:rsidP="00013BC5">
            <w:pPr>
              <w:spacing w:after="0" w:line="240" w:lineRule="auto"/>
              <w:ind w:firstLine="505"/>
              <w:jc w:val="both"/>
              <w:rPr>
                <w:rFonts w:eastAsia="Times New Roman" w:cs="Times New Roman"/>
                <w:szCs w:val="24"/>
                <w:lang w:eastAsia="lv-LV"/>
              </w:rPr>
            </w:pPr>
            <w:r w:rsidRPr="009F0BEC">
              <w:rPr>
                <w:rFonts w:eastAsia="Times New Roman" w:cs="Times New Roman"/>
                <w:szCs w:val="24"/>
                <w:lang w:eastAsia="lv-LV"/>
              </w:rPr>
              <w:t xml:space="preserve">Starptautiskās tranzīta sistēmas – TIR procedūra – piemērošanas normatīvais regulējums ir noteikts saskaņā ar 1975.gada 14.novembra Muitas </w:t>
            </w:r>
            <w:r w:rsidR="00D8477E" w:rsidRPr="009F0BEC">
              <w:rPr>
                <w:rFonts w:eastAsia="Times New Roman" w:cs="Times New Roman"/>
                <w:szCs w:val="24"/>
                <w:lang w:eastAsia="lv-LV"/>
              </w:rPr>
              <w:t xml:space="preserve">konvenciju </w:t>
            </w:r>
            <w:r w:rsidRPr="009F0BEC">
              <w:rPr>
                <w:rFonts w:eastAsia="Times New Roman" w:cs="Times New Roman"/>
                <w:szCs w:val="24"/>
                <w:lang w:eastAsia="lv-LV"/>
              </w:rPr>
              <w:t>par starptautiskajiem kravu pārvadājumiem, izmantojot TIR karneti (turpmāk – TIR konvencija). Atsevišķ</w:t>
            </w:r>
            <w:r w:rsidR="000739CF" w:rsidRPr="009F0BEC">
              <w:rPr>
                <w:rFonts w:eastAsia="Times New Roman" w:cs="Times New Roman"/>
                <w:szCs w:val="24"/>
                <w:lang w:eastAsia="lv-LV"/>
              </w:rPr>
              <w:t>us</w:t>
            </w:r>
            <w:r w:rsidRPr="009F0BEC">
              <w:rPr>
                <w:rFonts w:eastAsia="Times New Roman" w:cs="Times New Roman"/>
                <w:szCs w:val="24"/>
                <w:lang w:eastAsia="lv-LV"/>
              </w:rPr>
              <w:t xml:space="preserve"> TIR procedūras piemērošanas jautājum</w:t>
            </w:r>
            <w:r w:rsidR="000739CF" w:rsidRPr="009F0BEC">
              <w:rPr>
                <w:rFonts w:eastAsia="Times New Roman" w:cs="Times New Roman"/>
                <w:szCs w:val="24"/>
                <w:lang w:eastAsia="lv-LV"/>
              </w:rPr>
              <w:t>us</w:t>
            </w:r>
            <w:r w:rsidRPr="009F0BEC">
              <w:rPr>
                <w:rFonts w:eastAsia="Times New Roman" w:cs="Times New Roman"/>
                <w:szCs w:val="24"/>
                <w:lang w:eastAsia="lv-LV"/>
              </w:rPr>
              <w:t xml:space="preserve"> regulē </w:t>
            </w:r>
            <w:r w:rsidR="000C7692" w:rsidRPr="009F0BEC">
              <w:rPr>
                <w:rFonts w:eastAsia="Times New Roman" w:cs="Times New Roman"/>
                <w:szCs w:val="24"/>
                <w:lang w:eastAsia="lv-LV"/>
              </w:rPr>
              <w:t xml:space="preserve">minētie </w:t>
            </w:r>
            <w:r w:rsidRPr="009F0BEC">
              <w:rPr>
                <w:rFonts w:eastAsia="Times New Roman" w:cs="Times New Roman"/>
                <w:szCs w:val="24"/>
                <w:lang w:eastAsia="lv-LV"/>
              </w:rPr>
              <w:t xml:space="preserve">Eiropas Savienības (turpmāk – ES) muitas </w:t>
            </w:r>
            <w:r w:rsidR="000739CF" w:rsidRPr="009F0BEC">
              <w:rPr>
                <w:rFonts w:eastAsia="Times New Roman" w:cs="Times New Roman"/>
                <w:szCs w:val="24"/>
                <w:lang w:eastAsia="lv-LV"/>
              </w:rPr>
              <w:t xml:space="preserve">jomas </w:t>
            </w:r>
            <w:r w:rsidR="000C7692" w:rsidRPr="009F0BEC">
              <w:rPr>
                <w:rFonts w:eastAsia="Times New Roman" w:cs="Times New Roman"/>
                <w:szCs w:val="24"/>
                <w:lang w:eastAsia="lv-LV"/>
              </w:rPr>
              <w:t xml:space="preserve">tiesību akti </w:t>
            </w:r>
            <w:r w:rsidR="007E71EA" w:rsidRPr="009F0BEC">
              <w:rPr>
                <w:rFonts w:eastAsia="Times New Roman" w:cs="Times New Roman"/>
                <w:szCs w:val="24"/>
                <w:lang w:eastAsia="lv-LV"/>
              </w:rPr>
              <w:t>vai</w:t>
            </w:r>
            <w:r w:rsidRPr="009F0BEC">
              <w:rPr>
                <w:rFonts w:eastAsia="Times New Roman" w:cs="Times New Roman"/>
                <w:szCs w:val="24"/>
                <w:lang w:eastAsia="lv-LV"/>
              </w:rPr>
              <w:t xml:space="preserve"> </w:t>
            </w:r>
            <w:r w:rsidR="000739CF" w:rsidRPr="009F0BEC">
              <w:rPr>
                <w:rFonts w:eastAsia="Times New Roman" w:cs="Times New Roman"/>
                <w:szCs w:val="24"/>
                <w:lang w:eastAsia="lv-LV"/>
              </w:rPr>
              <w:t xml:space="preserve">tie </w:t>
            </w:r>
            <w:r w:rsidRPr="009F0BEC">
              <w:rPr>
                <w:rFonts w:eastAsia="Times New Roman" w:cs="Times New Roman"/>
                <w:szCs w:val="24"/>
                <w:lang w:eastAsia="lv-LV"/>
              </w:rPr>
              <w:t>atstāti dalībvalstu kompetencē.</w:t>
            </w:r>
          </w:p>
          <w:p w14:paraId="1306A313" w14:textId="77777777" w:rsidR="00DC0827" w:rsidRPr="009F0BEC" w:rsidRDefault="00DC0827" w:rsidP="003D4842">
            <w:pPr>
              <w:spacing w:after="0" w:line="240" w:lineRule="auto"/>
              <w:jc w:val="both"/>
              <w:rPr>
                <w:rFonts w:eastAsia="Times New Roman" w:cs="Times New Roman"/>
                <w:szCs w:val="24"/>
                <w:lang w:eastAsia="lv-LV"/>
              </w:rPr>
            </w:pPr>
          </w:p>
          <w:p w14:paraId="00AACA20" w14:textId="6476F4DE" w:rsidR="00266EC7" w:rsidRPr="009F0BEC" w:rsidRDefault="004C4C34" w:rsidP="00013BC5">
            <w:pPr>
              <w:spacing w:after="0" w:line="240" w:lineRule="auto"/>
              <w:ind w:firstLine="505"/>
              <w:jc w:val="both"/>
              <w:rPr>
                <w:rFonts w:eastAsia="Times New Roman" w:cs="Times New Roman"/>
                <w:szCs w:val="24"/>
                <w:lang w:eastAsia="lv-LV"/>
              </w:rPr>
            </w:pPr>
            <w:r w:rsidRPr="009F0BEC">
              <w:rPr>
                <w:rFonts w:eastAsia="Times New Roman" w:cs="Times New Roman"/>
                <w:szCs w:val="24"/>
                <w:lang w:eastAsia="lv-LV"/>
              </w:rPr>
              <w:t xml:space="preserve">Salīdzinot ar </w:t>
            </w:r>
            <w:r w:rsidR="00E077E9" w:rsidRPr="009F0BEC">
              <w:rPr>
                <w:rFonts w:eastAsia="Times New Roman" w:cs="Times New Roman"/>
                <w:szCs w:val="24"/>
                <w:lang w:eastAsia="lv-LV"/>
              </w:rPr>
              <w:t xml:space="preserve">iepriekšējo </w:t>
            </w:r>
            <w:r w:rsidRPr="009F0BEC">
              <w:rPr>
                <w:rFonts w:eastAsia="Times New Roman" w:cs="Times New Roman"/>
                <w:szCs w:val="24"/>
                <w:lang w:eastAsia="lv-LV"/>
              </w:rPr>
              <w:t xml:space="preserve">regulējumu (Padomes 1992.gada 12.oktobra Regula (EEK) par Kopienas muitas kodeksa izveidi un Komisijas 1993.gada 2.jūlija Regula (EEK) Nr.2454/93, ar ko nosaka īstenošanas noteikumus Padomes Regulai (EEK) Nr.2913/92 par Kopienas Muitas kodeksa izveidi) attiecībā uz </w:t>
            </w:r>
            <w:r w:rsidR="00065975" w:rsidRPr="009F0BEC">
              <w:rPr>
                <w:rFonts w:eastAsia="Times New Roman" w:cs="Times New Roman"/>
                <w:szCs w:val="24"/>
                <w:lang w:eastAsia="lv-LV"/>
              </w:rPr>
              <w:t>tranzīta procedūras piemērošanu (Savienības (iepriekš – Kopienas) tranzīta procedūra, Kopīgā tranzīta procedūra un TIR procedūra)</w:t>
            </w:r>
            <w:r w:rsidRPr="009F0BEC">
              <w:rPr>
                <w:rFonts w:eastAsia="Times New Roman" w:cs="Times New Roman"/>
                <w:szCs w:val="24"/>
                <w:lang w:eastAsia="lv-LV"/>
              </w:rPr>
              <w:t>, jaunais regulējums</w:t>
            </w:r>
            <w:r w:rsidR="00266EC7" w:rsidRPr="009F0BEC">
              <w:rPr>
                <w:rFonts w:eastAsia="Times New Roman" w:cs="Times New Roman"/>
                <w:szCs w:val="24"/>
                <w:lang w:eastAsia="lv-LV"/>
              </w:rPr>
              <w:t>:</w:t>
            </w:r>
          </w:p>
          <w:p w14:paraId="3318E646" w14:textId="77777777" w:rsidR="00266EC7" w:rsidRPr="009F0BEC" w:rsidRDefault="000739CF" w:rsidP="00013BC5">
            <w:pPr>
              <w:spacing w:after="0" w:line="240" w:lineRule="auto"/>
              <w:ind w:firstLine="363"/>
              <w:jc w:val="both"/>
              <w:rPr>
                <w:rFonts w:eastAsia="Times New Roman" w:cs="Times New Roman"/>
                <w:szCs w:val="24"/>
                <w:lang w:eastAsia="lv-LV"/>
              </w:rPr>
            </w:pPr>
            <w:r w:rsidRPr="009F0BEC">
              <w:rPr>
                <w:rFonts w:eastAsia="Times New Roman" w:cs="Times New Roman"/>
                <w:szCs w:val="24"/>
                <w:lang w:eastAsia="lv-LV"/>
              </w:rPr>
              <w:t>–</w:t>
            </w:r>
            <w:r w:rsidR="004C4C34" w:rsidRPr="009F0BEC">
              <w:rPr>
                <w:rFonts w:eastAsia="Times New Roman" w:cs="Times New Roman"/>
                <w:szCs w:val="24"/>
                <w:lang w:eastAsia="lv-LV"/>
              </w:rPr>
              <w:t xml:space="preserve"> ievieš</w:t>
            </w:r>
            <w:r w:rsidR="00065975" w:rsidRPr="009F0BEC">
              <w:rPr>
                <w:rFonts w:eastAsia="Times New Roman" w:cs="Times New Roman"/>
                <w:szCs w:val="24"/>
                <w:lang w:eastAsia="lv-LV"/>
              </w:rPr>
              <w:t xml:space="preserve"> terminoloģijas</w:t>
            </w:r>
            <w:r w:rsidR="004C4C34" w:rsidRPr="009F0BEC">
              <w:rPr>
                <w:rFonts w:eastAsia="Times New Roman" w:cs="Times New Roman"/>
                <w:szCs w:val="24"/>
                <w:lang w:eastAsia="lv-LV"/>
              </w:rPr>
              <w:t xml:space="preserve"> izmaiņas</w:t>
            </w:r>
            <w:r w:rsidR="00065975" w:rsidRPr="009F0BEC">
              <w:rPr>
                <w:rFonts w:eastAsia="Times New Roman" w:cs="Times New Roman"/>
                <w:szCs w:val="24"/>
                <w:lang w:eastAsia="lv-LV"/>
              </w:rPr>
              <w:t xml:space="preserve"> (</w:t>
            </w:r>
            <w:r w:rsidR="00266EC7" w:rsidRPr="009F0BEC">
              <w:rPr>
                <w:rFonts w:eastAsia="Times New Roman" w:cs="Times New Roman"/>
                <w:szCs w:val="24"/>
                <w:lang w:eastAsia="lv-LV"/>
              </w:rPr>
              <w:t xml:space="preserve">piemēram, </w:t>
            </w:r>
            <w:r w:rsidRPr="009F0BEC">
              <w:rPr>
                <w:rFonts w:eastAsia="Times New Roman" w:cs="Times New Roman"/>
                <w:szCs w:val="24"/>
                <w:lang w:eastAsia="lv-LV"/>
              </w:rPr>
              <w:t>termins “principāls” aizstāts ar terminu “</w:t>
            </w:r>
            <w:r w:rsidR="00065975" w:rsidRPr="009F0BEC">
              <w:rPr>
                <w:rFonts w:eastAsia="Times New Roman" w:cs="Times New Roman"/>
                <w:szCs w:val="24"/>
                <w:lang w:eastAsia="lv-LV"/>
              </w:rPr>
              <w:t>procedūras izmantotāj</w:t>
            </w:r>
            <w:r w:rsidR="00266EC7" w:rsidRPr="009F0BEC">
              <w:rPr>
                <w:rFonts w:eastAsia="Times New Roman" w:cs="Times New Roman"/>
                <w:szCs w:val="24"/>
                <w:lang w:eastAsia="lv-LV"/>
              </w:rPr>
              <w:t>s</w:t>
            </w:r>
            <w:r w:rsidRPr="009F0BEC">
              <w:rPr>
                <w:rFonts w:eastAsia="Times New Roman" w:cs="Times New Roman"/>
                <w:szCs w:val="24"/>
                <w:lang w:eastAsia="lv-LV"/>
              </w:rPr>
              <w:t>”)</w:t>
            </w:r>
            <w:r w:rsidR="00266EC7" w:rsidRPr="009F0BEC">
              <w:rPr>
                <w:rFonts w:eastAsia="Times New Roman" w:cs="Times New Roman"/>
                <w:szCs w:val="24"/>
                <w:lang w:eastAsia="lv-LV"/>
              </w:rPr>
              <w:t>;</w:t>
            </w:r>
          </w:p>
          <w:p w14:paraId="5D46CB32" w14:textId="77777777" w:rsidR="00266EC7" w:rsidRPr="009F0BEC" w:rsidRDefault="000739CF" w:rsidP="00013BC5">
            <w:pPr>
              <w:spacing w:after="0" w:line="240" w:lineRule="auto"/>
              <w:ind w:firstLine="363"/>
              <w:jc w:val="both"/>
              <w:rPr>
                <w:rFonts w:eastAsia="Times New Roman" w:cs="Times New Roman"/>
                <w:szCs w:val="24"/>
                <w:lang w:eastAsia="lv-LV"/>
              </w:rPr>
            </w:pPr>
            <w:r w:rsidRPr="009F0BEC">
              <w:rPr>
                <w:rFonts w:eastAsia="Times New Roman" w:cs="Times New Roman"/>
                <w:szCs w:val="24"/>
                <w:lang w:eastAsia="lv-LV"/>
              </w:rPr>
              <w:t>–</w:t>
            </w:r>
            <w:r w:rsidR="00266EC7" w:rsidRPr="009F0BEC">
              <w:rPr>
                <w:rFonts w:eastAsia="Times New Roman" w:cs="Times New Roman"/>
                <w:szCs w:val="24"/>
                <w:lang w:eastAsia="lv-LV"/>
              </w:rPr>
              <w:t xml:space="preserve"> ievieš jaunus tranzīta procedūras vienkāršojumus (gaisa un jūras pārvadājumos elektroniskā pārvadājuma dokumenta izmantošana par tranzīta deklarāciju, tranzīta deklarācija ar samazinātām datu prasībām</w:t>
            </w:r>
            <w:r w:rsidR="00A40CD4" w:rsidRPr="009F0BEC">
              <w:rPr>
                <w:rFonts w:eastAsia="Times New Roman" w:cs="Times New Roman"/>
                <w:szCs w:val="24"/>
                <w:lang w:eastAsia="lv-LV"/>
              </w:rPr>
              <w:t>), kur</w:t>
            </w:r>
            <w:r w:rsidRPr="009F0BEC">
              <w:rPr>
                <w:rFonts w:eastAsia="Times New Roman" w:cs="Times New Roman"/>
                <w:szCs w:val="24"/>
                <w:lang w:eastAsia="lv-LV"/>
              </w:rPr>
              <w:t>us</w:t>
            </w:r>
            <w:r w:rsidR="00A40CD4" w:rsidRPr="009F0BEC">
              <w:rPr>
                <w:rFonts w:eastAsia="Times New Roman" w:cs="Times New Roman"/>
                <w:szCs w:val="24"/>
                <w:lang w:eastAsia="lv-LV"/>
              </w:rPr>
              <w:t xml:space="preserve"> piemēro</w:t>
            </w:r>
            <w:r w:rsidRPr="009F0BEC">
              <w:rPr>
                <w:rFonts w:eastAsia="Times New Roman" w:cs="Times New Roman"/>
                <w:szCs w:val="24"/>
                <w:lang w:eastAsia="lv-LV"/>
              </w:rPr>
              <w:t>s</w:t>
            </w:r>
            <w:r w:rsidR="00A40CD4" w:rsidRPr="009F0BEC">
              <w:rPr>
                <w:rFonts w:eastAsia="Times New Roman" w:cs="Times New Roman"/>
                <w:szCs w:val="24"/>
                <w:lang w:eastAsia="lv-LV"/>
              </w:rPr>
              <w:t xml:space="preserve"> atbilstoši regula</w:t>
            </w:r>
            <w:r w:rsidR="00B84776" w:rsidRPr="009F0BEC">
              <w:rPr>
                <w:rFonts w:eastAsia="Times New Roman" w:cs="Times New Roman"/>
                <w:szCs w:val="24"/>
                <w:lang w:eastAsia="lv-LV"/>
              </w:rPr>
              <w:t>s</w:t>
            </w:r>
            <w:r w:rsidR="00A40CD4" w:rsidRPr="009F0BEC">
              <w:rPr>
                <w:rFonts w:eastAsia="Times New Roman" w:cs="Times New Roman"/>
                <w:szCs w:val="24"/>
                <w:lang w:eastAsia="lv-LV"/>
              </w:rPr>
              <w:t xml:space="preserve"> Nr.201</w:t>
            </w:r>
            <w:r w:rsidRPr="009F0BEC">
              <w:rPr>
                <w:rFonts w:eastAsia="Times New Roman" w:cs="Times New Roman"/>
                <w:szCs w:val="24"/>
                <w:lang w:eastAsia="lv-LV"/>
              </w:rPr>
              <w:t>6</w:t>
            </w:r>
            <w:r w:rsidR="00A40CD4" w:rsidRPr="009F0BEC">
              <w:rPr>
                <w:rFonts w:eastAsia="Times New Roman" w:cs="Times New Roman"/>
                <w:szCs w:val="24"/>
                <w:lang w:eastAsia="lv-LV"/>
              </w:rPr>
              <w:t>/</w:t>
            </w:r>
            <w:r w:rsidRPr="009F0BEC">
              <w:rPr>
                <w:rFonts w:eastAsia="Times New Roman" w:cs="Times New Roman"/>
                <w:szCs w:val="24"/>
                <w:lang w:eastAsia="lv-LV"/>
              </w:rPr>
              <w:t>341</w:t>
            </w:r>
            <w:r w:rsidR="00266EC7" w:rsidRPr="009F0BEC">
              <w:rPr>
                <w:rFonts w:eastAsia="Times New Roman" w:cs="Times New Roman"/>
                <w:szCs w:val="24"/>
                <w:lang w:eastAsia="lv-LV"/>
              </w:rPr>
              <w:t xml:space="preserve"> </w:t>
            </w:r>
            <w:r w:rsidR="00A40CD4" w:rsidRPr="009F0BEC">
              <w:rPr>
                <w:rFonts w:eastAsia="Times New Roman" w:cs="Times New Roman"/>
                <w:szCs w:val="24"/>
                <w:lang w:eastAsia="lv-LV"/>
              </w:rPr>
              <w:t>24.pantā noteiktiem pārejas noteikumiem;</w:t>
            </w:r>
          </w:p>
          <w:p w14:paraId="7FEE123E" w14:textId="77777777" w:rsidR="00A40CD4" w:rsidRPr="009F0BEC" w:rsidRDefault="0050510A" w:rsidP="00013BC5">
            <w:pPr>
              <w:spacing w:after="0" w:line="240" w:lineRule="auto"/>
              <w:ind w:firstLine="363"/>
              <w:jc w:val="both"/>
              <w:rPr>
                <w:rFonts w:eastAsia="Times New Roman" w:cs="Times New Roman"/>
                <w:szCs w:val="24"/>
                <w:lang w:eastAsia="lv-LV"/>
              </w:rPr>
            </w:pPr>
            <w:r w:rsidRPr="009F0BEC">
              <w:rPr>
                <w:rFonts w:eastAsia="Times New Roman" w:cs="Times New Roman"/>
                <w:szCs w:val="24"/>
                <w:lang w:eastAsia="lv-LV"/>
              </w:rPr>
              <w:lastRenderedPageBreak/>
              <w:t>–</w:t>
            </w:r>
            <w:r w:rsidR="00A40CD4" w:rsidRPr="009F0BEC">
              <w:rPr>
                <w:rFonts w:eastAsia="Times New Roman" w:cs="Times New Roman"/>
                <w:szCs w:val="24"/>
                <w:lang w:eastAsia="lv-LV"/>
              </w:rPr>
              <w:t xml:space="preserve"> ievieš </w:t>
            </w:r>
            <w:r w:rsidR="00266EC7" w:rsidRPr="009F0BEC">
              <w:rPr>
                <w:rFonts w:eastAsia="Times New Roman" w:cs="Times New Roman"/>
                <w:szCs w:val="24"/>
                <w:lang w:eastAsia="lv-LV"/>
              </w:rPr>
              <w:t>izmaiņas</w:t>
            </w:r>
            <w:r w:rsidR="00A40CD4" w:rsidRPr="009F0BEC">
              <w:rPr>
                <w:rFonts w:eastAsia="Times New Roman" w:cs="Times New Roman"/>
                <w:szCs w:val="24"/>
                <w:lang w:eastAsia="lv-LV"/>
              </w:rPr>
              <w:t>, kas saistītas ar tranzīta procedūras uzraudzības tālāku elektronizāciju (elektroniskā starpgadījumu ceļā reģistrācija notikuma vietas muitas iestādē), paredzot piemērošanas pārejas noteikumus;</w:t>
            </w:r>
          </w:p>
          <w:p w14:paraId="6B3ECB35" w14:textId="77777777" w:rsidR="004C4C34" w:rsidRPr="009F0BEC" w:rsidRDefault="0050510A" w:rsidP="00013BC5">
            <w:pPr>
              <w:spacing w:after="0" w:line="240" w:lineRule="auto"/>
              <w:ind w:firstLine="363"/>
              <w:jc w:val="both"/>
              <w:rPr>
                <w:rFonts w:eastAsia="Times New Roman" w:cs="Times New Roman"/>
                <w:szCs w:val="24"/>
                <w:lang w:eastAsia="lv-LV"/>
              </w:rPr>
            </w:pPr>
            <w:r w:rsidRPr="009F0BEC">
              <w:rPr>
                <w:rFonts w:eastAsia="Times New Roman" w:cs="Times New Roman"/>
                <w:szCs w:val="24"/>
                <w:lang w:eastAsia="lv-LV"/>
              </w:rPr>
              <w:t>–</w:t>
            </w:r>
            <w:r w:rsidR="00A40CD4" w:rsidRPr="009F0BEC">
              <w:rPr>
                <w:rFonts w:eastAsia="Times New Roman" w:cs="Times New Roman"/>
                <w:szCs w:val="24"/>
                <w:lang w:eastAsia="lv-LV"/>
              </w:rPr>
              <w:t xml:space="preserve"> </w:t>
            </w:r>
            <w:r w:rsidR="00266EC7" w:rsidRPr="009F0BEC">
              <w:rPr>
                <w:rFonts w:eastAsia="Times New Roman" w:cs="Times New Roman"/>
                <w:szCs w:val="24"/>
                <w:lang w:eastAsia="lv-LV"/>
              </w:rPr>
              <w:t>neparedz deleģējumu</w:t>
            </w:r>
            <w:r w:rsidR="00DC0100" w:rsidRPr="009F0BEC">
              <w:rPr>
                <w:rFonts w:eastAsia="Times New Roman" w:cs="Times New Roman"/>
                <w:szCs w:val="24"/>
                <w:lang w:eastAsia="lv-LV"/>
              </w:rPr>
              <w:t xml:space="preserve"> </w:t>
            </w:r>
            <w:r w:rsidR="00B84776" w:rsidRPr="009F0BEC">
              <w:rPr>
                <w:rFonts w:eastAsia="Times New Roman" w:cs="Times New Roman"/>
                <w:szCs w:val="24"/>
                <w:lang w:eastAsia="lv-LV"/>
              </w:rPr>
              <w:t>ES</w:t>
            </w:r>
            <w:r w:rsidR="00DC0100" w:rsidRPr="009F0BEC">
              <w:rPr>
                <w:rFonts w:eastAsia="Times New Roman" w:cs="Times New Roman"/>
                <w:szCs w:val="24"/>
                <w:lang w:eastAsia="lv-LV"/>
              </w:rPr>
              <w:t xml:space="preserve"> dalībvalstīm noteikt nacionālos tranzīta procedūras vienkāršojumus</w:t>
            </w:r>
            <w:r w:rsidR="00952F49" w:rsidRPr="009F0BEC">
              <w:rPr>
                <w:rFonts w:eastAsia="Times New Roman" w:cs="Times New Roman"/>
                <w:szCs w:val="24"/>
                <w:lang w:eastAsia="lv-LV"/>
              </w:rPr>
              <w:t>.</w:t>
            </w:r>
          </w:p>
          <w:p w14:paraId="6306A5AA" w14:textId="77777777" w:rsidR="00B66928" w:rsidRPr="009F0BEC" w:rsidRDefault="00B66928" w:rsidP="00013BC5">
            <w:pPr>
              <w:spacing w:after="0" w:line="240" w:lineRule="auto"/>
              <w:ind w:firstLine="505"/>
              <w:jc w:val="both"/>
              <w:rPr>
                <w:rFonts w:eastAsia="Times New Roman" w:cs="Times New Roman"/>
                <w:szCs w:val="24"/>
                <w:lang w:eastAsia="lv-LV"/>
              </w:rPr>
            </w:pPr>
            <w:r w:rsidRPr="009F0BEC">
              <w:rPr>
                <w:rFonts w:eastAsia="Times New Roman" w:cs="Times New Roman"/>
                <w:szCs w:val="24"/>
                <w:lang w:eastAsia="lv-LV"/>
              </w:rPr>
              <w:t xml:space="preserve">Atsevišķi jautājumi, kas attiecas uz </w:t>
            </w:r>
            <w:r w:rsidR="00DC0100" w:rsidRPr="009F0BEC">
              <w:rPr>
                <w:rFonts w:eastAsia="Times New Roman" w:cs="Times New Roman"/>
                <w:szCs w:val="24"/>
                <w:lang w:eastAsia="lv-LV"/>
              </w:rPr>
              <w:t>tranzīta procedūras piemērošanu</w:t>
            </w:r>
            <w:r w:rsidRPr="009F0BEC">
              <w:rPr>
                <w:rFonts w:eastAsia="Times New Roman" w:cs="Times New Roman"/>
                <w:szCs w:val="24"/>
                <w:lang w:eastAsia="lv-LV"/>
              </w:rPr>
              <w:t xml:space="preserve">, atstāti </w:t>
            </w:r>
            <w:r w:rsidR="003C0EEB" w:rsidRPr="009F0BEC">
              <w:rPr>
                <w:rFonts w:eastAsia="Times New Roman" w:cs="Times New Roman"/>
                <w:szCs w:val="24"/>
                <w:lang w:eastAsia="lv-LV"/>
              </w:rPr>
              <w:t xml:space="preserve">ES </w:t>
            </w:r>
            <w:r w:rsidRPr="009F0BEC">
              <w:rPr>
                <w:rFonts w:eastAsia="Times New Roman" w:cs="Times New Roman"/>
                <w:szCs w:val="24"/>
                <w:lang w:eastAsia="lv-LV"/>
              </w:rPr>
              <w:t>dalībvalstu kompetencē.</w:t>
            </w:r>
          </w:p>
          <w:p w14:paraId="110E5CE0" w14:textId="77777777" w:rsidR="003C0EEB" w:rsidRPr="009F0BEC" w:rsidRDefault="003C0EEB" w:rsidP="00B84776">
            <w:pPr>
              <w:spacing w:after="0" w:line="240" w:lineRule="auto"/>
              <w:ind w:firstLine="540"/>
              <w:jc w:val="both"/>
              <w:rPr>
                <w:rFonts w:eastAsia="Times New Roman" w:cs="Times New Roman"/>
                <w:szCs w:val="24"/>
                <w:lang w:eastAsia="lv-LV"/>
              </w:rPr>
            </w:pPr>
          </w:p>
          <w:p w14:paraId="6F0DC95A" w14:textId="46B3CC44" w:rsidR="00DC0100" w:rsidRPr="009F0BEC" w:rsidRDefault="00952F49" w:rsidP="00B84776">
            <w:pPr>
              <w:spacing w:after="0" w:line="240" w:lineRule="auto"/>
              <w:ind w:firstLine="540"/>
              <w:jc w:val="both"/>
              <w:rPr>
                <w:rFonts w:cs="Times New Roman"/>
                <w:szCs w:val="24"/>
              </w:rPr>
            </w:pPr>
            <w:r w:rsidRPr="009F0BEC">
              <w:rPr>
                <w:rFonts w:eastAsia="Times New Roman" w:cs="Times New Roman"/>
                <w:szCs w:val="24"/>
                <w:lang w:eastAsia="lv-LV"/>
              </w:rPr>
              <w:t>Saistībā ar regulu Nr.952/2013, regulu Nr.2015/</w:t>
            </w:r>
            <w:r w:rsidR="00DC0100" w:rsidRPr="009F0BEC">
              <w:rPr>
                <w:rFonts w:eastAsia="Times New Roman" w:cs="Times New Roman"/>
                <w:szCs w:val="24"/>
                <w:lang w:eastAsia="lv-LV"/>
              </w:rPr>
              <w:t>2</w:t>
            </w:r>
            <w:r w:rsidRPr="009F0BEC">
              <w:rPr>
                <w:rFonts w:eastAsia="Times New Roman" w:cs="Times New Roman"/>
                <w:szCs w:val="24"/>
                <w:lang w:eastAsia="lv-LV"/>
              </w:rPr>
              <w:t xml:space="preserve">446 un regulu Nr.2015/2447 ir pieņemts </w:t>
            </w:r>
            <w:r w:rsidR="00A30EB2" w:rsidRPr="009F0BEC">
              <w:rPr>
                <w:rFonts w:eastAsia="Times New Roman" w:cs="Times New Roman"/>
                <w:szCs w:val="24"/>
                <w:lang w:eastAsia="lv-LV"/>
              </w:rPr>
              <w:t>likums</w:t>
            </w:r>
            <w:r w:rsidRPr="009F0BEC">
              <w:rPr>
                <w:rFonts w:eastAsia="Times New Roman" w:cs="Times New Roman"/>
                <w:szCs w:val="24"/>
                <w:lang w:eastAsia="lv-LV"/>
              </w:rPr>
              <w:t>, kura 6.</w:t>
            </w:r>
            <w:r w:rsidR="00DC0100" w:rsidRPr="009F0BEC">
              <w:rPr>
                <w:rFonts w:eastAsia="Times New Roman" w:cs="Times New Roman"/>
                <w:szCs w:val="24"/>
                <w:lang w:eastAsia="lv-LV"/>
              </w:rPr>
              <w:t xml:space="preserve">panta </w:t>
            </w:r>
            <w:r w:rsidR="001B7615" w:rsidRPr="009F0BEC">
              <w:rPr>
                <w:rFonts w:eastAsia="Times New Roman" w:cs="Times New Roman"/>
                <w:szCs w:val="24"/>
                <w:lang w:eastAsia="lv-LV"/>
              </w:rPr>
              <w:t>ses</w:t>
            </w:r>
            <w:r w:rsidR="00B9773A" w:rsidRPr="009F0BEC">
              <w:rPr>
                <w:rFonts w:eastAsia="Times New Roman" w:cs="Times New Roman"/>
                <w:szCs w:val="24"/>
                <w:lang w:eastAsia="lv-LV"/>
              </w:rPr>
              <w:t xml:space="preserve">tajā </w:t>
            </w:r>
            <w:r w:rsidR="006E0F94" w:rsidRPr="009F0BEC">
              <w:rPr>
                <w:rFonts w:eastAsia="Times New Roman" w:cs="Times New Roman"/>
                <w:szCs w:val="24"/>
                <w:lang w:eastAsia="lv-LV"/>
              </w:rPr>
              <w:t xml:space="preserve">punktā </w:t>
            </w:r>
            <w:r w:rsidR="00594438" w:rsidRPr="009F0BEC">
              <w:rPr>
                <w:rFonts w:eastAsia="Times New Roman" w:cs="Times New Roman"/>
                <w:szCs w:val="24"/>
                <w:lang w:eastAsia="lv-LV"/>
              </w:rPr>
              <w:t xml:space="preserve">noteikts </w:t>
            </w:r>
            <w:r w:rsidR="00B9773A" w:rsidRPr="009F0BEC">
              <w:rPr>
                <w:rFonts w:eastAsia="Times New Roman" w:cs="Times New Roman"/>
                <w:szCs w:val="24"/>
                <w:lang w:eastAsia="lv-LV"/>
              </w:rPr>
              <w:t>deleģējums Ministru kabinetam noteikt</w:t>
            </w:r>
            <w:r w:rsidR="001B7615" w:rsidRPr="009F0BEC">
              <w:rPr>
                <w:rFonts w:eastAsia="Times New Roman" w:cs="Times New Roman"/>
                <w:szCs w:val="24"/>
                <w:lang w:eastAsia="lv-LV"/>
              </w:rPr>
              <w:t xml:space="preserve"> </w:t>
            </w:r>
            <w:r w:rsidR="00591F47" w:rsidRPr="009F0BEC">
              <w:rPr>
                <w:rFonts w:eastAsia="Times New Roman" w:cs="Times New Roman"/>
                <w:szCs w:val="24"/>
                <w:lang w:eastAsia="lv-LV"/>
              </w:rPr>
              <w:t>atsevišķus nosacījumus attiecībā uz muitas procedūras — tranzīts — piemērošanas un noformēšanas kārtību, kā arī kārtību, kādā tranzīta deklarāciju atzīst par nederīgu</w:t>
            </w:r>
            <w:r w:rsidR="001B7615" w:rsidRPr="009F0BEC">
              <w:rPr>
                <w:rFonts w:eastAsia="Times New Roman" w:cs="Times New Roman"/>
                <w:szCs w:val="24"/>
                <w:lang w:eastAsia="lv-LV"/>
              </w:rPr>
              <w:t>.</w:t>
            </w:r>
            <w:r w:rsidR="001B7615" w:rsidRPr="009F0BEC">
              <w:rPr>
                <w:rFonts w:cs="Times New Roman"/>
                <w:szCs w:val="24"/>
              </w:rPr>
              <w:t xml:space="preserve"> </w:t>
            </w:r>
            <w:r w:rsidR="00A30EB2" w:rsidRPr="009F0BEC">
              <w:rPr>
                <w:rFonts w:cs="Times New Roman"/>
                <w:szCs w:val="24"/>
              </w:rPr>
              <w:t>Likuma</w:t>
            </w:r>
            <w:r w:rsidR="001B7615" w:rsidRPr="009F0BEC">
              <w:rPr>
                <w:rFonts w:cs="Times New Roman"/>
                <w:szCs w:val="24"/>
              </w:rPr>
              <w:t xml:space="preserve"> </w:t>
            </w:r>
            <w:r w:rsidR="00B20DDD" w:rsidRPr="009F0BEC">
              <w:rPr>
                <w:rFonts w:cs="Times New Roman"/>
                <w:szCs w:val="24"/>
              </w:rPr>
              <w:t>22</w:t>
            </w:r>
            <w:r w:rsidR="001B7615" w:rsidRPr="009F0BEC">
              <w:rPr>
                <w:rFonts w:cs="Times New Roman"/>
                <w:szCs w:val="24"/>
              </w:rPr>
              <w:t xml:space="preserve">.panta </w:t>
            </w:r>
            <w:r w:rsidR="00B20DDD" w:rsidRPr="009F0BEC">
              <w:rPr>
                <w:rFonts w:cs="Times New Roman"/>
                <w:szCs w:val="24"/>
              </w:rPr>
              <w:t>treš</w:t>
            </w:r>
            <w:r w:rsidR="001B7615" w:rsidRPr="009F0BEC">
              <w:rPr>
                <w:rFonts w:cs="Times New Roman"/>
                <w:szCs w:val="24"/>
              </w:rPr>
              <w:t>ajā daļā</w:t>
            </w:r>
            <w:r w:rsidR="00B20DDD" w:rsidRPr="009F0BEC">
              <w:rPr>
                <w:rFonts w:cs="Times New Roman"/>
                <w:szCs w:val="24"/>
              </w:rPr>
              <w:t xml:space="preserve"> </w:t>
            </w:r>
            <w:r w:rsidR="00594438" w:rsidRPr="009F0BEC">
              <w:rPr>
                <w:rFonts w:cs="Times New Roman"/>
                <w:szCs w:val="24"/>
              </w:rPr>
              <w:t xml:space="preserve">noteikts </w:t>
            </w:r>
            <w:r w:rsidR="00B20DDD" w:rsidRPr="009F0BEC">
              <w:rPr>
                <w:rFonts w:cs="Times New Roman"/>
                <w:szCs w:val="24"/>
              </w:rPr>
              <w:t xml:space="preserve">deleģējums Ministru kabinetam noteikt TIR karnetes turētāja atļaujas izsniegšanas, grozījumu veikšanas, apturēšanas, atjaunošanas un anulēšanas kārtību. Savukārt, </w:t>
            </w:r>
            <w:r w:rsidR="00A30EB2" w:rsidRPr="009F0BEC">
              <w:rPr>
                <w:rFonts w:cs="Times New Roman"/>
                <w:szCs w:val="24"/>
              </w:rPr>
              <w:t xml:space="preserve">likuma </w:t>
            </w:r>
            <w:r w:rsidR="00B20DDD" w:rsidRPr="009F0BEC">
              <w:rPr>
                <w:rFonts w:cs="Times New Roman"/>
                <w:szCs w:val="24"/>
              </w:rPr>
              <w:t xml:space="preserve">23.panta otrajā daļā </w:t>
            </w:r>
            <w:r w:rsidR="00594438" w:rsidRPr="009F0BEC">
              <w:rPr>
                <w:rFonts w:cs="Times New Roman"/>
                <w:szCs w:val="24"/>
              </w:rPr>
              <w:t xml:space="preserve">noteikts </w:t>
            </w:r>
            <w:r w:rsidR="00B20DDD" w:rsidRPr="009F0BEC">
              <w:rPr>
                <w:rFonts w:cs="Times New Roman"/>
                <w:szCs w:val="24"/>
              </w:rPr>
              <w:t>deleģējums Ministru kabinetam noteikt pilnvarotā nosūtītāja TIR procedūrā atļaujas izsniegšanas, atteikšanas izsniegt, grozīšanas, apturēšanas, atjaunošanas, un anulēšanas kārtību, kā arī pilnvarotā nosūtītāja TIR procedūrā atļaujas izmantošanas kārtību.</w:t>
            </w:r>
          </w:p>
          <w:p w14:paraId="7EF26293" w14:textId="77777777" w:rsidR="00B20DDD" w:rsidRPr="009F0BEC" w:rsidRDefault="00B20DDD" w:rsidP="00B9773A">
            <w:pPr>
              <w:spacing w:after="0" w:line="240" w:lineRule="auto"/>
              <w:jc w:val="both"/>
              <w:rPr>
                <w:rFonts w:eastAsia="Times New Roman" w:cs="Times New Roman"/>
                <w:szCs w:val="24"/>
                <w:lang w:eastAsia="lv-LV"/>
              </w:rPr>
            </w:pPr>
          </w:p>
          <w:p w14:paraId="33BC9C5C" w14:textId="77777777" w:rsidR="00470EA2" w:rsidRPr="009F0BEC" w:rsidRDefault="00CE54F4" w:rsidP="00013BC5">
            <w:pPr>
              <w:tabs>
                <w:tab w:val="left" w:pos="381"/>
              </w:tabs>
              <w:spacing w:after="0" w:line="240" w:lineRule="auto"/>
              <w:ind w:firstLine="505"/>
              <w:jc w:val="both"/>
              <w:rPr>
                <w:rFonts w:cs="Times New Roman"/>
                <w:szCs w:val="24"/>
              </w:rPr>
            </w:pPr>
            <w:r w:rsidRPr="009F0BEC">
              <w:rPr>
                <w:rFonts w:cs="Times New Roman"/>
                <w:szCs w:val="24"/>
              </w:rPr>
              <w:t xml:space="preserve">Šobrīd muitas procedūras – tranzīts – piemērošanas kārtību nosaka </w:t>
            </w:r>
            <w:r w:rsidRPr="009F0BEC">
              <w:rPr>
                <w:rFonts w:eastAsia="Times New Roman" w:cs="Times New Roman"/>
                <w:szCs w:val="24"/>
                <w:lang w:eastAsia="lv-LV"/>
              </w:rPr>
              <w:t>Ministru kabineta 2014.gada 30.septembra noteikumi Nr.603 “Muitas procedūras – tranzīts – piemērošanas kārtība” (Latvijas Vēstnesis, 2014, 205.nr.)</w:t>
            </w:r>
            <w:r w:rsidR="00470EA2" w:rsidRPr="009F0BEC">
              <w:rPr>
                <w:rFonts w:eastAsia="Times New Roman" w:cs="Times New Roman"/>
                <w:szCs w:val="24"/>
                <w:lang w:eastAsia="lv-LV"/>
              </w:rPr>
              <w:t xml:space="preserve"> (turpmāk – M</w:t>
            </w:r>
            <w:r w:rsidR="0050510A" w:rsidRPr="009F0BEC">
              <w:rPr>
                <w:rFonts w:eastAsia="Times New Roman" w:cs="Times New Roman"/>
                <w:szCs w:val="24"/>
                <w:lang w:eastAsia="lv-LV"/>
              </w:rPr>
              <w:t>inistru kabineta</w:t>
            </w:r>
            <w:r w:rsidR="00470EA2" w:rsidRPr="009F0BEC">
              <w:rPr>
                <w:rFonts w:eastAsia="Times New Roman" w:cs="Times New Roman"/>
                <w:szCs w:val="24"/>
                <w:lang w:eastAsia="lv-LV"/>
              </w:rPr>
              <w:t xml:space="preserve"> noteikumi Nr.603)</w:t>
            </w:r>
            <w:r w:rsidRPr="009F0BEC">
              <w:rPr>
                <w:rFonts w:cs="Times New Roman"/>
                <w:szCs w:val="24"/>
              </w:rPr>
              <w:t xml:space="preserve">. </w:t>
            </w:r>
            <w:r w:rsidR="00470EA2" w:rsidRPr="009F0BEC">
              <w:rPr>
                <w:rFonts w:cs="Times New Roman"/>
                <w:szCs w:val="24"/>
              </w:rPr>
              <w:t>Savukārt, tranzīta procedūras piemērošanu dabasgāzei un elektroenerģijai nosaka Ministru kabineta 2006.gada 30.maija noteikumi Nr.431 “Dabasgāzes un elektroenerģijas deklarēšanas kārtība” (Latvijas Vēstnesis, 2006, 86.nr.)</w:t>
            </w:r>
            <w:r w:rsidR="00470EA2" w:rsidRPr="009F0BEC">
              <w:rPr>
                <w:rFonts w:cs="Times New Roman"/>
              </w:rPr>
              <w:t xml:space="preserve"> </w:t>
            </w:r>
            <w:r w:rsidR="00470EA2" w:rsidRPr="009F0BEC">
              <w:rPr>
                <w:rFonts w:cs="Times New Roman"/>
                <w:szCs w:val="24"/>
              </w:rPr>
              <w:t>(turpmāk – M</w:t>
            </w:r>
            <w:r w:rsidR="0050510A" w:rsidRPr="009F0BEC">
              <w:rPr>
                <w:rFonts w:cs="Times New Roman"/>
                <w:szCs w:val="24"/>
              </w:rPr>
              <w:t>inistru kabineta</w:t>
            </w:r>
            <w:r w:rsidR="00470EA2" w:rsidRPr="009F0BEC">
              <w:rPr>
                <w:rFonts w:cs="Times New Roman"/>
                <w:szCs w:val="24"/>
              </w:rPr>
              <w:t xml:space="preserve"> noteikumi Nr.431).</w:t>
            </w:r>
          </w:p>
          <w:p w14:paraId="65C7521B" w14:textId="77777777" w:rsidR="00470EA2" w:rsidRPr="009F0BEC" w:rsidRDefault="00CE54F4" w:rsidP="00013BC5">
            <w:pPr>
              <w:tabs>
                <w:tab w:val="left" w:pos="381"/>
              </w:tabs>
              <w:spacing w:after="0" w:line="240" w:lineRule="auto"/>
              <w:ind w:firstLine="505"/>
              <w:jc w:val="both"/>
              <w:rPr>
                <w:rFonts w:eastAsia="Times New Roman" w:cs="Times New Roman"/>
                <w:szCs w:val="24"/>
                <w:lang w:eastAsia="lv-LV"/>
              </w:rPr>
            </w:pPr>
            <w:r w:rsidRPr="009F0BEC">
              <w:rPr>
                <w:rFonts w:cs="Times New Roman"/>
                <w:szCs w:val="24"/>
              </w:rPr>
              <w:t>Līdz ar</w:t>
            </w:r>
            <w:r w:rsidR="009D2D1F" w:rsidRPr="009F0BEC">
              <w:rPr>
                <w:rFonts w:cs="Times New Roman"/>
                <w:szCs w:val="24"/>
              </w:rPr>
              <w:t xml:space="preserve"> Ministru kabineta noteikumu</w:t>
            </w:r>
            <w:r w:rsidRPr="009F0BEC">
              <w:rPr>
                <w:rFonts w:cs="Times New Roman"/>
                <w:szCs w:val="24"/>
              </w:rPr>
              <w:t xml:space="preserve"> </w:t>
            </w:r>
            <w:r w:rsidR="009D2D1F" w:rsidRPr="009F0BEC">
              <w:rPr>
                <w:rFonts w:cs="Times New Roman"/>
                <w:szCs w:val="24"/>
              </w:rPr>
              <w:t xml:space="preserve">“Muitas procedūras – tranzīts – piemērošanas noteikumi” </w:t>
            </w:r>
            <w:r w:rsidRPr="009F0BEC">
              <w:rPr>
                <w:rFonts w:cs="Times New Roman"/>
                <w:szCs w:val="24"/>
              </w:rPr>
              <w:t xml:space="preserve">projekta </w:t>
            </w:r>
            <w:r w:rsidR="009D2D1F" w:rsidRPr="009F0BEC">
              <w:rPr>
                <w:rFonts w:cs="Times New Roman"/>
                <w:szCs w:val="24"/>
              </w:rPr>
              <w:t>(turpmāk –</w:t>
            </w:r>
            <w:r w:rsidR="009C0976" w:rsidRPr="009F0BEC">
              <w:rPr>
                <w:rFonts w:cs="Times New Roman"/>
                <w:szCs w:val="24"/>
              </w:rPr>
              <w:t xml:space="preserve"> </w:t>
            </w:r>
            <w:r w:rsidR="0050510A" w:rsidRPr="009F0BEC">
              <w:rPr>
                <w:rFonts w:cs="Times New Roman"/>
                <w:szCs w:val="24"/>
              </w:rPr>
              <w:t xml:space="preserve">noteikumu </w:t>
            </w:r>
            <w:r w:rsidR="009D2D1F" w:rsidRPr="009F0BEC">
              <w:rPr>
                <w:rFonts w:cs="Times New Roman"/>
                <w:szCs w:val="24"/>
              </w:rPr>
              <w:t xml:space="preserve">projekts) </w:t>
            </w:r>
            <w:r w:rsidRPr="009F0BEC">
              <w:rPr>
                <w:rFonts w:cs="Times New Roman"/>
                <w:szCs w:val="24"/>
              </w:rPr>
              <w:t>pieņemšanu</w:t>
            </w:r>
            <w:r w:rsidRPr="009F0BEC">
              <w:rPr>
                <w:rFonts w:eastAsia="Times New Roman" w:cs="Times New Roman"/>
                <w:szCs w:val="24"/>
                <w:lang w:eastAsia="lv-LV"/>
              </w:rPr>
              <w:t xml:space="preserve"> spēku zaudēs</w:t>
            </w:r>
            <w:r w:rsidR="00501142" w:rsidRPr="009F0BEC">
              <w:rPr>
                <w:rFonts w:eastAsia="Times New Roman" w:cs="Times New Roman"/>
                <w:szCs w:val="24"/>
                <w:lang w:eastAsia="lv-LV"/>
              </w:rPr>
              <w:t xml:space="preserve"> </w:t>
            </w:r>
            <w:r w:rsidR="0050510A" w:rsidRPr="009F0BEC">
              <w:rPr>
                <w:rFonts w:eastAsia="Times New Roman" w:cs="Times New Roman"/>
                <w:szCs w:val="24"/>
                <w:lang w:eastAsia="lv-LV"/>
              </w:rPr>
              <w:t>Ministru kabineta</w:t>
            </w:r>
            <w:r w:rsidR="005613EA" w:rsidRPr="009F0BEC">
              <w:rPr>
                <w:rFonts w:cs="Times New Roman"/>
                <w:szCs w:val="24"/>
              </w:rPr>
              <w:t xml:space="preserve"> noteikumi Nr.603</w:t>
            </w:r>
            <w:r w:rsidR="00501142" w:rsidRPr="009F0BEC">
              <w:rPr>
                <w:rFonts w:cs="Times New Roman"/>
                <w:szCs w:val="24"/>
              </w:rPr>
              <w:t xml:space="preserve"> un </w:t>
            </w:r>
            <w:r w:rsidR="0050510A" w:rsidRPr="009F0BEC">
              <w:rPr>
                <w:rFonts w:eastAsia="Times New Roman" w:cs="Times New Roman"/>
                <w:szCs w:val="24"/>
                <w:lang w:eastAsia="lv-LV"/>
              </w:rPr>
              <w:t>Ministru kabineta</w:t>
            </w:r>
            <w:r w:rsidR="00470EA2" w:rsidRPr="009F0BEC">
              <w:rPr>
                <w:rFonts w:eastAsia="Times New Roman" w:cs="Times New Roman"/>
                <w:szCs w:val="24"/>
                <w:lang w:eastAsia="lv-LV"/>
              </w:rPr>
              <w:t xml:space="preserve"> noteikumi Nr.431.</w:t>
            </w:r>
          </w:p>
          <w:p w14:paraId="2AA5CA19" w14:textId="314661E9" w:rsidR="00470EA2" w:rsidRPr="009F0BEC" w:rsidRDefault="00470EA2" w:rsidP="00013BC5">
            <w:pPr>
              <w:tabs>
                <w:tab w:val="left" w:pos="381"/>
              </w:tabs>
              <w:spacing w:after="0" w:line="240" w:lineRule="auto"/>
              <w:ind w:firstLine="505"/>
              <w:jc w:val="both"/>
              <w:rPr>
                <w:rFonts w:eastAsia="Times New Roman" w:cs="Times New Roman"/>
                <w:szCs w:val="24"/>
                <w:lang w:eastAsia="lv-LV"/>
              </w:rPr>
            </w:pPr>
            <w:r w:rsidRPr="009F0BEC">
              <w:rPr>
                <w:rFonts w:eastAsia="Times New Roman" w:cs="Times New Roman"/>
                <w:szCs w:val="24"/>
                <w:lang w:eastAsia="lv-LV"/>
              </w:rPr>
              <w:t xml:space="preserve">Citi </w:t>
            </w:r>
            <w:r w:rsidR="0050510A" w:rsidRPr="009F0BEC">
              <w:rPr>
                <w:rFonts w:eastAsia="Times New Roman" w:cs="Times New Roman"/>
                <w:szCs w:val="24"/>
                <w:lang w:eastAsia="lv-LV"/>
              </w:rPr>
              <w:t>Ministru kabineta</w:t>
            </w:r>
            <w:r w:rsidRPr="009F0BEC">
              <w:rPr>
                <w:rFonts w:eastAsia="Times New Roman" w:cs="Times New Roman"/>
                <w:szCs w:val="24"/>
                <w:lang w:eastAsia="lv-LV"/>
              </w:rPr>
              <w:t xml:space="preserve"> noteikum</w:t>
            </w:r>
            <w:r w:rsidR="005613EA" w:rsidRPr="009F0BEC">
              <w:rPr>
                <w:rFonts w:eastAsia="Times New Roman" w:cs="Times New Roman"/>
                <w:szCs w:val="24"/>
                <w:lang w:eastAsia="lv-LV"/>
              </w:rPr>
              <w:t>os</w:t>
            </w:r>
            <w:r w:rsidRPr="009F0BEC">
              <w:rPr>
                <w:rFonts w:eastAsia="Times New Roman" w:cs="Times New Roman"/>
                <w:szCs w:val="24"/>
                <w:lang w:eastAsia="lv-LV"/>
              </w:rPr>
              <w:t xml:space="preserve"> Nr.431</w:t>
            </w:r>
            <w:r w:rsidR="005613EA" w:rsidRPr="009F0BEC">
              <w:rPr>
                <w:rFonts w:eastAsia="Times New Roman" w:cs="Times New Roman"/>
                <w:szCs w:val="24"/>
                <w:lang w:eastAsia="lv-LV"/>
              </w:rPr>
              <w:t xml:space="preserve"> noteiktie dabasgāzes un elektroenerģijas deklarēšanas īpašie noteikumi, kas </w:t>
            </w:r>
            <w:r w:rsidR="0050510A" w:rsidRPr="009F0BEC">
              <w:rPr>
                <w:rFonts w:eastAsia="Times New Roman" w:cs="Times New Roman"/>
                <w:szCs w:val="24"/>
                <w:lang w:eastAsia="lv-LV"/>
              </w:rPr>
              <w:t xml:space="preserve">neattiecas </w:t>
            </w:r>
            <w:r w:rsidR="005613EA" w:rsidRPr="009F0BEC">
              <w:rPr>
                <w:rFonts w:eastAsia="Times New Roman" w:cs="Times New Roman"/>
                <w:szCs w:val="24"/>
                <w:lang w:eastAsia="lv-LV"/>
              </w:rPr>
              <w:t xml:space="preserve">uz tranzīta procedūras piemērošanu, </w:t>
            </w:r>
            <w:r w:rsidR="0050510A" w:rsidRPr="009F0BEC">
              <w:rPr>
                <w:rFonts w:eastAsia="Times New Roman" w:cs="Times New Roman"/>
                <w:szCs w:val="24"/>
                <w:lang w:eastAsia="lv-LV"/>
              </w:rPr>
              <w:t xml:space="preserve">iestrādāti </w:t>
            </w:r>
            <w:r w:rsidR="005613EA" w:rsidRPr="009F0BEC">
              <w:rPr>
                <w:rFonts w:eastAsia="Times New Roman" w:cs="Times New Roman"/>
                <w:szCs w:val="24"/>
                <w:lang w:eastAsia="lv-LV"/>
              </w:rPr>
              <w:t xml:space="preserve">Ministru kabineta </w:t>
            </w:r>
            <w:r w:rsidR="00E077E9" w:rsidRPr="009F0BEC">
              <w:rPr>
                <w:rFonts w:eastAsia="Times New Roman" w:cs="Times New Roman"/>
                <w:szCs w:val="24"/>
                <w:lang w:eastAsia="lv-LV"/>
              </w:rPr>
              <w:t>2016.gada 29.novembra noteikumos Nr.754 “Muitas deklarācijas papildu aiļu aizpildīšanas un dabasgāzes un elektroenerģijas deklarēšanas kārtība”</w:t>
            </w:r>
            <w:r w:rsidRPr="009F0BEC">
              <w:rPr>
                <w:rFonts w:eastAsia="Times New Roman" w:cs="Times New Roman"/>
                <w:szCs w:val="24"/>
                <w:lang w:eastAsia="lv-LV"/>
              </w:rPr>
              <w:t>.</w:t>
            </w:r>
          </w:p>
          <w:p w14:paraId="3546F753" w14:textId="77777777" w:rsidR="003C0EEB" w:rsidRPr="009F0BEC" w:rsidRDefault="003C0EEB" w:rsidP="00013BC5">
            <w:pPr>
              <w:tabs>
                <w:tab w:val="left" w:pos="381"/>
              </w:tabs>
              <w:spacing w:after="0" w:line="240" w:lineRule="auto"/>
              <w:ind w:firstLine="505"/>
              <w:jc w:val="both"/>
              <w:rPr>
                <w:rFonts w:eastAsia="Times New Roman" w:cs="Times New Roman"/>
                <w:szCs w:val="24"/>
                <w:lang w:eastAsia="lv-LV"/>
              </w:rPr>
            </w:pPr>
          </w:p>
          <w:p w14:paraId="7E8B079C" w14:textId="77777777" w:rsidR="003C0EEB" w:rsidRPr="009F0BEC" w:rsidRDefault="009C0976" w:rsidP="003C0EEB">
            <w:pPr>
              <w:tabs>
                <w:tab w:val="left" w:pos="381"/>
              </w:tabs>
              <w:spacing w:after="0" w:line="240" w:lineRule="auto"/>
              <w:ind w:firstLine="505"/>
              <w:jc w:val="both"/>
              <w:rPr>
                <w:rFonts w:eastAsia="Times New Roman" w:cs="Times New Roman"/>
                <w:szCs w:val="24"/>
                <w:lang w:eastAsia="lv-LV"/>
              </w:rPr>
            </w:pPr>
            <w:r w:rsidRPr="009F0BEC">
              <w:rPr>
                <w:rFonts w:eastAsia="Times New Roman" w:cs="Times New Roman"/>
                <w:szCs w:val="24"/>
                <w:lang w:eastAsia="lv-LV"/>
              </w:rPr>
              <w:t>N</w:t>
            </w:r>
            <w:r w:rsidR="003C0EEB" w:rsidRPr="009F0BEC">
              <w:rPr>
                <w:rFonts w:eastAsia="Times New Roman" w:cs="Times New Roman"/>
                <w:szCs w:val="24"/>
                <w:lang w:eastAsia="lv-LV"/>
              </w:rPr>
              <w:t xml:space="preserve">oteikumu projektā </w:t>
            </w:r>
            <w:r w:rsidR="00594438" w:rsidRPr="009F0BEC">
              <w:rPr>
                <w:rFonts w:eastAsia="Times New Roman" w:cs="Times New Roman"/>
                <w:szCs w:val="24"/>
                <w:lang w:eastAsia="lv-LV"/>
              </w:rPr>
              <w:t xml:space="preserve">tāpat kā Ministru kabineta noteikumos Nr.603 </w:t>
            </w:r>
            <w:r w:rsidR="003C0EEB" w:rsidRPr="009F0BEC">
              <w:rPr>
                <w:rFonts w:eastAsia="Times New Roman" w:cs="Times New Roman"/>
                <w:szCs w:val="24"/>
                <w:lang w:eastAsia="lv-LV"/>
              </w:rPr>
              <w:t>ir lietots 1975.gada 14.novembra Muitas konvencijas par starptautiskajiem preču pārvadājumiem, izmantojot TIR karneti, lietotais termins “TIR</w:t>
            </w:r>
            <w:r w:rsidRPr="009F0BEC">
              <w:rPr>
                <w:rFonts w:eastAsia="Times New Roman" w:cs="Times New Roman"/>
                <w:szCs w:val="24"/>
                <w:lang w:eastAsia="lv-LV"/>
              </w:rPr>
              <w:t xml:space="preserve"> karnete”</w:t>
            </w:r>
            <w:r w:rsidR="003C0EEB" w:rsidRPr="009F0BEC">
              <w:rPr>
                <w:rFonts w:eastAsia="Times New Roman" w:cs="Times New Roman"/>
                <w:szCs w:val="24"/>
                <w:lang w:eastAsia="lv-LV"/>
              </w:rPr>
              <w:t xml:space="preserve">, lai arī Augstākās padomes 1993.gada 16.marta lēmumā (Latvijas Republikas Augstākās Padomes un Valdības Ziņotājs, 1993, 12.nr.), ar kuru Latvijas Republika pievienojās konvencijai ir lietots 1975.gada 14.novembra Muitas konvencijas par starptautiskajiem preču pārvadājumiem, </w:t>
            </w:r>
            <w:r w:rsidR="003C0EEB" w:rsidRPr="009F0BEC">
              <w:rPr>
                <w:rFonts w:eastAsia="Times New Roman" w:cs="Times New Roman"/>
                <w:szCs w:val="24"/>
                <w:lang w:eastAsia="lv-LV"/>
              </w:rPr>
              <w:lastRenderedPageBreak/>
              <w:t xml:space="preserve">izmantojot TIR grāmatiņu, nosaukums, jo tālāk visā konvencijas tekstā lietots termins “TIR karnete”, kā arī pielikumā pievienotās veidlapas nosaukums ir “karnete”. Tāpat termins “TIR karnete” </w:t>
            </w:r>
            <w:r w:rsidR="00594438" w:rsidRPr="009F0BEC">
              <w:rPr>
                <w:rFonts w:eastAsia="Times New Roman" w:cs="Times New Roman"/>
                <w:szCs w:val="24"/>
                <w:lang w:eastAsia="lv-LV"/>
              </w:rPr>
              <w:t xml:space="preserve">ir </w:t>
            </w:r>
            <w:r w:rsidR="003C0EEB" w:rsidRPr="009F0BEC">
              <w:rPr>
                <w:rFonts w:eastAsia="Times New Roman" w:cs="Times New Roman"/>
                <w:szCs w:val="24"/>
                <w:lang w:eastAsia="lv-LV"/>
              </w:rPr>
              <w:t>lietots regulā Nr.952/2013.</w:t>
            </w:r>
          </w:p>
          <w:p w14:paraId="36AFF16B" w14:textId="77777777" w:rsidR="006671A4" w:rsidRPr="009F0BEC" w:rsidRDefault="006671A4" w:rsidP="005613EA">
            <w:pPr>
              <w:tabs>
                <w:tab w:val="left" w:pos="381"/>
              </w:tabs>
              <w:spacing w:after="0" w:line="240" w:lineRule="auto"/>
              <w:jc w:val="both"/>
              <w:rPr>
                <w:rFonts w:eastAsia="Times New Roman" w:cs="Times New Roman"/>
                <w:szCs w:val="24"/>
                <w:lang w:eastAsia="lv-LV"/>
              </w:rPr>
            </w:pPr>
          </w:p>
          <w:p w14:paraId="16CD788E" w14:textId="43D16E0B" w:rsidR="005613EA" w:rsidRPr="00F65D5D" w:rsidRDefault="005613EA" w:rsidP="00594438">
            <w:pPr>
              <w:pStyle w:val="ListParagraph"/>
              <w:numPr>
                <w:ilvl w:val="0"/>
                <w:numId w:val="11"/>
              </w:numPr>
              <w:spacing w:after="0" w:line="240" w:lineRule="auto"/>
              <w:ind w:left="0" w:firstLine="505"/>
              <w:jc w:val="both"/>
              <w:rPr>
                <w:rFonts w:eastAsia="Times New Roman" w:cs="Times New Roman"/>
                <w:szCs w:val="24"/>
                <w:lang w:eastAsia="lv-LV"/>
              </w:rPr>
            </w:pPr>
            <w:r w:rsidRPr="00F65D5D">
              <w:rPr>
                <w:rFonts w:eastAsia="Times New Roman" w:cs="Times New Roman"/>
                <w:szCs w:val="24"/>
                <w:lang w:eastAsia="lv-LV"/>
              </w:rPr>
              <w:t xml:space="preserve">Lai </w:t>
            </w:r>
            <w:r w:rsidR="005E6CDA" w:rsidRPr="00F65D5D">
              <w:rPr>
                <w:rFonts w:eastAsia="Times New Roman" w:cs="Times New Roman"/>
                <w:szCs w:val="24"/>
                <w:lang w:eastAsia="lv-LV"/>
              </w:rPr>
              <w:t xml:space="preserve">nodrošinātu </w:t>
            </w:r>
            <w:r w:rsidRPr="00F65D5D">
              <w:rPr>
                <w:rFonts w:eastAsia="Times New Roman" w:cs="Times New Roman"/>
                <w:szCs w:val="24"/>
                <w:lang w:eastAsia="lv-LV"/>
              </w:rPr>
              <w:t>noteikumu</w:t>
            </w:r>
            <w:r w:rsidR="00AF1558" w:rsidRPr="00F65D5D">
              <w:rPr>
                <w:rFonts w:eastAsia="Times New Roman" w:cs="Times New Roman"/>
                <w:szCs w:val="24"/>
                <w:lang w:eastAsia="lv-LV"/>
              </w:rPr>
              <w:t xml:space="preserve"> </w:t>
            </w:r>
            <w:r w:rsidR="005E6CDA" w:rsidRPr="00F65D5D">
              <w:rPr>
                <w:rFonts w:eastAsia="Times New Roman" w:cs="Times New Roman"/>
                <w:szCs w:val="24"/>
                <w:lang w:eastAsia="lv-LV"/>
              </w:rPr>
              <w:t xml:space="preserve">vienkāršāku </w:t>
            </w:r>
            <w:r w:rsidR="0074527A" w:rsidRPr="00F65D5D">
              <w:rPr>
                <w:rFonts w:eastAsia="Times New Roman" w:cs="Times New Roman"/>
                <w:szCs w:val="24"/>
                <w:lang w:eastAsia="lv-LV"/>
              </w:rPr>
              <w:t xml:space="preserve">piemērošanu </w:t>
            </w:r>
            <w:r w:rsidRPr="00F65D5D">
              <w:rPr>
                <w:rFonts w:eastAsia="Times New Roman" w:cs="Times New Roman"/>
                <w:szCs w:val="24"/>
                <w:lang w:eastAsia="lv-LV"/>
              </w:rPr>
              <w:t>(teksta uztveri), nepieciešams strukturāli sadalīt minēto normatīvo aktu, izveidojot atbilstošās sadaļa</w:t>
            </w:r>
            <w:r w:rsidR="00CF1D93" w:rsidRPr="00F65D5D">
              <w:rPr>
                <w:rFonts w:eastAsia="Times New Roman" w:cs="Times New Roman"/>
                <w:szCs w:val="24"/>
                <w:lang w:eastAsia="lv-LV"/>
              </w:rPr>
              <w:t xml:space="preserve">s (I. Vispārīgie jautājumi, II. </w:t>
            </w:r>
            <w:r w:rsidR="008F41B5" w:rsidRPr="00F65D5D">
              <w:rPr>
                <w:rFonts w:eastAsia="Times New Roman" w:cs="Times New Roman"/>
                <w:szCs w:val="24"/>
                <w:lang w:eastAsia="lv-LV"/>
              </w:rPr>
              <w:t>TIR karnetes turētāja atļauja</w:t>
            </w:r>
            <w:r w:rsidRPr="00F65D5D">
              <w:rPr>
                <w:rFonts w:eastAsia="Times New Roman" w:cs="Times New Roman"/>
                <w:szCs w:val="24"/>
                <w:lang w:eastAsia="lv-LV"/>
              </w:rPr>
              <w:t>,</w:t>
            </w:r>
            <w:r w:rsidRPr="00F65D5D">
              <w:rPr>
                <w:rFonts w:cs="Times New Roman"/>
              </w:rPr>
              <w:t xml:space="preserve"> </w:t>
            </w:r>
            <w:r w:rsidR="008F41B5" w:rsidRPr="00F65D5D">
              <w:rPr>
                <w:rFonts w:cs="Times New Roman"/>
              </w:rPr>
              <w:t>III. TIR procedūra, IV</w:t>
            </w:r>
            <w:r w:rsidR="00CF1D93" w:rsidRPr="00F65D5D">
              <w:rPr>
                <w:rFonts w:cs="Times New Roman"/>
              </w:rPr>
              <w:t xml:space="preserve">. </w:t>
            </w:r>
            <w:r w:rsidRPr="00F65D5D">
              <w:rPr>
                <w:rFonts w:eastAsia="Times New Roman" w:cs="Times New Roman"/>
                <w:szCs w:val="24"/>
                <w:lang w:eastAsia="lv-LV"/>
              </w:rPr>
              <w:t>TIR nosūtītāj</w:t>
            </w:r>
            <w:r w:rsidR="006E0F94" w:rsidRPr="00F65D5D">
              <w:rPr>
                <w:rFonts w:eastAsia="Times New Roman" w:cs="Times New Roman"/>
                <w:szCs w:val="24"/>
                <w:lang w:eastAsia="lv-LV"/>
              </w:rPr>
              <w:t>a atļauja</w:t>
            </w:r>
            <w:r w:rsidRPr="00F65D5D">
              <w:rPr>
                <w:rFonts w:eastAsia="Times New Roman" w:cs="Times New Roman"/>
                <w:szCs w:val="24"/>
                <w:lang w:eastAsia="lv-LV"/>
              </w:rPr>
              <w:t xml:space="preserve">, </w:t>
            </w:r>
            <w:r w:rsidR="008F41B5" w:rsidRPr="00F65D5D">
              <w:rPr>
                <w:rFonts w:eastAsia="Times New Roman" w:cs="Times New Roman"/>
                <w:szCs w:val="24"/>
                <w:lang w:eastAsia="lv-LV"/>
              </w:rPr>
              <w:t xml:space="preserve">V. </w:t>
            </w:r>
            <w:r w:rsidR="006E0F94" w:rsidRPr="00F65D5D">
              <w:rPr>
                <w:rFonts w:eastAsia="Times New Roman" w:cs="Times New Roman"/>
                <w:szCs w:val="24"/>
                <w:lang w:eastAsia="lv-LV"/>
              </w:rPr>
              <w:t>Citi nosacījumi tranzīta procedūras piemērošanai</w:t>
            </w:r>
            <w:r w:rsidRPr="00F65D5D">
              <w:rPr>
                <w:rFonts w:eastAsia="Times New Roman" w:cs="Times New Roman"/>
                <w:szCs w:val="24"/>
                <w:lang w:eastAsia="lv-LV"/>
              </w:rPr>
              <w:t>,</w:t>
            </w:r>
            <w:r w:rsidR="008F41B5" w:rsidRPr="00F65D5D">
              <w:rPr>
                <w:rFonts w:cs="Times New Roman"/>
              </w:rPr>
              <w:t xml:space="preserve"> </w:t>
            </w:r>
            <w:r w:rsidR="008F41B5" w:rsidRPr="00F65D5D">
              <w:rPr>
                <w:rFonts w:eastAsia="Times New Roman" w:cs="Times New Roman"/>
                <w:szCs w:val="24"/>
                <w:lang w:eastAsia="lv-LV"/>
              </w:rPr>
              <w:t xml:space="preserve">VI. Tranzīta deklarācijas atzīšana par nederīgu pēc preču izlaišanas, </w:t>
            </w:r>
            <w:r w:rsidRPr="00F65D5D">
              <w:rPr>
                <w:rFonts w:eastAsia="Times New Roman" w:cs="Times New Roman"/>
                <w:szCs w:val="24"/>
                <w:lang w:eastAsia="lv-LV"/>
              </w:rPr>
              <w:t>V</w:t>
            </w:r>
            <w:r w:rsidR="008F41B5" w:rsidRPr="00F65D5D">
              <w:rPr>
                <w:rFonts w:eastAsia="Times New Roman" w:cs="Times New Roman"/>
                <w:szCs w:val="24"/>
                <w:lang w:eastAsia="lv-LV"/>
              </w:rPr>
              <w:t>II</w:t>
            </w:r>
            <w:r w:rsidRPr="00F65D5D">
              <w:rPr>
                <w:rFonts w:eastAsia="Times New Roman" w:cs="Times New Roman"/>
                <w:szCs w:val="24"/>
                <w:lang w:eastAsia="lv-LV"/>
              </w:rPr>
              <w:t>.</w:t>
            </w:r>
            <w:r w:rsidR="00CF1D93" w:rsidRPr="00F65D5D">
              <w:rPr>
                <w:rFonts w:eastAsia="Times New Roman" w:cs="Times New Roman"/>
                <w:szCs w:val="24"/>
                <w:lang w:eastAsia="lv-LV"/>
              </w:rPr>
              <w:t xml:space="preserve"> </w:t>
            </w:r>
            <w:r w:rsidRPr="00F65D5D">
              <w:rPr>
                <w:rFonts w:eastAsia="Times New Roman" w:cs="Times New Roman"/>
                <w:szCs w:val="24"/>
                <w:lang w:eastAsia="lv-LV"/>
              </w:rPr>
              <w:t>Noslēguma jautājumi.</w:t>
            </w:r>
          </w:p>
          <w:p w14:paraId="63969B87" w14:textId="5D13C30B" w:rsidR="008F41B5" w:rsidRPr="00F65D5D" w:rsidRDefault="009C0976" w:rsidP="00594438">
            <w:pPr>
              <w:spacing w:after="0" w:line="240" w:lineRule="auto"/>
              <w:ind w:firstLine="505"/>
              <w:jc w:val="both"/>
              <w:rPr>
                <w:rFonts w:eastAsia="Times New Roman" w:cs="Times New Roman"/>
                <w:szCs w:val="24"/>
                <w:lang w:eastAsia="lv-LV"/>
              </w:rPr>
            </w:pPr>
            <w:r w:rsidRPr="00F65D5D">
              <w:rPr>
                <w:rFonts w:eastAsia="Times New Roman" w:cs="Times New Roman"/>
                <w:szCs w:val="24"/>
                <w:lang w:eastAsia="lv-LV"/>
              </w:rPr>
              <w:t>Noteikumu projektā</w:t>
            </w:r>
            <w:r w:rsidR="008F41B5" w:rsidRPr="00F65D5D">
              <w:rPr>
                <w:rFonts w:eastAsia="Times New Roman" w:cs="Times New Roman"/>
                <w:szCs w:val="24"/>
                <w:lang w:eastAsia="lv-LV"/>
              </w:rPr>
              <w:t xml:space="preserve"> </w:t>
            </w:r>
            <w:r w:rsidRPr="00F65D5D">
              <w:rPr>
                <w:rFonts w:eastAsia="Times New Roman" w:cs="Times New Roman"/>
                <w:szCs w:val="24"/>
                <w:lang w:eastAsia="lv-LV"/>
              </w:rPr>
              <w:t>termini</w:t>
            </w:r>
            <w:r w:rsidR="00594438" w:rsidRPr="00F65D5D">
              <w:rPr>
                <w:rFonts w:eastAsia="Times New Roman" w:cs="Times New Roman"/>
                <w:szCs w:val="24"/>
                <w:lang w:eastAsia="lv-LV"/>
              </w:rPr>
              <w:t xml:space="preserve"> lietoti</w:t>
            </w:r>
            <w:r w:rsidRPr="00F65D5D">
              <w:rPr>
                <w:rFonts w:eastAsia="Times New Roman" w:cs="Times New Roman"/>
                <w:szCs w:val="24"/>
                <w:lang w:eastAsia="lv-LV"/>
              </w:rPr>
              <w:t xml:space="preserve"> atbilstoši regulā </w:t>
            </w:r>
            <w:r w:rsidR="00904783" w:rsidRPr="00F65D5D">
              <w:rPr>
                <w:rFonts w:eastAsia="Times New Roman" w:cs="Times New Roman"/>
                <w:szCs w:val="24"/>
                <w:lang w:eastAsia="lv-LV"/>
              </w:rPr>
              <w:t xml:space="preserve">Nr.952/2013 un </w:t>
            </w:r>
            <w:r w:rsidR="00A30EB2" w:rsidRPr="00F65D5D">
              <w:rPr>
                <w:rFonts w:eastAsia="Times New Roman" w:cs="Times New Roman"/>
                <w:szCs w:val="24"/>
                <w:lang w:eastAsia="lv-LV"/>
              </w:rPr>
              <w:t>likumā</w:t>
            </w:r>
            <w:r w:rsidR="00904783" w:rsidRPr="00F65D5D">
              <w:rPr>
                <w:rFonts w:eastAsia="Times New Roman" w:cs="Times New Roman"/>
                <w:szCs w:val="24"/>
                <w:lang w:eastAsia="lv-LV"/>
              </w:rPr>
              <w:t xml:space="preserve"> </w:t>
            </w:r>
            <w:r w:rsidRPr="00F65D5D">
              <w:rPr>
                <w:rFonts w:eastAsia="Times New Roman" w:cs="Times New Roman"/>
                <w:szCs w:val="24"/>
                <w:lang w:eastAsia="lv-LV"/>
              </w:rPr>
              <w:t xml:space="preserve">paredzētajiem </w:t>
            </w:r>
            <w:r w:rsidR="008F41B5" w:rsidRPr="00F65D5D">
              <w:rPr>
                <w:rFonts w:eastAsia="Times New Roman" w:cs="Times New Roman"/>
                <w:szCs w:val="24"/>
                <w:lang w:eastAsia="lv-LV"/>
              </w:rPr>
              <w:t>terminu skaidrojum</w:t>
            </w:r>
            <w:r w:rsidRPr="00F65D5D">
              <w:rPr>
                <w:rFonts w:eastAsia="Times New Roman" w:cs="Times New Roman"/>
                <w:szCs w:val="24"/>
                <w:lang w:eastAsia="lv-LV"/>
              </w:rPr>
              <w:t>iem</w:t>
            </w:r>
            <w:r w:rsidR="00821EE9" w:rsidRPr="00F65D5D">
              <w:rPr>
                <w:rFonts w:eastAsia="Times New Roman" w:cs="Times New Roman"/>
                <w:szCs w:val="24"/>
                <w:lang w:eastAsia="lv-LV"/>
              </w:rPr>
              <w:t xml:space="preserve">. </w:t>
            </w:r>
            <w:r w:rsidR="00594438" w:rsidRPr="00F65D5D">
              <w:rPr>
                <w:rFonts w:eastAsia="Times New Roman" w:cs="Times New Roman"/>
                <w:szCs w:val="24"/>
                <w:lang w:eastAsia="lv-LV"/>
              </w:rPr>
              <w:t xml:space="preserve">Mainīta </w:t>
            </w:r>
            <w:r w:rsidR="00821EE9" w:rsidRPr="00F65D5D">
              <w:rPr>
                <w:rFonts w:eastAsia="Times New Roman" w:cs="Times New Roman"/>
                <w:szCs w:val="24"/>
                <w:lang w:eastAsia="lv-LV"/>
              </w:rPr>
              <w:t>šāda terminoloģija: Savienības tranzīta procedūra</w:t>
            </w:r>
            <w:r w:rsidR="00594438" w:rsidRPr="00F65D5D">
              <w:rPr>
                <w:rFonts w:eastAsia="Times New Roman" w:cs="Times New Roman"/>
                <w:szCs w:val="24"/>
                <w:lang w:eastAsia="lv-LV"/>
              </w:rPr>
              <w:t xml:space="preserve"> (iepriekš Kopienas tranzīta procedūra)</w:t>
            </w:r>
            <w:r w:rsidR="00821EE9" w:rsidRPr="00F65D5D">
              <w:rPr>
                <w:rFonts w:eastAsia="Times New Roman" w:cs="Times New Roman"/>
                <w:szCs w:val="24"/>
                <w:lang w:eastAsia="lv-LV"/>
              </w:rPr>
              <w:t>, procedūras izmantotājs</w:t>
            </w:r>
            <w:r w:rsidR="00594438" w:rsidRPr="00F65D5D">
              <w:rPr>
                <w:rFonts w:eastAsia="Times New Roman" w:cs="Times New Roman"/>
                <w:szCs w:val="24"/>
                <w:lang w:eastAsia="lv-LV"/>
              </w:rPr>
              <w:t xml:space="preserve"> (iepriekš – principāls)</w:t>
            </w:r>
            <w:r w:rsidR="00821EE9" w:rsidRPr="00F65D5D">
              <w:rPr>
                <w:rFonts w:eastAsia="Times New Roman" w:cs="Times New Roman"/>
                <w:szCs w:val="24"/>
                <w:lang w:eastAsia="lv-LV"/>
              </w:rPr>
              <w:t>, garantijas asociācija (iepriekš – garantējošā asociācija).</w:t>
            </w:r>
            <w:r w:rsidR="00240F51" w:rsidRPr="00F65D5D">
              <w:rPr>
                <w:rFonts w:eastAsia="Times New Roman" w:cs="Times New Roman"/>
                <w:szCs w:val="24"/>
                <w:lang w:eastAsia="lv-LV"/>
              </w:rPr>
              <w:t xml:space="preserve"> Noteikumu projektā papildus iekļauti skaidrojumi terminiem “dzelzceļa uzņēmums” (tiek lietots attiecībā uz </w:t>
            </w:r>
            <w:r w:rsidR="005C7470" w:rsidRPr="00F65D5D">
              <w:rPr>
                <w:rFonts w:eastAsia="Times New Roman" w:cs="Times New Roman"/>
                <w:szCs w:val="24"/>
                <w:lang w:eastAsia="lv-LV"/>
              </w:rPr>
              <w:t xml:space="preserve">nacionālo Savienības tranzīta procedūras vienkāršojumu </w:t>
            </w:r>
            <w:r w:rsidR="00240F51" w:rsidRPr="00F65D5D">
              <w:rPr>
                <w:rFonts w:eastAsia="Times New Roman" w:cs="Times New Roman"/>
                <w:szCs w:val="24"/>
                <w:lang w:eastAsia="lv-LV"/>
              </w:rPr>
              <w:t>dzelzceļa transporta</w:t>
            </w:r>
            <w:r w:rsidR="005C7470" w:rsidRPr="00F65D5D">
              <w:rPr>
                <w:rFonts w:eastAsia="Times New Roman" w:cs="Times New Roman"/>
                <w:szCs w:val="24"/>
                <w:lang w:eastAsia="lv-LV"/>
              </w:rPr>
              <w:t xml:space="preserve">m </w:t>
            </w:r>
            <w:r w:rsidR="00240F51" w:rsidRPr="00F65D5D">
              <w:rPr>
                <w:rFonts w:eastAsia="Times New Roman" w:cs="Times New Roman"/>
                <w:szCs w:val="24"/>
                <w:lang w:eastAsia="lv-LV"/>
              </w:rPr>
              <w:t xml:space="preserve">– kritērijs vienkāršojuma izmantošanai (sk. 57.1.apakšpunktu)) un “trešā valsts” (termina skaidrojums atbilst ES tiesību aktos muitas jomā </w:t>
            </w:r>
            <w:r w:rsidR="00464C8A" w:rsidRPr="00F65D5D">
              <w:rPr>
                <w:rFonts w:eastAsia="Times New Roman" w:cs="Times New Roman"/>
                <w:szCs w:val="24"/>
                <w:lang w:eastAsia="lv-LV"/>
              </w:rPr>
              <w:t xml:space="preserve">atbilstošā termina definīcijai). </w:t>
            </w:r>
          </w:p>
          <w:p w14:paraId="23D96FDF" w14:textId="77777777" w:rsidR="006671A4" w:rsidRPr="00F65D5D" w:rsidRDefault="006671A4" w:rsidP="008F41B5">
            <w:pPr>
              <w:pStyle w:val="ListParagraph"/>
              <w:spacing w:after="0" w:line="240" w:lineRule="auto"/>
              <w:ind w:left="0" w:firstLine="378"/>
              <w:jc w:val="both"/>
              <w:rPr>
                <w:rFonts w:eastAsia="Times New Roman" w:cs="Times New Roman"/>
                <w:szCs w:val="24"/>
                <w:lang w:eastAsia="lv-LV"/>
              </w:rPr>
            </w:pPr>
          </w:p>
          <w:p w14:paraId="67A59214" w14:textId="02435C77" w:rsidR="00FA4A39" w:rsidRPr="00F65D5D" w:rsidRDefault="00FA4A39" w:rsidP="00FA4A39">
            <w:pPr>
              <w:pStyle w:val="ListParagraph"/>
              <w:spacing w:after="0" w:line="240" w:lineRule="auto"/>
              <w:ind w:left="-19" w:firstLine="567"/>
              <w:jc w:val="both"/>
              <w:rPr>
                <w:rFonts w:eastAsia="Times New Roman" w:cs="Times New Roman"/>
                <w:szCs w:val="24"/>
                <w:lang w:eastAsia="lv-LV"/>
              </w:rPr>
            </w:pPr>
            <w:r w:rsidRPr="00F65D5D">
              <w:rPr>
                <w:rFonts w:eastAsia="Times New Roman" w:cs="Times New Roman"/>
                <w:szCs w:val="24"/>
                <w:lang w:eastAsia="lv-LV"/>
              </w:rPr>
              <w:t xml:space="preserve">2. Regulas Nr.952/2013 233.panta 1.punkta </w:t>
            </w:r>
            <w:r w:rsidR="0074527A" w:rsidRPr="00F65D5D">
              <w:rPr>
                <w:rFonts w:eastAsia="Times New Roman" w:cs="Times New Roman"/>
                <w:szCs w:val="24"/>
                <w:lang w:eastAsia="lv-LV"/>
              </w:rPr>
              <w:t>“</w:t>
            </w:r>
            <w:r w:rsidRPr="00F65D5D">
              <w:rPr>
                <w:rFonts w:eastAsia="Times New Roman" w:cs="Times New Roman"/>
                <w:szCs w:val="24"/>
                <w:lang w:eastAsia="lv-LV"/>
              </w:rPr>
              <w:t>c</w:t>
            </w:r>
            <w:r w:rsidR="0074527A" w:rsidRPr="00F65D5D">
              <w:rPr>
                <w:rFonts w:eastAsia="Times New Roman" w:cs="Times New Roman"/>
                <w:szCs w:val="24"/>
                <w:lang w:eastAsia="lv-LV"/>
              </w:rPr>
              <w:t>”</w:t>
            </w:r>
            <w:r w:rsidRPr="00F65D5D">
              <w:rPr>
                <w:rFonts w:eastAsia="Times New Roman" w:cs="Times New Roman"/>
                <w:szCs w:val="24"/>
                <w:lang w:eastAsia="lv-LV"/>
              </w:rPr>
              <w:t xml:space="preserve"> apakšpunkts nosaka Savienības tranzīta procedūras izmantotāja pienākumu iesniegt galvojumu, kas nodrošinās ka tiks samaksāts muitas maksājumu parāds. Savukārt Kopīgā tranzīta procedūras izmantotāja šāds pienākums ir noteikts 1987.gada 20.maija Konvencijas par kopīgu tranzīta procedūru I papildinājuma 8.panta 1.punkta </w:t>
            </w:r>
            <w:r w:rsidR="0074527A" w:rsidRPr="00F65D5D">
              <w:rPr>
                <w:rFonts w:eastAsia="Times New Roman" w:cs="Times New Roman"/>
                <w:szCs w:val="24"/>
                <w:lang w:eastAsia="lv-LV"/>
              </w:rPr>
              <w:t>“</w:t>
            </w:r>
            <w:r w:rsidRPr="00F65D5D">
              <w:rPr>
                <w:rFonts w:eastAsia="Times New Roman" w:cs="Times New Roman"/>
                <w:szCs w:val="24"/>
                <w:lang w:eastAsia="lv-LV"/>
              </w:rPr>
              <w:t>c</w:t>
            </w:r>
            <w:r w:rsidR="0074527A" w:rsidRPr="00F65D5D">
              <w:rPr>
                <w:rFonts w:eastAsia="Times New Roman" w:cs="Times New Roman"/>
                <w:szCs w:val="24"/>
                <w:lang w:eastAsia="lv-LV"/>
              </w:rPr>
              <w:t>”</w:t>
            </w:r>
            <w:r w:rsidRPr="00F65D5D">
              <w:rPr>
                <w:rFonts w:eastAsia="Times New Roman" w:cs="Times New Roman"/>
                <w:szCs w:val="24"/>
                <w:lang w:eastAsia="lv-LV"/>
              </w:rPr>
              <w:t xml:space="preserve"> apakšpunktā.</w:t>
            </w:r>
          </w:p>
          <w:p w14:paraId="55E201D3" w14:textId="77777777" w:rsidR="00FA4A39" w:rsidRPr="00F65D5D" w:rsidRDefault="00FA4A39" w:rsidP="00FA4A39">
            <w:pPr>
              <w:pStyle w:val="ListParagraph"/>
              <w:spacing w:after="0" w:line="240" w:lineRule="auto"/>
              <w:ind w:left="0" w:firstLine="378"/>
              <w:jc w:val="both"/>
              <w:rPr>
                <w:rFonts w:eastAsia="Times New Roman" w:cs="Times New Roman"/>
                <w:szCs w:val="24"/>
                <w:lang w:eastAsia="lv-LV"/>
              </w:rPr>
            </w:pPr>
            <w:r w:rsidRPr="00F65D5D">
              <w:rPr>
                <w:rFonts w:eastAsia="Times New Roman" w:cs="Times New Roman"/>
                <w:szCs w:val="24"/>
                <w:lang w:eastAsia="lv-LV"/>
              </w:rPr>
              <w:t>Lai Savienības tranzīta procedūras vai Kopīgā tranzīta procedūras izmantotājam un nosūtītāja muitas iestādei pārliecinātos, ka iesniegtā galvojuma summa ir pietiekoša un atbilst muitas maksājumu parādam, kas var rasties, Savienības tranzīta procedūras vai Kopīgā tranzīta procedūras izmantotājs sagatavo un iesniedz nosūtītāja muitas iestādei aprēķinu par muitas nodokļa, akcīzes nodokļa un pievienotās vērtības nodokļa parādu, kas varētu rasties (noteikumu projekta 4.punkts).</w:t>
            </w:r>
          </w:p>
          <w:p w14:paraId="5A6CDF75" w14:textId="77777777" w:rsidR="00FA4A39" w:rsidRPr="00F65D5D" w:rsidRDefault="00FA4A39" w:rsidP="008F41B5">
            <w:pPr>
              <w:pStyle w:val="ListParagraph"/>
              <w:spacing w:after="0" w:line="240" w:lineRule="auto"/>
              <w:ind w:left="0" w:firstLine="378"/>
              <w:jc w:val="both"/>
              <w:rPr>
                <w:rFonts w:eastAsia="Times New Roman" w:cs="Times New Roman"/>
                <w:szCs w:val="24"/>
                <w:lang w:eastAsia="lv-LV"/>
              </w:rPr>
            </w:pPr>
          </w:p>
          <w:p w14:paraId="1DC5633F" w14:textId="6D3F00B1" w:rsidR="00821EE9" w:rsidRPr="00F65D5D" w:rsidRDefault="00FA4A39" w:rsidP="00013BC5">
            <w:pPr>
              <w:pStyle w:val="ListParagraph"/>
              <w:spacing w:after="0" w:line="240" w:lineRule="auto"/>
              <w:ind w:left="0" w:firstLine="505"/>
              <w:jc w:val="both"/>
              <w:rPr>
                <w:rFonts w:eastAsia="Times New Roman" w:cs="Times New Roman"/>
                <w:szCs w:val="24"/>
                <w:lang w:eastAsia="lv-LV"/>
              </w:rPr>
            </w:pPr>
            <w:r w:rsidRPr="00F65D5D">
              <w:rPr>
                <w:rFonts w:eastAsia="Times New Roman" w:cs="Times New Roman"/>
                <w:szCs w:val="24"/>
                <w:lang w:eastAsia="lv-LV"/>
              </w:rPr>
              <w:t>3</w:t>
            </w:r>
            <w:r w:rsidR="00821EE9" w:rsidRPr="00F65D5D">
              <w:rPr>
                <w:rFonts w:eastAsia="Times New Roman" w:cs="Times New Roman"/>
                <w:szCs w:val="24"/>
                <w:lang w:eastAsia="lv-LV"/>
              </w:rPr>
              <w:t xml:space="preserve">. </w:t>
            </w:r>
            <w:r w:rsidR="005E6CDA" w:rsidRPr="00F65D5D">
              <w:rPr>
                <w:rFonts w:eastAsia="Times New Roman" w:cs="Times New Roman"/>
                <w:szCs w:val="24"/>
                <w:lang w:eastAsia="lv-LV"/>
              </w:rPr>
              <w:t>Noteikumu projekt</w:t>
            </w:r>
            <w:r w:rsidR="0074527A" w:rsidRPr="00F65D5D">
              <w:rPr>
                <w:rFonts w:eastAsia="Times New Roman" w:cs="Times New Roman"/>
                <w:szCs w:val="24"/>
                <w:lang w:eastAsia="lv-LV"/>
              </w:rPr>
              <w:t>a</w:t>
            </w:r>
            <w:r w:rsidR="005E6CDA" w:rsidRPr="00F65D5D">
              <w:rPr>
                <w:rFonts w:eastAsia="Times New Roman" w:cs="Times New Roman"/>
                <w:szCs w:val="24"/>
                <w:lang w:eastAsia="lv-LV"/>
              </w:rPr>
              <w:t xml:space="preserve"> 5.punktā ir iekļauts </w:t>
            </w:r>
            <w:r w:rsidR="00D9550C" w:rsidRPr="00F65D5D">
              <w:rPr>
                <w:rFonts w:eastAsia="Times New Roman" w:cs="Times New Roman"/>
                <w:szCs w:val="24"/>
                <w:lang w:eastAsia="lv-LV"/>
              </w:rPr>
              <w:t xml:space="preserve">jauns </w:t>
            </w:r>
            <w:r w:rsidR="005E6CDA" w:rsidRPr="00F65D5D">
              <w:rPr>
                <w:rFonts w:eastAsia="Times New Roman" w:cs="Times New Roman"/>
                <w:szCs w:val="24"/>
                <w:lang w:eastAsia="lv-LV"/>
              </w:rPr>
              <w:t>regulējums, l</w:t>
            </w:r>
            <w:r w:rsidR="00821EE9" w:rsidRPr="00F65D5D">
              <w:rPr>
                <w:rFonts w:eastAsia="Times New Roman" w:cs="Times New Roman"/>
                <w:szCs w:val="24"/>
                <w:lang w:eastAsia="lv-LV"/>
              </w:rPr>
              <w:t>ai skaidrotu procedūras izmantotāja (Savienības tranzīta procedūra)</w:t>
            </w:r>
            <w:r w:rsidR="00F04C63" w:rsidRPr="00F65D5D">
              <w:rPr>
                <w:rFonts w:eastAsia="Times New Roman" w:cs="Times New Roman"/>
                <w:szCs w:val="24"/>
                <w:lang w:eastAsia="lv-LV"/>
              </w:rPr>
              <w:t>,</w:t>
            </w:r>
            <w:r w:rsidR="00821EE9" w:rsidRPr="00F65D5D">
              <w:rPr>
                <w:rFonts w:eastAsia="Times New Roman" w:cs="Times New Roman"/>
                <w:szCs w:val="24"/>
                <w:lang w:eastAsia="lv-LV"/>
              </w:rPr>
              <w:t xml:space="preserve"> TIR karnetes turētāja (TIR </w:t>
            </w:r>
            <w:r w:rsidR="009D2D1F" w:rsidRPr="00F65D5D">
              <w:rPr>
                <w:rFonts w:eastAsia="Times New Roman" w:cs="Times New Roman"/>
                <w:szCs w:val="24"/>
                <w:lang w:eastAsia="lv-LV"/>
              </w:rPr>
              <w:t xml:space="preserve">procedūra) </w:t>
            </w:r>
            <w:r w:rsidR="00F04C63" w:rsidRPr="00F65D5D">
              <w:rPr>
                <w:rFonts w:eastAsia="Times New Roman" w:cs="Times New Roman"/>
                <w:szCs w:val="24"/>
                <w:lang w:eastAsia="lv-LV"/>
              </w:rPr>
              <w:t xml:space="preserve">vai personas, kas saņēmusi atzītā nosūtītāja vai TIR nosūtītāja atļauju, </w:t>
            </w:r>
            <w:r w:rsidR="009D2D1F" w:rsidRPr="00F65D5D">
              <w:rPr>
                <w:rFonts w:eastAsia="Times New Roman" w:cs="Times New Roman"/>
                <w:szCs w:val="24"/>
                <w:lang w:eastAsia="lv-LV"/>
              </w:rPr>
              <w:t>pienākumus konstatējot, pēc preču izlaišanas tranzīta procedūrā, bet pirms atbilstošā pārvadājuma uzsākšanas, nekorekto informāciju tranzīta deklarācijā, kā arī, lai pilnveidotu muitas uzraudzību minētajās situācij</w:t>
            </w:r>
            <w:r w:rsidR="005E6CDA" w:rsidRPr="00F65D5D">
              <w:rPr>
                <w:rFonts w:eastAsia="Times New Roman" w:cs="Times New Roman"/>
                <w:szCs w:val="24"/>
                <w:lang w:eastAsia="lv-LV"/>
              </w:rPr>
              <w:t>ās</w:t>
            </w:r>
            <w:r w:rsidR="009D2D1F" w:rsidRPr="00F65D5D">
              <w:rPr>
                <w:rFonts w:eastAsia="Times New Roman" w:cs="Times New Roman"/>
                <w:szCs w:val="24"/>
                <w:lang w:eastAsia="lv-LV"/>
              </w:rPr>
              <w:t>.</w:t>
            </w:r>
          </w:p>
          <w:p w14:paraId="387D3643" w14:textId="67EBE3BE" w:rsidR="00FA65F2" w:rsidRPr="00F65D5D" w:rsidRDefault="00CE51A7" w:rsidP="00594438">
            <w:pPr>
              <w:pStyle w:val="ListParagraph"/>
              <w:spacing w:after="0" w:line="240" w:lineRule="auto"/>
              <w:ind w:left="0" w:firstLine="524"/>
              <w:jc w:val="both"/>
              <w:rPr>
                <w:rFonts w:eastAsia="Times New Roman" w:cs="Times New Roman"/>
                <w:szCs w:val="24"/>
                <w:lang w:eastAsia="lv-LV"/>
              </w:rPr>
            </w:pPr>
            <w:r w:rsidRPr="00F65D5D">
              <w:rPr>
                <w:rFonts w:eastAsia="Times New Roman" w:cs="Times New Roman"/>
                <w:szCs w:val="24"/>
                <w:lang w:eastAsia="lv-LV"/>
              </w:rPr>
              <w:t>Regulas Nr.952/2013 233.panta</w:t>
            </w:r>
            <w:r w:rsidR="00E9787B" w:rsidRPr="00F65D5D">
              <w:rPr>
                <w:rFonts w:eastAsia="Times New Roman" w:cs="Times New Roman"/>
                <w:szCs w:val="24"/>
                <w:lang w:eastAsia="lv-LV"/>
              </w:rPr>
              <w:t xml:space="preserve"> 1.</w:t>
            </w:r>
            <w:r w:rsidRPr="00F65D5D">
              <w:rPr>
                <w:rFonts w:eastAsia="Times New Roman" w:cs="Times New Roman"/>
                <w:szCs w:val="24"/>
                <w:lang w:eastAsia="lv-LV"/>
              </w:rPr>
              <w:t>punktā</w:t>
            </w:r>
            <w:r w:rsidR="0069338E" w:rsidRPr="00F65D5D">
              <w:rPr>
                <w:rFonts w:eastAsia="Times New Roman" w:cs="Times New Roman"/>
                <w:szCs w:val="24"/>
                <w:lang w:eastAsia="lv-LV"/>
              </w:rPr>
              <w:t xml:space="preserve"> noteikts</w:t>
            </w:r>
            <w:r w:rsidRPr="00F65D5D">
              <w:rPr>
                <w:rFonts w:eastAsia="Times New Roman" w:cs="Times New Roman"/>
                <w:szCs w:val="24"/>
                <w:lang w:eastAsia="lv-LV"/>
              </w:rPr>
              <w:t>, ka Savienības tranzīta procedūras izmantotājs ir atbildīgs par</w:t>
            </w:r>
            <w:r w:rsidR="0069338E" w:rsidRPr="00F65D5D">
              <w:rPr>
                <w:rFonts w:eastAsia="Times New Roman" w:cs="Times New Roman"/>
                <w:szCs w:val="24"/>
                <w:lang w:eastAsia="lv-LV"/>
              </w:rPr>
              <w:t>:</w:t>
            </w:r>
            <w:r w:rsidRPr="00F65D5D">
              <w:rPr>
                <w:rFonts w:eastAsia="Times New Roman" w:cs="Times New Roman"/>
                <w:szCs w:val="24"/>
                <w:lang w:eastAsia="lv-LV"/>
              </w:rPr>
              <w:t xml:space="preserve"> preču neskartu nogādāšanu galamērķa muitas iestādē</w:t>
            </w:r>
            <w:r w:rsidR="00B74C76" w:rsidRPr="00F65D5D">
              <w:rPr>
                <w:rFonts w:eastAsia="Times New Roman" w:cs="Times New Roman"/>
                <w:szCs w:val="24"/>
                <w:lang w:eastAsia="lv-LV"/>
              </w:rPr>
              <w:t>;</w:t>
            </w:r>
            <w:r w:rsidRPr="00F65D5D">
              <w:rPr>
                <w:rFonts w:eastAsia="Times New Roman" w:cs="Times New Roman"/>
                <w:szCs w:val="24"/>
                <w:lang w:eastAsia="lv-LV"/>
              </w:rPr>
              <w:t xml:space="preserve"> muitas dienestu</w:t>
            </w:r>
            <w:r w:rsidR="0069338E" w:rsidRPr="00F65D5D">
              <w:rPr>
                <w:rFonts w:eastAsia="Times New Roman" w:cs="Times New Roman"/>
                <w:szCs w:val="24"/>
                <w:lang w:eastAsia="lv-LV"/>
              </w:rPr>
              <w:t xml:space="preserve"> (nosūtītāja muitas iestādes)</w:t>
            </w:r>
            <w:r w:rsidRPr="00F65D5D">
              <w:rPr>
                <w:rFonts w:eastAsia="Times New Roman" w:cs="Times New Roman"/>
                <w:szCs w:val="24"/>
                <w:lang w:eastAsia="lv-LV"/>
              </w:rPr>
              <w:t xml:space="preserve"> noteikto preču identifikācijas </w:t>
            </w:r>
            <w:r w:rsidRPr="00F65D5D">
              <w:rPr>
                <w:rFonts w:eastAsia="Times New Roman" w:cs="Times New Roman"/>
                <w:szCs w:val="24"/>
                <w:lang w:eastAsia="lv-LV"/>
              </w:rPr>
              <w:lastRenderedPageBreak/>
              <w:t>nodrošināšanas pasākumu</w:t>
            </w:r>
            <w:r w:rsidRPr="00F65D5D">
              <w:rPr>
                <w:rFonts w:cs="Times New Roman"/>
              </w:rPr>
              <w:t xml:space="preserve"> </w:t>
            </w:r>
            <w:r w:rsidRPr="00F65D5D">
              <w:rPr>
                <w:rFonts w:eastAsia="Times New Roman" w:cs="Times New Roman"/>
                <w:szCs w:val="24"/>
                <w:lang w:eastAsia="lv-LV"/>
              </w:rPr>
              <w:t>pienācīgu izpildīšanu; ar procedūru sai</w:t>
            </w:r>
            <w:r w:rsidR="0069338E" w:rsidRPr="00F65D5D">
              <w:rPr>
                <w:rFonts w:eastAsia="Times New Roman" w:cs="Times New Roman"/>
                <w:szCs w:val="24"/>
                <w:lang w:eastAsia="lv-LV"/>
              </w:rPr>
              <w:t xml:space="preserve">stīto muitas noteikumu ievērošanu. </w:t>
            </w:r>
            <w:r w:rsidR="00151866" w:rsidRPr="00F65D5D">
              <w:rPr>
                <w:rFonts w:eastAsia="Times New Roman" w:cs="Times New Roman"/>
                <w:szCs w:val="24"/>
                <w:lang w:eastAsia="lv-LV"/>
              </w:rPr>
              <w:t>Atbilstošais normatīvais regulējums</w:t>
            </w:r>
            <w:r w:rsidR="007563AA" w:rsidRPr="00F65D5D">
              <w:rPr>
                <w:rFonts w:eastAsia="Times New Roman" w:cs="Times New Roman"/>
                <w:szCs w:val="24"/>
                <w:lang w:eastAsia="lv-LV"/>
              </w:rPr>
              <w:t xml:space="preserve">, attiecībā uz TIR karnetes turētāja pienākumiem, </w:t>
            </w:r>
            <w:r w:rsidR="00151866" w:rsidRPr="00F65D5D">
              <w:rPr>
                <w:rFonts w:eastAsia="Times New Roman" w:cs="Times New Roman"/>
                <w:szCs w:val="24"/>
                <w:lang w:eastAsia="lv-LV"/>
              </w:rPr>
              <w:t xml:space="preserve">noteikts arī TIR konvencijā (sk. TIR konvencijas 1.panta </w:t>
            </w:r>
            <w:r w:rsidR="0074527A" w:rsidRPr="00F65D5D">
              <w:rPr>
                <w:rFonts w:eastAsia="Times New Roman" w:cs="Times New Roman"/>
                <w:szCs w:val="24"/>
                <w:lang w:eastAsia="lv-LV"/>
              </w:rPr>
              <w:t>“</w:t>
            </w:r>
            <w:r w:rsidR="00151866" w:rsidRPr="00F65D5D">
              <w:rPr>
                <w:rFonts w:eastAsia="Times New Roman" w:cs="Times New Roman"/>
                <w:szCs w:val="24"/>
                <w:lang w:eastAsia="lv-LV"/>
              </w:rPr>
              <w:t>o</w:t>
            </w:r>
            <w:r w:rsidR="0074527A" w:rsidRPr="00F65D5D">
              <w:rPr>
                <w:rFonts w:eastAsia="Times New Roman" w:cs="Times New Roman"/>
                <w:szCs w:val="24"/>
                <w:lang w:eastAsia="lv-LV"/>
              </w:rPr>
              <w:t>”</w:t>
            </w:r>
            <w:r w:rsidR="00151866" w:rsidRPr="00F65D5D">
              <w:rPr>
                <w:rFonts w:eastAsia="Times New Roman" w:cs="Times New Roman"/>
                <w:szCs w:val="24"/>
                <w:lang w:eastAsia="lv-LV"/>
              </w:rPr>
              <w:t xml:space="preserve"> </w:t>
            </w:r>
            <w:r w:rsidR="007563AA" w:rsidRPr="00F65D5D">
              <w:rPr>
                <w:rFonts w:eastAsia="Times New Roman" w:cs="Times New Roman"/>
                <w:szCs w:val="24"/>
                <w:lang w:eastAsia="lv-LV"/>
              </w:rPr>
              <w:t xml:space="preserve">punktu, </w:t>
            </w:r>
            <w:r w:rsidR="00BC2513" w:rsidRPr="00F65D5D">
              <w:rPr>
                <w:rFonts w:eastAsia="Times New Roman" w:cs="Times New Roman"/>
                <w:szCs w:val="24"/>
                <w:lang w:eastAsia="lv-LV"/>
              </w:rPr>
              <w:t>19.pant</w:t>
            </w:r>
            <w:r w:rsidR="0074527A" w:rsidRPr="00F65D5D">
              <w:rPr>
                <w:rFonts w:eastAsia="Times New Roman" w:cs="Times New Roman"/>
                <w:szCs w:val="24"/>
                <w:lang w:eastAsia="lv-LV"/>
              </w:rPr>
              <w:t>u</w:t>
            </w:r>
            <w:r w:rsidR="00BC2513" w:rsidRPr="00F65D5D">
              <w:rPr>
                <w:rFonts w:eastAsia="Times New Roman" w:cs="Times New Roman"/>
                <w:szCs w:val="24"/>
                <w:lang w:eastAsia="lv-LV"/>
              </w:rPr>
              <w:t>, 20.pant</w:t>
            </w:r>
            <w:r w:rsidR="0074527A" w:rsidRPr="00F65D5D">
              <w:rPr>
                <w:rFonts w:eastAsia="Times New Roman" w:cs="Times New Roman"/>
                <w:szCs w:val="24"/>
                <w:lang w:eastAsia="lv-LV"/>
              </w:rPr>
              <w:t>u</w:t>
            </w:r>
            <w:r w:rsidR="00BC2513" w:rsidRPr="00F65D5D">
              <w:rPr>
                <w:rFonts w:eastAsia="Times New Roman" w:cs="Times New Roman"/>
                <w:szCs w:val="24"/>
                <w:lang w:eastAsia="lv-LV"/>
              </w:rPr>
              <w:t xml:space="preserve"> u.c.).</w:t>
            </w:r>
          </w:p>
          <w:p w14:paraId="36978208" w14:textId="77777777" w:rsidR="00CA5EE3" w:rsidRPr="00F65D5D" w:rsidRDefault="00BC2513" w:rsidP="00594438">
            <w:pPr>
              <w:pStyle w:val="ListParagraph"/>
              <w:spacing w:after="0" w:line="240" w:lineRule="auto"/>
              <w:ind w:left="0" w:firstLine="567"/>
              <w:jc w:val="both"/>
              <w:rPr>
                <w:rFonts w:eastAsia="Times New Roman" w:cs="Times New Roman"/>
                <w:szCs w:val="24"/>
                <w:lang w:eastAsia="lv-LV"/>
              </w:rPr>
            </w:pPr>
            <w:r w:rsidRPr="00F65D5D">
              <w:rPr>
                <w:rFonts w:eastAsia="Times New Roman" w:cs="Times New Roman"/>
                <w:szCs w:val="24"/>
                <w:lang w:eastAsia="lv-LV"/>
              </w:rPr>
              <w:t>Galamērķa muitas iestādei</w:t>
            </w:r>
            <w:r w:rsidR="002A051E" w:rsidRPr="00F65D5D">
              <w:rPr>
                <w:rFonts w:eastAsia="Times New Roman" w:cs="Times New Roman"/>
                <w:szCs w:val="24"/>
                <w:lang w:eastAsia="lv-LV"/>
              </w:rPr>
              <w:t>,</w:t>
            </w:r>
            <w:r w:rsidRPr="00F65D5D">
              <w:rPr>
                <w:rFonts w:eastAsia="Times New Roman" w:cs="Times New Roman"/>
                <w:szCs w:val="24"/>
                <w:lang w:eastAsia="lv-LV"/>
              </w:rPr>
              <w:t xml:space="preserve"> noslēdzot tranzīta procedūru, kā arī veicot muitas kontroli, jāuzskata tranzīta deklarācijā norād</w:t>
            </w:r>
            <w:r w:rsidR="00240593" w:rsidRPr="00F65D5D">
              <w:rPr>
                <w:rFonts w:eastAsia="Times New Roman" w:cs="Times New Roman"/>
                <w:szCs w:val="24"/>
                <w:lang w:eastAsia="lv-LV"/>
              </w:rPr>
              <w:t>ītie</w:t>
            </w:r>
            <w:r w:rsidRPr="00F65D5D">
              <w:rPr>
                <w:rFonts w:eastAsia="Times New Roman" w:cs="Times New Roman"/>
                <w:szCs w:val="24"/>
                <w:lang w:eastAsia="lv-LV"/>
              </w:rPr>
              <w:t xml:space="preserve"> dati par precīziem un atbilstošiem faktiskajai informācijai </w:t>
            </w:r>
            <w:r w:rsidR="00C0383D" w:rsidRPr="00F65D5D">
              <w:rPr>
                <w:rFonts w:eastAsia="Times New Roman" w:cs="Times New Roman"/>
                <w:szCs w:val="24"/>
                <w:lang w:eastAsia="lv-LV"/>
              </w:rPr>
              <w:t xml:space="preserve">(procedūras piemērošanas laikā) </w:t>
            </w:r>
            <w:r w:rsidRPr="00F65D5D">
              <w:rPr>
                <w:rFonts w:eastAsia="Times New Roman" w:cs="Times New Roman"/>
                <w:szCs w:val="24"/>
                <w:lang w:eastAsia="lv-LV"/>
              </w:rPr>
              <w:t>par precēm un pārvadājumu. Līdz ar to, jebkuras atšķirības starp tranzīta deklarācijas datiem un faktisko inform</w:t>
            </w:r>
            <w:r w:rsidR="00240593" w:rsidRPr="00F65D5D">
              <w:rPr>
                <w:rFonts w:eastAsia="Times New Roman" w:cs="Times New Roman"/>
                <w:szCs w:val="24"/>
                <w:lang w:eastAsia="lv-LV"/>
              </w:rPr>
              <w:t xml:space="preserve">āciju, </w:t>
            </w:r>
            <w:r w:rsidR="00C0383D" w:rsidRPr="00F65D5D">
              <w:rPr>
                <w:rFonts w:eastAsia="Times New Roman" w:cs="Times New Roman"/>
                <w:szCs w:val="24"/>
                <w:lang w:eastAsia="lv-LV"/>
              </w:rPr>
              <w:t xml:space="preserve">kas ir </w:t>
            </w:r>
            <w:r w:rsidR="00240593" w:rsidRPr="00F65D5D">
              <w:rPr>
                <w:rFonts w:eastAsia="Times New Roman" w:cs="Times New Roman"/>
                <w:szCs w:val="24"/>
                <w:lang w:eastAsia="lv-LV"/>
              </w:rPr>
              <w:t>pieejam</w:t>
            </w:r>
            <w:r w:rsidR="00C0383D" w:rsidRPr="00F65D5D">
              <w:rPr>
                <w:rFonts w:eastAsia="Times New Roman" w:cs="Times New Roman"/>
                <w:szCs w:val="24"/>
                <w:lang w:eastAsia="lv-LV"/>
              </w:rPr>
              <w:t>a</w:t>
            </w:r>
            <w:r w:rsidR="00240593" w:rsidRPr="00F65D5D">
              <w:rPr>
                <w:rFonts w:eastAsia="Times New Roman" w:cs="Times New Roman"/>
                <w:szCs w:val="24"/>
                <w:lang w:eastAsia="lv-LV"/>
              </w:rPr>
              <w:t xml:space="preserve"> galamērķa muitas iestādei, </w:t>
            </w:r>
            <w:r w:rsidRPr="00F65D5D">
              <w:rPr>
                <w:rFonts w:eastAsia="Times New Roman" w:cs="Times New Roman"/>
                <w:szCs w:val="24"/>
                <w:lang w:eastAsia="lv-LV"/>
              </w:rPr>
              <w:t>par precēm un pārvadājumu</w:t>
            </w:r>
            <w:r w:rsidR="00240593" w:rsidRPr="00F65D5D">
              <w:rPr>
                <w:rFonts w:eastAsia="Times New Roman" w:cs="Times New Roman"/>
                <w:szCs w:val="24"/>
                <w:lang w:eastAsia="lv-LV"/>
              </w:rPr>
              <w:t>, tiek uzskatītas par faktiem, kas liecina par nepareiz</w:t>
            </w:r>
            <w:r w:rsidR="002A051E" w:rsidRPr="00F65D5D">
              <w:rPr>
                <w:rFonts w:eastAsia="Times New Roman" w:cs="Times New Roman"/>
                <w:szCs w:val="24"/>
                <w:lang w:eastAsia="lv-LV"/>
              </w:rPr>
              <w:t>u</w:t>
            </w:r>
            <w:r w:rsidR="00240593" w:rsidRPr="00F65D5D">
              <w:rPr>
                <w:rFonts w:eastAsia="Times New Roman" w:cs="Times New Roman"/>
                <w:szCs w:val="24"/>
                <w:lang w:eastAsia="lv-LV"/>
              </w:rPr>
              <w:t xml:space="preserve"> tranzīta procedūras izpildi (pārkāpumi, kas notika preču pārvietošanas laikā).</w:t>
            </w:r>
          </w:p>
          <w:p w14:paraId="6D6430A4" w14:textId="5F8CEAD4" w:rsidR="00CA5EE3" w:rsidRPr="00F65D5D" w:rsidRDefault="00CA5EE3" w:rsidP="00594438">
            <w:pPr>
              <w:pStyle w:val="ListParagraph"/>
              <w:spacing w:after="0" w:line="240" w:lineRule="auto"/>
              <w:ind w:left="0" w:firstLine="524"/>
              <w:jc w:val="both"/>
              <w:rPr>
                <w:rFonts w:eastAsia="Times New Roman" w:cs="Times New Roman"/>
                <w:szCs w:val="24"/>
                <w:lang w:eastAsia="lv-LV"/>
              </w:rPr>
            </w:pPr>
            <w:r w:rsidRPr="00F65D5D">
              <w:rPr>
                <w:rFonts w:eastAsia="Times New Roman" w:cs="Times New Roman"/>
                <w:szCs w:val="24"/>
                <w:lang w:eastAsia="lv-LV"/>
              </w:rPr>
              <w:t>S</w:t>
            </w:r>
            <w:r w:rsidR="00A21489" w:rsidRPr="00F65D5D">
              <w:rPr>
                <w:rFonts w:eastAsia="Times New Roman" w:cs="Times New Roman"/>
                <w:szCs w:val="24"/>
                <w:lang w:eastAsia="lv-LV"/>
              </w:rPr>
              <w:t>askaņā ar</w:t>
            </w:r>
            <w:r w:rsidR="00A21489" w:rsidRPr="00F65D5D">
              <w:rPr>
                <w:rFonts w:cs="Times New Roman"/>
              </w:rPr>
              <w:t xml:space="preserve"> </w:t>
            </w:r>
            <w:r w:rsidR="00A21489" w:rsidRPr="00F65D5D">
              <w:rPr>
                <w:rFonts w:eastAsia="Times New Roman" w:cs="Times New Roman"/>
                <w:szCs w:val="24"/>
                <w:lang w:eastAsia="lv-LV"/>
              </w:rPr>
              <w:t>Regulas Nr.952/2013</w:t>
            </w:r>
            <w:r w:rsidRPr="00F65D5D">
              <w:rPr>
                <w:rFonts w:eastAsia="Times New Roman" w:cs="Times New Roman"/>
                <w:szCs w:val="24"/>
                <w:lang w:eastAsia="lv-LV"/>
              </w:rPr>
              <w:t xml:space="preserve"> 15.panta 2.punktu</w:t>
            </w:r>
            <w:r w:rsidR="00A21489" w:rsidRPr="00F65D5D">
              <w:rPr>
                <w:rFonts w:eastAsia="Times New Roman" w:cs="Times New Roman"/>
                <w:szCs w:val="24"/>
                <w:lang w:eastAsia="lv-LV"/>
              </w:rPr>
              <w:t xml:space="preserve"> persona</w:t>
            </w:r>
            <w:r w:rsidRPr="00F65D5D">
              <w:rPr>
                <w:rFonts w:eastAsia="Times New Roman" w:cs="Times New Roman"/>
                <w:szCs w:val="24"/>
                <w:lang w:eastAsia="lv-LV"/>
              </w:rPr>
              <w:t>,</w:t>
            </w:r>
            <w:r w:rsidR="00A21489" w:rsidRPr="00F65D5D">
              <w:rPr>
                <w:rFonts w:eastAsia="Times New Roman" w:cs="Times New Roman"/>
                <w:szCs w:val="24"/>
                <w:lang w:eastAsia="lv-LV"/>
              </w:rPr>
              <w:t xml:space="preserve"> </w:t>
            </w:r>
            <w:r w:rsidRPr="00F65D5D">
              <w:rPr>
                <w:rFonts w:eastAsia="Times New Roman" w:cs="Times New Roman"/>
                <w:szCs w:val="24"/>
                <w:lang w:eastAsia="lv-LV"/>
              </w:rPr>
              <w:t xml:space="preserve">kas </w:t>
            </w:r>
            <w:r w:rsidR="00A21489" w:rsidRPr="00F65D5D">
              <w:rPr>
                <w:rFonts w:eastAsia="Times New Roman" w:cs="Times New Roman"/>
                <w:szCs w:val="24"/>
                <w:lang w:eastAsia="lv-LV"/>
              </w:rPr>
              <w:t>muitas dienestiem iesniedz muitas deklarāciju, kļūst atbildīga</w:t>
            </w:r>
            <w:r w:rsidRPr="00F65D5D">
              <w:rPr>
                <w:rFonts w:eastAsia="Times New Roman" w:cs="Times New Roman"/>
                <w:szCs w:val="24"/>
                <w:lang w:eastAsia="lv-LV"/>
              </w:rPr>
              <w:t>:</w:t>
            </w:r>
          </w:p>
          <w:p w14:paraId="37AAE536" w14:textId="77777777" w:rsidR="00CA5EE3" w:rsidRPr="00F65D5D" w:rsidRDefault="00CA5EE3" w:rsidP="00A21489">
            <w:pPr>
              <w:pStyle w:val="ListParagraph"/>
              <w:spacing w:after="0" w:line="240" w:lineRule="auto"/>
              <w:ind w:left="-43" w:firstLine="567"/>
              <w:jc w:val="both"/>
              <w:rPr>
                <w:rFonts w:eastAsia="Times New Roman" w:cs="Times New Roman"/>
                <w:szCs w:val="24"/>
                <w:lang w:eastAsia="lv-LV"/>
              </w:rPr>
            </w:pPr>
            <w:r w:rsidRPr="00F65D5D">
              <w:rPr>
                <w:rFonts w:eastAsia="Times New Roman" w:cs="Times New Roman"/>
                <w:szCs w:val="24"/>
                <w:lang w:eastAsia="lv-LV"/>
              </w:rPr>
              <w:t>-</w:t>
            </w:r>
            <w:r w:rsidR="00A21489" w:rsidRPr="00F65D5D">
              <w:rPr>
                <w:rFonts w:eastAsia="Times New Roman" w:cs="Times New Roman"/>
                <w:szCs w:val="24"/>
                <w:lang w:eastAsia="lv-LV"/>
              </w:rPr>
              <w:t xml:space="preserve"> par</w:t>
            </w:r>
            <w:r w:rsidRPr="00F65D5D">
              <w:rPr>
                <w:rFonts w:eastAsia="Times New Roman" w:cs="Times New Roman"/>
                <w:szCs w:val="24"/>
                <w:lang w:eastAsia="lv-LV"/>
              </w:rPr>
              <w:t xml:space="preserve"> deklarācijā</w:t>
            </w:r>
            <w:r w:rsidR="00A21489" w:rsidRPr="00F65D5D">
              <w:rPr>
                <w:rFonts w:eastAsia="Times New Roman" w:cs="Times New Roman"/>
                <w:szCs w:val="24"/>
                <w:lang w:eastAsia="lv-LV"/>
              </w:rPr>
              <w:t xml:space="preserve"> sniegtās info</w:t>
            </w:r>
            <w:r w:rsidRPr="00F65D5D">
              <w:rPr>
                <w:rFonts w:eastAsia="Times New Roman" w:cs="Times New Roman"/>
                <w:szCs w:val="24"/>
                <w:lang w:eastAsia="lv-LV"/>
              </w:rPr>
              <w:t>rmācijas pareizību un pilnīgumu;</w:t>
            </w:r>
          </w:p>
          <w:p w14:paraId="3228162B" w14:textId="77777777" w:rsidR="00A21489" w:rsidRPr="00F65D5D" w:rsidRDefault="00CA5EE3" w:rsidP="00594438">
            <w:pPr>
              <w:pStyle w:val="ListParagraph"/>
              <w:spacing w:after="0" w:line="240" w:lineRule="auto"/>
              <w:ind w:left="-30" w:firstLine="554"/>
              <w:jc w:val="both"/>
              <w:rPr>
                <w:rFonts w:eastAsia="Times New Roman" w:cs="Times New Roman"/>
                <w:szCs w:val="24"/>
                <w:lang w:eastAsia="lv-LV"/>
              </w:rPr>
            </w:pPr>
            <w:r w:rsidRPr="00F65D5D">
              <w:rPr>
                <w:rFonts w:eastAsia="Times New Roman" w:cs="Times New Roman"/>
                <w:szCs w:val="24"/>
                <w:lang w:eastAsia="lv-LV"/>
              </w:rPr>
              <w:t xml:space="preserve">- </w:t>
            </w:r>
            <w:r w:rsidR="00A21489" w:rsidRPr="00F65D5D">
              <w:rPr>
                <w:rFonts w:eastAsia="Times New Roman" w:cs="Times New Roman"/>
                <w:szCs w:val="24"/>
                <w:lang w:eastAsia="lv-LV"/>
              </w:rPr>
              <w:t xml:space="preserve">visu to dokumentu īstumu, pareizību un spēkā esamību, </w:t>
            </w:r>
            <w:r w:rsidRPr="00F65D5D">
              <w:rPr>
                <w:rFonts w:eastAsia="Times New Roman" w:cs="Times New Roman"/>
                <w:szCs w:val="24"/>
                <w:lang w:eastAsia="lv-LV"/>
              </w:rPr>
              <w:t>kas pamato deklarāciju;</w:t>
            </w:r>
            <w:r w:rsidR="00A21489" w:rsidRPr="00F65D5D">
              <w:rPr>
                <w:rFonts w:eastAsia="Times New Roman" w:cs="Times New Roman"/>
                <w:szCs w:val="24"/>
                <w:lang w:eastAsia="lv-LV"/>
              </w:rPr>
              <w:t xml:space="preserve"> </w:t>
            </w:r>
          </w:p>
          <w:p w14:paraId="46E74963" w14:textId="77777777" w:rsidR="00BC2513" w:rsidRPr="00F65D5D" w:rsidRDefault="00CA5EE3" w:rsidP="00594438">
            <w:pPr>
              <w:pStyle w:val="ListParagraph"/>
              <w:spacing w:after="0" w:line="240" w:lineRule="auto"/>
              <w:ind w:left="0" w:firstLine="567"/>
              <w:jc w:val="both"/>
              <w:rPr>
                <w:rFonts w:eastAsia="Times New Roman" w:cs="Times New Roman"/>
                <w:szCs w:val="24"/>
                <w:lang w:eastAsia="lv-LV"/>
              </w:rPr>
            </w:pPr>
            <w:r w:rsidRPr="00F65D5D">
              <w:rPr>
                <w:rFonts w:eastAsia="Times New Roman" w:cs="Times New Roman"/>
                <w:szCs w:val="24"/>
                <w:lang w:eastAsia="lv-LV"/>
              </w:rPr>
              <w:t>-</w:t>
            </w:r>
            <w:r w:rsidR="00A21489" w:rsidRPr="00F65D5D">
              <w:rPr>
                <w:rFonts w:eastAsia="Times New Roman" w:cs="Times New Roman"/>
                <w:szCs w:val="24"/>
                <w:lang w:eastAsia="lv-LV"/>
              </w:rPr>
              <w:t xml:space="preserve"> attiecīgā gadījumā – par visu pienākumu izpildi saistībā ar attiecīgās muitas procedūras piemērošanu konkrētajām precēm vai ar atļauto darbību veikšanu.</w:t>
            </w:r>
          </w:p>
          <w:p w14:paraId="31F725AB" w14:textId="77777777" w:rsidR="00C92652" w:rsidRPr="00F65D5D" w:rsidRDefault="00C92652" w:rsidP="00594438">
            <w:pPr>
              <w:pStyle w:val="ListParagraph"/>
              <w:spacing w:after="0" w:line="240" w:lineRule="auto"/>
              <w:ind w:left="0" w:firstLine="567"/>
              <w:jc w:val="both"/>
              <w:rPr>
                <w:rFonts w:eastAsia="Times New Roman" w:cs="Times New Roman"/>
                <w:szCs w:val="24"/>
                <w:lang w:eastAsia="lv-LV"/>
              </w:rPr>
            </w:pPr>
            <w:r w:rsidRPr="00F65D5D">
              <w:rPr>
                <w:rFonts w:eastAsia="Times New Roman" w:cs="Times New Roman"/>
                <w:szCs w:val="24"/>
                <w:lang w:eastAsia="lv-LV"/>
              </w:rPr>
              <w:t xml:space="preserve">Ja tiek konstatētas neatbilstības starp tranzīta deklarācijas datiem un faktisko informāciju, </w:t>
            </w:r>
            <w:r w:rsidR="000A7F2F" w:rsidRPr="00F65D5D">
              <w:rPr>
                <w:rFonts w:eastAsia="Times New Roman" w:cs="Times New Roman"/>
                <w:szCs w:val="24"/>
                <w:lang w:eastAsia="lv-LV"/>
              </w:rPr>
              <w:t>kas ir pieejama</w:t>
            </w:r>
            <w:r w:rsidRPr="00F65D5D">
              <w:rPr>
                <w:rFonts w:eastAsia="Times New Roman" w:cs="Times New Roman"/>
                <w:szCs w:val="24"/>
                <w:lang w:eastAsia="lv-LV"/>
              </w:rPr>
              <w:t xml:space="preserve"> galamērķa muitas iestādei, persona</w:t>
            </w:r>
            <w:r w:rsidR="000A7F2F" w:rsidRPr="00F65D5D">
              <w:rPr>
                <w:rFonts w:eastAsia="Times New Roman" w:cs="Times New Roman"/>
                <w:szCs w:val="24"/>
                <w:lang w:eastAsia="lv-LV"/>
              </w:rPr>
              <w:t>,</w:t>
            </w:r>
            <w:r w:rsidRPr="00F65D5D">
              <w:rPr>
                <w:rFonts w:eastAsia="Times New Roman" w:cs="Times New Roman"/>
                <w:szCs w:val="24"/>
                <w:lang w:eastAsia="lv-LV"/>
              </w:rPr>
              <w:t xml:space="preserve"> pabeidzot tranzīta procedūru, ir tiesīga </w:t>
            </w:r>
            <w:r w:rsidR="000A7F2F" w:rsidRPr="00F65D5D">
              <w:rPr>
                <w:rFonts w:eastAsia="Times New Roman" w:cs="Times New Roman"/>
                <w:szCs w:val="24"/>
                <w:lang w:eastAsia="lv-LV"/>
              </w:rPr>
              <w:t xml:space="preserve">sniegt skaidrojumus </w:t>
            </w:r>
            <w:r w:rsidRPr="00F65D5D">
              <w:rPr>
                <w:rFonts w:eastAsia="Times New Roman" w:cs="Times New Roman"/>
                <w:szCs w:val="24"/>
                <w:lang w:eastAsia="lv-LV"/>
              </w:rPr>
              <w:t>par neatbilstību iemesliem un apliecinājumus, ka neatbilstības pastāvēja procedūras piemērošanas brīdī</w:t>
            </w:r>
            <w:r w:rsidR="000A7F2F" w:rsidRPr="00F65D5D">
              <w:rPr>
                <w:rFonts w:eastAsia="Times New Roman" w:cs="Times New Roman"/>
                <w:szCs w:val="24"/>
                <w:lang w:eastAsia="lv-LV"/>
              </w:rPr>
              <w:t>.</w:t>
            </w:r>
          </w:p>
          <w:p w14:paraId="716CEEA1" w14:textId="1D5BF4F0" w:rsidR="00773B23" w:rsidRPr="00F65D5D" w:rsidRDefault="00CA5EE3" w:rsidP="00594438">
            <w:pPr>
              <w:pStyle w:val="ListParagraph"/>
              <w:spacing w:after="0" w:line="240" w:lineRule="auto"/>
              <w:ind w:left="0" w:firstLine="524"/>
              <w:jc w:val="both"/>
              <w:rPr>
                <w:rFonts w:eastAsia="Times New Roman" w:cs="Times New Roman"/>
                <w:szCs w:val="24"/>
                <w:lang w:eastAsia="lv-LV"/>
              </w:rPr>
            </w:pPr>
            <w:r w:rsidRPr="00F65D5D">
              <w:rPr>
                <w:rFonts w:eastAsia="Times New Roman" w:cs="Times New Roman"/>
                <w:szCs w:val="24"/>
                <w:lang w:eastAsia="lv-LV"/>
              </w:rPr>
              <w:t xml:space="preserve">Neskatoties uz to, ka persona var tikt saukta pie atbildības saskaņā ar Regulas Nr.952/2013 15.panta 2.punktā noteikto, </w:t>
            </w:r>
            <w:r w:rsidR="00D84E1B" w:rsidRPr="00F65D5D">
              <w:rPr>
                <w:rFonts w:eastAsia="Times New Roman" w:cs="Times New Roman"/>
                <w:szCs w:val="24"/>
                <w:lang w:eastAsia="lv-LV"/>
              </w:rPr>
              <w:t>lai mazinātu administratīvo slog</w:t>
            </w:r>
            <w:r w:rsidR="00C92652" w:rsidRPr="00F65D5D">
              <w:rPr>
                <w:rFonts w:eastAsia="Times New Roman" w:cs="Times New Roman"/>
                <w:szCs w:val="24"/>
                <w:lang w:eastAsia="lv-LV"/>
              </w:rPr>
              <w:t xml:space="preserve">u komersantiem (jo </w:t>
            </w:r>
            <w:r w:rsidR="00D84E1B" w:rsidRPr="00F65D5D">
              <w:rPr>
                <w:rFonts w:eastAsia="Times New Roman" w:cs="Times New Roman"/>
                <w:szCs w:val="24"/>
                <w:lang w:eastAsia="lv-LV"/>
              </w:rPr>
              <w:t>galamērķa muitas iestāde var atrasties citā ES dalībvalstī vai pat trešajā valstī), tranzīta deklarāciju ar neprecīzu informāciju, pie nosacījuma, ka atbilstošs preču pārvadājums v</w:t>
            </w:r>
            <w:r w:rsidR="002A051E" w:rsidRPr="00F65D5D">
              <w:rPr>
                <w:rFonts w:eastAsia="Times New Roman" w:cs="Times New Roman"/>
                <w:szCs w:val="24"/>
                <w:lang w:eastAsia="lv-LV"/>
              </w:rPr>
              <w:t>ē</w:t>
            </w:r>
            <w:r w:rsidR="00D84E1B" w:rsidRPr="00F65D5D">
              <w:rPr>
                <w:rFonts w:eastAsia="Times New Roman" w:cs="Times New Roman"/>
                <w:szCs w:val="24"/>
                <w:lang w:eastAsia="lv-LV"/>
              </w:rPr>
              <w:t xml:space="preserve">l nav uzsākts (preces atrodas </w:t>
            </w:r>
            <w:r w:rsidR="007263A1" w:rsidRPr="00F65D5D">
              <w:rPr>
                <w:rFonts w:eastAsia="Times New Roman" w:cs="Times New Roman"/>
                <w:szCs w:val="24"/>
                <w:lang w:eastAsia="lv-LV"/>
              </w:rPr>
              <w:t>nosūtītāja muitas iestādē vai atzītā nosūt</w:t>
            </w:r>
            <w:r w:rsidR="00C92652" w:rsidRPr="00F65D5D">
              <w:rPr>
                <w:rFonts w:eastAsia="Times New Roman" w:cs="Times New Roman"/>
                <w:szCs w:val="24"/>
                <w:lang w:eastAsia="lv-LV"/>
              </w:rPr>
              <w:t xml:space="preserve">ītāja vai TIR nosūtītāja atļaujā noteiktajā vietā), jāļauj pabeigt nosūtītāja muitas iestādē (kļūst par galamērķa muitas iestādi). Minētajai personai </w:t>
            </w:r>
            <w:r w:rsidR="00151CBA" w:rsidRPr="00F65D5D">
              <w:rPr>
                <w:rFonts w:eastAsia="Times New Roman" w:cs="Times New Roman"/>
                <w:szCs w:val="24"/>
                <w:lang w:eastAsia="lv-LV"/>
              </w:rPr>
              <w:t>par konstatēt</w:t>
            </w:r>
            <w:r w:rsidR="00066758">
              <w:rPr>
                <w:rFonts w:eastAsia="Times New Roman" w:cs="Times New Roman"/>
                <w:szCs w:val="24"/>
                <w:lang w:eastAsia="lv-LV"/>
              </w:rPr>
              <w:t>o</w:t>
            </w:r>
            <w:r w:rsidR="00151CBA" w:rsidRPr="00F65D5D">
              <w:rPr>
                <w:rFonts w:eastAsia="Times New Roman" w:cs="Times New Roman"/>
                <w:szCs w:val="24"/>
                <w:lang w:eastAsia="lv-LV"/>
              </w:rPr>
              <w:t xml:space="preserve"> neatbilstību jāinformē nosūtītāja muitas iestādes amatperson</w:t>
            </w:r>
            <w:r w:rsidR="00773B23" w:rsidRPr="00F65D5D">
              <w:rPr>
                <w:rFonts w:eastAsia="Times New Roman" w:cs="Times New Roman"/>
                <w:szCs w:val="24"/>
                <w:lang w:eastAsia="lv-LV"/>
              </w:rPr>
              <w:t>a</w:t>
            </w:r>
            <w:r w:rsidR="00151CBA" w:rsidRPr="00F65D5D">
              <w:rPr>
                <w:rFonts w:eastAsia="Times New Roman" w:cs="Times New Roman"/>
                <w:szCs w:val="24"/>
                <w:lang w:eastAsia="lv-LV"/>
              </w:rPr>
              <w:t xml:space="preserve"> klātienē (iesniedzot </w:t>
            </w:r>
            <w:r w:rsidR="00773B23" w:rsidRPr="00F65D5D">
              <w:rPr>
                <w:rFonts w:eastAsia="Times New Roman" w:cs="Times New Roman"/>
                <w:szCs w:val="24"/>
                <w:lang w:eastAsia="lv-LV"/>
              </w:rPr>
              <w:t>iesniegumu) vai nosūtot iesniegumu uz nosūtītājas muitas iestādes elektroniskā pasta adresi. Nosūtītājas muitas iestādes amatpersona</w:t>
            </w:r>
            <w:r w:rsidR="002A051E" w:rsidRPr="00F65D5D">
              <w:rPr>
                <w:rFonts w:eastAsia="Times New Roman" w:cs="Times New Roman"/>
                <w:szCs w:val="24"/>
                <w:lang w:eastAsia="lv-LV"/>
              </w:rPr>
              <w:t>,</w:t>
            </w:r>
            <w:r w:rsidR="00773B23" w:rsidRPr="00F65D5D">
              <w:rPr>
                <w:rFonts w:eastAsia="Times New Roman" w:cs="Times New Roman"/>
                <w:szCs w:val="24"/>
                <w:lang w:eastAsia="lv-LV"/>
              </w:rPr>
              <w:t xml:space="preserve"> izskatot iesniegumu informē par turpmāko rīcību ar precēm (</w:t>
            </w:r>
            <w:r w:rsidR="009E6F5C" w:rsidRPr="00F65D5D">
              <w:rPr>
                <w:rFonts w:eastAsia="Times New Roman" w:cs="Times New Roman"/>
                <w:szCs w:val="24"/>
                <w:lang w:eastAsia="lv-LV"/>
              </w:rPr>
              <w:t xml:space="preserve">vai </w:t>
            </w:r>
            <w:r w:rsidR="00773B23" w:rsidRPr="00F65D5D">
              <w:rPr>
                <w:rFonts w:eastAsia="Times New Roman" w:cs="Times New Roman"/>
                <w:szCs w:val="24"/>
                <w:lang w:eastAsia="lv-LV"/>
              </w:rPr>
              <w:t xml:space="preserve">tiks veikta muitas kontrole, saskaņo preču nodošanu nākamajā muitas procedūrā vai pagaidu uzglabāšanā). </w:t>
            </w:r>
          </w:p>
          <w:p w14:paraId="7B0B8AB3" w14:textId="77777777" w:rsidR="00CE51A7" w:rsidRPr="00F65D5D" w:rsidRDefault="00CE51A7" w:rsidP="008F41B5">
            <w:pPr>
              <w:pStyle w:val="ListParagraph"/>
              <w:spacing w:after="0" w:line="240" w:lineRule="auto"/>
              <w:ind w:left="0" w:firstLine="378"/>
              <w:jc w:val="both"/>
              <w:rPr>
                <w:rFonts w:eastAsia="Times New Roman" w:cs="Times New Roman"/>
                <w:szCs w:val="24"/>
                <w:lang w:eastAsia="lv-LV"/>
              </w:rPr>
            </w:pPr>
          </w:p>
          <w:p w14:paraId="04D4EABE" w14:textId="3C19BC0E" w:rsidR="00B20DDD" w:rsidRPr="00F65D5D" w:rsidRDefault="00FA4A39" w:rsidP="00013BC5">
            <w:pPr>
              <w:pStyle w:val="ListParagraph"/>
              <w:spacing w:after="0" w:line="240" w:lineRule="auto"/>
              <w:ind w:left="0" w:firstLine="505"/>
              <w:jc w:val="both"/>
              <w:rPr>
                <w:rFonts w:eastAsia="Times New Roman" w:cs="Times New Roman"/>
                <w:szCs w:val="24"/>
                <w:lang w:eastAsia="lv-LV"/>
              </w:rPr>
            </w:pPr>
            <w:r w:rsidRPr="00F65D5D">
              <w:rPr>
                <w:rFonts w:eastAsia="Times New Roman" w:cs="Times New Roman"/>
                <w:szCs w:val="24"/>
                <w:lang w:eastAsia="lv-LV"/>
              </w:rPr>
              <w:t>4</w:t>
            </w:r>
            <w:r w:rsidR="009D2D1F" w:rsidRPr="00F65D5D">
              <w:rPr>
                <w:rFonts w:eastAsia="Times New Roman" w:cs="Times New Roman"/>
                <w:szCs w:val="24"/>
                <w:lang w:eastAsia="lv-LV"/>
              </w:rPr>
              <w:t xml:space="preserve">. </w:t>
            </w:r>
            <w:r w:rsidR="00A30EB2" w:rsidRPr="00F65D5D">
              <w:rPr>
                <w:rFonts w:eastAsia="Times New Roman" w:cs="Times New Roman"/>
                <w:szCs w:val="24"/>
                <w:lang w:eastAsia="lv-LV"/>
              </w:rPr>
              <w:t>Likuma</w:t>
            </w:r>
            <w:r w:rsidR="00B20DDD" w:rsidRPr="00F65D5D">
              <w:rPr>
                <w:rFonts w:eastAsia="Times New Roman" w:cs="Times New Roman"/>
                <w:szCs w:val="24"/>
                <w:lang w:eastAsia="lv-LV"/>
              </w:rPr>
              <w:t xml:space="preserve"> 22.pantā</w:t>
            </w:r>
            <w:r w:rsidR="009D2D1F" w:rsidRPr="00F65D5D">
              <w:rPr>
                <w:rFonts w:eastAsia="Times New Roman" w:cs="Times New Roman"/>
                <w:szCs w:val="24"/>
                <w:lang w:eastAsia="lv-LV"/>
              </w:rPr>
              <w:t xml:space="preserve"> ir noteikts, ka </w:t>
            </w:r>
            <w:r w:rsidR="00B20DDD" w:rsidRPr="00F65D5D">
              <w:rPr>
                <w:rFonts w:eastAsia="Times New Roman" w:cs="Times New Roman"/>
                <w:szCs w:val="24"/>
                <w:lang w:eastAsia="lv-LV"/>
              </w:rPr>
              <w:t xml:space="preserve">Biedrība “Autopārvadātāju asociācija “Latvijas auto”” </w:t>
            </w:r>
            <w:r w:rsidR="00654BA0" w:rsidRPr="00F65D5D">
              <w:rPr>
                <w:rFonts w:eastAsia="Times New Roman" w:cs="Times New Roman"/>
                <w:szCs w:val="24"/>
                <w:lang w:eastAsia="lv-LV"/>
              </w:rPr>
              <w:t xml:space="preserve">(turpmāk – garantijas asociācija) </w:t>
            </w:r>
            <w:r w:rsidR="00B20DDD" w:rsidRPr="00F65D5D">
              <w:rPr>
                <w:rFonts w:eastAsia="Times New Roman" w:cs="Times New Roman"/>
                <w:szCs w:val="24"/>
                <w:lang w:eastAsia="lv-LV"/>
              </w:rPr>
              <w:t>izsniedz TIR karnetes turētāja atļauju.</w:t>
            </w:r>
          </w:p>
          <w:p w14:paraId="773E3C48" w14:textId="77777777" w:rsidR="00E10539" w:rsidRPr="00F65D5D" w:rsidRDefault="009C0976" w:rsidP="00013BC5">
            <w:pPr>
              <w:pStyle w:val="ListParagraph"/>
              <w:spacing w:after="0" w:line="240" w:lineRule="auto"/>
              <w:ind w:left="0" w:firstLine="505"/>
              <w:jc w:val="both"/>
              <w:rPr>
                <w:rFonts w:eastAsia="Times New Roman" w:cs="Times New Roman"/>
                <w:szCs w:val="24"/>
                <w:lang w:eastAsia="lv-LV"/>
              </w:rPr>
            </w:pPr>
            <w:r w:rsidRPr="00F65D5D">
              <w:rPr>
                <w:rFonts w:eastAsia="Times New Roman" w:cs="Times New Roman"/>
                <w:szCs w:val="24"/>
                <w:lang w:eastAsia="lv-LV"/>
              </w:rPr>
              <w:t>Noteikumu p</w:t>
            </w:r>
            <w:r w:rsidR="00E10539" w:rsidRPr="00F65D5D">
              <w:rPr>
                <w:rFonts w:eastAsia="Times New Roman" w:cs="Times New Roman"/>
                <w:szCs w:val="24"/>
                <w:lang w:eastAsia="lv-LV"/>
              </w:rPr>
              <w:t xml:space="preserve">rojekts </w:t>
            </w:r>
            <w:r w:rsidR="00594438" w:rsidRPr="00F65D5D">
              <w:rPr>
                <w:rFonts w:eastAsia="Times New Roman" w:cs="Times New Roman"/>
                <w:szCs w:val="24"/>
                <w:lang w:eastAsia="lv-LV"/>
              </w:rPr>
              <w:t>tāpat kā M</w:t>
            </w:r>
            <w:r w:rsidR="001A0904" w:rsidRPr="00F65D5D">
              <w:rPr>
                <w:rFonts w:eastAsia="Times New Roman" w:cs="Times New Roman"/>
                <w:szCs w:val="24"/>
                <w:lang w:eastAsia="lv-LV"/>
              </w:rPr>
              <w:t>inistru kabineta</w:t>
            </w:r>
            <w:r w:rsidR="00594438" w:rsidRPr="00F65D5D">
              <w:rPr>
                <w:rFonts w:eastAsia="Times New Roman" w:cs="Times New Roman"/>
                <w:szCs w:val="24"/>
                <w:lang w:eastAsia="lv-LV"/>
              </w:rPr>
              <w:t xml:space="preserve"> noteikumi Nr.603 </w:t>
            </w:r>
            <w:r w:rsidR="00A007BC" w:rsidRPr="00F65D5D">
              <w:rPr>
                <w:rFonts w:eastAsia="Times New Roman" w:cs="Times New Roman"/>
                <w:szCs w:val="24"/>
                <w:lang w:eastAsia="lv-LV"/>
              </w:rPr>
              <w:t>nosaka</w:t>
            </w:r>
            <w:r w:rsidRPr="00F65D5D">
              <w:rPr>
                <w:rFonts w:eastAsia="Times New Roman" w:cs="Times New Roman"/>
                <w:szCs w:val="24"/>
                <w:lang w:eastAsia="lv-LV"/>
              </w:rPr>
              <w:t xml:space="preserve"> </w:t>
            </w:r>
            <w:r w:rsidR="00E10539" w:rsidRPr="00F65D5D">
              <w:rPr>
                <w:rFonts w:eastAsia="Times New Roman" w:cs="Times New Roman"/>
                <w:szCs w:val="24"/>
                <w:lang w:eastAsia="lv-LV"/>
              </w:rPr>
              <w:t xml:space="preserve">kārtību, kādā tiek izsniegta, grozīta, apturēta, atjaunota un anulēta TIR karnetes turētāja atļauja, </w:t>
            </w:r>
            <w:r w:rsidR="00594438" w:rsidRPr="00F65D5D">
              <w:rPr>
                <w:rFonts w:eastAsia="Times New Roman" w:cs="Times New Roman"/>
                <w:szCs w:val="24"/>
                <w:lang w:eastAsia="lv-LV"/>
              </w:rPr>
              <w:t xml:space="preserve">papildus </w:t>
            </w:r>
            <w:r w:rsidR="00E10539" w:rsidRPr="00F65D5D">
              <w:rPr>
                <w:rFonts w:eastAsia="Times New Roman" w:cs="Times New Roman"/>
                <w:szCs w:val="24"/>
                <w:lang w:eastAsia="lv-LV"/>
              </w:rPr>
              <w:t>precizējot:</w:t>
            </w:r>
          </w:p>
          <w:p w14:paraId="299B9E61" w14:textId="40CBEC5B" w:rsidR="00E10539" w:rsidRPr="00F65D5D" w:rsidRDefault="00E10539" w:rsidP="00C50C69">
            <w:pPr>
              <w:pStyle w:val="ListParagraph"/>
              <w:spacing w:after="0" w:line="240" w:lineRule="auto"/>
              <w:ind w:left="0" w:firstLine="77"/>
              <w:jc w:val="both"/>
              <w:rPr>
                <w:rFonts w:eastAsia="Times New Roman" w:cs="Times New Roman"/>
                <w:szCs w:val="24"/>
                <w:lang w:eastAsia="lv-LV"/>
              </w:rPr>
            </w:pPr>
            <w:r w:rsidRPr="00F65D5D">
              <w:rPr>
                <w:rFonts w:eastAsia="Times New Roman" w:cs="Times New Roman"/>
                <w:szCs w:val="24"/>
                <w:lang w:eastAsia="lv-LV"/>
              </w:rPr>
              <w:t xml:space="preserve">- TIR karnetes turētāja atļaujas </w:t>
            </w:r>
            <w:r w:rsidR="00066758">
              <w:rPr>
                <w:rFonts w:eastAsia="Times New Roman" w:cs="Times New Roman"/>
                <w:szCs w:val="24"/>
                <w:lang w:eastAsia="lv-LV"/>
              </w:rPr>
              <w:t>iesniegumā</w:t>
            </w:r>
            <w:r w:rsidRPr="00F65D5D">
              <w:rPr>
                <w:rFonts w:eastAsia="Times New Roman" w:cs="Times New Roman"/>
                <w:szCs w:val="24"/>
                <w:lang w:eastAsia="lv-LV"/>
              </w:rPr>
              <w:t xml:space="preserve"> norādāmo informāciju (</w:t>
            </w:r>
            <w:r w:rsidR="009C0976" w:rsidRPr="00F65D5D">
              <w:rPr>
                <w:rFonts w:eastAsia="Times New Roman" w:cs="Times New Roman"/>
                <w:szCs w:val="24"/>
                <w:lang w:eastAsia="lv-LV"/>
              </w:rPr>
              <w:t xml:space="preserve">noteikumu </w:t>
            </w:r>
            <w:r w:rsidRPr="00F65D5D">
              <w:rPr>
                <w:rFonts w:eastAsia="Times New Roman" w:cs="Times New Roman"/>
                <w:szCs w:val="24"/>
                <w:lang w:eastAsia="lv-LV"/>
              </w:rPr>
              <w:t>projekta 7.punkts);</w:t>
            </w:r>
          </w:p>
          <w:p w14:paraId="71178926" w14:textId="77777777" w:rsidR="00C50C69" w:rsidRPr="00F65D5D" w:rsidRDefault="008F546C" w:rsidP="00C50C69">
            <w:pPr>
              <w:spacing w:after="0" w:line="240" w:lineRule="auto"/>
              <w:ind w:firstLine="77"/>
              <w:jc w:val="both"/>
              <w:rPr>
                <w:rFonts w:cs="Times New Roman"/>
                <w:szCs w:val="24"/>
              </w:rPr>
            </w:pPr>
            <w:r w:rsidRPr="00F65D5D">
              <w:rPr>
                <w:rFonts w:eastAsia="Times New Roman" w:cs="Times New Roman"/>
                <w:szCs w:val="24"/>
                <w:lang w:eastAsia="lv-LV"/>
              </w:rPr>
              <w:lastRenderedPageBreak/>
              <w:t xml:space="preserve">- </w:t>
            </w:r>
            <w:r w:rsidR="00E10539" w:rsidRPr="00F65D5D">
              <w:rPr>
                <w:rFonts w:eastAsia="Times New Roman" w:cs="Times New Roman"/>
                <w:szCs w:val="24"/>
                <w:lang w:eastAsia="lv-LV"/>
              </w:rPr>
              <w:t xml:space="preserve">TIR konvencijas 9.pielikuma II.daļas TIR karnetes turētāja atļaujas saņemšanas kritēriju </w:t>
            </w:r>
            <w:r w:rsidR="00654BA0" w:rsidRPr="00F65D5D">
              <w:rPr>
                <w:rFonts w:eastAsia="Times New Roman" w:cs="Times New Roman"/>
                <w:szCs w:val="24"/>
                <w:lang w:eastAsia="lv-LV"/>
              </w:rPr>
              <w:t>izvērtēšanas principus (</w:t>
            </w:r>
            <w:r w:rsidR="009C0976" w:rsidRPr="00F65D5D">
              <w:rPr>
                <w:rFonts w:eastAsia="Times New Roman" w:cs="Times New Roman"/>
                <w:szCs w:val="24"/>
                <w:lang w:eastAsia="lv-LV"/>
              </w:rPr>
              <w:t xml:space="preserve">noteikumu </w:t>
            </w:r>
            <w:r w:rsidR="00654BA0" w:rsidRPr="00F65D5D">
              <w:rPr>
                <w:rFonts w:eastAsia="Times New Roman" w:cs="Times New Roman"/>
                <w:szCs w:val="24"/>
                <w:lang w:eastAsia="lv-LV"/>
              </w:rPr>
              <w:t>projekta 9. un 12.punkts)</w:t>
            </w:r>
            <w:r w:rsidR="00A007BC" w:rsidRPr="00F65D5D">
              <w:rPr>
                <w:rFonts w:eastAsia="Times New Roman" w:cs="Times New Roman"/>
                <w:szCs w:val="24"/>
                <w:lang w:eastAsia="lv-LV"/>
              </w:rPr>
              <w:t>. TIR konvencijas 9.pielikuma II.daļa</w:t>
            </w:r>
            <w:r w:rsidR="003F127D" w:rsidRPr="00F65D5D">
              <w:rPr>
                <w:rFonts w:eastAsia="Times New Roman" w:cs="Times New Roman"/>
                <w:szCs w:val="24"/>
                <w:lang w:eastAsia="lv-LV"/>
              </w:rPr>
              <w:t xml:space="preserve"> </w:t>
            </w:r>
            <w:r w:rsidR="00A007BC" w:rsidRPr="00F65D5D">
              <w:rPr>
                <w:rFonts w:eastAsia="Times New Roman" w:cs="Times New Roman"/>
                <w:szCs w:val="24"/>
                <w:lang w:eastAsia="lv-LV"/>
              </w:rPr>
              <w:t xml:space="preserve">nosaka, ka </w:t>
            </w:r>
            <w:r w:rsidRPr="00F65D5D">
              <w:rPr>
                <w:rFonts w:eastAsia="Times New Roman" w:cs="Times New Roman"/>
                <w:szCs w:val="24"/>
                <w:lang w:eastAsia="lv-LV"/>
              </w:rPr>
              <w:t>p</w:t>
            </w:r>
            <w:r w:rsidRPr="00F65D5D">
              <w:rPr>
                <w:rFonts w:cs="Times New Roman"/>
                <w:szCs w:val="24"/>
              </w:rPr>
              <w:t>ersonām, kuras vēlas saņemt piekļuvi TIR režīmam, jāatbilst minimālajām normām un nosacījumiem</w:t>
            </w:r>
            <w:r w:rsidR="00C50C69" w:rsidRPr="00F65D5D">
              <w:rPr>
                <w:rFonts w:cs="Times New Roman"/>
                <w:szCs w:val="24"/>
              </w:rPr>
              <w:t xml:space="preserve">, cita starpā personai </w:t>
            </w:r>
            <w:r w:rsidRPr="00F65D5D">
              <w:rPr>
                <w:rFonts w:cs="Times New Roman"/>
                <w:szCs w:val="24"/>
              </w:rPr>
              <w:t xml:space="preserve">jābūt stabilai finansiālai situācijai. </w:t>
            </w:r>
            <w:r w:rsidR="00C50C69" w:rsidRPr="00F65D5D">
              <w:rPr>
                <w:rFonts w:cs="Times New Roman"/>
                <w:szCs w:val="24"/>
              </w:rPr>
              <w:t xml:space="preserve">Ņemot vērā </w:t>
            </w:r>
            <w:r w:rsidR="002C46AB" w:rsidRPr="00F65D5D">
              <w:rPr>
                <w:rFonts w:cs="Times New Roman"/>
                <w:szCs w:val="24"/>
              </w:rPr>
              <w:t xml:space="preserve">minēto, garantijas </w:t>
            </w:r>
            <w:r w:rsidRPr="00F65D5D">
              <w:rPr>
                <w:rFonts w:cs="Times New Roman"/>
                <w:szCs w:val="24"/>
              </w:rPr>
              <w:t>asociācija vērtē</w:t>
            </w:r>
            <w:r w:rsidR="002C46AB" w:rsidRPr="00F65D5D">
              <w:rPr>
                <w:rFonts w:cs="Times New Roman"/>
                <w:szCs w:val="24"/>
              </w:rPr>
              <w:t>s</w:t>
            </w:r>
            <w:r w:rsidRPr="00F65D5D">
              <w:rPr>
                <w:rFonts w:cs="Times New Roman"/>
                <w:szCs w:val="24"/>
              </w:rPr>
              <w:t xml:space="preserve"> vai persona</w:t>
            </w:r>
            <w:r w:rsidR="00C50C69" w:rsidRPr="00F65D5D">
              <w:rPr>
                <w:rFonts w:cs="Times New Roman"/>
                <w:szCs w:val="24"/>
              </w:rPr>
              <w:t>i</w:t>
            </w:r>
            <w:r w:rsidRPr="00F65D5D">
              <w:rPr>
                <w:rFonts w:cs="Times New Roman"/>
                <w:szCs w:val="24"/>
              </w:rPr>
              <w:t xml:space="preserve"> ir stabils finansiālais stāvoklis un pietiekami apgrozāmie līdzekļi saistību izpildei, ko iespējams izvērtēt, pamatojoties uz iepriekšējā gada pārskatā </w:t>
            </w:r>
            <w:r w:rsidR="000C72BD" w:rsidRPr="00F65D5D">
              <w:rPr>
                <w:rFonts w:cs="Times New Roman"/>
                <w:szCs w:val="24"/>
              </w:rPr>
              <w:t xml:space="preserve">vai kārtējā gada attiecīgā perioda pārskatā </w:t>
            </w:r>
            <w:r w:rsidRPr="00F65D5D">
              <w:rPr>
                <w:rFonts w:cs="Times New Roman"/>
                <w:szCs w:val="24"/>
              </w:rPr>
              <w:t>norādītajiem datiem</w:t>
            </w:r>
            <w:r w:rsidR="00C50C69" w:rsidRPr="00F65D5D">
              <w:rPr>
                <w:rFonts w:cs="Times New Roman"/>
                <w:szCs w:val="24"/>
              </w:rPr>
              <w:t>,</w:t>
            </w:r>
            <w:r w:rsidRPr="00F65D5D">
              <w:rPr>
                <w:rFonts w:cs="Times New Roman"/>
                <w:szCs w:val="24"/>
              </w:rPr>
              <w:t xml:space="preserve"> izmantojot</w:t>
            </w:r>
            <w:r w:rsidR="00C50C69" w:rsidRPr="00F65D5D">
              <w:rPr>
                <w:rFonts w:cs="Times New Roman"/>
                <w:szCs w:val="24"/>
              </w:rPr>
              <w:t>,</w:t>
            </w:r>
            <w:r w:rsidRPr="00F65D5D">
              <w:rPr>
                <w:rFonts w:cs="Times New Roman"/>
                <w:szCs w:val="24"/>
              </w:rPr>
              <w:t xml:space="preserve"> </w:t>
            </w:r>
            <w:r w:rsidR="00C50C69" w:rsidRPr="00F65D5D">
              <w:rPr>
                <w:rFonts w:cs="Times New Roman"/>
                <w:szCs w:val="24"/>
              </w:rPr>
              <w:t xml:space="preserve">piemēram, </w:t>
            </w:r>
            <w:r w:rsidRPr="00F65D5D">
              <w:rPr>
                <w:rFonts w:cs="Times New Roman"/>
                <w:szCs w:val="24"/>
              </w:rPr>
              <w:t xml:space="preserve">šādus kritērijus: </w:t>
            </w:r>
          </w:p>
          <w:p w14:paraId="2EF564E0" w14:textId="77777777" w:rsidR="00C50C69" w:rsidRPr="00F65D5D" w:rsidRDefault="008F546C" w:rsidP="000C72BD">
            <w:pPr>
              <w:pStyle w:val="ListParagraph"/>
              <w:numPr>
                <w:ilvl w:val="0"/>
                <w:numId w:val="14"/>
              </w:numPr>
              <w:spacing w:after="0" w:line="240" w:lineRule="auto"/>
              <w:jc w:val="both"/>
              <w:rPr>
                <w:rFonts w:cs="Times New Roman"/>
                <w:szCs w:val="24"/>
              </w:rPr>
            </w:pPr>
            <w:r w:rsidRPr="00F65D5D">
              <w:rPr>
                <w:rFonts w:cs="Times New Roman"/>
                <w:szCs w:val="24"/>
              </w:rPr>
              <w:t>personas kopēj</w:t>
            </w:r>
            <w:r w:rsidR="006371CE" w:rsidRPr="00F65D5D">
              <w:rPr>
                <w:rFonts w:cs="Times New Roman"/>
                <w:szCs w:val="24"/>
              </w:rPr>
              <w:t>ais</w:t>
            </w:r>
            <w:r w:rsidRPr="00F65D5D">
              <w:rPr>
                <w:rFonts w:cs="Times New Roman"/>
                <w:szCs w:val="24"/>
              </w:rPr>
              <w:t xml:space="preserve"> likviditātes koeficient</w:t>
            </w:r>
            <w:r w:rsidR="006371CE" w:rsidRPr="00F65D5D">
              <w:rPr>
                <w:rFonts w:cs="Times New Roman"/>
                <w:szCs w:val="24"/>
              </w:rPr>
              <w:t>s</w:t>
            </w:r>
            <w:r w:rsidRPr="00F65D5D">
              <w:rPr>
                <w:rFonts w:cs="Times New Roman"/>
                <w:szCs w:val="24"/>
              </w:rPr>
              <w:t xml:space="preserve"> (apgrozāmo līdzekļu kopsumma/īstermiņa saistību kopsumma)</w:t>
            </w:r>
            <w:r w:rsidR="00C50C69" w:rsidRPr="00F65D5D">
              <w:rPr>
                <w:rFonts w:cs="Times New Roman"/>
                <w:szCs w:val="24"/>
              </w:rPr>
              <w:t xml:space="preserve">, </w:t>
            </w:r>
          </w:p>
          <w:p w14:paraId="172BB8C6" w14:textId="1455609D" w:rsidR="000C72BD" w:rsidRPr="00A76C3B" w:rsidRDefault="008F546C" w:rsidP="000C72BD">
            <w:pPr>
              <w:pStyle w:val="ListParagraph"/>
              <w:numPr>
                <w:ilvl w:val="0"/>
                <w:numId w:val="14"/>
              </w:numPr>
              <w:spacing w:after="0" w:line="240" w:lineRule="auto"/>
              <w:jc w:val="both"/>
              <w:rPr>
                <w:rFonts w:eastAsia="Times New Roman" w:cs="Times New Roman"/>
                <w:szCs w:val="24"/>
                <w:lang w:eastAsia="lv-LV"/>
              </w:rPr>
            </w:pPr>
            <w:r w:rsidRPr="00F65D5D">
              <w:rPr>
                <w:rFonts w:cs="Times New Roman"/>
                <w:szCs w:val="24"/>
              </w:rPr>
              <w:t>personas finansiālās stabilitātes koeficient</w:t>
            </w:r>
            <w:r w:rsidR="006371CE" w:rsidRPr="00F65D5D">
              <w:rPr>
                <w:rFonts w:cs="Times New Roman"/>
                <w:szCs w:val="24"/>
              </w:rPr>
              <w:t>s</w:t>
            </w:r>
            <w:r w:rsidRPr="00F65D5D">
              <w:rPr>
                <w:rFonts w:cs="Times New Roman"/>
                <w:szCs w:val="24"/>
              </w:rPr>
              <w:t xml:space="preserve"> – saistību īpatsvaru bilancē (saistību kopsumma/bilances kopsumma)</w:t>
            </w:r>
            <w:r w:rsidR="00C50C69" w:rsidRPr="00F65D5D">
              <w:rPr>
                <w:rFonts w:cs="Times New Roman"/>
                <w:szCs w:val="24"/>
              </w:rPr>
              <w:t>.</w:t>
            </w:r>
          </w:p>
          <w:p w14:paraId="1BA08650" w14:textId="0CBF26B9" w:rsidR="00A76C3B" w:rsidRPr="00476370" w:rsidRDefault="008C1ADA" w:rsidP="00594438">
            <w:pPr>
              <w:pStyle w:val="ListParagraph"/>
              <w:numPr>
                <w:ilvl w:val="0"/>
                <w:numId w:val="10"/>
              </w:numPr>
              <w:spacing w:after="0" w:line="240" w:lineRule="auto"/>
              <w:ind w:left="0" w:firstLine="77"/>
              <w:jc w:val="both"/>
              <w:rPr>
                <w:rFonts w:eastAsia="Times New Roman" w:cs="Times New Roman"/>
                <w:szCs w:val="24"/>
                <w:lang w:eastAsia="lv-LV"/>
              </w:rPr>
            </w:pPr>
            <w:r w:rsidRPr="00476370">
              <w:rPr>
                <w:rFonts w:cs="Times New Roman"/>
                <w:szCs w:val="24"/>
              </w:rPr>
              <w:t>Dokumentus, kurus</w:t>
            </w:r>
            <w:r w:rsidR="001950EB" w:rsidRPr="00476370">
              <w:rPr>
                <w:rFonts w:cs="Times New Roman"/>
                <w:szCs w:val="24"/>
              </w:rPr>
              <w:t xml:space="preserve"> pirms </w:t>
            </w:r>
            <w:r w:rsidR="001950EB" w:rsidRPr="00476370">
              <w:rPr>
                <w:rFonts w:eastAsia="Times New Roman" w:cs="Times New Roman"/>
                <w:szCs w:val="24"/>
                <w:lang w:eastAsia="lv-LV"/>
              </w:rPr>
              <w:t>TIR karnetes turētāja atļaujas saņemšanas nepieciešams saņemt</w:t>
            </w:r>
            <w:r w:rsidR="00C40303" w:rsidRPr="00476370">
              <w:rPr>
                <w:rFonts w:eastAsia="Times New Roman" w:cs="Times New Roman"/>
                <w:szCs w:val="24"/>
                <w:lang w:eastAsia="lv-LV"/>
              </w:rPr>
              <w:t xml:space="preserve"> </w:t>
            </w:r>
            <w:r w:rsidR="00C40303" w:rsidRPr="00476370">
              <w:rPr>
                <w:rFonts w:cs="Times New Roman"/>
                <w:szCs w:val="24"/>
              </w:rPr>
              <w:t>valsts sab</w:t>
            </w:r>
            <w:r w:rsidR="001950EB" w:rsidRPr="00476370">
              <w:rPr>
                <w:rFonts w:cs="Times New Roman"/>
                <w:szCs w:val="24"/>
              </w:rPr>
              <w:t>iedrībā ar ierobežotu atbildību</w:t>
            </w:r>
            <w:r w:rsidR="00C40303" w:rsidRPr="00476370">
              <w:rPr>
                <w:rFonts w:cs="Times New Roman"/>
                <w:szCs w:val="24"/>
              </w:rPr>
              <w:t xml:space="preserve"> “</w:t>
            </w:r>
            <w:r w:rsidR="00C40303" w:rsidRPr="00476370">
              <w:rPr>
                <w:rStyle w:val="highlight"/>
                <w:rFonts w:cs="Times New Roman"/>
                <w:szCs w:val="24"/>
              </w:rPr>
              <w:t>Autotransporta</w:t>
            </w:r>
            <w:r w:rsidR="00C40303" w:rsidRPr="00476370">
              <w:rPr>
                <w:rStyle w:val="highlight"/>
                <w:rFonts w:cs="Times New Roman"/>
                <w:color w:val="414142"/>
                <w:szCs w:val="24"/>
              </w:rPr>
              <w:t xml:space="preserve"> </w:t>
            </w:r>
            <w:r w:rsidR="00C40303" w:rsidRPr="00476370">
              <w:rPr>
                <w:rStyle w:val="highlight"/>
                <w:rFonts w:cs="Times New Roman"/>
                <w:szCs w:val="24"/>
              </w:rPr>
              <w:t>direkcija” (turpmāk – VSIA Autotransporta direkcija)</w:t>
            </w:r>
            <w:r w:rsidR="00C40303" w:rsidRPr="00476370">
              <w:rPr>
                <w:rFonts w:cs="Times New Roman"/>
                <w:szCs w:val="24"/>
              </w:rPr>
              <w:t xml:space="preserve">, </w:t>
            </w:r>
            <w:r w:rsidR="00C40303" w:rsidRPr="00476370">
              <w:rPr>
                <w:rFonts w:eastAsia="Times New Roman" w:cs="Times New Roman"/>
                <w:szCs w:val="24"/>
                <w:lang w:eastAsia="lv-LV"/>
              </w:rPr>
              <w:t xml:space="preserve"> kā arī kārtību, kādā garantējas  asociācija un VSIA “</w:t>
            </w:r>
            <w:r w:rsidR="00C40303" w:rsidRPr="00476370">
              <w:rPr>
                <w:rStyle w:val="highlight"/>
                <w:rFonts w:cs="Times New Roman"/>
                <w:szCs w:val="24"/>
              </w:rPr>
              <w:t>Autotransporta direkcija</w:t>
            </w:r>
            <w:r w:rsidR="00C40303" w:rsidRPr="00476370">
              <w:rPr>
                <w:rFonts w:eastAsia="Times New Roman" w:cs="Times New Roman"/>
                <w:szCs w:val="24"/>
                <w:lang w:eastAsia="lv-LV"/>
              </w:rPr>
              <w:t>” veic informācijas apmai</w:t>
            </w:r>
            <w:r w:rsidR="001950EB" w:rsidRPr="00476370">
              <w:rPr>
                <w:rFonts w:eastAsia="Times New Roman" w:cs="Times New Roman"/>
                <w:szCs w:val="24"/>
                <w:lang w:eastAsia="lv-LV"/>
              </w:rPr>
              <w:t>ņu.</w:t>
            </w:r>
            <w:r w:rsidR="00C40303" w:rsidRPr="00476370">
              <w:rPr>
                <w:rFonts w:eastAsia="Times New Roman" w:cs="Times New Roman"/>
                <w:szCs w:val="24"/>
                <w:lang w:eastAsia="lv-LV"/>
              </w:rPr>
              <w:t xml:space="preserve"> </w:t>
            </w:r>
          </w:p>
          <w:p w14:paraId="035C3DC7" w14:textId="445568C1" w:rsidR="00654BA0" w:rsidRPr="00F65D5D" w:rsidRDefault="00654BA0" w:rsidP="00594438">
            <w:pPr>
              <w:pStyle w:val="ListParagraph"/>
              <w:numPr>
                <w:ilvl w:val="0"/>
                <w:numId w:val="10"/>
              </w:numPr>
              <w:spacing w:after="0" w:line="240" w:lineRule="auto"/>
              <w:ind w:left="0" w:firstLine="77"/>
              <w:jc w:val="both"/>
              <w:rPr>
                <w:rFonts w:eastAsia="Times New Roman" w:cs="Times New Roman"/>
                <w:szCs w:val="24"/>
                <w:lang w:eastAsia="lv-LV"/>
              </w:rPr>
            </w:pPr>
            <w:r w:rsidRPr="00F65D5D">
              <w:rPr>
                <w:rFonts w:eastAsia="Times New Roman" w:cs="Times New Roman"/>
                <w:szCs w:val="24"/>
                <w:lang w:eastAsia="lv-LV"/>
              </w:rPr>
              <w:t xml:space="preserve">kārtību, kādā garantijas asociācija un Valsts ieņēmumu dienests </w:t>
            </w:r>
            <w:r w:rsidR="00B63CA0" w:rsidRPr="00F65D5D">
              <w:rPr>
                <w:rFonts w:eastAsia="Times New Roman" w:cs="Times New Roman"/>
                <w:szCs w:val="24"/>
                <w:lang w:eastAsia="lv-LV"/>
              </w:rPr>
              <w:t xml:space="preserve">(turpmāk – VID) </w:t>
            </w:r>
            <w:r w:rsidRPr="00F65D5D">
              <w:rPr>
                <w:rFonts w:eastAsia="Times New Roman" w:cs="Times New Roman"/>
                <w:szCs w:val="24"/>
                <w:lang w:eastAsia="lv-LV"/>
              </w:rPr>
              <w:t xml:space="preserve">veic informācijas apmaiņu (atzinuma par </w:t>
            </w:r>
            <w:r w:rsidR="00066758">
              <w:rPr>
                <w:rFonts w:eastAsia="Times New Roman" w:cs="Times New Roman"/>
                <w:szCs w:val="24"/>
                <w:lang w:eastAsia="lv-LV"/>
              </w:rPr>
              <w:t>iesnieguma</w:t>
            </w:r>
            <w:r w:rsidRPr="00F65D5D">
              <w:rPr>
                <w:rFonts w:eastAsia="Times New Roman" w:cs="Times New Roman"/>
                <w:szCs w:val="24"/>
                <w:lang w:eastAsia="lv-LV"/>
              </w:rPr>
              <w:t xml:space="preserve"> iesniedzēju pieprasījums; atzinuma nosūtīšanas termini; atzinumi konstatējot, ka persona vairs neatbilst TIR karnetes turētāja atļaujas saņemšanas vai turēšanas nosacījumiem) izsniedzot, apturot, atjaunot un anulējot TIR karnetes turētāja atļauju (</w:t>
            </w:r>
            <w:r w:rsidR="00C71F54" w:rsidRPr="00F65D5D">
              <w:rPr>
                <w:rFonts w:eastAsia="Times New Roman" w:cs="Times New Roman"/>
                <w:szCs w:val="24"/>
                <w:lang w:eastAsia="lv-LV"/>
              </w:rPr>
              <w:t xml:space="preserve">noteikumu </w:t>
            </w:r>
            <w:r w:rsidRPr="00F65D5D">
              <w:rPr>
                <w:rFonts w:eastAsia="Times New Roman" w:cs="Times New Roman"/>
                <w:szCs w:val="24"/>
                <w:lang w:eastAsia="lv-LV"/>
              </w:rPr>
              <w:t>projekta 10., 11., 13., 1</w:t>
            </w:r>
            <w:r w:rsidR="001E11B7" w:rsidRPr="00F65D5D">
              <w:rPr>
                <w:rFonts w:eastAsia="Times New Roman" w:cs="Times New Roman"/>
                <w:szCs w:val="24"/>
                <w:lang w:eastAsia="lv-LV"/>
              </w:rPr>
              <w:t>6</w:t>
            </w:r>
            <w:r w:rsidRPr="00F65D5D">
              <w:rPr>
                <w:rFonts w:eastAsia="Times New Roman" w:cs="Times New Roman"/>
                <w:szCs w:val="24"/>
                <w:lang w:eastAsia="lv-LV"/>
              </w:rPr>
              <w:t xml:space="preserve">., </w:t>
            </w:r>
            <w:r w:rsidR="00095ABA" w:rsidRPr="00F65D5D">
              <w:rPr>
                <w:rFonts w:eastAsia="Times New Roman" w:cs="Times New Roman"/>
                <w:szCs w:val="24"/>
                <w:lang w:eastAsia="lv-LV"/>
              </w:rPr>
              <w:t>18</w:t>
            </w:r>
            <w:r w:rsidR="009F3C39" w:rsidRPr="00F65D5D">
              <w:rPr>
                <w:rFonts w:eastAsia="Times New Roman" w:cs="Times New Roman"/>
                <w:szCs w:val="24"/>
                <w:lang w:eastAsia="lv-LV"/>
              </w:rPr>
              <w:t>., 2</w:t>
            </w:r>
            <w:r w:rsidR="00AF1558" w:rsidRPr="00F65D5D">
              <w:rPr>
                <w:rFonts w:eastAsia="Times New Roman" w:cs="Times New Roman"/>
                <w:szCs w:val="24"/>
                <w:lang w:eastAsia="lv-LV"/>
              </w:rPr>
              <w:t>1</w:t>
            </w:r>
            <w:r w:rsidR="009F3C39" w:rsidRPr="00F65D5D">
              <w:rPr>
                <w:rFonts w:eastAsia="Times New Roman" w:cs="Times New Roman"/>
                <w:szCs w:val="24"/>
                <w:lang w:eastAsia="lv-LV"/>
              </w:rPr>
              <w:t>., 2</w:t>
            </w:r>
            <w:r w:rsidR="00AF1558" w:rsidRPr="00F65D5D">
              <w:rPr>
                <w:rFonts w:eastAsia="Times New Roman" w:cs="Times New Roman"/>
                <w:szCs w:val="24"/>
                <w:lang w:eastAsia="lv-LV"/>
              </w:rPr>
              <w:t>2</w:t>
            </w:r>
            <w:r w:rsidR="009F3C39" w:rsidRPr="00F65D5D">
              <w:rPr>
                <w:rFonts w:eastAsia="Times New Roman" w:cs="Times New Roman"/>
                <w:szCs w:val="24"/>
                <w:lang w:eastAsia="lv-LV"/>
              </w:rPr>
              <w:t>. un 2</w:t>
            </w:r>
            <w:r w:rsidR="00AF1558" w:rsidRPr="00F65D5D">
              <w:rPr>
                <w:rFonts w:eastAsia="Times New Roman" w:cs="Times New Roman"/>
                <w:szCs w:val="24"/>
                <w:lang w:eastAsia="lv-LV"/>
              </w:rPr>
              <w:t>4</w:t>
            </w:r>
            <w:r w:rsidR="009F3C39" w:rsidRPr="00F65D5D">
              <w:rPr>
                <w:rFonts w:eastAsia="Times New Roman" w:cs="Times New Roman"/>
                <w:szCs w:val="24"/>
                <w:lang w:eastAsia="lv-LV"/>
              </w:rPr>
              <w:t>.)</w:t>
            </w:r>
            <w:r w:rsidRPr="00F65D5D">
              <w:rPr>
                <w:rFonts w:eastAsia="Times New Roman" w:cs="Times New Roman"/>
                <w:szCs w:val="24"/>
                <w:lang w:eastAsia="lv-LV"/>
              </w:rPr>
              <w:t>;</w:t>
            </w:r>
          </w:p>
          <w:p w14:paraId="04BAB777" w14:textId="77777777" w:rsidR="009F3C39" w:rsidRPr="00F65D5D" w:rsidRDefault="009F3C39" w:rsidP="00594438">
            <w:pPr>
              <w:pStyle w:val="ListParagraph"/>
              <w:numPr>
                <w:ilvl w:val="0"/>
                <w:numId w:val="10"/>
              </w:numPr>
              <w:spacing w:after="0" w:line="240" w:lineRule="auto"/>
              <w:ind w:left="0" w:firstLine="77"/>
              <w:jc w:val="both"/>
              <w:rPr>
                <w:rFonts w:eastAsia="Times New Roman" w:cs="Times New Roman"/>
                <w:szCs w:val="24"/>
                <w:lang w:eastAsia="lv-LV"/>
              </w:rPr>
            </w:pPr>
            <w:r w:rsidRPr="00F65D5D">
              <w:rPr>
                <w:rFonts w:eastAsia="Times New Roman" w:cs="Times New Roman"/>
                <w:szCs w:val="24"/>
                <w:lang w:eastAsia="lv-LV"/>
              </w:rPr>
              <w:t>TIR karnetes turētāja atļaujas izsniegšanas un noformēšanas kārtību (</w:t>
            </w:r>
            <w:r w:rsidR="00C71F54" w:rsidRPr="00F65D5D">
              <w:rPr>
                <w:rFonts w:eastAsia="Times New Roman" w:cs="Times New Roman"/>
                <w:szCs w:val="24"/>
                <w:lang w:eastAsia="lv-LV"/>
              </w:rPr>
              <w:t xml:space="preserve">noteikumu </w:t>
            </w:r>
            <w:r w:rsidRPr="00F65D5D">
              <w:rPr>
                <w:rFonts w:eastAsia="Times New Roman" w:cs="Times New Roman"/>
                <w:szCs w:val="24"/>
                <w:lang w:eastAsia="lv-LV"/>
              </w:rPr>
              <w:t>projekta 13.</w:t>
            </w:r>
            <w:r w:rsidR="001E11B7" w:rsidRPr="00F65D5D">
              <w:rPr>
                <w:rFonts w:eastAsia="Times New Roman" w:cs="Times New Roman"/>
                <w:szCs w:val="24"/>
                <w:lang w:eastAsia="lv-LV"/>
              </w:rPr>
              <w:t>,</w:t>
            </w:r>
            <w:r w:rsidRPr="00F65D5D">
              <w:rPr>
                <w:rFonts w:eastAsia="Times New Roman" w:cs="Times New Roman"/>
                <w:szCs w:val="24"/>
                <w:lang w:eastAsia="lv-LV"/>
              </w:rPr>
              <w:t xml:space="preserve"> 14.</w:t>
            </w:r>
            <w:r w:rsidR="001E11B7" w:rsidRPr="00F65D5D">
              <w:rPr>
                <w:rFonts w:eastAsia="Times New Roman" w:cs="Times New Roman"/>
                <w:szCs w:val="24"/>
                <w:lang w:eastAsia="lv-LV"/>
              </w:rPr>
              <w:t xml:space="preserve"> un 1</w:t>
            </w:r>
            <w:r w:rsidR="00755BD2" w:rsidRPr="00F65D5D">
              <w:rPr>
                <w:rFonts w:eastAsia="Times New Roman" w:cs="Times New Roman"/>
                <w:szCs w:val="24"/>
                <w:lang w:eastAsia="lv-LV"/>
              </w:rPr>
              <w:t>5</w:t>
            </w:r>
            <w:r w:rsidR="001E11B7" w:rsidRPr="00F65D5D">
              <w:rPr>
                <w:rFonts w:eastAsia="Times New Roman" w:cs="Times New Roman"/>
                <w:szCs w:val="24"/>
                <w:lang w:eastAsia="lv-LV"/>
              </w:rPr>
              <w:t>.</w:t>
            </w:r>
            <w:r w:rsidRPr="00F65D5D">
              <w:rPr>
                <w:rFonts w:eastAsia="Times New Roman" w:cs="Times New Roman"/>
                <w:szCs w:val="24"/>
                <w:lang w:eastAsia="lv-LV"/>
              </w:rPr>
              <w:t>punkts);</w:t>
            </w:r>
          </w:p>
          <w:p w14:paraId="0A1CFE3D" w14:textId="77777777" w:rsidR="009F3C39" w:rsidRPr="00F65D5D" w:rsidRDefault="009F3C39" w:rsidP="00594438">
            <w:pPr>
              <w:pStyle w:val="ListParagraph"/>
              <w:numPr>
                <w:ilvl w:val="0"/>
                <w:numId w:val="10"/>
              </w:numPr>
              <w:spacing w:after="0" w:line="240" w:lineRule="auto"/>
              <w:ind w:left="0" w:firstLine="77"/>
              <w:jc w:val="both"/>
              <w:rPr>
                <w:rFonts w:eastAsia="Times New Roman" w:cs="Times New Roman"/>
                <w:szCs w:val="24"/>
                <w:lang w:eastAsia="lv-LV"/>
              </w:rPr>
            </w:pPr>
            <w:r w:rsidRPr="00F65D5D">
              <w:rPr>
                <w:rFonts w:eastAsia="Times New Roman" w:cs="Times New Roman"/>
                <w:szCs w:val="24"/>
                <w:lang w:eastAsia="lv-LV"/>
              </w:rPr>
              <w:t>kārtību, kādā garantijas asociācija pieņem lēmumu apturēt, atjaunot un anulēt TIR karnetes turētāja atļauju (</w:t>
            </w:r>
            <w:r w:rsidR="00C71F54" w:rsidRPr="00F65D5D">
              <w:rPr>
                <w:rFonts w:eastAsia="Times New Roman" w:cs="Times New Roman"/>
                <w:szCs w:val="24"/>
                <w:lang w:eastAsia="lv-LV"/>
              </w:rPr>
              <w:t xml:space="preserve">noteikumu </w:t>
            </w:r>
            <w:r w:rsidR="001E11B7" w:rsidRPr="00F65D5D">
              <w:rPr>
                <w:rFonts w:eastAsia="Times New Roman" w:cs="Times New Roman"/>
                <w:szCs w:val="24"/>
                <w:lang w:eastAsia="lv-LV"/>
              </w:rPr>
              <w:t>projekta 17</w:t>
            </w:r>
            <w:r w:rsidRPr="00F65D5D">
              <w:rPr>
                <w:rFonts w:eastAsia="Times New Roman" w:cs="Times New Roman"/>
                <w:szCs w:val="24"/>
                <w:lang w:eastAsia="lv-LV"/>
              </w:rPr>
              <w:t xml:space="preserve">., </w:t>
            </w:r>
            <w:r w:rsidR="00AF1558" w:rsidRPr="00F65D5D">
              <w:rPr>
                <w:rFonts w:eastAsia="Times New Roman" w:cs="Times New Roman"/>
                <w:szCs w:val="24"/>
                <w:lang w:eastAsia="lv-LV"/>
              </w:rPr>
              <w:t>20</w:t>
            </w:r>
            <w:r w:rsidRPr="00F65D5D">
              <w:rPr>
                <w:rFonts w:eastAsia="Times New Roman" w:cs="Times New Roman"/>
                <w:szCs w:val="24"/>
                <w:lang w:eastAsia="lv-LV"/>
              </w:rPr>
              <w:t xml:space="preserve">., </w:t>
            </w:r>
            <w:r w:rsidR="00AF1558" w:rsidRPr="00F65D5D">
              <w:rPr>
                <w:rFonts w:eastAsia="Times New Roman" w:cs="Times New Roman"/>
                <w:szCs w:val="24"/>
                <w:lang w:eastAsia="lv-LV"/>
              </w:rPr>
              <w:t>23</w:t>
            </w:r>
            <w:r w:rsidRPr="00F65D5D">
              <w:rPr>
                <w:rFonts w:eastAsia="Times New Roman" w:cs="Times New Roman"/>
                <w:szCs w:val="24"/>
                <w:lang w:eastAsia="lv-LV"/>
              </w:rPr>
              <w:t xml:space="preserve">. </w:t>
            </w:r>
            <w:r w:rsidR="00D05436" w:rsidRPr="00F65D5D">
              <w:rPr>
                <w:rFonts w:eastAsia="Times New Roman" w:cs="Times New Roman"/>
                <w:szCs w:val="24"/>
                <w:lang w:eastAsia="lv-LV"/>
              </w:rPr>
              <w:t xml:space="preserve">un </w:t>
            </w:r>
            <w:r w:rsidRPr="00F65D5D">
              <w:rPr>
                <w:rFonts w:eastAsia="Times New Roman" w:cs="Times New Roman"/>
                <w:szCs w:val="24"/>
                <w:lang w:eastAsia="lv-LV"/>
              </w:rPr>
              <w:t>2</w:t>
            </w:r>
            <w:r w:rsidR="00CE05B1" w:rsidRPr="00F65D5D">
              <w:rPr>
                <w:rFonts w:eastAsia="Times New Roman" w:cs="Times New Roman"/>
                <w:szCs w:val="24"/>
                <w:lang w:eastAsia="lv-LV"/>
              </w:rPr>
              <w:t>5</w:t>
            </w:r>
            <w:r w:rsidRPr="00F65D5D">
              <w:rPr>
                <w:rFonts w:eastAsia="Times New Roman" w:cs="Times New Roman"/>
                <w:szCs w:val="24"/>
                <w:lang w:eastAsia="lv-LV"/>
              </w:rPr>
              <w:t>.punkts);</w:t>
            </w:r>
          </w:p>
          <w:p w14:paraId="155231DF" w14:textId="77777777" w:rsidR="009F3C39" w:rsidRPr="00F65D5D" w:rsidRDefault="009F3C39" w:rsidP="00594438">
            <w:pPr>
              <w:pStyle w:val="ListParagraph"/>
              <w:numPr>
                <w:ilvl w:val="0"/>
                <w:numId w:val="10"/>
              </w:numPr>
              <w:spacing w:after="0" w:line="240" w:lineRule="auto"/>
              <w:ind w:left="0" w:firstLine="77"/>
              <w:jc w:val="both"/>
              <w:rPr>
                <w:rFonts w:eastAsia="Times New Roman" w:cs="Times New Roman"/>
                <w:szCs w:val="24"/>
                <w:lang w:eastAsia="lv-LV"/>
              </w:rPr>
            </w:pPr>
            <w:r w:rsidRPr="00F65D5D">
              <w:rPr>
                <w:rFonts w:eastAsia="Times New Roman" w:cs="Times New Roman"/>
                <w:szCs w:val="24"/>
                <w:lang w:eastAsia="lv-LV"/>
              </w:rPr>
              <w:t>kārtību, kādā garantijas asociācija informē personu par lēmumu izsniegt, atteikt izsniegt, apturēt, atjaunot un anulēt TIR karnetes turētāja atļauju (</w:t>
            </w:r>
            <w:r w:rsidR="00C71F54" w:rsidRPr="00F65D5D">
              <w:rPr>
                <w:rFonts w:eastAsia="Times New Roman" w:cs="Times New Roman"/>
                <w:szCs w:val="24"/>
                <w:lang w:eastAsia="lv-LV"/>
              </w:rPr>
              <w:t xml:space="preserve">noteikumu </w:t>
            </w:r>
            <w:r w:rsidRPr="00F65D5D">
              <w:rPr>
                <w:rFonts w:eastAsia="Times New Roman" w:cs="Times New Roman"/>
                <w:szCs w:val="24"/>
                <w:lang w:eastAsia="lv-LV"/>
              </w:rPr>
              <w:t>projekta 13., 1</w:t>
            </w:r>
            <w:r w:rsidR="001E11B7" w:rsidRPr="00F65D5D">
              <w:rPr>
                <w:rFonts w:eastAsia="Times New Roman" w:cs="Times New Roman"/>
                <w:szCs w:val="24"/>
                <w:lang w:eastAsia="lv-LV"/>
              </w:rPr>
              <w:t>8</w:t>
            </w:r>
            <w:r w:rsidRPr="00F65D5D">
              <w:rPr>
                <w:rFonts w:eastAsia="Times New Roman" w:cs="Times New Roman"/>
                <w:szCs w:val="24"/>
                <w:lang w:eastAsia="lv-LV"/>
              </w:rPr>
              <w:t>., 2</w:t>
            </w:r>
            <w:r w:rsidR="00CE05B1" w:rsidRPr="00F65D5D">
              <w:rPr>
                <w:rFonts w:eastAsia="Times New Roman" w:cs="Times New Roman"/>
                <w:szCs w:val="24"/>
                <w:lang w:eastAsia="lv-LV"/>
              </w:rPr>
              <w:t>4</w:t>
            </w:r>
            <w:r w:rsidRPr="00F65D5D">
              <w:rPr>
                <w:rFonts w:eastAsia="Times New Roman" w:cs="Times New Roman"/>
                <w:szCs w:val="24"/>
                <w:lang w:eastAsia="lv-LV"/>
              </w:rPr>
              <w:t xml:space="preserve">. </w:t>
            </w:r>
            <w:r w:rsidR="00660D6F" w:rsidRPr="00F65D5D">
              <w:rPr>
                <w:rFonts w:eastAsia="Times New Roman" w:cs="Times New Roman"/>
                <w:szCs w:val="24"/>
                <w:lang w:eastAsia="lv-LV"/>
              </w:rPr>
              <w:t>u</w:t>
            </w:r>
            <w:r w:rsidRPr="00F65D5D">
              <w:rPr>
                <w:rFonts w:eastAsia="Times New Roman" w:cs="Times New Roman"/>
                <w:szCs w:val="24"/>
                <w:lang w:eastAsia="lv-LV"/>
              </w:rPr>
              <w:t>n 2</w:t>
            </w:r>
            <w:r w:rsidR="00CE05B1" w:rsidRPr="00F65D5D">
              <w:rPr>
                <w:rFonts w:eastAsia="Times New Roman" w:cs="Times New Roman"/>
                <w:szCs w:val="24"/>
                <w:lang w:eastAsia="lv-LV"/>
              </w:rPr>
              <w:t>6</w:t>
            </w:r>
            <w:r w:rsidR="00660D6F" w:rsidRPr="00F65D5D">
              <w:rPr>
                <w:rFonts w:eastAsia="Times New Roman" w:cs="Times New Roman"/>
                <w:szCs w:val="24"/>
                <w:lang w:eastAsia="lv-LV"/>
              </w:rPr>
              <w:t>.punkts).</w:t>
            </w:r>
          </w:p>
          <w:p w14:paraId="0D4FE4F9" w14:textId="77777777" w:rsidR="00A007BC" w:rsidRPr="00F65D5D" w:rsidRDefault="00A007BC" w:rsidP="00A007BC">
            <w:pPr>
              <w:pStyle w:val="ListParagraph"/>
              <w:spacing w:after="0" w:line="240" w:lineRule="auto"/>
              <w:ind w:left="360"/>
              <w:jc w:val="both"/>
              <w:rPr>
                <w:rFonts w:eastAsia="Times New Roman" w:cs="Times New Roman"/>
                <w:szCs w:val="24"/>
                <w:lang w:eastAsia="lv-LV"/>
              </w:rPr>
            </w:pPr>
          </w:p>
          <w:p w14:paraId="4D0FD755" w14:textId="77777777" w:rsidR="00660D6F" w:rsidRPr="00F65D5D" w:rsidRDefault="00C71F54" w:rsidP="00013BC5">
            <w:pPr>
              <w:pStyle w:val="ListParagraph"/>
              <w:spacing w:after="0" w:line="240" w:lineRule="auto"/>
              <w:ind w:left="0" w:firstLine="505"/>
              <w:jc w:val="both"/>
              <w:rPr>
                <w:rFonts w:cs="Times New Roman"/>
                <w:lang w:eastAsia="lv-LV"/>
              </w:rPr>
            </w:pPr>
            <w:r w:rsidRPr="00F65D5D">
              <w:rPr>
                <w:rFonts w:cs="Times New Roman"/>
                <w:lang w:eastAsia="lv-LV"/>
              </w:rPr>
              <w:t>Noteikumu p</w:t>
            </w:r>
            <w:r w:rsidR="00660D6F" w:rsidRPr="00F65D5D">
              <w:rPr>
                <w:rFonts w:cs="Times New Roman"/>
                <w:lang w:eastAsia="lv-LV"/>
              </w:rPr>
              <w:t>rojekt</w:t>
            </w:r>
            <w:r w:rsidRPr="00F65D5D">
              <w:rPr>
                <w:rFonts w:cs="Times New Roman"/>
                <w:lang w:eastAsia="lv-LV"/>
              </w:rPr>
              <w:t>ā</w:t>
            </w:r>
            <w:r w:rsidR="00660D6F" w:rsidRPr="00F65D5D">
              <w:rPr>
                <w:rFonts w:cs="Times New Roman"/>
                <w:lang w:eastAsia="lv-LV"/>
              </w:rPr>
              <w:t xml:space="preserve"> bez precizējumiem un papildinājumiem saglabā</w:t>
            </w:r>
            <w:r w:rsidRPr="00F65D5D">
              <w:rPr>
                <w:rFonts w:cs="Times New Roman"/>
                <w:lang w:eastAsia="lv-LV"/>
              </w:rPr>
              <w:t>ts Ministru kabineta noteikumos Nr.603 noteiktais</w:t>
            </w:r>
            <w:r w:rsidR="00660D6F" w:rsidRPr="00F65D5D">
              <w:rPr>
                <w:rFonts w:cs="Times New Roman"/>
                <w:lang w:eastAsia="lv-LV"/>
              </w:rPr>
              <w:t xml:space="preserve"> spēkā esoš</w:t>
            </w:r>
            <w:r w:rsidRPr="00F65D5D">
              <w:rPr>
                <w:rFonts w:cs="Times New Roman"/>
                <w:lang w:eastAsia="lv-LV"/>
              </w:rPr>
              <w:t>ais</w:t>
            </w:r>
            <w:r w:rsidR="00660D6F" w:rsidRPr="00F65D5D">
              <w:rPr>
                <w:rFonts w:cs="Times New Roman"/>
                <w:lang w:eastAsia="lv-LV"/>
              </w:rPr>
              <w:t xml:space="preserve"> regulējumu:</w:t>
            </w:r>
          </w:p>
          <w:p w14:paraId="73C4BE87" w14:textId="77777777" w:rsidR="00E10539" w:rsidRPr="00F65D5D" w:rsidRDefault="00660D6F" w:rsidP="00D05436">
            <w:pPr>
              <w:pStyle w:val="ListParagraph"/>
              <w:numPr>
                <w:ilvl w:val="0"/>
                <w:numId w:val="10"/>
              </w:numPr>
              <w:spacing w:after="0" w:line="240" w:lineRule="auto"/>
              <w:ind w:left="-27" w:firstLine="387"/>
              <w:jc w:val="both"/>
              <w:rPr>
                <w:rFonts w:cs="Times New Roman"/>
                <w:lang w:eastAsia="lv-LV"/>
              </w:rPr>
            </w:pPr>
            <w:r w:rsidRPr="00F65D5D">
              <w:rPr>
                <w:rFonts w:cs="Times New Roman"/>
                <w:lang w:eastAsia="lv-LV"/>
              </w:rPr>
              <w:t xml:space="preserve"> par personas pienākumiem, ja TIR karnetes turētāja atļauja tiek apturēta (</w:t>
            </w:r>
            <w:r w:rsidR="00C71F54" w:rsidRPr="00F65D5D">
              <w:rPr>
                <w:rFonts w:cs="Times New Roman"/>
                <w:lang w:eastAsia="lv-LV"/>
              </w:rPr>
              <w:t xml:space="preserve">noteikumu </w:t>
            </w:r>
            <w:r w:rsidRPr="00F65D5D">
              <w:rPr>
                <w:rFonts w:cs="Times New Roman"/>
                <w:lang w:eastAsia="lv-LV"/>
              </w:rPr>
              <w:t>projekta 1</w:t>
            </w:r>
            <w:r w:rsidR="00CE05B1" w:rsidRPr="00F65D5D">
              <w:rPr>
                <w:rFonts w:cs="Times New Roman"/>
                <w:lang w:eastAsia="lv-LV"/>
              </w:rPr>
              <w:t>9</w:t>
            </w:r>
            <w:r w:rsidRPr="00F65D5D">
              <w:rPr>
                <w:rFonts w:cs="Times New Roman"/>
                <w:lang w:eastAsia="lv-LV"/>
              </w:rPr>
              <w:t>.punkts);</w:t>
            </w:r>
          </w:p>
          <w:p w14:paraId="5DCE3B66" w14:textId="77777777" w:rsidR="00660D6F" w:rsidRPr="00F65D5D" w:rsidRDefault="00660D6F" w:rsidP="00660D6F">
            <w:pPr>
              <w:pStyle w:val="ListParagraph"/>
              <w:numPr>
                <w:ilvl w:val="0"/>
                <w:numId w:val="10"/>
              </w:numPr>
              <w:spacing w:after="0" w:line="240" w:lineRule="auto"/>
              <w:ind w:left="0" w:firstLine="360"/>
              <w:jc w:val="both"/>
              <w:rPr>
                <w:rFonts w:cs="Times New Roman"/>
                <w:lang w:eastAsia="lv-LV"/>
              </w:rPr>
            </w:pPr>
            <w:r w:rsidRPr="00F65D5D">
              <w:rPr>
                <w:rFonts w:cs="Times New Roman"/>
                <w:lang w:eastAsia="lv-LV"/>
              </w:rPr>
              <w:t>par personas pienākumiem, ja TIR karnetes turētāja atļauja tiek anulēta (</w:t>
            </w:r>
            <w:r w:rsidR="00C71F54" w:rsidRPr="00F65D5D">
              <w:rPr>
                <w:rFonts w:cs="Times New Roman"/>
                <w:lang w:eastAsia="lv-LV"/>
              </w:rPr>
              <w:t xml:space="preserve">noteikumu </w:t>
            </w:r>
            <w:r w:rsidRPr="00F65D5D">
              <w:rPr>
                <w:rFonts w:cs="Times New Roman"/>
                <w:lang w:eastAsia="lv-LV"/>
              </w:rPr>
              <w:t>projekta 2</w:t>
            </w:r>
            <w:r w:rsidR="00CE05B1" w:rsidRPr="00F65D5D">
              <w:rPr>
                <w:rFonts w:cs="Times New Roman"/>
                <w:lang w:eastAsia="lv-LV"/>
              </w:rPr>
              <w:t>7</w:t>
            </w:r>
            <w:r w:rsidRPr="00F65D5D">
              <w:rPr>
                <w:rFonts w:cs="Times New Roman"/>
                <w:lang w:eastAsia="lv-LV"/>
              </w:rPr>
              <w:t>.punkts);</w:t>
            </w:r>
          </w:p>
          <w:p w14:paraId="4BC9A9B8" w14:textId="77777777" w:rsidR="006671A4" w:rsidRPr="00F65D5D" w:rsidRDefault="00660D6F" w:rsidP="00AE3B9D">
            <w:pPr>
              <w:pStyle w:val="ListParagraph"/>
              <w:numPr>
                <w:ilvl w:val="0"/>
                <w:numId w:val="10"/>
              </w:numPr>
              <w:spacing w:after="0" w:line="240" w:lineRule="auto"/>
              <w:ind w:left="0" w:firstLine="360"/>
              <w:jc w:val="both"/>
              <w:rPr>
                <w:rFonts w:cs="Times New Roman"/>
                <w:lang w:eastAsia="lv-LV"/>
              </w:rPr>
            </w:pPr>
            <w:r w:rsidRPr="00F65D5D">
              <w:rPr>
                <w:rFonts w:cs="Times New Roman"/>
                <w:lang w:eastAsia="lv-LV"/>
              </w:rPr>
              <w:t xml:space="preserve">attiecībā uz garantijas asociācijas pieņemtā lēmuma </w:t>
            </w:r>
            <w:r w:rsidR="006671A4" w:rsidRPr="00F65D5D">
              <w:rPr>
                <w:rFonts w:cs="Times New Roman"/>
                <w:lang w:eastAsia="lv-LV"/>
              </w:rPr>
              <w:t>(</w:t>
            </w:r>
            <w:r w:rsidRPr="00F65D5D">
              <w:rPr>
                <w:rFonts w:cs="Times New Roman"/>
                <w:lang w:eastAsia="lv-LV"/>
              </w:rPr>
              <w:t>par TIR karnetes turētāja atļaujas izsniegšanu, grozīšanu, atjaunošanu, apturēšanu vai anulēšanu</w:t>
            </w:r>
            <w:r w:rsidR="006671A4" w:rsidRPr="00F65D5D">
              <w:rPr>
                <w:rFonts w:cs="Times New Roman"/>
                <w:lang w:eastAsia="lv-LV"/>
              </w:rPr>
              <w:t>)</w:t>
            </w:r>
            <w:r w:rsidRPr="00F65D5D">
              <w:rPr>
                <w:rFonts w:cs="Times New Roman"/>
                <w:lang w:eastAsia="lv-LV"/>
              </w:rPr>
              <w:t xml:space="preserve"> pārsūdzēšanu</w:t>
            </w:r>
            <w:r w:rsidR="006671A4" w:rsidRPr="00F65D5D">
              <w:rPr>
                <w:rFonts w:cs="Times New Roman"/>
                <w:lang w:eastAsia="lv-LV"/>
              </w:rPr>
              <w:t>. Saskaņā ar Biedrību un nodibinājumu likuma 40.pantu garantijas asociācijas nelabvēlīgo lēmumu var pārsūdzēt tiesā.</w:t>
            </w:r>
            <w:r w:rsidRPr="00F65D5D">
              <w:rPr>
                <w:rFonts w:cs="Times New Roman"/>
                <w:lang w:eastAsia="lv-LV"/>
              </w:rPr>
              <w:t xml:space="preserve"> </w:t>
            </w:r>
            <w:r w:rsidR="00C71F54" w:rsidRPr="00F65D5D">
              <w:rPr>
                <w:rFonts w:cs="Times New Roman"/>
                <w:lang w:eastAsia="lv-LV"/>
              </w:rPr>
              <w:t>Noteikumu p</w:t>
            </w:r>
            <w:r w:rsidR="00AE3B9D" w:rsidRPr="00F65D5D">
              <w:rPr>
                <w:rFonts w:cs="Times New Roman"/>
                <w:lang w:eastAsia="lv-LV"/>
              </w:rPr>
              <w:t xml:space="preserve">rojekta </w:t>
            </w:r>
            <w:r w:rsidR="00755BD2" w:rsidRPr="00F65D5D">
              <w:rPr>
                <w:rFonts w:cs="Times New Roman"/>
                <w:lang w:eastAsia="lv-LV"/>
              </w:rPr>
              <w:t>28</w:t>
            </w:r>
            <w:r w:rsidR="00AE3B9D" w:rsidRPr="00F65D5D">
              <w:rPr>
                <w:rFonts w:cs="Times New Roman"/>
                <w:lang w:eastAsia="lv-LV"/>
              </w:rPr>
              <w:t>.punkts nosaka,</w:t>
            </w:r>
            <w:r w:rsidR="00C71F54" w:rsidRPr="00F65D5D">
              <w:rPr>
                <w:rFonts w:cs="Times New Roman"/>
                <w:lang w:eastAsia="lv-LV"/>
              </w:rPr>
              <w:t xml:space="preserve"> ka</w:t>
            </w:r>
            <w:r w:rsidR="00AE3B9D" w:rsidRPr="00F65D5D">
              <w:rPr>
                <w:rFonts w:cs="Times New Roman"/>
                <w:lang w:eastAsia="lv-LV"/>
              </w:rPr>
              <w:t xml:space="preserve"> garantijas asociācijas lēmumu par TIR karnetes turētāja atļaujas izsniegšanu, grozīšanu, atjaunošanu, apturēšanu vai anulēšanu var </w:t>
            </w:r>
            <w:r w:rsidR="00AE3B9D" w:rsidRPr="00F65D5D">
              <w:rPr>
                <w:rFonts w:cs="Times New Roman"/>
                <w:lang w:eastAsia="lv-LV"/>
              </w:rPr>
              <w:lastRenderedPageBreak/>
              <w:t>pārsūdzēt Administratīvajā tiesā Administratīvā procesa likumā noteiktajā kārtībā.</w:t>
            </w:r>
          </w:p>
          <w:p w14:paraId="1280E6BE" w14:textId="77777777" w:rsidR="00B20DDD" w:rsidRPr="00F65D5D" w:rsidRDefault="00B20DDD" w:rsidP="00AE3B9D">
            <w:pPr>
              <w:pStyle w:val="ListParagraph"/>
              <w:spacing w:after="0" w:line="240" w:lineRule="auto"/>
              <w:ind w:left="360"/>
              <w:jc w:val="both"/>
              <w:rPr>
                <w:rFonts w:cs="Times New Roman"/>
                <w:lang w:eastAsia="lv-LV"/>
              </w:rPr>
            </w:pPr>
          </w:p>
          <w:p w14:paraId="7620B3E7" w14:textId="77777777" w:rsidR="00441AA4" w:rsidRPr="00F65D5D" w:rsidRDefault="00FA4A39" w:rsidP="00013BC5">
            <w:pPr>
              <w:pStyle w:val="ListParagraph"/>
              <w:spacing w:after="0" w:line="240" w:lineRule="auto"/>
              <w:ind w:left="0" w:firstLine="505"/>
              <w:jc w:val="both"/>
              <w:rPr>
                <w:rFonts w:cs="Times New Roman"/>
                <w:lang w:eastAsia="lv-LV"/>
              </w:rPr>
            </w:pPr>
            <w:r w:rsidRPr="00F65D5D">
              <w:rPr>
                <w:rFonts w:cs="Times New Roman"/>
                <w:lang w:eastAsia="lv-LV"/>
              </w:rPr>
              <w:t>4</w:t>
            </w:r>
            <w:r w:rsidR="0009109B" w:rsidRPr="00F65D5D">
              <w:rPr>
                <w:rFonts w:cs="Times New Roman"/>
                <w:lang w:eastAsia="lv-LV"/>
              </w:rPr>
              <w:t xml:space="preserve">.1. </w:t>
            </w:r>
            <w:r w:rsidR="0035535F" w:rsidRPr="00F65D5D">
              <w:rPr>
                <w:rFonts w:cs="Times New Roman"/>
                <w:lang w:eastAsia="lv-LV"/>
              </w:rPr>
              <w:t xml:space="preserve">TIR Konvencijas 9.pielikuma II. daļā ir noteikti </w:t>
            </w:r>
            <w:r w:rsidR="00B60780" w:rsidRPr="00F65D5D">
              <w:rPr>
                <w:rFonts w:cs="Times New Roman"/>
                <w:lang w:eastAsia="lv-LV"/>
              </w:rPr>
              <w:t>pamatkritēriji, kuriem jāatbilst personai, lai saņemtu TIR karnetes turētāja atļauju</w:t>
            </w:r>
            <w:r w:rsidR="00721902" w:rsidRPr="00F65D5D">
              <w:rPr>
                <w:rFonts w:cs="Times New Roman"/>
                <w:lang w:eastAsia="lv-LV"/>
              </w:rPr>
              <w:t>. Savukārt TIR konvencijas 9.pielikuma II.daļas 2.punktā ir paredzētas TIR konvencijas dalībvalstu kompetento iestāžu un asociāciju tiesības noteikt papildu un daudz stingrākus nosacījumus un prasības TIR procedūras izmantošanai.</w:t>
            </w:r>
          </w:p>
          <w:p w14:paraId="5FA29D8D" w14:textId="77777777" w:rsidR="00721902" w:rsidRPr="00F65D5D" w:rsidRDefault="00C71F54" w:rsidP="00013BC5">
            <w:pPr>
              <w:spacing w:after="0" w:line="240" w:lineRule="auto"/>
              <w:ind w:firstLine="505"/>
              <w:jc w:val="both"/>
              <w:rPr>
                <w:rFonts w:cs="Times New Roman"/>
                <w:lang w:eastAsia="lv-LV"/>
              </w:rPr>
            </w:pPr>
            <w:r w:rsidRPr="00F65D5D">
              <w:rPr>
                <w:rFonts w:cs="Times New Roman"/>
                <w:lang w:eastAsia="lv-LV"/>
              </w:rPr>
              <w:t>Noteikumu p</w:t>
            </w:r>
            <w:r w:rsidR="00721902" w:rsidRPr="00F65D5D">
              <w:rPr>
                <w:rFonts w:cs="Times New Roman"/>
                <w:lang w:eastAsia="lv-LV"/>
              </w:rPr>
              <w:t xml:space="preserve">rojektā </w:t>
            </w:r>
            <w:r w:rsidR="00594438" w:rsidRPr="00F65D5D">
              <w:rPr>
                <w:rFonts w:cs="Times New Roman"/>
                <w:lang w:eastAsia="lv-LV"/>
              </w:rPr>
              <w:t xml:space="preserve">tiek precizēts esošais regulējums, nosakot </w:t>
            </w:r>
            <w:r w:rsidR="00721902" w:rsidRPr="00F65D5D">
              <w:rPr>
                <w:rFonts w:cs="Times New Roman"/>
                <w:lang w:eastAsia="lv-LV"/>
              </w:rPr>
              <w:t xml:space="preserve"> šādu</w:t>
            </w:r>
            <w:r w:rsidR="00594438" w:rsidRPr="00F65D5D">
              <w:rPr>
                <w:rFonts w:cs="Times New Roman"/>
                <w:lang w:eastAsia="lv-LV"/>
              </w:rPr>
              <w:t>s</w:t>
            </w:r>
            <w:r w:rsidR="001B7163" w:rsidRPr="00F65D5D">
              <w:rPr>
                <w:rFonts w:cs="Times New Roman"/>
              </w:rPr>
              <w:t xml:space="preserve"> </w:t>
            </w:r>
            <w:r w:rsidR="001B7163" w:rsidRPr="00F65D5D">
              <w:rPr>
                <w:rFonts w:cs="Times New Roman"/>
                <w:lang w:eastAsia="lv-LV"/>
              </w:rPr>
              <w:t>TIR Konvencijas 9.pielikuma II. daļas</w:t>
            </w:r>
            <w:r w:rsidR="00721902" w:rsidRPr="00F65D5D">
              <w:rPr>
                <w:rFonts w:cs="Times New Roman"/>
                <w:lang w:eastAsia="lv-LV"/>
              </w:rPr>
              <w:t xml:space="preserve"> pamatkritēriju novērtēšanas princip</w:t>
            </w:r>
            <w:r w:rsidR="00594438" w:rsidRPr="00F65D5D">
              <w:rPr>
                <w:rFonts w:cs="Times New Roman"/>
                <w:lang w:eastAsia="lv-LV"/>
              </w:rPr>
              <w:t>us</w:t>
            </w:r>
            <w:r w:rsidR="001B7163" w:rsidRPr="00F65D5D">
              <w:rPr>
                <w:rFonts w:cs="Times New Roman"/>
                <w:lang w:eastAsia="lv-LV"/>
              </w:rPr>
              <w:t xml:space="preserve"> (atbilstoši institūcijas un personas kompetencei, kritēriju izvērtēšanas funkcijas ir sadalītas starp VID un garantijas asociāciju)</w:t>
            </w:r>
            <w:r w:rsidR="00721902" w:rsidRPr="00F65D5D">
              <w:rPr>
                <w:rFonts w:cs="Times New Roman"/>
                <w:lang w:eastAsia="lv-LV"/>
              </w:rPr>
              <w:t>:</w:t>
            </w:r>
          </w:p>
          <w:p w14:paraId="7C831524" w14:textId="77EA216F" w:rsidR="00441AA4" w:rsidRPr="00F65D5D" w:rsidRDefault="00441AA4" w:rsidP="00013BC5">
            <w:pPr>
              <w:spacing w:after="0" w:line="240" w:lineRule="auto"/>
              <w:ind w:firstLine="363"/>
              <w:jc w:val="both"/>
              <w:rPr>
                <w:rFonts w:cs="Times New Roman"/>
                <w:lang w:eastAsia="lv-LV"/>
              </w:rPr>
            </w:pPr>
            <w:r w:rsidRPr="00F65D5D">
              <w:rPr>
                <w:rFonts w:cs="Times New Roman"/>
                <w:lang w:eastAsia="lv-LV"/>
              </w:rPr>
              <w:t>- pierādāma pieredze vai vismaz spēja veikt regulārus starptautiskus pārvadājumus</w:t>
            </w:r>
            <w:r w:rsidR="001B7163" w:rsidRPr="00F65D5D">
              <w:rPr>
                <w:rFonts w:cs="Times New Roman"/>
                <w:lang w:eastAsia="lv-LV"/>
              </w:rPr>
              <w:t xml:space="preserve"> (</w:t>
            </w:r>
            <w:r w:rsidR="00C71F54" w:rsidRPr="00F65D5D">
              <w:rPr>
                <w:rFonts w:cs="Times New Roman"/>
                <w:lang w:eastAsia="lv-LV"/>
              </w:rPr>
              <w:t xml:space="preserve">noteikumu </w:t>
            </w:r>
            <w:r w:rsidR="001B7163" w:rsidRPr="00F65D5D">
              <w:rPr>
                <w:rFonts w:cs="Times New Roman"/>
                <w:lang w:eastAsia="lv-LV"/>
              </w:rPr>
              <w:t xml:space="preserve">projekta </w:t>
            </w:r>
            <w:r w:rsidR="00484085" w:rsidRPr="00F65D5D">
              <w:rPr>
                <w:rFonts w:cs="Times New Roman"/>
                <w:lang w:eastAsia="lv-LV"/>
              </w:rPr>
              <w:t>8.1,</w:t>
            </w:r>
            <w:r w:rsidR="001B7163" w:rsidRPr="00F65D5D">
              <w:rPr>
                <w:rFonts w:cs="Times New Roman"/>
                <w:lang w:eastAsia="lv-LV"/>
              </w:rPr>
              <w:t>.</w:t>
            </w:r>
            <w:r w:rsidR="00484085" w:rsidRPr="00F65D5D">
              <w:rPr>
                <w:rFonts w:cs="Times New Roman"/>
                <w:lang w:eastAsia="lv-LV"/>
              </w:rPr>
              <w:t xml:space="preserve"> 8.2.</w:t>
            </w:r>
            <w:r w:rsidR="005A48D7" w:rsidRPr="00F65D5D">
              <w:rPr>
                <w:rFonts w:cs="Times New Roman"/>
                <w:lang w:eastAsia="lv-LV"/>
              </w:rPr>
              <w:t xml:space="preserve">, </w:t>
            </w:r>
            <w:r w:rsidR="00484085" w:rsidRPr="00F65D5D">
              <w:rPr>
                <w:rFonts w:cs="Times New Roman"/>
                <w:lang w:eastAsia="lv-LV"/>
              </w:rPr>
              <w:t xml:space="preserve"> 8.3.</w:t>
            </w:r>
            <w:r w:rsidR="005A48D7" w:rsidRPr="00F65D5D">
              <w:rPr>
                <w:rFonts w:cs="Times New Roman"/>
                <w:lang w:eastAsia="lv-LV"/>
              </w:rPr>
              <w:t xml:space="preserve"> un 8.4.</w:t>
            </w:r>
            <w:r w:rsidR="00B63CA0" w:rsidRPr="00F65D5D">
              <w:rPr>
                <w:rFonts w:cs="Times New Roman"/>
                <w:lang w:eastAsia="lv-LV"/>
              </w:rPr>
              <w:t>apakš</w:t>
            </w:r>
            <w:r w:rsidR="001B7163" w:rsidRPr="00F65D5D">
              <w:rPr>
                <w:rFonts w:cs="Times New Roman"/>
                <w:lang w:eastAsia="lv-LV"/>
              </w:rPr>
              <w:t xml:space="preserve">punkts </w:t>
            </w:r>
            <w:r w:rsidR="00C71F54" w:rsidRPr="00F65D5D">
              <w:rPr>
                <w:rFonts w:cs="Times New Roman"/>
                <w:lang w:eastAsia="lv-LV"/>
              </w:rPr>
              <w:t>–</w:t>
            </w:r>
            <w:r w:rsidR="001B7163" w:rsidRPr="00F65D5D">
              <w:rPr>
                <w:rFonts w:cs="Times New Roman"/>
                <w:lang w:eastAsia="lv-LV"/>
              </w:rPr>
              <w:t xml:space="preserve"> izvērtē garantijas asociācija)</w:t>
            </w:r>
            <w:r w:rsidRPr="00F65D5D">
              <w:rPr>
                <w:rFonts w:cs="Times New Roman"/>
                <w:lang w:eastAsia="lv-LV"/>
              </w:rPr>
              <w:t>;</w:t>
            </w:r>
          </w:p>
          <w:p w14:paraId="4BCF0DFF" w14:textId="77777777" w:rsidR="00441AA4" w:rsidRPr="00F65D5D" w:rsidRDefault="00441AA4" w:rsidP="00013BC5">
            <w:pPr>
              <w:spacing w:after="0" w:line="240" w:lineRule="auto"/>
              <w:ind w:firstLine="363"/>
              <w:jc w:val="both"/>
              <w:rPr>
                <w:rFonts w:cs="Times New Roman"/>
                <w:lang w:eastAsia="lv-LV"/>
              </w:rPr>
            </w:pPr>
            <w:r w:rsidRPr="00F65D5D">
              <w:rPr>
                <w:rFonts w:cs="Times New Roman"/>
                <w:lang w:eastAsia="lv-LV"/>
              </w:rPr>
              <w:t xml:space="preserve">- </w:t>
            </w:r>
            <w:r w:rsidR="001B7163" w:rsidRPr="00F65D5D">
              <w:rPr>
                <w:rFonts w:cs="Times New Roman"/>
                <w:lang w:eastAsia="lv-LV"/>
              </w:rPr>
              <w:t xml:space="preserve">personas </w:t>
            </w:r>
            <w:r w:rsidRPr="00F65D5D">
              <w:rPr>
                <w:rFonts w:cs="Times New Roman"/>
                <w:lang w:eastAsia="lv-LV"/>
              </w:rPr>
              <w:t>stabil</w:t>
            </w:r>
            <w:r w:rsidR="001B7163" w:rsidRPr="00F65D5D">
              <w:rPr>
                <w:rFonts w:cs="Times New Roman"/>
                <w:lang w:eastAsia="lv-LV"/>
              </w:rPr>
              <w:t>s</w:t>
            </w:r>
            <w:r w:rsidRPr="00F65D5D">
              <w:rPr>
                <w:rFonts w:cs="Times New Roman"/>
                <w:lang w:eastAsia="lv-LV"/>
              </w:rPr>
              <w:t xml:space="preserve"> finansiāl</w:t>
            </w:r>
            <w:r w:rsidR="001B7163" w:rsidRPr="00F65D5D">
              <w:rPr>
                <w:rFonts w:cs="Times New Roman"/>
                <w:lang w:eastAsia="lv-LV"/>
              </w:rPr>
              <w:t>ais</w:t>
            </w:r>
            <w:r w:rsidRPr="00F65D5D">
              <w:rPr>
                <w:rFonts w:cs="Times New Roman"/>
                <w:lang w:eastAsia="lv-LV"/>
              </w:rPr>
              <w:t xml:space="preserve"> </w:t>
            </w:r>
            <w:r w:rsidR="001B7163" w:rsidRPr="00F65D5D">
              <w:rPr>
                <w:rFonts w:cs="Times New Roman"/>
                <w:lang w:eastAsia="lv-LV"/>
              </w:rPr>
              <w:t>stāvoklis (</w:t>
            </w:r>
            <w:r w:rsidR="00C71F54" w:rsidRPr="00F65D5D">
              <w:rPr>
                <w:rFonts w:cs="Times New Roman"/>
                <w:lang w:eastAsia="lv-LV"/>
              </w:rPr>
              <w:t xml:space="preserve">noteikumu </w:t>
            </w:r>
            <w:r w:rsidR="001B7163" w:rsidRPr="00F65D5D">
              <w:rPr>
                <w:rFonts w:cs="Times New Roman"/>
                <w:lang w:eastAsia="lv-LV"/>
              </w:rPr>
              <w:t xml:space="preserve">projekta </w:t>
            </w:r>
            <w:r w:rsidR="00484085" w:rsidRPr="00F65D5D">
              <w:rPr>
                <w:rFonts w:cs="Times New Roman"/>
                <w:lang w:eastAsia="lv-LV"/>
              </w:rPr>
              <w:t>9</w:t>
            </w:r>
            <w:r w:rsidR="001B7163" w:rsidRPr="00F65D5D">
              <w:rPr>
                <w:rFonts w:cs="Times New Roman"/>
                <w:lang w:eastAsia="lv-LV"/>
              </w:rPr>
              <w:t>.</w:t>
            </w:r>
            <w:r w:rsidR="00484085" w:rsidRPr="00F65D5D">
              <w:rPr>
                <w:rFonts w:cs="Times New Roman"/>
                <w:lang w:eastAsia="lv-LV"/>
              </w:rPr>
              <w:t>5</w:t>
            </w:r>
            <w:r w:rsidR="001B7163" w:rsidRPr="00F65D5D">
              <w:rPr>
                <w:rFonts w:cs="Times New Roman"/>
                <w:lang w:eastAsia="lv-LV"/>
              </w:rPr>
              <w:t>.</w:t>
            </w:r>
            <w:r w:rsidR="00B63CA0" w:rsidRPr="00F65D5D">
              <w:rPr>
                <w:rFonts w:cs="Times New Roman"/>
                <w:lang w:eastAsia="lv-LV"/>
              </w:rPr>
              <w:t>apakšpunkts</w:t>
            </w:r>
            <w:r w:rsidR="001B7163" w:rsidRPr="00F65D5D">
              <w:rPr>
                <w:rFonts w:cs="Times New Roman"/>
                <w:lang w:eastAsia="lv-LV"/>
              </w:rPr>
              <w:t xml:space="preserve"> </w:t>
            </w:r>
            <w:r w:rsidR="00C71F54" w:rsidRPr="00F65D5D">
              <w:rPr>
                <w:rFonts w:cs="Times New Roman"/>
                <w:lang w:eastAsia="lv-LV"/>
              </w:rPr>
              <w:t>–</w:t>
            </w:r>
            <w:r w:rsidR="001B7163" w:rsidRPr="00F65D5D">
              <w:rPr>
                <w:rFonts w:cs="Times New Roman"/>
                <w:lang w:eastAsia="lv-LV"/>
              </w:rPr>
              <w:t xml:space="preserve"> izvērtē </w:t>
            </w:r>
            <w:r w:rsidR="00484085" w:rsidRPr="00F65D5D">
              <w:rPr>
                <w:rFonts w:cs="Times New Roman"/>
                <w:lang w:eastAsia="lv-LV"/>
              </w:rPr>
              <w:t>garantijas asociācija</w:t>
            </w:r>
            <w:r w:rsidR="001B7163" w:rsidRPr="00F65D5D">
              <w:rPr>
                <w:rFonts w:cs="Times New Roman"/>
                <w:lang w:eastAsia="lv-LV"/>
              </w:rPr>
              <w:t>)</w:t>
            </w:r>
            <w:r w:rsidRPr="00F65D5D">
              <w:rPr>
                <w:rFonts w:cs="Times New Roman"/>
                <w:lang w:eastAsia="lv-LV"/>
              </w:rPr>
              <w:t>;</w:t>
            </w:r>
          </w:p>
          <w:p w14:paraId="6158DCA8" w14:textId="77777777" w:rsidR="00441AA4" w:rsidRPr="00F65D5D" w:rsidRDefault="00441AA4" w:rsidP="00013BC5">
            <w:pPr>
              <w:spacing w:after="0" w:line="240" w:lineRule="auto"/>
              <w:ind w:firstLine="363"/>
              <w:jc w:val="both"/>
              <w:rPr>
                <w:rFonts w:cs="Times New Roman"/>
                <w:lang w:eastAsia="lv-LV"/>
              </w:rPr>
            </w:pPr>
            <w:r w:rsidRPr="00F65D5D">
              <w:rPr>
                <w:rFonts w:cs="Times New Roman"/>
                <w:lang w:eastAsia="lv-LV"/>
              </w:rPr>
              <w:t>- pierādāmas zināšanas TIR konvencijas piemērošanai</w:t>
            </w:r>
            <w:r w:rsidR="001B7163" w:rsidRPr="00F65D5D">
              <w:rPr>
                <w:rFonts w:cs="Times New Roman"/>
                <w:lang w:eastAsia="lv-LV"/>
              </w:rPr>
              <w:t xml:space="preserve"> (</w:t>
            </w:r>
            <w:r w:rsidR="00C71F54" w:rsidRPr="00F65D5D">
              <w:rPr>
                <w:rFonts w:cs="Times New Roman"/>
                <w:lang w:eastAsia="lv-LV"/>
              </w:rPr>
              <w:t xml:space="preserve">noteikumu </w:t>
            </w:r>
            <w:r w:rsidR="001B7163" w:rsidRPr="00F65D5D">
              <w:rPr>
                <w:rFonts w:cs="Times New Roman"/>
                <w:lang w:eastAsia="lv-LV"/>
              </w:rPr>
              <w:t>projekta 9.</w:t>
            </w:r>
            <w:r w:rsidR="00484085" w:rsidRPr="00F65D5D">
              <w:rPr>
                <w:rFonts w:cs="Times New Roman"/>
                <w:lang w:eastAsia="lv-LV"/>
              </w:rPr>
              <w:t>4</w:t>
            </w:r>
            <w:r w:rsidR="001B7163" w:rsidRPr="00F65D5D">
              <w:rPr>
                <w:rFonts w:cs="Times New Roman"/>
                <w:lang w:eastAsia="lv-LV"/>
              </w:rPr>
              <w:t>.</w:t>
            </w:r>
            <w:r w:rsidR="00B63CA0" w:rsidRPr="00F65D5D">
              <w:rPr>
                <w:rFonts w:cs="Times New Roman"/>
                <w:lang w:eastAsia="lv-LV"/>
              </w:rPr>
              <w:t>apakšpunkts</w:t>
            </w:r>
            <w:r w:rsidR="001B7163" w:rsidRPr="00F65D5D">
              <w:rPr>
                <w:rFonts w:cs="Times New Roman"/>
                <w:lang w:eastAsia="lv-LV"/>
              </w:rPr>
              <w:t xml:space="preserve"> </w:t>
            </w:r>
            <w:r w:rsidR="00C71F54" w:rsidRPr="00F65D5D">
              <w:rPr>
                <w:rFonts w:cs="Times New Roman"/>
                <w:lang w:eastAsia="lv-LV"/>
              </w:rPr>
              <w:t>–</w:t>
            </w:r>
            <w:r w:rsidR="001B7163" w:rsidRPr="00F65D5D">
              <w:rPr>
                <w:rFonts w:cs="Times New Roman"/>
                <w:lang w:eastAsia="lv-LV"/>
              </w:rPr>
              <w:t xml:space="preserve"> izvērtē garantijas asociācija)</w:t>
            </w:r>
            <w:r w:rsidRPr="00F65D5D">
              <w:rPr>
                <w:rFonts w:cs="Times New Roman"/>
                <w:lang w:eastAsia="lv-LV"/>
              </w:rPr>
              <w:t>;</w:t>
            </w:r>
          </w:p>
          <w:p w14:paraId="2915FDE3" w14:textId="77777777" w:rsidR="00441AA4" w:rsidRPr="00F65D5D" w:rsidRDefault="00441AA4" w:rsidP="00013BC5">
            <w:pPr>
              <w:spacing w:after="0" w:line="240" w:lineRule="auto"/>
              <w:ind w:firstLine="363"/>
              <w:jc w:val="both"/>
              <w:rPr>
                <w:rFonts w:cs="Times New Roman"/>
                <w:lang w:eastAsia="lv-LV"/>
              </w:rPr>
            </w:pPr>
            <w:r w:rsidRPr="00F65D5D">
              <w:rPr>
                <w:rFonts w:cs="Times New Roman"/>
                <w:lang w:eastAsia="lv-LV"/>
              </w:rPr>
              <w:t xml:space="preserve">- pierādījumi, ka tā nav veikusi muitas vai nodokļu </w:t>
            </w:r>
            <w:r w:rsidR="00C71F54" w:rsidRPr="00F65D5D">
              <w:rPr>
                <w:rFonts w:cs="Times New Roman"/>
                <w:lang w:eastAsia="lv-LV"/>
              </w:rPr>
              <w:t xml:space="preserve">jomas </w:t>
            </w:r>
            <w:r w:rsidRPr="00F65D5D">
              <w:rPr>
                <w:rFonts w:cs="Times New Roman"/>
                <w:lang w:eastAsia="lv-LV"/>
              </w:rPr>
              <w:t>tiesību aktu nopietnus un atkārtotus pārkāpumus</w:t>
            </w:r>
            <w:r w:rsidR="001B7163" w:rsidRPr="00F65D5D">
              <w:rPr>
                <w:rFonts w:cs="Times New Roman"/>
                <w:lang w:eastAsia="lv-LV"/>
              </w:rPr>
              <w:t xml:space="preserve"> (</w:t>
            </w:r>
            <w:r w:rsidR="00C71F54" w:rsidRPr="00F65D5D">
              <w:rPr>
                <w:rFonts w:cs="Times New Roman"/>
                <w:lang w:eastAsia="lv-LV"/>
              </w:rPr>
              <w:t xml:space="preserve">noteikumu </w:t>
            </w:r>
            <w:r w:rsidR="001B7163" w:rsidRPr="00F65D5D">
              <w:rPr>
                <w:rFonts w:cs="Times New Roman"/>
                <w:lang w:eastAsia="lv-LV"/>
              </w:rPr>
              <w:t>projekta 12.</w:t>
            </w:r>
            <w:r w:rsidR="00755F00" w:rsidRPr="00F65D5D">
              <w:rPr>
                <w:rFonts w:cs="Times New Roman"/>
                <w:lang w:eastAsia="lv-LV"/>
              </w:rPr>
              <w:t>1</w:t>
            </w:r>
            <w:r w:rsidR="001B7163" w:rsidRPr="00F65D5D">
              <w:rPr>
                <w:rFonts w:cs="Times New Roman"/>
                <w:lang w:eastAsia="lv-LV"/>
              </w:rPr>
              <w:t>.</w:t>
            </w:r>
            <w:r w:rsidR="00B63CA0" w:rsidRPr="00F65D5D">
              <w:rPr>
                <w:rFonts w:cs="Times New Roman"/>
                <w:lang w:eastAsia="lv-LV"/>
              </w:rPr>
              <w:t>apakšpunkts</w:t>
            </w:r>
            <w:r w:rsidR="001B7163" w:rsidRPr="00F65D5D">
              <w:rPr>
                <w:rFonts w:cs="Times New Roman"/>
                <w:lang w:eastAsia="lv-LV"/>
              </w:rPr>
              <w:t xml:space="preserve"> </w:t>
            </w:r>
            <w:r w:rsidR="00C71F54" w:rsidRPr="00F65D5D">
              <w:rPr>
                <w:rFonts w:cs="Times New Roman"/>
                <w:lang w:eastAsia="lv-LV"/>
              </w:rPr>
              <w:t>–</w:t>
            </w:r>
            <w:r w:rsidR="001B7163" w:rsidRPr="00F65D5D">
              <w:rPr>
                <w:rFonts w:cs="Times New Roman"/>
                <w:lang w:eastAsia="lv-LV"/>
              </w:rPr>
              <w:t xml:space="preserve"> izvērtē VID)</w:t>
            </w:r>
            <w:r w:rsidRPr="00F65D5D">
              <w:rPr>
                <w:rFonts w:cs="Times New Roman"/>
                <w:lang w:eastAsia="lv-LV"/>
              </w:rPr>
              <w:t>;</w:t>
            </w:r>
          </w:p>
          <w:p w14:paraId="4BB9B3AC" w14:textId="77777777" w:rsidR="00441AA4" w:rsidRPr="00F65D5D" w:rsidRDefault="00441AA4" w:rsidP="00013BC5">
            <w:pPr>
              <w:spacing w:after="0" w:line="240" w:lineRule="auto"/>
              <w:ind w:firstLine="363"/>
              <w:jc w:val="both"/>
              <w:rPr>
                <w:rFonts w:cs="Times New Roman"/>
                <w:lang w:eastAsia="lv-LV"/>
              </w:rPr>
            </w:pPr>
            <w:r w:rsidRPr="00F65D5D">
              <w:rPr>
                <w:rFonts w:cs="Times New Roman"/>
                <w:lang w:eastAsia="lv-LV"/>
              </w:rPr>
              <w:t xml:space="preserve">- </w:t>
            </w:r>
            <w:r w:rsidR="00755F00" w:rsidRPr="00F65D5D">
              <w:rPr>
                <w:rFonts w:cs="Times New Roman"/>
                <w:lang w:eastAsia="lv-LV"/>
              </w:rPr>
              <w:t xml:space="preserve">persona noslēdz </w:t>
            </w:r>
            <w:r w:rsidRPr="00F65D5D">
              <w:rPr>
                <w:rFonts w:cs="Times New Roman"/>
                <w:lang w:eastAsia="lv-LV"/>
              </w:rPr>
              <w:t>rak</w:t>
            </w:r>
            <w:r w:rsidR="00755F00" w:rsidRPr="00F65D5D">
              <w:rPr>
                <w:rFonts w:cs="Times New Roman"/>
                <w:lang w:eastAsia="lv-LV"/>
              </w:rPr>
              <w:t>stiskas saistības ar asociāciju (</w:t>
            </w:r>
            <w:r w:rsidR="00C71F54" w:rsidRPr="00F65D5D">
              <w:rPr>
                <w:rFonts w:cs="Times New Roman"/>
                <w:lang w:eastAsia="lv-LV"/>
              </w:rPr>
              <w:t xml:space="preserve">noteikumu </w:t>
            </w:r>
            <w:r w:rsidR="00755F00" w:rsidRPr="00F65D5D">
              <w:rPr>
                <w:rFonts w:cs="Times New Roman"/>
                <w:lang w:eastAsia="lv-LV"/>
              </w:rPr>
              <w:t>projekta 9.6.</w:t>
            </w:r>
            <w:r w:rsidR="00B63CA0" w:rsidRPr="00F65D5D">
              <w:rPr>
                <w:rFonts w:cs="Times New Roman"/>
                <w:lang w:eastAsia="lv-LV"/>
              </w:rPr>
              <w:t>apakšpunkts</w:t>
            </w:r>
            <w:r w:rsidR="00755F00" w:rsidRPr="00F65D5D">
              <w:rPr>
                <w:rFonts w:cs="Times New Roman"/>
                <w:lang w:eastAsia="lv-LV"/>
              </w:rPr>
              <w:t xml:space="preserve"> </w:t>
            </w:r>
            <w:r w:rsidR="00C71F54" w:rsidRPr="00F65D5D">
              <w:rPr>
                <w:rFonts w:cs="Times New Roman"/>
                <w:lang w:eastAsia="lv-LV"/>
              </w:rPr>
              <w:t>–</w:t>
            </w:r>
            <w:r w:rsidR="00755F00" w:rsidRPr="00F65D5D">
              <w:rPr>
                <w:rFonts w:cs="Times New Roman"/>
                <w:lang w:eastAsia="lv-LV"/>
              </w:rPr>
              <w:t xml:space="preserve"> izvērtē garantijas asociācija)</w:t>
            </w:r>
            <w:r w:rsidR="00582E76" w:rsidRPr="00F65D5D">
              <w:rPr>
                <w:rFonts w:cs="Times New Roman"/>
                <w:lang w:eastAsia="lv-LV"/>
              </w:rPr>
              <w:t>.</w:t>
            </w:r>
          </w:p>
          <w:p w14:paraId="2E2EAEE4" w14:textId="77777777" w:rsidR="00441AA4" w:rsidRPr="00F65D5D" w:rsidRDefault="00582E76" w:rsidP="00013BC5">
            <w:pPr>
              <w:pStyle w:val="ListParagraph"/>
              <w:spacing w:after="0" w:line="240" w:lineRule="auto"/>
              <w:ind w:left="0" w:firstLine="505"/>
              <w:jc w:val="both"/>
              <w:rPr>
                <w:rFonts w:cs="Times New Roman"/>
                <w:lang w:eastAsia="lv-LV"/>
              </w:rPr>
            </w:pPr>
            <w:r w:rsidRPr="00F65D5D">
              <w:rPr>
                <w:rFonts w:cs="Times New Roman"/>
                <w:lang w:eastAsia="lv-LV"/>
              </w:rPr>
              <w:t>Saskaņā ar TIR konvencijas 6.panta 3.punktu Kompetentā institūcija</w:t>
            </w:r>
            <w:r w:rsidRPr="00F65D5D">
              <w:rPr>
                <w:rFonts w:cs="Times New Roman"/>
              </w:rPr>
              <w:t xml:space="preserve"> </w:t>
            </w:r>
            <w:r w:rsidRPr="00F65D5D">
              <w:rPr>
                <w:rFonts w:cs="Times New Roman"/>
                <w:lang w:eastAsia="lv-LV"/>
              </w:rPr>
              <w:t>izsniedz TIR karnetes turētāja atļauju tikai persona</w:t>
            </w:r>
            <w:r w:rsidR="00E76126" w:rsidRPr="00F65D5D">
              <w:rPr>
                <w:rFonts w:cs="Times New Roman"/>
                <w:lang w:eastAsia="lv-LV"/>
              </w:rPr>
              <w:t>i</w:t>
            </w:r>
            <w:r w:rsidRPr="00F65D5D">
              <w:rPr>
                <w:rFonts w:cs="Times New Roman"/>
                <w:lang w:eastAsia="lv-LV"/>
              </w:rPr>
              <w:t>, kas ir reģistrēta atbilstošajā valstī (</w:t>
            </w:r>
            <w:r w:rsidR="00C71F54" w:rsidRPr="00F65D5D">
              <w:rPr>
                <w:rFonts w:cs="Times New Roman"/>
                <w:lang w:eastAsia="lv-LV"/>
              </w:rPr>
              <w:t xml:space="preserve">noteikumu </w:t>
            </w:r>
            <w:r w:rsidRPr="00F65D5D">
              <w:rPr>
                <w:rFonts w:cs="Times New Roman"/>
                <w:lang w:eastAsia="lv-LV"/>
              </w:rPr>
              <w:t>projekta 9.1.</w:t>
            </w:r>
            <w:r w:rsidR="00B63CA0" w:rsidRPr="00F65D5D">
              <w:rPr>
                <w:rFonts w:cs="Times New Roman"/>
                <w:lang w:eastAsia="lv-LV"/>
              </w:rPr>
              <w:t>apakšpunkts</w:t>
            </w:r>
            <w:r w:rsidRPr="00F65D5D">
              <w:rPr>
                <w:rFonts w:cs="Times New Roman"/>
                <w:lang w:eastAsia="lv-LV"/>
              </w:rPr>
              <w:t xml:space="preserve"> </w:t>
            </w:r>
            <w:r w:rsidR="00C71F54" w:rsidRPr="00F65D5D">
              <w:rPr>
                <w:rFonts w:cs="Times New Roman"/>
                <w:lang w:eastAsia="lv-LV"/>
              </w:rPr>
              <w:t>–</w:t>
            </w:r>
            <w:r w:rsidRPr="00F65D5D">
              <w:rPr>
                <w:rFonts w:cs="Times New Roman"/>
                <w:lang w:eastAsia="lv-LV"/>
              </w:rPr>
              <w:t xml:space="preserve"> izvērtē garantijas asociācija).</w:t>
            </w:r>
          </w:p>
          <w:p w14:paraId="4FF83FC3" w14:textId="77777777" w:rsidR="0009109B" w:rsidRPr="00F65D5D" w:rsidRDefault="0009109B" w:rsidP="00013BC5">
            <w:pPr>
              <w:pStyle w:val="ListParagraph"/>
              <w:spacing w:after="0" w:line="240" w:lineRule="auto"/>
              <w:ind w:left="0" w:firstLine="505"/>
              <w:jc w:val="both"/>
              <w:rPr>
                <w:rFonts w:cs="Times New Roman"/>
                <w:lang w:eastAsia="lv-LV"/>
              </w:rPr>
            </w:pPr>
          </w:p>
          <w:p w14:paraId="01B2FB01" w14:textId="4507D89A" w:rsidR="00013BC5" w:rsidRPr="00F65D5D" w:rsidRDefault="00FA4A39" w:rsidP="00013BC5">
            <w:pPr>
              <w:pStyle w:val="ListParagraph"/>
              <w:spacing w:after="0" w:line="240" w:lineRule="auto"/>
              <w:ind w:left="0" w:firstLine="505"/>
              <w:jc w:val="both"/>
              <w:rPr>
                <w:rFonts w:cs="Times New Roman"/>
                <w:lang w:eastAsia="lv-LV"/>
              </w:rPr>
            </w:pPr>
            <w:r w:rsidRPr="00F65D5D">
              <w:rPr>
                <w:rFonts w:cs="Times New Roman"/>
                <w:lang w:eastAsia="lv-LV"/>
              </w:rPr>
              <w:t>4</w:t>
            </w:r>
            <w:r w:rsidR="0009109B" w:rsidRPr="00F65D5D">
              <w:rPr>
                <w:rFonts w:cs="Times New Roman"/>
                <w:lang w:eastAsia="lv-LV"/>
              </w:rPr>
              <w:t xml:space="preserve">.2. </w:t>
            </w:r>
            <w:r w:rsidR="00582E76" w:rsidRPr="00F65D5D">
              <w:rPr>
                <w:rFonts w:cs="Times New Roman"/>
                <w:lang w:eastAsia="lv-LV"/>
              </w:rPr>
              <w:t>Atbilstoši TIR konvencijas 9.pielikuma II.daļas 2.punktam un pamatojoties uz pamatkritērijiem, kas noteikti TIR konvencijas 9.pielikuma II.daļas 1.punktā</w:t>
            </w:r>
            <w:r w:rsidR="00013BC5" w:rsidRPr="00F65D5D">
              <w:rPr>
                <w:rFonts w:cs="Times New Roman"/>
                <w:lang w:eastAsia="lv-LV"/>
              </w:rPr>
              <w:t xml:space="preserve">, </w:t>
            </w:r>
            <w:r w:rsidR="00C71F54" w:rsidRPr="00F65D5D">
              <w:rPr>
                <w:rFonts w:cs="Times New Roman"/>
                <w:lang w:eastAsia="lv-LV"/>
              </w:rPr>
              <w:t xml:space="preserve">noteikumu </w:t>
            </w:r>
            <w:r w:rsidR="00013BC5" w:rsidRPr="00F65D5D">
              <w:rPr>
                <w:rFonts w:cs="Times New Roman"/>
                <w:lang w:eastAsia="lv-LV"/>
              </w:rPr>
              <w:t>projekt</w:t>
            </w:r>
            <w:r w:rsidR="001A0904" w:rsidRPr="00F65D5D">
              <w:rPr>
                <w:rFonts w:cs="Times New Roman"/>
                <w:lang w:eastAsia="lv-LV"/>
              </w:rPr>
              <w:t>ā</w:t>
            </w:r>
            <w:r w:rsidR="00013BC5" w:rsidRPr="00F65D5D">
              <w:rPr>
                <w:rFonts w:cs="Times New Roman"/>
                <w:lang w:eastAsia="lv-LV"/>
              </w:rPr>
              <w:t xml:space="preserve"> (</w:t>
            </w:r>
            <w:r w:rsidR="001A0904" w:rsidRPr="00F65D5D">
              <w:rPr>
                <w:rFonts w:cs="Times New Roman"/>
                <w:lang w:eastAsia="lv-LV"/>
              </w:rPr>
              <w:t xml:space="preserve">tāpat kā </w:t>
            </w:r>
            <w:r w:rsidR="00E54138" w:rsidRPr="00F65D5D">
              <w:rPr>
                <w:rFonts w:cs="Times New Roman"/>
                <w:lang w:eastAsia="lv-LV"/>
              </w:rPr>
              <w:t>Ministru kabineta</w:t>
            </w:r>
            <w:r w:rsidR="00013BC5" w:rsidRPr="00F65D5D">
              <w:rPr>
                <w:rFonts w:cs="Times New Roman"/>
                <w:lang w:eastAsia="lv-LV"/>
              </w:rPr>
              <w:t xml:space="preserve"> noteikumos</w:t>
            </w:r>
            <w:r w:rsidR="00013BC5" w:rsidRPr="00F65D5D">
              <w:rPr>
                <w:rFonts w:cs="Times New Roman"/>
              </w:rPr>
              <w:t xml:space="preserve"> </w:t>
            </w:r>
            <w:r w:rsidR="00013BC5" w:rsidRPr="00F65D5D">
              <w:rPr>
                <w:rFonts w:cs="Times New Roman"/>
                <w:lang w:eastAsia="lv-LV"/>
              </w:rPr>
              <w:t>Nr.603) ir iekļauti šādi papildu kritēriji</w:t>
            </w:r>
            <w:r w:rsidR="00E54138" w:rsidRPr="00F65D5D">
              <w:rPr>
                <w:rFonts w:cs="Times New Roman"/>
                <w:lang w:eastAsia="lv-LV"/>
              </w:rPr>
              <w:t xml:space="preserve"> (salīdzinājumā ar Ministru kabineta noteikum</w:t>
            </w:r>
            <w:r w:rsidR="001A0904" w:rsidRPr="00F65D5D">
              <w:rPr>
                <w:rFonts w:cs="Times New Roman"/>
                <w:lang w:eastAsia="lv-LV"/>
              </w:rPr>
              <w:t>iem</w:t>
            </w:r>
            <w:r w:rsidR="00E54138" w:rsidRPr="00F65D5D">
              <w:rPr>
                <w:rFonts w:cs="Times New Roman"/>
                <w:lang w:eastAsia="lv-LV"/>
              </w:rPr>
              <w:t xml:space="preserve"> Nr.603 </w:t>
            </w:r>
            <w:r w:rsidR="009F7A44" w:rsidRPr="00F65D5D">
              <w:rPr>
                <w:rFonts w:cs="Times New Roman"/>
                <w:lang w:eastAsia="lv-LV"/>
              </w:rPr>
              <w:t xml:space="preserve">papildu kritēriji </w:t>
            </w:r>
            <w:r w:rsidR="001A0904" w:rsidRPr="00F65D5D">
              <w:rPr>
                <w:rFonts w:cs="Times New Roman"/>
                <w:lang w:eastAsia="lv-LV"/>
              </w:rPr>
              <w:t xml:space="preserve">noteikumu projektā </w:t>
            </w:r>
            <w:r w:rsidR="009F7A44" w:rsidRPr="00F65D5D">
              <w:rPr>
                <w:rFonts w:cs="Times New Roman"/>
                <w:lang w:eastAsia="lv-LV"/>
              </w:rPr>
              <w:t xml:space="preserve">nav iekļauti, bet </w:t>
            </w:r>
            <w:r w:rsidR="001A0904" w:rsidRPr="00F65D5D">
              <w:rPr>
                <w:rFonts w:cs="Times New Roman"/>
                <w:lang w:eastAsia="lv-LV"/>
              </w:rPr>
              <w:t xml:space="preserve">ir </w:t>
            </w:r>
            <w:r w:rsidR="009F7A44" w:rsidRPr="00F65D5D">
              <w:rPr>
                <w:rFonts w:cs="Times New Roman"/>
                <w:lang w:eastAsia="lv-LV"/>
              </w:rPr>
              <w:t>papildus iekļauti kritērij</w:t>
            </w:r>
            <w:r w:rsidR="00147FD6" w:rsidRPr="00F65D5D">
              <w:rPr>
                <w:rFonts w:cs="Times New Roman"/>
                <w:lang w:eastAsia="lv-LV"/>
              </w:rPr>
              <w:t>u</w:t>
            </w:r>
            <w:r w:rsidR="009F7A44" w:rsidRPr="00F65D5D">
              <w:rPr>
                <w:rFonts w:cs="Times New Roman"/>
                <w:lang w:eastAsia="lv-LV"/>
              </w:rPr>
              <w:t>, kas noteikti TIR konvencijā, izvērtēšanas principi</w:t>
            </w:r>
            <w:r w:rsidR="00E54138" w:rsidRPr="00F65D5D">
              <w:rPr>
                <w:rFonts w:cs="Times New Roman"/>
                <w:lang w:eastAsia="lv-LV"/>
              </w:rPr>
              <w:t>)</w:t>
            </w:r>
            <w:r w:rsidR="00013BC5" w:rsidRPr="00F65D5D">
              <w:rPr>
                <w:rFonts w:cs="Times New Roman"/>
                <w:lang w:eastAsia="lv-LV"/>
              </w:rPr>
              <w:t>:</w:t>
            </w:r>
          </w:p>
          <w:p w14:paraId="4A53FCB3" w14:textId="73E0EC5A" w:rsidR="0031182C" w:rsidRPr="00F65D5D" w:rsidRDefault="00616FA9" w:rsidP="0031182C">
            <w:pPr>
              <w:pStyle w:val="ListParagraph"/>
              <w:spacing w:after="0" w:line="240" w:lineRule="auto"/>
              <w:ind w:left="0" w:firstLine="505"/>
              <w:jc w:val="both"/>
              <w:rPr>
                <w:rFonts w:cs="Times New Roman"/>
                <w:lang w:eastAsia="lv-LV"/>
              </w:rPr>
            </w:pPr>
            <w:r w:rsidRPr="00F65D5D">
              <w:rPr>
                <w:rFonts w:cs="Times New Roman"/>
                <w:lang w:eastAsia="lv-LV"/>
              </w:rPr>
              <w:t>4</w:t>
            </w:r>
            <w:r w:rsidR="00B47534" w:rsidRPr="00F65D5D">
              <w:rPr>
                <w:rFonts w:cs="Times New Roman"/>
                <w:lang w:eastAsia="lv-LV"/>
              </w:rPr>
              <w:t>.2.1. Saskaņā ar projekta 9.3.apakšpunktu personai jāsaņem garantējošās asociācijas biedra statuss</w:t>
            </w:r>
            <w:r w:rsidR="001A0904" w:rsidRPr="00F65D5D">
              <w:rPr>
                <w:rFonts w:cs="Times New Roman"/>
                <w:lang w:eastAsia="lv-LV"/>
              </w:rPr>
              <w:t xml:space="preserve"> (šāda prasība tika piemērota, bet Ministru kabineta noteikumos </w:t>
            </w:r>
            <w:r w:rsidR="006371CE" w:rsidRPr="00F65D5D">
              <w:rPr>
                <w:rFonts w:cs="Times New Roman"/>
                <w:lang w:eastAsia="lv-LV"/>
              </w:rPr>
              <w:t xml:space="preserve">Nr. 603 </w:t>
            </w:r>
            <w:r w:rsidR="001A0904" w:rsidRPr="00F65D5D">
              <w:rPr>
                <w:rFonts w:cs="Times New Roman"/>
                <w:lang w:eastAsia="lv-LV"/>
              </w:rPr>
              <w:t>noteikta nebija)</w:t>
            </w:r>
            <w:r w:rsidR="00B47534" w:rsidRPr="00F65D5D">
              <w:rPr>
                <w:rFonts w:cs="Times New Roman"/>
                <w:lang w:eastAsia="lv-LV"/>
              </w:rPr>
              <w:t xml:space="preserve">. Saskaņā ar </w:t>
            </w:r>
            <w:r w:rsidR="00A30EB2" w:rsidRPr="00F65D5D">
              <w:rPr>
                <w:rFonts w:cs="Times New Roman"/>
                <w:lang w:eastAsia="lv-LV"/>
              </w:rPr>
              <w:t xml:space="preserve">likuma </w:t>
            </w:r>
            <w:r w:rsidR="00B47534" w:rsidRPr="00F65D5D">
              <w:rPr>
                <w:rFonts w:cs="Times New Roman"/>
                <w:lang w:eastAsia="lv-LV"/>
              </w:rPr>
              <w:t xml:space="preserve">22.pantu “Garantijas asociācija” un TIR konvencijas 9.pielikuma I.daļas noteikumiem garantijas asociācija (Biedrība “Autopārvadātāju asociācija “Latvijas auto””) ir atbildīga par starptautiskās garantiju ķēdes (viens no pieciem TIR tranzīta sistēmas pīlāriem) efektīvu funkcionēšanu Latvijas Republikā. Atbilstoši </w:t>
            </w:r>
            <w:r w:rsidR="00A9649F" w:rsidRPr="00F65D5D">
              <w:rPr>
                <w:rFonts w:cs="Times New Roman"/>
                <w:lang w:eastAsia="lv-LV"/>
              </w:rPr>
              <w:t>organizatoriskajam</w:t>
            </w:r>
            <w:r w:rsidR="00B47534" w:rsidRPr="00F65D5D">
              <w:rPr>
                <w:rFonts w:cs="Times New Roman"/>
                <w:lang w:eastAsia="lv-LV"/>
              </w:rPr>
              <w:t xml:space="preserve"> veidam garantijas asociācijai ir noteikts Biedrības statuss, bet TIR karnetes turētāji ir garantējošās asociācijas biedri.</w:t>
            </w:r>
          </w:p>
          <w:p w14:paraId="131246BC" w14:textId="77777777" w:rsidR="0031182C" w:rsidRPr="00F65D5D" w:rsidRDefault="0031182C" w:rsidP="0031182C">
            <w:pPr>
              <w:pStyle w:val="ListParagraph"/>
              <w:spacing w:after="0" w:line="240" w:lineRule="auto"/>
              <w:ind w:left="0" w:firstLine="548"/>
              <w:jc w:val="both"/>
              <w:rPr>
                <w:rFonts w:cs="Times New Roman"/>
                <w:lang w:eastAsia="lv-LV"/>
              </w:rPr>
            </w:pPr>
            <w:r w:rsidRPr="00F65D5D">
              <w:rPr>
                <w:rFonts w:cs="Times New Roman"/>
                <w:lang w:eastAsia="lv-LV"/>
              </w:rPr>
              <w:lastRenderedPageBreak/>
              <w:t>Garantijas asociācijas Statūtos ir noteikts, ka asociācija uzņemas garantijas un no IRU (Starptautiskās Autopārvadātāju savienības) noteikumiem izrietošās saistības dalībai starptautiskajā garantiju ķēdē, lai nodrošinātu TIR konvencijas funkcionēšanu. Garantiju ķēdes dalībnieks ir arī persona, kura noteiktajā kārtībā ir saņēmusi atļauju dalībai TIR sistēmā.</w:t>
            </w:r>
          </w:p>
          <w:p w14:paraId="3F304D66" w14:textId="77777777" w:rsidR="0031182C" w:rsidRPr="00F65D5D" w:rsidRDefault="0031182C" w:rsidP="0031182C">
            <w:pPr>
              <w:pStyle w:val="ListParagraph"/>
              <w:spacing w:after="0" w:line="240" w:lineRule="auto"/>
              <w:ind w:left="0" w:firstLine="505"/>
              <w:jc w:val="both"/>
              <w:rPr>
                <w:rFonts w:cs="Times New Roman"/>
                <w:lang w:eastAsia="lv-LV"/>
              </w:rPr>
            </w:pPr>
            <w:r w:rsidRPr="00F65D5D">
              <w:rPr>
                <w:rFonts w:cs="Times New Roman"/>
                <w:lang w:eastAsia="lv-LV"/>
              </w:rPr>
              <w:t>TIR Konvencijas funkcionēšanas nodrošināšanai paredzēta stingra administratīva sistēma, kā arī saistībām ir ilgtermiņa raksturs, t.i. 2 gadi un 3 mēneši kopš pēdējās izsniegtās TIR karnetes, kura laikā saglabājas atbildība gan pārvadātājam, gan garantijas asociācijai. Ņemot vērā, ka dalības laikā TIR sistēmā ir paredzēts tajā iesaistīto personu  nepārtraukts monitorings, izsniegto TIR karnešu uzskaite, kontrole, muitas iestāžu pieprasījumu administrēšana atbilstoši noslēgtajām līgumsaistībām ar Muitas administrāciju, atļauju darbībai TIR sistēmā var saņemt asociācijas biedri, kurus tā ir izvērtējusi un par kuriem uzņēmusies garantijas.</w:t>
            </w:r>
          </w:p>
          <w:p w14:paraId="3B161740" w14:textId="12BF326B" w:rsidR="00B63CA0" w:rsidRPr="00F65D5D" w:rsidRDefault="00FA4A39" w:rsidP="00767BFB">
            <w:pPr>
              <w:pStyle w:val="ListParagraph"/>
              <w:spacing w:after="0" w:line="240" w:lineRule="auto"/>
              <w:ind w:left="0" w:firstLine="540"/>
              <w:jc w:val="both"/>
              <w:rPr>
                <w:rFonts w:cs="Times New Roman"/>
                <w:lang w:eastAsia="lv-LV"/>
              </w:rPr>
            </w:pPr>
            <w:r w:rsidRPr="00F65D5D">
              <w:rPr>
                <w:rFonts w:cs="Times New Roman"/>
                <w:lang w:eastAsia="lv-LV"/>
              </w:rPr>
              <w:t>4</w:t>
            </w:r>
            <w:r w:rsidR="00767BFB" w:rsidRPr="00F65D5D">
              <w:rPr>
                <w:rFonts w:cs="Times New Roman"/>
                <w:lang w:eastAsia="lv-LV"/>
              </w:rPr>
              <w:t>.2.</w:t>
            </w:r>
            <w:r w:rsidR="00B47534" w:rsidRPr="00F65D5D">
              <w:rPr>
                <w:rFonts w:cs="Times New Roman"/>
                <w:lang w:eastAsia="lv-LV"/>
              </w:rPr>
              <w:t>2</w:t>
            </w:r>
            <w:r w:rsidR="00767BFB" w:rsidRPr="00F65D5D">
              <w:rPr>
                <w:rFonts w:cs="Times New Roman"/>
                <w:lang w:eastAsia="lv-LV"/>
              </w:rPr>
              <w:t xml:space="preserve">. </w:t>
            </w:r>
            <w:r w:rsidR="006371CE" w:rsidRPr="00F65D5D">
              <w:rPr>
                <w:rFonts w:cs="Times New Roman"/>
                <w:lang w:eastAsia="lv-LV"/>
              </w:rPr>
              <w:t xml:space="preserve">No Ministru kabineta noteikumiem Nr. 603 (8.3. </w:t>
            </w:r>
            <w:r w:rsidR="00B37178">
              <w:rPr>
                <w:rFonts w:cs="Times New Roman"/>
                <w:lang w:eastAsia="lv-LV"/>
              </w:rPr>
              <w:t>apakš</w:t>
            </w:r>
            <w:r w:rsidR="006371CE" w:rsidRPr="00F65D5D">
              <w:rPr>
                <w:rFonts w:cs="Times New Roman"/>
                <w:lang w:eastAsia="lv-LV"/>
              </w:rPr>
              <w:t xml:space="preserve">punkts) ir pārņemta prasība </w:t>
            </w:r>
            <w:r w:rsidR="00147FD6" w:rsidRPr="00F65D5D">
              <w:rPr>
                <w:rFonts w:cs="Times New Roman"/>
                <w:lang w:eastAsia="lv-LV"/>
              </w:rPr>
              <w:t xml:space="preserve">- </w:t>
            </w:r>
            <w:r w:rsidR="006371CE" w:rsidRPr="00F65D5D">
              <w:rPr>
                <w:rFonts w:cs="Times New Roman"/>
                <w:lang w:eastAsia="lv-LV"/>
              </w:rPr>
              <w:t>p</w:t>
            </w:r>
            <w:r w:rsidR="00B63CA0" w:rsidRPr="00F65D5D">
              <w:rPr>
                <w:rFonts w:cs="Times New Roman"/>
                <w:lang w:eastAsia="lv-LV"/>
              </w:rPr>
              <w:t>ersonas (juridiskas personas) valdes vai padomes loceklis nav atzīts par vainīgu noziedzīgā nodarījumā</w:t>
            </w:r>
            <w:r w:rsidR="00365851" w:rsidRPr="00F65D5D">
              <w:rPr>
                <w:rFonts w:cs="Times New Roman"/>
                <w:lang w:eastAsia="lv-LV"/>
              </w:rPr>
              <w:t>, valsts ieņēmumu jomā, muitas lietu jomā, par noziedzīgi iegūtu līdzekļu legalizēšanu,</w:t>
            </w:r>
            <w:r w:rsidR="00B63CA0" w:rsidRPr="00F65D5D">
              <w:rPr>
                <w:rFonts w:cs="Times New Roman"/>
                <w:lang w:eastAsia="lv-LV"/>
              </w:rPr>
              <w:t xml:space="preserve"> par piesavināšanos, neatļautu labumu pieņemšanu, komerciālo uzpirkšanu, kukuļņemšanu, kukuļdošanu, kukuļa piesavināšanos vai starpniecību kukuļošanā vai ja par minētajiem noziedzīgiem nodarījumiem personai (juridiskai personai) saskaņā ar Krimināllikumu nav piemērots piespiedu ietekmēšanas līdzeklis (</w:t>
            </w:r>
            <w:r w:rsidR="006E03A4" w:rsidRPr="00F65D5D">
              <w:rPr>
                <w:rFonts w:cs="Times New Roman"/>
                <w:lang w:eastAsia="lv-LV"/>
              </w:rPr>
              <w:t xml:space="preserve">noteikumu </w:t>
            </w:r>
            <w:r w:rsidR="00B63CA0" w:rsidRPr="00F65D5D">
              <w:rPr>
                <w:rFonts w:cs="Times New Roman"/>
                <w:lang w:eastAsia="lv-LV"/>
              </w:rPr>
              <w:t xml:space="preserve">projekta 12.2.apakšpunkts </w:t>
            </w:r>
            <w:r w:rsidR="007C5AF6" w:rsidRPr="00F65D5D">
              <w:rPr>
                <w:rFonts w:cs="Times New Roman"/>
                <w:lang w:eastAsia="lv-LV"/>
              </w:rPr>
              <w:t xml:space="preserve">– </w:t>
            </w:r>
            <w:r w:rsidR="00B63CA0" w:rsidRPr="00F65D5D">
              <w:rPr>
                <w:rFonts w:cs="Times New Roman"/>
                <w:lang w:eastAsia="lv-LV"/>
              </w:rPr>
              <w:t>izvērtē VID)</w:t>
            </w:r>
            <w:r w:rsidR="00767BFB" w:rsidRPr="00F65D5D">
              <w:rPr>
                <w:rFonts w:cs="Times New Roman"/>
                <w:lang w:eastAsia="lv-LV"/>
              </w:rPr>
              <w:t xml:space="preserve">. TIR karnetes turētāja </w:t>
            </w:r>
            <w:r w:rsidR="00E76126" w:rsidRPr="00F65D5D">
              <w:rPr>
                <w:rFonts w:cs="Times New Roman"/>
                <w:lang w:eastAsia="lv-LV"/>
              </w:rPr>
              <w:t xml:space="preserve">atļauja </w:t>
            </w:r>
            <w:r w:rsidR="00767BFB" w:rsidRPr="00F65D5D">
              <w:rPr>
                <w:rFonts w:cs="Times New Roman"/>
                <w:lang w:eastAsia="lv-LV"/>
              </w:rPr>
              <w:t xml:space="preserve">piešķir personai tiesības veikt starptautiskos autopārvadājumus, izmantojot priekšrocības un vienkāršojumus, kurus dod TIR procedūras piemērošana, savukārt viens no pieciem TIR tranzīta sistēmas pīlāriem ir “Kontrolējamā piekļuve” (pasākumu kopums, lai nodrošinātu, ka TIR karnetes turētāja atļaujas izsniedz tikai uzticamajām personām), atbilstoši minētajam ir nepieciešams noteikt ierobežojošākus atļauju saņemšanas nosacījuma kritērijus – arī tādus gadījumus, kad persona ir atzīta par vainīgu </w:t>
            </w:r>
            <w:r w:rsidR="00365851" w:rsidRPr="00F65D5D">
              <w:rPr>
                <w:rFonts w:cs="Times New Roman"/>
                <w:lang w:eastAsia="lv-LV"/>
              </w:rPr>
              <w:t xml:space="preserve">par noziedzīgiem nodarījumiem valsts ieņēmumu jomā, muitas lietu jomā, par noziedzīgi iegūtu līdzekļu legalizēšanu, </w:t>
            </w:r>
            <w:r w:rsidR="00767BFB" w:rsidRPr="00F65D5D">
              <w:rPr>
                <w:rFonts w:cs="Times New Roman"/>
                <w:lang w:eastAsia="lv-LV"/>
              </w:rPr>
              <w:t xml:space="preserve">koruptīva rakstura noziedzīgos nodarījumos – neatļauta labumu pieņemšana, komerciālā uzpirkšana, kukuļņemšana, kukuļdošana, kukuļa piesavināšanās vai starpniecība kukuļošanā. </w:t>
            </w:r>
            <w:r w:rsidR="005F7F49" w:rsidRPr="00F65D5D">
              <w:rPr>
                <w:rFonts w:cs="Times New Roman"/>
                <w:lang w:eastAsia="lv-LV"/>
              </w:rPr>
              <w:t xml:space="preserve">Noziedzīgu nodarījumu valsts ieņēmumu jomā, muitas lietu jomā, noziedzīgi iegūtu līdzekļu legalizēšanas un korupcijas </w:t>
            </w:r>
            <w:r w:rsidR="00767BFB" w:rsidRPr="00F65D5D">
              <w:rPr>
                <w:rFonts w:cs="Times New Roman"/>
                <w:lang w:eastAsia="lv-LV"/>
              </w:rPr>
              <w:t>negatīvās sekas skar gan publisko, gan privāto sektoru, kā arī ietekmē visas tautsaimniecības nozares, tai skaitā transporta nozari. Koruptīva rakstura noziedzīgi nodarījumi pēc būtības ir atzīstami par tīši (ar nodomu) izdarītiem nodarījumiem, proti, kad persona apzinājusies savas darbības kaitīgumu un paredzējusi nodarījuma kaitīgās sekas. Kukuļošanas objekts ir valsts institūciju, valsts dienesta normāla darbība, tai skaitā arī muitas uzr</w:t>
            </w:r>
            <w:r w:rsidR="00A9649F" w:rsidRPr="00F65D5D">
              <w:rPr>
                <w:rFonts w:cs="Times New Roman"/>
                <w:lang w:eastAsia="lv-LV"/>
              </w:rPr>
              <w:t>au</w:t>
            </w:r>
            <w:r w:rsidR="00767BFB" w:rsidRPr="00F65D5D">
              <w:rPr>
                <w:rFonts w:cs="Times New Roman"/>
                <w:lang w:eastAsia="lv-LV"/>
              </w:rPr>
              <w:t xml:space="preserve">dzības jomā. Tā kā TIR karnetes turētāja atļaujas saņēmēji parasti ir juridiskas personas un tām par noziedzīgiem nodarījumiem Krimināllikuma 12.pantā noteiktais atbildības veids ir piespiedu ietekmēšanas līdzekļa piemērošana, tad </w:t>
            </w:r>
            <w:r w:rsidR="00767BFB" w:rsidRPr="00F65D5D">
              <w:rPr>
                <w:rFonts w:cs="Times New Roman"/>
                <w:lang w:eastAsia="lv-LV"/>
              </w:rPr>
              <w:lastRenderedPageBreak/>
              <w:t>par atļauju saņemšanas ierobežošanas kritēriju ir jānosaka piespiedu ietekmēšanas līdzekļa piemērošanu</w:t>
            </w:r>
            <w:r w:rsidR="00B63CA0" w:rsidRPr="00F65D5D">
              <w:rPr>
                <w:rFonts w:cs="Times New Roman"/>
                <w:lang w:eastAsia="lv-LV"/>
              </w:rPr>
              <w:t>;</w:t>
            </w:r>
          </w:p>
          <w:p w14:paraId="5986B9E1" w14:textId="5169A174" w:rsidR="00582E76" w:rsidRPr="00F65D5D" w:rsidRDefault="00FA4A39" w:rsidP="00767BFB">
            <w:pPr>
              <w:pStyle w:val="ListParagraph"/>
              <w:spacing w:after="0" w:line="240" w:lineRule="auto"/>
              <w:ind w:left="-27" w:firstLine="567"/>
              <w:jc w:val="both"/>
              <w:rPr>
                <w:rFonts w:cs="Times New Roman"/>
                <w:lang w:eastAsia="lv-LV"/>
              </w:rPr>
            </w:pPr>
            <w:r w:rsidRPr="00F65D5D">
              <w:rPr>
                <w:rFonts w:cs="Times New Roman"/>
                <w:lang w:eastAsia="lv-LV"/>
              </w:rPr>
              <w:t>4</w:t>
            </w:r>
            <w:r w:rsidR="00767BFB" w:rsidRPr="00F65D5D">
              <w:rPr>
                <w:rFonts w:cs="Times New Roman"/>
                <w:lang w:eastAsia="lv-LV"/>
              </w:rPr>
              <w:t>.2.</w:t>
            </w:r>
            <w:r w:rsidR="00B47534" w:rsidRPr="00F65D5D">
              <w:rPr>
                <w:rFonts w:cs="Times New Roman"/>
                <w:lang w:eastAsia="lv-LV"/>
              </w:rPr>
              <w:t>3</w:t>
            </w:r>
            <w:r w:rsidR="00767BFB" w:rsidRPr="00F65D5D">
              <w:rPr>
                <w:rFonts w:cs="Times New Roman"/>
                <w:lang w:eastAsia="lv-LV"/>
              </w:rPr>
              <w:t xml:space="preserve">. </w:t>
            </w:r>
            <w:r w:rsidR="006371CE" w:rsidRPr="00F65D5D">
              <w:rPr>
                <w:rFonts w:cs="Times New Roman"/>
                <w:lang w:eastAsia="lv-LV"/>
              </w:rPr>
              <w:t xml:space="preserve">No Ministru kabineta noteikumiem Nr. 603 (8.1. </w:t>
            </w:r>
            <w:r w:rsidR="00B37178">
              <w:rPr>
                <w:rFonts w:cs="Times New Roman"/>
                <w:lang w:eastAsia="lv-LV"/>
              </w:rPr>
              <w:t>apakš</w:t>
            </w:r>
            <w:r w:rsidR="006371CE" w:rsidRPr="00F65D5D">
              <w:rPr>
                <w:rFonts w:cs="Times New Roman"/>
                <w:lang w:eastAsia="lv-LV"/>
              </w:rPr>
              <w:t>punkts) ir pārņemta prasība, ka p</w:t>
            </w:r>
            <w:r w:rsidR="00013BC5" w:rsidRPr="00F65D5D">
              <w:rPr>
                <w:rFonts w:cs="Times New Roman"/>
                <w:lang w:eastAsia="lv-LV"/>
              </w:rPr>
              <w:t>ersonai nav nodokļu, nodevu un citu valsts noteikto obligāto maksājumu parādu vai attiecīgo maksājumu termiņi ir pagarināti (atlikti, sadalīti) nodokļu jomu reglamentējošos normatīvajos aktos noteiktajā kārtībā un persona veic maksājumus saskaņā ar nodokļu administrācijas lēmumu (nomaksas grafiku) vai nodokļu administrācijas lēmuma izpilde ir apturēta uz pirmstiesas izskatīšanas laiku</w:t>
            </w:r>
            <w:r w:rsidR="00B63CA0" w:rsidRPr="00F65D5D">
              <w:rPr>
                <w:rFonts w:cs="Times New Roman"/>
                <w:lang w:eastAsia="lv-LV"/>
              </w:rPr>
              <w:t xml:space="preserve"> </w:t>
            </w:r>
            <w:r w:rsidR="00EC604A" w:rsidRPr="00F65D5D">
              <w:rPr>
                <w:rFonts w:cs="Times New Roman"/>
                <w:lang w:eastAsia="lv-LV"/>
              </w:rPr>
              <w:t xml:space="preserve">vai saskaņā ar </w:t>
            </w:r>
            <w:r w:rsidR="00A30EB2" w:rsidRPr="00F65D5D">
              <w:rPr>
                <w:rFonts w:cs="Times New Roman"/>
                <w:lang w:eastAsia="lv-LV"/>
              </w:rPr>
              <w:t>likuma</w:t>
            </w:r>
            <w:r w:rsidR="00EC604A" w:rsidRPr="00F65D5D">
              <w:rPr>
                <w:rFonts w:cs="Times New Roman"/>
                <w:lang w:eastAsia="lv-LV"/>
              </w:rPr>
              <w:t xml:space="preserve"> 11.pantu </w:t>
            </w:r>
            <w:r w:rsidR="00B63CA0" w:rsidRPr="00F65D5D">
              <w:rPr>
                <w:rFonts w:cs="Times New Roman"/>
                <w:lang w:eastAsia="lv-LV"/>
              </w:rPr>
              <w:t xml:space="preserve">(projekta 12.3.apakšpunkts </w:t>
            </w:r>
            <w:r w:rsidR="007C5AF6" w:rsidRPr="00F65D5D">
              <w:rPr>
                <w:rFonts w:cs="Times New Roman"/>
                <w:lang w:eastAsia="lv-LV"/>
              </w:rPr>
              <w:t>–</w:t>
            </w:r>
            <w:r w:rsidR="00B63CA0" w:rsidRPr="00F65D5D">
              <w:rPr>
                <w:rFonts w:cs="Times New Roman"/>
                <w:lang w:eastAsia="lv-LV"/>
              </w:rPr>
              <w:t xml:space="preserve"> izvērtē VID)</w:t>
            </w:r>
            <w:r w:rsidR="00767BFB" w:rsidRPr="00F65D5D">
              <w:rPr>
                <w:rFonts w:cs="Times New Roman"/>
                <w:lang w:eastAsia="lv-LV"/>
              </w:rPr>
              <w:t>;</w:t>
            </w:r>
          </w:p>
          <w:p w14:paraId="2095DF75" w14:textId="77777777" w:rsidR="00B4474B" w:rsidRPr="00F65D5D" w:rsidRDefault="00B4474B" w:rsidP="0009109B">
            <w:pPr>
              <w:pStyle w:val="Default"/>
              <w:jc w:val="both"/>
              <w:rPr>
                <w:rFonts w:ascii="Times New Roman" w:hAnsi="Times New Roman" w:cs="Times New Roman"/>
                <w:color w:val="auto"/>
                <w:lang w:eastAsia="lv-LV"/>
              </w:rPr>
            </w:pPr>
          </w:p>
          <w:p w14:paraId="30AA4281" w14:textId="77777777" w:rsidR="00B4474B" w:rsidRPr="00F65D5D" w:rsidRDefault="00FA4A39" w:rsidP="00B47534">
            <w:pPr>
              <w:spacing w:after="0" w:line="240" w:lineRule="auto"/>
              <w:ind w:firstLine="540"/>
              <w:jc w:val="both"/>
              <w:rPr>
                <w:rFonts w:cs="Times New Roman"/>
              </w:rPr>
            </w:pPr>
            <w:r w:rsidRPr="00F65D5D">
              <w:rPr>
                <w:rFonts w:eastAsia="Times New Roman" w:cs="Times New Roman"/>
                <w:szCs w:val="24"/>
                <w:lang w:eastAsia="lv-LV"/>
              </w:rPr>
              <w:t>4</w:t>
            </w:r>
            <w:r w:rsidR="00B47534" w:rsidRPr="00F65D5D">
              <w:rPr>
                <w:rFonts w:eastAsia="Times New Roman" w:cs="Times New Roman"/>
                <w:szCs w:val="24"/>
                <w:lang w:eastAsia="lv-LV"/>
              </w:rPr>
              <w:t>.</w:t>
            </w:r>
            <w:r w:rsidR="006F0096" w:rsidRPr="00F65D5D">
              <w:rPr>
                <w:rFonts w:eastAsia="Times New Roman" w:cs="Times New Roman"/>
                <w:szCs w:val="24"/>
                <w:lang w:eastAsia="lv-LV"/>
              </w:rPr>
              <w:t>3</w:t>
            </w:r>
            <w:r w:rsidR="00B47534" w:rsidRPr="00F65D5D">
              <w:rPr>
                <w:rFonts w:eastAsia="Times New Roman" w:cs="Times New Roman"/>
                <w:szCs w:val="24"/>
                <w:lang w:eastAsia="lv-LV"/>
              </w:rPr>
              <w:t xml:space="preserve">. </w:t>
            </w:r>
            <w:r w:rsidR="006F0096" w:rsidRPr="00F65D5D">
              <w:rPr>
                <w:rFonts w:eastAsia="Times New Roman" w:cs="Times New Roman"/>
                <w:szCs w:val="24"/>
                <w:lang w:eastAsia="lv-LV"/>
              </w:rPr>
              <w:t>Tāpat kā šobrīd</w:t>
            </w:r>
            <w:r w:rsidR="006F2FEA" w:rsidRPr="00F65D5D">
              <w:rPr>
                <w:rFonts w:eastAsia="Times New Roman" w:cs="Times New Roman"/>
                <w:szCs w:val="24"/>
                <w:lang w:eastAsia="lv-LV"/>
              </w:rPr>
              <w:t>,</w:t>
            </w:r>
            <w:r w:rsidR="006F0096" w:rsidRPr="00F65D5D">
              <w:rPr>
                <w:rFonts w:eastAsia="Times New Roman" w:cs="Times New Roman"/>
                <w:szCs w:val="24"/>
                <w:lang w:eastAsia="lv-LV"/>
              </w:rPr>
              <w:t xml:space="preserve"> d</w:t>
            </w:r>
            <w:r w:rsidR="00B4474B" w:rsidRPr="00F65D5D">
              <w:rPr>
                <w:rFonts w:eastAsia="Times New Roman" w:cs="Times New Roman"/>
                <w:szCs w:val="24"/>
                <w:lang w:eastAsia="lv-LV"/>
              </w:rPr>
              <w:t>atus par administratīvajiem pārkāpumiem muitas un nodokļu jomā</w:t>
            </w:r>
            <w:r w:rsidR="00CC3AFF" w:rsidRPr="00F65D5D">
              <w:rPr>
                <w:rFonts w:eastAsia="Times New Roman" w:cs="Times New Roman"/>
                <w:szCs w:val="24"/>
                <w:lang w:eastAsia="lv-LV"/>
              </w:rPr>
              <w:t>,</w:t>
            </w:r>
            <w:r w:rsidR="00B4474B" w:rsidRPr="00F65D5D">
              <w:rPr>
                <w:rFonts w:eastAsia="Times New Roman" w:cs="Times New Roman"/>
                <w:szCs w:val="24"/>
                <w:lang w:eastAsia="lv-LV"/>
              </w:rPr>
              <w:t xml:space="preserve"> </w:t>
            </w:r>
            <w:r w:rsidR="00CC3AFF" w:rsidRPr="00F65D5D">
              <w:rPr>
                <w:rFonts w:eastAsia="Times New Roman" w:cs="Times New Roman"/>
                <w:szCs w:val="24"/>
                <w:lang w:eastAsia="lv-LV"/>
              </w:rPr>
              <w:t xml:space="preserve">saskaņā ar Latvijas Administratīvo pārkāpumu kodeksa 201.10 – 201.25 pantiem, </w:t>
            </w:r>
            <w:r w:rsidR="00B4474B" w:rsidRPr="00F65D5D">
              <w:rPr>
                <w:rFonts w:eastAsia="Times New Roman" w:cs="Times New Roman"/>
                <w:szCs w:val="24"/>
                <w:lang w:eastAsia="lv-LV"/>
              </w:rPr>
              <w:t>VID pārbauda Centrālajā muitas informācijas sistēmā un Nodokļu informācijas sistēmā. Datus par kriminālsodāmību VID pārbauda Latvijas Republikas Iekšlietu ministrijas Informācijas centra Integrētajā Iekšlietu Informācijas sistēmā. Ja dat</w:t>
            </w:r>
            <w:r w:rsidR="007C5AF6" w:rsidRPr="00F65D5D">
              <w:rPr>
                <w:rFonts w:eastAsia="Times New Roman" w:cs="Times New Roman"/>
                <w:szCs w:val="24"/>
                <w:lang w:eastAsia="lv-LV"/>
              </w:rPr>
              <w:t>us</w:t>
            </w:r>
            <w:r w:rsidR="00B4474B" w:rsidRPr="00F65D5D">
              <w:rPr>
                <w:rFonts w:eastAsia="Times New Roman" w:cs="Times New Roman"/>
                <w:szCs w:val="24"/>
                <w:lang w:eastAsia="lv-LV"/>
              </w:rPr>
              <w:t xml:space="preserve"> par kriminālsodāmību at</w:t>
            </w:r>
            <w:r w:rsidR="007C5AF6" w:rsidRPr="00F65D5D">
              <w:rPr>
                <w:rFonts w:eastAsia="Times New Roman" w:cs="Times New Roman"/>
                <w:szCs w:val="24"/>
                <w:lang w:eastAsia="lv-LV"/>
              </w:rPr>
              <w:t>rod</w:t>
            </w:r>
            <w:r w:rsidR="00B4474B" w:rsidRPr="00F65D5D">
              <w:rPr>
                <w:rFonts w:eastAsia="Times New Roman" w:cs="Times New Roman"/>
                <w:szCs w:val="24"/>
                <w:lang w:eastAsia="lv-LV"/>
              </w:rPr>
              <w:t xml:space="preserve">, tad sagatavo pieprasījumu Iekšlietu ministrijas Informācijas centram par informācijas sniegšanu, lai konstatētu vai minētā persona ir izdarījusi noziedzīgus nodarījumus saskaņā ar </w:t>
            </w:r>
            <w:r w:rsidR="00B4474B" w:rsidRPr="00F65D5D">
              <w:rPr>
                <w:rFonts w:cs="Times New Roman"/>
              </w:rPr>
              <w:t xml:space="preserve">Krimināllikuma </w:t>
            </w:r>
            <w:r w:rsidR="00CC3AFF" w:rsidRPr="00F65D5D">
              <w:rPr>
                <w:rFonts w:cs="Times New Roman"/>
              </w:rPr>
              <w:t xml:space="preserve">179., </w:t>
            </w:r>
            <w:r w:rsidR="00B4474B" w:rsidRPr="00F65D5D">
              <w:rPr>
                <w:rFonts w:cs="Times New Roman"/>
              </w:rPr>
              <w:t>190., 190.</w:t>
            </w:r>
            <w:r w:rsidR="00B4474B" w:rsidRPr="00F65D5D">
              <w:rPr>
                <w:rFonts w:cs="Times New Roman"/>
                <w:vertAlign w:val="superscript"/>
              </w:rPr>
              <w:t>1</w:t>
            </w:r>
            <w:r w:rsidR="00B4474B" w:rsidRPr="00F65D5D">
              <w:rPr>
                <w:rFonts w:cs="Times New Roman"/>
              </w:rPr>
              <w:t xml:space="preserve">, 191., </w:t>
            </w:r>
            <w:r w:rsidR="00CC3AFF" w:rsidRPr="00F65D5D">
              <w:rPr>
                <w:rFonts w:cs="Times New Roman"/>
              </w:rPr>
              <w:t xml:space="preserve">195., </w:t>
            </w:r>
            <w:r w:rsidR="00365851" w:rsidRPr="00F65D5D">
              <w:rPr>
                <w:rFonts w:cs="Times New Roman"/>
              </w:rPr>
              <w:t>195.</w:t>
            </w:r>
            <w:r w:rsidR="00365851" w:rsidRPr="00F65D5D">
              <w:rPr>
                <w:rFonts w:cs="Times New Roman"/>
                <w:vertAlign w:val="superscript"/>
              </w:rPr>
              <w:t>2</w:t>
            </w:r>
            <w:r w:rsidR="00365851" w:rsidRPr="00F65D5D">
              <w:rPr>
                <w:rFonts w:cs="Times New Roman"/>
              </w:rPr>
              <w:t>,</w:t>
            </w:r>
            <w:r w:rsidR="00B4474B" w:rsidRPr="00F65D5D">
              <w:rPr>
                <w:rFonts w:cs="Times New Roman"/>
              </w:rPr>
              <w:t>198., 199., 207., 208., 218.,</w:t>
            </w:r>
            <w:r w:rsidR="00B4474B" w:rsidRPr="00F65D5D">
              <w:rPr>
                <w:rFonts w:cs="Times New Roman"/>
                <w:vertAlign w:val="superscript"/>
              </w:rPr>
              <w:t xml:space="preserve"> </w:t>
            </w:r>
            <w:r w:rsidR="00B4474B" w:rsidRPr="00F65D5D">
              <w:rPr>
                <w:rFonts w:cs="Times New Roman"/>
              </w:rPr>
              <w:t xml:space="preserve"> 320., 321., 322., 323. pantu.</w:t>
            </w:r>
          </w:p>
          <w:p w14:paraId="0EC60EC8" w14:textId="77777777" w:rsidR="00320015" w:rsidRPr="00F65D5D" w:rsidRDefault="00320015" w:rsidP="00B47534">
            <w:pPr>
              <w:spacing w:after="0" w:line="240" w:lineRule="auto"/>
              <w:ind w:firstLine="540"/>
              <w:jc w:val="both"/>
              <w:rPr>
                <w:rFonts w:cs="Times New Roman"/>
              </w:rPr>
            </w:pPr>
            <w:r w:rsidRPr="00F65D5D">
              <w:rPr>
                <w:rFonts w:cs="Times New Roman"/>
              </w:rPr>
              <w:t>Jēdziena “personai nav sodāmības par nopietniem vai atkārtotiem muitas vai nodokļu noteikumu pārkāpumiem” saturs atklāts Muitas likuma 28.pantā.</w:t>
            </w:r>
          </w:p>
          <w:p w14:paraId="5F31BFCF" w14:textId="77777777" w:rsidR="00CC3AFF" w:rsidRPr="00F65D5D" w:rsidRDefault="00CC3AFF" w:rsidP="00B47534">
            <w:pPr>
              <w:pStyle w:val="ListParagraph"/>
              <w:spacing w:after="0" w:line="240" w:lineRule="auto"/>
              <w:ind w:left="0" w:firstLine="378"/>
              <w:jc w:val="both"/>
              <w:rPr>
                <w:rFonts w:eastAsia="Times New Roman" w:cs="Times New Roman"/>
                <w:szCs w:val="24"/>
                <w:lang w:eastAsia="lv-LV"/>
              </w:rPr>
            </w:pPr>
          </w:p>
          <w:p w14:paraId="12984809" w14:textId="77777777" w:rsidR="00767BFB" w:rsidRPr="00F65D5D" w:rsidRDefault="00FA4A39" w:rsidP="00814660">
            <w:pPr>
              <w:pStyle w:val="ListParagraph"/>
              <w:spacing w:after="0" w:line="240" w:lineRule="auto"/>
              <w:ind w:left="0" w:firstLine="505"/>
              <w:jc w:val="both"/>
              <w:rPr>
                <w:rFonts w:cs="Times New Roman"/>
                <w:lang w:eastAsia="lv-LV"/>
              </w:rPr>
            </w:pPr>
            <w:r w:rsidRPr="00F65D5D">
              <w:rPr>
                <w:rFonts w:cs="Times New Roman"/>
                <w:lang w:eastAsia="lv-LV"/>
              </w:rPr>
              <w:t>4</w:t>
            </w:r>
            <w:r w:rsidR="00B47534" w:rsidRPr="00F65D5D">
              <w:rPr>
                <w:rFonts w:cs="Times New Roman"/>
                <w:lang w:eastAsia="lv-LV"/>
              </w:rPr>
              <w:t>.</w:t>
            </w:r>
            <w:r w:rsidR="006F0096" w:rsidRPr="00F65D5D">
              <w:rPr>
                <w:rFonts w:cs="Times New Roman"/>
                <w:lang w:eastAsia="lv-LV"/>
              </w:rPr>
              <w:t>4</w:t>
            </w:r>
            <w:r w:rsidR="00B47534" w:rsidRPr="00F65D5D">
              <w:rPr>
                <w:rFonts w:cs="Times New Roman"/>
                <w:lang w:eastAsia="lv-LV"/>
              </w:rPr>
              <w:t xml:space="preserve">. </w:t>
            </w:r>
            <w:r w:rsidR="007C5AF6" w:rsidRPr="00F65D5D">
              <w:rPr>
                <w:rFonts w:cs="Times New Roman"/>
                <w:lang w:eastAsia="lv-LV"/>
              </w:rPr>
              <w:t>Noteikumu p</w:t>
            </w:r>
            <w:r w:rsidR="00767BFB" w:rsidRPr="00F65D5D">
              <w:rPr>
                <w:rFonts w:cs="Times New Roman"/>
                <w:lang w:eastAsia="lv-LV"/>
              </w:rPr>
              <w:t>rojekt</w:t>
            </w:r>
            <w:r w:rsidR="00D9550C" w:rsidRPr="00F65D5D">
              <w:rPr>
                <w:rFonts w:cs="Times New Roman"/>
                <w:lang w:eastAsia="lv-LV"/>
              </w:rPr>
              <w:t xml:space="preserve">a </w:t>
            </w:r>
            <w:r w:rsidR="006F0096" w:rsidRPr="00F65D5D">
              <w:rPr>
                <w:rFonts w:cs="Times New Roman"/>
                <w:lang w:eastAsia="lv-LV"/>
              </w:rPr>
              <w:t>9.2.apakšpunkt</w:t>
            </w:r>
            <w:r w:rsidR="00D9550C" w:rsidRPr="00F65D5D">
              <w:rPr>
                <w:rFonts w:cs="Times New Roman"/>
                <w:lang w:eastAsia="lv-LV"/>
              </w:rPr>
              <w:t>ā</w:t>
            </w:r>
            <w:r w:rsidR="00767BFB" w:rsidRPr="00F65D5D">
              <w:rPr>
                <w:rFonts w:cs="Times New Roman"/>
                <w:lang w:eastAsia="lv-LV"/>
              </w:rPr>
              <w:t xml:space="preserve"> </w:t>
            </w:r>
            <w:r w:rsidR="006F0096" w:rsidRPr="00F65D5D">
              <w:rPr>
                <w:rFonts w:cs="Times New Roman"/>
                <w:lang w:eastAsia="lv-LV"/>
              </w:rPr>
              <w:t>tāpat kā Ministru kabineta noteikum</w:t>
            </w:r>
            <w:r w:rsidR="00D9550C" w:rsidRPr="00F65D5D">
              <w:rPr>
                <w:rFonts w:cs="Times New Roman"/>
                <w:lang w:eastAsia="lv-LV"/>
              </w:rPr>
              <w:t xml:space="preserve">u </w:t>
            </w:r>
            <w:r w:rsidR="006F0096" w:rsidRPr="00F65D5D">
              <w:rPr>
                <w:rFonts w:cs="Times New Roman"/>
                <w:lang w:eastAsia="lv-LV"/>
              </w:rPr>
              <w:t>Nr. 603 10.punkt</w:t>
            </w:r>
            <w:r w:rsidR="00D9550C" w:rsidRPr="00F65D5D">
              <w:rPr>
                <w:rFonts w:cs="Times New Roman"/>
                <w:lang w:eastAsia="lv-LV"/>
              </w:rPr>
              <w:t>ā ir</w:t>
            </w:r>
            <w:r w:rsidR="006F0096" w:rsidRPr="00F65D5D">
              <w:rPr>
                <w:rFonts w:cs="Times New Roman"/>
                <w:lang w:eastAsia="lv-LV"/>
              </w:rPr>
              <w:t xml:space="preserve"> </w:t>
            </w:r>
            <w:r w:rsidR="00767BFB" w:rsidRPr="00F65D5D">
              <w:rPr>
                <w:rFonts w:cs="Times New Roman"/>
                <w:lang w:eastAsia="lv-LV"/>
              </w:rPr>
              <w:t xml:space="preserve">noteikts, ka garantijas asociācija izsniedz TIR karnetes turētāja atļauju, pēc VID pozitīva atzinuma saņemšanas </w:t>
            </w:r>
          </w:p>
          <w:p w14:paraId="771040F5" w14:textId="77777777" w:rsidR="00767BFB" w:rsidRPr="00F65D5D" w:rsidRDefault="00767BFB" w:rsidP="00B47534">
            <w:pPr>
              <w:spacing w:after="0" w:line="240" w:lineRule="auto"/>
              <w:jc w:val="both"/>
              <w:rPr>
                <w:rFonts w:eastAsia="Times New Roman" w:cs="Times New Roman"/>
                <w:szCs w:val="24"/>
                <w:lang w:eastAsia="lv-LV"/>
              </w:rPr>
            </w:pPr>
          </w:p>
          <w:p w14:paraId="4598DFFA" w14:textId="77777777" w:rsidR="00FA65F2" w:rsidRPr="00F65D5D" w:rsidRDefault="00FA4A39" w:rsidP="00013BC5">
            <w:pPr>
              <w:pStyle w:val="ListParagraph"/>
              <w:spacing w:after="0" w:line="240" w:lineRule="auto"/>
              <w:ind w:left="0" w:firstLine="505"/>
              <w:jc w:val="both"/>
              <w:rPr>
                <w:rFonts w:eastAsia="Times New Roman" w:cs="Times New Roman"/>
                <w:szCs w:val="24"/>
                <w:lang w:eastAsia="lv-LV"/>
              </w:rPr>
            </w:pPr>
            <w:r w:rsidRPr="00F65D5D">
              <w:rPr>
                <w:rFonts w:eastAsia="Times New Roman" w:cs="Times New Roman"/>
                <w:szCs w:val="24"/>
                <w:lang w:eastAsia="lv-LV"/>
              </w:rPr>
              <w:t>5</w:t>
            </w:r>
            <w:r w:rsidR="00FA65F2" w:rsidRPr="00F65D5D">
              <w:rPr>
                <w:rFonts w:eastAsia="Times New Roman" w:cs="Times New Roman"/>
                <w:szCs w:val="24"/>
                <w:lang w:eastAsia="lv-LV"/>
              </w:rPr>
              <w:t xml:space="preserve">. </w:t>
            </w:r>
            <w:r w:rsidR="007C5AF6" w:rsidRPr="00F65D5D">
              <w:rPr>
                <w:rFonts w:eastAsia="Times New Roman" w:cs="Times New Roman"/>
                <w:szCs w:val="24"/>
                <w:lang w:eastAsia="lv-LV"/>
              </w:rPr>
              <w:t>Noteikumu projektā r</w:t>
            </w:r>
            <w:r w:rsidR="00FA65F2" w:rsidRPr="00F65D5D">
              <w:rPr>
                <w:rFonts w:eastAsia="Times New Roman" w:cs="Times New Roman"/>
                <w:szCs w:val="24"/>
                <w:lang w:eastAsia="lv-LV"/>
              </w:rPr>
              <w:t>egulējums attiecībā uz MK noteikumu Nr.603 17., 18., 19.punktu</w:t>
            </w:r>
            <w:r w:rsidR="002A0204" w:rsidRPr="00F65D5D">
              <w:rPr>
                <w:rFonts w:eastAsia="Times New Roman" w:cs="Times New Roman"/>
                <w:szCs w:val="24"/>
                <w:lang w:eastAsia="lv-LV"/>
              </w:rPr>
              <w:t>,</w:t>
            </w:r>
            <w:r w:rsidR="00FA65F2" w:rsidRPr="00F65D5D">
              <w:rPr>
                <w:rFonts w:eastAsia="Times New Roman" w:cs="Times New Roman"/>
                <w:szCs w:val="24"/>
                <w:lang w:eastAsia="lv-LV"/>
              </w:rPr>
              <w:t xml:space="preserve"> III. sadaļas (“TIR procedūras vienkāršojums - pilnvarotais nosūtītājs TIR procedūrā”)</w:t>
            </w:r>
            <w:r w:rsidR="002A0204" w:rsidRPr="00F65D5D">
              <w:rPr>
                <w:rFonts w:eastAsia="Times New Roman" w:cs="Times New Roman"/>
                <w:szCs w:val="24"/>
                <w:lang w:eastAsia="lv-LV"/>
              </w:rPr>
              <w:t>, 1.pielikuma un 2.pielikuma</w:t>
            </w:r>
            <w:r w:rsidR="00FA65F2" w:rsidRPr="00F65D5D">
              <w:rPr>
                <w:rFonts w:eastAsia="Times New Roman" w:cs="Times New Roman"/>
                <w:szCs w:val="24"/>
                <w:lang w:eastAsia="lv-LV"/>
              </w:rPr>
              <w:t xml:space="preserve"> jautājumiem nav mainīts. Regulējuma būtība ir šāda:</w:t>
            </w:r>
          </w:p>
          <w:p w14:paraId="14D56618" w14:textId="4E413778" w:rsidR="00BD7028" w:rsidRPr="00F65D5D" w:rsidRDefault="00FA4A39" w:rsidP="00013BC5">
            <w:pPr>
              <w:pStyle w:val="ListParagraph"/>
              <w:spacing w:after="0" w:line="240" w:lineRule="auto"/>
              <w:ind w:left="0" w:firstLine="505"/>
              <w:jc w:val="both"/>
              <w:rPr>
                <w:rFonts w:eastAsia="Times New Roman" w:cs="Times New Roman"/>
                <w:szCs w:val="24"/>
                <w:lang w:eastAsia="lv-LV"/>
              </w:rPr>
            </w:pPr>
            <w:r w:rsidRPr="00F65D5D">
              <w:rPr>
                <w:rFonts w:eastAsia="Times New Roman" w:cs="Times New Roman"/>
                <w:szCs w:val="24"/>
                <w:lang w:eastAsia="lv-LV"/>
              </w:rPr>
              <w:t>5</w:t>
            </w:r>
            <w:r w:rsidR="00FA65F2" w:rsidRPr="00F65D5D">
              <w:rPr>
                <w:rFonts w:eastAsia="Times New Roman" w:cs="Times New Roman"/>
                <w:szCs w:val="24"/>
                <w:lang w:eastAsia="lv-LV"/>
              </w:rPr>
              <w:t xml:space="preserve">.1. </w:t>
            </w:r>
            <w:r w:rsidR="007C5AF6" w:rsidRPr="00F65D5D">
              <w:rPr>
                <w:rFonts w:eastAsia="Times New Roman" w:cs="Times New Roman"/>
                <w:szCs w:val="24"/>
                <w:lang w:eastAsia="lv-LV"/>
              </w:rPr>
              <w:t xml:space="preserve">Noteikumu </w:t>
            </w:r>
            <w:r w:rsidR="00FA65F2" w:rsidRPr="00F65D5D">
              <w:rPr>
                <w:rFonts w:eastAsia="Times New Roman" w:cs="Times New Roman"/>
                <w:szCs w:val="24"/>
                <w:lang w:eastAsia="lv-LV"/>
              </w:rPr>
              <w:t>projekta 2</w:t>
            </w:r>
            <w:r w:rsidR="006F2FEA" w:rsidRPr="00F65D5D">
              <w:rPr>
                <w:rFonts w:eastAsia="Times New Roman" w:cs="Times New Roman"/>
                <w:szCs w:val="24"/>
                <w:lang w:eastAsia="lv-LV"/>
              </w:rPr>
              <w:t>9</w:t>
            </w:r>
            <w:r w:rsidR="00FA65F2" w:rsidRPr="00F65D5D">
              <w:rPr>
                <w:rFonts w:eastAsia="Times New Roman" w:cs="Times New Roman"/>
                <w:szCs w:val="24"/>
                <w:lang w:eastAsia="lv-LV"/>
              </w:rPr>
              <w:t>.-</w:t>
            </w:r>
            <w:r w:rsidR="00E76126" w:rsidRPr="00F65D5D">
              <w:rPr>
                <w:rFonts w:eastAsia="Times New Roman" w:cs="Times New Roman"/>
                <w:szCs w:val="24"/>
                <w:lang w:eastAsia="lv-LV"/>
              </w:rPr>
              <w:t>3</w:t>
            </w:r>
            <w:r w:rsidR="006F2FEA" w:rsidRPr="00F65D5D">
              <w:rPr>
                <w:rFonts w:eastAsia="Times New Roman" w:cs="Times New Roman"/>
                <w:szCs w:val="24"/>
                <w:lang w:eastAsia="lv-LV"/>
              </w:rPr>
              <w:t>2</w:t>
            </w:r>
            <w:r w:rsidR="00FA65F2" w:rsidRPr="00F65D5D">
              <w:rPr>
                <w:rFonts w:eastAsia="Times New Roman" w:cs="Times New Roman"/>
                <w:szCs w:val="24"/>
                <w:lang w:eastAsia="lv-LV"/>
              </w:rPr>
              <w:t>.punkts (M</w:t>
            </w:r>
            <w:r w:rsidR="007C5AF6" w:rsidRPr="00F65D5D">
              <w:rPr>
                <w:rFonts w:eastAsia="Times New Roman" w:cs="Times New Roman"/>
                <w:szCs w:val="24"/>
                <w:lang w:eastAsia="lv-LV"/>
              </w:rPr>
              <w:t>inistru kabineta</w:t>
            </w:r>
            <w:r w:rsidR="00FA65F2" w:rsidRPr="00F65D5D">
              <w:rPr>
                <w:rFonts w:eastAsia="Times New Roman" w:cs="Times New Roman"/>
                <w:szCs w:val="24"/>
                <w:lang w:eastAsia="lv-LV"/>
              </w:rPr>
              <w:t xml:space="preserve"> noteikumu Nr.603 </w:t>
            </w:r>
            <w:r w:rsidR="00914026" w:rsidRPr="00F65D5D">
              <w:rPr>
                <w:rFonts w:eastAsia="Times New Roman" w:cs="Times New Roman"/>
                <w:szCs w:val="24"/>
                <w:lang w:eastAsia="lv-LV"/>
              </w:rPr>
              <w:t>4.,</w:t>
            </w:r>
            <w:r w:rsidR="00FA65F2" w:rsidRPr="00F65D5D">
              <w:rPr>
                <w:rFonts w:eastAsia="Times New Roman" w:cs="Times New Roman"/>
                <w:szCs w:val="24"/>
                <w:lang w:eastAsia="lv-LV"/>
              </w:rPr>
              <w:t>1</w:t>
            </w:r>
            <w:r w:rsidR="00914026" w:rsidRPr="00F65D5D">
              <w:rPr>
                <w:rFonts w:eastAsia="Times New Roman" w:cs="Times New Roman"/>
                <w:szCs w:val="24"/>
                <w:lang w:eastAsia="lv-LV"/>
              </w:rPr>
              <w:t xml:space="preserve">8. un </w:t>
            </w:r>
            <w:r w:rsidR="00FA65F2" w:rsidRPr="00F65D5D">
              <w:rPr>
                <w:rFonts w:eastAsia="Times New Roman" w:cs="Times New Roman"/>
                <w:szCs w:val="24"/>
                <w:lang w:eastAsia="lv-LV"/>
              </w:rPr>
              <w:t xml:space="preserve">19.punkts) nosaka TIR karnetes turētāja pienākumu piesakot TIR procedūru, iesniegt aprēķinu par muitas nodokļa, akcīzes nodokļa un pievienotās vērtības nodokļa parādu, kas varētu rasties, kā arī noteikumus par citas personas transportlīdzekļa izmantošanu TIR procedūras laikā. </w:t>
            </w:r>
          </w:p>
          <w:p w14:paraId="59BA6C40" w14:textId="77777777" w:rsidR="00FA65F2" w:rsidRPr="00F65D5D" w:rsidRDefault="0058383F" w:rsidP="00013BC5">
            <w:pPr>
              <w:pStyle w:val="ListParagraph"/>
              <w:spacing w:after="0" w:line="240" w:lineRule="auto"/>
              <w:ind w:left="0" w:firstLine="505"/>
              <w:jc w:val="both"/>
              <w:rPr>
                <w:rFonts w:eastAsia="Times New Roman" w:cs="Times New Roman"/>
                <w:szCs w:val="24"/>
                <w:lang w:eastAsia="lv-LV"/>
              </w:rPr>
            </w:pPr>
            <w:r w:rsidRPr="00F65D5D">
              <w:rPr>
                <w:rFonts w:eastAsia="Times New Roman" w:cs="Times New Roman"/>
                <w:szCs w:val="24"/>
                <w:lang w:eastAsia="lv-LV"/>
              </w:rPr>
              <w:t>Ievērojot</w:t>
            </w:r>
            <w:r w:rsidR="00C71A66" w:rsidRPr="00F65D5D">
              <w:rPr>
                <w:rFonts w:eastAsia="Times New Roman" w:cs="Times New Roman"/>
                <w:szCs w:val="24"/>
                <w:lang w:eastAsia="lv-LV"/>
              </w:rPr>
              <w:t>,</w:t>
            </w:r>
            <w:r w:rsidR="00FA65F2" w:rsidRPr="00F65D5D">
              <w:rPr>
                <w:rFonts w:eastAsia="Times New Roman" w:cs="Times New Roman"/>
                <w:szCs w:val="24"/>
                <w:lang w:eastAsia="lv-LV"/>
              </w:rPr>
              <w:t xml:space="preserve"> ka minētais normatīvais regulējums </w:t>
            </w:r>
            <w:r w:rsidRPr="00F65D5D">
              <w:rPr>
                <w:rFonts w:eastAsia="Times New Roman" w:cs="Times New Roman"/>
                <w:szCs w:val="24"/>
                <w:lang w:eastAsia="lv-LV"/>
              </w:rPr>
              <w:t>nav grozīts</w:t>
            </w:r>
            <w:r w:rsidR="00BD7028" w:rsidRPr="00F65D5D">
              <w:rPr>
                <w:rFonts w:eastAsia="Times New Roman" w:cs="Times New Roman"/>
                <w:szCs w:val="24"/>
                <w:lang w:eastAsia="lv-LV"/>
              </w:rPr>
              <w:t>, kā arī</w:t>
            </w:r>
            <w:r w:rsidR="006F2FEA" w:rsidRPr="00F65D5D">
              <w:rPr>
                <w:rFonts w:eastAsia="Times New Roman" w:cs="Times New Roman"/>
                <w:szCs w:val="24"/>
                <w:lang w:eastAsia="lv-LV"/>
              </w:rPr>
              <w:t>,</w:t>
            </w:r>
            <w:r w:rsidR="00BD7028" w:rsidRPr="00F65D5D">
              <w:rPr>
                <w:rFonts w:eastAsia="Times New Roman" w:cs="Times New Roman"/>
                <w:szCs w:val="24"/>
                <w:lang w:eastAsia="lv-LV"/>
              </w:rPr>
              <w:t xml:space="preserve"> l</w:t>
            </w:r>
            <w:r w:rsidR="00FA65F2" w:rsidRPr="00F65D5D">
              <w:rPr>
                <w:rFonts w:eastAsia="Times New Roman" w:cs="Times New Roman"/>
                <w:szCs w:val="24"/>
                <w:lang w:eastAsia="lv-LV"/>
              </w:rPr>
              <w:t>ai vienkāršotu noteikumu</w:t>
            </w:r>
            <w:r w:rsidRPr="00F65D5D">
              <w:rPr>
                <w:rFonts w:eastAsia="Times New Roman" w:cs="Times New Roman"/>
                <w:szCs w:val="24"/>
                <w:lang w:eastAsia="lv-LV"/>
              </w:rPr>
              <w:t xml:space="preserve"> projekta</w:t>
            </w:r>
            <w:r w:rsidR="00FA65F2" w:rsidRPr="00F65D5D">
              <w:rPr>
                <w:rFonts w:eastAsia="Times New Roman" w:cs="Times New Roman"/>
                <w:szCs w:val="24"/>
                <w:lang w:eastAsia="lv-LV"/>
              </w:rPr>
              <w:t xml:space="preserve"> izmantošanu (teksta uztveri)</w:t>
            </w:r>
            <w:r w:rsidR="006F2FEA" w:rsidRPr="00F65D5D">
              <w:rPr>
                <w:rFonts w:eastAsia="Times New Roman" w:cs="Times New Roman"/>
                <w:szCs w:val="24"/>
                <w:lang w:eastAsia="lv-LV"/>
              </w:rPr>
              <w:t>,</w:t>
            </w:r>
            <w:r w:rsidR="00FA65F2" w:rsidRPr="00F65D5D">
              <w:rPr>
                <w:rFonts w:eastAsia="Times New Roman" w:cs="Times New Roman"/>
                <w:szCs w:val="24"/>
                <w:lang w:eastAsia="lv-LV"/>
              </w:rPr>
              <w:t xml:space="preserve"> minētie </w:t>
            </w:r>
            <w:r w:rsidRPr="00F65D5D">
              <w:rPr>
                <w:rFonts w:eastAsia="Times New Roman" w:cs="Times New Roman"/>
                <w:szCs w:val="24"/>
                <w:lang w:eastAsia="lv-LV"/>
              </w:rPr>
              <w:t xml:space="preserve">noteikumu projekta </w:t>
            </w:r>
            <w:r w:rsidR="00FA65F2" w:rsidRPr="00F65D5D">
              <w:rPr>
                <w:rFonts w:eastAsia="Times New Roman" w:cs="Times New Roman"/>
                <w:szCs w:val="24"/>
                <w:lang w:eastAsia="lv-LV"/>
              </w:rPr>
              <w:t xml:space="preserve">punkti strukturāli izdalīti </w:t>
            </w:r>
            <w:r w:rsidR="00BD7028" w:rsidRPr="00F65D5D">
              <w:rPr>
                <w:rFonts w:eastAsia="Times New Roman" w:cs="Times New Roman"/>
                <w:szCs w:val="24"/>
                <w:lang w:eastAsia="lv-LV"/>
              </w:rPr>
              <w:t>sadaļā – “TIR procedūra”</w:t>
            </w:r>
            <w:r w:rsidR="00FA65F2" w:rsidRPr="00F65D5D">
              <w:rPr>
                <w:rFonts w:eastAsia="Times New Roman" w:cs="Times New Roman"/>
                <w:szCs w:val="24"/>
                <w:lang w:eastAsia="lv-LV"/>
              </w:rPr>
              <w:t>;</w:t>
            </w:r>
          </w:p>
          <w:p w14:paraId="5FD7C2AB" w14:textId="7BCFF221" w:rsidR="00FA65F2" w:rsidRPr="00F65D5D" w:rsidRDefault="00FA4A39" w:rsidP="00013BC5">
            <w:pPr>
              <w:pStyle w:val="ListParagraph"/>
              <w:spacing w:after="0" w:line="240" w:lineRule="auto"/>
              <w:ind w:left="0" w:firstLine="505"/>
              <w:jc w:val="both"/>
              <w:rPr>
                <w:rFonts w:eastAsia="Times New Roman" w:cs="Times New Roman"/>
                <w:szCs w:val="24"/>
                <w:lang w:eastAsia="lv-LV"/>
              </w:rPr>
            </w:pPr>
            <w:r w:rsidRPr="00F65D5D">
              <w:rPr>
                <w:rFonts w:eastAsia="Times New Roman" w:cs="Times New Roman"/>
                <w:szCs w:val="24"/>
                <w:lang w:eastAsia="lv-LV"/>
              </w:rPr>
              <w:t>5</w:t>
            </w:r>
            <w:r w:rsidR="00FA65F2" w:rsidRPr="00F65D5D">
              <w:rPr>
                <w:rFonts w:eastAsia="Times New Roman" w:cs="Times New Roman"/>
                <w:szCs w:val="24"/>
                <w:lang w:eastAsia="lv-LV"/>
              </w:rPr>
              <w:t xml:space="preserve">.2. </w:t>
            </w:r>
            <w:r w:rsidR="0058383F" w:rsidRPr="00F65D5D">
              <w:rPr>
                <w:rFonts w:eastAsia="Times New Roman" w:cs="Times New Roman"/>
                <w:szCs w:val="24"/>
                <w:lang w:eastAsia="lv-LV"/>
              </w:rPr>
              <w:t xml:space="preserve">noteikumu </w:t>
            </w:r>
            <w:r w:rsidR="00FA65F2" w:rsidRPr="00F65D5D">
              <w:rPr>
                <w:rFonts w:eastAsia="Times New Roman" w:cs="Times New Roman"/>
                <w:szCs w:val="24"/>
                <w:lang w:eastAsia="lv-LV"/>
              </w:rPr>
              <w:t>projekta IV.</w:t>
            </w:r>
            <w:r w:rsidR="00BD7028" w:rsidRPr="00F65D5D">
              <w:rPr>
                <w:rFonts w:eastAsia="Times New Roman" w:cs="Times New Roman"/>
                <w:szCs w:val="24"/>
                <w:lang w:eastAsia="lv-LV"/>
              </w:rPr>
              <w:t>sadaļa – “</w:t>
            </w:r>
            <w:r w:rsidR="00F04C63" w:rsidRPr="00F65D5D">
              <w:rPr>
                <w:rFonts w:eastAsia="Times New Roman" w:cs="Times New Roman"/>
                <w:szCs w:val="24"/>
                <w:lang w:eastAsia="lv-LV"/>
              </w:rPr>
              <w:t>TIR nosūtītāja atļauja</w:t>
            </w:r>
            <w:r w:rsidR="00BD7028" w:rsidRPr="00F65D5D">
              <w:rPr>
                <w:rFonts w:eastAsia="Times New Roman" w:cs="Times New Roman"/>
                <w:szCs w:val="24"/>
                <w:lang w:eastAsia="lv-LV"/>
              </w:rPr>
              <w:t xml:space="preserve">”, pamatojoties uz </w:t>
            </w:r>
            <w:r w:rsidR="00A30EB2" w:rsidRPr="00F65D5D">
              <w:rPr>
                <w:rFonts w:eastAsia="Times New Roman" w:cs="Times New Roman"/>
                <w:szCs w:val="24"/>
                <w:lang w:eastAsia="lv-LV"/>
              </w:rPr>
              <w:t>likuma</w:t>
            </w:r>
            <w:r w:rsidR="00BD7028" w:rsidRPr="00F65D5D">
              <w:rPr>
                <w:rFonts w:eastAsia="Times New Roman" w:cs="Times New Roman"/>
                <w:szCs w:val="24"/>
                <w:lang w:eastAsia="lv-LV"/>
              </w:rPr>
              <w:t xml:space="preserve"> 23.pantā otrās daļas deleģējumu, nosaka pilnvarotā nosūtītāja TIR procedūrā atļaujas izsniegšanas, atteikšanas izsniegt, grozīšanas, apturēšanas, atjaunošanas, un </w:t>
            </w:r>
            <w:r w:rsidR="00BD7028" w:rsidRPr="00F65D5D">
              <w:rPr>
                <w:rFonts w:eastAsia="Times New Roman" w:cs="Times New Roman"/>
                <w:szCs w:val="24"/>
                <w:lang w:eastAsia="lv-LV"/>
              </w:rPr>
              <w:lastRenderedPageBreak/>
              <w:t>anulēšanas kārtību, kā arī pilnvarotā nosūtītāja TIR procedūrā atļaujas izmantošanas kārtību.</w:t>
            </w:r>
          </w:p>
          <w:p w14:paraId="7353F7C7" w14:textId="77777777" w:rsidR="00220EAE" w:rsidRPr="00F65D5D" w:rsidRDefault="00220EAE" w:rsidP="00013BC5">
            <w:pPr>
              <w:spacing w:after="0" w:line="240" w:lineRule="auto"/>
              <w:ind w:firstLine="505"/>
              <w:jc w:val="both"/>
              <w:rPr>
                <w:rFonts w:eastAsia="Times New Roman" w:cs="Times New Roman"/>
                <w:szCs w:val="24"/>
                <w:lang w:eastAsia="lv-LV"/>
              </w:rPr>
            </w:pPr>
            <w:r w:rsidRPr="00F65D5D">
              <w:rPr>
                <w:rFonts w:eastAsia="Times New Roman" w:cs="Times New Roman"/>
                <w:szCs w:val="24"/>
                <w:lang w:eastAsia="lv-LV"/>
              </w:rPr>
              <w:t>Saskaņā ar TIR konvencija</w:t>
            </w:r>
            <w:r w:rsidR="00740A97" w:rsidRPr="00F65D5D">
              <w:rPr>
                <w:rFonts w:eastAsia="Times New Roman" w:cs="Times New Roman"/>
                <w:szCs w:val="24"/>
                <w:lang w:eastAsia="lv-LV"/>
              </w:rPr>
              <w:t>s</w:t>
            </w:r>
            <w:r w:rsidRPr="00F65D5D">
              <w:rPr>
                <w:rFonts w:eastAsia="Times New Roman" w:cs="Times New Roman"/>
                <w:szCs w:val="24"/>
                <w:lang w:eastAsia="lv-LV"/>
              </w:rPr>
              <w:t xml:space="preserve"> 49.pantu</w:t>
            </w:r>
            <w:r w:rsidR="00740A97" w:rsidRPr="00F65D5D">
              <w:rPr>
                <w:rFonts w:eastAsia="Times New Roman" w:cs="Times New Roman"/>
                <w:szCs w:val="24"/>
                <w:lang w:eastAsia="lv-LV"/>
              </w:rPr>
              <w:t>,</w:t>
            </w:r>
            <w:r w:rsidRPr="00F65D5D">
              <w:rPr>
                <w:rFonts w:eastAsia="Times New Roman" w:cs="Times New Roman"/>
                <w:szCs w:val="24"/>
                <w:lang w:eastAsia="lv-LV"/>
              </w:rPr>
              <w:t xml:space="preserve"> TIR konvencijas Līgumslēdzējas puses (pamatojoties uz vienpusējiem noteikumiem, divpusējiem vai daudzpusējiem nolīgumiem) ir tiesīgas piešķirt lielākus atvieglojumus nekā ir paredzēti TIR konvencijā, pie nosacījuma, ka šādi atvieglojumi neierobežo TIR konvencijas noteikumu piemērošanu, jo īpaši TIR procedūras veikšanu. Savukārt, atbilstoši TIR konvencijas 19.panta noteikumiem, muitas dienests var pilnvarot personas muitas nodrošinājumu uzlikšanai transportlīdzeklim, piemērojot precēm TIR procedūru.</w:t>
            </w:r>
          </w:p>
          <w:p w14:paraId="77558F71" w14:textId="77777777" w:rsidR="00220EAE" w:rsidRPr="00F65D5D" w:rsidRDefault="00220EAE" w:rsidP="00013BC5">
            <w:pPr>
              <w:spacing w:after="0" w:line="240" w:lineRule="auto"/>
              <w:ind w:firstLine="505"/>
              <w:jc w:val="both"/>
              <w:rPr>
                <w:rFonts w:cs="Times New Roman"/>
                <w:szCs w:val="24"/>
              </w:rPr>
            </w:pPr>
            <w:r w:rsidRPr="00F65D5D">
              <w:rPr>
                <w:rFonts w:eastAsia="Times New Roman" w:cs="Times New Roman"/>
                <w:szCs w:val="24"/>
                <w:lang w:eastAsia="lv-LV"/>
              </w:rPr>
              <w:t xml:space="preserve">Transporta un loģistikas nozarē strādājošie komersanti </w:t>
            </w:r>
            <w:r w:rsidR="00A9649F" w:rsidRPr="00F65D5D">
              <w:rPr>
                <w:rFonts w:eastAsia="Times New Roman" w:cs="Times New Roman"/>
                <w:szCs w:val="24"/>
                <w:lang w:eastAsia="lv-LV"/>
              </w:rPr>
              <w:t>saskārās</w:t>
            </w:r>
            <w:r w:rsidRPr="00F65D5D">
              <w:rPr>
                <w:rFonts w:eastAsia="Times New Roman" w:cs="Times New Roman"/>
                <w:szCs w:val="24"/>
                <w:lang w:eastAsia="lv-LV"/>
              </w:rPr>
              <w:t xml:space="preserve"> ar situācijām, kad, ņemot vērā </w:t>
            </w:r>
            <w:r w:rsidR="00740A97" w:rsidRPr="00F65D5D">
              <w:rPr>
                <w:rFonts w:eastAsia="Times New Roman" w:cs="Times New Roman"/>
                <w:szCs w:val="24"/>
                <w:lang w:eastAsia="lv-LV"/>
              </w:rPr>
              <w:t>VID</w:t>
            </w:r>
            <w:r w:rsidRPr="00F65D5D">
              <w:rPr>
                <w:rFonts w:eastAsia="Times New Roman" w:cs="Times New Roman"/>
                <w:szCs w:val="24"/>
                <w:lang w:eastAsia="lv-LV"/>
              </w:rPr>
              <w:t xml:space="preserve"> ierobežotos finansiālos un cilvēkresursus, kā arī attālumus starp muitas iestādēm un loģistikas centriem (muitas noliktavām), TIR procedūras piemērošanas (TIR karnetes noformēšana, TIR karnetes datu apstrāde sistēmā, transportlīdzekļa kontrole un noplombēšana) noformēšana notiek ilgāk, nekā, ja komersanti būtu izvēlējušies piemērot </w:t>
            </w:r>
            <w:r w:rsidR="00C71A66" w:rsidRPr="00F65D5D">
              <w:rPr>
                <w:rFonts w:eastAsia="Times New Roman" w:cs="Times New Roman"/>
                <w:szCs w:val="24"/>
                <w:lang w:eastAsia="lv-LV"/>
              </w:rPr>
              <w:t xml:space="preserve">Savienības </w:t>
            </w:r>
            <w:r w:rsidRPr="00F65D5D">
              <w:rPr>
                <w:rFonts w:eastAsia="Times New Roman" w:cs="Times New Roman"/>
                <w:szCs w:val="24"/>
                <w:lang w:eastAsia="lv-LV"/>
              </w:rPr>
              <w:t xml:space="preserve">tranzīta procedūru (it īpaši, komersantiem piemērojot </w:t>
            </w:r>
            <w:r w:rsidR="00C71A66" w:rsidRPr="00F65D5D">
              <w:rPr>
                <w:rFonts w:eastAsia="Times New Roman" w:cs="Times New Roman"/>
                <w:szCs w:val="24"/>
                <w:lang w:eastAsia="lv-LV"/>
              </w:rPr>
              <w:t>Savienības</w:t>
            </w:r>
            <w:r w:rsidRPr="00F65D5D">
              <w:rPr>
                <w:rFonts w:eastAsia="Times New Roman" w:cs="Times New Roman"/>
                <w:szCs w:val="24"/>
                <w:lang w:eastAsia="lv-LV"/>
              </w:rPr>
              <w:t xml:space="preserve"> tranzīta procedūras vienkāršojumu – atzītais nosūtītājs). </w:t>
            </w:r>
            <w:r w:rsidRPr="00F65D5D">
              <w:rPr>
                <w:rFonts w:cs="Times New Roman"/>
                <w:szCs w:val="24"/>
              </w:rPr>
              <w:t>Ņemot vērā TIR procedūras starptautisko nozīmi, izmantošanas priekšrocības un ievērojamo piemērošanas gadījumu skaitu, lai mazinātu komersantu administratīvo slogu un pārvadājuma operāciju finansiālās izmaksas, M</w:t>
            </w:r>
            <w:r w:rsidR="0058383F" w:rsidRPr="00F65D5D">
              <w:rPr>
                <w:rFonts w:cs="Times New Roman"/>
                <w:szCs w:val="24"/>
              </w:rPr>
              <w:t>inistru kabineta</w:t>
            </w:r>
            <w:r w:rsidRPr="00F65D5D">
              <w:rPr>
                <w:rFonts w:cs="Times New Roman"/>
                <w:szCs w:val="24"/>
              </w:rPr>
              <w:t xml:space="preserve"> noteikumos Nr.603 iekļautas normas, kas regulē TIR procedūras vienkāršojuma - pilnvarotais nosūtītājs TIR procedūrā </w:t>
            </w:r>
            <w:r w:rsidRPr="00F65D5D">
              <w:rPr>
                <w:rFonts w:cs="Times New Roman"/>
                <w:szCs w:val="28"/>
              </w:rPr>
              <w:t>darbību. Minēt</w:t>
            </w:r>
            <w:r w:rsidR="0058383F" w:rsidRPr="00F65D5D">
              <w:rPr>
                <w:rFonts w:cs="Times New Roman"/>
                <w:szCs w:val="28"/>
              </w:rPr>
              <w:t>ās prasības ir iekļautas arī noteikumu projektā.</w:t>
            </w:r>
            <w:r w:rsidRPr="00F65D5D">
              <w:rPr>
                <w:rFonts w:cs="Times New Roman"/>
                <w:szCs w:val="28"/>
              </w:rPr>
              <w:t xml:space="preserve"> </w:t>
            </w:r>
          </w:p>
          <w:p w14:paraId="716209B0" w14:textId="16787695" w:rsidR="00BD7028" w:rsidRPr="00476370" w:rsidRDefault="0058383F" w:rsidP="00013BC5">
            <w:pPr>
              <w:pStyle w:val="ListParagraph"/>
              <w:spacing w:after="0" w:line="240" w:lineRule="auto"/>
              <w:ind w:left="0" w:firstLine="505"/>
              <w:jc w:val="both"/>
              <w:rPr>
                <w:rFonts w:eastAsia="Times New Roman" w:cs="Times New Roman"/>
                <w:szCs w:val="24"/>
                <w:lang w:eastAsia="lv-LV"/>
              </w:rPr>
            </w:pPr>
            <w:r w:rsidRPr="00F65D5D">
              <w:rPr>
                <w:rFonts w:eastAsia="Times New Roman" w:cs="Times New Roman"/>
                <w:szCs w:val="24"/>
                <w:lang w:eastAsia="lv-LV"/>
              </w:rPr>
              <w:t>Noteikumu p</w:t>
            </w:r>
            <w:r w:rsidR="002A0204" w:rsidRPr="00F65D5D">
              <w:rPr>
                <w:rFonts w:eastAsia="Times New Roman" w:cs="Times New Roman"/>
                <w:szCs w:val="24"/>
                <w:lang w:eastAsia="lv-LV"/>
              </w:rPr>
              <w:t>rojekta 3</w:t>
            </w:r>
            <w:r w:rsidR="006F2FEA" w:rsidRPr="00F65D5D">
              <w:rPr>
                <w:rFonts w:eastAsia="Times New Roman" w:cs="Times New Roman"/>
                <w:szCs w:val="24"/>
                <w:lang w:eastAsia="lv-LV"/>
              </w:rPr>
              <w:t>8</w:t>
            </w:r>
            <w:r w:rsidR="002A0204" w:rsidRPr="00F65D5D">
              <w:rPr>
                <w:rFonts w:eastAsia="Times New Roman" w:cs="Times New Roman"/>
                <w:szCs w:val="24"/>
                <w:lang w:eastAsia="lv-LV"/>
              </w:rPr>
              <w:t>.5.apakšpunkt</w:t>
            </w:r>
            <w:r w:rsidRPr="00F65D5D">
              <w:rPr>
                <w:rFonts w:eastAsia="Times New Roman" w:cs="Times New Roman"/>
                <w:szCs w:val="24"/>
                <w:lang w:eastAsia="lv-LV"/>
              </w:rPr>
              <w:t xml:space="preserve">s, kas nosaka kritēriju – </w:t>
            </w:r>
            <w:r w:rsidR="002A0204" w:rsidRPr="00F65D5D">
              <w:rPr>
                <w:rFonts w:eastAsia="Times New Roman" w:cs="Times New Roman"/>
                <w:szCs w:val="24"/>
                <w:lang w:eastAsia="lv-LV"/>
              </w:rPr>
              <w:t xml:space="preserve"> (kritērijs - “personai nav nodokļu, nodevu un citu valsts noteikto obligāto maksājumu parādu</w:t>
            </w:r>
            <w:r w:rsidR="00B37178">
              <w:rPr>
                <w:rFonts w:eastAsia="Times New Roman" w:cs="Times New Roman"/>
                <w:szCs w:val="24"/>
                <w:lang w:eastAsia="lv-LV"/>
              </w:rPr>
              <w:t xml:space="preserve"> (..)</w:t>
            </w:r>
            <w:r w:rsidR="002A0204" w:rsidRPr="00F65D5D">
              <w:rPr>
                <w:rFonts w:eastAsia="Times New Roman" w:cs="Times New Roman"/>
                <w:szCs w:val="24"/>
                <w:lang w:eastAsia="lv-LV"/>
              </w:rPr>
              <w:t xml:space="preserve">”) </w:t>
            </w:r>
            <w:r w:rsidRPr="00F65D5D">
              <w:rPr>
                <w:rFonts w:eastAsia="Times New Roman" w:cs="Times New Roman"/>
                <w:szCs w:val="24"/>
                <w:lang w:eastAsia="lv-LV"/>
              </w:rPr>
              <w:t>ir precizēts</w:t>
            </w:r>
            <w:r w:rsidR="002A0204" w:rsidRPr="00F65D5D">
              <w:rPr>
                <w:rFonts w:eastAsia="Times New Roman" w:cs="Times New Roman"/>
                <w:szCs w:val="24"/>
                <w:lang w:eastAsia="lv-LV"/>
              </w:rPr>
              <w:t xml:space="preserve">, lai </w:t>
            </w:r>
            <w:r w:rsidR="00A2073A" w:rsidRPr="00F65D5D">
              <w:rPr>
                <w:rFonts w:eastAsia="Times New Roman" w:cs="Times New Roman"/>
                <w:szCs w:val="24"/>
                <w:lang w:eastAsia="lv-LV"/>
              </w:rPr>
              <w:t xml:space="preserve">Ministru kabineta noteikumos </w:t>
            </w:r>
            <w:r w:rsidRPr="00F65D5D">
              <w:rPr>
                <w:rFonts w:eastAsia="Times New Roman" w:cs="Times New Roman"/>
                <w:szCs w:val="24"/>
                <w:lang w:eastAsia="lv-LV"/>
              </w:rPr>
              <w:t xml:space="preserve">lietotu vienotu </w:t>
            </w:r>
            <w:r w:rsidR="002A0204" w:rsidRPr="00F65D5D">
              <w:rPr>
                <w:rFonts w:eastAsia="Times New Roman" w:cs="Times New Roman"/>
                <w:szCs w:val="24"/>
                <w:lang w:eastAsia="lv-LV"/>
              </w:rPr>
              <w:t xml:space="preserve">formulējumu </w:t>
            </w:r>
            <w:r w:rsidR="00A2073A" w:rsidRPr="00F65D5D">
              <w:rPr>
                <w:rFonts w:eastAsia="Times New Roman" w:cs="Times New Roman"/>
                <w:szCs w:val="24"/>
                <w:lang w:eastAsia="lv-LV"/>
              </w:rPr>
              <w:t xml:space="preserve">minētajam </w:t>
            </w:r>
            <w:r w:rsidR="00CF1D93" w:rsidRPr="00F65D5D">
              <w:rPr>
                <w:rFonts w:eastAsia="Times New Roman" w:cs="Times New Roman"/>
                <w:szCs w:val="24"/>
                <w:lang w:eastAsia="lv-LV"/>
              </w:rPr>
              <w:t>kritērijam (sk.</w:t>
            </w:r>
            <w:r w:rsidR="00B37178">
              <w:rPr>
                <w:rFonts w:eastAsia="Times New Roman" w:cs="Times New Roman"/>
                <w:szCs w:val="24"/>
                <w:lang w:eastAsia="lv-LV"/>
              </w:rPr>
              <w:t>,</w:t>
            </w:r>
            <w:r w:rsidR="00CF1D93" w:rsidRPr="00F65D5D">
              <w:rPr>
                <w:rFonts w:eastAsia="Times New Roman" w:cs="Times New Roman"/>
                <w:szCs w:val="24"/>
                <w:lang w:eastAsia="lv-LV"/>
              </w:rPr>
              <w:t xml:space="preserve"> piemēram</w:t>
            </w:r>
            <w:r w:rsidR="002A0204" w:rsidRPr="00F65D5D">
              <w:rPr>
                <w:rFonts w:eastAsia="Times New Roman" w:cs="Times New Roman"/>
                <w:szCs w:val="24"/>
                <w:lang w:eastAsia="lv-LV"/>
              </w:rPr>
              <w:t xml:space="preserve">, projektu </w:t>
            </w:r>
            <w:r w:rsidR="002A0204" w:rsidRPr="00066758">
              <w:rPr>
                <w:rFonts w:eastAsia="Times New Roman" w:cs="Times New Roman"/>
                <w:szCs w:val="24"/>
                <w:lang w:eastAsia="lv-LV"/>
              </w:rPr>
              <w:t>“</w:t>
            </w:r>
            <w:r w:rsidR="00B37178" w:rsidRPr="00066758">
              <w:rPr>
                <w:rFonts w:eastAsia="Times New Roman" w:cs="Times New Roman"/>
                <w:szCs w:val="24"/>
                <w:lang w:eastAsia="lv-LV"/>
              </w:rPr>
              <w:t xml:space="preserve">Muitas noliktavu, </w:t>
            </w:r>
            <w:r w:rsidR="00B37178" w:rsidRPr="00476370">
              <w:rPr>
                <w:rFonts w:eastAsia="Times New Roman" w:cs="Times New Roman"/>
                <w:szCs w:val="24"/>
                <w:lang w:eastAsia="lv-LV"/>
              </w:rPr>
              <w:t>pagaidu uzglabāšanas un brīvo zonu noteikumi</w:t>
            </w:r>
            <w:r w:rsidR="002A0204" w:rsidRPr="00476370">
              <w:rPr>
                <w:rFonts w:eastAsia="Times New Roman" w:cs="Times New Roman"/>
                <w:szCs w:val="24"/>
                <w:lang w:eastAsia="lv-LV"/>
              </w:rPr>
              <w:t>”).</w:t>
            </w:r>
          </w:p>
          <w:p w14:paraId="591AA61D" w14:textId="77777777" w:rsidR="002A0204" w:rsidRPr="00476370" w:rsidRDefault="002A0204" w:rsidP="00013BC5">
            <w:pPr>
              <w:pStyle w:val="ListParagraph"/>
              <w:spacing w:after="0" w:line="240" w:lineRule="auto"/>
              <w:ind w:left="0" w:firstLine="505"/>
              <w:jc w:val="both"/>
              <w:rPr>
                <w:rFonts w:eastAsia="Times New Roman" w:cs="Times New Roman"/>
                <w:szCs w:val="24"/>
                <w:lang w:eastAsia="lv-LV"/>
              </w:rPr>
            </w:pPr>
          </w:p>
          <w:p w14:paraId="6E638611" w14:textId="77777777" w:rsidR="004978B8" w:rsidRPr="00F65D5D" w:rsidRDefault="00FA4A39" w:rsidP="00013BC5">
            <w:pPr>
              <w:pStyle w:val="ListParagraph"/>
              <w:spacing w:after="0" w:line="240" w:lineRule="auto"/>
              <w:ind w:left="0" w:firstLine="505"/>
              <w:jc w:val="both"/>
              <w:rPr>
                <w:rFonts w:eastAsia="Times New Roman" w:cs="Times New Roman"/>
                <w:szCs w:val="24"/>
                <w:lang w:eastAsia="lv-LV"/>
              </w:rPr>
            </w:pPr>
            <w:r w:rsidRPr="00F65D5D">
              <w:rPr>
                <w:rFonts w:eastAsia="Times New Roman" w:cs="Times New Roman"/>
                <w:szCs w:val="24"/>
                <w:lang w:eastAsia="lv-LV"/>
              </w:rPr>
              <w:t>6</w:t>
            </w:r>
            <w:r w:rsidR="002A0204" w:rsidRPr="00F65D5D">
              <w:rPr>
                <w:rFonts w:eastAsia="Times New Roman" w:cs="Times New Roman"/>
                <w:szCs w:val="24"/>
                <w:lang w:eastAsia="lv-LV"/>
              </w:rPr>
              <w:t xml:space="preserve">. </w:t>
            </w:r>
            <w:r w:rsidR="00220EAE" w:rsidRPr="00F65D5D">
              <w:rPr>
                <w:rFonts w:eastAsia="Times New Roman" w:cs="Times New Roman"/>
                <w:szCs w:val="24"/>
                <w:lang w:eastAsia="lv-LV"/>
              </w:rPr>
              <w:t>Regula</w:t>
            </w:r>
            <w:r w:rsidR="004978B8" w:rsidRPr="00F65D5D">
              <w:rPr>
                <w:rFonts w:eastAsia="Times New Roman" w:cs="Times New Roman"/>
                <w:szCs w:val="24"/>
                <w:lang w:eastAsia="lv-LV"/>
              </w:rPr>
              <w:t>s</w:t>
            </w:r>
            <w:r w:rsidR="00220EAE" w:rsidRPr="00F65D5D">
              <w:rPr>
                <w:rFonts w:eastAsia="Times New Roman" w:cs="Times New Roman"/>
                <w:szCs w:val="24"/>
                <w:lang w:eastAsia="lv-LV"/>
              </w:rPr>
              <w:t xml:space="preserve"> Nr.2015/244</w:t>
            </w:r>
            <w:r w:rsidR="004978B8" w:rsidRPr="00F65D5D">
              <w:rPr>
                <w:rFonts w:eastAsia="Times New Roman" w:cs="Times New Roman"/>
                <w:szCs w:val="24"/>
                <w:lang w:eastAsia="lv-LV"/>
              </w:rPr>
              <w:t xml:space="preserve">7 321.pants nosaka </w:t>
            </w:r>
            <w:r w:rsidR="00A2073A" w:rsidRPr="00F65D5D">
              <w:rPr>
                <w:rFonts w:eastAsia="Times New Roman" w:cs="Times New Roman"/>
                <w:szCs w:val="24"/>
                <w:lang w:eastAsia="lv-LV"/>
              </w:rPr>
              <w:t>prasības</w:t>
            </w:r>
            <w:r w:rsidR="004978B8" w:rsidRPr="00F65D5D">
              <w:rPr>
                <w:rFonts w:eastAsia="Times New Roman" w:cs="Times New Roman"/>
                <w:szCs w:val="24"/>
                <w:lang w:eastAsia="lv-LV"/>
              </w:rPr>
              <w:t xml:space="preserve"> preču pārvietošanai, piemērojot Savienības tranzīta procedūru, ja pārvietošanai izmanto stacionārās transporta iekārtas. Regulas Nr.2015/2447 1.panta 2.punkta 12) apakšpunktā ir noteikts, ka stacionāra transporta iekārta ir tehniski līdzekļi, kurus izmanto, lai nepārtraukti nogādātu tādas preces kā elektroenerģija, gāze un nafta.</w:t>
            </w:r>
          </w:p>
          <w:p w14:paraId="7B1B2AB7" w14:textId="77777777" w:rsidR="004978B8" w:rsidRPr="00F65D5D" w:rsidRDefault="004978B8" w:rsidP="00013BC5">
            <w:pPr>
              <w:pStyle w:val="ListParagraph"/>
              <w:spacing w:after="0" w:line="240" w:lineRule="auto"/>
              <w:ind w:left="0" w:firstLine="505"/>
              <w:jc w:val="both"/>
              <w:rPr>
                <w:rFonts w:eastAsia="Times New Roman" w:cs="Times New Roman"/>
                <w:szCs w:val="24"/>
                <w:lang w:eastAsia="lv-LV"/>
              </w:rPr>
            </w:pPr>
            <w:r w:rsidRPr="00F65D5D">
              <w:rPr>
                <w:rFonts w:eastAsia="Times New Roman" w:cs="Times New Roman"/>
                <w:szCs w:val="24"/>
                <w:lang w:eastAsia="lv-LV"/>
              </w:rPr>
              <w:t>Atbilstoši Regulas Nr.2015/2447 321.pant</w:t>
            </w:r>
            <w:r w:rsidR="00A2073A" w:rsidRPr="00F65D5D">
              <w:rPr>
                <w:rFonts w:eastAsia="Times New Roman" w:cs="Times New Roman"/>
                <w:szCs w:val="24"/>
                <w:lang w:eastAsia="lv-LV"/>
              </w:rPr>
              <w:t>ā</w:t>
            </w:r>
            <w:r w:rsidRPr="00F65D5D">
              <w:rPr>
                <w:rFonts w:eastAsia="Times New Roman" w:cs="Times New Roman"/>
                <w:szCs w:val="24"/>
                <w:lang w:eastAsia="lv-LV"/>
              </w:rPr>
              <w:t xml:space="preserve"> noteiktajam, </w:t>
            </w:r>
            <w:r w:rsidR="006F2FEA" w:rsidRPr="00F65D5D">
              <w:rPr>
                <w:rFonts w:eastAsia="Times New Roman" w:cs="Times New Roman"/>
                <w:szCs w:val="24"/>
                <w:lang w:eastAsia="lv-LV"/>
              </w:rPr>
              <w:t xml:space="preserve">noteikumu </w:t>
            </w:r>
            <w:r w:rsidRPr="00F65D5D">
              <w:rPr>
                <w:rFonts w:eastAsia="Times New Roman" w:cs="Times New Roman"/>
                <w:szCs w:val="24"/>
                <w:lang w:eastAsia="lv-LV"/>
              </w:rPr>
              <w:t xml:space="preserve">projekts nosaka </w:t>
            </w:r>
            <w:r w:rsidR="001805F6" w:rsidRPr="00F65D5D">
              <w:rPr>
                <w:rFonts w:eastAsia="Times New Roman" w:cs="Times New Roman"/>
                <w:szCs w:val="24"/>
                <w:lang w:eastAsia="lv-LV"/>
              </w:rPr>
              <w:t>noteikumus</w:t>
            </w:r>
            <w:r w:rsidRPr="00F65D5D">
              <w:rPr>
                <w:rFonts w:eastAsia="Times New Roman" w:cs="Times New Roman"/>
                <w:szCs w:val="24"/>
                <w:lang w:eastAsia="lv-LV"/>
              </w:rPr>
              <w:t>, kas attiecas uz Savienības tranzīta procedūras piemērošanu gāze</w:t>
            </w:r>
            <w:r w:rsidR="001805F6" w:rsidRPr="00F65D5D">
              <w:rPr>
                <w:rFonts w:eastAsia="Times New Roman" w:cs="Times New Roman"/>
                <w:szCs w:val="24"/>
                <w:lang w:eastAsia="lv-LV"/>
              </w:rPr>
              <w:t>i</w:t>
            </w:r>
            <w:r w:rsidRPr="00F65D5D">
              <w:rPr>
                <w:rFonts w:eastAsia="Times New Roman" w:cs="Times New Roman"/>
                <w:szCs w:val="24"/>
                <w:lang w:eastAsia="lv-LV"/>
              </w:rPr>
              <w:t xml:space="preserve"> un nafta</w:t>
            </w:r>
            <w:r w:rsidR="00A9649F" w:rsidRPr="00F65D5D">
              <w:rPr>
                <w:rFonts w:eastAsia="Times New Roman" w:cs="Times New Roman"/>
                <w:szCs w:val="24"/>
                <w:lang w:eastAsia="lv-LV"/>
              </w:rPr>
              <w:t>s</w:t>
            </w:r>
            <w:r w:rsidR="001805F6" w:rsidRPr="00F65D5D">
              <w:rPr>
                <w:rFonts w:eastAsia="Times New Roman" w:cs="Times New Roman"/>
                <w:szCs w:val="24"/>
                <w:lang w:eastAsia="lv-LV"/>
              </w:rPr>
              <w:t xml:space="preserve"> produktiem, kurus pārvieto pa cauruļvadiem, un elektroenerģijai</w:t>
            </w:r>
            <w:r w:rsidR="00A2073A" w:rsidRPr="00F65D5D">
              <w:rPr>
                <w:rFonts w:eastAsia="Times New Roman" w:cs="Times New Roman"/>
                <w:szCs w:val="24"/>
                <w:lang w:eastAsia="lv-LV"/>
              </w:rPr>
              <w:t>.</w:t>
            </w:r>
            <w:r w:rsidR="001805F6" w:rsidRPr="00F65D5D">
              <w:rPr>
                <w:rFonts w:eastAsia="Times New Roman" w:cs="Times New Roman"/>
                <w:szCs w:val="24"/>
                <w:lang w:eastAsia="lv-LV"/>
              </w:rPr>
              <w:t xml:space="preserve"> </w:t>
            </w:r>
            <w:r w:rsidR="00A2073A" w:rsidRPr="00F65D5D">
              <w:rPr>
                <w:rFonts w:eastAsia="Times New Roman" w:cs="Times New Roman"/>
                <w:szCs w:val="24"/>
                <w:lang w:eastAsia="lv-LV"/>
              </w:rPr>
              <w:t xml:space="preserve">Ievērojot minēto, noteikumu </w:t>
            </w:r>
            <w:r w:rsidR="001805F6" w:rsidRPr="00F65D5D">
              <w:rPr>
                <w:rFonts w:eastAsia="Times New Roman" w:cs="Times New Roman"/>
                <w:szCs w:val="24"/>
                <w:lang w:eastAsia="lv-LV"/>
              </w:rPr>
              <w:t xml:space="preserve">projekta </w:t>
            </w:r>
            <w:r w:rsidR="006F2FEA" w:rsidRPr="00F65D5D">
              <w:rPr>
                <w:rFonts w:eastAsia="Times New Roman" w:cs="Times New Roman"/>
                <w:szCs w:val="24"/>
                <w:lang w:eastAsia="lv-LV"/>
              </w:rPr>
              <w:t>54</w:t>
            </w:r>
            <w:r w:rsidR="001805F6" w:rsidRPr="00F65D5D">
              <w:rPr>
                <w:rFonts w:eastAsia="Times New Roman" w:cs="Times New Roman"/>
                <w:szCs w:val="24"/>
                <w:lang w:eastAsia="lv-LV"/>
              </w:rPr>
              <w:t>., 5</w:t>
            </w:r>
            <w:r w:rsidR="006F2FEA" w:rsidRPr="00F65D5D">
              <w:rPr>
                <w:rFonts w:eastAsia="Times New Roman" w:cs="Times New Roman"/>
                <w:szCs w:val="24"/>
                <w:lang w:eastAsia="lv-LV"/>
              </w:rPr>
              <w:t>5</w:t>
            </w:r>
            <w:r w:rsidR="001805F6" w:rsidRPr="00F65D5D">
              <w:rPr>
                <w:rFonts w:eastAsia="Times New Roman" w:cs="Times New Roman"/>
                <w:szCs w:val="24"/>
                <w:lang w:eastAsia="lv-LV"/>
              </w:rPr>
              <w:t xml:space="preserve">. un </w:t>
            </w:r>
            <w:r w:rsidR="00F04C63" w:rsidRPr="00F65D5D">
              <w:rPr>
                <w:rFonts w:eastAsia="Times New Roman" w:cs="Times New Roman"/>
                <w:szCs w:val="24"/>
                <w:lang w:eastAsia="lv-LV"/>
              </w:rPr>
              <w:t>5</w:t>
            </w:r>
            <w:r w:rsidR="006F2FEA" w:rsidRPr="00F65D5D">
              <w:rPr>
                <w:rFonts w:eastAsia="Times New Roman" w:cs="Times New Roman"/>
                <w:szCs w:val="24"/>
                <w:lang w:eastAsia="lv-LV"/>
              </w:rPr>
              <w:t>6</w:t>
            </w:r>
            <w:r w:rsidR="001805F6" w:rsidRPr="00F65D5D">
              <w:rPr>
                <w:rFonts w:eastAsia="Times New Roman" w:cs="Times New Roman"/>
                <w:szCs w:val="24"/>
                <w:lang w:eastAsia="lv-LV"/>
              </w:rPr>
              <w:t>.punkts</w:t>
            </w:r>
            <w:r w:rsidR="00A2073A" w:rsidRPr="00F65D5D">
              <w:rPr>
                <w:rFonts w:eastAsia="Times New Roman" w:cs="Times New Roman"/>
                <w:szCs w:val="24"/>
                <w:lang w:eastAsia="lv-LV"/>
              </w:rPr>
              <w:t xml:space="preserve"> pārņem </w:t>
            </w:r>
            <w:r w:rsidR="001805F6" w:rsidRPr="00F65D5D">
              <w:rPr>
                <w:rFonts w:eastAsia="Times New Roman" w:cs="Times New Roman"/>
                <w:szCs w:val="24"/>
                <w:lang w:eastAsia="lv-LV"/>
              </w:rPr>
              <w:t>M</w:t>
            </w:r>
            <w:r w:rsidR="00A2073A" w:rsidRPr="00F65D5D">
              <w:rPr>
                <w:rFonts w:eastAsia="Times New Roman" w:cs="Times New Roman"/>
                <w:szCs w:val="24"/>
                <w:lang w:eastAsia="lv-LV"/>
              </w:rPr>
              <w:t>inistru kabineta</w:t>
            </w:r>
            <w:r w:rsidR="001805F6" w:rsidRPr="00F65D5D">
              <w:rPr>
                <w:rFonts w:eastAsia="Times New Roman" w:cs="Times New Roman"/>
                <w:szCs w:val="24"/>
                <w:lang w:eastAsia="lv-LV"/>
              </w:rPr>
              <w:t xml:space="preserve"> noteikumu Nr.603 39.punktā (naftas produkti), M</w:t>
            </w:r>
            <w:r w:rsidR="00A2073A" w:rsidRPr="00F65D5D">
              <w:rPr>
                <w:rFonts w:eastAsia="Times New Roman" w:cs="Times New Roman"/>
                <w:szCs w:val="24"/>
                <w:lang w:eastAsia="lv-LV"/>
              </w:rPr>
              <w:t>inistru kabineta</w:t>
            </w:r>
            <w:r w:rsidR="001805F6" w:rsidRPr="00F65D5D">
              <w:rPr>
                <w:rFonts w:eastAsia="Times New Roman" w:cs="Times New Roman"/>
                <w:szCs w:val="24"/>
                <w:lang w:eastAsia="lv-LV"/>
              </w:rPr>
              <w:t xml:space="preserve"> noteikumu Nr.431 3.punktā (dabasgāze) un 4.punktā (elektroenerģija</w:t>
            </w:r>
            <w:r w:rsidR="00A2073A" w:rsidRPr="00F65D5D">
              <w:rPr>
                <w:rFonts w:eastAsia="Times New Roman" w:cs="Times New Roman"/>
                <w:szCs w:val="24"/>
                <w:lang w:eastAsia="lv-LV"/>
              </w:rPr>
              <w:t xml:space="preserve">) noteiktās </w:t>
            </w:r>
            <w:r w:rsidR="00C71A66" w:rsidRPr="00F65D5D">
              <w:rPr>
                <w:rFonts w:eastAsia="Times New Roman" w:cs="Times New Roman"/>
                <w:szCs w:val="24"/>
                <w:lang w:eastAsia="lv-LV"/>
              </w:rPr>
              <w:t>prasības</w:t>
            </w:r>
            <w:r w:rsidR="00A2073A" w:rsidRPr="00F65D5D">
              <w:rPr>
                <w:rFonts w:eastAsia="Times New Roman" w:cs="Times New Roman"/>
                <w:szCs w:val="24"/>
                <w:lang w:eastAsia="lv-LV"/>
              </w:rPr>
              <w:t>.</w:t>
            </w:r>
            <w:r w:rsidR="00464C8A" w:rsidRPr="00F65D5D">
              <w:rPr>
                <w:rFonts w:eastAsia="Times New Roman" w:cs="Times New Roman"/>
                <w:szCs w:val="24"/>
                <w:lang w:eastAsia="lv-LV"/>
              </w:rPr>
              <w:t xml:space="preserve"> Saskaņā ar Regulas Nr.2015/2447 321.panta 3.punkta otro daļu</w:t>
            </w:r>
            <w:r w:rsidR="00AD0CE8" w:rsidRPr="00F65D5D">
              <w:rPr>
                <w:rFonts w:eastAsia="Times New Roman" w:cs="Times New Roman"/>
                <w:szCs w:val="24"/>
                <w:lang w:eastAsia="lv-LV"/>
              </w:rPr>
              <w:t xml:space="preserve"> (ar stacionāro transporta iekārtu pārvietojamo preču muitas uzraudzības metožu noteikšana)</w:t>
            </w:r>
            <w:r w:rsidR="00464C8A" w:rsidRPr="00F65D5D">
              <w:rPr>
                <w:rFonts w:eastAsia="Times New Roman" w:cs="Times New Roman"/>
                <w:szCs w:val="24"/>
                <w:lang w:eastAsia="lv-LV"/>
              </w:rPr>
              <w:t xml:space="preserve"> noteikumu projekta 54.3., 55.2. un 56.2.apakšpunktos noteik</w:t>
            </w:r>
            <w:r w:rsidR="00AD0CE8" w:rsidRPr="00F65D5D">
              <w:rPr>
                <w:rFonts w:eastAsia="Times New Roman" w:cs="Times New Roman"/>
                <w:szCs w:val="24"/>
                <w:lang w:eastAsia="lv-LV"/>
              </w:rPr>
              <w:t xml:space="preserve">s, ka procedūras izmantotājs nodrošina Savienības tranzīta procedūras </w:t>
            </w:r>
            <w:r w:rsidR="00AD0CE8" w:rsidRPr="00F65D5D">
              <w:rPr>
                <w:rFonts w:eastAsia="Times New Roman" w:cs="Times New Roman"/>
                <w:szCs w:val="24"/>
                <w:lang w:eastAsia="lv-LV"/>
              </w:rPr>
              <w:lastRenderedPageBreak/>
              <w:t>pieteikšanu, precu izlaišanu Savienības tranzīta procedūrā, Savienības tranzīta procedūras izpildi, Savienības tranzīta procedūras pabeigšanu un informācijas apmaiņu muitas iestādes noteiktajā kārtībā.</w:t>
            </w:r>
          </w:p>
          <w:p w14:paraId="5C42A816" w14:textId="77777777" w:rsidR="001805F6" w:rsidRPr="00F65D5D" w:rsidRDefault="001805F6" w:rsidP="00013BC5">
            <w:pPr>
              <w:pStyle w:val="ListParagraph"/>
              <w:spacing w:after="0" w:line="240" w:lineRule="auto"/>
              <w:ind w:left="0" w:firstLine="505"/>
              <w:jc w:val="both"/>
              <w:rPr>
                <w:rFonts w:eastAsia="Times New Roman" w:cs="Times New Roman"/>
                <w:szCs w:val="24"/>
                <w:lang w:eastAsia="lv-LV"/>
              </w:rPr>
            </w:pPr>
          </w:p>
          <w:p w14:paraId="04374CB5" w14:textId="7388D66B" w:rsidR="001805F6" w:rsidRPr="00F65D5D" w:rsidRDefault="00FA4A39" w:rsidP="00740A97">
            <w:pPr>
              <w:pStyle w:val="ListParagraph"/>
              <w:spacing w:after="0" w:line="240" w:lineRule="auto"/>
              <w:ind w:left="-27" w:firstLine="485"/>
              <w:jc w:val="both"/>
              <w:rPr>
                <w:rFonts w:eastAsia="Times New Roman" w:cs="Times New Roman"/>
                <w:szCs w:val="24"/>
                <w:lang w:eastAsia="lv-LV"/>
              </w:rPr>
            </w:pPr>
            <w:r w:rsidRPr="00F65D5D">
              <w:rPr>
                <w:rFonts w:eastAsia="Times New Roman" w:cs="Times New Roman"/>
                <w:szCs w:val="24"/>
                <w:lang w:eastAsia="lv-LV"/>
              </w:rPr>
              <w:t>7</w:t>
            </w:r>
            <w:r w:rsidR="001805F6" w:rsidRPr="00F65D5D">
              <w:rPr>
                <w:rFonts w:eastAsia="Times New Roman" w:cs="Times New Roman"/>
                <w:szCs w:val="24"/>
                <w:lang w:eastAsia="lv-LV"/>
              </w:rPr>
              <w:t>. Saskaņā ar regulas Nr.201</w:t>
            </w:r>
            <w:r w:rsidR="00A2073A" w:rsidRPr="00F65D5D">
              <w:rPr>
                <w:rFonts w:eastAsia="Times New Roman" w:cs="Times New Roman"/>
                <w:szCs w:val="24"/>
                <w:lang w:eastAsia="lv-LV"/>
              </w:rPr>
              <w:t>6</w:t>
            </w:r>
            <w:r w:rsidR="001805F6" w:rsidRPr="00F65D5D">
              <w:rPr>
                <w:rFonts w:eastAsia="Times New Roman" w:cs="Times New Roman"/>
                <w:szCs w:val="24"/>
                <w:lang w:eastAsia="lv-LV"/>
              </w:rPr>
              <w:t>/</w:t>
            </w:r>
            <w:r w:rsidR="00A2073A" w:rsidRPr="00F65D5D">
              <w:rPr>
                <w:rFonts w:eastAsia="Times New Roman" w:cs="Times New Roman"/>
                <w:szCs w:val="24"/>
                <w:lang w:eastAsia="lv-LV"/>
              </w:rPr>
              <w:t>341</w:t>
            </w:r>
            <w:r w:rsidR="00A27A70" w:rsidRPr="00F65D5D">
              <w:rPr>
                <w:rFonts w:eastAsia="Times New Roman" w:cs="Times New Roman"/>
                <w:szCs w:val="24"/>
                <w:lang w:eastAsia="lv-LV"/>
              </w:rPr>
              <w:t xml:space="preserve"> 24.pantu un 45.panta </w:t>
            </w:r>
            <w:r w:rsidR="00D6535E" w:rsidRPr="00F65D5D">
              <w:rPr>
                <w:rFonts w:eastAsia="Times New Roman" w:cs="Times New Roman"/>
                <w:szCs w:val="24"/>
                <w:lang w:eastAsia="lv-LV"/>
              </w:rPr>
              <w:t>“</w:t>
            </w:r>
            <w:r w:rsidR="00A27A70" w:rsidRPr="00F65D5D">
              <w:rPr>
                <w:rFonts w:eastAsia="Times New Roman" w:cs="Times New Roman"/>
                <w:szCs w:val="24"/>
                <w:lang w:eastAsia="lv-LV"/>
              </w:rPr>
              <w:t>b</w:t>
            </w:r>
            <w:r w:rsidR="00D6535E" w:rsidRPr="00F65D5D">
              <w:rPr>
                <w:rFonts w:eastAsia="Times New Roman" w:cs="Times New Roman"/>
                <w:szCs w:val="24"/>
                <w:lang w:eastAsia="lv-LV"/>
              </w:rPr>
              <w:t>”</w:t>
            </w:r>
            <w:r w:rsidR="00A27A70" w:rsidRPr="00F65D5D">
              <w:rPr>
                <w:rFonts w:eastAsia="Times New Roman" w:cs="Times New Roman"/>
                <w:szCs w:val="24"/>
                <w:lang w:eastAsia="lv-LV"/>
              </w:rPr>
              <w:t xml:space="preserve"> punktu, līdz Īstenošanas lēmuma 2014/255/ES pielikumā minētās NCTS jaunināšanas beigu datumiem, ja ir garantēta to Savienības pasākumu īstenošana, kas attiecas uz precēm, kurām piemērota Savienības tranzīta procedūra, attiecībā uz precēm, kuras nav nepieciešams pārvietot uz citas dalībvalsts teritoriju, katrai dalībvalstij ir tiesības turpināt piemērot citas Savienības tranzīta procedūras papīra formā attiecībā uz precēm, kuras pārvadā pa dzelzceļu.</w:t>
            </w:r>
          </w:p>
          <w:p w14:paraId="588660C4" w14:textId="77777777" w:rsidR="001805F6" w:rsidRPr="00F65D5D" w:rsidRDefault="00A27A70" w:rsidP="00C71A66">
            <w:pPr>
              <w:pStyle w:val="ListParagraph"/>
              <w:spacing w:after="0" w:line="240" w:lineRule="auto"/>
              <w:ind w:left="0" w:firstLine="505"/>
              <w:jc w:val="both"/>
              <w:rPr>
                <w:rFonts w:eastAsia="Times New Roman" w:cs="Times New Roman"/>
                <w:szCs w:val="24"/>
                <w:lang w:eastAsia="lv-LV"/>
              </w:rPr>
            </w:pPr>
            <w:r w:rsidRPr="00F65D5D">
              <w:rPr>
                <w:rFonts w:eastAsia="Times New Roman" w:cs="Times New Roman"/>
                <w:szCs w:val="24"/>
                <w:lang w:eastAsia="lv-LV"/>
              </w:rPr>
              <w:t>M</w:t>
            </w:r>
            <w:r w:rsidR="00A2073A" w:rsidRPr="00F65D5D">
              <w:rPr>
                <w:rFonts w:eastAsia="Times New Roman" w:cs="Times New Roman"/>
                <w:szCs w:val="24"/>
                <w:lang w:eastAsia="lv-LV"/>
              </w:rPr>
              <w:t xml:space="preserve">inistru kabineta </w:t>
            </w:r>
            <w:r w:rsidRPr="00F65D5D">
              <w:rPr>
                <w:rFonts w:eastAsia="Times New Roman" w:cs="Times New Roman"/>
                <w:szCs w:val="24"/>
                <w:lang w:eastAsia="lv-LV"/>
              </w:rPr>
              <w:t>noteikum</w:t>
            </w:r>
            <w:r w:rsidR="00C71A66" w:rsidRPr="00F65D5D">
              <w:rPr>
                <w:rFonts w:eastAsia="Times New Roman" w:cs="Times New Roman"/>
                <w:szCs w:val="24"/>
                <w:lang w:eastAsia="lv-LV"/>
              </w:rPr>
              <w:t>u</w:t>
            </w:r>
            <w:r w:rsidRPr="00F65D5D">
              <w:rPr>
                <w:rFonts w:eastAsia="Times New Roman" w:cs="Times New Roman"/>
                <w:szCs w:val="24"/>
                <w:lang w:eastAsia="lv-LV"/>
              </w:rPr>
              <w:t xml:space="preserve"> Nr.603 (kā arī citos iepriekšējos Ministra kabineta noteikumos “Muitas procedūras – tranzīts – piemērošanas kārtība”)</w:t>
            </w:r>
            <w:r w:rsidR="00C71A66" w:rsidRPr="00F65D5D">
              <w:rPr>
                <w:rFonts w:eastAsia="Times New Roman" w:cs="Times New Roman"/>
                <w:szCs w:val="24"/>
                <w:lang w:eastAsia="lv-LV"/>
              </w:rPr>
              <w:t xml:space="preserve"> 40.punktā</w:t>
            </w:r>
            <w:r w:rsidRPr="00F65D5D">
              <w:rPr>
                <w:rFonts w:eastAsia="Times New Roman" w:cs="Times New Roman"/>
                <w:szCs w:val="24"/>
                <w:lang w:eastAsia="lv-LV"/>
              </w:rPr>
              <w:t xml:space="preserve"> tika noteikts tranzīta procedūras vienkāršojums, piemērojot </w:t>
            </w:r>
            <w:r w:rsidR="00451A1A" w:rsidRPr="00F65D5D">
              <w:rPr>
                <w:rFonts w:eastAsia="Times New Roman" w:cs="Times New Roman"/>
                <w:szCs w:val="24"/>
                <w:lang w:eastAsia="lv-LV"/>
              </w:rPr>
              <w:t>tranzīta procedūru precēm, kuras pārvieto pa dzelzceļu Latvijas Republikas teritorijā (pārvadājums nenotiks pa citu ES dalībvalstu teritoriju), kad par tranzīta deklarāciju var izmantot starptautisko dzelzceļa pavadzīmi (atbilstoši 1951.gada 1.novembra Nolīgumam par starptautisko (dzelzceļa) kravu satiksmi).</w:t>
            </w:r>
            <w:r w:rsidRPr="00F65D5D">
              <w:rPr>
                <w:rFonts w:eastAsia="Times New Roman" w:cs="Times New Roman"/>
                <w:szCs w:val="24"/>
                <w:lang w:eastAsia="lv-LV"/>
              </w:rPr>
              <w:t xml:space="preserve"> </w:t>
            </w:r>
          </w:p>
          <w:p w14:paraId="363B3511" w14:textId="2DC5C949" w:rsidR="00451A1A" w:rsidRPr="00F65D5D" w:rsidRDefault="00A2073A" w:rsidP="00013BC5">
            <w:pPr>
              <w:pStyle w:val="ListParagraph"/>
              <w:spacing w:after="0" w:line="240" w:lineRule="auto"/>
              <w:ind w:left="0" w:firstLine="505"/>
              <w:jc w:val="both"/>
              <w:rPr>
                <w:rFonts w:eastAsia="Times New Roman" w:cs="Times New Roman"/>
                <w:szCs w:val="24"/>
                <w:lang w:eastAsia="lv-LV"/>
              </w:rPr>
            </w:pPr>
            <w:r w:rsidRPr="00F65D5D">
              <w:rPr>
                <w:rFonts w:eastAsia="Times New Roman" w:cs="Times New Roman"/>
                <w:szCs w:val="24"/>
                <w:lang w:eastAsia="lv-LV"/>
              </w:rPr>
              <w:t>Ievērojot minēto, noteikumu</w:t>
            </w:r>
            <w:r w:rsidR="00451A1A" w:rsidRPr="00F65D5D">
              <w:rPr>
                <w:rFonts w:eastAsia="Times New Roman" w:cs="Times New Roman"/>
                <w:szCs w:val="24"/>
                <w:lang w:eastAsia="lv-LV"/>
              </w:rPr>
              <w:t xml:space="preserve"> projekta </w:t>
            </w:r>
            <w:r w:rsidR="00D9550C" w:rsidRPr="00F65D5D">
              <w:rPr>
                <w:rFonts w:eastAsia="Times New Roman" w:cs="Times New Roman"/>
                <w:szCs w:val="24"/>
                <w:lang w:eastAsia="lv-LV"/>
              </w:rPr>
              <w:t>57</w:t>
            </w:r>
            <w:r w:rsidR="00451A1A" w:rsidRPr="00F65D5D">
              <w:rPr>
                <w:rFonts w:eastAsia="Times New Roman" w:cs="Times New Roman"/>
                <w:szCs w:val="24"/>
                <w:lang w:eastAsia="lv-LV"/>
              </w:rPr>
              <w:t>.punkt</w:t>
            </w:r>
            <w:r w:rsidR="009646B8" w:rsidRPr="00F65D5D">
              <w:rPr>
                <w:rFonts w:eastAsia="Times New Roman" w:cs="Times New Roman"/>
                <w:szCs w:val="24"/>
                <w:lang w:eastAsia="lv-LV"/>
              </w:rPr>
              <w:t xml:space="preserve">s pārņem Ministru kabineta noteikumu Nr.603 </w:t>
            </w:r>
            <w:r w:rsidR="00C71A66" w:rsidRPr="00F65D5D">
              <w:rPr>
                <w:rFonts w:eastAsia="Times New Roman" w:cs="Times New Roman"/>
                <w:szCs w:val="24"/>
                <w:lang w:eastAsia="lv-LV"/>
              </w:rPr>
              <w:t>40</w:t>
            </w:r>
            <w:r w:rsidR="009646B8" w:rsidRPr="00F65D5D">
              <w:rPr>
                <w:rFonts w:eastAsia="Times New Roman" w:cs="Times New Roman"/>
                <w:szCs w:val="24"/>
                <w:lang w:eastAsia="lv-LV"/>
              </w:rPr>
              <w:t>.punktā noteikto regulējumu</w:t>
            </w:r>
            <w:r w:rsidR="00376D51" w:rsidRPr="00F65D5D">
              <w:rPr>
                <w:rFonts w:eastAsia="Times New Roman" w:cs="Times New Roman"/>
                <w:szCs w:val="24"/>
                <w:lang w:eastAsia="lv-LV"/>
              </w:rPr>
              <w:t>,</w:t>
            </w:r>
            <w:r w:rsidR="009646B8" w:rsidRPr="00F65D5D">
              <w:rPr>
                <w:rFonts w:eastAsia="Times New Roman" w:cs="Times New Roman"/>
                <w:szCs w:val="24"/>
                <w:lang w:eastAsia="lv-LV"/>
              </w:rPr>
              <w:t xml:space="preserve"> </w:t>
            </w:r>
            <w:r w:rsidR="00376D51" w:rsidRPr="00F65D5D">
              <w:rPr>
                <w:rFonts w:eastAsia="Times New Roman" w:cs="Times New Roman"/>
                <w:szCs w:val="24"/>
                <w:lang w:eastAsia="lv-LV"/>
              </w:rPr>
              <w:t>kas būs spēkā</w:t>
            </w:r>
            <w:r w:rsidR="009646B8" w:rsidRPr="00F65D5D">
              <w:rPr>
                <w:rFonts w:eastAsia="Times New Roman" w:cs="Times New Roman"/>
                <w:szCs w:val="24"/>
                <w:lang w:eastAsia="lv-LV"/>
              </w:rPr>
              <w:t xml:space="preserve"> pārejas </w:t>
            </w:r>
            <w:r w:rsidR="00376D51" w:rsidRPr="00F65D5D">
              <w:rPr>
                <w:rFonts w:eastAsia="Times New Roman" w:cs="Times New Roman"/>
                <w:szCs w:val="24"/>
                <w:lang w:eastAsia="lv-LV"/>
              </w:rPr>
              <w:t>periodā</w:t>
            </w:r>
            <w:r w:rsidR="009646B8" w:rsidRPr="00F65D5D">
              <w:rPr>
                <w:rFonts w:eastAsia="Times New Roman" w:cs="Times New Roman"/>
                <w:szCs w:val="24"/>
                <w:lang w:eastAsia="lv-LV"/>
              </w:rPr>
              <w:t xml:space="preserve">, </w:t>
            </w:r>
            <w:r w:rsidR="003B49F8" w:rsidRPr="00F65D5D">
              <w:rPr>
                <w:rFonts w:eastAsia="Times New Roman" w:cs="Times New Roman"/>
                <w:szCs w:val="24"/>
                <w:lang w:eastAsia="lv-LV"/>
              </w:rPr>
              <w:t>līdz regulas Nr.201</w:t>
            </w:r>
            <w:r w:rsidR="00293F90" w:rsidRPr="00F65D5D">
              <w:rPr>
                <w:rFonts w:eastAsia="Times New Roman" w:cs="Times New Roman"/>
                <w:szCs w:val="24"/>
                <w:lang w:eastAsia="lv-LV"/>
              </w:rPr>
              <w:t>6</w:t>
            </w:r>
            <w:r w:rsidR="003B49F8" w:rsidRPr="00F65D5D">
              <w:rPr>
                <w:rFonts w:eastAsia="Times New Roman" w:cs="Times New Roman"/>
                <w:szCs w:val="24"/>
                <w:lang w:eastAsia="lv-LV"/>
              </w:rPr>
              <w:t>/</w:t>
            </w:r>
            <w:r w:rsidR="009646B8" w:rsidRPr="00F65D5D">
              <w:rPr>
                <w:rFonts w:eastAsia="Times New Roman" w:cs="Times New Roman"/>
                <w:szCs w:val="24"/>
                <w:lang w:eastAsia="lv-LV"/>
              </w:rPr>
              <w:t xml:space="preserve">341 </w:t>
            </w:r>
            <w:r w:rsidR="003B49F8" w:rsidRPr="00F65D5D">
              <w:rPr>
                <w:rFonts w:eastAsia="Times New Roman" w:cs="Times New Roman"/>
                <w:szCs w:val="24"/>
                <w:lang w:eastAsia="lv-LV"/>
              </w:rPr>
              <w:t>24.</w:t>
            </w:r>
            <w:r w:rsidR="009646B8" w:rsidRPr="00F65D5D">
              <w:rPr>
                <w:rFonts w:eastAsia="Times New Roman" w:cs="Times New Roman"/>
                <w:szCs w:val="24"/>
                <w:lang w:eastAsia="lv-LV"/>
              </w:rPr>
              <w:t xml:space="preserve">pantā </w:t>
            </w:r>
            <w:r w:rsidR="003B49F8" w:rsidRPr="00F65D5D">
              <w:rPr>
                <w:rFonts w:eastAsia="Times New Roman" w:cs="Times New Roman"/>
                <w:szCs w:val="24"/>
                <w:lang w:eastAsia="lv-LV"/>
              </w:rPr>
              <w:t>noteiktajam datumam.</w:t>
            </w:r>
          </w:p>
          <w:p w14:paraId="186F9C4E" w14:textId="17C7AF38" w:rsidR="00062BC2" w:rsidRPr="00F65D5D" w:rsidRDefault="00062BC2" w:rsidP="005A27AA">
            <w:pPr>
              <w:pStyle w:val="ListParagraph"/>
              <w:spacing w:after="0" w:line="240" w:lineRule="auto"/>
              <w:ind w:left="0" w:firstLine="505"/>
              <w:jc w:val="both"/>
              <w:rPr>
                <w:rFonts w:eastAsia="Times New Roman" w:cs="Times New Roman"/>
                <w:szCs w:val="24"/>
                <w:lang w:eastAsia="lv-LV"/>
              </w:rPr>
            </w:pPr>
            <w:r w:rsidRPr="00F65D5D">
              <w:rPr>
                <w:rFonts w:eastAsia="Times New Roman" w:cs="Times New Roman"/>
                <w:szCs w:val="24"/>
                <w:lang w:eastAsia="lv-LV"/>
              </w:rPr>
              <w:t xml:space="preserve">Saskaņā ar </w:t>
            </w:r>
            <w:r w:rsidR="0072255E" w:rsidRPr="00F65D5D">
              <w:rPr>
                <w:rFonts w:eastAsia="Times New Roman" w:cs="Times New Roman"/>
                <w:szCs w:val="24"/>
                <w:lang w:eastAsia="lv-LV"/>
              </w:rPr>
              <w:t>r</w:t>
            </w:r>
            <w:r w:rsidRPr="00F65D5D">
              <w:rPr>
                <w:rFonts w:eastAsia="Times New Roman" w:cs="Times New Roman"/>
                <w:szCs w:val="24"/>
                <w:lang w:eastAsia="lv-LV"/>
              </w:rPr>
              <w:t>egulas Nr.952/2013 89.panta 8.punktu tiek noteikti gadījumi, kad nav jāiesniedz galvojums iespējam</w:t>
            </w:r>
            <w:r w:rsidR="009E6F5C" w:rsidRPr="00F65D5D">
              <w:rPr>
                <w:rFonts w:eastAsia="Times New Roman" w:cs="Times New Roman"/>
                <w:szCs w:val="24"/>
                <w:lang w:eastAsia="lv-LV"/>
              </w:rPr>
              <w:t>a</w:t>
            </w:r>
            <w:r w:rsidRPr="00F65D5D">
              <w:rPr>
                <w:rFonts w:eastAsia="Times New Roman" w:cs="Times New Roman"/>
                <w:szCs w:val="24"/>
                <w:lang w:eastAsia="lv-LV"/>
              </w:rPr>
              <w:t>m muitas parādam. Atbilstoši minētajai normai,</w:t>
            </w:r>
            <w:r w:rsidR="0072255E" w:rsidRPr="00F65D5D">
              <w:rPr>
                <w:rFonts w:eastAsia="Times New Roman" w:cs="Times New Roman"/>
                <w:szCs w:val="24"/>
                <w:lang w:eastAsia="lv-LV"/>
              </w:rPr>
              <w:t xml:space="preserve"> Savienības tranzīta procedūras izmantotāji, kas</w:t>
            </w:r>
            <w:r w:rsidR="00847F6F" w:rsidRPr="00F65D5D">
              <w:rPr>
                <w:rFonts w:eastAsia="Times New Roman" w:cs="Times New Roman"/>
                <w:szCs w:val="24"/>
                <w:lang w:eastAsia="lv-LV"/>
              </w:rPr>
              <w:t xml:space="preserve">, piemērojot tranzīta procedūru precēm, </w:t>
            </w:r>
            <w:r w:rsidR="0072255E" w:rsidRPr="00F65D5D">
              <w:rPr>
                <w:rFonts w:eastAsia="Times New Roman" w:cs="Times New Roman"/>
                <w:szCs w:val="24"/>
                <w:lang w:eastAsia="lv-LV"/>
              </w:rPr>
              <w:t>izmanto</w:t>
            </w:r>
            <w:r w:rsidRPr="00F65D5D">
              <w:rPr>
                <w:rFonts w:eastAsia="Times New Roman" w:cs="Times New Roman"/>
                <w:szCs w:val="24"/>
                <w:lang w:eastAsia="lv-LV"/>
              </w:rPr>
              <w:t xml:space="preserve"> </w:t>
            </w:r>
            <w:r w:rsidR="0072255E" w:rsidRPr="00F65D5D">
              <w:rPr>
                <w:rFonts w:eastAsia="Times New Roman" w:cs="Times New Roman"/>
                <w:szCs w:val="24"/>
                <w:lang w:eastAsia="lv-LV"/>
              </w:rPr>
              <w:t xml:space="preserve">dzelzceļa transportu, netiek atbrīvoti no pienākuma </w:t>
            </w:r>
            <w:r w:rsidR="006A45A9" w:rsidRPr="00F65D5D">
              <w:rPr>
                <w:rFonts w:eastAsia="Times New Roman" w:cs="Times New Roman"/>
                <w:szCs w:val="24"/>
                <w:lang w:eastAsia="lv-LV"/>
              </w:rPr>
              <w:t>iesniegt</w:t>
            </w:r>
            <w:r w:rsidR="0072255E" w:rsidRPr="00F65D5D">
              <w:rPr>
                <w:rFonts w:eastAsia="Times New Roman" w:cs="Times New Roman"/>
                <w:szCs w:val="24"/>
                <w:lang w:eastAsia="lv-LV"/>
              </w:rPr>
              <w:t xml:space="preserve"> galvojum</w:t>
            </w:r>
            <w:r w:rsidR="006A45A9" w:rsidRPr="00F65D5D">
              <w:rPr>
                <w:rFonts w:eastAsia="Times New Roman" w:cs="Times New Roman"/>
                <w:szCs w:val="24"/>
                <w:lang w:eastAsia="lv-LV"/>
              </w:rPr>
              <w:t>u</w:t>
            </w:r>
            <w:r w:rsidR="0072255E" w:rsidRPr="00F65D5D">
              <w:rPr>
                <w:rFonts w:eastAsia="Times New Roman" w:cs="Times New Roman"/>
                <w:szCs w:val="24"/>
                <w:lang w:eastAsia="lv-LV"/>
              </w:rPr>
              <w:t xml:space="preserve"> iespējamam muitas parādam.</w:t>
            </w:r>
          </w:p>
          <w:p w14:paraId="0CCC089F" w14:textId="2329A17E" w:rsidR="00341EAF" w:rsidRPr="00F65D5D" w:rsidRDefault="0072255E" w:rsidP="005A27AA">
            <w:pPr>
              <w:pStyle w:val="ListParagraph"/>
              <w:spacing w:after="0" w:line="240" w:lineRule="auto"/>
              <w:ind w:left="0" w:firstLine="505"/>
              <w:jc w:val="both"/>
              <w:rPr>
                <w:rFonts w:eastAsia="Times New Roman" w:cs="Times New Roman"/>
                <w:szCs w:val="24"/>
                <w:lang w:eastAsia="lv-LV"/>
              </w:rPr>
            </w:pPr>
            <w:r w:rsidRPr="00F65D5D">
              <w:rPr>
                <w:rFonts w:eastAsia="Times New Roman" w:cs="Times New Roman"/>
                <w:szCs w:val="24"/>
                <w:lang w:eastAsia="lv-LV"/>
              </w:rPr>
              <w:t>Saskaņā ar regula</w:t>
            </w:r>
            <w:r w:rsidR="007A4169" w:rsidRPr="00F65D5D">
              <w:rPr>
                <w:rFonts w:eastAsia="Times New Roman" w:cs="Times New Roman"/>
                <w:szCs w:val="24"/>
                <w:lang w:eastAsia="lv-LV"/>
              </w:rPr>
              <w:t>s</w:t>
            </w:r>
            <w:r w:rsidRPr="00F65D5D">
              <w:rPr>
                <w:rFonts w:eastAsia="Times New Roman" w:cs="Times New Roman"/>
                <w:szCs w:val="24"/>
                <w:lang w:eastAsia="lv-LV"/>
              </w:rPr>
              <w:t xml:space="preserve"> Nr.2015/2446</w:t>
            </w:r>
            <w:r w:rsidR="00060EB7" w:rsidRPr="00F65D5D">
              <w:rPr>
                <w:rFonts w:eastAsia="Times New Roman" w:cs="Times New Roman"/>
                <w:szCs w:val="24"/>
                <w:lang w:eastAsia="lv-LV"/>
              </w:rPr>
              <w:t xml:space="preserve"> 191.pant</w:t>
            </w:r>
            <w:r w:rsidR="00847F6F" w:rsidRPr="00F65D5D">
              <w:rPr>
                <w:rFonts w:eastAsia="Times New Roman" w:cs="Times New Roman"/>
                <w:szCs w:val="24"/>
                <w:lang w:eastAsia="lv-LV"/>
              </w:rPr>
              <w:t>u</w:t>
            </w:r>
            <w:r w:rsidR="00060EB7" w:rsidRPr="00F65D5D">
              <w:rPr>
                <w:rFonts w:eastAsia="Times New Roman" w:cs="Times New Roman"/>
                <w:szCs w:val="24"/>
                <w:lang w:eastAsia="lv-LV"/>
              </w:rPr>
              <w:t xml:space="preserve"> tiek noteikti vispārēji noteikumi par Savienības tranzīta procedūras vienkāršojumu atļaujām, t.sk. </w:t>
            </w:r>
            <w:r w:rsidR="00341EAF" w:rsidRPr="00F65D5D">
              <w:rPr>
                <w:rFonts w:eastAsia="Times New Roman" w:cs="Times New Roman"/>
                <w:szCs w:val="24"/>
                <w:lang w:eastAsia="lv-LV"/>
              </w:rPr>
              <w:t>1</w:t>
            </w:r>
            <w:r w:rsidR="00060EB7" w:rsidRPr="00F65D5D">
              <w:rPr>
                <w:rFonts w:eastAsia="Times New Roman" w:cs="Times New Roman"/>
                <w:szCs w:val="24"/>
                <w:lang w:eastAsia="lv-LV"/>
              </w:rPr>
              <w:t>.punktā nosakot, ka tranzīta procedūras vienkāršojumu a</w:t>
            </w:r>
            <w:r w:rsidRPr="00F65D5D">
              <w:rPr>
                <w:rFonts w:eastAsia="Times New Roman" w:cs="Times New Roman"/>
                <w:szCs w:val="24"/>
                <w:lang w:eastAsia="lv-LV"/>
              </w:rPr>
              <w:t>tļaujas piešķir</w:t>
            </w:r>
            <w:r w:rsidR="00341EAF" w:rsidRPr="00F65D5D">
              <w:rPr>
                <w:rFonts w:eastAsia="Times New Roman" w:cs="Times New Roman"/>
                <w:szCs w:val="24"/>
                <w:lang w:eastAsia="lv-LV"/>
              </w:rPr>
              <w:t>,</w:t>
            </w:r>
            <w:r w:rsidRPr="00F65D5D">
              <w:rPr>
                <w:rFonts w:eastAsia="Times New Roman" w:cs="Times New Roman"/>
                <w:szCs w:val="24"/>
                <w:lang w:eastAsia="lv-LV"/>
              </w:rPr>
              <w:t xml:space="preserve"> </w:t>
            </w:r>
            <w:r w:rsidR="00341EAF" w:rsidRPr="00F65D5D">
              <w:rPr>
                <w:rFonts w:eastAsia="Times New Roman" w:cs="Times New Roman"/>
                <w:szCs w:val="24"/>
                <w:lang w:eastAsia="lv-LV"/>
              </w:rPr>
              <w:t xml:space="preserve">ja </w:t>
            </w:r>
            <w:r w:rsidR="00066758">
              <w:rPr>
                <w:rFonts w:eastAsia="Times New Roman" w:cs="Times New Roman"/>
                <w:szCs w:val="24"/>
                <w:lang w:eastAsia="lv-LV"/>
              </w:rPr>
              <w:t>iesnieguma</w:t>
            </w:r>
            <w:r w:rsidR="00341EAF" w:rsidRPr="00F65D5D">
              <w:rPr>
                <w:rFonts w:eastAsia="Times New Roman" w:cs="Times New Roman"/>
                <w:szCs w:val="24"/>
                <w:lang w:eastAsia="lv-LV"/>
              </w:rPr>
              <w:t xml:space="preserve"> iesniedzējs:</w:t>
            </w:r>
          </w:p>
          <w:p w14:paraId="0A737CA7" w14:textId="77777777" w:rsidR="00341EAF" w:rsidRPr="00F65D5D" w:rsidRDefault="00341EAF" w:rsidP="005A27AA">
            <w:pPr>
              <w:pStyle w:val="ListParagraph"/>
              <w:spacing w:after="0" w:line="240" w:lineRule="auto"/>
              <w:ind w:left="0" w:firstLine="505"/>
              <w:jc w:val="both"/>
              <w:rPr>
                <w:rFonts w:eastAsia="Times New Roman" w:cs="Times New Roman"/>
                <w:szCs w:val="24"/>
                <w:lang w:eastAsia="lv-LV"/>
              </w:rPr>
            </w:pPr>
            <w:r w:rsidRPr="00F65D5D">
              <w:rPr>
                <w:rFonts w:eastAsia="Times New Roman" w:cs="Times New Roman"/>
                <w:szCs w:val="24"/>
                <w:lang w:eastAsia="lv-LV"/>
              </w:rPr>
              <w:t>- veic uzņēmējdarbību Savienības muitas teritorijā;</w:t>
            </w:r>
          </w:p>
          <w:p w14:paraId="0B81D1B0" w14:textId="77777777" w:rsidR="00341EAF" w:rsidRPr="00F65D5D" w:rsidRDefault="00341EAF" w:rsidP="005A27AA">
            <w:pPr>
              <w:pStyle w:val="ListParagraph"/>
              <w:spacing w:after="0" w:line="240" w:lineRule="auto"/>
              <w:ind w:left="0" w:firstLine="505"/>
              <w:jc w:val="both"/>
              <w:rPr>
                <w:rFonts w:eastAsia="Times New Roman" w:cs="Times New Roman"/>
                <w:szCs w:val="24"/>
                <w:lang w:eastAsia="lv-LV"/>
              </w:rPr>
            </w:pPr>
            <w:r w:rsidRPr="00F65D5D">
              <w:rPr>
                <w:rFonts w:eastAsia="Times New Roman" w:cs="Times New Roman"/>
                <w:szCs w:val="24"/>
                <w:lang w:eastAsia="lv-LV"/>
              </w:rPr>
              <w:t>- paziņo, ka regulāri izmantos Savienības tranzītu;</w:t>
            </w:r>
          </w:p>
          <w:p w14:paraId="0E55F733" w14:textId="561E1D33" w:rsidR="00341EAF" w:rsidRPr="00F65D5D" w:rsidRDefault="00341EAF" w:rsidP="005A27AA">
            <w:pPr>
              <w:pStyle w:val="ListParagraph"/>
              <w:spacing w:after="0" w:line="240" w:lineRule="auto"/>
              <w:ind w:left="0" w:firstLine="505"/>
              <w:jc w:val="both"/>
              <w:rPr>
                <w:rFonts w:eastAsia="Times New Roman" w:cs="Times New Roman"/>
                <w:szCs w:val="24"/>
                <w:lang w:eastAsia="lv-LV"/>
              </w:rPr>
            </w:pPr>
            <w:r w:rsidRPr="00F65D5D">
              <w:rPr>
                <w:rFonts w:eastAsia="Times New Roman" w:cs="Times New Roman"/>
                <w:szCs w:val="24"/>
                <w:lang w:eastAsia="lv-LV"/>
              </w:rPr>
              <w:t xml:space="preserve">- izpilda regulas Nr.952/2013 39.panta </w:t>
            </w:r>
            <w:r w:rsidR="00CA3874">
              <w:rPr>
                <w:rFonts w:eastAsia="Times New Roman" w:cs="Times New Roman"/>
                <w:szCs w:val="24"/>
                <w:lang w:eastAsia="lv-LV"/>
              </w:rPr>
              <w:t>“a”</w:t>
            </w:r>
            <w:r w:rsidRPr="00F65D5D">
              <w:rPr>
                <w:rFonts w:eastAsia="Times New Roman" w:cs="Times New Roman"/>
                <w:szCs w:val="24"/>
                <w:lang w:eastAsia="lv-LV"/>
              </w:rPr>
              <w:t xml:space="preserve">, </w:t>
            </w:r>
            <w:r w:rsidR="00CA3874">
              <w:rPr>
                <w:rFonts w:eastAsia="Times New Roman" w:cs="Times New Roman"/>
                <w:szCs w:val="24"/>
                <w:lang w:eastAsia="lv-LV"/>
              </w:rPr>
              <w:t>“b”</w:t>
            </w:r>
            <w:r w:rsidRPr="00F65D5D">
              <w:rPr>
                <w:rFonts w:eastAsia="Times New Roman" w:cs="Times New Roman"/>
                <w:szCs w:val="24"/>
                <w:lang w:eastAsia="lv-LV"/>
              </w:rPr>
              <w:t xml:space="preserve"> un </w:t>
            </w:r>
            <w:r w:rsidR="00CA3874">
              <w:rPr>
                <w:rFonts w:eastAsia="Times New Roman" w:cs="Times New Roman"/>
                <w:szCs w:val="24"/>
                <w:lang w:eastAsia="lv-LV"/>
              </w:rPr>
              <w:t>“</w:t>
            </w:r>
            <w:r w:rsidRPr="00F65D5D">
              <w:rPr>
                <w:rFonts w:eastAsia="Times New Roman" w:cs="Times New Roman"/>
                <w:szCs w:val="24"/>
                <w:lang w:eastAsia="lv-LV"/>
              </w:rPr>
              <w:t>d</w:t>
            </w:r>
            <w:r w:rsidR="00CA3874">
              <w:rPr>
                <w:rFonts w:eastAsia="Times New Roman" w:cs="Times New Roman"/>
                <w:szCs w:val="24"/>
                <w:lang w:eastAsia="lv-LV"/>
              </w:rPr>
              <w:t>”</w:t>
            </w:r>
            <w:r w:rsidRPr="00F65D5D">
              <w:rPr>
                <w:rFonts w:eastAsia="Times New Roman" w:cs="Times New Roman"/>
                <w:szCs w:val="24"/>
                <w:lang w:eastAsia="lv-LV"/>
              </w:rPr>
              <w:t xml:space="preserve"> apakšpunktā noteiktos kritērijus.</w:t>
            </w:r>
          </w:p>
          <w:p w14:paraId="12F92417" w14:textId="77777777" w:rsidR="0072255E" w:rsidRPr="00F65D5D" w:rsidRDefault="00060EB7" w:rsidP="005A27AA">
            <w:pPr>
              <w:pStyle w:val="ListParagraph"/>
              <w:spacing w:after="0" w:line="240" w:lineRule="auto"/>
              <w:ind w:left="0" w:firstLine="505"/>
              <w:jc w:val="both"/>
              <w:rPr>
                <w:rFonts w:eastAsia="Times New Roman" w:cs="Times New Roman"/>
                <w:szCs w:val="24"/>
                <w:lang w:eastAsia="lv-LV"/>
              </w:rPr>
            </w:pPr>
            <w:r w:rsidRPr="00F65D5D">
              <w:rPr>
                <w:rFonts w:eastAsia="Times New Roman" w:cs="Times New Roman"/>
                <w:szCs w:val="24"/>
                <w:lang w:eastAsia="lv-LV"/>
              </w:rPr>
              <w:t xml:space="preserve">Regulas Nr.2015/2446 191.panta </w:t>
            </w:r>
            <w:r w:rsidR="006B4CF3" w:rsidRPr="00F65D5D">
              <w:rPr>
                <w:rFonts w:eastAsia="Times New Roman" w:cs="Times New Roman"/>
                <w:szCs w:val="24"/>
                <w:lang w:eastAsia="lv-LV"/>
              </w:rPr>
              <w:t xml:space="preserve">un regulas Nr.952/2013 39.panta </w:t>
            </w:r>
            <w:r w:rsidRPr="00F65D5D">
              <w:rPr>
                <w:rFonts w:eastAsia="Times New Roman" w:cs="Times New Roman"/>
                <w:szCs w:val="24"/>
                <w:lang w:eastAsia="lv-LV"/>
              </w:rPr>
              <w:t xml:space="preserve">noteikumi </w:t>
            </w:r>
            <w:r w:rsidRPr="00F65D5D">
              <w:rPr>
                <w:rFonts w:eastAsia="Times New Roman" w:cs="Times New Roman"/>
                <w:i/>
                <w:szCs w:val="24"/>
                <w:lang w:eastAsia="lv-LV"/>
              </w:rPr>
              <w:t>mutatis mutandis</w:t>
            </w:r>
            <w:r w:rsidRPr="00F65D5D">
              <w:rPr>
                <w:rFonts w:eastAsia="Times New Roman" w:cs="Times New Roman"/>
                <w:szCs w:val="24"/>
                <w:lang w:eastAsia="lv-LV"/>
              </w:rPr>
              <w:t xml:space="preserve"> jāattiecina arī uz nacionālajiem Savienības tranzīta procedūras vienkāršojumiem.</w:t>
            </w:r>
          </w:p>
          <w:p w14:paraId="7AEA418C" w14:textId="77777777" w:rsidR="006B4CF3" w:rsidRPr="00F65D5D" w:rsidRDefault="00060EB7">
            <w:pPr>
              <w:pStyle w:val="ListParagraph"/>
              <w:spacing w:after="0" w:line="240" w:lineRule="auto"/>
              <w:ind w:left="0" w:firstLine="505"/>
              <w:jc w:val="both"/>
              <w:rPr>
                <w:rFonts w:cs="Times New Roman"/>
                <w:szCs w:val="24"/>
              </w:rPr>
            </w:pPr>
            <w:r w:rsidRPr="00F65D5D">
              <w:rPr>
                <w:rFonts w:eastAsia="Times New Roman" w:cs="Times New Roman"/>
                <w:szCs w:val="24"/>
                <w:lang w:eastAsia="lv-LV"/>
              </w:rPr>
              <w:t>Atbilstoši minētā dzelzceļa transporta vienkāršojuma specifikai (procedūras pieteikšana, piemērošana, izpilde un pabeigšana)</w:t>
            </w:r>
            <w:r w:rsidR="006B4CF3" w:rsidRPr="00F65D5D">
              <w:rPr>
                <w:rFonts w:eastAsia="Times New Roman" w:cs="Times New Roman"/>
                <w:szCs w:val="24"/>
                <w:lang w:eastAsia="lv-LV"/>
              </w:rPr>
              <w:t>,</w:t>
            </w:r>
            <w:r w:rsidR="006F0096" w:rsidRPr="00F65D5D">
              <w:rPr>
                <w:rFonts w:eastAsia="Times New Roman" w:cs="Times New Roman"/>
                <w:szCs w:val="24"/>
                <w:lang w:eastAsia="lv-LV"/>
              </w:rPr>
              <w:t xml:space="preserve"> noteikumu projekta 5</w:t>
            </w:r>
            <w:r w:rsidR="00D9550C" w:rsidRPr="00F65D5D">
              <w:rPr>
                <w:rFonts w:eastAsia="Times New Roman" w:cs="Times New Roman"/>
                <w:szCs w:val="24"/>
                <w:lang w:eastAsia="lv-LV"/>
              </w:rPr>
              <w:t>7</w:t>
            </w:r>
            <w:r w:rsidR="006F0096" w:rsidRPr="00F65D5D">
              <w:rPr>
                <w:rFonts w:eastAsia="Times New Roman" w:cs="Times New Roman"/>
                <w:szCs w:val="24"/>
                <w:lang w:eastAsia="lv-LV"/>
              </w:rPr>
              <w:t xml:space="preserve">.punkts ir papildināts ar </w:t>
            </w:r>
            <w:r w:rsidR="00D9550C" w:rsidRPr="00F65D5D">
              <w:rPr>
                <w:rFonts w:eastAsia="Times New Roman" w:cs="Times New Roman"/>
                <w:szCs w:val="24"/>
                <w:lang w:eastAsia="lv-LV"/>
              </w:rPr>
              <w:t>jaun</w:t>
            </w:r>
            <w:r w:rsidR="006B4CF3" w:rsidRPr="00F65D5D">
              <w:rPr>
                <w:rFonts w:eastAsia="Times New Roman" w:cs="Times New Roman"/>
                <w:szCs w:val="24"/>
                <w:lang w:eastAsia="lv-LV"/>
              </w:rPr>
              <w:t>iem</w:t>
            </w:r>
            <w:r w:rsidR="00D9550C" w:rsidRPr="00F65D5D">
              <w:rPr>
                <w:rFonts w:eastAsia="Times New Roman" w:cs="Times New Roman"/>
                <w:szCs w:val="24"/>
                <w:lang w:eastAsia="lv-LV"/>
              </w:rPr>
              <w:t xml:space="preserve"> nosacījum</w:t>
            </w:r>
            <w:r w:rsidR="006B4CF3" w:rsidRPr="00F65D5D">
              <w:rPr>
                <w:rFonts w:eastAsia="Times New Roman" w:cs="Times New Roman"/>
                <w:szCs w:val="24"/>
                <w:lang w:eastAsia="lv-LV"/>
              </w:rPr>
              <w:t>iem</w:t>
            </w:r>
            <w:r w:rsidR="00D9550C" w:rsidRPr="00F65D5D">
              <w:rPr>
                <w:rFonts w:eastAsia="Times New Roman" w:cs="Times New Roman"/>
                <w:szCs w:val="24"/>
                <w:lang w:eastAsia="lv-LV"/>
              </w:rPr>
              <w:t xml:space="preserve"> </w:t>
            </w:r>
            <w:r w:rsidR="00D9550C" w:rsidRPr="00F65D5D">
              <w:rPr>
                <w:rFonts w:cs="Times New Roman"/>
                <w:szCs w:val="24"/>
              </w:rPr>
              <w:t xml:space="preserve">starptautiskās dzelzceļa pavadzīmes atbilstoši 1951.gada 1.novembra Nolīgumam par starptautisko (dzelzceļa) kravu satiksmi izmantošanai kā tranzīta deklarāciju, </w:t>
            </w:r>
            <w:r w:rsidR="006B4CF3" w:rsidRPr="00F65D5D">
              <w:rPr>
                <w:rFonts w:cs="Times New Roman"/>
                <w:szCs w:val="24"/>
              </w:rPr>
              <w:t>p</w:t>
            </w:r>
            <w:r w:rsidR="00D9550C" w:rsidRPr="00F65D5D">
              <w:rPr>
                <w:rFonts w:cs="Times New Roman"/>
                <w:szCs w:val="24"/>
              </w:rPr>
              <w:t>roti - ja procedūras izmantotājs</w:t>
            </w:r>
            <w:r w:rsidR="006B4CF3" w:rsidRPr="00F65D5D">
              <w:rPr>
                <w:rFonts w:cs="Times New Roman"/>
                <w:szCs w:val="24"/>
              </w:rPr>
              <w:t>:</w:t>
            </w:r>
          </w:p>
          <w:p w14:paraId="07E184BC" w14:textId="77777777" w:rsidR="006B4CF3" w:rsidRPr="00F65D5D" w:rsidRDefault="006B4CF3" w:rsidP="006B4CF3">
            <w:pPr>
              <w:pStyle w:val="ListParagraph"/>
              <w:spacing w:after="0" w:line="240" w:lineRule="auto"/>
              <w:ind w:left="-19" w:firstLine="567"/>
              <w:jc w:val="both"/>
              <w:rPr>
                <w:rFonts w:cs="Times New Roman"/>
                <w:szCs w:val="24"/>
              </w:rPr>
            </w:pPr>
            <w:r w:rsidRPr="00F65D5D">
              <w:rPr>
                <w:rFonts w:cs="Times New Roman"/>
                <w:szCs w:val="24"/>
              </w:rPr>
              <w:lastRenderedPageBreak/>
              <w:t>- ir dzelzceļa uzņēmums (Latvijas Republikā reģistrēta persona, kura kā pārvadātājs pārvieto preces Latvijas Republikas teritorijā, izmantojot dzelzceļa transportu);</w:t>
            </w:r>
          </w:p>
          <w:p w14:paraId="71ADD0EC" w14:textId="77777777" w:rsidR="006B4CF3" w:rsidRPr="00F65D5D" w:rsidRDefault="006B4CF3" w:rsidP="006B4CF3">
            <w:pPr>
              <w:pStyle w:val="ListParagraph"/>
              <w:spacing w:after="0" w:line="240" w:lineRule="auto"/>
              <w:ind w:left="-19" w:firstLine="567"/>
              <w:jc w:val="both"/>
              <w:rPr>
                <w:rFonts w:cs="Times New Roman"/>
                <w:szCs w:val="24"/>
              </w:rPr>
            </w:pPr>
            <w:r w:rsidRPr="00F65D5D">
              <w:rPr>
                <w:rFonts w:cs="Times New Roman"/>
                <w:szCs w:val="24"/>
              </w:rPr>
              <w:t>- regulāri izmanto Savienības tranzīta procedūru;</w:t>
            </w:r>
          </w:p>
          <w:p w14:paraId="3434E984" w14:textId="77777777" w:rsidR="006B4CF3" w:rsidRPr="00F65D5D" w:rsidRDefault="006B4CF3" w:rsidP="006B4CF3">
            <w:pPr>
              <w:pStyle w:val="ListParagraph"/>
              <w:spacing w:after="0" w:line="240" w:lineRule="auto"/>
              <w:ind w:left="-19" w:firstLine="567"/>
              <w:jc w:val="both"/>
              <w:rPr>
                <w:rFonts w:cs="Times New Roman"/>
                <w:szCs w:val="24"/>
              </w:rPr>
            </w:pPr>
            <w:r w:rsidRPr="00F65D5D">
              <w:rPr>
                <w:rFonts w:cs="Times New Roman"/>
                <w:szCs w:val="24"/>
              </w:rPr>
              <w:t>- nav sodāmības par Muitas likuma 28.pantā noteiktajiem nopietniem vai atkārtotiem muitas vai nodokļu noteikumu pārkāpumiem;</w:t>
            </w:r>
          </w:p>
          <w:p w14:paraId="6CEF497D" w14:textId="77777777" w:rsidR="006B4CF3" w:rsidRPr="00F65D5D" w:rsidRDefault="006B4CF3" w:rsidP="006B4CF3">
            <w:pPr>
              <w:pStyle w:val="ListParagraph"/>
              <w:spacing w:after="0" w:line="240" w:lineRule="auto"/>
              <w:ind w:left="-19" w:firstLine="567"/>
              <w:jc w:val="both"/>
              <w:rPr>
                <w:rFonts w:cs="Times New Roman"/>
                <w:szCs w:val="24"/>
              </w:rPr>
            </w:pPr>
            <w:r w:rsidRPr="00F65D5D">
              <w:rPr>
                <w:rFonts w:cs="Times New Roman"/>
                <w:szCs w:val="24"/>
              </w:rPr>
              <w:t>- ir saņēmis atļauju izmantot vispārējo galvojumu;</w:t>
            </w:r>
          </w:p>
          <w:p w14:paraId="32E326C3" w14:textId="77777777" w:rsidR="006F0096" w:rsidRPr="00F65D5D" w:rsidRDefault="006B4CF3" w:rsidP="006B4CF3">
            <w:pPr>
              <w:pStyle w:val="ListParagraph"/>
              <w:spacing w:after="0" w:line="240" w:lineRule="auto"/>
              <w:ind w:left="-19" w:firstLine="567"/>
              <w:jc w:val="both"/>
              <w:rPr>
                <w:rFonts w:eastAsia="Times New Roman" w:cs="Times New Roman"/>
                <w:szCs w:val="24"/>
                <w:lang w:eastAsia="lv-LV"/>
              </w:rPr>
            </w:pPr>
            <w:r w:rsidRPr="00F65D5D">
              <w:rPr>
                <w:rFonts w:cs="Times New Roman"/>
                <w:szCs w:val="24"/>
              </w:rPr>
              <w:t>- nodrošina Savienības tranzīta procedūras pieteikšanu, precu izlaišanu Savienības tranzīta procedūrā, Savienības tranzīta procedūras izpildi, Savienības tranzīta procedūras pabeigšanu un informācijas apmaiņu muitas iestādes noteiktajā kārtībā</w:t>
            </w:r>
            <w:r w:rsidR="000334EA" w:rsidRPr="00F65D5D">
              <w:rPr>
                <w:rFonts w:cs="Times New Roman"/>
              </w:rPr>
              <w:t xml:space="preserve"> </w:t>
            </w:r>
            <w:r w:rsidR="000334EA" w:rsidRPr="00F65D5D">
              <w:rPr>
                <w:rFonts w:cs="Times New Roman"/>
                <w:szCs w:val="24"/>
              </w:rPr>
              <w:t>(preču muitas uzraudzības meto</w:t>
            </w:r>
            <w:r w:rsidR="00526C7F" w:rsidRPr="00F65D5D">
              <w:rPr>
                <w:rFonts w:cs="Times New Roman"/>
                <w:szCs w:val="24"/>
              </w:rPr>
              <w:t>dikas</w:t>
            </w:r>
            <w:r w:rsidR="000334EA" w:rsidRPr="00F65D5D">
              <w:rPr>
                <w:rFonts w:cs="Times New Roman"/>
                <w:szCs w:val="24"/>
              </w:rPr>
              <w:t xml:space="preserve"> noteikšana, ja tiek izmantots šāds tranzīta procedūras </w:t>
            </w:r>
            <w:r w:rsidR="00526C7F" w:rsidRPr="00F65D5D">
              <w:rPr>
                <w:rFonts w:cs="Times New Roman"/>
                <w:szCs w:val="24"/>
              </w:rPr>
              <w:t>vienkāršojums</w:t>
            </w:r>
            <w:r w:rsidR="000334EA" w:rsidRPr="00F65D5D">
              <w:rPr>
                <w:rFonts w:cs="Times New Roman"/>
                <w:szCs w:val="24"/>
              </w:rPr>
              <w:t>).</w:t>
            </w:r>
          </w:p>
          <w:p w14:paraId="4F52E579" w14:textId="77777777" w:rsidR="002B5AF6" w:rsidRPr="00F65D5D" w:rsidRDefault="002B5AF6" w:rsidP="00013BC5">
            <w:pPr>
              <w:pStyle w:val="ListParagraph"/>
              <w:spacing w:after="0" w:line="240" w:lineRule="auto"/>
              <w:ind w:left="0" w:firstLine="505"/>
              <w:jc w:val="both"/>
              <w:rPr>
                <w:rFonts w:eastAsia="Times New Roman" w:cs="Times New Roman"/>
                <w:szCs w:val="24"/>
                <w:lang w:eastAsia="lv-LV"/>
              </w:rPr>
            </w:pPr>
          </w:p>
          <w:p w14:paraId="3A3A3C9B" w14:textId="2C818254" w:rsidR="009A0335" w:rsidRPr="00F65D5D" w:rsidRDefault="00FA4A39" w:rsidP="00740A97">
            <w:pPr>
              <w:pStyle w:val="ListParagraph"/>
              <w:spacing w:after="0" w:line="240" w:lineRule="auto"/>
              <w:ind w:left="-27" w:firstLine="485"/>
              <w:jc w:val="both"/>
              <w:rPr>
                <w:rFonts w:eastAsia="Times New Roman" w:cs="Times New Roman"/>
                <w:szCs w:val="24"/>
                <w:lang w:eastAsia="lv-LV"/>
              </w:rPr>
            </w:pPr>
            <w:r w:rsidRPr="00F65D5D">
              <w:rPr>
                <w:rFonts w:eastAsia="Times New Roman" w:cs="Times New Roman"/>
                <w:szCs w:val="24"/>
                <w:lang w:eastAsia="lv-LV"/>
              </w:rPr>
              <w:t>8</w:t>
            </w:r>
            <w:r w:rsidR="002B5AF6" w:rsidRPr="00F65D5D">
              <w:rPr>
                <w:rFonts w:eastAsia="Times New Roman" w:cs="Times New Roman"/>
                <w:szCs w:val="24"/>
                <w:lang w:eastAsia="lv-LV"/>
              </w:rPr>
              <w:t xml:space="preserve">. </w:t>
            </w:r>
            <w:r w:rsidR="009A0335" w:rsidRPr="00F65D5D">
              <w:rPr>
                <w:rFonts w:eastAsia="Times New Roman" w:cs="Times New Roman"/>
                <w:szCs w:val="24"/>
                <w:lang w:eastAsia="lv-LV"/>
              </w:rPr>
              <w:t>M</w:t>
            </w:r>
            <w:r w:rsidR="00681500" w:rsidRPr="00F65D5D">
              <w:rPr>
                <w:rFonts w:eastAsia="Times New Roman" w:cs="Times New Roman"/>
                <w:szCs w:val="24"/>
                <w:lang w:eastAsia="lv-LV"/>
              </w:rPr>
              <w:t>inistru kabineta</w:t>
            </w:r>
            <w:r w:rsidR="009A0335" w:rsidRPr="00F65D5D">
              <w:rPr>
                <w:rFonts w:eastAsia="Times New Roman" w:cs="Times New Roman"/>
                <w:szCs w:val="24"/>
                <w:lang w:eastAsia="lv-LV"/>
              </w:rPr>
              <w:t xml:space="preserve"> noteikumu Nr.603 41.punkt</w:t>
            </w:r>
            <w:r w:rsidR="00681500" w:rsidRPr="00F65D5D">
              <w:rPr>
                <w:rFonts w:eastAsia="Times New Roman" w:cs="Times New Roman"/>
                <w:szCs w:val="24"/>
                <w:lang w:eastAsia="lv-LV"/>
              </w:rPr>
              <w:t>s</w:t>
            </w:r>
            <w:r w:rsidR="009A0335" w:rsidRPr="00F65D5D">
              <w:rPr>
                <w:rFonts w:eastAsia="Times New Roman" w:cs="Times New Roman"/>
                <w:szCs w:val="24"/>
                <w:lang w:eastAsia="lv-LV"/>
              </w:rPr>
              <w:t xml:space="preserve"> no</w:t>
            </w:r>
            <w:r w:rsidR="00681500" w:rsidRPr="00F65D5D">
              <w:rPr>
                <w:rFonts w:eastAsia="Times New Roman" w:cs="Times New Roman"/>
                <w:szCs w:val="24"/>
                <w:lang w:eastAsia="lv-LV"/>
              </w:rPr>
              <w:t>saka</w:t>
            </w:r>
            <w:r w:rsidR="009A0335" w:rsidRPr="00F65D5D">
              <w:rPr>
                <w:rFonts w:eastAsia="Times New Roman" w:cs="Times New Roman"/>
                <w:szCs w:val="24"/>
                <w:lang w:eastAsia="lv-LV"/>
              </w:rPr>
              <w:t xml:space="preserve"> ka, pārvietojot preces, kurām nav Eiropas Kopienas preču statusa un kuras netiek apliktas ar akcīzes nodokli, ar autotransportu starp divām brīvajām zonām viena muitas kontroles punkta ietvaros Liepājas speciālās ekonomiskās zonas, Rīgas brīvostas un Ventspils brīvostas teritorijā, tās deklarē, izmantojot preču transporta pavadzīmi. Preču pārvietošanas kārtību saskaņo ar uzraudzības muitas iestādi (muitas kontroles punktu). Minētais tranzīta procedūras vienkāršojums </w:t>
            </w:r>
            <w:r w:rsidR="00681500" w:rsidRPr="00F65D5D">
              <w:rPr>
                <w:rFonts w:eastAsia="Times New Roman" w:cs="Times New Roman"/>
                <w:szCs w:val="24"/>
                <w:lang w:eastAsia="lv-LV"/>
              </w:rPr>
              <w:t xml:space="preserve">Latvijas normatīvajos aktos </w:t>
            </w:r>
            <w:r w:rsidR="00066758">
              <w:rPr>
                <w:rFonts w:eastAsia="Times New Roman" w:cs="Times New Roman"/>
                <w:szCs w:val="24"/>
                <w:lang w:eastAsia="lv-LV"/>
              </w:rPr>
              <w:t xml:space="preserve">tika </w:t>
            </w:r>
            <w:r w:rsidR="009A0335" w:rsidRPr="00F65D5D">
              <w:rPr>
                <w:rFonts w:eastAsia="Times New Roman" w:cs="Times New Roman"/>
                <w:szCs w:val="24"/>
                <w:lang w:eastAsia="lv-LV"/>
              </w:rPr>
              <w:t xml:space="preserve">ieviests atbilstoši Padomes 1992.gada 12.oktobra Regulas (EEK) Nr.2913/92 par Kopienas Muitas kodeksa izveidi 97.panta 2.punkta </w:t>
            </w:r>
            <w:r w:rsidR="00CA3874">
              <w:rPr>
                <w:rFonts w:eastAsia="Times New Roman" w:cs="Times New Roman"/>
                <w:szCs w:val="24"/>
                <w:lang w:eastAsia="lv-LV"/>
              </w:rPr>
              <w:t>“</w:t>
            </w:r>
            <w:r w:rsidR="009A0335" w:rsidRPr="00F65D5D">
              <w:rPr>
                <w:rFonts w:eastAsia="Times New Roman" w:cs="Times New Roman"/>
                <w:szCs w:val="24"/>
                <w:lang w:eastAsia="lv-LV"/>
              </w:rPr>
              <w:t>b</w:t>
            </w:r>
            <w:r w:rsidR="00CA3874">
              <w:rPr>
                <w:rFonts w:eastAsia="Times New Roman" w:cs="Times New Roman"/>
                <w:szCs w:val="24"/>
                <w:lang w:eastAsia="lv-LV"/>
              </w:rPr>
              <w:t>”</w:t>
            </w:r>
            <w:r w:rsidR="009A0335" w:rsidRPr="00F65D5D">
              <w:rPr>
                <w:rFonts w:eastAsia="Times New Roman" w:cs="Times New Roman"/>
                <w:szCs w:val="24"/>
                <w:lang w:eastAsia="lv-LV"/>
              </w:rPr>
              <w:t xml:space="preserve"> apakšpunktā noteiktajam, ka katrai dalībvalstij ir tiesības dažos gadījumos noteikt vienkāršotas ārējā tranzīta procedūras precēm, kuras nav paredzēts pārvietot citas dalībvalsts teritorijā. Saskaņā ar regulas Nr.952/2013 286.panta 2.punktu</w:t>
            </w:r>
            <w:r w:rsidR="00681500" w:rsidRPr="00F65D5D">
              <w:rPr>
                <w:rFonts w:eastAsia="Times New Roman" w:cs="Times New Roman"/>
                <w:szCs w:val="24"/>
                <w:lang w:eastAsia="lv-LV"/>
              </w:rPr>
              <w:t>,</w:t>
            </w:r>
            <w:r w:rsidR="009A0335" w:rsidRPr="00F65D5D">
              <w:rPr>
                <w:rFonts w:eastAsia="Times New Roman" w:cs="Times New Roman"/>
                <w:szCs w:val="24"/>
                <w:lang w:eastAsia="lv-LV"/>
              </w:rPr>
              <w:t xml:space="preserve"> Padomes 1992.gada 12.oktobra Regula (EEK) Nr.2913/92 par Kopienas Muitas kodeksa izveidi</w:t>
            </w:r>
            <w:r w:rsidR="00681500" w:rsidRPr="00F65D5D">
              <w:rPr>
                <w:rFonts w:eastAsia="Times New Roman" w:cs="Times New Roman"/>
                <w:szCs w:val="24"/>
                <w:lang w:eastAsia="lv-LV"/>
              </w:rPr>
              <w:t>,</w:t>
            </w:r>
            <w:r w:rsidR="009A0335" w:rsidRPr="00F65D5D">
              <w:rPr>
                <w:rFonts w:eastAsia="Times New Roman" w:cs="Times New Roman"/>
                <w:szCs w:val="24"/>
                <w:lang w:eastAsia="lv-LV"/>
              </w:rPr>
              <w:t xml:space="preserve"> </w:t>
            </w:r>
            <w:r w:rsidR="00681500" w:rsidRPr="00F65D5D">
              <w:rPr>
                <w:rFonts w:eastAsia="Times New Roman" w:cs="Times New Roman"/>
                <w:szCs w:val="24"/>
                <w:lang w:eastAsia="lv-LV"/>
              </w:rPr>
              <w:t xml:space="preserve">zaudē spēku </w:t>
            </w:r>
            <w:r w:rsidR="009A0335" w:rsidRPr="00F65D5D">
              <w:rPr>
                <w:rFonts w:eastAsia="Times New Roman" w:cs="Times New Roman"/>
                <w:szCs w:val="24"/>
                <w:lang w:eastAsia="lv-LV"/>
              </w:rPr>
              <w:t>ar 2016.gada 1.maiju</w:t>
            </w:r>
            <w:r w:rsidR="00681500" w:rsidRPr="00F65D5D">
              <w:rPr>
                <w:rFonts w:eastAsia="Times New Roman" w:cs="Times New Roman"/>
                <w:szCs w:val="24"/>
                <w:lang w:eastAsia="lv-LV"/>
              </w:rPr>
              <w:t>.</w:t>
            </w:r>
            <w:r w:rsidR="009A0335" w:rsidRPr="00F65D5D">
              <w:rPr>
                <w:rFonts w:eastAsia="Times New Roman" w:cs="Times New Roman"/>
                <w:szCs w:val="24"/>
                <w:lang w:eastAsia="lv-LV"/>
              </w:rPr>
              <w:t xml:space="preserve"> </w:t>
            </w:r>
          </w:p>
          <w:p w14:paraId="6733E47E" w14:textId="77777777" w:rsidR="00451A1A" w:rsidRPr="00F65D5D" w:rsidRDefault="007E7FEB" w:rsidP="00013BC5">
            <w:pPr>
              <w:pStyle w:val="ListParagraph"/>
              <w:spacing w:after="0" w:line="240" w:lineRule="auto"/>
              <w:ind w:left="0" w:firstLine="505"/>
              <w:jc w:val="both"/>
              <w:rPr>
                <w:rFonts w:eastAsia="Times New Roman" w:cs="Times New Roman"/>
                <w:szCs w:val="24"/>
                <w:lang w:eastAsia="lv-LV"/>
              </w:rPr>
            </w:pPr>
            <w:r w:rsidRPr="00F65D5D">
              <w:rPr>
                <w:rFonts w:eastAsia="Times New Roman" w:cs="Times New Roman"/>
                <w:szCs w:val="24"/>
                <w:lang w:eastAsia="lv-LV"/>
              </w:rPr>
              <w:t>Savienības tranzīta procedūras vienkāršojumu veidi ir noteikti regulas Nr.952/2013 233.panta 4.punktā, savukārt regulā Nr.201</w:t>
            </w:r>
            <w:r w:rsidR="00770F73" w:rsidRPr="00F65D5D">
              <w:rPr>
                <w:rFonts w:eastAsia="Times New Roman" w:cs="Times New Roman"/>
                <w:szCs w:val="24"/>
                <w:lang w:eastAsia="lv-LV"/>
              </w:rPr>
              <w:t>6</w:t>
            </w:r>
            <w:r w:rsidRPr="00F65D5D">
              <w:rPr>
                <w:rFonts w:eastAsia="Times New Roman" w:cs="Times New Roman"/>
                <w:szCs w:val="24"/>
                <w:lang w:eastAsia="lv-LV"/>
              </w:rPr>
              <w:t>/</w:t>
            </w:r>
            <w:r w:rsidR="00770F73" w:rsidRPr="00F65D5D">
              <w:rPr>
                <w:rFonts w:eastAsia="Times New Roman" w:cs="Times New Roman"/>
                <w:szCs w:val="24"/>
                <w:lang w:eastAsia="lv-LV"/>
              </w:rPr>
              <w:t xml:space="preserve">341 </w:t>
            </w:r>
            <w:r w:rsidRPr="00F65D5D">
              <w:rPr>
                <w:rFonts w:eastAsia="Times New Roman" w:cs="Times New Roman"/>
                <w:szCs w:val="24"/>
                <w:lang w:eastAsia="lv-LV"/>
              </w:rPr>
              <w:t>ir noteikti daži Savienības tranzīta procedūras vienkāršojumi, kas nav paredzēti regulas Nr.952/2013 233.panta 4.punkt</w:t>
            </w:r>
            <w:r w:rsidR="00770F73" w:rsidRPr="00F65D5D">
              <w:rPr>
                <w:rFonts w:eastAsia="Times New Roman" w:cs="Times New Roman"/>
                <w:szCs w:val="24"/>
                <w:lang w:eastAsia="lv-LV"/>
              </w:rPr>
              <w:t>ā</w:t>
            </w:r>
            <w:r w:rsidRPr="00F65D5D">
              <w:rPr>
                <w:rFonts w:eastAsia="Times New Roman" w:cs="Times New Roman"/>
                <w:szCs w:val="24"/>
                <w:lang w:eastAsia="lv-LV"/>
              </w:rPr>
              <w:t xml:space="preserve"> un ir piemērojami līdz</w:t>
            </w:r>
            <w:r w:rsidR="00681500" w:rsidRPr="00F65D5D">
              <w:rPr>
                <w:rFonts w:eastAsia="Times New Roman" w:cs="Times New Roman"/>
                <w:szCs w:val="24"/>
                <w:lang w:eastAsia="lv-LV"/>
              </w:rPr>
              <w:t xml:space="preserve"> </w:t>
            </w:r>
            <w:r w:rsidRPr="00F65D5D">
              <w:rPr>
                <w:rFonts w:eastAsia="Times New Roman" w:cs="Times New Roman"/>
                <w:szCs w:val="24"/>
                <w:lang w:eastAsia="lv-LV"/>
              </w:rPr>
              <w:t>regulas Nr.201</w:t>
            </w:r>
            <w:r w:rsidR="00681500" w:rsidRPr="00F65D5D">
              <w:rPr>
                <w:rFonts w:eastAsia="Times New Roman" w:cs="Times New Roman"/>
                <w:szCs w:val="24"/>
                <w:lang w:eastAsia="lv-LV"/>
              </w:rPr>
              <w:t>6</w:t>
            </w:r>
            <w:r w:rsidRPr="00F65D5D">
              <w:rPr>
                <w:rFonts w:eastAsia="Times New Roman" w:cs="Times New Roman"/>
                <w:szCs w:val="24"/>
                <w:lang w:eastAsia="lv-LV"/>
              </w:rPr>
              <w:t>/</w:t>
            </w:r>
            <w:r w:rsidR="00681500" w:rsidRPr="00F65D5D">
              <w:rPr>
                <w:rFonts w:eastAsia="Times New Roman" w:cs="Times New Roman"/>
                <w:szCs w:val="24"/>
                <w:lang w:eastAsia="lv-LV"/>
              </w:rPr>
              <w:t xml:space="preserve">341 </w:t>
            </w:r>
            <w:r w:rsidRPr="00F65D5D">
              <w:rPr>
                <w:rFonts w:eastAsia="Times New Roman" w:cs="Times New Roman"/>
                <w:szCs w:val="24"/>
                <w:lang w:eastAsia="lv-LV"/>
              </w:rPr>
              <w:t>24.pant</w:t>
            </w:r>
            <w:r w:rsidR="00681500" w:rsidRPr="00F65D5D">
              <w:rPr>
                <w:rFonts w:eastAsia="Times New Roman" w:cs="Times New Roman"/>
                <w:szCs w:val="24"/>
                <w:lang w:eastAsia="lv-LV"/>
              </w:rPr>
              <w:t>ā</w:t>
            </w:r>
            <w:r w:rsidRPr="00F65D5D">
              <w:rPr>
                <w:rFonts w:eastAsia="Times New Roman" w:cs="Times New Roman"/>
                <w:szCs w:val="24"/>
                <w:lang w:eastAsia="lv-LV"/>
              </w:rPr>
              <w:t xml:space="preserve"> noteiktajam </w:t>
            </w:r>
            <w:r w:rsidR="00681500" w:rsidRPr="00F65D5D">
              <w:rPr>
                <w:rFonts w:eastAsia="Times New Roman" w:cs="Times New Roman"/>
                <w:szCs w:val="24"/>
                <w:lang w:eastAsia="lv-LV"/>
              </w:rPr>
              <w:t>pārejas periodam</w:t>
            </w:r>
            <w:r w:rsidR="009A0335" w:rsidRPr="00F65D5D">
              <w:rPr>
                <w:rFonts w:eastAsia="Times New Roman" w:cs="Times New Roman"/>
                <w:szCs w:val="24"/>
                <w:lang w:eastAsia="lv-LV"/>
              </w:rPr>
              <w:t xml:space="preserve">. </w:t>
            </w:r>
          </w:p>
          <w:p w14:paraId="4CD19BFA" w14:textId="15F64C71" w:rsidR="009A0335" w:rsidRPr="00F65D5D" w:rsidRDefault="009A0335" w:rsidP="00013BC5">
            <w:pPr>
              <w:pStyle w:val="ListParagraph"/>
              <w:spacing w:after="0" w:line="240" w:lineRule="auto"/>
              <w:ind w:left="0" w:firstLine="505"/>
              <w:jc w:val="both"/>
              <w:rPr>
                <w:rFonts w:eastAsia="Times New Roman" w:cs="Times New Roman"/>
                <w:szCs w:val="24"/>
                <w:lang w:eastAsia="lv-LV"/>
              </w:rPr>
            </w:pPr>
            <w:r w:rsidRPr="00F65D5D">
              <w:rPr>
                <w:rFonts w:eastAsia="Times New Roman" w:cs="Times New Roman"/>
                <w:szCs w:val="24"/>
                <w:lang w:eastAsia="lv-LV"/>
              </w:rPr>
              <w:t>Minētie normatīvie akti vairs nepiešķir Eiropas Savienības dalībvalstīm deleģējumu noteikt citus Savienības tranzīta procedūras vienkāršojumus, ta</w:t>
            </w:r>
            <w:r w:rsidR="00770F73" w:rsidRPr="00F65D5D">
              <w:rPr>
                <w:rFonts w:eastAsia="Times New Roman" w:cs="Times New Roman"/>
                <w:szCs w:val="24"/>
                <w:lang w:eastAsia="lv-LV"/>
              </w:rPr>
              <w:t>jā</w:t>
            </w:r>
            <w:r w:rsidRPr="00F65D5D">
              <w:rPr>
                <w:rFonts w:eastAsia="Times New Roman" w:cs="Times New Roman"/>
                <w:szCs w:val="24"/>
                <w:lang w:eastAsia="lv-LV"/>
              </w:rPr>
              <w:t xml:space="preserve"> skaitā</w:t>
            </w:r>
            <w:r w:rsidR="00770F73" w:rsidRPr="00F65D5D">
              <w:rPr>
                <w:rFonts w:eastAsia="Times New Roman" w:cs="Times New Roman"/>
                <w:szCs w:val="24"/>
                <w:lang w:eastAsia="lv-LV"/>
              </w:rPr>
              <w:t>,</w:t>
            </w:r>
            <w:r w:rsidRPr="00F65D5D">
              <w:rPr>
                <w:rFonts w:eastAsia="Times New Roman" w:cs="Times New Roman"/>
                <w:szCs w:val="24"/>
                <w:lang w:eastAsia="lv-LV"/>
              </w:rPr>
              <w:t xml:space="preserve"> tranzīta kravu pārvietošanu starp divām </w:t>
            </w:r>
            <w:r w:rsidRPr="00476370">
              <w:rPr>
                <w:rFonts w:eastAsia="Times New Roman" w:cs="Times New Roman"/>
                <w:szCs w:val="24"/>
                <w:lang w:eastAsia="lv-LV"/>
              </w:rPr>
              <w:t xml:space="preserve">brīvostas </w:t>
            </w:r>
            <w:r w:rsidR="00B37178" w:rsidRPr="00476370">
              <w:rPr>
                <w:rFonts w:eastAsia="Times New Roman" w:cs="Times New Roman"/>
                <w:szCs w:val="24"/>
                <w:lang w:eastAsia="lv-LV"/>
              </w:rPr>
              <w:t>vai speciālās ekonomiskās zonas</w:t>
            </w:r>
            <w:r w:rsidR="00B37178" w:rsidRPr="00B37178">
              <w:rPr>
                <w:rFonts w:eastAsia="Times New Roman" w:cs="Times New Roman"/>
                <w:szCs w:val="24"/>
                <w:lang w:eastAsia="lv-LV"/>
              </w:rPr>
              <w:t xml:space="preserve"> </w:t>
            </w:r>
            <w:r w:rsidRPr="00F65D5D">
              <w:rPr>
                <w:rFonts w:eastAsia="Times New Roman" w:cs="Times New Roman"/>
                <w:szCs w:val="24"/>
                <w:lang w:eastAsia="lv-LV"/>
              </w:rPr>
              <w:t xml:space="preserve">brīvajām zonām, izmantojot preču transporta pavadzīmi. </w:t>
            </w:r>
            <w:r w:rsidR="00770F73" w:rsidRPr="00F65D5D">
              <w:rPr>
                <w:rFonts w:eastAsia="Times New Roman" w:cs="Times New Roman"/>
                <w:szCs w:val="24"/>
                <w:lang w:eastAsia="lv-LV"/>
              </w:rPr>
              <w:t>Tādējādi</w:t>
            </w:r>
            <w:r w:rsidR="008D7F7F" w:rsidRPr="00F65D5D">
              <w:rPr>
                <w:rFonts w:eastAsia="Times New Roman" w:cs="Times New Roman"/>
                <w:szCs w:val="24"/>
                <w:lang w:eastAsia="lv-LV"/>
              </w:rPr>
              <w:t>,</w:t>
            </w:r>
            <w:r w:rsidR="00770F73" w:rsidRPr="00F65D5D">
              <w:rPr>
                <w:rFonts w:eastAsia="Times New Roman" w:cs="Times New Roman"/>
                <w:szCs w:val="24"/>
                <w:lang w:eastAsia="lv-LV"/>
              </w:rPr>
              <w:t xml:space="preserve"> a</w:t>
            </w:r>
            <w:r w:rsidRPr="00F65D5D">
              <w:rPr>
                <w:rFonts w:eastAsia="Times New Roman" w:cs="Times New Roman"/>
                <w:szCs w:val="24"/>
                <w:lang w:eastAsia="lv-LV"/>
              </w:rPr>
              <w:t>tbilstoši minētajam, M</w:t>
            </w:r>
            <w:r w:rsidR="00770F73" w:rsidRPr="00F65D5D">
              <w:rPr>
                <w:rFonts w:eastAsia="Times New Roman" w:cs="Times New Roman"/>
                <w:szCs w:val="24"/>
                <w:lang w:eastAsia="lv-LV"/>
              </w:rPr>
              <w:t>inistr</w:t>
            </w:r>
            <w:r w:rsidR="00293F90" w:rsidRPr="00F65D5D">
              <w:rPr>
                <w:rFonts w:eastAsia="Times New Roman" w:cs="Times New Roman"/>
                <w:szCs w:val="24"/>
                <w:lang w:eastAsia="lv-LV"/>
              </w:rPr>
              <w:t>u</w:t>
            </w:r>
            <w:r w:rsidR="00770F73" w:rsidRPr="00F65D5D">
              <w:rPr>
                <w:rFonts w:eastAsia="Times New Roman" w:cs="Times New Roman"/>
                <w:szCs w:val="24"/>
                <w:lang w:eastAsia="lv-LV"/>
              </w:rPr>
              <w:t xml:space="preserve"> kabineta</w:t>
            </w:r>
            <w:r w:rsidRPr="00F65D5D">
              <w:rPr>
                <w:rFonts w:eastAsia="Times New Roman" w:cs="Times New Roman"/>
                <w:szCs w:val="24"/>
                <w:lang w:eastAsia="lv-LV"/>
              </w:rPr>
              <w:t xml:space="preserve"> noteikumu Nr.603 41.punkta norma </w:t>
            </w:r>
            <w:r w:rsidR="00770F73" w:rsidRPr="00F65D5D">
              <w:rPr>
                <w:rFonts w:eastAsia="Times New Roman" w:cs="Times New Roman"/>
                <w:szCs w:val="24"/>
                <w:lang w:eastAsia="lv-LV"/>
              </w:rPr>
              <w:t xml:space="preserve">no </w:t>
            </w:r>
            <w:r w:rsidRPr="00F65D5D">
              <w:rPr>
                <w:rFonts w:eastAsia="Times New Roman" w:cs="Times New Roman"/>
                <w:szCs w:val="24"/>
                <w:lang w:eastAsia="lv-LV"/>
              </w:rPr>
              <w:t>2016.gada 1.maij</w:t>
            </w:r>
            <w:r w:rsidR="00770F73" w:rsidRPr="00F65D5D">
              <w:rPr>
                <w:rFonts w:eastAsia="Times New Roman" w:cs="Times New Roman"/>
                <w:szCs w:val="24"/>
                <w:lang w:eastAsia="lv-LV"/>
              </w:rPr>
              <w:t>a</w:t>
            </w:r>
            <w:r w:rsidRPr="00F65D5D">
              <w:rPr>
                <w:rFonts w:eastAsia="Times New Roman" w:cs="Times New Roman"/>
                <w:szCs w:val="24"/>
                <w:lang w:eastAsia="lv-LV"/>
              </w:rPr>
              <w:t xml:space="preserve"> </w:t>
            </w:r>
            <w:r w:rsidR="00770F73" w:rsidRPr="00F65D5D">
              <w:rPr>
                <w:rFonts w:eastAsia="Times New Roman" w:cs="Times New Roman"/>
                <w:szCs w:val="24"/>
                <w:lang w:eastAsia="lv-LV"/>
              </w:rPr>
              <w:t xml:space="preserve">vairs </w:t>
            </w:r>
            <w:r w:rsidRPr="00F65D5D">
              <w:rPr>
                <w:rFonts w:eastAsia="Times New Roman" w:cs="Times New Roman"/>
                <w:szCs w:val="24"/>
                <w:lang w:eastAsia="lv-LV"/>
              </w:rPr>
              <w:t>nav piemērojama</w:t>
            </w:r>
            <w:r w:rsidR="00D9550C" w:rsidRPr="00F65D5D">
              <w:rPr>
                <w:rFonts w:eastAsia="Times New Roman" w:cs="Times New Roman"/>
                <w:szCs w:val="24"/>
                <w:lang w:eastAsia="lv-LV"/>
              </w:rPr>
              <w:t>, attiecīgi šāds regulējums noteikumu projektā nav iekļauts.</w:t>
            </w:r>
          </w:p>
          <w:p w14:paraId="2059965F" w14:textId="77777777" w:rsidR="009A0335" w:rsidRPr="00F65D5D" w:rsidRDefault="009A0335" w:rsidP="00013BC5">
            <w:pPr>
              <w:pStyle w:val="ListParagraph"/>
              <w:spacing w:after="0" w:line="240" w:lineRule="auto"/>
              <w:ind w:left="0" w:firstLine="505"/>
              <w:jc w:val="both"/>
              <w:rPr>
                <w:rFonts w:eastAsia="Times New Roman" w:cs="Times New Roman"/>
                <w:szCs w:val="24"/>
                <w:lang w:eastAsia="lv-LV"/>
              </w:rPr>
            </w:pPr>
          </w:p>
          <w:p w14:paraId="583C2C15" w14:textId="3667B667" w:rsidR="00E2295C" w:rsidRPr="00476370" w:rsidRDefault="00D12A2B" w:rsidP="00E2295C">
            <w:pPr>
              <w:pStyle w:val="CM4"/>
              <w:ind w:firstLine="539"/>
              <w:jc w:val="both"/>
              <w:rPr>
                <w:color w:val="000000"/>
              </w:rPr>
            </w:pPr>
            <w:r w:rsidRPr="00F65D5D">
              <w:t xml:space="preserve">9. </w:t>
            </w:r>
            <w:r w:rsidR="00E2295C" w:rsidRPr="00F65D5D">
              <w:t xml:space="preserve">Projekta 58.punktā tiek paredzēti nosacījumi, kad </w:t>
            </w:r>
            <w:r w:rsidR="00533B64" w:rsidRPr="00476370">
              <w:t>galamērķa muitas iestāde</w:t>
            </w:r>
            <w:r w:rsidR="00D714D6" w:rsidRPr="00476370">
              <w:t>i</w:t>
            </w:r>
            <w:r w:rsidR="00476370">
              <w:rPr>
                <w:b/>
              </w:rPr>
              <w:t xml:space="preserve"> </w:t>
            </w:r>
            <w:r w:rsidR="00476370" w:rsidRPr="001A6CEB">
              <w:t>vai atzītajam saņēmējam</w:t>
            </w:r>
            <w:r w:rsidR="00533B64" w:rsidRPr="00CC676B">
              <w:rPr>
                <w:b/>
              </w:rPr>
              <w:t xml:space="preserve"> </w:t>
            </w:r>
            <w:r w:rsidR="00533B64" w:rsidRPr="00476370">
              <w:t>konstatējot</w:t>
            </w:r>
            <w:r w:rsidR="00D56C9D" w:rsidRPr="00476370">
              <w:t xml:space="preserve"> </w:t>
            </w:r>
            <w:r w:rsidR="00533B64" w:rsidRPr="00476370">
              <w:t>uzrādītās preces daudzuma neatbilstību Savienības tranzīta deklarācijā norādītajam</w:t>
            </w:r>
            <w:r w:rsidR="004A01FB" w:rsidRPr="00476370">
              <w:t xml:space="preserve"> dau</w:t>
            </w:r>
            <w:r w:rsidR="00066758" w:rsidRPr="00476370">
              <w:t>d</w:t>
            </w:r>
            <w:r w:rsidR="004A01FB" w:rsidRPr="00476370">
              <w:t>z</w:t>
            </w:r>
            <w:r w:rsidR="00066758" w:rsidRPr="00476370">
              <w:t>umam</w:t>
            </w:r>
            <w:r w:rsidR="00533B64" w:rsidRPr="00476370">
              <w:t xml:space="preserve">, iztrūkstošās preces neuzskata par izņemtām no muitas uzraudzības Eiropas Savienības muitas </w:t>
            </w:r>
            <w:r w:rsidR="00533B64" w:rsidRPr="00476370">
              <w:lastRenderedPageBreak/>
              <w:t>teritorijā</w:t>
            </w:r>
            <w:r w:rsidR="00E2295C" w:rsidRPr="00476370">
              <w:t xml:space="preserve">, proti, </w:t>
            </w:r>
            <w:r w:rsidR="00533B64" w:rsidRPr="00476370">
              <w:t>tiek uzskatīts, ka visas nosūtītāja muitas iestādē</w:t>
            </w:r>
            <w:r w:rsidR="00D714D6" w:rsidRPr="00476370">
              <w:t xml:space="preserve"> faktiski</w:t>
            </w:r>
            <w:r w:rsidR="00533B64" w:rsidRPr="00476370">
              <w:t xml:space="preserve"> uzrādītās un Savienības tranzīta procedūr</w:t>
            </w:r>
            <w:r w:rsidR="00D714D6" w:rsidRPr="00476370">
              <w:t xml:space="preserve">ā nodotās </w:t>
            </w:r>
            <w:r w:rsidR="00533B64" w:rsidRPr="00476370">
              <w:t xml:space="preserve">preces </w:t>
            </w:r>
            <w:r w:rsidR="00D714D6" w:rsidRPr="00476370">
              <w:t>ir uzrādītas galamērķa muitas iestādei</w:t>
            </w:r>
            <w:r w:rsidR="00E2295C" w:rsidRPr="00476370">
              <w:rPr>
                <w:color w:val="000000"/>
              </w:rPr>
              <w:t xml:space="preserve">. </w:t>
            </w:r>
          </w:p>
          <w:p w14:paraId="17740210" w14:textId="0C771223" w:rsidR="00E2295C" w:rsidRPr="00F65D5D" w:rsidRDefault="00E2295C" w:rsidP="00E2295C">
            <w:pPr>
              <w:pStyle w:val="ListParagraph"/>
              <w:spacing w:after="0" w:line="240" w:lineRule="auto"/>
              <w:ind w:left="0" w:firstLine="539"/>
              <w:jc w:val="both"/>
              <w:rPr>
                <w:lang w:eastAsia="lv-LV"/>
              </w:rPr>
            </w:pPr>
            <w:r w:rsidRPr="00F65D5D">
              <w:rPr>
                <w:color w:val="000000"/>
              </w:rPr>
              <w:t xml:space="preserve">Projekta 58.punkts </w:t>
            </w:r>
            <w:r w:rsidRPr="00F65D5D">
              <w:t>ir attiecināms uz transportlīdzekļiem un konteineriem, kas atbilst Regulas Nr.2015/2447 300.pantā un starptautiskajos normatīvajos aktos minētajiem kritērijiem</w:t>
            </w:r>
            <w:r w:rsidRPr="00F65D5D">
              <w:rPr>
                <w:rStyle w:val="FootnoteReference"/>
              </w:rPr>
              <w:footnoteReference w:customMarkFollows="1" w:id="1"/>
              <w:t>[1]</w:t>
            </w:r>
            <w:r w:rsidRPr="00F65D5D">
              <w:t xml:space="preserve">. </w:t>
            </w:r>
            <w:r w:rsidRPr="00F65D5D">
              <w:rPr>
                <w:lang w:eastAsia="lv-LV"/>
              </w:rPr>
              <w:t>Projekta 58.1.-58.6.apakšpuktā ir noteikti nosacījumi, kurus ievērojot būtu iespējams uzskatīt, ka Savienības tranzīta procedūras izpildes laikā, preces netika izņemtas no muitas uzraudzības (galamērķa muitas iestādē</w:t>
            </w:r>
            <w:r w:rsidRPr="00F65D5D">
              <w:t xml:space="preserve"> </w:t>
            </w:r>
            <w:r w:rsidRPr="00F65D5D">
              <w:rPr>
                <w:lang w:eastAsia="lv-LV"/>
              </w:rPr>
              <w:t>konstatēta neatbilstība ir saistīta ar preču nosūtītāja pieļautajām kļūdām - kļūdas pavaddokumentos vai iekraušanas darbos):</w:t>
            </w:r>
          </w:p>
          <w:p w14:paraId="587FF0E2" w14:textId="73668BE8" w:rsidR="00E2295C" w:rsidRPr="00F65D5D" w:rsidRDefault="00E2295C" w:rsidP="00E2295C">
            <w:pPr>
              <w:pStyle w:val="CM4"/>
              <w:ind w:firstLine="539"/>
              <w:jc w:val="both"/>
            </w:pPr>
            <w:r w:rsidRPr="00F65D5D">
              <w:t xml:space="preserve">- </w:t>
            </w:r>
            <w:r w:rsidRPr="00F65D5D">
              <w:rPr>
                <w:lang w:eastAsia="lv-LV"/>
              </w:rPr>
              <w:t>preces transportlīdzeklī vai konteinerā ar kuru tās pārvieto Savienības tranzīta procedūrā ir iekrautas ārpus Savienības muitas teritorijas un Savienības muitas teritorijā nav veikta transportlīdzekļa vai konteinera atvēršana. Minētais nosacījums ir izpildīts arī tad, ja Savienības muitas teritorijā transportlīdzekļa vai konteinera atvēršanu izdara muitas dienesti vai citi kompetentie dienesti</w:t>
            </w:r>
            <w:r w:rsidRPr="00F65D5D">
              <w:t>;</w:t>
            </w:r>
          </w:p>
          <w:p w14:paraId="3F48FC79" w14:textId="4809DA5F" w:rsidR="00E2295C" w:rsidRPr="00476370" w:rsidRDefault="00E2295C" w:rsidP="00E2295C">
            <w:pPr>
              <w:pStyle w:val="CM4"/>
              <w:ind w:firstLine="539"/>
              <w:jc w:val="both"/>
            </w:pPr>
            <w:r w:rsidRPr="00F65D5D">
              <w:t xml:space="preserve">- transportlīdzeklim vai konteineram </w:t>
            </w:r>
            <w:r w:rsidR="00CC676B" w:rsidRPr="00476370">
              <w:t xml:space="preserve">ir </w:t>
            </w:r>
            <w:r w:rsidRPr="00476370">
              <w:t>uzlikt</w:t>
            </w:r>
            <w:r w:rsidR="00CC676B" w:rsidRPr="00476370">
              <w:t>a</w:t>
            </w:r>
            <w:r w:rsidRPr="00476370">
              <w:t xml:space="preserve"> trešās valsts muitas iestādes plomba vai preču nosūtītāja kravas plomba </w:t>
            </w:r>
            <w:r w:rsidR="00C838E1" w:rsidRPr="00476370">
              <w:t xml:space="preserve">un tā </w:t>
            </w:r>
            <w:r w:rsidRPr="00476370">
              <w:t>atbilst starptautiskajiem kravas nodrošinājumu (plombu) standartiem (piemēram, ISO 17712:2013 “</w:t>
            </w:r>
            <w:r w:rsidRPr="00476370">
              <w:rPr>
                <w:i/>
                <w:iCs/>
              </w:rPr>
              <w:t>Freight containers - Mechanical seals</w:t>
            </w:r>
            <w:r w:rsidRPr="00476370">
              <w:t>”) vai Regulas Nr.2015/2447 301.panta 1.punktā noteiktajiem parametriem un tehniskajai specifikācijai</w:t>
            </w:r>
            <w:r w:rsidR="00C838E1" w:rsidRPr="00476370">
              <w:t>, tā ir norādīta pārvadājuma dokumentos vai precēm trešajā valstī noformētajos muitas dokumentos un tā ir neskarta</w:t>
            </w:r>
            <w:r w:rsidRPr="00476370">
              <w:t>;</w:t>
            </w:r>
          </w:p>
          <w:p w14:paraId="6E0A76C9" w14:textId="1D06C299" w:rsidR="00E2295C" w:rsidRPr="00F65D5D" w:rsidRDefault="00E2295C" w:rsidP="00E2295C">
            <w:pPr>
              <w:spacing w:after="0" w:line="240" w:lineRule="auto"/>
              <w:ind w:firstLine="539"/>
              <w:jc w:val="both"/>
              <w:rPr>
                <w:szCs w:val="24"/>
              </w:rPr>
            </w:pPr>
            <w:r w:rsidRPr="00476370">
              <w:rPr>
                <w:szCs w:val="24"/>
              </w:rPr>
              <w:t>- transportlīdzeklim vai konteineram uzliktā trešās valsts</w:t>
            </w:r>
            <w:r w:rsidRPr="00F65D5D">
              <w:rPr>
                <w:szCs w:val="24"/>
              </w:rPr>
              <w:t xml:space="preserve"> muitas iestādes plomba vai preču nosūtītāja kravas plomba ir norādīta Savienības tranzīta deklarācijā</w:t>
            </w:r>
            <w:r w:rsidRPr="00F65D5D">
              <w:rPr>
                <w:szCs w:val="24"/>
                <w:lang w:eastAsia="lv-LV"/>
              </w:rPr>
              <w:t>;</w:t>
            </w:r>
          </w:p>
          <w:p w14:paraId="227BEC24" w14:textId="2098C78B" w:rsidR="00E2295C" w:rsidRPr="00C838E1" w:rsidRDefault="00E2295C" w:rsidP="00E2295C">
            <w:pPr>
              <w:spacing w:after="0" w:line="240" w:lineRule="auto"/>
              <w:ind w:firstLine="539"/>
              <w:jc w:val="both"/>
              <w:rPr>
                <w:szCs w:val="24"/>
                <w:lang w:eastAsia="lv-LV"/>
              </w:rPr>
            </w:pPr>
            <w:r w:rsidRPr="00F65D5D">
              <w:rPr>
                <w:szCs w:val="24"/>
              </w:rPr>
              <w:t xml:space="preserve">- </w:t>
            </w:r>
            <w:r w:rsidRPr="00C838E1">
              <w:rPr>
                <w:szCs w:val="24"/>
              </w:rPr>
              <w:t>piemērojot Savienības tranzīta procedūru, transportlīdzeklim vai konteineram tika uzlikta muitas plomba vai atzītā nosūtītāja, kas minēts regulas Nr.952/2013 233.panta 4.punkta “a” apakšpunktā, plomba</w:t>
            </w:r>
            <w:r w:rsidR="002A631F" w:rsidRPr="00C838E1">
              <w:rPr>
                <w:szCs w:val="24"/>
              </w:rPr>
              <w:t xml:space="preserve"> saskaņā ar atļauju</w:t>
            </w:r>
            <w:r w:rsidRPr="00C838E1">
              <w:rPr>
                <w:szCs w:val="24"/>
              </w:rPr>
              <w:t xml:space="preserve"> un tā ir neskarta</w:t>
            </w:r>
            <w:r w:rsidRPr="00C838E1">
              <w:rPr>
                <w:szCs w:val="24"/>
                <w:lang w:eastAsia="lv-LV"/>
              </w:rPr>
              <w:t>;</w:t>
            </w:r>
          </w:p>
          <w:p w14:paraId="071EE2F2" w14:textId="77777777" w:rsidR="00E2295C" w:rsidRPr="00476370" w:rsidRDefault="00E2295C" w:rsidP="00E2295C">
            <w:pPr>
              <w:spacing w:after="0" w:line="240" w:lineRule="auto"/>
              <w:ind w:firstLine="539"/>
              <w:jc w:val="both"/>
              <w:rPr>
                <w:szCs w:val="24"/>
              </w:rPr>
            </w:pPr>
            <w:r w:rsidRPr="00F65D5D">
              <w:rPr>
                <w:szCs w:val="24"/>
              </w:rPr>
              <w:t xml:space="preserve">- </w:t>
            </w:r>
            <w:r w:rsidRPr="00F65D5D">
              <w:rPr>
                <w:szCs w:val="24"/>
                <w:lang w:eastAsia="lv-LV"/>
              </w:rPr>
              <w:t>transportlīdzeklim</w:t>
            </w:r>
            <w:r w:rsidRPr="00F65D5D">
              <w:rPr>
                <w:szCs w:val="24"/>
              </w:rPr>
              <w:t xml:space="preserve"> vai konteineram nav bojājumu, kas liecina par iespēju piekļūt precei vai, kas liecina par varbūtēju piekļuvi precēm.</w:t>
            </w:r>
          </w:p>
          <w:p w14:paraId="46F5046D" w14:textId="0276306B" w:rsidR="00E2295C" w:rsidRPr="00F65D5D" w:rsidRDefault="00E2295C" w:rsidP="00E2295C">
            <w:pPr>
              <w:pStyle w:val="ListParagraph"/>
              <w:spacing w:after="0" w:line="240" w:lineRule="auto"/>
              <w:ind w:left="0" w:firstLine="539"/>
              <w:jc w:val="both"/>
              <w:rPr>
                <w:szCs w:val="24"/>
                <w:lang w:eastAsia="lv-LV"/>
              </w:rPr>
            </w:pPr>
            <w:r w:rsidRPr="00476370">
              <w:rPr>
                <w:lang w:eastAsia="lv-LV"/>
              </w:rPr>
              <w:t xml:space="preserve">Projekta 58.6.apakšpunkts nosaka, ka procedūras izmantotājs, lai apstiprinātu, ka preču iztrūkums pastāvēja procedūras pieteikšanas brīdi, iesniedz </w:t>
            </w:r>
            <w:r w:rsidR="008516DD" w:rsidRPr="00476370">
              <w:rPr>
                <w:lang w:eastAsia="lv-LV"/>
              </w:rPr>
              <w:t>VID</w:t>
            </w:r>
            <w:r w:rsidRPr="00476370">
              <w:rPr>
                <w:lang w:eastAsia="lv-LV"/>
              </w:rPr>
              <w:t xml:space="preserve"> preču nosūtītāja vai pārvadātāja, kas ievedis preces tieši no ārpus Savienības muitas </w:t>
            </w:r>
            <w:r w:rsidR="00DF0ADC" w:rsidRPr="00476370">
              <w:rPr>
                <w:lang w:eastAsia="lv-LV"/>
              </w:rPr>
              <w:t>teritorijas vai starptautiskajos dzelzceļa kravu pārvadājumos atzītā saņēmēja</w:t>
            </w:r>
            <w:r w:rsidRPr="00476370">
              <w:rPr>
                <w:lang w:eastAsia="lv-LV"/>
              </w:rPr>
              <w:t>, dokumentu, kurā tiek norādīts informācijas apstiprinājums, kas apliecina dokumentos norādītā preču daudzuma neatbilstu faktiskajam preču daudzumam</w:t>
            </w:r>
            <w:r w:rsidRPr="00DF0ADC">
              <w:rPr>
                <w:lang w:eastAsia="lv-LV"/>
              </w:rPr>
              <w:t>.</w:t>
            </w:r>
          </w:p>
          <w:p w14:paraId="40B7B160" w14:textId="61775377" w:rsidR="00E2295C" w:rsidRPr="00F65D5D" w:rsidRDefault="00E2295C" w:rsidP="00E2295C">
            <w:pPr>
              <w:pStyle w:val="ListParagraph"/>
              <w:spacing w:after="0" w:line="240" w:lineRule="auto"/>
              <w:ind w:left="0" w:firstLine="539"/>
              <w:jc w:val="both"/>
            </w:pPr>
            <w:r w:rsidRPr="00F65D5D">
              <w:rPr>
                <w:lang w:eastAsia="lv-LV"/>
              </w:rPr>
              <w:t>Minētos dokumentus procedūras piemērotājs var iesniegt gan papīra formātā, gan elektroniskā veidā (</w:t>
            </w:r>
            <w:r w:rsidRPr="00F65D5D">
              <w:rPr>
                <w:shd w:val="clear" w:color="auto" w:fill="FFFFFF"/>
              </w:rPr>
              <w:t>elektroniska dokumenta formā</w:t>
            </w:r>
            <w:r w:rsidRPr="00F65D5D">
              <w:rPr>
                <w:rStyle w:val="highlight"/>
              </w:rPr>
              <w:t xml:space="preserve">, kas parakstīts </w:t>
            </w:r>
            <w:r w:rsidRPr="00F65D5D">
              <w:rPr>
                <w:shd w:val="clear" w:color="auto" w:fill="FFFFFF"/>
              </w:rPr>
              <w:t>ar drošu elektronisko parakstu</w:t>
            </w:r>
            <w:r w:rsidRPr="00F65D5D">
              <w:t xml:space="preserve"> vai oficiālā </w:t>
            </w:r>
            <w:r w:rsidRPr="00F65D5D">
              <w:rPr>
                <w:lang w:eastAsia="lv-LV"/>
              </w:rPr>
              <w:t>preču nosūtītāja vai pārvadātāja</w:t>
            </w:r>
            <w:r w:rsidRPr="00F65D5D">
              <w:t xml:space="preserve"> elektroniskā pasta vēstuli</w:t>
            </w:r>
            <w:r w:rsidRPr="00F65D5D">
              <w:rPr>
                <w:lang w:eastAsia="lv-LV"/>
              </w:rPr>
              <w:t xml:space="preserve">) un tajos </w:t>
            </w:r>
            <w:r w:rsidRPr="00F65D5D">
              <w:rPr>
                <w:lang w:eastAsia="lv-LV"/>
              </w:rPr>
              <w:lastRenderedPageBreak/>
              <w:t xml:space="preserve">jābūt norādītiem </w:t>
            </w:r>
            <w:r w:rsidRPr="00F65D5D">
              <w:t xml:space="preserve">nosūtītāja vai pārvadātāja rekvizītiem – nosaukumam, adresei, reģistrācijas numuram (ja tāds ir), parakstam, dokumenta sagatavošanas datumam. </w:t>
            </w:r>
          </w:p>
          <w:p w14:paraId="621C794E" w14:textId="000FFEF6" w:rsidR="00E2295C" w:rsidRPr="00476370" w:rsidRDefault="00E2295C" w:rsidP="00E2295C">
            <w:pPr>
              <w:spacing w:after="0" w:line="240" w:lineRule="auto"/>
              <w:ind w:firstLine="539"/>
              <w:jc w:val="both"/>
              <w:rPr>
                <w:szCs w:val="24"/>
              </w:rPr>
            </w:pPr>
            <w:r w:rsidRPr="00334F7C">
              <w:rPr>
                <w:szCs w:val="24"/>
              </w:rPr>
              <w:t xml:space="preserve">Gadījumā, ja elektroniskajiem dokumentiem kādas no iepriekš </w:t>
            </w:r>
            <w:r w:rsidRPr="00476370">
              <w:rPr>
                <w:szCs w:val="24"/>
              </w:rPr>
              <w:t>noteiktajām prasībām tehniski nav iespējams piemērot, tās elektroniskajiem dokumentiem nepiemēro</w:t>
            </w:r>
            <w:r w:rsidR="00334F7C" w:rsidRPr="00476370">
              <w:rPr>
                <w:szCs w:val="24"/>
              </w:rPr>
              <w:t>, piemēram, pašrocīgs paraksts</w:t>
            </w:r>
            <w:r w:rsidR="00066758" w:rsidRPr="00476370">
              <w:rPr>
                <w:szCs w:val="24"/>
              </w:rPr>
              <w:t>. Šāda piemērošana ir n</w:t>
            </w:r>
            <w:r w:rsidR="00334F7C" w:rsidRPr="00476370">
              <w:rPr>
                <w:szCs w:val="24"/>
              </w:rPr>
              <w:t>oteikt</w:t>
            </w:r>
            <w:r w:rsidR="00066758" w:rsidRPr="00476370">
              <w:rPr>
                <w:szCs w:val="24"/>
              </w:rPr>
              <w:t>a</w:t>
            </w:r>
            <w:r w:rsidR="00334F7C" w:rsidRPr="00476370">
              <w:rPr>
                <w:szCs w:val="24"/>
              </w:rPr>
              <w:t xml:space="preserve"> 2010.</w:t>
            </w:r>
            <w:r w:rsidR="00CA3874" w:rsidRPr="00476370">
              <w:rPr>
                <w:szCs w:val="24"/>
              </w:rPr>
              <w:t>gada 28.septembra noteikumu Nr.</w:t>
            </w:r>
            <w:r w:rsidR="00334F7C" w:rsidRPr="00476370">
              <w:rPr>
                <w:szCs w:val="24"/>
              </w:rPr>
              <w:t xml:space="preserve">916 “Dokumentu izstrādāšanas un noformēšanas kārtība” 4.punktā - elektroniskajam dokumentam nepiemēro tās papīra dokumentam noteiktās prasības, kuru īstenošana elektroniskajam dokumentam tehniski nav iespējama. </w:t>
            </w:r>
          </w:p>
          <w:p w14:paraId="6C353280" w14:textId="785855B4" w:rsidR="00E2295C" w:rsidRPr="00476370" w:rsidRDefault="00E2295C" w:rsidP="00E2295C">
            <w:pPr>
              <w:pStyle w:val="ListParagraph"/>
              <w:spacing w:after="0" w:line="240" w:lineRule="auto"/>
              <w:ind w:left="0" w:firstLine="539"/>
              <w:jc w:val="both"/>
              <w:rPr>
                <w:szCs w:val="24"/>
                <w:lang w:eastAsia="lv-LV"/>
              </w:rPr>
            </w:pPr>
            <w:r w:rsidRPr="00476370">
              <w:rPr>
                <w:lang w:eastAsia="lv-LV"/>
              </w:rPr>
              <w:t>Informāciju par neatbilstībām pārvadājuma</w:t>
            </w:r>
            <w:r w:rsidRPr="00F65D5D">
              <w:rPr>
                <w:lang w:eastAsia="lv-LV"/>
              </w:rPr>
              <w:t xml:space="preserve"> dokumentos (dokumentos norādītais preču daudzums neatbilst faktiskajam preču daudzumam) var sniegt preču </w:t>
            </w:r>
            <w:r w:rsidRPr="00DF0ADC">
              <w:rPr>
                <w:lang w:eastAsia="lv-LV"/>
              </w:rPr>
              <w:t>nosūtītājs vai pārvadātājs,</w:t>
            </w:r>
            <w:r w:rsidRPr="00F65D5D">
              <w:rPr>
                <w:lang w:eastAsia="lv-LV"/>
              </w:rPr>
              <w:t xml:space="preserve"> kas pieņēma preces pārvadājumam un ieved preces Savienības muitas teritorijā (piemēram, jūras pārvadājumos – kuģu līnija, dzelzceļa pārvadājumos – dzelzceļa operators, savukārt autopārvadājumos – pārvadātājs, kurš ir noslēdzis ar nosūtītāju pārv</w:t>
            </w:r>
            <w:r w:rsidR="00DF0ADC">
              <w:rPr>
                <w:lang w:eastAsia="lv-LV"/>
              </w:rPr>
              <w:t xml:space="preserve">adājuma līgumu (piemēram, CMR)), </w:t>
            </w:r>
            <w:r w:rsidR="00DF0ADC" w:rsidRPr="00476370">
              <w:rPr>
                <w:lang w:eastAsia="lv-LV"/>
              </w:rPr>
              <w:t>vai starptautiskajos dzelzceļa kravu pārvadājumos atzīts saņēmējs.</w:t>
            </w:r>
          </w:p>
          <w:p w14:paraId="0CD45466" w14:textId="5A0DA33C" w:rsidR="000334EA" w:rsidRPr="00F65D5D" w:rsidRDefault="000334EA" w:rsidP="00013BC5">
            <w:pPr>
              <w:pStyle w:val="ListParagraph"/>
              <w:spacing w:after="0" w:line="240" w:lineRule="auto"/>
              <w:ind w:left="0" w:firstLine="505"/>
              <w:jc w:val="both"/>
              <w:rPr>
                <w:rFonts w:eastAsia="Times New Roman" w:cs="Times New Roman"/>
                <w:szCs w:val="24"/>
                <w:lang w:eastAsia="lv-LV"/>
              </w:rPr>
            </w:pPr>
          </w:p>
          <w:p w14:paraId="48B68FF7" w14:textId="3D8FC494" w:rsidR="009438E4" w:rsidRPr="00F65D5D" w:rsidRDefault="000334EA" w:rsidP="0041760E">
            <w:pPr>
              <w:pStyle w:val="ListParagraph"/>
              <w:spacing w:after="0" w:line="240" w:lineRule="auto"/>
              <w:ind w:left="0" w:firstLine="505"/>
              <w:jc w:val="both"/>
              <w:rPr>
                <w:rFonts w:cs="Times New Roman"/>
              </w:rPr>
            </w:pPr>
            <w:r w:rsidRPr="00F65D5D">
              <w:rPr>
                <w:rFonts w:eastAsia="Times New Roman" w:cs="Times New Roman"/>
                <w:szCs w:val="24"/>
                <w:lang w:eastAsia="lv-LV"/>
              </w:rPr>
              <w:t>10</w:t>
            </w:r>
            <w:r w:rsidR="007E71EA" w:rsidRPr="00F65D5D">
              <w:rPr>
                <w:rFonts w:eastAsia="Times New Roman" w:cs="Times New Roman"/>
                <w:szCs w:val="24"/>
                <w:lang w:eastAsia="lv-LV"/>
              </w:rPr>
              <w:t xml:space="preserve">. </w:t>
            </w:r>
            <w:r w:rsidR="0041760E" w:rsidRPr="00F65D5D">
              <w:rPr>
                <w:rFonts w:eastAsia="Calibri" w:cs="Times New Roman"/>
                <w:color w:val="000000"/>
                <w:szCs w:val="24"/>
                <w:lang w:eastAsia="lv-LV"/>
              </w:rPr>
              <w:t>Regulas Nr.</w:t>
            </w:r>
            <w:r w:rsidR="00814660" w:rsidRPr="00F65D5D">
              <w:rPr>
                <w:rFonts w:eastAsia="Calibri" w:cs="Times New Roman"/>
                <w:color w:val="000000"/>
                <w:szCs w:val="24"/>
                <w:lang w:eastAsia="lv-LV"/>
              </w:rPr>
              <w:t xml:space="preserve">2015/2446 </w:t>
            </w:r>
            <w:r w:rsidR="00843DFB" w:rsidRPr="00F65D5D">
              <w:rPr>
                <w:rFonts w:eastAsia="Calibri" w:cs="Times New Roman"/>
                <w:color w:val="000000"/>
                <w:szCs w:val="24"/>
                <w:lang w:eastAsia="lv-LV"/>
              </w:rPr>
              <w:t>148</w:t>
            </w:r>
            <w:r w:rsidR="00814660" w:rsidRPr="00F65D5D">
              <w:rPr>
                <w:rFonts w:eastAsia="Calibri" w:cs="Times New Roman"/>
                <w:color w:val="000000"/>
                <w:szCs w:val="24"/>
                <w:lang w:eastAsia="lv-LV"/>
              </w:rPr>
              <w:t xml:space="preserve">.panta 4.punkta </w:t>
            </w:r>
            <w:r w:rsidR="00D6535E" w:rsidRPr="00F65D5D">
              <w:rPr>
                <w:rFonts w:eastAsia="Calibri" w:cs="Times New Roman"/>
                <w:color w:val="000000"/>
                <w:szCs w:val="24"/>
                <w:lang w:eastAsia="lv-LV"/>
              </w:rPr>
              <w:t>“</w:t>
            </w:r>
            <w:r w:rsidR="00814660" w:rsidRPr="00F65D5D">
              <w:rPr>
                <w:rFonts w:eastAsia="Calibri" w:cs="Times New Roman"/>
                <w:color w:val="000000"/>
                <w:szCs w:val="24"/>
                <w:lang w:eastAsia="lv-LV"/>
              </w:rPr>
              <w:t>b</w:t>
            </w:r>
            <w:r w:rsidR="00D6535E" w:rsidRPr="00F65D5D">
              <w:rPr>
                <w:rFonts w:eastAsia="Calibri" w:cs="Times New Roman"/>
                <w:color w:val="000000"/>
                <w:szCs w:val="24"/>
                <w:lang w:eastAsia="lv-LV"/>
              </w:rPr>
              <w:t>”</w:t>
            </w:r>
            <w:r w:rsidR="00814660" w:rsidRPr="00F65D5D">
              <w:rPr>
                <w:rFonts w:eastAsia="Calibri" w:cs="Times New Roman"/>
                <w:color w:val="000000"/>
                <w:szCs w:val="24"/>
                <w:lang w:eastAsia="lv-LV"/>
              </w:rPr>
              <w:t xml:space="preserve"> un </w:t>
            </w:r>
            <w:r w:rsidR="00D6535E" w:rsidRPr="00F65D5D">
              <w:rPr>
                <w:rFonts w:eastAsia="Calibri" w:cs="Times New Roman"/>
                <w:color w:val="000000"/>
                <w:szCs w:val="24"/>
                <w:lang w:eastAsia="lv-LV"/>
              </w:rPr>
              <w:t>“</w:t>
            </w:r>
            <w:r w:rsidR="00814660" w:rsidRPr="00F65D5D">
              <w:rPr>
                <w:rFonts w:eastAsia="Calibri" w:cs="Times New Roman"/>
                <w:color w:val="000000"/>
                <w:szCs w:val="24"/>
                <w:lang w:eastAsia="lv-LV"/>
              </w:rPr>
              <w:t>c</w:t>
            </w:r>
            <w:r w:rsidR="00D6535E" w:rsidRPr="00F65D5D">
              <w:rPr>
                <w:rFonts w:eastAsia="Calibri" w:cs="Times New Roman"/>
                <w:color w:val="000000"/>
                <w:szCs w:val="24"/>
                <w:lang w:eastAsia="lv-LV"/>
              </w:rPr>
              <w:t>”</w:t>
            </w:r>
            <w:r w:rsidR="00814660" w:rsidRPr="00F65D5D">
              <w:rPr>
                <w:rFonts w:eastAsia="Calibri" w:cs="Times New Roman"/>
                <w:color w:val="000000"/>
                <w:szCs w:val="24"/>
                <w:lang w:eastAsia="lv-LV"/>
              </w:rPr>
              <w:t xml:space="preserve"> apakšpunktos ir paredzēti tranzīta deklarācijas atzīšanas par nederīgu gadījumi. </w:t>
            </w:r>
            <w:r w:rsidR="00D9550C" w:rsidRPr="00F65D5D">
              <w:rPr>
                <w:rFonts w:eastAsia="Calibri" w:cs="Times New Roman"/>
                <w:color w:val="000000"/>
                <w:szCs w:val="24"/>
                <w:lang w:eastAsia="lv-LV"/>
              </w:rPr>
              <w:t>Attiecīgi noteikumu projektā ir noteikts jauns regulējums (</w:t>
            </w:r>
            <w:r w:rsidR="0027083F" w:rsidRPr="00476370">
              <w:rPr>
                <w:rFonts w:eastAsia="Calibri" w:cs="Times New Roman"/>
                <w:color w:val="000000"/>
                <w:szCs w:val="24"/>
                <w:lang w:eastAsia="lv-LV"/>
              </w:rPr>
              <w:t>59</w:t>
            </w:r>
            <w:r w:rsidR="00D9550C" w:rsidRPr="00476370">
              <w:rPr>
                <w:rFonts w:eastAsia="Calibri" w:cs="Times New Roman"/>
                <w:color w:val="000000"/>
                <w:szCs w:val="24"/>
                <w:lang w:eastAsia="lv-LV"/>
              </w:rPr>
              <w:t xml:space="preserve">. un </w:t>
            </w:r>
            <w:r w:rsidR="0027083F" w:rsidRPr="00476370">
              <w:rPr>
                <w:rFonts w:eastAsia="Calibri" w:cs="Times New Roman"/>
                <w:color w:val="000000"/>
                <w:szCs w:val="24"/>
                <w:lang w:eastAsia="lv-LV"/>
              </w:rPr>
              <w:t>60</w:t>
            </w:r>
            <w:r w:rsidR="00D9550C" w:rsidRPr="00476370">
              <w:rPr>
                <w:rFonts w:eastAsia="Calibri" w:cs="Times New Roman"/>
                <w:color w:val="000000"/>
                <w:szCs w:val="24"/>
                <w:lang w:eastAsia="lv-LV"/>
              </w:rPr>
              <w:t xml:space="preserve">.punkts). </w:t>
            </w:r>
            <w:r w:rsidR="00814660" w:rsidRPr="00476370">
              <w:rPr>
                <w:rFonts w:eastAsia="Calibri" w:cs="Times New Roman"/>
                <w:color w:val="000000"/>
                <w:szCs w:val="24"/>
              </w:rPr>
              <w:t xml:space="preserve">Lai VID izvērtētu </w:t>
            </w:r>
            <w:r w:rsidR="00066758" w:rsidRPr="00476370">
              <w:rPr>
                <w:rFonts w:eastAsia="Calibri" w:cs="Times New Roman"/>
                <w:color w:val="000000"/>
                <w:szCs w:val="24"/>
              </w:rPr>
              <w:t>iesniegumu</w:t>
            </w:r>
            <w:r w:rsidR="00814660" w:rsidRPr="00476370">
              <w:rPr>
                <w:rFonts w:eastAsia="Calibri" w:cs="Times New Roman"/>
                <w:color w:val="000000"/>
                <w:szCs w:val="24"/>
              </w:rPr>
              <w:t xml:space="preserve"> par tranzīta deklarāciju atzīšanu par nederīgu pēc preču izlaišanas pamatotību,</w:t>
            </w:r>
            <w:r w:rsidR="00770F73" w:rsidRPr="00476370">
              <w:rPr>
                <w:rFonts w:eastAsia="Calibri" w:cs="Times New Roman"/>
                <w:color w:val="000000"/>
                <w:szCs w:val="24"/>
              </w:rPr>
              <w:t xml:space="preserve"> noteikumu projekta </w:t>
            </w:r>
            <w:r w:rsidR="0027083F" w:rsidRPr="00476370">
              <w:rPr>
                <w:rFonts w:eastAsia="Calibri" w:cs="Times New Roman"/>
                <w:color w:val="000000"/>
                <w:szCs w:val="24"/>
              </w:rPr>
              <w:t>59</w:t>
            </w:r>
            <w:r w:rsidR="00770F73" w:rsidRPr="00476370">
              <w:rPr>
                <w:rFonts w:eastAsia="Calibri" w:cs="Times New Roman"/>
                <w:color w:val="000000"/>
                <w:szCs w:val="24"/>
              </w:rPr>
              <w:t xml:space="preserve">. </w:t>
            </w:r>
            <w:r w:rsidR="00FB1348" w:rsidRPr="00476370">
              <w:rPr>
                <w:rFonts w:eastAsia="Calibri" w:cs="Times New Roman"/>
                <w:color w:val="000000"/>
                <w:szCs w:val="24"/>
              </w:rPr>
              <w:t xml:space="preserve">un </w:t>
            </w:r>
            <w:r w:rsidR="008516DD" w:rsidRPr="00476370">
              <w:rPr>
                <w:rFonts w:eastAsia="Calibri" w:cs="Times New Roman"/>
                <w:color w:val="000000"/>
                <w:szCs w:val="24"/>
              </w:rPr>
              <w:t>6</w:t>
            </w:r>
            <w:r w:rsidR="0027083F" w:rsidRPr="00476370">
              <w:rPr>
                <w:rFonts w:eastAsia="Calibri" w:cs="Times New Roman"/>
                <w:color w:val="000000"/>
                <w:szCs w:val="24"/>
              </w:rPr>
              <w:t>0</w:t>
            </w:r>
            <w:r w:rsidR="00770F73" w:rsidRPr="00476370">
              <w:rPr>
                <w:rFonts w:eastAsia="Calibri" w:cs="Times New Roman"/>
                <w:color w:val="000000"/>
                <w:szCs w:val="24"/>
              </w:rPr>
              <w:t>.</w:t>
            </w:r>
            <w:r w:rsidR="00C627CC" w:rsidRPr="00476370">
              <w:rPr>
                <w:rFonts w:eastAsia="Calibri" w:cs="Times New Roman"/>
                <w:color w:val="000000"/>
                <w:szCs w:val="24"/>
              </w:rPr>
              <w:t>1.</w:t>
            </w:r>
            <w:r w:rsidR="00C838E1" w:rsidRPr="00476370">
              <w:rPr>
                <w:rFonts w:eastAsia="Calibri" w:cs="Times New Roman"/>
                <w:color w:val="000000"/>
                <w:szCs w:val="24"/>
              </w:rPr>
              <w:t>apakš</w:t>
            </w:r>
            <w:r w:rsidR="00FB1348" w:rsidRPr="00476370">
              <w:rPr>
                <w:rFonts w:eastAsia="Calibri" w:cs="Times New Roman"/>
                <w:color w:val="000000"/>
                <w:szCs w:val="24"/>
              </w:rPr>
              <w:t xml:space="preserve">punktā </w:t>
            </w:r>
            <w:r w:rsidR="00770F73" w:rsidRPr="00476370">
              <w:rPr>
                <w:rFonts w:eastAsia="Calibri" w:cs="Times New Roman"/>
                <w:color w:val="000000"/>
                <w:szCs w:val="24"/>
              </w:rPr>
              <w:t>ir noteikts</w:t>
            </w:r>
            <w:r w:rsidR="00814660" w:rsidRPr="00476370">
              <w:rPr>
                <w:rFonts w:eastAsia="Calibri" w:cs="Times New Roman"/>
                <w:color w:val="000000"/>
                <w:szCs w:val="24"/>
              </w:rPr>
              <w:t xml:space="preserve"> </w:t>
            </w:r>
            <w:r w:rsidR="00814660" w:rsidRPr="00476370">
              <w:rPr>
                <w:rFonts w:eastAsia="Calibri" w:cs="Times New Roman"/>
                <w:color w:val="000000"/>
                <w:szCs w:val="24"/>
                <w:lang w:eastAsia="lv-LV"/>
              </w:rPr>
              <w:t xml:space="preserve">procedūras izmantotājam pienākums iesniegt </w:t>
            </w:r>
            <w:r w:rsidR="00066758" w:rsidRPr="00476370">
              <w:rPr>
                <w:rFonts w:eastAsia="Calibri" w:cs="Times New Roman"/>
                <w:color w:val="000000"/>
                <w:szCs w:val="24"/>
                <w:lang w:eastAsia="lv-LV"/>
              </w:rPr>
              <w:t>iesniegumu</w:t>
            </w:r>
            <w:r w:rsidR="00770F73" w:rsidRPr="00476370">
              <w:rPr>
                <w:rFonts w:eastAsia="Calibri" w:cs="Times New Roman"/>
                <w:color w:val="000000"/>
                <w:szCs w:val="24"/>
                <w:lang w:eastAsia="lv-LV"/>
              </w:rPr>
              <w:t xml:space="preserve"> par tranzīta deklarācijas atzīšanu par nederīgu</w:t>
            </w:r>
            <w:r w:rsidR="00814660" w:rsidRPr="00476370">
              <w:rPr>
                <w:rFonts w:eastAsia="Calibri" w:cs="Times New Roman"/>
                <w:color w:val="000000"/>
                <w:szCs w:val="24"/>
                <w:lang w:eastAsia="lv-LV"/>
              </w:rPr>
              <w:t xml:space="preserve"> </w:t>
            </w:r>
            <w:r w:rsidR="00293F90" w:rsidRPr="00476370">
              <w:rPr>
                <w:rFonts w:eastAsia="Calibri" w:cs="Times New Roman"/>
                <w:color w:val="000000"/>
                <w:szCs w:val="24"/>
                <w:lang w:eastAsia="lv-LV"/>
              </w:rPr>
              <w:t>un uzrādīt</w:t>
            </w:r>
            <w:r w:rsidR="00293F90" w:rsidRPr="00F65D5D">
              <w:rPr>
                <w:rFonts w:eastAsia="Calibri" w:cs="Times New Roman"/>
                <w:color w:val="000000"/>
                <w:szCs w:val="24"/>
                <w:lang w:eastAsia="lv-LV"/>
              </w:rPr>
              <w:t xml:space="preserve"> preces nosūtītāja muitas iestādei, kā arī saskaņot turpmākās darbības (t.sk. ar precēm) ar nosūtītāja muitas iestādi</w:t>
            </w:r>
            <w:r w:rsidR="00814660" w:rsidRPr="00F65D5D">
              <w:rPr>
                <w:rFonts w:eastAsia="Calibri" w:cs="Times New Roman"/>
                <w:color w:val="000000"/>
                <w:szCs w:val="24"/>
                <w:lang w:eastAsia="lv-LV"/>
              </w:rPr>
              <w:t>.</w:t>
            </w:r>
            <w:r w:rsidR="00843DFB" w:rsidRPr="00F65D5D">
              <w:rPr>
                <w:rFonts w:cs="Times New Roman"/>
              </w:rPr>
              <w:t xml:space="preserve"> </w:t>
            </w:r>
          </w:p>
          <w:p w14:paraId="1EBDD870" w14:textId="1CD19729" w:rsidR="00814660" w:rsidRPr="00476370" w:rsidRDefault="00563525" w:rsidP="00563525">
            <w:pPr>
              <w:pStyle w:val="ListParagraph"/>
              <w:spacing w:after="0" w:line="240" w:lineRule="auto"/>
              <w:ind w:left="0" w:firstLine="505"/>
              <w:jc w:val="both"/>
              <w:rPr>
                <w:rFonts w:cs="Times New Roman"/>
              </w:rPr>
            </w:pPr>
            <w:r w:rsidRPr="00F65D5D">
              <w:rPr>
                <w:rFonts w:cs="Times New Roman"/>
              </w:rPr>
              <w:t xml:space="preserve">Tiek konstatēti gadījumi, kad neuzmanības vai </w:t>
            </w:r>
            <w:r w:rsidR="00052D58" w:rsidRPr="00F65D5D">
              <w:rPr>
                <w:rFonts w:cs="Times New Roman"/>
              </w:rPr>
              <w:t xml:space="preserve">tehniskas </w:t>
            </w:r>
            <w:r w:rsidRPr="00F65D5D">
              <w:rPr>
                <w:rFonts w:cs="Times New Roman"/>
              </w:rPr>
              <w:t>kļūdas dēļ nosūtītāja muitas iestādei vienam preču pārvadājumam (tranzīta operācijai) tiek iesniegtas vairākas identisk</w:t>
            </w:r>
            <w:r w:rsidR="00052D58" w:rsidRPr="00F65D5D">
              <w:rPr>
                <w:rFonts w:cs="Times New Roman"/>
              </w:rPr>
              <w:t>a</w:t>
            </w:r>
            <w:r w:rsidRPr="00F65D5D">
              <w:rPr>
                <w:rFonts w:cs="Times New Roman"/>
              </w:rPr>
              <w:t>s tranzīta deklarācijas. Par identisk</w:t>
            </w:r>
            <w:r w:rsidR="00052D58" w:rsidRPr="00F65D5D">
              <w:rPr>
                <w:rFonts w:cs="Times New Roman"/>
              </w:rPr>
              <w:t>ām</w:t>
            </w:r>
            <w:r w:rsidRPr="00F65D5D">
              <w:rPr>
                <w:rFonts w:cs="Times New Roman"/>
              </w:rPr>
              <w:t xml:space="preserve"> tranzīta deklarācijām jāuzskata deklarācijas, kas satur identisku informāciju par preci (preču veids, daudzums), transportlīdzek</w:t>
            </w:r>
            <w:r w:rsidR="00052D58" w:rsidRPr="009032BE">
              <w:rPr>
                <w:rFonts w:cs="Times New Roman"/>
              </w:rPr>
              <w:t>l</w:t>
            </w:r>
            <w:r w:rsidRPr="009032BE">
              <w:rPr>
                <w:rFonts w:cs="Times New Roman"/>
              </w:rPr>
              <w:t>i</w:t>
            </w:r>
            <w:r w:rsidRPr="00F65D5D">
              <w:rPr>
                <w:rFonts w:cs="Times New Roman"/>
              </w:rPr>
              <w:t xml:space="preserve">, uzlikto muitas plombu, preču </w:t>
            </w:r>
            <w:r w:rsidRPr="00476370">
              <w:rPr>
                <w:rFonts w:cs="Times New Roman"/>
              </w:rPr>
              <w:t xml:space="preserve">pavaddokumentiem u.c. tranzīta operācijas informāciju. </w:t>
            </w:r>
            <w:r w:rsidR="009438E4" w:rsidRPr="00476370">
              <w:rPr>
                <w:rFonts w:cs="Times New Roman"/>
              </w:rPr>
              <w:t xml:space="preserve">Lai mazinātu administratīvo slogu </w:t>
            </w:r>
            <w:r w:rsidRPr="00476370">
              <w:rPr>
                <w:rFonts w:cs="Times New Roman"/>
              </w:rPr>
              <w:t>personām</w:t>
            </w:r>
            <w:r w:rsidR="009C10ED" w:rsidRPr="00476370">
              <w:rPr>
                <w:rFonts w:cs="Times New Roman"/>
              </w:rPr>
              <w:t>,</w:t>
            </w:r>
            <w:r w:rsidR="009438E4" w:rsidRPr="00476370">
              <w:rPr>
                <w:rFonts w:cs="Times New Roman"/>
              </w:rPr>
              <w:t xml:space="preserve"> noteikumu projekta </w:t>
            </w:r>
            <w:r w:rsidR="00DB0972" w:rsidRPr="00476370">
              <w:rPr>
                <w:rFonts w:cs="Times New Roman"/>
              </w:rPr>
              <w:t>6</w:t>
            </w:r>
            <w:r w:rsidR="008516DD" w:rsidRPr="00476370">
              <w:rPr>
                <w:rFonts w:cs="Times New Roman"/>
              </w:rPr>
              <w:t>1</w:t>
            </w:r>
            <w:r w:rsidR="009438E4" w:rsidRPr="00476370">
              <w:rPr>
                <w:rFonts w:cs="Times New Roman"/>
              </w:rPr>
              <w:t>.</w:t>
            </w:r>
            <w:r w:rsidR="00C627CC" w:rsidRPr="00476370">
              <w:rPr>
                <w:rFonts w:cs="Times New Roman"/>
              </w:rPr>
              <w:t>2.</w:t>
            </w:r>
            <w:r w:rsidR="00FA10B0" w:rsidRPr="00476370">
              <w:rPr>
                <w:rFonts w:cs="Times New Roman"/>
              </w:rPr>
              <w:t>apakš</w:t>
            </w:r>
            <w:r w:rsidR="009438E4" w:rsidRPr="00476370">
              <w:rPr>
                <w:rFonts w:cs="Times New Roman"/>
              </w:rPr>
              <w:t>punktā ir noteikts, ka</w:t>
            </w:r>
            <w:r w:rsidR="00C627CC" w:rsidRPr="00476370">
              <w:rPr>
                <w:rFonts w:cs="Times New Roman"/>
              </w:rPr>
              <w:t>,</w:t>
            </w:r>
            <w:r w:rsidR="009438E4" w:rsidRPr="00476370">
              <w:rPr>
                <w:rFonts w:cs="Times New Roman"/>
              </w:rPr>
              <w:t xml:space="preserve"> </w:t>
            </w:r>
            <w:r w:rsidRPr="00476370">
              <w:rPr>
                <w:rFonts w:cs="Times New Roman"/>
              </w:rPr>
              <w:t xml:space="preserve">ja </w:t>
            </w:r>
            <w:r w:rsidR="009438E4" w:rsidRPr="00476370">
              <w:rPr>
                <w:rFonts w:cs="Times New Roman"/>
              </w:rPr>
              <w:t>procedūras izmantotājs vai TIR karnetes turētājs kļūdaini ir izveidojis precei vairāk kā vienu tranzīta deklarāciju ar identisku informāciju</w:t>
            </w:r>
            <w:r w:rsidR="00171009" w:rsidRPr="00476370">
              <w:rPr>
                <w:rFonts w:cs="Times New Roman"/>
              </w:rPr>
              <w:t xml:space="preserve">, iesniedzot VID </w:t>
            </w:r>
            <w:r w:rsidR="00066758" w:rsidRPr="00476370">
              <w:rPr>
                <w:rFonts w:cs="Times New Roman"/>
              </w:rPr>
              <w:t>iesniegumu</w:t>
            </w:r>
            <w:r w:rsidR="00171009" w:rsidRPr="00476370">
              <w:rPr>
                <w:rFonts w:cs="Times New Roman"/>
              </w:rPr>
              <w:t xml:space="preserve"> par tranzīta deklarācijas atzīšanu par nederīgu pēc preču izlaišanas, </w:t>
            </w:r>
            <w:r w:rsidR="009438E4" w:rsidRPr="00476370">
              <w:rPr>
                <w:rFonts w:cs="Times New Roman"/>
              </w:rPr>
              <w:t>preces</w:t>
            </w:r>
            <w:r w:rsidR="009C10ED" w:rsidRPr="00476370">
              <w:rPr>
                <w:rFonts w:cs="Times New Roman"/>
              </w:rPr>
              <w:t xml:space="preserve"> atļauts neuzr</w:t>
            </w:r>
            <w:r w:rsidR="00052D58" w:rsidRPr="00476370">
              <w:rPr>
                <w:rFonts w:cs="Times New Roman"/>
              </w:rPr>
              <w:t>ā</w:t>
            </w:r>
            <w:r w:rsidR="009C10ED" w:rsidRPr="00476370">
              <w:rPr>
                <w:rFonts w:cs="Times New Roman"/>
              </w:rPr>
              <w:t>dīt</w:t>
            </w:r>
            <w:r w:rsidR="009438E4" w:rsidRPr="00476370">
              <w:rPr>
                <w:rFonts w:cs="Times New Roman"/>
              </w:rPr>
              <w:t xml:space="preserve"> nosūtītāja muitas iestādei un turpināt piemērotās tranzīta procedūras izpildi.</w:t>
            </w:r>
          </w:p>
          <w:p w14:paraId="771E814F" w14:textId="7464DDEE" w:rsidR="00F65D5D" w:rsidRPr="00476370" w:rsidRDefault="000334EA" w:rsidP="00F65D5D">
            <w:pPr>
              <w:tabs>
                <w:tab w:val="left" w:pos="381"/>
              </w:tabs>
              <w:spacing w:before="120" w:after="120" w:line="240" w:lineRule="auto"/>
              <w:ind w:firstLine="550"/>
              <w:jc w:val="both"/>
              <w:rPr>
                <w:rFonts w:eastAsia="Times New Roman" w:cs="Times New Roman"/>
                <w:szCs w:val="24"/>
                <w:lang w:eastAsia="lv-LV"/>
              </w:rPr>
            </w:pPr>
            <w:r w:rsidRPr="00476370">
              <w:rPr>
                <w:rFonts w:eastAsia="Times New Roman" w:cs="Times New Roman"/>
                <w:szCs w:val="24"/>
                <w:lang w:eastAsia="lv-LV"/>
              </w:rPr>
              <w:t>1</w:t>
            </w:r>
            <w:r w:rsidR="004F0E07" w:rsidRPr="00476370">
              <w:rPr>
                <w:rFonts w:eastAsia="Times New Roman" w:cs="Times New Roman"/>
                <w:szCs w:val="24"/>
                <w:lang w:eastAsia="lv-LV"/>
              </w:rPr>
              <w:t>1</w:t>
            </w:r>
            <w:r w:rsidR="000A4E9B" w:rsidRPr="00476370">
              <w:rPr>
                <w:rFonts w:eastAsia="Times New Roman" w:cs="Times New Roman"/>
                <w:szCs w:val="24"/>
                <w:lang w:eastAsia="lv-LV"/>
              </w:rPr>
              <w:t xml:space="preserve">. </w:t>
            </w:r>
            <w:r w:rsidR="009646B8" w:rsidRPr="00476370">
              <w:rPr>
                <w:rFonts w:eastAsia="Times New Roman" w:cs="Times New Roman"/>
                <w:szCs w:val="24"/>
                <w:lang w:eastAsia="lv-LV"/>
              </w:rPr>
              <w:t>Noteikumu p</w:t>
            </w:r>
            <w:r w:rsidR="00F74290" w:rsidRPr="00476370">
              <w:rPr>
                <w:rFonts w:eastAsia="Times New Roman" w:cs="Times New Roman"/>
                <w:szCs w:val="24"/>
                <w:lang w:eastAsia="lv-LV"/>
              </w:rPr>
              <w:t xml:space="preserve">rojekta </w:t>
            </w:r>
            <w:r w:rsidR="0027083F" w:rsidRPr="00476370">
              <w:rPr>
                <w:rFonts w:eastAsia="Times New Roman" w:cs="Times New Roman"/>
                <w:szCs w:val="24"/>
                <w:lang w:eastAsia="lv-LV"/>
              </w:rPr>
              <w:t>62</w:t>
            </w:r>
            <w:r w:rsidR="00F74290" w:rsidRPr="00476370">
              <w:rPr>
                <w:rFonts w:eastAsia="Times New Roman" w:cs="Times New Roman"/>
                <w:szCs w:val="24"/>
                <w:lang w:eastAsia="lv-LV"/>
              </w:rPr>
              <w:t>.punkts nosaka, ka TIR karnetes turētāja atļaujas un TIR nosūtītāja atļaujas, kas izsniegtas personām pirms noteikumu spēkā stāšanās, būs derīgas.</w:t>
            </w:r>
          </w:p>
          <w:p w14:paraId="687B9E87" w14:textId="77777777" w:rsidR="0037347C" w:rsidRPr="001A6CEB" w:rsidRDefault="004F0E07" w:rsidP="0037347C">
            <w:pPr>
              <w:tabs>
                <w:tab w:val="left" w:pos="381"/>
              </w:tabs>
              <w:spacing w:before="120" w:after="120" w:line="240" w:lineRule="auto"/>
              <w:ind w:firstLine="550"/>
              <w:jc w:val="both"/>
              <w:rPr>
                <w:bCs/>
                <w:szCs w:val="24"/>
              </w:rPr>
            </w:pPr>
            <w:r w:rsidRPr="00476370">
              <w:rPr>
                <w:rFonts w:eastAsia="Times New Roman" w:cs="Times New Roman"/>
                <w:szCs w:val="24"/>
                <w:lang w:eastAsia="lv-LV"/>
              </w:rPr>
              <w:t xml:space="preserve">12. Noteikumu projekta </w:t>
            </w:r>
            <w:r w:rsidR="0027083F" w:rsidRPr="00476370">
              <w:rPr>
                <w:rFonts w:eastAsia="Times New Roman" w:cs="Times New Roman"/>
                <w:szCs w:val="24"/>
                <w:lang w:eastAsia="lv-LV"/>
              </w:rPr>
              <w:t>63</w:t>
            </w:r>
            <w:r w:rsidRPr="00476370">
              <w:rPr>
                <w:rFonts w:eastAsia="Times New Roman" w:cs="Times New Roman"/>
                <w:szCs w:val="24"/>
                <w:lang w:eastAsia="lv-LV"/>
              </w:rPr>
              <w:t>.punkts nosaka, ka līdz Savienības tranzīta</w:t>
            </w:r>
            <w:r w:rsidRPr="00F65D5D">
              <w:rPr>
                <w:rFonts w:eastAsia="Times New Roman" w:cs="Times New Roman"/>
                <w:szCs w:val="24"/>
                <w:lang w:eastAsia="lv-LV"/>
              </w:rPr>
              <w:t xml:space="preserve"> procedūras vienkāršojum</w:t>
            </w:r>
            <w:r w:rsidR="00E26090" w:rsidRPr="00F65D5D">
              <w:rPr>
                <w:rFonts w:eastAsia="Times New Roman" w:cs="Times New Roman"/>
                <w:szCs w:val="24"/>
                <w:lang w:eastAsia="lv-LV"/>
              </w:rPr>
              <w:t>a</w:t>
            </w:r>
            <w:r w:rsidRPr="00F65D5D">
              <w:rPr>
                <w:rFonts w:eastAsia="Times New Roman" w:cs="Times New Roman"/>
                <w:szCs w:val="24"/>
                <w:lang w:eastAsia="lv-LV"/>
              </w:rPr>
              <w:t xml:space="preserve">, kas ir noteikts saskaņā ar regulas Nr.2016/341 24.pantu un 45.panta </w:t>
            </w:r>
            <w:r w:rsidR="00D6535E" w:rsidRPr="00F65D5D">
              <w:rPr>
                <w:rFonts w:eastAsia="Times New Roman" w:cs="Times New Roman"/>
                <w:szCs w:val="24"/>
                <w:lang w:eastAsia="lv-LV"/>
              </w:rPr>
              <w:t>“</w:t>
            </w:r>
            <w:r w:rsidRPr="00F65D5D">
              <w:rPr>
                <w:rFonts w:eastAsia="Times New Roman" w:cs="Times New Roman"/>
                <w:szCs w:val="24"/>
                <w:lang w:eastAsia="lv-LV"/>
              </w:rPr>
              <w:t>b</w:t>
            </w:r>
            <w:r w:rsidR="00D6535E" w:rsidRPr="00F65D5D">
              <w:rPr>
                <w:rFonts w:eastAsia="Times New Roman" w:cs="Times New Roman"/>
                <w:szCs w:val="24"/>
                <w:lang w:eastAsia="lv-LV"/>
              </w:rPr>
              <w:t>”</w:t>
            </w:r>
            <w:r w:rsidRPr="00F65D5D">
              <w:rPr>
                <w:rFonts w:eastAsia="Times New Roman" w:cs="Times New Roman"/>
                <w:szCs w:val="24"/>
                <w:lang w:eastAsia="lv-LV"/>
              </w:rPr>
              <w:t xml:space="preserve"> punktu</w:t>
            </w:r>
            <w:r w:rsidR="00E26090" w:rsidRPr="00F65D5D">
              <w:rPr>
                <w:bCs/>
                <w:szCs w:val="24"/>
              </w:rPr>
              <w:t xml:space="preserve"> un, kas tika piemērots </w:t>
            </w:r>
            <w:r w:rsidR="00E26090" w:rsidRPr="00F65D5D">
              <w:rPr>
                <w:bCs/>
                <w:szCs w:val="24"/>
              </w:rPr>
              <w:lastRenderedPageBreak/>
              <w:t xml:space="preserve">arī pirms noteikumu projekta spēkā stāšanās saskaņā ar Valsts ieņēmumu dienestu iepriekš saskaņoto muitas uzraudzības </w:t>
            </w:r>
            <w:r w:rsidR="00E26090" w:rsidRPr="001A6CEB">
              <w:rPr>
                <w:bCs/>
                <w:szCs w:val="24"/>
              </w:rPr>
              <w:t>nodrošināšanas metodiku, turpina piemērot līdz minētā vienkāršojuma atcelšanai.</w:t>
            </w:r>
          </w:p>
          <w:p w14:paraId="4DA88807" w14:textId="0436644A" w:rsidR="0037347C" w:rsidRPr="0037347C" w:rsidRDefault="006902D1" w:rsidP="00873AC6">
            <w:pPr>
              <w:tabs>
                <w:tab w:val="left" w:pos="381"/>
              </w:tabs>
              <w:spacing w:before="120" w:after="120" w:line="240" w:lineRule="auto"/>
              <w:jc w:val="both"/>
              <w:rPr>
                <w:b/>
                <w:bCs/>
                <w:szCs w:val="24"/>
              </w:rPr>
            </w:pPr>
            <w:r w:rsidRPr="001A6CEB">
              <w:rPr>
                <w:bCs/>
                <w:szCs w:val="24"/>
              </w:rPr>
              <w:t>N</w:t>
            </w:r>
            <w:r w:rsidR="0037347C" w:rsidRPr="001A6CEB">
              <w:rPr>
                <w:bCs/>
                <w:szCs w:val="24"/>
              </w:rPr>
              <w:t>oteikuma projekt</w:t>
            </w:r>
            <w:r w:rsidR="00873AC6" w:rsidRPr="001A6CEB">
              <w:rPr>
                <w:bCs/>
                <w:szCs w:val="24"/>
              </w:rPr>
              <w:t>a 35., 48. un 59.punktā</w:t>
            </w:r>
            <w:r w:rsidR="0037347C" w:rsidRPr="001A6CEB">
              <w:rPr>
                <w:bCs/>
                <w:szCs w:val="24"/>
              </w:rPr>
              <w:t xml:space="preserve"> minētos iesniegumus, </w:t>
            </w:r>
            <w:r w:rsidRPr="001A6CEB">
              <w:rPr>
                <w:bCs/>
                <w:szCs w:val="24"/>
              </w:rPr>
              <w:t xml:space="preserve">persona </w:t>
            </w:r>
            <w:r w:rsidR="0037347C" w:rsidRPr="001A6CEB">
              <w:rPr>
                <w:bCs/>
                <w:szCs w:val="24"/>
              </w:rPr>
              <w:t>iesniedz VID papīra formāt</w:t>
            </w:r>
            <w:r w:rsidR="00873AC6" w:rsidRPr="001A6CEB">
              <w:rPr>
                <w:bCs/>
                <w:szCs w:val="24"/>
              </w:rPr>
              <w:t>ā vai</w:t>
            </w:r>
            <w:r w:rsidR="0037347C" w:rsidRPr="001A6CEB">
              <w:rPr>
                <w:bCs/>
                <w:szCs w:val="24"/>
              </w:rPr>
              <w:t xml:space="preserve"> elektroniska dokumenta veidā</w:t>
            </w:r>
            <w:r w:rsidR="00873AC6" w:rsidRPr="001A6CEB">
              <w:rPr>
                <w:bCs/>
                <w:szCs w:val="24"/>
              </w:rPr>
              <w:t>,</w:t>
            </w:r>
            <w:r w:rsidR="0037347C" w:rsidRPr="001A6CEB">
              <w:rPr>
                <w:bCs/>
                <w:szCs w:val="24"/>
              </w:rPr>
              <w:t xml:space="preserve"> vai izmantojot VID Elektroniskās deklarēšanas sistēmu.</w:t>
            </w:r>
          </w:p>
        </w:tc>
      </w:tr>
      <w:tr w:rsidR="00163B6D" w:rsidRPr="00CB4E50" w14:paraId="748EF30B" w14:textId="77777777" w:rsidTr="0037347C">
        <w:trPr>
          <w:gridBefore w:val="1"/>
          <w:gridAfter w:val="1"/>
          <w:wBefore w:w="4" w:type="pct"/>
          <w:wAfter w:w="5" w:type="pct"/>
          <w:trHeight w:val="465"/>
        </w:trPr>
        <w:tc>
          <w:tcPr>
            <w:tcW w:w="236" w:type="pct"/>
            <w:gridSpan w:val="2"/>
            <w:tcBorders>
              <w:top w:val="outset" w:sz="6" w:space="0" w:color="auto"/>
              <w:left w:val="outset" w:sz="6" w:space="0" w:color="auto"/>
              <w:bottom w:val="outset" w:sz="6" w:space="0" w:color="auto"/>
              <w:right w:val="outset" w:sz="6" w:space="0" w:color="auto"/>
            </w:tcBorders>
            <w:hideMark/>
          </w:tcPr>
          <w:p w14:paraId="5B746961" w14:textId="77777777" w:rsidR="005D4AE6" w:rsidRPr="00CB4E50" w:rsidRDefault="005D4AE6" w:rsidP="005D4AE6">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lastRenderedPageBreak/>
              <w:t>3.</w:t>
            </w:r>
          </w:p>
        </w:tc>
        <w:tc>
          <w:tcPr>
            <w:tcW w:w="1377" w:type="pct"/>
            <w:tcBorders>
              <w:top w:val="outset" w:sz="6" w:space="0" w:color="auto"/>
              <w:left w:val="outset" w:sz="6" w:space="0" w:color="auto"/>
              <w:bottom w:val="outset" w:sz="6" w:space="0" w:color="auto"/>
              <w:right w:val="outset" w:sz="6" w:space="0" w:color="auto"/>
            </w:tcBorders>
            <w:hideMark/>
          </w:tcPr>
          <w:p w14:paraId="1BFB8921"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Projekta izstrādē iesaistītās institūcijas</w:t>
            </w:r>
          </w:p>
        </w:tc>
        <w:tc>
          <w:tcPr>
            <w:tcW w:w="3378" w:type="pct"/>
            <w:gridSpan w:val="2"/>
            <w:tcBorders>
              <w:top w:val="outset" w:sz="6" w:space="0" w:color="auto"/>
              <w:left w:val="outset" w:sz="6" w:space="0" w:color="auto"/>
              <w:bottom w:val="outset" w:sz="6" w:space="0" w:color="auto"/>
              <w:right w:val="outset" w:sz="6" w:space="0" w:color="auto"/>
            </w:tcBorders>
            <w:hideMark/>
          </w:tcPr>
          <w:p w14:paraId="1BC87721" w14:textId="77777777" w:rsidR="005D4AE6" w:rsidRPr="00CB4E50" w:rsidRDefault="00331C57" w:rsidP="005D4AE6">
            <w:pPr>
              <w:spacing w:after="0" w:line="240" w:lineRule="auto"/>
              <w:rPr>
                <w:rFonts w:eastAsia="Times New Roman" w:cs="Times New Roman"/>
                <w:szCs w:val="24"/>
                <w:lang w:eastAsia="lv-LV"/>
              </w:rPr>
            </w:pPr>
            <w:r>
              <w:rPr>
                <w:rFonts w:eastAsia="Times New Roman" w:cs="Times New Roman"/>
                <w:szCs w:val="24"/>
                <w:lang w:eastAsia="lv-LV"/>
              </w:rPr>
              <w:t>VID</w:t>
            </w:r>
          </w:p>
        </w:tc>
      </w:tr>
      <w:tr w:rsidR="00163B6D" w:rsidRPr="00CB4E50" w14:paraId="0006E84C" w14:textId="77777777" w:rsidTr="0037347C">
        <w:trPr>
          <w:gridBefore w:val="1"/>
          <w:gridAfter w:val="1"/>
          <w:wBefore w:w="4" w:type="pct"/>
          <w:wAfter w:w="5" w:type="pct"/>
        </w:trPr>
        <w:tc>
          <w:tcPr>
            <w:tcW w:w="236" w:type="pct"/>
            <w:gridSpan w:val="2"/>
            <w:tcBorders>
              <w:top w:val="outset" w:sz="6" w:space="0" w:color="auto"/>
              <w:left w:val="outset" w:sz="6" w:space="0" w:color="auto"/>
              <w:bottom w:val="outset" w:sz="6" w:space="0" w:color="auto"/>
              <w:right w:val="outset" w:sz="6" w:space="0" w:color="auto"/>
            </w:tcBorders>
            <w:hideMark/>
          </w:tcPr>
          <w:p w14:paraId="2B0EE6D5" w14:textId="77777777" w:rsidR="005D4AE6" w:rsidRPr="00CB4E50" w:rsidRDefault="005D4AE6" w:rsidP="005D4AE6">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4.</w:t>
            </w:r>
          </w:p>
        </w:tc>
        <w:tc>
          <w:tcPr>
            <w:tcW w:w="1377" w:type="pct"/>
            <w:tcBorders>
              <w:top w:val="outset" w:sz="6" w:space="0" w:color="auto"/>
              <w:left w:val="outset" w:sz="6" w:space="0" w:color="auto"/>
              <w:bottom w:val="outset" w:sz="6" w:space="0" w:color="auto"/>
              <w:right w:val="outset" w:sz="6" w:space="0" w:color="auto"/>
            </w:tcBorders>
            <w:hideMark/>
          </w:tcPr>
          <w:p w14:paraId="75BA3A57"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Cita informācija</w:t>
            </w:r>
          </w:p>
        </w:tc>
        <w:tc>
          <w:tcPr>
            <w:tcW w:w="3378" w:type="pct"/>
            <w:gridSpan w:val="2"/>
            <w:tcBorders>
              <w:top w:val="outset" w:sz="6" w:space="0" w:color="auto"/>
              <w:left w:val="outset" w:sz="6" w:space="0" w:color="auto"/>
              <w:bottom w:val="outset" w:sz="6" w:space="0" w:color="auto"/>
              <w:right w:val="outset" w:sz="6" w:space="0" w:color="auto"/>
            </w:tcBorders>
            <w:hideMark/>
          </w:tcPr>
          <w:p w14:paraId="045D07F5" w14:textId="77777777" w:rsidR="005D4AE6" w:rsidRPr="00CB4E50" w:rsidRDefault="00212075" w:rsidP="005D4AE6">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Nav</w:t>
            </w:r>
          </w:p>
        </w:tc>
      </w:tr>
      <w:tr w:rsidR="005D4AE6" w:rsidRPr="00CB4E50" w14:paraId="1A0208F5" w14:textId="77777777" w:rsidTr="0037347C">
        <w:trPr>
          <w:trHeight w:val="268"/>
        </w:trPr>
        <w:tc>
          <w:tcPr>
            <w:tcW w:w="5000" w:type="pct"/>
            <w:gridSpan w:val="7"/>
            <w:tcBorders>
              <w:top w:val="nil"/>
              <w:left w:val="nil"/>
              <w:bottom w:val="single" w:sz="4" w:space="0" w:color="auto"/>
              <w:right w:val="nil"/>
            </w:tcBorders>
            <w:vAlign w:val="center"/>
            <w:hideMark/>
          </w:tcPr>
          <w:p w14:paraId="3BE34CB1" w14:textId="77777777" w:rsidR="005D4AE6" w:rsidRPr="00CB4E50" w:rsidRDefault="005D4AE6" w:rsidP="00ED2523">
            <w:pPr>
              <w:spacing w:after="0" w:line="240" w:lineRule="auto"/>
              <w:rPr>
                <w:rFonts w:eastAsia="Times New Roman" w:cs="Times New Roman"/>
                <w:szCs w:val="24"/>
                <w:lang w:eastAsia="lv-LV"/>
              </w:rPr>
            </w:pPr>
          </w:p>
        </w:tc>
      </w:tr>
      <w:tr w:rsidR="00ED2523" w:rsidRPr="00CB4E50" w14:paraId="346ED472" w14:textId="77777777" w:rsidTr="0037347C">
        <w:trPr>
          <w:trHeight w:val="555"/>
        </w:trPr>
        <w:tc>
          <w:tcPr>
            <w:tcW w:w="5000" w:type="pct"/>
            <w:gridSpan w:val="7"/>
            <w:tcBorders>
              <w:top w:val="single" w:sz="4" w:space="0" w:color="auto"/>
              <w:left w:val="outset" w:sz="6" w:space="0" w:color="auto"/>
              <w:bottom w:val="outset" w:sz="6" w:space="0" w:color="auto"/>
              <w:right w:val="outset" w:sz="6" w:space="0" w:color="auto"/>
            </w:tcBorders>
            <w:vAlign w:val="center"/>
          </w:tcPr>
          <w:p w14:paraId="5B1E4CA2" w14:textId="77777777" w:rsidR="00ED2523" w:rsidRPr="00CB4E50" w:rsidRDefault="00ED2523" w:rsidP="005D4AE6">
            <w:pPr>
              <w:spacing w:before="100" w:beforeAutospacing="1" w:after="100" w:afterAutospacing="1" w:line="240" w:lineRule="auto"/>
              <w:rPr>
                <w:rFonts w:eastAsia="Times New Roman" w:cs="Times New Roman"/>
                <w:b/>
                <w:bCs/>
                <w:szCs w:val="24"/>
                <w:lang w:eastAsia="lv-LV"/>
              </w:rPr>
            </w:pPr>
            <w:r w:rsidRPr="00CB4E50">
              <w:rPr>
                <w:rFonts w:eastAsia="Times New Roman" w:cs="Times New Roman"/>
                <w:b/>
                <w:bCs/>
                <w:szCs w:val="24"/>
                <w:lang w:eastAsia="lv-LV"/>
              </w:rPr>
              <w:t>II. Tiesību akta projekta ietekme uz sabiedrību, tautsaimniecības attīstību un administratīvo slogu</w:t>
            </w:r>
          </w:p>
        </w:tc>
      </w:tr>
      <w:tr w:rsidR="005D4AE6" w:rsidRPr="00CB4E50" w14:paraId="12617A36" w14:textId="77777777" w:rsidTr="0037347C">
        <w:trPr>
          <w:trHeight w:val="465"/>
        </w:trPr>
        <w:tc>
          <w:tcPr>
            <w:tcW w:w="236" w:type="pct"/>
            <w:gridSpan w:val="2"/>
            <w:tcBorders>
              <w:top w:val="outset" w:sz="6" w:space="0" w:color="auto"/>
              <w:left w:val="outset" w:sz="6" w:space="0" w:color="auto"/>
              <w:bottom w:val="outset" w:sz="6" w:space="0" w:color="auto"/>
              <w:right w:val="outset" w:sz="6" w:space="0" w:color="auto"/>
            </w:tcBorders>
            <w:hideMark/>
          </w:tcPr>
          <w:p w14:paraId="1AD8DAFB"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1.</w:t>
            </w:r>
          </w:p>
        </w:tc>
        <w:tc>
          <w:tcPr>
            <w:tcW w:w="1457" w:type="pct"/>
            <w:gridSpan w:val="3"/>
            <w:tcBorders>
              <w:top w:val="outset" w:sz="6" w:space="0" w:color="auto"/>
              <w:left w:val="outset" w:sz="6" w:space="0" w:color="auto"/>
              <w:bottom w:val="outset" w:sz="6" w:space="0" w:color="auto"/>
              <w:right w:val="outset" w:sz="6" w:space="0" w:color="auto"/>
            </w:tcBorders>
            <w:hideMark/>
          </w:tcPr>
          <w:p w14:paraId="0C558031"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Sabiedrības mērķgrupas, kuras tiesiskais regulējums ietekmē vai varētu ietekmēt</w:t>
            </w:r>
          </w:p>
        </w:tc>
        <w:tc>
          <w:tcPr>
            <w:tcW w:w="3307" w:type="pct"/>
            <w:gridSpan w:val="2"/>
            <w:tcBorders>
              <w:top w:val="outset" w:sz="6" w:space="0" w:color="auto"/>
              <w:left w:val="outset" w:sz="6" w:space="0" w:color="auto"/>
              <w:bottom w:val="outset" w:sz="6" w:space="0" w:color="auto"/>
              <w:right w:val="outset" w:sz="6" w:space="0" w:color="auto"/>
            </w:tcBorders>
            <w:hideMark/>
          </w:tcPr>
          <w:p w14:paraId="47238356" w14:textId="77777777" w:rsidR="00B47534" w:rsidRDefault="00952F49" w:rsidP="00BC3246">
            <w:pPr>
              <w:spacing w:after="0" w:line="240" w:lineRule="auto"/>
              <w:jc w:val="both"/>
              <w:rPr>
                <w:rFonts w:eastAsia="Times New Roman" w:cs="Times New Roman"/>
                <w:szCs w:val="24"/>
                <w:lang w:eastAsia="lv-LV"/>
              </w:rPr>
            </w:pPr>
            <w:r>
              <w:rPr>
                <w:rFonts w:eastAsia="Times New Roman" w:cs="Times New Roman"/>
                <w:szCs w:val="24"/>
                <w:lang w:eastAsia="lv-LV"/>
              </w:rPr>
              <w:t xml:space="preserve">Personas, kuras piesaka precēm </w:t>
            </w:r>
            <w:r w:rsidR="00B47534">
              <w:rPr>
                <w:rFonts w:eastAsia="Times New Roman" w:cs="Times New Roman"/>
                <w:szCs w:val="24"/>
                <w:lang w:eastAsia="lv-LV"/>
              </w:rPr>
              <w:t xml:space="preserve">tranzīta </w:t>
            </w:r>
            <w:r>
              <w:rPr>
                <w:rFonts w:eastAsia="Times New Roman" w:cs="Times New Roman"/>
                <w:szCs w:val="24"/>
                <w:lang w:eastAsia="lv-LV"/>
              </w:rPr>
              <w:t>procedūr</w:t>
            </w:r>
            <w:r w:rsidR="00B47534">
              <w:rPr>
                <w:rFonts w:eastAsia="Times New Roman" w:cs="Times New Roman"/>
                <w:szCs w:val="24"/>
                <w:lang w:eastAsia="lv-LV"/>
              </w:rPr>
              <w:t>u,</w:t>
            </w:r>
            <w:r>
              <w:rPr>
                <w:rFonts w:eastAsia="Times New Roman" w:cs="Times New Roman"/>
                <w:szCs w:val="24"/>
                <w:lang w:eastAsia="lv-LV"/>
              </w:rPr>
              <w:t xml:space="preserve"> </w:t>
            </w:r>
            <w:r w:rsidR="00042B49">
              <w:rPr>
                <w:rFonts w:eastAsia="Times New Roman" w:cs="Times New Roman"/>
                <w:szCs w:val="24"/>
                <w:lang w:eastAsia="lv-LV"/>
              </w:rPr>
              <w:t xml:space="preserve">kā arī personas, kuras </w:t>
            </w:r>
            <w:r w:rsidR="005D518C">
              <w:rPr>
                <w:rFonts w:eastAsia="Times New Roman" w:cs="Times New Roman"/>
                <w:szCs w:val="24"/>
                <w:lang w:eastAsia="lv-LV"/>
              </w:rPr>
              <w:t xml:space="preserve">ir </w:t>
            </w:r>
            <w:r w:rsidR="00B47534">
              <w:rPr>
                <w:rFonts w:eastAsia="Times New Roman" w:cs="Times New Roman"/>
                <w:szCs w:val="24"/>
                <w:lang w:eastAsia="lv-LV"/>
              </w:rPr>
              <w:t>ieguv</w:t>
            </w:r>
            <w:r w:rsidR="005D518C">
              <w:rPr>
                <w:rFonts w:eastAsia="Times New Roman" w:cs="Times New Roman"/>
                <w:szCs w:val="24"/>
                <w:lang w:eastAsia="lv-LV"/>
              </w:rPr>
              <w:t>ušas</w:t>
            </w:r>
            <w:r w:rsidR="00B47534">
              <w:rPr>
                <w:rFonts w:eastAsia="Times New Roman" w:cs="Times New Roman"/>
                <w:szCs w:val="24"/>
                <w:lang w:eastAsia="lv-LV"/>
              </w:rPr>
              <w:t xml:space="preserve"> vai </w:t>
            </w:r>
            <w:r w:rsidR="00042B49">
              <w:rPr>
                <w:rFonts w:eastAsia="Times New Roman" w:cs="Times New Roman"/>
                <w:szCs w:val="24"/>
                <w:lang w:eastAsia="lv-LV"/>
              </w:rPr>
              <w:t xml:space="preserve">vēlētos iegūt </w:t>
            </w:r>
            <w:r w:rsidR="00B47534">
              <w:rPr>
                <w:rFonts w:eastAsia="Times New Roman" w:cs="Times New Roman"/>
                <w:szCs w:val="24"/>
                <w:lang w:eastAsia="lv-LV"/>
              </w:rPr>
              <w:t xml:space="preserve">TIR karnetes turētāja vai </w:t>
            </w:r>
            <w:r w:rsidR="00B47534" w:rsidRPr="00B47534">
              <w:rPr>
                <w:rFonts w:eastAsia="Times New Roman" w:cs="Times New Roman"/>
                <w:szCs w:val="24"/>
                <w:lang w:eastAsia="lv-LV"/>
              </w:rPr>
              <w:t>pilnvarot</w:t>
            </w:r>
            <w:r w:rsidR="00B47534">
              <w:rPr>
                <w:rFonts w:eastAsia="Times New Roman" w:cs="Times New Roman"/>
                <w:szCs w:val="24"/>
                <w:lang w:eastAsia="lv-LV"/>
              </w:rPr>
              <w:t>ā</w:t>
            </w:r>
            <w:r w:rsidR="00B47534" w:rsidRPr="00B47534">
              <w:rPr>
                <w:rFonts w:eastAsia="Times New Roman" w:cs="Times New Roman"/>
                <w:szCs w:val="24"/>
                <w:lang w:eastAsia="lv-LV"/>
              </w:rPr>
              <w:t xml:space="preserve"> nosūtītāj</w:t>
            </w:r>
            <w:r w:rsidR="00B47534">
              <w:rPr>
                <w:rFonts w:eastAsia="Times New Roman" w:cs="Times New Roman"/>
                <w:szCs w:val="24"/>
                <w:lang w:eastAsia="lv-LV"/>
              </w:rPr>
              <w:t>a</w:t>
            </w:r>
            <w:r w:rsidR="00B47534" w:rsidRPr="00B47534">
              <w:rPr>
                <w:rFonts w:eastAsia="Times New Roman" w:cs="Times New Roman"/>
                <w:szCs w:val="24"/>
                <w:lang w:eastAsia="lv-LV"/>
              </w:rPr>
              <w:t xml:space="preserve"> TIR procedūrā</w:t>
            </w:r>
            <w:r w:rsidR="00B47534">
              <w:rPr>
                <w:rFonts w:eastAsia="Times New Roman" w:cs="Times New Roman"/>
                <w:szCs w:val="24"/>
                <w:lang w:eastAsia="lv-LV"/>
              </w:rPr>
              <w:t xml:space="preserve"> </w:t>
            </w:r>
            <w:r w:rsidR="00042B49">
              <w:rPr>
                <w:rFonts w:eastAsia="Times New Roman" w:cs="Times New Roman"/>
                <w:szCs w:val="24"/>
                <w:lang w:eastAsia="lv-LV"/>
              </w:rPr>
              <w:t>statusu.</w:t>
            </w:r>
          </w:p>
          <w:p w14:paraId="3872422D" w14:textId="77777777" w:rsidR="00B47534" w:rsidRPr="00CB4E50" w:rsidRDefault="00B47534" w:rsidP="00BC3246">
            <w:pPr>
              <w:spacing w:after="0" w:line="240" w:lineRule="auto"/>
              <w:jc w:val="both"/>
              <w:rPr>
                <w:rFonts w:eastAsia="Times New Roman" w:cs="Times New Roman"/>
                <w:szCs w:val="24"/>
                <w:lang w:eastAsia="lv-LV"/>
              </w:rPr>
            </w:pPr>
          </w:p>
        </w:tc>
      </w:tr>
      <w:tr w:rsidR="005D4AE6" w:rsidRPr="00CB4E50" w14:paraId="78C0C1CE" w14:textId="77777777" w:rsidTr="0037347C">
        <w:trPr>
          <w:trHeight w:val="510"/>
        </w:trPr>
        <w:tc>
          <w:tcPr>
            <w:tcW w:w="236" w:type="pct"/>
            <w:gridSpan w:val="2"/>
            <w:tcBorders>
              <w:top w:val="outset" w:sz="6" w:space="0" w:color="auto"/>
              <w:left w:val="outset" w:sz="6" w:space="0" w:color="auto"/>
              <w:bottom w:val="outset" w:sz="6" w:space="0" w:color="auto"/>
              <w:right w:val="outset" w:sz="6" w:space="0" w:color="auto"/>
            </w:tcBorders>
            <w:hideMark/>
          </w:tcPr>
          <w:p w14:paraId="409A367E"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2.</w:t>
            </w:r>
          </w:p>
        </w:tc>
        <w:tc>
          <w:tcPr>
            <w:tcW w:w="1457" w:type="pct"/>
            <w:gridSpan w:val="3"/>
            <w:tcBorders>
              <w:top w:val="outset" w:sz="6" w:space="0" w:color="auto"/>
              <w:left w:val="outset" w:sz="6" w:space="0" w:color="auto"/>
              <w:bottom w:val="outset" w:sz="6" w:space="0" w:color="auto"/>
              <w:right w:val="outset" w:sz="6" w:space="0" w:color="auto"/>
            </w:tcBorders>
            <w:hideMark/>
          </w:tcPr>
          <w:p w14:paraId="7729678C"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Tiesiskā regulējuma ietekme uz tautsaimniecību un administratīvo slogu</w:t>
            </w:r>
          </w:p>
        </w:tc>
        <w:tc>
          <w:tcPr>
            <w:tcW w:w="3307" w:type="pct"/>
            <w:gridSpan w:val="2"/>
            <w:tcBorders>
              <w:top w:val="outset" w:sz="6" w:space="0" w:color="auto"/>
              <w:left w:val="outset" w:sz="6" w:space="0" w:color="auto"/>
              <w:bottom w:val="outset" w:sz="6" w:space="0" w:color="auto"/>
              <w:right w:val="outset" w:sz="6" w:space="0" w:color="auto"/>
            </w:tcBorders>
            <w:hideMark/>
          </w:tcPr>
          <w:p w14:paraId="0A7655A8" w14:textId="77777777" w:rsidR="005D4AE6" w:rsidRPr="00CB4E50" w:rsidRDefault="00681500" w:rsidP="005939AE">
            <w:pPr>
              <w:spacing w:after="0" w:line="240" w:lineRule="auto"/>
              <w:jc w:val="both"/>
              <w:rPr>
                <w:rFonts w:eastAsia="Times New Roman" w:cs="Times New Roman"/>
                <w:szCs w:val="24"/>
                <w:lang w:eastAsia="lv-LV"/>
              </w:rPr>
            </w:pPr>
            <w:r>
              <w:rPr>
                <w:rFonts w:eastAsia="Times New Roman" w:cs="Times New Roman"/>
                <w:szCs w:val="24"/>
                <w:lang w:eastAsia="lv-LV"/>
              </w:rPr>
              <w:t>N</w:t>
            </w:r>
            <w:r w:rsidR="0059781E" w:rsidRPr="00B33325">
              <w:rPr>
                <w:rFonts w:eastAsia="Times New Roman" w:cs="Times New Roman"/>
                <w:szCs w:val="24"/>
                <w:lang w:eastAsia="lv-LV"/>
              </w:rPr>
              <w:t>ote</w:t>
            </w:r>
            <w:r w:rsidR="00E60C8E" w:rsidRPr="00B33325">
              <w:rPr>
                <w:rFonts w:eastAsia="Times New Roman" w:cs="Times New Roman"/>
                <w:szCs w:val="24"/>
                <w:lang w:eastAsia="lv-LV"/>
              </w:rPr>
              <w:t xml:space="preserve">ikumu projekts </w:t>
            </w:r>
            <w:r w:rsidR="005939AE" w:rsidRPr="00B33325">
              <w:rPr>
                <w:rFonts w:eastAsia="Times New Roman" w:cs="Times New Roman"/>
                <w:szCs w:val="24"/>
                <w:lang w:eastAsia="lv-LV"/>
              </w:rPr>
              <w:t xml:space="preserve">neietekmē tautsaimniecību un </w:t>
            </w:r>
            <w:r w:rsidR="002A456D" w:rsidRPr="00B33325">
              <w:rPr>
                <w:rFonts w:eastAsia="Times New Roman" w:cs="Times New Roman"/>
                <w:szCs w:val="24"/>
                <w:lang w:eastAsia="lv-LV"/>
              </w:rPr>
              <w:t xml:space="preserve">nerada </w:t>
            </w:r>
            <w:r w:rsidR="00B33325" w:rsidRPr="00952F49">
              <w:rPr>
                <w:rFonts w:eastAsia="Times New Roman" w:cs="Times New Roman"/>
                <w:szCs w:val="24"/>
                <w:lang w:eastAsia="lv-LV"/>
              </w:rPr>
              <w:t xml:space="preserve">papildu </w:t>
            </w:r>
            <w:r w:rsidR="005939AE" w:rsidRPr="00B33325">
              <w:rPr>
                <w:rFonts w:eastAsia="Times New Roman" w:cs="Times New Roman"/>
                <w:szCs w:val="24"/>
                <w:lang w:eastAsia="lv-LV"/>
              </w:rPr>
              <w:t>administratīvo slogu.</w:t>
            </w:r>
            <w:r w:rsidR="005939AE" w:rsidRPr="00CB4E50">
              <w:rPr>
                <w:rFonts w:eastAsia="Times New Roman" w:cs="Times New Roman"/>
                <w:szCs w:val="24"/>
                <w:lang w:eastAsia="lv-LV"/>
              </w:rPr>
              <w:t xml:space="preserve"> </w:t>
            </w:r>
          </w:p>
        </w:tc>
      </w:tr>
      <w:tr w:rsidR="005D4AE6" w:rsidRPr="00CB4E50" w14:paraId="5BDDC916" w14:textId="77777777" w:rsidTr="0037347C">
        <w:trPr>
          <w:trHeight w:val="510"/>
        </w:trPr>
        <w:tc>
          <w:tcPr>
            <w:tcW w:w="236" w:type="pct"/>
            <w:gridSpan w:val="2"/>
            <w:tcBorders>
              <w:top w:val="outset" w:sz="6" w:space="0" w:color="auto"/>
              <w:left w:val="outset" w:sz="6" w:space="0" w:color="auto"/>
              <w:bottom w:val="outset" w:sz="6" w:space="0" w:color="auto"/>
              <w:right w:val="outset" w:sz="6" w:space="0" w:color="auto"/>
            </w:tcBorders>
            <w:hideMark/>
          </w:tcPr>
          <w:p w14:paraId="15D7E962"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3.</w:t>
            </w:r>
          </w:p>
        </w:tc>
        <w:tc>
          <w:tcPr>
            <w:tcW w:w="1457" w:type="pct"/>
            <w:gridSpan w:val="3"/>
            <w:tcBorders>
              <w:top w:val="outset" w:sz="6" w:space="0" w:color="auto"/>
              <w:left w:val="outset" w:sz="6" w:space="0" w:color="auto"/>
              <w:bottom w:val="outset" w:sz="6" w:space="0" w:color="auto"/>
              <w:right w:val="outset" w:sz="6" w:space="0" w:color="auto"/>
            </w:tcBorders>
            <w:hideMark/>
          </w:tcPr>
          <w:p w14:paraId="17211DA9" w14:textId="77777777" w:rsidR="005D4AE6" w:rsidRPr="00B33325" w:rsidRDefault="005D4AE6" w:rsidP="005D4AE6">
            <w:pPr>
              <w:spacing w:after="0" w:line="240" w:lineRule="auto"/>
              <w:rPr>
                <w:rFonts w:eastAsia="Times New Roman" w:cs="Times New Roman"/>
                <w:szCs w:val="24"/>
                <w:lang w:eastAsia="lv-LV"/>
              </w:rPr>
            </w:pPr>
            <w:r w:rsidRPr="00B33325">
              <w:rPr>
                <w:rFonts w:eastAsia="Times New Roman" w:cs="Times New Roman"/>
                <w:szCs w:val="24"/>
                <w:lang w:eastAsia="lv-LV"/>
              </w:rPr>
              <w:t>Administratīvo izmaksu monetārs novērtējums</w:t>
            </w:r>
          </w:p>
        </w:tc>
        <w:tc>
          <w:tcPr>
            <w:tcW w:w="3307" w:type="pct"/>
            <w:gridSpan w:val="2"/>
            <w:tcBorders>
              <w:top w:val="outset" w:sz="6" w:space="0" w:color="auto"/>
              <w:left w:val="outset" w:sz="6" w:space="0" w:color="auto"/>
              <w:bottom w:val="outset" w:sz="6" w:space="0" w:color="auto"/>
              <w:right w:val="outset" w:sz="6" w:space="0" w:color="auto"/>
            </w:tcBorders>
            <w:hideMark/>
          </w:tcPr>
          <w:p w14:paraId="6C7B93B0" w14:textId="77777777" w:rsidR="00E5040F" w:rsidRPr="00B33325" w:rsidRDefault="005939AE" w:rsidP="00BC3246">
            <w:pPr>
              <w:spacing w:after="0" w:line="240" w:lineRule="auto"/>
              <w:jc w:val="both"/>
              <w:rPr>
                <w:rFonts w:eastAsia="Times New Roman" w:cs="Times New Roman"/>
                <w:szCs w:val="24"/>
                <w:lang w:eastAsia="lv-LV"/>
              </w:rPr>
            </w:pPr>
            <w:r w:rsidRPr="00B33325">
              <w:rPr>
                <w:rFonts w:eastAsia="Times New Roman" w:cs="Times New Roman"/>
                <w:szCs w:val="24"/>
                <w:lang w:eastAsia="lv-LV"/>
              </w:rPr>
              <w:t xml:space="preserve">Noteikumu projekts šo jomu neskar. </w:t>
            </w:r>
          </w:p>
        </w:tc>
      </w:tr>
      <w:tr w:rsidR="005D4AE6" w:rsidRPr="00CB4E50" w14:paraId="61A58EE2" w14:textId="77777777" w:rsidTr="0037347C">
        <w:trPr>
          <w:trHeight w:val="319"/>
        </w:trPr>
        <w:tc>
          <w:tcPr>
            <w:tcW w:w="236" w:type="pct"/>
            <w:gridSpan w:val="2"/>
            <w:tcBorders>
              <w:top w:val="outset" w:sz="6" w:space="0" w:color="auto"/>
              <w:left w:val="outset" w:sz="6" w:space="0" w:color="auto"/>
              <w:bottom w:val="outset" w:sz="6" w:space="0" w:color="auto"/>
              <w:right w:val="outset" w:sz="6" w:space="0" w:color="auto"/>
            </w:tcBorders>
            <w:hideMark/>
          </w:tcPr>
          <w:p w14:paraId="66783E76"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4.</w:t>
            </w:r>
          </w:p>
        </w:tc>
        <w:tc>
          <w:tcPr>
            <w:tcW w:w="1457" w:type="pct"/>
            <w:gridSpan w:val="3"/>
            <w:tcBorders>
              <w:top w:val="outset" w:sz="6" w:space="0" w:color="auto"/>
              <w:left w:val="outset" w:sz="6" w:space="0" w:color="auto"/>
              <w:bottom w:val="outset" w:sz="6" w:space="0" w:color="auto"/>
              <w:right w:val="outset" w:sz="6" w:space="0" w:color="auto"/>
            </w:tcBorders>
            <w:hideMark/>
          </w:tcPr>
          <w:p w14:paraId="2E011D2B"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Cita informācija</w:t>
            </w:r>
          </w:p>
        </w:tc>
        <w:tc>
          <w:tcPr>
            <w:tcW w:w="3307" w:type="pct"/>
            <w:gridSpan w:val="2"/>
            <w:tcBorders>
              <w:top w:val="outset" w:sz="6" w:space="0" w:color="auto"/>
              <w:left w:val="outset" w:sz="6" w:space="0" w:color="auto"/>
              <w:bottom w:val="outset" w:sz="6" w:space="0" w:color="auto"/>
              <w:right w:val="outset" w:sz="6" w:space="0" w:color="auto"/>
            </w:tcBorders>
            <w:hideMark/>
          </w:tcPr>
          <w:p w14:paraId="7BC8CE76" w14:textId="77777777" w:rsidR="004629EC" w:rsidRPr="00CB4E50" w:rsidRDefault="004629EC" w:rsidP="00BC3246">
            <w:pPr>
              <w:spacing w:after="0" w:line="240" w:lineRule="auto"/>
              <w:jc w:val="both"/>
              <w:rPr>
                <w:rFonts w:eastAsia="Times New Roman" w:cs="Times New Roman"/>
                <w:szCs w:val="24"/>
                <w:lang w:eastAsia="lv-LV"/>
              </w:rPr>
            </w:pPr>
            <w:r w:rsidRPr="00CB4E50">
              <w:rPr>
                <w:rFonts w:eastAsia="Times New Roman" w:cs="Times New Roman"/>
                <w:szCs w:val="24"/>
                <w:lang w:eastAsia="lv-LV"/>
              </w:rPr>
              <w:t>Nav</w:t>
            </w:r>
          </w:p>
        </w:tc>
      </w:tr>
    </w:tbl>
    <w:p w14:paraId="2767646C" w14:textId="77777777" w:rsidR="003E1AB9" w:rsidRPr="00CB4E50" w:rsidRDefault="003E1AB9" w:rsidP="002C5206">
      <w:pPr>
        <w:spacing w:after="0" w:line="240" w:lineRule="auto"/>
        <w:rPr>
          <w:i/>
        </w:rPr>
      </w:pPr>
    </w:p>
    <w:tbl>
      <w:tblPr>
        <w:tblW w:w="5327"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419"/>
        <w:gridCol w:w="27"/>
        <w:gridCol w:w="104"/>
        <w:gridCol w:w="1657"/>
        <w:gridCol w:w="1046"/>
        <w:gridCol w:w="787"/>
        <w:gridCol w:w="62"/>
        <w:gridCol w:w="357"/>
        <w:gridCol w:w="2284"/>
        <w:gridCol w:w="206"/>
        <w:gridCol w:w="841"/>
        <w:gridCol w:w="1841"/>
        <w:gridCol w:w="8"/>
      </w:tblGrid>
      <w:tr w:rsidR="00B135F5" w:rsidRPr="00B66C47" w14:paraId="20CEC34C" w14:textId="77777777" w:rsidTr="009F0BEC">
        <w:trPr>
          <w:gridBefore w:val="1"/>
          <w:gridAfter w:val="1"/>
          <w:wBefore w:w="4" w:type="pct"/>
          <w:wAfter w:w="6" w:type="pct"/>
          <w:trHeight w:val="450"/>
        </w:trPr>
        <w:tc>
          <w:tcPr>
            <w:tcW w:w="4991" w:type="pct"/>
            <w:gridSpan w:val="12"/>
            <w:tcBorders>
              <w:top w:val="outset" w:sz="6" w:space="0" w:color="auto"/>
              <w:left w:val="outset" w:sz="6" w:space="0" w:color="auto"/>
              <w:bottom w:val="outset" w:sz="6" w:space="0" w:color="auto"/>
              <w:right w:val="outset" w:sz="6" w:space="0" w:color="auto"/>
            </w:tcBorders>
          </w:tcPr>
          <w:p w14:paraId="4484416D" w14:textId="77777777" w:rsidR="00B135F5" w:rsidRPr="00B135F5" w:rsidRDefault="00B135F5" w:rsidP="00B135F5">
            <w:pPr>
              <w:spacing w:before="60" w:after="0" w:line="240" w:lineRule="auto"/>
              <w:rPr>
                <w:rFonts w:eastAsia="Calibri" w:cs="Times New Roman"/>
                <w:szCs w:val="24"/>
                <w:lang w:eastAsia="lv-LV"/>
              </w:rPr>
            </w:pPr>
            <w:r w:rsidRPr="00B135F5">
              <w:rPr>
                <w:rFonts w:eastAsia="Calibri" w:cs="Times New Roman"/>
                <w:b/>
                <w:bCs/>
                <w:szCs w:val="24"/>
                <w:lang w:eastAsia="lv-LV"/>
              </w:rPr>
              <w:t>IV. Tiesību akta projekta ietekme uz spēkā esošo tiesību normu sistēmu</w:t>
            </w:r>
          </w:p>
        </w:tc>
      </w:tr>
      <w:tr w:rsidR="008113DB" w:rsidRPr="00B66C47" w14:paraId="3AC3A345" w14:textId="77777777" w:rsidTr="009F0BEC">
        <w:trPr>
          <w:gridBefore w:val="1"/>
          <w:gridAfter w:val="1"/>
          <w:wBefore w:w="4" w:type="pct"/>
          <w:wAfter w:w="6" w:type="pct"/>
        </w:trPr>
        <w:tc>
          <w:tcPr>
            <w:tcW w:w="217" w:type="pct"/>
            <w:tcBorders>
              <w:top w:val="outset" w:sz="6" w:space="0" w:color="auto"/>
              <w:left w:val="outset" w:sz="6" w:space="0" w:color="auto"/>
              <w:bottom w:val="outset" w:sz="6" w:space="0" w:color="auto"/>
              <w:right w:val="outset" w:sz="6" w:space="0" w:color="auto"/>
            </w:tcBorders>
          </w:tcPr>
          <w:p w14:paraId="37270623" w14:textId="77777777" w:rsidR="00B135F5" w:rsidRPr="008113DB" w:rsidRDefault="00B135F5" w:rsidP="008113DB">
            <w:pPr>
              <w:spacing w:after="0" w:line="240" w:lineRule="auto"/>
              <w:ind w:left="57"/>
              <w:rPr>
                <w:rFonts w:eastAsia="Calibri" w:cs="Times New Roman"/>
                <w:szCs w:val="24"/>
                <w:lang w:eastAsia="lv-LV"/>
              </w:rPr>
            </w:pPr>
            <w:r w:rsidRPr="008113DB">
              <w:rPr>
                <w:rFonts w:eastAsia="Calibri" w:cs="Times New Roman"/>
                <w:szCs w:val="24"/>
                <w:lang w:eastAsia="lv-LV"/>
              </w:rPr>
              <w:t>1.</w:t>
            </w:r>
          </w:p>
        </w:tc>
        <w:tc>
          <w:tcPr>
            <w:tcW w:w="1469" w:type="pct"/>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F234A26" w14:textId="77777777" w:rsidR="00B135F5" w:rsidRPr="00B66C47" w:rsidRDefault="00B135F5" w:rsidP="00B66C47">
            <w:pPr>
              <w:spacing w:after="0" w:line="240" w:lineRule="auto"/>
              <w:rPr>
                <w:rFonts w:eastAsia="Calibri" w:cs="Times New Roman"/>
                <w:sz w:val="22"/>
                <w:lang w:eastAsia="lv-LV"/>
              </w:rPr>
            </w:pPr>
            <w:r w:rsidRPr="00B66C47">
              <w:rPr>
                <w:rFonts w:eastAsia="Calibri" w:cs="Times New Roman"/>
                <w:sz w:val="22"/>
                <w:lang w:eastAsia="lv-LV"/>
              </w:rPr>
              <w:t>Nepieciešamie saistītie tiesību aktu projekti</w:t>
            </w:r>
          </w:p>
        </w:tc>
        <w:tc>
          <w:tcPr>
            <w:tcW w:w="3305" w:type="pct"/>
            <w:gridSpan w:val="7"/>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7E0810D" w14:textId="77777777" w:rsidR="00B135F5" w:rsidRPr="00B66C47" w:rsidRDefault="00B135F5" w:rsidP="00B135F5">
            <w:pPr>
              <w:spacing w:before="60" w:after="60" w:line="240" w:lineRule="auto"/>
              <w:ind w:left="107" w:right="84"/>
              <w:jc w:val="both"/>
              <w:rPr>
                <w:rFonts w:eastAsia="Calibri" w:cs="Times New Roman"/>
                <w:sz w:val="22"/>
                <w:lang w:eastAsia="lv-LV"/>
              </w:rPr>
            </w:pPr>
            <w:r w:rsidRPr="00B66C47">
              <w:rPr>
                <w:rFonts w:eastAsia="Calibri" w:cs="Times New Roman"/>
                <w:sz w:val="22"/>
                <w:lang w:eastAsia="lv-LV"/>
              </w:rPr>
              <w:t>Nav</w:t>
            </w:r>
          </w:p>
        </w:tc>
      </w:tr>
      <w:tr w:rsidR="008113DB" w:rsidRPr="00B66C47" w14:paraId="2086E223" w14:textId="77777777" w:rsidTr="009F0BEC">
        <w:trPr>
          <w:gridBefore w:val="1"/>
          <w:gridAfter w:val="1"/>
          <w:wBefore w:w="4" w:type="pct"/>
          <w:wAfter w:w="6" w:type="pct"/>
        </w:trPr>
        <w:tc>
          <w:tcPr>
            <w:tcW w:w="217" w:type="pct"/>
            <w:tcBorders>
              <w:top w:val="outset" w:sz="6" w:space="0" w:color="auto"/>
              <w:left w:val="outset" w:sz="6" w:space="0" w:color="auto"/>
              <w:bottom w:val="outset" w:sz="6" w:space="0" w:color="auto"/>
              <w:right w:val="outset" w:sz="6" w:space="0" w:color="auto"/>
            </w:tcBorders>
          </w:tcPr>
          <w:p w14:paraId="7E5B55D8" w14:textId="77777777" w:rsidR="00B135F5" w:rsidRPr="008113DB" w:rsidRDefault="00B135F5" w:rsidP="008113DB">
            <w:pPr>
              <w:spacing w:after="0" w:line="240" w:lineRule="auto"/>
              <w:ind w:left="57"/>
              <w:rPr>
                <w:rFonts w:eastAsia="Calibri" w:cs="Times New Roman"/>
                <w:szCs w:val="24"/>
                <w:lang w:eastAsia="lv-LV"/>
              </w:rPr>
            </w:pPr>
            <w:r w:rsidRPr="008113DB">
              <w:rPr>
                <w:rFonts w:eastAsia="Calibri" w:cs="Times New Roman"/>
                <w:szCs w:val="24"/>
                <w:lang w:eastAsia="lv-LV"/>
              </w:rPr>
              <w:t>2.</w:t>
            </w:r>
          </w:p>
        </w:tc>
        <w:tc>
          <w:tcPr>
            <w:tcW w:w="1469" w:type="pct"/>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0F94020" w14:textId="77777777" w:rsidR="00B135F5" w:rsidRPr="00B66C47" w:rsidRDefault="00B135F5" w:rsidP="00B66C47">
            <w:pPr>
              <w:spacing w:after="0" w:line="240" w:lineRule="auto"/>
              <w:rPr>
                <w:rFonts w:eastAsia="Calibri" w:cs="Times New Roman"/>
                <w:sz w:val="22"/>
                <w:lang w:eastAsia="lv-LV"/>
              </w:rPr>
            </w:pPr>
            <w:r w:rsidRPr="00B66C47">
              <w:rPr>
                <w:rFonts w:eastAsia="Calibri" w:cs="Times New Roman"/>
                <w:sz w:val="22"/>
                <w:lang w:eastAsia="lv-LV"/>
              </w:rPr>
              <w:t>Atbildīgā institūcija</w:t>
            </w:r>
          </w:p>
        </w:tc>
        <w:tc>
          <w:tcPr>
            <w:tcW w:w="3305" w:type="pct"/>
            <w:gridSpan w:val="7"/>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1B9251B" w14:textId="77777777" w:rsidR="00B135F5" w:rsidRDefault="00B135F5" w:rsidP="00B135F5">
            <w:pPr>
              <w:spacing w:after="0" w:line="240" w:lineRule="auto"/>
              <w:ind w:left="107"/>
              <w:jc w:val="both"/>
              <w:rPr>
                <w:rFonts w:eastAsia="Calibri" w:cs="Times New Roman"/>
                <w:iCs/>
                <w:lang w:eastAsia="lv-LV"/>
              </w:rPr>
            </w:pPr>
            <w:r w:rsidRPr="00C838E1">
              <w:rPr>
                <w:rFonts w:eastAsia="Calibri" w:cs="Times New Roman"/>
                <w:lang w:eastAsia="lv-LV"/>
              </w:rPr>
              <w:t xml:space="preserve">Finanšu ministrija, </w:t>
            </w:r>
            <w:r w:rsidRPr="00C838E1">
              <w:rPr>
                <w:rFonts w:eastAsia="Calibri" w:cs="Times New Roman"/>
                <w:iCs/>
                <w:lang w:eastAsia="lv-LV"/>
              </w:rPr>
              <w:t>VID</w:t>
            </w:r>
          </w:p>
          <w:p w14:paraId="451DBA75" w14:textId="33FD2675" w:rsidR="001A6CEB" w:rsidRPr="00B66C47" w:rsidRDefault="001A6CEB" w:rsidP="00B135F5">
            <w:pPr>
              <w:spacing w:after="0" w:line="240" w:lineRule="auto"/>
              <w:ind w:left="107"/>
              <w:jc w:val="both"/>
              <w:rPr>
                <w:rFonts w:eastAsia="Calibri" w:cs="Times New Roman"/>
                <w:sz w:val="22"/>
                <w:lang w:eastAsia="lv-LV"/>
              </w:rPr>
            </w:pPr>
          </w:p>
        </w:tc>
      </w:tr>
      <w:tr w:rsidR="008113DB" w:rsidRPr="00B66C47" w14:paraId="43269FB6" w14:textId="77777777" w:rsidTr="009F0BEC">
        <w:trPr>
          <w:gridBefore w:val="1"/>
          <w:gridAfter w:val="1"/>
          <w:wBefore w:w="4" w:type="pct"/>
          <w:wAfter w:w="6" w:type="pct"/>
        </w:trPr>
        <w:tc>
          <w:tcPr>
            <w:tcW w:w="217" w:type="pct"/>
            <w:tcBorders>
              <w:top w:val="outset" w:sz="6" w:space="0" w:color="auto"/>
              <w:left w:val="outset" w:sz="6" w:space="0" w:color="auto"/>
              <w:bottom w:val="outset" w:sz="6" w:space="0" w:color="auto"/>
              <w:right w:val="outset" w:sz="6" w:space="0" w:color="auto"/>
            </w:tcBorders>
          </w:tcPr>
          <w:p w14:paraId="719E2510" w14:textId="77777777" w:rsidR="00B135F5" w:rsidRPr="008113DB" w:rsidRDefault="00B135F5" w:rsidP="008113DB">
            <w:pPr>
              <w:spacing w:after="0" w:line="240" w:lineRule="auto"/>
              <w:ind w:left="57"/>
              <w:rPr>
                <w:rFonts w:eastAsia="Calibri" w:cs="Times New Roman"/>
                <w:szCs w:val="24"/>
                <w:lang w:eastAsia="lv-LV"/>
              </w:rPr>
            </w:pPr>
            <w:r w:rsidRPr="008113DB">
              <w:rPr>
                <w:rFonts w:eastAsia="Calibri" w:cs="Times New Roman"/>
                <w:szCs w:val="24"/>
                <w:lang w:eastAsia="lv-LV"/>
              </w:rPr>
              <w:t>3.</w:t>
            </w:r>
          </w:p>
        </w:tc>
        <w:tc>
          <w:tcPr>
            <w:tcW w:w="1469" w:type="pct"/>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B00DA89" w14:textId="77777777" w:rsidR="00B135F5" w:rsidRPr="00B66C47" w:rsidRDefault="00B135F5" w:rsidP="00B66C47">
            <w:pPr>
              <w:spacing w:after="0" w:line="240" w:lineRule="auto"/>
              <w:rPr>
                <w:rFonts w:eastAsia="Calibri" w:cs="Times New Roman"/>
                <w:sz w:val="22"/>
                <w:lang w:eastAsia="lv-LV"/>
              </w:rPr>
            </w:pPr>
            <w:r w:rsidRPr="00B66C47">
              <w:rPr>
                <w:rFonts w:eastAsia="Calibri" w:cs="Times New Roman"/>
                <w:sz w:val="22"/>
                <w:lang w:eastAsia="lv-LV"/>
              </w:rPr>
              <w:t>Cita informācija</w:t>
            </w:r>
          </w:p>
        </w:tc>
        <w:tc>
          <w:tcPr>
            <w:tcW w:w="3305" w:type="pct"/>
            <w:gridSpan w:val="7"/>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ACCA032" w14:textId="77777777" w:rsidR="00B135F5" w:rsidRPr="00B66C47" w:rsidRDefault="00B135F5" w:rsidP="00C838E1">
            <w:pPr>
              <w:spacing w:after="0" w:line="240" w:lineRule="auto"/>
              <w:ind w:left="107" w:right="84"/>
              <w:jc w:val="both"/>
              <w:rPr>
                <w:rFonts w:eastAsia="Calibri" w:cs="Times New Roman"/>
                <w:szCs w:val="24"/>
              </w:rPr>
            </w:pPr>
            <w:r w:rsidRPr="00B66C47">
              <w:rPr>
                <w:rFonts w:eastAsia="Calibri" w:cs="Times New Roman"/>
                <w:szCs w:val="24"/>
              </w:rPr>
              <w:t>Saskaņā ar Ministru kabineta 2014.gada 30.septembra sēdes protokola Nr.51 59.§ “Informatīvais ziņojums “Par Satiksmes ministrijas izvirzītajiem priekšlikumiem Krievijas ekonomisko sankciju negatīvo seku mazināšanai tranzīta un loģistikas jomā”” un Ministru kabineta 2016.gada 5.janvāra sēdes protokola Nr.1 7.§ “Par Ministru kabineta 2014.gada 30.septembra sēdes protokollēmuma (prot. Nr.51 59.§) “Informatīvais ziņojums “Par Satiksmes ministrijas izvirzītajiem priekšlikumiem Krievijas ekonomisko sankciju negatīvo seku mazināšanai tranzīta un loģistikas jomā””” 2.punktā noteikto tika sagatavots jauns Muitas likums.</w:t>
            </w:r>
          </w:p>
          <w:p w14:paraId="272A839E" w14:textId="77777777" w:rsidR="00B135F5" w:rsidRPr="00B66C47" w:rsidRDefault="00B135F5" w:rsidP="00C838E1">
            <w:pPr>
              <w:spacing w:after="0" w:line="240" w:lineRule="auto"/>
              <w:ind w:left="107" w:right="84"/>
              <w:jc w:val="both"/>
              <w:rPr>
                <w:rFonts w:eastAsia="Calibri" w:cs="Times New Roman"/>
                <w:szCs w:val="24"/>
              </w:rPr>
            </w:pPr>
            <w:r w:rsidRPr="00B66C47">
              <w:rPr>
                <w:rFonts w:eastAsia="Calibri" w:cs="Times New Roman"/>
                <w:szCs w:val="24"/>
                <w:lang w:eastAsia="lv-LV"/>
              </w:rPr>
              <w:t>Ministru kabineta 2014.gada 30.septembra sēdes protokola Nr.51 62.§ “Noteikumu projekts “Muitas procedūras</w:t>
            </w:r>
            <w:r>
              <w:rPr>
                <w:rFonts w:eastAsia="Calibri" w:cs="Times New Roman"/>
                <w:szCs w:val="24"/>
                <w:lang w:eastAsia="lv-LV"/>
              </w:rPr>
              <w:t xml:space="preserve"> – </w:t>
            </w:r>
            <w:r w:rsidRPr="00B66C47">
              <w:rPr>
                <w:rFonts w:eastAsia="Calibri" w:cs="Times New Roman"/>
                <w:szCs w:val="24"/>
                <w:lang w:eastAsia="lv-LV"/>
              </w:rPr>
              <w:t>tranzīts</w:t>
            </w:r>
            <w:r>
              <w:rPr>
                <w:rFonts w:eastAsia="Calibri" w:cs="Times New Roman"/>
                <w:szCs w:val="24"/>
                <w:lang w:eastAsia="lv-LV"/>
              </w:rPr>
              <w:t xml:space="preserve"> </w:t>
            </w:r>
            <w:r w:rsidRPr="00B66C47">
              <w:rPr>
                <w:rFonts w:eastAsia="Calibri" w:cs="Times New Roman"/>
                <w:szCs w:val="24"/>
                <w:lang w:eastAsia="lv-LV"/>
              </w:rPr>
              <w:t>–</w:t>
            </w:r>
            <w:r>
              <w:rPr>
                <w:rFonts w:eastAsia="Calibri" w:cs="Times New Roman"/>
                <w:szCs w:val="24"/>
                <w:lang w:eastAsia="lv-LV"/>
              </w:rPr>
              <w:t xml:space="preserve"> </w:t>
            </w:r>
            <w:r w:rsidRPr="00B66C47">
              <w:rPr>
                <w:rFonts w:eastAsia="Calibri" w:cs="Times New Roman"/>
                <w:szCs w:val="24"/>
                <w:lang w:eastAsia="lv-LV"/>
              </w:rPr>
              <w:t xml:space="preserve">piemērošanas kārtība” 2.punktā dotais uzdevums Finanšu ministrijai sadarbībā ar Tieslietu ministriju izvērtēt Latvijas nacionālā normatīvā regulējuma atbilstību Valsts pārvaldes iekārtas likuma prasībām, kad starptautiskajos normatīvajos aktos muitas jomā noteiktajos gadījumos privātpersonām tiek </w:t>
            </w:r>
            <w:r w:rsidRPr="00B66C47">
              <w:rPr>
                <w:rFonts w:eastAsia="Calibri" w:cs="Times New Roman"/>
                <w:szCs w:val="24"/>
                <w:lang w:eastAsia="lv-LV"/>
              </w:rPr>
              <w:lastRenderedPageBreak/>
              <w:t>deleģēti valsts pārvaldes uzdevumi, un finanšu ministram līdz 2015.gada 30.decembrim iesniegt izskatīšanai Ministru kabineta sēdē grozījumus Latvijas nacionālajā regulējumā.</w:t>
            </w:r>
          </w:p>
          <w:p w14:paraId="25081BFE" w14:textId="60455894" w:rsidR="00B135F5" w:rsidRPr="00B66C47" w:rsidRDefault="00B135F5" w:rsidP="00C838E1">
            <w:pPr>
              <w:spacing w:after="0" w:line="240" w:lineRule="auto"/>
              <w:ind w:left="107" w:right="84"/>
              <w:jc w:val="both"/>
              <w:rPr>
                <w:rFonts w:eastAsia="Calibri" w:cs="Times New Roman"/>
                <w:szCs w:val="24"/>
              </w:rPr>
            </w:pPr>
            <w:r w:rsidRPr="00B66C47">
              <w:rPr>
                <w:rFonts w:eastAsia="Calibri" w:cs="Times New Roman"/>
                <w:szCs w:val="24"/>
              </w:rPr>
              <w:t xml:space="preserve">Ar </w:t>
            </w:r>
            <w:r>
              <w:rPr>
                <w:rFonts w:eastAsia="Calibri" w:cs="Times New Roman"/>
                <w:szCs w:val="24"/>
              </w:rPr>
              <w:t>likuma</w:t>
            </w:r>
            <w:r w:rsidRPr="00B66C47">
              <w:rPr>
                <w:rFonts w:eastAsia="Calibri" w:cs="Times New Roman"/>
                <w:szCs w:val="24"/>
              </w:rPr>
              <w:t xml:space="preserve"> spēkā stāšanos </w:t>
            </w:r>
            <w:r>
              <w:rPr>
                <w:rFonts w:eastAsia="Calibri" w:cs="Times New Roman"/>
                <w:szCs w:val="24"/>
              </w:rPr>
              <w:t xml:space="preserve">spēku </w:t>
            </w:r>
            <w:r w:rsidRPr="00B66C47">
              <w:rPr>
                <w:rFonts w:eastAsia="Calibri" w:cs="Times New Roman"/>
                <w:szCs w:val="24"/>
              </w:rPr>
              <w:t>zaudē</w:t>
            </w:r>
            <w:r>
              <w:rPr>
                <w:rFonts w:eastAsia="Calibri" w:cs="Times New Roman"/>
                <w:szCs w:val="24"/>
              </w:rPr>
              <w:t>s</w:t>
            </w:r>
            <w:r w:rsidRPr="00B66C47">
              <w:rPr>
                <w:rFonts w:eastAsia="Calibri" w:cs="Times New Roman"/>
                <w:szCs w:val="24"/>
              </w:rPr>
              <w:t xml:space="preserve"> 2004.gad</w:t>
            </w:r>
            <w:r>
              <w:rPr>
                <w:rFonts w:eastAsia="Calibri" w:cs="Times New Roman"/>
                <w:szCs w:val="24"/>
              </w:rPr>
              <w:t xml:space="preserve">ā pieņemtais </w:t>
            </w:r>
            <w:r w:rsidRPr="00B66C47">
              <w:rPr>
                <w:rFonts w:eastAsia="Calibri" w:cs="Times New Roman"/>
                <w:szCs w:val="24"/>
              </w:rPr>
              <w:t xml:space="preserve">Muitas likums un uz tā pamata izdotie Ministru kabineta noteikumi Nr.603 un </w:t>
            </w:r>
            <w:r w:rsidRPr="00B66C47">
              <w:rPr>
                <w:rFonts w:eastAsia="Calibri" w:cs="Times New Roman"/>
                <w:szCs w:val="24"/>
                <w:lang w:eastAsia="lv-LV"/>
              </w:rPr>
              <w:t>Ministru kabineta noteikumi Nr.431</w:t>
            </w:r>
            <w:r w:rsidRPr="00B66C47">
              <w:rPr>
                <w:rFonts w:eastAsia="Calibri" w:cs="Times New Roman"/>
                <w:szCs w:val="24"/>
              </w:rPr>
              <w:t>. Ņemot vērā minēto tiek sagatavots noteikumu projekts “Muitas procedūras – tranzīts – piemērošanas noteikumi” atbilstoši Muitas likumā notiktajam pilnvarojumam.</w:t>
            </w:r>
          </w:p>
        </w:tc>
      </w:tr>
      <w:tr w:rsidR="005D4AE6" w:rsidRPr="00CB4E50" w14:paraId="77664C6D" w14:textId="77777777" w:rsidTr="009F0BEC">
        <w:tblPrEx>
          <w:tblCellMar>
            <w:top w:w="30" w:type="dxa"/>
            <w:left w:w="30" w:type="dxa"/>
            <w:bottom w:w="30" w:type="dxa"/>
            <w:right w:w="30" w:type="dxa"/>
          </w:tblCellMar>
        </w:tblPrEx>
        <w:tc>
          <w:tcPr>
            <w:tcW w:w="4999" w:type="pct"/>
            <w:gridSpan w:val="14"/>
            <w:tcBorders>
              <w:top w:val="nil"/>
              <w:left w:val="nil"/>
              <w:bottom w:val="single" w:sz="4" w:space="0" w:color="auto"/>
              <w:right w:val="nil"/>
            </w:tcBorders>
            <w:vAlign w:val="center"/>
            <w:hideMark/>
          </w:tcPr>
          <w:p w14:paraId="4C4B14B5" w14:textId="77777777" w:rsidR="005D4AE6" w:rsidRPr="00CB4E50" w:rsidRDefault="005D4AE6" w:rsidP="005D4AE6">
            <w:pPr>
              <w:spacing w:before="100" w:beforeAutospacing="1" w:after="100" w:afterAutospacing="1" w:line="240" w:lineRule="auto"/>
              <w:rPr>
                <w:rFonts w:eastAsia="Times New Roman" w:cs="Times New Roman"/>
                <w:szCs w:val="24"/>
                <w:lang w:eastAsia="lv-LV"/>
              </w:rPr>
            </w:pPr>
          </w:p>
        </w:tc>
      </w:tr>
      <w:tr w:rsidR="00ED2523" w:rsidRPr="00CB4E50" w14:paraId="47720792" w14:textId="77777777" w:rsidTr="009F0BEC">
        <w:tblPrEx>
          <w:tblCellMar>
            <w:top w:w="30" w:type="dxa"/>
            <w:left w:w="30" w:type="dxa"/>
            <w:bottom w:w="30" w:type="dxa"/>
            <w:right w:w="30" w:type="dxa"/>
          </w:tblCellMar>
        </w:tblPrEx>
        <w:tc>
          <w:tcPr>
            <w:tcW w:w="4999" w:type="pct"/>
            <w:gridSpan w:val="14"/>
            <w:tcBorders>
              <w:top w:val="single" w:sz="4" w:space="0" w:color="auto"/>
              <w:left w:val="outset" w:sz="6" w:space="0" w:color="auto"/>
              <w:bottom w:val="outset" w:sz="6" w:space="0" w:color="auto"/>
              <w:right w:val="outset" w:sz="6" w:space="0" w:color="auto"/>
            </w:tcBorders>
            <w:vAlign w:val="center"/>
          </w:tcPr>
          <w:p w14:paraId="2A8EE849" w14:textId="77777777" w:rsidR="00ED2523" w:rsidRPr="00CB4E50" w:rsidRDefault="00ED2523" w:rsidP="005D4AE6">
            <w:pPr>
              <w:spacing w:before="100" w:beforeAutospacing="1" w:after="100" w:afterAutospacing="1" w:line="240" w:lineRule="auto"/>
              <w:rPr>
                <w:rFonts w:eastAsia="Times New Roman" w:cs="Times New Roman"/>
                <w:b/>
                <w:bCs/>
                <w:szCs w:val="24"/>
                <w:lang w:eastAsia="lv-LV"/>
              </w:rPr>
            </w:pPr>
            <w:r w:rsidRPr="00CB4E50">
              <w:rPr>
                <w:rFonts w:eastAsia="Times New Roman" w:cs="Times New Roman"/>
                <w:b/>
                <w:bCs/>
                <w:szCs w:val="24"/>
                <w:lang w:eastAsia="lv-LV"/>
              </w:rPr>
              <w:t>V. Tiesību akta projekta atbilstība Latvijas Republikas starptautiskajām saistībām</w:t>
            </w:r>
          </w:p>
        </w:tc>
      </w:tr>
      <w:tr w:rsidR="005D4AE6" w:rsidRPr="00CB4E50" w14:paraId="38E20A8B" w14:textId="77777777" w:rsidTr="009F0BEC">
        <w:tblPrEx>
          <w:tblCellMar>
            <w:top w:w="30" w:type="dxa"/>
            <w:left w:w="30" w:type="dxa"/>
            <w:bottom w:w="30" w:type="dxa"/>
            <w:right w:w="30" w:type="dxa"/>
          </w:tblCellMar>
        </w:tblPrEx>
        <w:tc>
          <w:tcPr>
            <w:tcW w:w="235" w:type="pct"/>
            <w:gridSpan w:val="3"/>
            <w:tcBorders>
              <w:top w:val="outset" w:sz="6" w:space="0" w:color="auto"/>
              <w:left w:val="outset" w:sz="6" w:space="0" w:color="auto"/>
              <w:bottom w:val="outset" w:sz="6" w:space="0" w:color="auto"/>
              <w:right w:val="outset" w:sz="6" w:space="0" w:color="auto"/>
            </w:tcBorders>
            <w:hideMark/>
          </w:tcPr>
          <w:p w14:paraId="7C9937B7"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1.</w:t>
            </w:r>
          </w:p>
        </w:tc>
        <w:tc>
          <w:tcPr>
            <w:tcW w:w="1455" w:type="pct"/>
            <w:gridSpan w:val="3"/>
            <w:tcBorders>
              <w:top w:val="outset" w:sz="6" w:space="0" w:color="auto"/>
              <w:left w:val="outset" w:sz="6" w:space="0" w:color="auto"/>
              <w:bottom w:val="outset" w:sz="6" w:space="0" w:color="auto"/>
              <w:right w:val="outset" w:sz="6" w:space="0" w:color="auto"/>
            </w:tcBorders>
            <w:hideMark/>
          </w:tcPr>
          <w:p w14:paraId="1CFB52DB"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Saistības pret Eiropas Savienību</w:t>
            </w:r>
          </w:p>
        </w:tc>
        <w:tc>
          <w:tcPr>
            <w:tcW w:w="3310" w:type="pct"/>
            <w:gridSpan w:val="8"/>
            <w:tcBorders>
              <w:top w:val="outset" w:sz="6" w:space="0" w:color="auto"/>
              <w:left w:val="outset" w:sz="6" w:space="0" w:color="auto"/>
              <w:bottom w:val="outset" w:sz="6" w:space="0" w:color="auto"/>
              <w:right w:val="outset" w:sz="6" w:space="0" w:color="auto"/>
            </w:tcBorders>
            <w:hideMark/>
          </w:tcPr>
          <w:p w14:paraId="70A65A45" w14:textId="77777777" w:rsidR="00B45851" w:rsidRPr="00CB4E50" w:rsidRDefault="0075067E" w:rsidP="00CE4448">
            <w:pPr>
              <w:spacing w:after="0" w:line="240" w:lineRule="auto"/>
              <w:jc w:val="both"/>
              <w:rPr>
                <w:rFonts w:eastAsia="Times New Roman" w:cs="Times New Roman"/>
                <w:szCs w:val="24"/>
                <w:lang w:eastAsia="lv-LV"/>
              </w:rPr>
            </w:pPr>
            <w:r>
              <w:rPr>
                <w:rFonts w:eastAsia="Times New Roman" w:cs="Times New Roman"/>
                <w:szCs w:val="24"/>
                <w:lang w:eastAsia="lv-LV"/>
              </w:rPr>
              <w:t>Regula</w:t>
            </w:r>
            <w:r w:rsidR="002A456D">
              <w:rPr>
                <w:rFonts w:eastAsia="Times New Roman" w:cs="Times New Roman"/>
                <w:szCs w:val="24"/>
                <w:lang w:eastAsia="lv-LV"/>
              </w:rPr>
              <w:t xml:space="preserve"> Nr.</w:t>
            </w:r>
            <w:r w:rsidR="00D52DC5" w:rsidRPr="00CB4E50">
              <w:rPr>
                <w:rFonts w:eastAsia="Times New Roman" w:cs="Times New Roman"/>
                <w:szCs w:val="24"/>
                <w:lang w:eastAsia="lv-LV"/>
              </w:rPr>
              <w:t>952/2013</w:t>
            </w:r>
            <w:r w:rsidR="00042B49">
              <w:rPr>
                <w:rFonts w:eastAsia="Times New Roman" w:cs="Times New Roman"/>
                <w:szCs w:val="24"/>
                <w:lang w:eastAsia="lv-LV"/>
              </w:rPr>
              <w:t>, regula Nr.2015/2446, regula Nr.2015/2447</w:t>
            </w:r>
            <w:r w:rsidR="00EF22C3">
              <w:rPr>
                <w:rFonts w:eastAsia="Times New Roman" w:cs="Times New Roman"/>
                <w:szCs w:val="24"/>
                <w:lang w:eastAsia="lv-LV"/>
              </w:rPr>
              <w:t>, regula</w:t>
            </w:r>
            <w:r w:rsidR="00EF22C3" w:rsidRPr="00EF22C3">
              <w:rPr>
                <w:rFonts w:eastAsia="Times New Roman" w:cs="Times New Roman"/>
                <w:szCs w:val="24"/>
                <w:lang w:eastAsia="lv-LV"/>
              </w:rPr>
              <w:t xml:space="preserve"> Nr.201</w:t>
            </w:r>
            <w:r w:rsidR="00CE4448">
              <w:rPr>
                <w:rFonts w:eastAsia="Times New Roman" w:cs="Times New Roman"/>
                <w:szCs w:val="24"/>
                <w:lang w:eastAsia="lv-LV"/>
              </w:rPr>
              <w:t>6</w:t>
            </w:r>
            <w:r w:rsidR="00EF22C3" w:rsidRPr="00EF22C3">
              <w:rPr>
                <w:rFonts w:eastAsia="Times New Roman" w:cs="Times New Roman"/>
                <w:szCs w:val="24"/>
                <w:lang w:eastAsia="lv-LV"/>
              </w:rPr>
              <w:t>/</w:t>
            </w:r>
            <w:r w:rsidR="00CE4448">
              <w:rPr>
                <w:rFonts w:eastAsia="Times New Roman" w:cs="Times New Roman"/>
                <w:szCs w:val="24"/>
                <w:lang w:eastAsia="lv-LV"/>
              </w:rPr>
              <w:t>341</w:t>
            </w:r>
            <w:r w:rsidR="00EF22C3">
              <w:rPr>
                <w:rFonts w:eastAsia="Times New Roman" w:cs="Times New Roman"/>
                <w:szCs w:val="24"/>
                <w:lang w:eastAsia="lv-LV"/>
              </w:rPr>
              <w:t>.</w:t>
            </w:r>
            <w:r w:rsidR="00EF22C3" w:rsidRPr="00CB4E50">
              <w:rPr>
                <w:rFonts w:eastAsia="Times New Roman" w:cs="Times New Roman"/>
                <w:szCs w:val="24"/>
                <w:lang w:eastAsia="lv-LV"/>
              </w:rPr>
              <w:t xml:space="preserve"> </w:t>
            </w:r>
          </w:p>
        </w:tc>
      </w:tr>
      <w:tr w:rsidR="005D4AE6" w:rsidRPr="00CB4E50" w14:paraId="2620872A" w14:textId="77777777" w:rsidTr="009F0BEC">
        <w:tblPrEx>
          <w:tblCellMar>
            <w:top w:w="30" w:type="dxa"/>
            <w:left w:w="30" w:type="dxa"/>
            <w:bottom w:w="30" w:type="dxa"/>
            <w:right w:w="30" w:type="dxa"/>
          </w:tblCellMar>
        </w:tblPrEx>
        <w:tc>
          <w:tcPr>
            <w:tcW w:w="235" w:type="pct"/>
            <w:gridSpan w:val="3"/>
            <w:tcBorders>
              <w:top w:val="outset" w:sz="6" w:space="0" w:color="auto"/>
              <w:left w:val="outset" w:sz="6" w:space="0" w:color="auto"/>
              <w:bottom w:val="outset" w:sz="6" w:space="0" w:color="auto"/>
              <w:right w:val="outset" w:sz="6" w:space="0" w:color="auto"/>
            </w:tcBorders>
            <w:hideMark/>
          </w:tcPr>
          <w:p w14:paraId="52BB4B8A"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2.</w:t>
            </w:r>
          </w:p>
        </w:tc>
        <w:tc>
          <w:tcPr>
            <w:tcW w:w="1455" w:type="pct"/>
            <w:gridSpan w:val="3"/>
            <w:tcBorders>
              <w:top w:val="outset" w:sz="6" w:space="0" w:color="auto"/>
              <w:left w:val="outset" w:sz="6" w:space="0" w:color="auto"/>
              <w:bottom w:val="outset" w:sz="6" w:space="0" w:color="auto"/>
              <w:right w:val="outset" w:sz="6" w:space="0" w:color="auto"/>
            </w:tcBorders>
            <w:hideMark/>
          </w:tcPr>
          <w:p w14:paraId="764DCD30"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Citas starptautiskās saistības</w:t>
            </w:r>
          </w:p>
        </w:tc>
        <w:tc>
          <w:tcPr>
            <w:tcW w:w="3310" w:type="pct"/>
            <w:gridSpan w:val="8"/>
            <w:tcBorders>
              <w:top w:val="outset" w:sz="6" w:space="0" w:color="auto"/>
              <w:left w:val="outset" w:sz="6" w:space="0" w:color="auto"/>
              <w:bottom w:val="outset" w:sz="6" w:space="0" w:color="auto"/>
              <w:right w:val="outset" w:sz="6" w:space="0" w:color="auto"/>
            </w:tcBorders>
            <w:hideMark/>
          </w:tcPr>
          <w:p w14:paraId="21C5A566" w14:textId="77777777" w:rsidR="00F74290" w:rsidRPr="00F74290" w:rsidRDefault="00F74290" w:rsidP="00C838E1">
            <w:pPr>
              <w:spacing w:after="0" w:line="240" w:lineRule="auto"/>
              <w:jc w:val="both"/>
              <w:rPr>
                <w:rFonts w:eastAsia="Times New Roman" w:cs="Times New Roman"/>
                <w:szCs w:val="24"/>
                <w:lang w:eastAsia="lv-LV"/>
              </w:rPr>
            </w:pPr>
            <w:r w:rsidRPr="00F74290">
              <w:rPr>
                <w:rFonts w:eastAsia="Times New Roman" w:cs="Times New Roman"/>
                <w:szCs w:val="24"/>
                <w:lang w:eastAsia="lv-LV"/>
              </w:rPr>
              <w:t>1975.gada 14.novembra Muitas konvencija par starptautiskajiem kravu pārvadājumiem, izmantojot TIR karneti.</w:t>
            </w:r>
          </w:p>
          <w:p w14:paraId="3666F061" w14:textId="77777777" w:rsidR="005D4AE6" w:rsidRPr="00CB4E50" w:rsidRDefault="00F74290" w:rsidP="00C838E1">
            <w:pPr>
              <w:spacing w:after="0" w:line="240" w:lineRule="auto"/>
              <w:jc w:val="both"/>
              <w:rPr>
                <w:rFonts w:eastAsia="Times New Roman" w:cs="Times New Roman"/>
                <w:szCs w:val="24"/>
                <w:lang w:eastAsia="lv-LV"/>
              </w:rPr>
            </w:pPr>
            <w:r w:rsidRPr="00F74290">
              <w:rPr>
                <w:rFonts w:eastAsia="Times New Roman" w:cs="Times New Roman"/>
                <w:szCs w:val="24"/>
                <w:lang w:eastAsia="lv-LV"/>
              </w:rPr>
              <w:t xml:space="preserve">1951.gada 1.novembra Nolīgums par starptautisko dzelzceļa kravu satiksmi (turpmāk </w:t>
            </w:r>
            <w:r w:rsidR="005D518C">
              <w:rPr>
                <w:rFonts w:eastAsia="Times New Roman" w:cs="Times New Roman"/>
                <w:szCs w:val="24"/>
                <w:lang w:eastAsia="lv-LV"/>
              </w:rPr>
              <w:t>–</w:t>
            </w:r>
            <w:r w:rsidRPr="00F74290">
              <w:rPr>
                <w:rFonts w:eastAsia="Times New Roman" w:cs="Times New Roman"/>
                <w:szCs w:val="24"/>
                <w:lang w:eastAsia="lv-LV"/>
              </w:rPr>
              <w:t xml:space="preserve"> Nolīgums par dzelzceļa satiksmi)</w:t>
            </w:r>
            <w:r w:rsidR="003C0EEB">
              <w:rPr>
                <w:rFonts w:eastAsia="Times New Roman" w:cs="Times New Roman"/>
                <w:szCs w:val="24"/>
                <w:lang w:eastAsia="lv-LV"/>
              </w:rPr>
              <w:t>.</w:t>
            </w:r>
          </w:p>
        </w:tc>
      </w:tr>
      <w:tr w:rsidR="005D4AE6" w:rsidRPr="00CB4E50" w14:paraId="0AB3AA6F" w14:textId="77777777" w:rsidTr="009F0BEC">
        <w:tblPrEx>
          <w:tblCellMar>
            <w:top w:w="30" w:type="dxa"/>
            <w:left w:w="30" w:type="dxa"/>
            <w:bottom w:w="30" w:type="dxa"/>
            <w:right w:w="30" w:type="dxa"/>
          </w:tblCellMar>
        </w:tblPrEx>
        <w:tc>
          <w:tcPr>
            <w:tcW w:w="235" w:type="pct"/>
            <w:gridSpan w:val="3"/>
            <w:tcBorders>
              <w:top w:val="outset" w:sz="6" w:space="0" w:color="auto"/>
              <w:left w:val="outset" w:sz="6" w:space="0" w:color="auto"/>
              <w:bottom w:val="single" w:sz="4" w:space="0" w:color="auto"/>
              <w:right w:val="outset" w:sz="6" w:space="0" w:color="auto"/>
            </w:tcBorders>
            <w:hideMark/>
          </w:tcPr>
          <w:p w14:paraId="48EE2C80"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3.</w:t>
            </w:r>
          </w:p>
        </w:tc>
        <w:tc>
          <w:tcPr>
            <w:tcW w:w="1455" w:type="pct"/>
            <w:gridSpan w:val="3"/>
            <w:tcBorders>
              <w:top w:val="outset" w:sz="6" w:space="0" w:color="auto"/>
              <w:left w:val="outset" w:sz="6" w:space="0" w:color="auto"/>
              <w:bottom w:val="single" w:sz="4" w:space="0" w:color="auto"/>
              <w:right w:val="outset" w:sz="6" w:space="0" w:color="auto"/>
            </w:tcBorders>
            <w:hideMark/>
          </w:tcPr>
          <w:p w14:paraId="742E06F5"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Cita informācija</w:t>
            </w:r>
          </w:p>
        </w:tc>
        <w:tc>
          <w:tcPr>
            <w:tcW w:w="3310" w:type="pct"/>
            <w:gridSpan w:val="8"/>
            <w:tcBorders>
              <w:top w:val="outset" w:sz="6" w:space="0" w:color="auto"/>
              <w:left w:val="outset" w:sz="6" w:space="0" w:color="auto"/>
              <w:bottom w:val="single" w:sz="4" w:space="0" w:color="auto"/>
              <w:right w:val="outset" w:sz="6" w:space="0" w:color="auto"/>
            </w:tcBorders>
            <w:hideMark/>
          </w:tcPr>
          <w:p w14:paraId="24CDEAC1" w14:textId="77777777" w:rsidR="005D4AE6" w:rsidRPr="00CB4E50" w:rsidRDefault="0052177A" w:rsidP="005D4AE6">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Nav</w:t>
            </w:r>
          </w:p>
        </w:tc>
      </w:tr>
      <w:tr w:rsidR="009F0BEC" w:rsidRPr="00CB4E50" w14:paraId="2B00AFD1" w14:textId="77777777" w:rsidTr="009F0BEC">
        <w:tblPrEx>
          <w:tblCellMar>
            <w:top w:w="30" w:type="dxa"/>
            <w:left w:w="30" w:type="dxa"/>
            <w:bottom w:w="30" w:type="dxa"/>
            <w:right w:w="30" w:type="dxa"/>
          </w:tblCellMar>
        </w:tblPrEx>
        <w:tc>
          <w:tcPr>
            <w:tcW w:w="235" w:type="pct"/>
            <w:gridSpan w:val="3"/>
            <w:tcBorders>
              <w:top w:val="single" w:sz="4" w:space="0" w:color="auto"/>
              <w:left w:val="nil"/>
              <w:bottom w:val="nil"/>
              <w:right w:val="nil"/>
            </w:tcBorders>
          </w:tcPr>
          <w:p w14:paraId="52FB4DB8" w14:textId="77777777" w:rsidR="009F0BEC" w:rsidRPr="00CB4E50" w:rsidRDefault="009F0BEC" w:rsidP="005D4AE6">
            <w:pPr>
              <w:spacing w:after="0" w:line="240" w:lineRule="auto"/>
              <w:rPr>
                <w:rFonts w:eastAsia="Times New Roman" w:cs="Times New Roman"/>
                <w:szCs w:val="24"/>
                <w:lang w:eastAsia="lv-LV"/>
              </w:rPr>
            </w:pPr>
          </w:p>
        </w:tc>
        <w:tc>
          <w:tcPr>
            <w:tcW w:w="1455" w:type="pct"/>
            <w:gridSpan w:val="3"/>
            <w:tcBorders>
              <w:top w:val="single" w:sz="4" w:space="0" w:color="auto"/>
              <w:left w:val="nil"/>
              <w:bottom w:val="nil"/>
              <w:right w:val="nil"/>
            </w:tcBorders>
          </w:tcPr>
          <w:p w14:paraId="0DE177D2" w14:textId="77777777" w:rsidR="009F0BEC" w:rsidRPr="00CB4E50" w:rsidRDefault="009F0BEC" w:rsidP="005D4AE6">
            <w:pPr>
              <w:spacing w:after="0" w:line="240" w:lineRule="auto"/>
              <w:rPr>
                <w:rFonts w:eastAsia="Times New Roman" w:cs="Times New Roman"/>
                <w:szCs w:val="24"/>
                <w:lang w:eastAsia="lv-LV"/>
              </w:rPr>
            </w:pPr>
          </w:p>
        </w:tc>
        <w:tc>
          <w:tcPr>
            <w:tcW w:w="3310" w:type="pct"/>
            <w:gridSpan w:val="8"/>
            <w:tcBorders>
              <w:top w:val="single" w:sz="4" w:space="0" w:color="auto"/>
              <w:left w:val="nil"/>
              <w:bottom w:val="nil"/>
              <w:right w:val="nil"/>
            </w:tcBorders>
          </w:tcPr>
          <w:p w14:paraId="1DBE5CF4" w14:textId="77777777" w:rsidR="009F0BEC" w:rsidRPr="00CB4E50" w:rsidRDefault="009F0BEC" w:rsidP="005D4AE6">
            <w:pPr>
              <w:spacing w:before="100" w:beforeAutospacing="1" w:after="100" w:afterAutospacing="1" w:line="240" w:lineRule="auto"/>
              <w:rPr>
                <w:rFonts w:eastAsia="Times New Roman" w:cs="Times New Roman"/>
                <w:szCs w:val="24"/>
                <w:lang w:eastAsia="lv-LV"/>
              </w:rPr>
            </w:pPr>
          </w:p>
        </w:tc>
      </w:tr>
      <w:tr w:rsidR="005D4AE6" w:rsidRPr="00CB4E50" w14:paraId="2A8F537A" w14:textId="77777777" w:rsidTr="009F0BEC">
        <w:tblPrEx>
          <w:tblCellMar>
            <w:top w:w="30" w:type="dxa"/>
            <w:left w:w="30" w:type="dxa"/>
            <w:bottom w:w="30" w:type="dxa"/>
            <w:right w:w="30" w:type="dxa"/>
          </w:tblCellMar>
        </w:tblPrEx>
        <w:trPr>
          <w:gridAfter w:val="1"/>
          <w:wAfter w:w="4" w:type="pct"/>
        </w:trPr>
        <w:tc>
          <w:tcPr>
            <w:tcW w:w="4996" w:type="pct"/>
            <w:gridSpan w:val="13"/>
            <w:tcBorders>
              <w:top w:val="single" w:sz="4" w:space="0" w:color="auto"/>
              <w:left w:val="single" w:sz="4" w:space="0" w:color="auto"/>
              <w:bottom w:val="single" w:sz="4" w:space="0" w:color="auto"/>
              <w:right w:val="single" w:sz="4" w:space="0" w:color="auto"/>
            </w:tcBorders>
            <w:vAlign w:val="center"/>
            <w:hideMark/>
          </w:tcPr>
          <w:p w14:paraId="3248B688" w14:textId="77777777" w:rsidR="005D4AE6" w:rsidRPr="00CB4E50" w:rsidRDefault="005D4AE6" w:rsidP="009F0BEC">
            <w:pPr>
              <w:spacing w:before="100" w:beforeAutospacing="1" w:after="100" w:afterAutospacing="1" w:line="240" w:lineRule="auto"/>
              <w:jc w:val="center"/>
              <w:rPr>
                <w:rFonts w:eastAsia="Times New Roman" w:cs="Times New Roman"/>
                <w:szCs w:val="24"/>
                <w:lang w:eastAsia="lv-LV"/>
              </w:rPr>
            </w:pPr>
            <w:r w:rsidRPr="00CB4E50">
              <w:rPr>
                <w:rFonts w:eastAsia="Times New Roman" w:cs="Times New Roman"/>
                <w:b/>
                <w:bCs/>
                <w:szCs w:val="24"/>
                <w:lang w:eastAsia="lv-LV"/>
              </w:rPr>
              <w:t>1.tabula</w:t>
            </w:r>
            <w:r w:rsidRPr="00CB4E50">
              <w:rPr>
                <w:rFonts w:eastAsia="Times New Roman" w:cs="Times New Roman"/>
                <w:b/>
                <w:bCs/>
                <w:szCs w:val="24"/>
                <w:lang w:eastAsia="lv-LV"/>
              </w:rPr>
              <w:br/>
              <w:t>Tiesību akta projekta atbilstība ES tiesību aktiem</w:t>
            </w:r>
          </w:p>
        </w:tc>
      </w:tr>
      <w:tr w:rsidR="005D4AE6" w:rsidRPr="00CB4E50" w14:paraId="2DAC1238" w14:textId="77777777" w:rsidTr="009F0BEC">
        <w:tblPrEx>
          <w:tblCellMar>
            <w:top w:w="30" w:type="dxa"/>
            <w:left w:w="30" w:type="dxa"/>
            <w:bottom w:w="30" w:type="dxa"/>
            <w:right w:w="30" w:type="dxa"/>
          </w:tblCellMar>
        </w:tblPrEx>
        <w:trPr>
          <w:gridAfter w:val="1"/>
          <w:wAfter w:w="4" w:type="pct"/>
        </w:trPr>
        <w:tc>
          <w:tcPr>
            <w:tcW w:w="1148" w:type="pct"/>
            <w:gridSpan w:val="5"/>
            <w:tcBorders>
              <w:top w:val="single" w:sz="4" w:space="0" w:color="auto"/>
              <w:left w:val="outset" w:sz="6" w:space="0" w:color="auto"/>
              <w:bottom w:val="outset" w:sz="6" w:space="0" w:color="auto"/>
              <w:right w:val="outset" w:sz="6" w:space="0" w:color="auto"/>
            </w:tcBorders>
            <w:hideMark/>
          </w:tcPr>
          <w:p w14:paraId="57824184"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Attiecīgā ES tiesību akta datums, numurs un nosaukums</w:t>
            </w:r>
          </w:p>
        </w:tc>
        <w:tc>
          <w:tcPr>
            <w:tcW w:w="3847" w:type="pct"/>
            <w:gridSpan w:val="8"/>
            <w:tcBorders>
              <w:top w:val="single" w:sz="4" w:space="0" w:color="auto"/>
              <w:left w:val="outset" w:sz="6" w:space="0" w:color="auto"/>
              <w:bottom w:val="outset" w:sz="6" w:space="0" w:color="auto"/>
              <w:right w:val="outset" w:sz="6" w:space="0" w:color="auto"/>
            </w:tcBorders>
            <w:hideMark/>
          </w:tcPr>
          <w:p w14:paraId="3B1848C2" w14:textId="77777777" w:rsidR="005D4AE6" w:rsidRPr="00CB4E50" w:rsidRDefault="007551E0" w:rsidP="00CE4448">
            <w:pPr>
              <w:spacing w:after="0" w:line="240" w:lineRule="auto"/>
              <w:jc w:val="both"/>
              <w:rPr>
                <w:rFonts w:eastAsia="Times New Roman" w:cs="Times New Roman"/>
                <w:szCs w:val="24"/>
                <w:lang w:eastAsia="lv-LV"/>
              </w:rPr>
            </w:pPr>
            <w:r>
              <w:rPr>
                <w:rFonts w:eastAsia="Times New Roman" w:cs="Times New Roman"/>
                <w:szCs w:val="24"/>
                <w:lang w:eastAsia="lv-LV"/>
              </w:rPr>
              <w:t>Regula Nr.952/2013</w:t>
            </w:r>
            <w:r w:rsidR="00B009BB">
              <w:rPr>
                <w:rFonts w:eastAsia="Times New Roman" w:cs="Times New Roman"/>
                <w:szCs w:val="24"/>
                <w:lang w:eastAsia="lv-LV"/>
              </w:rPr>
              <w:t xml:space="preserve">, </w:t>
            </w:r>
            <w:r w:rsidR="00B009BB" w:rsidRPr="00B009BB">
              <w:rPr>
                <w:rFonts w:eastAsia="Times New Roman" w:cs="Times New Roman"/>
                <w:szCs w:val="24"/>
                <w:lang w:eastAsia="lv-LV"/>
              </w:rPr>
              <w:t>regula Nr.2015/2446, regula Nr.2015/2447, regula Nr.201</w:t>
            </w:r>
            <w:r w:rsidR="00CE4448">
              <w:rPr>
                <w:rFonts w:eastAsia="Times New Roman" w:cs="Times New Roman"/>
                <w:szCs w:val="24"/>
                <w:lang w:eastAsia="lv-LV"/>
              </w:rPr>
              <w:t>6</w:t>
            </w:r>
            <w:r w:rsidR="00B009BB" w:rsidRPr="00B009BB">
              <w:rPr>
                <w:rFonts w:eastAsia="Times New Roman" w:cs="Times New Roman"/>
                <w:szCs w:val="24"/>
                <w:lang w:eastAsia="lv-LV"/>
              </w:rPr>
              <w:t>/</w:t>
            </w:r>
            <w:r w:rsidR="00CE4448">
              <w:rPr>
                <w:rFonts w:eastAsia="Times New Roman" w:cs="Times New Roman"/>
                <w:szCs w:val="24"/>
                <w:lang w:eastAsia="lv-LV"/>
              </w:rPr>
              <w:t>341</w:t>
            </w:r>
          </w:p>
        </w:tc>
      </w:tr>
      <w:tr w:rsidR="003200B0" w:rsidRPr="00CB4E50" w14:paraId="7974EE9C" w14:textId="77777777" w:rsidTr="009F0BEC">
        <w:tblPrEx>
          <w:tblCellMar>
            <w:top w:w="30" w:type="dxa"/>
            <w:left w:w="30" w:type="dxa"/>
            <w:bottom w:w="30" w:type="dxa"/>
            <w:right w:w="30" w:type="dxa"/>
          </w:tblCellMar>
        </w:tblPrEx>
        <w:trPr>
          <w:gridAfter w:val="1"/>
          <w:wAfter w:w="4" w:type="pct"/>
        </w:trPr>
        <w:tc>
          <w:tcPr>
            <w:tcW w:w="1148" w:type="pct"/>
            <w:gridSpan w:val="5"/>
            <w:tcBorders>
              <w:top w:val="outset" w:sz="6" w:space="0" w:color="auto"/>
              <w:left w:val="outset" w:sz="6" w:space="0" w:color="auto"/>
              <w:bottom w:val="outset" w:sz="6" w:space="0" w:color="auto"/>
              <w:right w:val="outset" w:sz="6" w:space="0" w:color="auto"/>
            </w:tcBorders>
            <w:vAlign w:val="center"/>
            <w:hideMark/>
          </w:tcPr>
          <w:p w14:paraId="3D43BCB8" w14:textId="77777777" w:rsidR="005D4AE6" w:rsidRPr="00CB4E50" w:rsidRDefault="005D4AE6" w:rsidP="005D4AE6">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A</w:t>
            </w:r>
          </w:p>
        </w:tc>
        <w:tc>
          <w:tcPr>
            <w:tcW w:w="1167" w:type="pct"/>
            <w:gridSpan w:val="4"/>
            <w:tcBorders>
              <w:top w:val="outset" w:sz="6" w:space="0" w:color="auto"/>
              <w:left w:val="outset" w:sz="6" w:space="0" w:color="auto"/>
              <w:bottom w:val="outset" w:sz="6" w:space="0" w:color="auto"/>
              <w:right w:val="outset" w:sz="6" w:space="0" w:color="auto"/>
            </w:tcBorders>
            <w:vAlign w:val="center"/>
            <w:hideMark/>
          </w:tcPr>
          <w:p w14:paraId="6AABB888" w14:textId="77777777" w:rsidR="005D4AE6" w:rsidRPr="00CB4E50" w:rsidRDefault="005D4AE6" w:rsidP="005D4AE6">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B</w:t>
            </w:r>
          </w:p>
        </w:tc>
        <w:tc>
          <w:tcPr>
            <w:tcW w:w="1184" w:type="pct"/>
            <w:tcBorders>
              <w:top w:val="outset" w:sz="6" w:space="0" w:color="auto"/>
              <w:left w:val="outset" w:sz="6" w:space="0" w:color="auto"/>
              <w:bottom w:val="outset" w:sz="6" w:space="0" w:color="auto"/>
              <w:right w:val="outset" w:sz="6" w:space="0" w:color="auto"/>
            </w:tcBorders>
            <w:vAlign w:val="center"/>
            <w:hideMark/>
          </w:tcPr>
          <w:p w14:paraId="58D32381" w14:textId="77777777" w:rsidR="005D4AE6" w:rsidRPr="00CB4E50" w:rsidRDefault="005D4AE6" w:rsidP="005D4AE6">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C</w:t>
            </w:r>
          </w:p>
        </w:tc>
        <w:tc>
          <w:tcPr>
            <w:tcW w:w="1496" w:type="pct"/>
            <w:gridSpan w:val="3"/>
            <w:tcBorders>
              <w:top w:val="outset" w:sz="6" w:space="0" w:color="auto"/>
              <w:left w:val="outset" w:sz="6" w:space="0" w:color="auto"/>
              <w:bottom w:val="outset" w:sz="6" w:space="0" w:color="auto"/>
              <w:right w:val="outset" w:sz="6" w:space="0" w:color="auto"/>
            </w:tcBorders>
            <w:vAlign w:val="center"/>
            <w:hideMark/>
          </w:tcPr>
          <w:p w14:paraId="3705ED7F" w14:textId="77777777" w:rsidR="005D4AE6" w:rsidRPr="00CB4E50" w:rsidRDefault="005D4AE6" w:rsidP="005D4AE6">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D</w:t>
            </w:r>
          </w:p>
        </w:tc>
      </w:tr>
      <w:tr w:rsidR="003200B0" w:rsidRPr="00CB4E50" w14:paraId="468E1129" w14:textId="77777777" w:rsidTr="009F0BEC">
        <w:tblPrEx>
          <w:tblCellMar>
            <w:top w:w="30" w:type="dxa"/>
            <w:left w:w="30" w:type="dxa"/>
            <w:bottom w:w="30" w:type="dxa"/>
            <w:right w:w="30" w:type="dxa"/>
          </w:tblCellMar>
        </w:tblPrEx>
        <w:trPr>
          <w:gridAfter w:val="1"/>
          <w:wAfter w:w="4" w:type="pct"/>
        </w:trPr>
        <w:tc>
          <w:tcPr>
            <w:tcW w:w="1148" w:type="pct"/>
            <w:gridSpan w:val="5"/>
            <w:tcBorders>
              <w:top w:val="outset" w:sz="6" w:space="0" w:color="auto"/>
              <w:left w:val="outset" w:sz="6" w:space="0" w:color="auto"/>
              <w:bottom w:val="outset" w:sz="6" w:space="0" w:color="auto"/>
              <w:right w:val="outset" w:sz="6" w:space="0" w:color="auto"/>
            </w:tcBorders>
            <w:hideMark/>
          </w:tcPr>
          <w:p w14:paraId="15F2CFD5"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Attiecīgā ES tiesību akta panta numurs (uzskaitot katru tiesību akta vienību – pantu, daļu, punktu, apakšpunktu)</w:t>
            </w:r>
          </w:p>
        </w:tc>
        <w:tc>
          <w:tcPr>
            <w:tcW w:w="1167" w:type="pct"/>
            <w:gridSpan w:val="4"/>
            <w:tcBorders>
              <w:top w:val="outset" w:sz="6" w:space="0" w:color="auto"/>
              <w:left w:val="outset" w:sz="6" w:space="0" w:color="auto"/>
              <w:bottom w:val="outset" w:sz="6" w:space="0" w:color="auto"/>
              <w:right w:val="outset" w:sz="6" w:space="0" w:color="auto"/>
            </w:tcBorders>
            <w:hideMark/>
          </w:tcPr>
          <w:p w14:paraId="1F1BED48"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Projekta vienība, kas pārņem vai ievieš katru šīs tabulas A ailē minēto ES tiesību akta vienību, vai tiesību akts, kur attiecīgā ES tiesību akta vienība pārņemta vai ieviesta</w:t>
            </w:r>
          </w:p>
        </w:tc>
        <w:tc>
          <w:tcPr>
            <w:tcW w:w="1184" w:type="pct"/>
            <w:tcBorders>
              <w:top w:val="outset" w:sz="6" w:space="0" w:color="auto"/>
              <w:left w:val="outset" w:sz="6" w:space="0" w:color="auto"/>
              <w:bottom w:val="outset" w:sz="6" w:space="0" w:color="auto"/>
              <w:right w:val="outset" w:sz="6" w:space="0" w:color="auto"/>
            </w:tcBorders>
            <w:hideMark/>
          </w:tcPr>
          <w:p w14:paraId="0D6AA0E7"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 xml:space="preserve">Informācija par to, vai šīs tabulas A ailē minētās ES tiesību akta vienības tiek pārņemtas vai ieviestas pilnībā vai daļēji. </w:t>
            </w:r>
          </w:p>
          <w:p w14:paraId="4EAB64CE" w14:textId="77777777" w:rsidR="005D4AE6" w:rsidRPr="00CB4E50" w:rsidRDefault="005D4AE6" w:rsidP="005D4AE6">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20471718" w14:textId="77777777" w:rsidR="005D4AE6" w:rsidRPr="00CB4E50" w:rsidRDefault="005D4AE6" w:rsidP="005D4AE6">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Norāda institūciju, kas ir atbildīga par šo saistību izpildi pilnībā</w:t>
            </w:r>
          </w:p>
        </w:tc>
        <w:tc>
          <w:tcPr>
            <w:tcW w:w="1496" w:type="pct"/>
            <w:gridSpan w:val="3"/>
            <w:tcBorders>
              <w:top w:val="outset" w:sz="6" w:space="0" w:color="auto"/>
              <w:left w:val="outset" w:sz="6" w:space="0" w:color="auto"/>
              <w:bottom w:val="outset" w:sz="6" w:space="0" w:color="auto"/>
              <w:right w:val="outset" w:sz="6" w:space="0" w:color="auto"/>
            </w:tcBorders>
            <w:hideMark/>
          </w:tcPr>
          <w:p w14:paraId="624DA88B" w14:textId="77777777" w:rsidR="005D4AE6" w:rsidRPr="00CB4E50" w:rsidRDefault="005D4AE6" w:rsidP="000514EE">
            <w:pPr>
              <w:spacing w:after="0" w:line="240" w:lineRule="auto"/>
              <w:rPr>
                <w:rFonts w:eastAsia="Times New Roman" w:cs="Times New Roman"/>
                <w:szCs w:val="24"/>
                <w:lang w:eastAsia="lv-LV"/>
              </w:rPr>
            </w:pPr>
            <w:r w:rsidRPr="00CB4E50">
              <w:rPr>
                <w:rFonts w:eastAsia="Times New Roman" w:cs="Times New Roman"/>
                <w:szCs w:val="24"/>
                <w:lang w:eastAsia="lv-LV"/>
              </w:rPr>
              <w:t xml:space="preserve">Informācija par to, vai šīs tabulas B ailē minētās projekta vienības paredz stingrākas prasības nekā šīs tabulas A ailē minētās ES tiesību akta vienības. </w:t>
            </w:r>
          </w:p>
          <w:p w14:paraId="5847B882" w14:textId="77777777" w:rsidR="005D4AE6" w:rsidRDefault="005D4AE6" w:rsidP="000514EE">
            <w:pPr>
              <w:spacing w:after="0" w:line="240" w:lineRule="auto"/>
              <w:rPr>
                <w:rFonts w:eastAsia="Times New Roman" w:cs="Times New Roman"/>
                <w:szCs w:val="24"/>
                <w:lang w:eastAsia="lv-LV"/>
              </w:rPr>
            </w:pPr>
            <w:r w:rsidRPr="00CB4E50">
              <w:rPr>
                <w:rFonts w:eastAsia="Times New Roman" w:cs="Times New Roman"/>
                <w:szCs w:val="24"/>
                <w:lang w:eastAsia="lv-LV"/>
              </w:rPr>
              <w:t>Ja projekts satur stingrākas prasības nekā attiecīgais ES tiesību akts, norāda pamatojumu un samērīgumu.</w:t>
            </w:r>
          </w:p>
          <w:p w14:paraId="527E2F2A" w14:textId="77777777" w:rsidR="000514EE" w:rsidRPr="00CB4E50" w:rsidRDefault="000514EE" w:rsidP="000514EE">
            <w:pPr>
              <w:spacing w:after="0" w:line="240" w:lineRule="auto"/>
              <w:rPr>
                <w:rFonts w:eastAsia="Times New Roman" w:cs="Times New Roman"/>
                <w:szCs w:val="24"/>
                <w:lang w:eastAsia="lv-LV"/>
              </w:rPr>
            </w:pPr>
          </w:p>
          <w:p w14:paraId="4DE4333A" w14:textId="77777777" w:rsidR="005D4AE6" w:rsidRPr="00CB4E50" w:rsidRDefault="005D4AE6" w:rsidP="000514EE">
            <w:pPr>
              <w:spacing w:after="0" w:line="240" w:lineRule="auto"/>
              <w:rPr>
                <w:rFonts w:eastAsia="Times New Roman" w:cs="Times New Roman"/>
                <w:szCs w:val="24"/>
                <w:lang w:eastAsia="lv-LV"/>
              </w:rPr>
            </w:pPr>
            <w:r w:rsidRPr="00CB4E50">
              <w:rPr>
                <w:rFonts w:eastAsia="Times New Roman" w:cs="Times New Roman"/>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C724CE" w:rsidRPr="00CB4E50" w14:paraId="471D0A3B" w14:textId="77777777" w:rsidTr="009F0BEC">
        <w:tblPrEx>
          <w:tblCellMar>
            <w:top w:w="30" w:type="dxa"/>
            <w:left w:w="30" w:type="dxa"/>
            <w:bottom w:w="30" w:type="dxa"/>
            <w:right w:w="30" w:type="dxa"/>
          </w:tblCellMar>
        </w:tblPrEx>
        <w:trPr>
          <w:gridAfter w:val="1"/>
          <w:wAfter w:w="4" w:type="pct"/>
        </w:trPr>
        <w:tc>
          <w:tcPr>
            <w:tcW w:w="1148" w:type="pct"/>
            <w:gridSpan w:val="5"/>
            <w:tcBorders>
              <w:top w:val="outset" w:sz="6" w:space="0" w:color="auto"/>
              <w:left w:val="outset" w:sz="6" w:space="0" w:color="auto"/>
              <w:bottom w:val="outset" w:sz="6" w:space="0" w:color="auto"/>
              <w:right w:val="outset" w:sz="6" w:space="0" w:color="auto"/>
            </w:tcBorders>
          </w:tcPr>
          <w:p w14:paraId="297D9675" w14:textId="77777777" w:rsidR="00505C2C" w:rsidRPr="00764BEB" w:rsidRDefault="00505C2C" w:rsidP="00E243C3">
            <w:pPr>
              <w:spacing w:after="0" w:line="240" w:lineRule="auto"/>
              <w:rPr>
                <w:rFonts w:eastAsia="Times New Roman" w:cs="Times New Roman"/>
                <w:szCs w:val="24"/>
                <w:lang w:eastAsia="lv-LV"/>
              </w:rPr>
            </w:pPr>
            <w:r w:rsidRPr="00764BEB">
              <w:rPr>
                <w:rFonts w:eastAsia="Times New Roman" w:cs="Times New Roman"/>
                <w:szCs w:val="24"/>
                <w:lang w:eastAsia="lv-LV"/>
              </w:rPr>
              <w:t>Regulas Nr.2015/2447 321.panta 3.punkta</w:t>
            </w:r>
          </w:p>
          <w:p w14:paraId="5201CB4A" w14:textId="77777777" w:rsidR="000514EE" w:rsidRPr="00764BEB" w:rsidRDefault="00505C2C" w:rsidP="00E243C3">
            <w:pPr>
              <w:spacing w:after="0" w:line="240" w:lineRule="auto"/>
              <w:rPr>
                <w:rFonts w:cs="Times New Roman"/>
                <w:szCs w:val="24"/>
              </w:rPr>
            </w:pPr>
            <w:r w:rsidRPr="00764BEB">
              <w:rPr>
                <w:rFonts w:eastAsia="Times New Roman" w:cs="Times New Roman"/>
                <w:szCs w:val="24"/>
                <w:lang w:eastAsia="lv-LV"/>
              </w:rPr>
              <w:lastRenderedPageBreak/>
              <w:t>otrā daļa</w:t>
            </w:r>
          </w:p>
          <w:p w14:paraId="29E0A5FC" w14:textId="77777777" w:rsidR="00E243C3" w:rsidRPr="00764BEB" w:rsidRDefault="00E243C3" w:rsidP="00E243C3">
            <w:pPr>
              <w:spacing w:after="0" w:line="240" w:lineRule="auto"/>
              <w:rPr>
                <w:rFonts w:cs="Times New Roman"/>
                <w:szCs w:val="24"/>
              </w:rPr>
            </w:pPr>
          </w:p>
          <w:p w14:paraId="2A4C6EB1" w14:textId="77777777" w:rsidR="00505C2C" w:rsidRPr="00A25683" w:rsidRDefault="00505C2C" w:rsidP="00505C2C">
            <w:pPr>
              <w:spacing w:after="0" w:line="240" w:lineRule="auto"/>
              <w:rPr>
                <w:rFonts w:eastAsia="Times New Roman" w:cs="Times New Roman"/>
                <w:szCs w:val="24"/>
                <w:lang w:eastAsia="lv-LV"/>
              </w:rPr>
            </w:pPr>
            <w:r w:rsidRPr="00764BEB">
              <w:rPr>
                <w:rFonts w:eastAsia="Times New Roman" w:cs="Times New Roman"/>
                <w:szCs w:val="24"/>
                <w:lang w:eastAsia="lv-LV"/>
              </w:rPr>
              <w:t>Regulas Nr.</w:t>
            </w:r>
            <w:r w:rsidR="002C5206" w:rsidRPr="00764BEB">
              <w:rPr>
                <w:rFonts w:eastAsia="Times New Roman" w:cs="Times New Roman"/>
                <w:szCs w:val="24"/>
                <w:lang w:eastAsia="lv-LV"/>
              </w:rPr>
              <w:t>2016</w:t>
            </w:r>
            <w:r w:rsidRPr="00764BEB">
              <w:rPr>
                <w:rFonts w:eastAsia="Times New Roman" w:cs="Times New Roman"/>
                <w:szCs w:val="24"/>
                <w:lang w:eastAsia="lv-LV"/>
              </w:rPr>
              <w:t>/</w:t>
            </w:r>
            <w:r w:rsidR="00CE4448" w:rsidRPr="00764BEB">
              <w:rPr>
                <w:rFonts w:eastAsia="Times New Roman" w:cs="Times New Roman"/>
                <w:szCs w:val="24"/>
                <w:lang w:eastAsia="lv-LV"/>
              </w:rPr>
              <w:t>341</w:t>
            </w:r>
            <w:r w:rsidRPr="00764BEB">
              <w:rPr>
                <w:rFonts w:eastAsia="Times New Roman" w:cs="Times New Roman"/>
                <w:szCs w:val="24"/>
                <w:lang w:eastAsia="lv-LV"/>
              </w:rPr>
              <w:t xml:space="preserve"> </w:t>
            </w:r>
            <w:r w:rsidR="00044B24" w:rsidRPr="001F7986">
              <w:rPr>
                <w:rFonts w:eastAsia="Times New Roman" w:cs="Times New Roman"/>
                <w:szCs w:val="24"/>
                <w:lang w:eastAsia="lv-LV"/>
              </w:rPr>
              <w:t>24</w:t>
            </w:r>
            <w:r w:rsidRPr="001F7986">
              <w:rPr>
                <w:rFonts w:eastAsia="Times New Roman" w:cs="Times New Roman"/>
                <w:szCs w:val="24"/>
                <w:lang w:eastAsia="lv-LV"/>
              </w:rPr>
              <w:t xml:space="preserve">.panta </w:t>
            </w:r>
            <w:r w:rsidR="00044B24" w:rsidRPr="001F7986">
              <w:rPr>
                <w:rFonts w:eastAsia="Times New Roman" w:cs="Times New Roman"/>
                <w:szCs w:val="24"/>
                <w:lang w:eastAsia="lv-LV"/>
              </w:rPr>
              <w:t>1</w:t>
            </w:r>
            <w:r w:rsidRPr="00A25683">
              <w:rPr>
                <w:rFonts w:eastAsia="Times New Roman" w:cs="Times New Roman"/>
                <w:szCs w:val="24"/>
                <w:lang w:eastAsia="lv-LV"/>
              </w:rPr>
              <w:t>.punkts</w:t>
            </w:r>
          </w:p>
          <w:p w14:paraId="6BAAA2A5" w14:textId="00B4DB7E" w:rsidR="00024420" w:rsidRDefault="00710443" w:rsidP="00CE4448">
            <w:pPr>
              <w:spacing w:after="0" w:line="240" w:lineRule="auto"/>
              <w:rPr>
                <w:rFonts w:eastAsia="Times New Roman" w:cs="Times New Roman"/>
                <w:szCs w:val="24"/>
                <w:lang w:eastAsia="lv-LV"/>
              </w:rPr>
            </w:pPr>
            <w:r>
              <w:rPr>
                <w:rFonts w:cs="Times New Roman"/>
                <w:szCs w:val="24"/>
              </w:rPr>
              <w:t xml:space="preserve">un </w:t>
            </w:r>
            <w:r w:rsidR="000514EE" w:rsidRPr="001F7986">
              <w:rPr>
                <w:rFonts w:eastAsia="Times New Roman" w:cs="Times New Roman"/>
                <w:szCs w:val="24"/>
                <w:lang w:eastAsia="lv-LV"/>
              </w:rPr>
              <w:t>45.panta b.</w:t>
            </w:r>
            <w:r w:rsidR="00CA3874">
              <w:rPr>
                <w:rFonts w:eastAsia="Times New Roman" w:cs="Times New Roman"/>
                <w:szCs w:val="24"/>
                <w:lang w:eastAsia="lv-LV"/>
              </w:rPr>
              <w:t xml:space="preserve"> </w:t>
            </w:r>
            <w:r w:rsidR="000514EE" w:rsidRPr="001F7986">
              <w:rPr>
                <w:rFonts w:eastAsia="Times New Roman" w:cs="Times New Roman"/>
                <w:szCs w:val="24"/>
                <w:lang w:eastAsia="lv-LV"/>
              </w:rPr>
              <w:t>punkts</w:t>
            </w:r>
          </w:p>
          <w:p w14:paraId="7BC4D394" w14:textId="77777777" w:rsidR="00E07724" w:rsidRDefault="00E07724" w:rsidP="00CE4448">
            <w:pPr>
              <w:spacing w:after="0" w:line="240" w:lineRule="auto"/>
              <w:rPr>
                <w:rFonts w:eastAsia="Times New Roman" w:cs="Times New Roman"/>
                <w:szCs w:val="24"/>
                <w:lang w:eastAsia="lv-LV"/>
              </w:rPr>
            </w:pPr>
          </w:p>
          <w:p w14:paraId="059377DC" w14:textId="7B252304" w:rsidR="00E07724" w:rsidRPr="00A25683" w:rsidRDefault="00E07724" w:rsidP="00CE4448">
            <w:pPr>
              <w:spacing w:after="0" w:line="240" w:lineRule="auto"/>
              <w:rPr>
                <w:rFonts w:cs="Times New Roman"/>
                <w:szCs w:val="24"/>
              </w:rPr>
            </w:pPr>
            <w:r w:rsidRPr="00764BEB">
              <w:rPr>
                <w:rFonts w:cs="Times New Roman"/>
                <w:szCs w:val="24"/>
              </w:rPr>
              <w:t xml:space="preserve">Regulas Nr.2015/2446 </w:t>
            </w:r>
            <w:r w:rsidR="00CA3874">
              <w:rPr>
                <w:rFonts w:cs="Times New Roman"/>
                <w:szCs w:val="24"/>
              </w:rPr>
              <w:t>148.panta 4.punkta “b” un “c”</w:t>
            </w:r>
            <w:r w:rsidRPr="00764BEB">
              <w:rPr>
                <w:rFonts w:cs="Times New Roman"/>
                <w:szCs w:val="24"/>
              </w:rPr>
              <w:t xml:space="preserve"> apakšpunkts</w:t>
            </w:r>
          </w:p>
        </w:tc>
        <w:tc>
          <w:tcPr>
            <w:tcW w:w="1167" w:type="pct"/>
            <w:gridSpan w:val="4"/>
            <w:tcBorders>
              <w:top w:val="outset" w:sz="6" w:space="0" w:color="auto"/>
              <w:left w:val="outset" w:sz="6" w:space="0" w:color="auto"/>
              <w:bottom w:val="outset" w:sz="6" w:space="0" w:color="auto"/>
              <w:right w:val="outset" w:sz="6" w:space="0" w:color="auto"/>
            </w:tcBorders>
          </w:tcPr>
          <w:p w14:paraId="0DD43A84" w14:textId="77777777" w:rsidR="00505C2C" w:rsidRPr="008F546C" w:rsidRDefault="005D4396" w:rsidP="00505C2C">
            <w:pPr>
              <w:spacing w:after="0" w:line="240" w:lineRule="auto"/>
              <w:rPr>
                <w:rFonts w:cs="Times New Roman"/>
                <w:szCs w:val="24"/>
              </w:rPr>
            </w:pPr>
            <w:r w:rsidRPr="00A007BC">
              <w:rPr>
                <w:rFonts w:cs="Times New Roman"/>
                <w:szCs w:val="24"/>
              </w:rPr>
              <w:lastRenderedPageBreak/>
              <w:t xml:space="preserve">Noteikumu projekta </w:t>
            </w:r>
            <w:r w:rsidR="00331C57">
              <w:rPr>
                <w:rFonts w:cs="Times New Roman"/>
                <w:szCs w:val="24"/>
              </w:rPr>
              <w:t>54</w:t>
            </w:r>
            <w:r w:rsidR="00505C2C" w:rsidRPr="008F546C">
              <w:rPr>
                <w:rFonts w:cs="Times New Roman"/>
                <w:szCs w:val="24"/>
              </w:rPr>
              <w:t xml:space="preserve">., </w:t>
            </w:r>
            <w:r w:rsidR="00331C57">
              <w:rPr>
                <w:rFonts w:cs="Times New Roman"/>
                <w:szCs w:val="24"/>
              </w:rPr>
              <w:t>55</w:t>
            </w:r>
            <w:r w:rsidR="00505C2C" w:rsidRPr="008F546C">
              <w:rPr>
                <w:rFonts w:cs="Times New Roman"/>
                <w:szCs w:val="24"/>
              </w:rPr>
              <w:t xml:space="preserve">. un </w:t>
            </w:r>
            <w:r w:rsidR="00002528" w:rsidRPr="008F546C">
              <w:rPr>
                <w:rFonts w:cs="Times New Roman"/>
                <w:szCs w:val="24"/>
              </w:rPr>
              <w:t>5</w:t>
            </w:r>
            <w:r w:rsidR="00331C57">
              <w:rPr>
                <w:rFonts w:cs="Times New Roman"/>
                <w:szCs w:val="24"/>
              </w:rPr>
              <w:t>6</w:t>
            </w:r>
            <w:r w:rsidR="00505C2C" w:rsidRPr="008F546C">
              <w:rPr>
                <w:rFonts w:cs="Times New Roman"/>
                <w:szCs w:val="24"/>
              </w:rPr>
              <w:t>.punkts</w:t>
            </w:r>
          </w:p>
          <w:p w14:paraId="21D587BD" w14:textId="77777777" w:rsidR="00505C2C" w:rsidRPr="00BB0FDA" w:rsidRDefault="00505C2C" w:rsidP="00E243C3">
            <w:pPr>
              <w:spacing w:after="0" w:line="240" w:lineRule="auto"/>
              <w:rPr>
                <w:rFonts w:cs="Times New Roman"/>
                <w:szCs w:val="24"/>
              </w:rPr>
            </w:pPr>
          </w:p>
          <w:p w14:paraId="17C51077" w14:textId="77777777" w:rsidR="00002528" w:rsidRPr="00E9787B" w:rsidRDefault="00002528" w:rsidP="00E243C3">
            <w:pPr>
              <w:spacing w:after="0" w:line="240" w:lineRule="auto"/>
              <w:rPr>
                <w:rFonts w:cs="Times New Roman"/>
                <w:szCs w:val="24"/>
              </w:rPr>
            </w:pPr>
          </w:p>
          <w:p w14:paraId="7E155E8C" w14:textId="77777777" w:rsidR="003D0CF3" w:rsidRDefault="003D0CF3" w:rsidP="00E243C3">
            <w:pPr>
              <w:spacing w:after="0" w:line="240" w:lineRule="auto"/>
              <w:rPr>
                <w:rFonts w:cs="Times New Roman"/>
                <w:szCs w:val="24"/>
              </w:rPr>
            </w:pPr>
          </w:p>
          <w:p w14:paraId="42383210" w14:textId="77777777" w:rsidR="00024420" w:rsidRDefault="005D4396" w:rsidP="00E243C3">
            <w:pPr>
              <w:spacing w:after="0" w:line="240" w:lineRule="auto"/>
              <w:rPr>
                <w:rFonts w:cs="Times New Roman"/>
                <w:szCs w:val="24"/>
              </w:rPr>
            </w:pPr>
            <w:r w:rsidRPr="00F06499">
              <w:rPr>
                <w:rFonts w:cs="Times New Roman"/>
                <w:szCs w:val="24"/>
              </w:rPr>
              <w:t xml:space="preserve">Noteikumu projekta </w:t>
            </w:r>
            <w:r w:rsidR="00331C57">
              <w:rPr>
                <w:rFonts w:cs="Times New Roman"/>
                <w:szCs w:val="24"/>
              </w:rPr>
              <w:t>57</w:t>
            </w:r>
            <w:r w:rsidR="000514EE" w:rsidRPr="00F06499">
              <w:rPr>
                <w:rFonts w:cs="Times New Roman"/>
                <w:szCs w:val="24"/>
              </w:rPr>
              <w:t>.punkts</w:t>
            </w:r>
          </w:p>
          <w:p w14:paraId="7F85C690" w14:textId="77777777" w:rsidR="00E07724" w:rsidRDefault="00E07724" w:rsidP="00E243C3">
            <w:pPr>
              <w:spacing w:after="0" w:line="240" w:lineRule="auto"/>
              <w:rPr>
                <w:rFonts w:cs="Times New Roman"/>
                <w:szCs w:val="24"/>
              </w:rPr>
            </w:pPr>
          </w:p>
          <w:p w14:paraId="2F674AB7" w14:textId="77777777" w:rsidR="00E07724" w:rsidRDefault="00E07724" w:rsidP="00E07724">
            <w:pPr>
              <w:spacing w:after="0" w:line="240" w:lineRule="auto"/>
              <w:rPr>
                <w:rFonts w:cs="Times New Roman"/>
                <w:szCs w:val="24"/>
              </w:rPr>
            </w:pPr>
          </w:p>
          <w:p w14:paraId="14864E43" w14:textId="3A60D20F" w:rsidR="00E07724" w:rsidRPr="00AA0506" w:rsidRDefault="00E07724" w:rsidP="00E07724">
            <w:pPr>
              <w:spacing w:after="0" w:line="240" w:lineRule="auto"/>
              <w:rPr>
                <w:rFonts w:cs="Times New Roman"/>
                <w:szCs w:val="24"/>
              </w:rPr>
            </w:pPr>
            <w:r w:rsidRPr="00B74C76">
              <w:rPr>
                <w:rFonts w:cs="Times New Roman"/>
                <w:szCs w:val="24"/>
              </w:rPr>
              <w:t xml:space="preserve">Noteikumu projekta </w:t>
            </w:r>
            <w:r>
              <w:rPr>
                <w:rFonts w:cs="Times New Roman"/>
                <w:szCs w:val="24"/>
              </w:rPr>
              <w:t>60</w:t>
            </w:r>
            <w:r w:rsidRPr="002A051E">
              <w:rPr>
                <w:rFonts w:cs="Times New Roman"/>
                <w:szCs w:val="24"/>
              </w:rPr>
              <w:t xml:space="preserve">. un </w:t>
            </w:r>
            <w:r>
              <w:rPr>
                <w:rFonts w:cs="Times New Roman"/>
                <w:szCs w:val="24"/>
              </w:rPr>
              <w:t>61</w:t>
            </w:r>
            <w:r w:rsidRPr="00824B8E">
              <w:rPr>
                <w:rFonts w:cs="Times New Roman"/>
                <w:szCs w:val="24"/>
              </w:rPr>
              <w:t>.</w:t>
            </w:r>
            <w:r w:rsidRPr="00AA0506">
              <w:rPr>
                <w:rFonts w:cs="Times New Roman"/>
                <w:szCs w:val="24"/>
              </w:rPr>
              <w:t>punkts</w:t>
            </w:r>
          </w:p>
          <w:p w14:paraId="1454CEF4" w14:textId="38646BBB" w:rsidR="00E07724" w:rsidRPr="00F06499" w:rsidRDefault="00E07724" w:rsidP="00E243C3">
            <w:pPr>
              <w:spacing w:after="0" w:line="240" w:lineRule="auto"/>
              <w:rPr>
                <w:rFonts w:cs="Times New Roman"/>
                <w:szCs w:val="24"/>
              </w:rPr>
            </w:pPr>
          </w:p>
        </w:tc>
        <w:tc>
          <w:tcPr>
            <w:tcW w:w="1184" w:type="pct"/>
            <w:tcBorders>
              <w:top w:val="outset" w:sz="6" w:space="0" w:color="auto"/>
              <w:left w:val="outset" w:sz="6" w:space="0" w:color="auto"/>
              <w:bottom w:val="outset" w:sz="6" w:space="0" w:color="auto"/>
              <w:right w:val="outset" w:sz="6" w:space="0" w:color="auto"/>
            </w:tcBorders>
          </w:tcPr>
          <w:p w14:paraId="7CB56A35" w14:textId="713A038C" w:rsidR="00817DBF" w:rsidRPr="00CF1D93" w:rsidRDefault="00CE4448" w:rsidP="00E243C3">
            <w:pPr>
              <w:spacing w:after="0" w:line="240" w:lineRule="auto"/>
              <w:rPr>
                <w:rFonts w:cs="Times New Roman"/>
                <w:szCs w:val="24"/>
              </w:rPr>
            </w:pPr>
            <w:r w:rsidRPr="00CF1D93">
              <w:rPr>
                <w:rFonts w:cs="Times New Roman"/>
                <w:szCs w:val="24"/>
              </w:rPr>
              <w:lastRenderedPageBreak/>
              <w:t>I</w:t>
            </w:r>
            <w:r w:rsidR="00817DBF" w:rsidRPr="00CF1D93">
              <w:rPr>
                <w:rFonts w:cs="Times New Roman"/>
                <w:szCs w:val="24"/>
              </w:rPr>
              <w:t>eviests pilnībā</w:t>
            </w:r>
          </w:p>
          <w:p w14:paraId="56B87A6C" w14:textId="77777777" w:rsidR="00505C2C" w:rsidRPr="00CF1D93" w:rsidRDefault="00505C2C" w:rsidP="00E243C3">
            <w:pPr>
              <w:spacing w:after="0" w:line="240" w:lineRule="auto"/>
              <w:rPr>
                <w:rFonts w:cs="Times New Roman"/>
                <w:szCs w:val="24"/>
              </w:rPr>
            </w:pPr>
          </w:p>
          <w:p w14:paraId="7E3D7525" w14:textId="77777777" w:rsidR="00505C2C" w:rsidRPr="00CF1D93" w:rsidRDefault="00505C2C" w:rsidP="00E243C3">
            <w:pPr>
              <w:spacing w:after="0" w:line="240" w:lineRule="auto"/>
              <w:rPr>
                <w:rFonts w:cs="Times New Roman"/>
                <w:szCs w:val="24"/>
              </w:rPr>
            </w:pPr>
          </w:p>
          <w:p w14:paraId="16C40C92" w14:textId="77777777" w:rsidR="003D0CF3" w:rsidRDefault="003D0CF3" w:rsidP="00E243C3">
            <w:pPr>
              <w:spacing w:after="0" w:line="240" w:lineRule="auto"/>
              <w:rPr>
                <w:rFonts w:cs="Times New Roman"/>
                <w:szCs w:val="24"/>
              </w:rPr>
            </w:pPr>
          </w:p>
          <w:p w14:paraId="7A2307E4" w14:textId="77777777" w:rsidR="003D0CF3" w:rsidRDefault="003D0CF3" w:rsidP="00E243C3">
            <w:pPr>
              <w:spacing w:after="0" w:line="240" w:lineRule="auto"/>
              <w:rPr>
                <w:rFonts w:cs="Times New Roman"/>
                <w:szCs w:val="24"/>
              </w:rPr>
            </w:pPr>
          </w:p>
          <w:p w14:paraId="2CF2A147" w14:textId="0D84D1A2" w:rsidR="00817DBF" w:rsidRPr="00FB1348" w:rsidRDefault="00CE4448" w:rsidP="00E243C3">
            <w:pPr>
              <w:spacing w:after="0" w:line="240" w:lineRule="auto"/>
              <w:rPr>
                <w:rFonts w:cs="Times New Roman"/>
                <w:szCs w:val="24"/>
              </w:rPr>
            </w:pPr>
            <w:r w:rsidRPr="00FB1348">
              <w:rPr>
                <w:rFonts w:cs="Times New Roman"/>
                <w:szCs w:val="24"/>
              </w:rPr>
              <w:t>I</w:t>
            </w:r>
            <w:r w:rsidR="00817DBF" w:rsidRPr="00FB1348">
              <w:rPr>
                <w:rFonts w:cs="Times New Roman"/>
                <w:szCs w:val="24"/>
              </w:rPr>
              <w:t>eviests pilnībā</w:t>
            </w:r>
          </w:p>
          <w:p w14:paraId="7321E68C" w14:textId="77777777" w:rsidR="00817DBF" w:rsidRPr="00DC3C3E" w:rsidRDefault="00817DBF" w:rsidP="00E243C3">
            <w:pPr>
              <w:spacing w:after="0" w:line="240" w:lineRule="auto"/>
              <w:rPr>
                <w:rFonts w:cs="Times New Roman"/>
                <w:szCs w:val="24"/>
              </w:rPr>
            </w:pPr>
          </w:p>
          <w:p w14:paraId="76968D2E" w14:textId="77777777" w:rsidR="000514EE" w:rsidRPr="000178D9" w:rsidRDefault="000514EE" w:rsidP="00E243C3">
            <w:pPr>
              <w:spacing w:after="0" w:line="240" w:lineRule="auto"/>
              <w:rPr>
                <w:rFonts w:cs="Times New Roman"/>
                <w:szCs w:val="24"/>
              </w:rPr>
            </w:pPr>
          </w:p>
          <w:p w14:paraId="5AE7931C" w14:textId="77777777" w:rsidR="00E07724" w:rsidRDefault="00E07724" w:rsidP="00E243C3">
            <w:pPr>
              <w:spacing w:after="0" w:line="240" w:lineRule="auto"/>
              <w:rPr>
                <w:rFonts w:cs="Times New Roman"/>
                <w:szCs w:val="24"/>
              </w:rPr>
            </w:pPr>
          </w:p>
          <w:p w14:paraId="0C5757B8" w14:textId="604890CB" w:rsidR="00817DBF" w:rsidRPr="00F06499" w:rsidRDefault="00CE4448" w:rsidP="00E243C3">
            <w:pPr>
              <w:spacing w:after="0" w:line="240" w:lineRule="auto"/>
              <w:rPr>
                <w:rFonts w:cs="Times New Roman"/>
                <w:szCs w:val="24"/>
              </w:rPr>
            </w:pPr>
            <w:r w:rsidRPr="00FB1348">
              <w:rPr>
                <w:rFonts w:cs="Times New Roman"/>
                <w:szCs w:val="24"/>
              </w:rPr>
              <w:t>I</w:t>
            </w:r>
            <w:r w:rsidR="00817DBF" w:rsidRPr="00FB1348">
              <w:rPr>
                <w:rFonts w:cs="Times New Roman"/>
                <w:szCs w:val="24"/>
              </w:rPr>
              <w:t>eviests pilnībā</w:t>
            </w:r>
          </w:p>
          <w:p w14:paraId="0DCCF45B" w14:textId="77777777" w:rsidR="00D44107" w:rsidRPr="00DC3C3E" w:rsidRDefault="00D44107" w:rsidP="00E243C3">
            <w:pPr>
              <w:spacing w:after="0" w:line="240" w:lineRule="auto"/>
              <w:rPr>
                <w:rFonts w:cs="Times New Roman"/>
                <w:szCs w:val="24"/>
              </w:rPr>
            </w:pPr>
          </w:p>
          <w:p w14:paraId="7F8345B3" w14:textId="77777777" w:rsidR="00024420" w:rsidRPr="00F06499" w:rsidRDefault="00024420" w:rsidP="00710443">
            <w:pPr>
              <w:spacing w:after="0" w:line="240" w:lineRule="auto"/>
              <w:rPr>
                <w:rFonts w:cs="Times New Roman"/>
                <w:szCs w:val="24"/>
              </w:rPr>
            </w:pPr>
          </w:p>
        </w:tc>
        <w:tc>
          <w:tcPr>
            <w:tcW w:w="1496" w:type="pct"/>
            <w:gridSpan w:val="3"/>
            <w:tcBorders>
              <w:top w:val="outset" w:sz="6" w:space="0" w:color="auto"/>
              <w:left w:val="outset" w:sz="6" w:space="0" w:color="auto"/>
              <w:bottom w:val="outset" w:sz="6" w:space="0" w:color="auto"/>
              <w:right w:val="outset" w:sz="6" w:space="0" w:color="auto"/>
            </w:tcBorders>
          </w:tcPr>
          <w:p w14:paraId="19ACD8D8" w14:textId="77777777" w:rsidR="00E243C3" w:rsidRPr="00FD0175" w:rsidRDefault="00505C2C" w:rsidP="00E243C3">
            <w:pPr>
              <w:spacing w:after="0" w:line="240" w:lineRule="auto"/>
              <w:rPr>
                <w:rFonts w:cs="Times New Roman"/>
                <w:szCs w:val="24"/>
              </w:rPr>
            </w:pPr>
            <w:r w:rsidRPr="00A25683">
              <w:rPr>
                <w:rFonts w:cs="Times New Roman"/>
                <w:szCs w:val="24"/>
              </w:rPr>
              <w:lastRenderedPageBreak/>
              <w:t>Neparedz stingrākas prasības</w:t>
            </w:r>
          </w:p>
          <w:p w14:paraId="1707963C" w14:textId="77777777" w:rsidR="000514EE" w:rsidRPr="00AF41B0" w:rsidRDefault="000514EE" w:rsidP="00E243C3">
            <w:pPr>
              <w:spacing w:after="0" w:line="240" w:lineRule="auto"/>
              <w:rPr>
                <w:rFonts w:cs="Times New Roman"/>
                <w:szCs w:val="24"/>
              </w:rPr>
            </w:pPr>
          </w:p>
          <w:p w14:paraId="191B4561" w14:textId="77777777" w:rsidR="000514EE" w:rsidRPr="00E84B37" w:rsidRDefault="000514EE" w:rsidP="00E243C3">
            <w:pPr>
              <w:spacing w:after="0" w:line="240" w:lineRule="auto"/>
              <w:rPr>
                <w:rFonts w:cs="Times New Roman"/>
                <w:szCs w:val="24"/>
              </w:rPr>
            </w:pPr>
          </w:p>
          <w:p w14:paraId="46415BF3" w14:textId="77777777" w:rsidR="003D0CF3" w:rsidRDefault="003D0CF3" w:rsidP="00E243C3">
            <w:pPr>
              <w:spacing w:after="0" w:line="240" w:lineRule="auto"/>
              <w:rPr>
                <w:rFonts w:cs="Times New Roman"/>
                <w:szCs w:val="24"/>
              </w:rPr>
            </w:pPr>
          </w:p>
          <w:p w14:paraId="54715E94" w14:textId="77777777" w:rsidR="003D0CF3" w:rsidRDefault="003D0CF3" w:rsidP="00E243C3">
            <w:pPr>
              <w:spacing w:after="0" w:line="240" w:lineRule="auto"/>
              <w:rPr>
                <w:rFonts w:cs="Times New Roman"/>
                <w:szCs w:val="24"/>
              </w:rPr>
            </w:pPr>
          </w:p>
          <w:p w14:paraId="1C4643C9" w14:textId="73797483" w:rsidR="00817DBF" w:rsidRPr="003F1B3D" w:rsidRDefault="00817DBF" w:rsidP="00E243C3">
            <w:pPr>
              <w:spacing w:after="0" w:line="240" w:lineRule="auto"/>
              <w:rPr>
                <w:rFonts w:cs="Times New Roman"/>
                <w:szCs w:val="24"/>
              </w:rPr>
            </w:pPr>
            <w:r w:rsidRPr="003F1B3D">
              <w:rPr>
                <w:rFonts w:cs="Times New Roman"/>
                <w:szCs w:val="24"/>
              </w:rPr>
              <w:t>Neparedz stingrākas prasības</w:t>
            </w:r>
          </w:p>
          <w:p w14:paraId="4EA33EB3" w14:textId="77777777" w:rsidR="00505C2C" w:rsidRPr="003F1B3D" w:rsidRDefault="00505C2C" w:rsidP="00E243C3">
            <w:pPr>
              <w:spacing w:after="0" w:line="240" w:lineRule="auto"/>
              <w:rPr>
                <w:rFonts w:cs="Times New Roman"/>
                <w:szCs w:val="24"/>
              </w:rPr>
            </w:pPr>
          </w:p>
          <w:p w14:paraId="67A93A35" w14:textId="77777777" w:rsidR="00505C2C" w:rsidRPr="00062BC2" w:rsidRDefault="00505C2C" w:rsidP="00E243C3">
            <w:pPr>
              <w:spacing w:after="0" w:line="240" w:lineRule="auto"/>
              <w:rPr>
                <w:rFonts w:cs="Times New Roman"/>
                <w:szCs w:val="24"/>
              </w:rPr>
            </w:pPr>
          </w:p>
          <w:p w14:paraId="3D157B4A" w14:textId="77777777" w:rsidR="00E07724" w:rsidRDefault="00E07724" w:rsidP="00E243C3">
            <w:pPr>
              <w:spacing w:after="0" w:line="240" w:lineRule="auto"/>
              <w:rPr>
                <w:rFonts w:cs="Times New Roman"/>
                <w:szCs w:val="24"/>
              </w:rPr>
            </w:pPr>
          </w:p>
          <w:p w14:paraId="24695DCF" w14:textId="6A50E95D" w:rsidR="00817DBF" w:rsidRPr="002A051E" w:rsidRDefault="00817DBF" w:rsidP="00E243C3">
            <w:pPr>
              <w:spacing w:after="0" w:line="240" w:lineRule="auto"/>
              <w:rPr>
                <w:rFonts w:cs="Times New Roman"/>
                <w:szCs w:val="24"/>
              </w:rPr>
            </w:pPr>
            <w:r w:rsidRPr="00C0383D">
              <w:rPr>
                <w:rFonts w:cs="Times New Roman"/>
                <w:szCs w:val="24"/>
              </w:rPr>
              <w:t>Neparedz stingrākas prasības</w:t>
            </w:r>
          </w:p>
          <w:p w14:paraId="4A840E15" w14:textId="77777777" w:rsidR="00B66928" w:rsidRPr="001F7986" w:rsidRDefault="00B66928" w:rsidP="00710443">
            <w:pPr>
              <w:spacing w:after="0" w:line="240" w:lineRule="auto"/>
              <w:rPr>
                <w:rFonts w:cs="Times New Roman"/>
                <w:szCs w:val="24"/>
              </w:rPr>
            </w:pPr>
          </w:p>
        </w:tc>
      </w:tr>
      <w:tr w:rsidR="009A51CC" w:rsidRPr="00CB4E50" w14:paraId="55B56887" w14:textId="77777777" w:rsidTr="009F0BEC">
        <w:tblPrEx>
          <w:tblCellMar>
            <w:top w:w="30" w:type="dxa"/>
            <w:left w:w="30" w:type="dxa"/>
            <w:bottom w:w="30" w:type="dxa"/>
            <w:right w:w="30" w:type="dxa"/>
          </w:tblCellMar>
        </w:tblPrEx>
        <w:trPr>
          <w:gridAfter w:val="1"/>
          <w:wAfter w:w="4" w:type="pct"/>
        </w:trPr>
        <w:tc>
          <w:tcPr>
            <w:tcW w:w="1148" w:type="pct"/>
            <w:gridSpan w:val="5"/>
            <w:tcBorders>
              <w:top w:val="outset" w:sz="6" w:space="0" w:color="auto"/>
              <w:left w:val="outset" w:sz="6" w:space="0" w:color="auto"/>
              <w:bottom w:val="outset" w:sz="6" w:space="0" w:color="auto"/>
              <w:right w:val="outset" w:sz="6" w:space="0" w:color="auto"/>
            </w:tcBorders>
            <w:hideMark/>
          </w:tcPr>
          <w:p w14:paraId="401E41AA" w14:textId="77777777" w:rsidR="009A51CC" w:rsidRPr="00CB4E50" w:rsidRDefault="009A51CC" w:rsidP="005D4AE6">
            <w:pPr>
              <w:spacing w:after="0" w:line="240" w:lineRule="auto"/>
              <w:rPr>
                <w:rFonts w:eastAsia="Times New Roman" w:cs="Times New Roman"/>
                <w:szCs w:val="24"/>
                <w:lang w:eastAsia="lv-LV"/>
              </w:rPr>
            </w:pPr>
            <w:r w:rsidRPr="00CB4E50">
              <w:rPr>
                <w:rFonts w:eastAsia="Times New Roman" w:cs="Times New Roman"/>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47" w:type="pct"/>
            <w:gridSpan w:val="8"/>
            <w:tcBorders>
              <w:top w:val="outset" w:sz="6" w:space="0" w:color="auto"/>
              <w:left w:val="outset" w:sz="6" w:space="0" w:color="auto"/>
              <w:bottom w:val="outset" w:sz="6" w:space="0" w:color="auto"/>
              <w:right w:val="outset" w:sz="6" w:space="0" w:color="auto"/>
            </w:tcBorders>
            <w:hideMark/>
          </w:tcPr>
          <w:p w14:paraId="63C9F47E" w14:textId="77777777" w:rsidR="009A51CC" w:rsidRPr="00CB4E50" w:rsidRDefault="009A51CC" w:rsidP="005D4AE6">
            <w:pPr>
              <w:spacing w:after="0" w:line="240" w:lineRule="auto"/>
              <w:rPr>
                <w:rFonts w:eastAsia="Times New Roman" w:cs="Times New Roman"/>
                <w:szCs w:val="24"/>
                <w:lang w:eastAsia="lv-LV"/>
              </w:rPr>
            </w:pPr>
            <w:r w:rsidRPr="00CB4E50">
              <w:rPr>
                <w:rFonts w:eastAsia="Times New Roman" w:cs="Times New Roman"/>
                <w:szCs w:val="24"/>
                <w:lang w:eastAsia="lv-LV"/>
              </w:rPr>
              <w:t>Nav attiecināms</w:t>
            </w:r>
          </w:p>
        </w:tc>
      </w:tr>
      <w:tr w:rsidR="009A51CC" w:rsidRPr="00CB4E50" w14:paraId="684B09CB" w14:textId="77777777" w:rsidTr="009F0BEC">
        <w:tblPrEx>
          <w:tblCellMar>
            <w:top w:w="30" w:type="dxa"/>
            <w:left w:w="30" w:type="dxa"/>
            <w:bottom w:w="30" w:type="dxa"/>
            <w:right w:w="30" w:type="dxa"/>
          </w:tblCellMar>
        </w:tblPrEx>
        <w:trPr>
          <w:gridAfter w:val="1"/>
          <w:wAfter w:w="4" w:type="pct"/>
        </w:trPr>
        <w:tc>
          <w:tcPr>
            <w:tcW w:w="1148" w:type="pct"/>
            <w:gridSpan w:val="5"/>
            <w:tcBorders>
              <w:top w:val="outset" w:sz="6" w:space="0" w:color="auto"/>
              <w:left w:val="outset" w:sz="6" w:space="0" w:color="auto"/>
              <w:bottom w:val="outset" w:sz="6" w:space="0" w:color="auto"/>
              <w:right w:val="outset" w:sz="6" w:space="0" w:color="auto"/>
            </w:tcBorders>
            <w:hideMark/>
          </w:tcPr>
          <w:p w14:paraId="2B77EC52" w14:textId="77777777" w:rsidR="009A51CC" w:rsidRPr="00CB4E50" w:rsidRDefault="009A51CC" w:rsidP="005D4AE6">
            <w:pPr>
              <w:spacing w:after="0" w:line="240" w:lineRule="auto"/>
              <w:rPr>
                <w:rFonts w:eastAsia="Times New Roman" w:cs="Times New Roman"/>
                <w:szCs w:val="24"/>
                <w:lang w:eastAsia="lv-LV"/>
              </w:rPr>
            </w:pPr>
            <w:r w:rsidRPr="00CB4E50">
              <w:rPr>
                <w:rFonts w:eastAsia="Times New Roman" w:cs="Times New Roman"/>
                <w:szCs w:val="24"/>
                <w:lang w:eastAsia="lv-LV"/>
              </w:rPr>
              <w:t>Cita informācija</w:t>
            </w:r>
          </w:p>
        </w:tc>
        <w:tc>
          <w:tcPr>
            <w:tcW w:w="3847" w:type="pct"/>
            <w:gridSpan w:val="8"/>
            <w:tcBorders>
              <w:top w:val="outset" w:sz="6" w:space="0" w:color="auto"/>
              <w:left w:val="outset" w:sz="6" w:space="0" w:color="auto"/>
              <w:bottom w:val="outset" w:sz="6" w:space="0" w:color="auto"/>
              <w:right w:val="outset" w:sz="6" w:space="0" w:color="auto"/>
            </w:tcBorders>
            <w:hideMark/>
          </w:tcPr>
          <w:p w14:paraId="32B1C122" w14:textId="19F8684C" w:rsidR="007D38FE" w:rsidRPr="00C838E1" w:rsidRDefault="003D0CF3" w:rsidP="00C838E1">
            <w:pPr>
              <w:pStyle w:val="CM4"/>
              <w:jc w:val="both"/>
              <w:rPr>
                <w:rFonts w:eastAsia="Times New Roman"/>
                <w:lang w:eastAsia="lv-LV"/>
              </w:rPr>
            </w:pPr>
            <w:r w:rsidRPr="00C838E1">
              <w:rPr>
                <w:rFonts w:eastAsia="Times New Roman"/>
                <w:lang w:eastAsia="lv-LV"/>
              </w:rPr>
              <w:t xml:space="preserve">Ar noteikuma projekta 58.pantu tiek </w:t>
            </w:r>
            <w:r w:rsidR="007D38FE" w:rsidRPr="00C838E1">
              <w:rPr>
                <w:rFonts w:eastAsia="Times New Roman"/>
                <w:lang w:eastAsia="lv-LV"/>
              </w:rPr>
              <w:t xml:space="preserve">paredzēti nosacījumi, kad </w:t>
            </w:r>
            <w:r w:rsidR="00710443" w:rsidRPr="00C838E1">
              <w:rPr>
                <w:rFonts w:eastAsia="Times New Roman"/>
                <w:lang w:eastAsia="lv-LV"/>
              </w:rPr>
              <w:t xml:space="preserve"> VID</w:t>
            </w:r>
            <w:r w:rsidR="00710443" w:rsidRPr="00C838E1">
              <w:rPr>
                <w:rStyle w:val="FootnoteReference"/>
                <w:rFonts w:eastAsia="Times New Roman"/>
                <w:lang w:eastAsia="lv-LV"/>
              </w:rPr>
              <w:footnoteReference w:id="2"/>
            </w:r>
            <w:r w:rsidR="00710443" w:rsidRPr="00C838E1">
              <w:rPr>
                <w:rFonts w:eastAsia="Times New Roman"/>
                <w:lang w:eastAsia="lv-LV"/>
              </w:rPr>
              <w:t xml:space="preserve"> ir tiesīgs uzskatīt, </w:t>
            </w:r>
            <w:r w:rsidR="009032BE" w:rsidRPr="00C838E1">
              <w:rPr>
                <w:rFonts w:eastAsia="Times New Roman"/>
                <w:lang w:eastAsia="lv-LV"/>
              </w:rPr>
              <w:t>ka iztrūkstošās preces nav izņemtās no muitas uzraudzības Eiropas Savienības muitas teritorijā</w:t>
            </w:r>
            <w:r w:rsidR="003E1AB9" w:rsidRPr="00C838E1">
              <w:rPr>
                <w:color w:val="000000"/>
              </w:rPr>
              <w:t>.</w:t>
            </w:r>
          </w:p>
        </w:tc>
      </w:tr>
      <w:tr w:rsidR="00A755DE" w:rsidRPr="00155D67" w14:paraId="69BBDF37" w14:textId="77777777" w:rsidTr="009F0BEC">
        <w:tblPrEx>
          <w:tblCellMar>
            <w:top w:w="30" w:type="dxa"/>
            <w:left w:w="30" w:type="dxa"/>
            <w:bottom w:w="30" w:type="dxa"/>
            <w:right w:w="30" w:type="dxa"/>
          </w:tblCellMar>
        </w:tblPrEx>
        <w:trPr>
          <w:gridAfter w:val="1"/>
          <w:wAfter w:w="4" w:type="pct"/>
        </w:trPr>
        <w:tc>
          <w:tcPr>
            <w:tcW w:w="4996" w:type="pct"/>
            <w:gridSpan w:val="13"/>
            <w:tcBorders>
              <w:top w:val="outset" w:sz="6" w:space="0" w:color="auto"/>
              <w:left w:val="outset" w:sz="6" w:space="0" w:color="auto"/>
              <w:bottom w:val="outset" w:sz="6" w:space="0" w:color="auto"/>
              <w:right w:val="outset" w:sz="6" w:space="0" w:color="auto"/>
            </w:tcBorders>
            <w:vAlign w:val="center"/>
            <w:hideMark/>
          </w:tcPr>
          <w:p w14:paraId="21C3A5C9" w14:textId="77777777" w:rsidR="00A755DE" w:rsidRPr="00155D67" w:rsidRDefault="00A755DE" w:rsidP="003C0EEB">
            <w:pPr>
              <w:spacing w:before="100" w:beforeAutospacing="1" w:after="100" w:afterAutospacing="1" w:line="240" w:lineRule="auto"/>
              <w:rPr>
                <w:rFonts w:eastAsia="Times New Roman" w:cs="Times New Roman"/>
                <w:szCs w:val="24"/>
                <w:lang w:eastAsia="lv-LV"/>
              </w:rPr>
            </w:pPr>
            <w:r w:rsidRPr="00155D67">
              <w:rPr>
                <w:rFonts w:eastAsia="Times New Roman" w:cs="Times New Roman"/>
                <w:b/>
                <w:bCs/>
                <w:szCs w:val="24"/>
                <w:lang w:eastAsia="lv-LV"/>
              </w:rPr>
              <w:t>2.tabula</w:t>
            </w:r>
            <w:r w:rsidRPr="00155D67">
              <w:rPr>
                <w:rFonts w:eastAsia="Times New Roman" w:cs="Times New Roman"/>
                <w:b/>
                <w:bCs/>
                <w:szCs w:val="24"/>
                <w:lang w:eastAsia="lv-LV"/>
              </w:rPr>
              <w:br/>
              <w:t>Ar tiesību akta projektu izpildītās vai uzņemtās saistības, kas izriet no starptautiskajiem tiesību aktiem vai starptautiskas institūcijas vai organizācijas dokumentiem.</w:t>
            </w:r>
            <w:r w:rsidRPr="00155D67">
              <w:rPr>
                <w:rFonts w:eastAsia="Times New Roman" w:cs="Times New Roman"/>
                <w:b/>
                <w:bCs/>
                <w:szCs w:val="24"/>
                <w:lang w:eastAsia="lv-LV"/>
              </w:rPr>
              <w:br/>
              <w:t>Pasākumi šo saistību izpildei</w:t>
            </w:r>
          </w:p>
        </w:tc>
      </w:tr>
      <w:tr w:rsidR="00A755DE" w:rsidRPr="00155D67" w14:paraId="718C301A" w14:textId="77777777" w:rsidTr="009F0BEC">
        <w:tblPrEx>
          <w:tblCellMar>
            <w:top w:w="30" w:type="dxa"/>
            <w:left w:w="30" w:type="dxa"/>
            <w:bottom w:w="30" w:type="dxa"/>
            <w:right w:w="30" w:type="dxa"/>
          </w:tblCellMar>
        </w:tblPrEx>
        <w:trPr>
          <w:gridAfter w:val="1"/>
          <w:wAfter w:w="4" w:type="pct"/>
        </w:trPr>
        <w:tc>
          <w:tcPr>
            <w:tcW w:w="2098" w:type="pct"/>
            <w:gridSpan w:val="7"/>
            <w:tcBorders>
              <w:top w:val="outset" w:sz="6" w:space="0" w:color="auto"/>
              <w:left w:val="outset" w:sz="6" w:space="0" w:color="auto"/>
              <w:bottom w:val="outset" w:sz="6" w:space="0" w:color="auto"/>
              <w:right w:val="outset" w:sz="6" w:space="0" w:color="auto"/>
            </w:tcBorders>
            <w:vAlign w:val="center"/>
            <w:hideMark/>
          </w:tcPr>
          <w:p w14:paraId="676F40F5" w14:textId="77777777" w:rsidR="00A755DE" w:rsidRPr="00155D67" w:rsidRDefault="00A755DE" w:rsidP="003C0EEB">
            <w:pPr>
              <w:spacing w:after="0" w:line="240" w:lineRule="auto"/>
              <w:rPr>
                <w:rFonts w:eastAsia="Times New Roman" w:cs="Times New Roman"/>
                <w:szCs w:val="24"/>
                <w:lang w:eastAsia="lv-LV"/>
              </w:rPr>
            </w:pPr>
            <w:r w:rsidRPr="005A2137">
              <w:rPr>
                <w:rFonts w:eastAsia="Times New Roman" w:cs="Times New Roman"/>
                <w:szCs w:val="24"/>
                <w:lang w:eastAsia="lv-LV"/>
              </w:rPr>
              <w:t>1975.gada 14.novembra Muitas konvencijas par starptautiskajiem kravu pārvadājumiem, izmantojot TIR karneti</w:t>
            </w:r>
          </w:p>
        </w:tc>
        <w:tc>
          <w:tcPr>
            <w:tcW w:w="2897" w:type="pct"/>
            <w:gridSpan w:val="6"/>
            <w:tcBorders>
              <w:top w:val="outset" w:sz="6" w:space="0" w:color="auto"/>
              <w:left w:val="outset" w:sz="6" w:space="0" w:color="auto"/>
              <w:bottom w:val="outset" w:sz="6" w:space="0" w:color="auto"/>
              <w:right w:val="outset" w:sz="6" w:space="0" w:color="auto"/>
            </w:tcBorders>
            <w:hideMark/>
          </w:tcPr>
          <w:p w14:paraId="321BDA23" w14:textId="77777777" w:rsidR="00A755DE" w:rsidRPr="00155D67" w:rsidRDefault="00A755DE" w:rsidP="003C0EEB">
            <w:pPr>
              <w:spacing w:after="0" w:line="240" w:lineRule="auto"/>
              <w:rPr>
                <w:rFonts w:eastAsia="Times New Roman" w:cs="Times New Roman"/>
                <w:szCs w:val="24"/>
                <w:lang w:eastAsia="lv-LV"/>
              </w:rPr>
            </w:pPr>
            <w:r w:rsidRPr="001F4727">
              <w:rPr>
                <w:rFonts w:eastAsia="Times New Roman" w:cs="Times New Roman"/>
                <w:szCs w:val="24"/>
                <w:lang w:eastAsia="lv-LV"/>
              </w:rPr>
              <w:t>1951.gada 1.novem</w:t>
            </w:r>
            <w:r>
              <w:rPr>
                <w:rFonts w:eastAsia="Times New Roman" w:cs="Times New Roman"/>
                <w:szCs w:val="24"/>
                <w:lang w:eastAsia="lv-LV"/>
              </w:rPr>
              <w:t xml:space="preserve">bra Nolīgums par starptautisko </w:t>
            </w:r>
            <w:r w:rsidRPr="001F4727">
              <w:rPr>
                <w:rFonts w:eastAsia="Times New Roman" w:cs="Times New Roman"/>
                <w:szCs w:val="24"/>
                <w:lang w:eastAsia="lv-LV"/>
              </w:rPr>
              <w:t>dzelzceļa kravu satiksmi</w:t>
            </w:r>
            <w:r>
              <w:rPr>
                <w:rFonts w:eastAsia="Times New Roman" w:cs="Times New Roman"/>
                <w:szCs w:val="24"/>
                <w:lang w:eastAsia="lv-LV"/>
              </w:rPr>
              <w:t xml:space="preserve"> </w:t>
            </w:r>
          </w:p>
        </w:tc>
      </w:tr>
      <w:tr w:rsidR="00A755DE" w:rsidRPr="005D4AE6" w14:paraId="7919BF42" w14:textId="77777777" w:rsidTr="009F0BEC">
        <w:tblPrEx>
          <w:tblCellMar>
            <w:top w:w="30" w:type="dxa"/>
            <w:left w:w="30" w:type="dxa"/>
            <w:bottom w:w="30" w:type="dxa"/>
            <w:right w:w="30" w:type="dxa"/>
          </w:tblCellMar>
        </w:tblPrEx>
        <w:trPr>
          <w:gridAfter w:val="1"/>
          <w:wAfter w:w="4" w:type="pct"/>
        </w:trPr>
        <w:tc>
          <w:tcPr>
            <w:tcW w:w="2098" w:type="pct"/>
            <w:gridSpan w:val="7"/>
            <w:tcBorders>
              <w:top w:val="outset" w:sz="6" w:space="0" w:color="auto"/>
              <w:left w:val="outset" w:sz="6" w:space="0" w:color="auto"/>
              <w:bottom w:val="outset" w:sz="6" w:space="0" w:color="auto"/>
              <w:right w:val="outset" w:sz="6" w:space="0" w:color="auto"/>
            </w:tcBorders>
            <w:vAlign w:val="center"/>
            <w:hideMark/>
          </w:tcPr>
          <w:p w14:paraId="2A1E48E9" w14:textId="77777777" w:rsidR="00A755DE" w:rsidRPr="005D4AE6" w:rsidRDefault="00A755DE" w:rsidP="003C0EEB">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A</w:t>
            </w:r>
          </w:p>
        </w:tc>
        <w:tc>
          <w:tcPr>
            <w:tcW w:w="1944" w:type="pct"/>
            <w:gridSpan w:val="5"/>
            <w:tcBorders>
              <w:top w:val="outset" w:sz="6" w:space="0" w:color="auto"/>
              <w:left w:val="outset" w:sz="6" w:space="0" w:color="auto"/>
              <w:bottom w:val="outset" w:sz="6" w:space="0" w:color="auto"/>
              <w:right w:val="outset" w:sz="6" w:space="0" w:color="auto"/>
            </w:tcBorders>
            <w:vAlign w:val="center"/>
            <w:hideMark/>
          </w:tcPr>
          <w:p w14:paraId="66DFE909" w14:textId="77777777" w:rsidR="00A755DE" w:rsidRPr="005D4AE6" w:rsidRDefault="00A755DE" w:rsidP="003C0EEB">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B</w:t>
            </w:r>
          </w:p>
        </w:tc>
        <w:tc>
          <w:tcPr>
            <w:tcW w:w="953" w:type="pct"/>
            <w:tcBorders>
              <w:top w:val="outset" w:sz="6" w:space="0" w:color="auto"/>
              <w:left w:val="outset" w:sz="6" w:space="0" w:color="auto"/>
              <w:bottom w:val="outset" w:sz="6" w:space="0" w:color="auto"/>
              <w:right w:val="outset" w:sz="6" w:space="0" w:color="auto"/>
            </w:tcBorders>
            <w:vAlign w:val="center"/>
            <w:hideMark/>
          </w:tcPr>
          <w:p w14:paraId="36FBE8AB" w14:textId="77777777" w:rsidR="00A755DE" w:rsidRPr="005D4AE6" w:rsidRDefault="00A755DE" w:rsidP="003C0EEB">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C</w:t>
            </w:r>
          </w:p>
        </w:tc>
      </w:tr>
      <w:tr w:rsidR="00A755DE" w:rsidRPr="005D4AE6" w14:paraId="296D5CD1" w14:textId="77777777" w:rsidTr="009F0BEC">
        <w:tblPrEx>
          <w:tblCellMar>
            <w:top w:w="30" w:type="dxa"/>
            <w:left w:w="30" w:type="dxa"/>
            <w:bottom w:w="30" w:type="dxa"/>
            <w:right w:w="30" w:type="dxa"/>
          </w:tblCellMar>
        </w:tblPrEx>
        <w:trPr>
          <w:gridAfter w:val="1"/>
          <w:wAfter w:w="4" w:type="pct"/>
        </w:trPr>
        <w:tc>
          <w:tcPr>
            <w:tcW w:w="2098" w:type="pct"/>
            <w:gridSpan w:val="7"/>
            <w:tcBorders>
              <w:top w:val="outset" w:sz="6" w:space="0" w:color="auto"/>
              <w:left w:val="outset" w:sz="6" w:space="0" w:color="auto"/>
              <w:bottom w:val="outset" w:sz="6" w:space="0" w:color="auto"/>
              <w:right w:val="outset" w:sz="6" w:space="0" w:color="auto"/>
            </w:tcBorders>
            <w:hideMark/>
          </w:tcPr>
          <w:p w14:paraId="6BCB50B1" w14:textId="77777777" w:rsidR="00A755DE" w:rsidRPr="005D4AE6" w:rsidRDefault="00A755DE" w:rsidP="003C0EEB">
            <w:pPr>
              <w:spacing w:after="0" w:line="240" w:lineRule="auto"/>
              <w:rPr>
                <w:rFonts w:eastAsia="Times New Roman" w:cs="Times New Roman"/>
                <w:szCs w:val="24"/>
                <w:lang w:eastAsia="lv-LV"/>
              </w:rPr>
            </w:pPr>
            <w:r w:rsidRPr="005D4AE6">
              <w:rPr>
                <w:rFonts w:eastAsia="Times New Roman" w:cs="Times New Roman"/>
                <w:szCs w:val="24"/>
                <w:lang w:eastAsia="lv-LV"/>
              </w:rPr>
              <w:t xml:space="preserve">Starptautiskās saistības (pēc būtības), kas izriet no norādītā starptautiskā dokumenta. </w:t>
            </w:r>
          </w:p>
          <w:p w14:paraId="71E3911B" w14:textId="77777777" w:rsidR="00A755DE" w:rsidRPr="005D4AE6" w:rsidRDefault="00A755DE" w:rsidP="003C0EEB">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Konkrēti veicamie pasākumi vai uzdevumi, kas nepieciešami šo starptautisko saistību izpildei</w:t>
            </w:r>
          </w:p>
        </w:tc>
        <w:tc>
          <w:tcPr>
            <w:tcW w:w="1508" w:type="pct"/>
            <w:gridSpan w:val="4"/>
            <w:tcBorders>
              <w:top w:val="outset" w:sz="6" w:space="0" w:color="auto"/>
              <w:left w:val="outset" w:sz="6" w:space="0" w:color="auto"/>
              <w:bottom w:val="outset" w:sz="6" w:space="0" w:color="auto"/>
              <w:right w:val="outset" w:sz="6" w:space="0" w:color="auto"/>
            </w:tcBorders>
            <w:hideMark/>
          </w:tcPr>
          <w:p w14:paraId="4242ADEC" w14:textId="77777777" w:rsidR="00A755DE" w:rsidRPr="005D4AE6" w:rsidRDefault="00A755DE" w:rsidP="003C0EEB">
            <w:pPr>
              <w:spacing w:after="0" w:line="240" w:lineRule="auto"/>
              <w:rPr>
                <w:rFonts w:eastAsia="Times New Roman" w:cs="Times New Roman"/>
                <w:szCs w:val="24"/>
                <w:lang w:eastAsia="lv-LV"/>
              </w:rPr>
            </w:pPr>
            <w:r w:rsidRPr="005D4AE6">
              <w:rPr>
                <w:rFonts w:eastAsia="Times New Roman" w:cs="Times New Roman"/>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390" w:type="pct"/>
            <w:gridSpan w:val="2"/>
            <w:tcBorders>
              <w:top w:val="outset" w:sz="6" w:space="0" w:color="auto"/>
              <w:left w:val="outset" w:sz="6" w:space="0" w:color="auto"/>
              <w:bottom w:val="outset" w:sz="6" w:space="0" w:color="auto"/>
              <w:right w:val="outset" w:sz="6" w:space="0" w:color="auto"/>
            </w:tcBorders>
            <w:hideMark/>
          </w:tcPr>
          <w:p w14:paraId="13170CFB" w14:textId="77777777" w:rsidR="00A755DE" w:rsidRPr="005D4AE6" w:rsidRDefault="00A755DE" w:rsidP="003C0EEB">
            <w:pPr>
              <w:spacing w:after="0" w:line="240" w:lineRule="auto"/>
              <w:rPr>
                <w:rFonts w:eastAsia="Times New Roman" w:cs="Times New Roman"/>
                <w:szCs w:val="24"/>
                <w:lang w:eastAsia="lv-LV"/>
              </w:rPr>
            </w:pPr>
            <w:r w:rsidRPr="005D4AE6">
              <w:rPr>
                <w:rFonts w:eastAsia="Times New Roman" w:cs="Times New Roman"/>
                <w:szCs w:val="24"/>
                <w:lang w:eastAsia="lv-LV"/>
              </w:rPr>
              <w:t xml:space="preserve">Informācija par to, vai starptautiskās saistības, kas minētas šīs tabulas A ailē, tiek izpildītas pilnībā vai daļēji. </w:t>
            </w:r>
          </w:p>
          <w:p w14:paraId="7659AF47" w14:textId="77777777" w:rsidR="00A755DE" w:rsidRPr="005D4AE6" w:rsidRDefault="00A755DE" w:rsidP="003C0EEB">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 xml:space="preserve">Ja attiecīgās starptautiskās saistības tiek izpildītas daļēji, sniedz skaidrojumu, kā arī precīzi norāda, kad un kādā veidā </w:t>
            </w:r>
            <w:r w:rsidRPr="005D4AE6">
              <w:rPr>
                <w:rFonts w:eastAsia="Times New Roman" w:cs="Times New Roman"/>
                <w:szCs w:val="24"/>
                <w:lang w:eastAsia="lv-LV"/>
              </w:rPr>
              <w:lastRenderedPageBreak/>
              <w:t>starptautiskās saistības tiks izpildītas pilnībā.</w:t>
            </w:r>
          </w:p>
          <w:p w14:paraId="69A63C8A" w14:textId="77777777" w:rsidR="00A755DE" w:rsidRPr="005D4AE6" w:rsidRDefault="00A755DE" w:rsidP="003C0EEB">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Norāda institūciju, kas ir atbildīga par šo saistību izpildi pilnībā</w:t>
            </w:r>
          </w:p>
        </w:tc>
      </w:tr>
      <w:tr w:rsidR="00A755DE" w:rsidRPr="001F4727" w14:paraId="512251AC" w14:textId="77777777" w:rsidTr="009F0BEC">
        <w:tblPrEx>
          <w:tblCellMar>
            <w:top w:w="30" w:type="dxa"/>
            <w:left w:w="30" w:type="dxa"/>
            <w:bottom w:w="30" w:type="dxa"/>
            <w:right w:w="30" w:type="dxa"/>
          </w:tblCellMar>
        </w:tblPrEx>
        <w:trPr>
          <w:gridAfter w:val="1"/>
          <w:wAfter w:w="4" w:type="pct"/>
        </w:trPr>
        <w:tc>
          <w:tcPr>
            <w:tcW w:w="2098" w:type="pct"/>
            <w:gridSpan w:val="7"/>
            <w:tcBorders>
              <w:top w:val="outset" w:sz="6" w:space="0" w:color="auto"/>
              <w:left w:val="outset" w:sz="6" w:space="0" w:color="auto"/>
              <w:bottom w:val="outset" w:sz="6" w:space="0" w:color="auto"/>
              <w:right w:val="outset" w:sz="6" w:space="0" w:color="auto"/>
            </w:tcBorders>
          </w:tcPr>
          <w:p w14:paraId="638E79DE" w14:textId="77777777" w:rsidR="00A755DE" w:rsidRPr="001F4727" w:rsidRDefault="00A755DE" w:rsidP="00A755DE">
            <w:pPr>
              <w:spacing w:after="0" w:line="240" w:lineRule="auto"/>
              <w:rPr>
                <w:rFonts w:eastAsia="Times New Roman" w:cs="Times New Roman"/>
                <w:szCs w:val="24"/>
                <w:highlight w:val="yellow"/>
                <w:lang w:eastAsia="lv-LV"/>
              </w:rPr>
            </w:pPr>
            <w:r>
              <w:rPr>
                <w:rFonts w:eastAsia="Times New Roman" w:cs="Times New Roman"/>
                <w:szCs w:val="24"/>
                <w:lang w:eastAsia="lv-LV"/>
              </w:rPr>
              <w:lastRenderedPageBreak/>
              <w:t xml:space="preserve">TIR konvencijas </w:t>
            </w:r>
            <w:r w:rsidRPr="001F4727">
              <w:rPr>
                <w:rFonts w:eastAsia="Times New Roman" w:cs="Times New Roman"/>
                <w:szCs w:val="24"/>
                <w:lang w:eastAsia="lv-LV"/>
              </w:rPr>
              <w:t xml:space="preserve">9.pielikuma </w:t>
            </w:r>
            <w:r>
              <w:rPr>
                <w:rFonts w:eastAsia="Times New Roman" w:cs="Times New Roman"/>
                <w:szCs w:val="24"/>
                <w:lang w:eastAsia="lv-LV"/>
              </w:rPr>
              <w:t xml:space="preserve">II daļas </w:t>
            </w:r>
            <w:r w:rsidRPr="001F4727">
              <w:rPr>
                <w:rFonts w:eastAsia="Times New Roman" w:cs="Times New Roman"/>
                <w:szCs w:val="24"/>
                <w:lang w:eastAsia="lv-LV"/>
              </w:rPr>
              <w:t>1.</w:t>
            </w:r>
            <w:r>
              <w:rPr>
                <w:rFonts w:eastAsia="Times New Roman" w:cs="Times New Roman"/>
                <w:szCs w:val="24"/>
                <w:lang w:eastAsia="lv-LV"/>
              </w:rPr>
              <w:t>a</w:t>
            </w:r>
            <w:r w:rsidR="006458CA">
              <w:rPr>
                <w:rFonts w:eastAsia="Times New Roman" w:cs="Times New Roman"/>
                <w:szCs w:val="24"/>
                <w:lang w:eastAsia="lv-LV"/>
              </w:rPr>
              <w:t xml:space="preserve">. </w:t>
            </w:r>
            <w:r w:rsidRPr="00A755DE">
              <w:rPr>
                <w:rFonts w:eastAsia="Times New Roman" w:cs="Times New Roman"/>
                <w:szCs w:val="24"/>
                <w:lang w:eastAsia="lv-LV"/>
              </w:rPr>
              <w:t>apakšpunkts</w:t>
            </w:r>
            <w:r w:rsidRPr="001F4727">
              <w:rPr>
                <w:rFonts w:eastAsia="Times New Roman" w:cs="Times New Roman"/>
                <w:szCs w:val="24"/>
                <w:lang w:eastAsia="lv-LV"/>
              </w:rPr>
              <w:t xml:space="preserve"> paredz, ka lai varētu darboties TIR procedūrā, personai ir jābūt pierādāmai pieredzei vai vismaz spējām iesaistīties regulāros starptautiskos pārvadājumos.</w:t>
            </w:r>
          </w:p>
        </w:tc>
        <w:tc>
          <w:tcPr>
            <w:tcW w:w="1508" w:type="pct"/>
            <w:gridSpan w:val="4"/>
            <w:tcBorders>
              <w:top w:val="outset" w:sz="6" w:space="0" w:color="auto"/>
              <w:left w:val="outset" w:sz="6" w:space="0" w:color="auto"/>
              <w:bottom w:val="outset" w:sz="6" w:space="0" w:color="auto"/>
              <w:right w:val="outset" w:sz="6" w:space="0" w:color="auto"/>
            </w:tcBorders>
          </w:tcPr>
          <w:p w14:paraId="6BE61F79" w14:textId="117694D8" w:rsidR="00A755DE" w:rsidRPr="001F4727" w:rsidRDefault="005D4396" w:rsidP="0084006E">
            <w:pPr>
              <w:spacing w:after="0" w:line="240" w:lineRule="auto"/>
              <w:rPr>
                <w:rFonts w:eastAsia="Times New Roman" w:cs="Times New Roman"/>
                <w:szCs w:val="24"/>
                <w:highlight w:val="yellow"/>
                <w:lang w:eastAsia="lv-LV"/>
              </w:rPr>
            </w:pPr>
            <w:r>
              <w:rPr>
                <w:rFonts w:eastAsia="Times New Roman" w:cs="Times New Roman"/>
                <w:szCs w:val="24"/>
                <w:lang w:eastAsia="lv-LV"/>
              </w:rPr>
              <w:t>Noteikumu</w:t>
            </w:r>
            <w:r w:rsidR="005D518C">
              <w:rPr>
                <w:rFonts w:eastAsia="Times New Roman" w:cs="Times New Roman"/>
                <w:szCs w:val="24"/>
                <w:lang w:eastAsia="lv-LV"/>
              </w:rPr>
              <w:t xml:space="preserve"> p</w:t>
            </w:r>
            <w:r w:rsidR="00A755DE" w:rsidRPr="001F4727">
              <w:rPr>
                <w:rFonts w:eastAsia="Times New Roman" w:cs="Times New Roman"/>
                <w:szCs w:val="24"/>
                <w:lang w:eastAsia="lv-LV"/>
              </w:rPr>
              <w:t xml:space="preserve">rojekta </w:t>
            </w:r>
            <w:r w:rsidR="0084006E">
              <w:rPr>
                <w:rFonts w:eastAsia="Times New Roman" w:cs="Times New Roman"/>
                <w:szCs w:val="24"/>
                <w:lang w:eastAsia="lv-LV"/>
              </w:rPr>
              <w:t>8.1., 8.2., 8.3. un 8.4</w:t>
            </w:r>
            <w:r w:rsidR="00A755DE">
              <w:rPr>
                <w:rFonts w:eastAsia="Times New Roman" w:cs="Times New Roman"/>
                <w:szCs w:val="24"/>
                <w:lang w:eastAsia="lv-LV"/>
              </w:rPr>
              <w:t>.</w:t>
            </w:r>
            <w:r w:rsidR="00A755DE" w:rsidRPr="00A755DE">
              <w:rPr>
                <w:rFonts w:eastAsia="Times New Roman" w:cs="Times New Roman"/>
                <w:szCs w:val="24"/>
                <w:lang w:eastAsia="lv-LV"/>
              </w:rPr>
              <w:t>apakšpunkts</w:t>
            </w:r>
            <w:r w:rsidR="00A755DE">
              <w:rPr>
                <w:rFonts w:eastAsia="Times New Roman" w:cs="Times New Roman"/>
                <w:szCs w:val="24"/>
                <w:lang w:eastAsia="lv-LV"/>
              </w:rPr>
              <w:t xml:space="preserve"> </w:t>
            </w:r>
          </w:p>
        </w:tc>
        <w:tc>
          <w:tcPr>
            <w:tcW w:w="1390" w:type="pct"/>
            <w:gridSpan w:val="2"/>
            <w:tcBorders>
              <w:top w:val="outset" w:sz="6" w:space="0" w:color="auto"/>
              <w:left w:val="outset" w:sz="6" w:space="0" w:color="auto"/>
              <w:bottom w:val="outset" w:sz="6" w:space="0" w:color="auto"/>
              <w:right w:val="outset" w:sz="6" w:space="0" w:color="auto"/>
            </w:tcBorders>
          </w:tcPr>
          <w:p w14:paraId="76525F63" w14:textId="77777777" w:rsidR="00A755DE" w:rsidRPr="001F4727" w:rsidRDefault="005D4396" w:rsidP="003C0EEB">
            <w:pPr>
              <w:spacing w:after="0" w:line="240" w:lineRule="auto"/>
              <w:rPr>
                <w:rFonts w:eastAsia="Times New Roman" w:cs="Times New Roman"/>
                <w:szCs w:val="24"/>
                <w:highlight w:val="yellow"/>
                <w:lang w:eastAsia="lv-LV"/>
              </w:rPr>
            </w:pPr>
            <w:r w:rsidRPr="00401D0F">
              <w:rPr>
                <w:rFonts w:eastAsia="Times New Roman" w:cs="Times New Roman"/>
                <w:szCs w:val="24"/>
                <w:lang w:eastAsia="lv-LV"/>
              </w:rPr>
              <w:t>Tiesību norma</w:t>
            </w:r>
            <w:r>
              <w:rPr>
                <w:rFonts w:eastAsia="Times New Roman" w:cs="Times New Roman"/>
                <w:szCs w:val="24"/>
                <w:lang w:eastAsia="lv-LV"/>
              </w:rPr>
              <w:t>s prasības</w:t>
            </w:r>
            <w:r w:rsidRPr="00401D0F">
              <w:rPr>
                <w:rFonts w:eastAsia="Times New Roman" w:cs="Times New Roman"/>
                <w:szCs w:val="24"/>
                <w:lang w:eastAsia="lv-LV"/>
              </w:rPr>
              <w:t xml:space="preserve"> izpildīta</w:t>
            </w:r>
            <w:r>
              <w:rPr>
                <w:rFonts w:eastAsia="Times New Roman" w:cs="Times New Roman"/>
                <w:szCs w:val="24"/>
                <w:lang w:eastAsia="lv-LV"/>
              </w:rPr>
              <w:t>s</w:t>
            </w:r>
            <w:r w:rsidRPr="00401D0F">
              <w:rPr>
                <w:rFonts w:eastAsia="Times New Roman" w:cs="Times New Roman"/>
                <w:szCs w:val="24"/>
                <w:lang w:eastAsia="lv-LV"/>
              </w:rPr>
              <w:t xml:space="preserve"> pilnībā</w:t>
            </w:r>
          </w:p>
        </w:tc>
      </w:tr>
      <w:tr w:rsidR="00A755DE" w:rsidRPr="001F4727" w14:paraId="5E97971B" w14:textId="77777777" w:rsidTr="009F0BEC">
        <w:tblPrEx>
          <w:tblCellMar>
            <w:top w:w="30" w:type="dxa"/>
            <w:left w:w="30" w:type="dxa"/>
            <w:bottom w:w="30" w:type="dxa"/>
            <w:right w:w="30" w:type="dxa"/>
          </w:tblCellMar>
        </w:tblPrEx>
        <w:trPr>
          <w:gridAfter w:val="1"/>
          <w:wAfter w:w="4" w:type="pct"/>
        </w:trPr>
        <w:tc>
          <w:tcPr>
            <w:tcW w:w="2098" w:type="pct"/>
            <w:gridSpan w:val="7"/>
            <w:tcBorders>
              <w:top w:val="outset" w:sz="6" w:space="0" w:color="auto"/>
              <w:left w:val="outset" w:sz="6" w:space="0" w:color="auto"/>
              <w:bottom w:val="outset" w:sz="6" w:space="0" w:color="auto"/>
              <w:right w:val="outset" w:sz="6" w:space="0" w:color="auto"/>
            </w:tcBorders>
          </w:tcPr>
          <w:p w14:paraId="2CA4254D" w14:textId="77777777" w:rsidR="00A755DE" w:rsidRDefault="00A755DE" w:rsidP="003523B6">
            <w:pPr>
              <w:spacing w:after="0" w:line="240" w:lineRule="auto"/>
              <w:rPr>
                <w:rFonts w:eastAsia="Times New Roman" w:cs="Times New Roman"/>
                <w:szCs w:val="24"/>
                <w:lang w:eastAsia="lv-LV"/>
              </w:rPr>
            </w:pPr>
            <w:r w:rsidRPr="00401D0F">
              <w:rPr>
                <w:rFonts w:eastAsia="Times New Roman" w:cs="Times New Roman"/>
                <w:szCs w:val="24"/>
                <w:lang w:eastAsia="lv-LV"/>
              </w:rPr>
              <w:t xml:space="preserve">Konvencijas </w:t>
            </w:r>
            <w:r>
              <w:rPr>
                <w:rFonts w:eastAsia="Times New Roman" w:cs="Times New Roman"/>
                <w:szCs w:val="24"/>
                <w:lang w:eastAsia="lv-LV"/>
              </w:rPr>
              <w:t>9</w:t>
            </w:r>
            <w:r w:rsidRPr="00401D0F">
              <w:rPr>
                <w:rFonts w:eastAsia="Times New Roman" w:cs="Times New Roman"/>
                <w:szCs w:val="24"/>
                <w:lang w:eastAsia="lv-LV"/>
              </w:rPr>
              <w:t>.pielikuma II.daļas 1.</w:t>
            </w:r>
            <w:r>
              <w:rPr>
                <w:rFonts w:eastAsia="Times New Roman" w:cs="Times New Roman"/>
                <w:szCs w:val="24"/>
                <w:lang w:eastAsia="lv-LV"/>
              </w:rPr>
              <w:t>b</w:t>
            </w:r>
            <w:r w:rsidR="006458CA">
              <w:rPr>
                <w:rFonts w:eastAsia="Times New Roman" w:cs="Times New Roman"/>
                <w:szCs w:val="24"/>
                <w:lang w:eastAsia="lv-LV"/>
              </w:rPr>
              <w:t>.</w:t>
            </w:r>
            <w:r w:rsidRPr="00401D0F">
              <w:rPr>
                <w:rFonts w:eastAsia="Times New Roman" w:cs="Times New Roman"/>
                <w:szCs w:val="24"/>
                <w:lang w:eastAsia="lv-LV"/>
              </w:rPr>
              <w:t xml:space="preserve"> apakšpunkts nosaka, ka personām, kuras vēlas saņemt piekļuvi TIR </w:t>
            </w:r>
            <w:r w:rsidR="003523B6">
              <w:rPr>
                <w:rFonts w:eastAsia="Times New Roman" w:cs="Times New Roman"/>
                <w:szCs w:val="24"/>
                <w:lang w:eastAsia="lv-LV"/>
              </w:rPr>
              <w:t>procedūrai</w:t>
            </w:r>
            <w:r w:rsidRPr="00401D0F">
              <w:rPr>
                <w:rFonts w:eastAsia="Times New Roman" w:cs="Times New Roman"/>
                <w:szCs w:val="24"/>
                <w:lang w:eastAsia="lv-LV"/>
              </w:rPr>
              <w:t xml:space="preserve">, jāatbilst šādām minimālajām normām un nosacījumiem un konkrēti </w:t>
            </w:r>
            <w:r>
              <w:rPr>
                <w:rFonts w:eastAsia="Times New Roman" w:cs="Times New Roman"/>
                <w:szCs w:val="24"/>
                <w:lang w:eastAsia="lv-LV"/>
              </w:rPr>
              <w:t>–</w:t>
            </w:r>
            <w:r w:rsidR="006458CA">
              <w:rPr>
                <w:rFonts w:eastAsia="Times New Roman" w:cs="Times New Roman"/>
                <w:szCs w:val="24"/>
                <w:lang w:eastAsia="lv-LV"/>
              </w:rPr>
              <w:t xml:space="preserve"> </w:t>
            </w:r>
            <w:r>
              <w:rPr>
                <w:rFonts w:eastAsia="Times New Roman" w:cs="Times New Roman"/>
                <w:szCs w:val="24"/>
                <w:lang w:eastAsia="lv-LV"/>
              </w:rPr>
              <w:t>stabila finansiālā situācija</w:t>
            </w:r>
          </w:p>
        </w:tc>
        <w:tc>
          <w:tcPr>
            <w:tcW w:w="1508" w:type="pct"/>
            <w:gridSpan w:val="4"/>
            <w:tcBorders>
              <w:top w:val="outset" w:sz="6" w:space="0" w:color="auto"/>
              <w:left w:val="outset" w:sz="6" w:space="0" w:color="auto"/>
              <w:bottom w:val="outset" w:sz="6" w:space="0" w:color="auto"/>
              <w:right w:val="outset" w:sz="6" w:space="0" w:color="auto"/>
            </w:tcBorders>
          </w:tcPr>
          <w:p w14:paraId="3037D171" w14:textId="77777777" w:rsidR="00A755DE" w:rsidRPr="001F4727" w:rsidRDefault="005D4396" w:rsidP="00DC3C3E">
            <w:pPr>
              <w:spacing w:after="0" w:line="240" w:lineRule="auto"/>
              <w:rPr>
                <w:rFonts w:eastAsia="Times New Roman" w:cs="Times New Roman"/>
                <w:szCs w:val="24"/>
                <w:lang w:eastAsia="lv-LV"/>
              </w:rPr>
            </w:pPr>
            <w:r>
              <w:rPr>
                <w:rFonts w:eastAsia="Times New Roman" w:cs="Times New Roman"/>
                <w:szCs w:val="24"/>
                <w:lang w:eastAsia="lv-LV"/>
              </w:rPr>
              <w:t>N</w:t>
            </w:r>
            <w:r w:rsidR="005D518C">
              <w:rPr>
                <w:rFonts w:eastAsia="Times New Roman" w:cs="Times New Roman"/>
                <w:szCs w:val="24"/>
                <w:lang w:eastAsia="lv-LV"/>
              </w:rPr>
              <w:t>oteikumu projekta</w:t>
            </w:r>
            <w:r w:rsidR="00A755DE">
              <w:rPr>
                <w:rFonts w:eastAsia="Times New Roman" w:cs="Times New Roman"/>
                <w:szCs w:val="24"/>
                <w:lang w:eastAsia="lv-LV"/>
              </w:rPr>
              <w:t xml:space="preserve"> </w:t>
            </w:r>
            <w:r w:rsidR="00DC3C3E">
              <w:rPr>
                <w:rFonts w:eastAsia="Times New Roman" w:cs="Times New Roman"/>
                <w:szCs w:val="24"/>
                <w:lang w:eastAsia="lv-LV"/>
              </w:rPr>
              <w:t>9.5</w:t>
            </w:r>
            <w:r w:rsidR="00A755DE">
              <w:rPr>
                <w:rFonts w:eastAsia="Times New Roman" w:cs="Times New Roman"/>
                <w:szCs w:val="24"/>
                <w:lang w:eastAsia="lv-LV"/>
              </w:rPr>
              <w:t>.apakšpunkts</w:t>
            </w:r>
          </w:p>
        </w:tc>
        <w:tc>
          <w:tcPr>
            <w:tcW w:w="1390" w:type="pct"/>
            <w:gridSpan w:val="2"/>
            <w:tcBorders>
              <w:top w:val="outset" w:sz="6" w:space="0" w:color="auto"/>
              <w:left w:val="outset" w:sz="6" w:space="0" w:color="auto"/>
              <w:bottom w:val="outset" w:sz="6" w:space="0" w:color="auto"/>
              <w:right w:val="outset" w:sz="6" w:space="0" w:color="auto"/>
            </w:tcBorders>
          </w:tcPr>
          <w:p w14:paraId="686AA70D" w14:textId="77777777" w:rsidR="00A755DE" w:rsidRPr="001F4727" w:rsidRDefault="005D518C" w:rsidP="003C0EEB">
            <w:pPr>
              <w:spacing w:after="0" w:line="240" w:lineRule="auto"/>
              <w:rPr>
                <w:rFonts w:eastAsia="Times New Roman" w:cs="Times New Roman"/>
                <w:szCs w:val="24"/>
                <w:lang w:eastAsia="lv-LV"/>
              </w:rPr>
            </w:pPr>
            <w:r w:rsidRPr="00401D0F">
              <w:rPr>
                <w:rFonts w:eastAsia="Times New Roman" w:cs="Times New Roman"/>
                <w:szCs w:val="24"/>
                <w:lang w:eastAsia="lv-LV"/>
              </w:rPr>
              <w:t>Tiesību norma</w:t>
            </w:r>
            <w:r>
              <w:rPr>
                <w:rFonts w:eastAsia="Times New Roman" w:cs="Times New Roman"/>
                <w:szCs w:val="24"/>
                <w:lang w:eastAsia="lv-LV"/>
              </w:rPr>
              <w:t>s prasības</w:t>
            </w:r>
            <w:r w:rsidRPr="00401D0F">
              <w:rPr>
                <w:rFonts w:eastAsia="Times New Roman" w:cs="Times New Roman"/>
                <w:szCs w:val="24"/>
                <w:lang w:eastAsia="lv-LV"/>
              </w:rPr>
              <w:t xml:space="preserve"> izpildīta</w:t>
            </w:r>
            <w:r>
              <w:rPr>
                <w:rFonts w:eastAsia="Times New Roman" w:cs="Times New Roman"/>
                <w:szCs w:val="24"/>
                <w:lang w:eastAsia="lv-LV"/>
              </w:rPr>
              <w:t>s</w:t>
            </w:r>
            <w:r w:rsidRPr="00401D0F">
              <w:rPr>
                <w:rFonts w:eastAsia="Times New Roman" w:cs="Times New Roman"/>
                <w:szCs w:val="24"/>
                <w:lang w:eastAsia="lv-LV"/>
              </w:rPr>
              <w:t xml:space="preserve"> pilnībā</w:t>
            </w:r>
          </w:p>
        </w:tc>
      </w:tr>
      <w:tr w:rsidR="00A755DE" w:rsidRPr="001F4727" w14:paraId="6B9FC959" w14:textId="77777777" w:rsidTr="009F0BEC">
        <w:tblPrEx>
          <w:tblCellMar>
            <w:top w:w="30" w:type="dxa"/>
            <w:left w:w="30" w:type="dxa"/>
            <w:bottom w:w="30" w:type="dxa"/>
            <w:right w:w="30" w:type="dxa"/>
          </w:tblCellMar>
        </w:tblPrEx>
        <w:trPr>
          <w:gridAfter w:val="1"/>
          <w:wAfter w:w="4" w:type="pct"/>
        </w:trPr>
        <w:tc>
          <w:tcPr>
            <w:tcW w:w="2098" w:type="pct"/>
            <w:gridSpan w:val="7"/>
            <w:tcBorders>
              <w:top w:val="outset" w:sz="6" w:space="0" w:color="auto"/>
              <w:left w:val="outset" w:sz="6" w:space="0" w:color="auto"/>
              <w:bottom w:val="outset" w:sz="6" w:space="0" w:color="auto"/>
              <w:right w:val="outset" w:sz="6" w:space="0" w:color="auto"/>
            </w:tcBorders>
          </w:tcPr>
          <w:p w14:paraId="788CCA89" w14:textId="77777777" w:rsidR="00A755DE" w:rsidRPr="00401D0F" w:rsidRDefault="00A755DE" w:rsidP="00A755DE">
            <w:pPr>
              <w:spacing w:after="0" w:line="240" w:lineRule="auto"/>
              <w:rPr>
                <w:rFonts w:eastAsia="Times New Roman" w:cs="Times New Roman"/>
                <w:szCs w:val="24"/>
                <w:lang w:eastAsia="lv-LV"/>
              </w:rPr>
            </w:pPr>
            <w:r w:rsidRPr="00401D0F">
              <w:rPr>
                <w:rFonts w:eastAsia="Times New Roman" w:cs="Times New Roman"/>
                <w:szCs w:val="24"/>
                <w:lang w:eastAsia="lv-LV"/>
              </w:rPr>
              <w:t xml:space="preserve">Konvencijas </w:t>
            </w:r>
            <w:r>
              <w:rPr>
                <w:rFonts w:eastAsia="Times New Roman" w:cs="Times New Roman"/>
                <w:szCs w:val="24"/>
                <w:lang w:eastAsia="lv-LV"/>
              </w:rPr>
              <w:t>9</w:t>
            </w:r>
            <w:r w:rsidRPr="00401D0F">
              <w:rPr>
                <w:rFonts w:eastAsia="Times New Roman" w:cs="Times New Roman"/>
                <w:szCs w:val="24"/>
                <w:lang w:eastAsia="lv-LV"/>
              </w:rPr>
              <w:t>.pielikuma II.daļas 1.</w:t>
            </w:r>
            <w:r>
              <w:rPr>
                <w:rFonts w:eastAsia="Times New Roman" w:cs="Times New Roman"/>
                <w:szCs w:val="24"/>
                <w:lang w:eastAsia="lv-LV"/>
              </w:rPr>
              <w:t>c</w:t>
            </w:r>
            <w:r w:rsidR="006458CA">
              <w:rPr>
                <w:rFonts w:eastAsia="Times New Roman" w:cs="Times New Roman"/>
                <w:szCs w:val="24"/>
                <w:lang w:eastAsia="lv-LV"/>
              </w:rPr>
              <w:t>.</w:t>
            </w:r>
            <w:r w:rsidRPr="00401D0F">
              <w:rPr>
                <w:rFonts w:eastAsia="Times New Roman" w:cs="Times New Roman"/>
                <w:szCs w:val="24"/>
                <w:lang w:eastAsia="lv-LV"/>
              </w:rPr>
              <w:t xml:space="preserve"> apakšpunkts nosaka, ka personām, kuras vēlas saņemt piekļuvi TIR </w:t>
            </w:r>
            <w:r w:rsidR="003523B6" w:rsidRPr="003523B6">
              <w:rPr>
                <w:rFonts w:eastAsia="Times New Roman" w:cs="Times New Roman"/>
                <w:szCs w:val="24"/>
                <w:lang w:eastAsia="lv-LV"/>
              </w:rPr>
              <w:t>procedūrai</w:t>
            </w:r>
            <w:r w:rsidRPr="00401D0F">
              <w:rPr>
                <w:rFonts w:eastAsia="Times New Roman" w:cs="Times New Roman"/>
                <w:szCs w:val="24"/>
                <w:lang w:eastAsia="lv-LV"/>
              </w:rPr>
              <w:t xml:space="preserve">, jāatbilst šādām minimālajām normām un nosacījumiem un konkrēti </w:t>
            </w:r>
            <w:r>
              <w:rPr>
                <w:rFonts w:eastAsia="Times New Roman" w:cs="Times New Roman"/>
                <w:szCs w:val="24"/>
                <w:lang w:eastAsia="lv-LV"/>
              </w:rPr>
              <w:t>–</w:t>
            </w:r>
            <w:r w:rsidR="006458CA">
              <w:rPr>
                <w:rFonts w:eastAsia="Times New Roman" w:cs="Times New Roman"/>
                <w:szCs w:val="24"/>
                <w:lang w:eastAsia="lv-LV"/>
              </w:rPr>
              <w:t xml:space="preserve"> </w:t>
            </w:r>
            <w:r w:rsidR="006458CA" w:rsidRPr="006458CA">
              <w:rPr>
                <w:rFonts w:eastAsia="Times New Roman" w:cs="Times New Roman"/>
                <w:szCs w:val="24"/>
                <w:lang w:eastAsia="lv-LV"/>
              </w:rPr>
              <w:t>zināšanas TIR konvencijas piemērošanā</w:t>
            </w:r>
          </w:p>
        </w:tc>
        <w:tc>
          <w:tcPr>
            <w:tcW w:w="1508" w:type="pct"/>
            <w:gridSpan w:val="4"/>
            <w:tcBorders>
              <w:top w:val="outset" w:sz="6" w:space="0" w:color="auto"/>
              <w:left w:val="outset" w:sz="6" w:space="0" w:color="auto"/>
              <w:bottom w:val="outset" w:sz="6" w:space="0" w:color="auto"/>
              <w:right w:val="outset" w:sz="6" w:space="0" w:color="auto"/>
            </w:tcBorders>
          </w:tcPr>
          <w:p w14:paraId="4C42E0E8" w14:textId="77777777" w:rsidR="00A755DE" w:rsidRDefault="005D4396" w:rsidP="00DC3C3E">
            <w:pPr>
              <w:spacing w:after="0" w:line="240" w:lineRule="auto"/>
              <w:rPr>
                <w:rFonts w:eastAsia="Times New Roman" w:cs="Times New Roman"/>
                <w:szCs w:val="24"/>
                <w:lang w:eastAsia="lv-LV"/>
              </w:rPr>
            </w:pPr>
            <w:r>
              <w:rPr>
                <w:rFonts w:eastAsia="Times New Roman" w:cs="Times New Roman"/>
                <w:szCs w:val="24"/>
                <w:lang w:eastAsia="lv-LV"/>
              </w:rPr>
              <w:t>N</w:t>
            </w:r>
            <w:r w:rsidR="005D518C">
              <w:rPr>
                <w:rFonts w:eastAsia="Times New Roman" w:cs="Times New Roman"/>
                <w:szCs w:val="24"/>
                <w:lang w:eastAsia="lv-LV"/>
              </w:rPr>
              <w:t>oteikumu p</w:t>
            </w:r>
            <w:r w:rsidR="00A755DE">
              <w:rPr>
                <w:rFonts w:eastAsia="Times New Roman" w:cs="Times New Roman"/>
                <w:szCs w:val="24"/>
                <w:lang w:eastAsia="lv-LV"/>
              </w:rPr>
              <w:t xml:space="preserve">rojekta </w:t>
            </w:r>
            <w:r w:rsidR="006458CA">
              <w:rPr>
                <w:rFonts w:eastAsia="Times New Roman" w:cs="Times New Roman"/>
                <w:szCs w:val="24"/>
                <w:lang w:eastAsia="lv-LV"/>
              </w:rPr>
              <w:t>9</w:t>
            </w:r>
            <w:r w:rsidR="00A755DE">
              <w:rPr>
                <w:rFonts w:eastAsia="Times New Roman" w:cs="Times New Roman"/>
                <w:szCs w:val="24"/>
                <w:lang w:eastAsia="lv-LV"/>
              </w:rPr>
              <w:t>.</w:t>
            </w:r>
            <w:r w:rsidR="00DC3C3E">
              <w:rPr>
                <w:rFonts w:eastAsia="Times New Roman" w:cs="Times New Roman"/>
                <w:szCs w:val="24"/>
                <w:lang w:eastAsia="lv-LV"/>
              </w:rPr>
              <w:t>4</w:t>
            </w:r>
            <w:r w:rsidR="006458CA">
              <w:rPr>
                <w:rFonts w:eastAsia="Times New Roman" w:cs="Times New Roman"/>
                <w:szCs w:val="24"/>
                <w:lang w:eastAsia="lv-LV"/>
              </w:rPr>
              <w:t>.</w:t>
            </w:r>
            <w:r w:rsidR="00A755DE">
              <w:rPr>
                <w:rFonts w:eastAsia="Times New Roman" w:cs="Times New Roman"/>
                <w:szCs w:val="24"/>
                <w:lang w:eastAsia="lv-LV"/>
              </w:rPr>
              <w:t>apakšpunkts</w:t>
            </w:r>
          </w:p>
        </w:tc>
        <w:tc>
          <w:tcPr>
            <w:tcW w:w="1390" w:type="pct"/>
            <w:gridSpan w:val="2"/>
            <w:tcBorders>
              <w:top w:val="outset" w:sz="6" w:space="0" w:color="auto"/>
              <w:left w:val="outset" w:sz="6" w:space="0" w:color="auto"/>
              <w:bottom w:val="outset" w:sz="6" w:space="0" w:color="auto"/>
              <w:right w:val="outset" w:sz="6" w:space="0" w:color="auto"/>
            </w:tcBorders>
          </w:tcPr>
          <w:p w14:paraId="3CBAF6ED" w14:textId="77777777" w:rsidR="00A755DE" w:rsidRPr="00401D0F" w:rsidRDefault="005D518C" w:rsidP="003C0EEB">
            <w:pPr>
              <w:spacing w:after="0" w:line="240" w:lineRule="auto"/>
              <w:rPr>
                <w:rFonts w:eastAsia="Times New Roman" w:cs="Times New Roman"/>
                <w:szCs w:val="24"/>
                <w:lang w:eastAsia="lv-LV"/>
              </w:rPr>
            </w:pPr>
            <w:r w:rsidRPr="00401D0F">
              <w:rPr>
                <w:rFonts w:eastAsia="Times New Roman" w:cs="Times New Roman"/>
                <w:szCs w:val="24"/>
                <w:lang w:eastAsia="lv-LV"/>
              </w:rPr>
              <w:t>Tiesību norma</w:t>
            </w:r>
            <w:r>
              <w:rPr>
                <w:rFonts w:eastAsia="Times New Roman" w:cs="Times New Roman"/>
                <w:szCs w:val="24"/>
                <w:lang w:eastAsia="lv-LV"/>
              </w:rPr>
              <w:t>s prasības</w:t>
            </w:r>
            <w:r w:rsidRPr="00401D0F">
              <w:rPr>
                <w:rFonts w:eastAsia="Times New Roman" w:cs="Times New Roman"/>
                <w:szCs w:val="24"/>
                <w:lang w:eastAsia="lv-LV"/>
              </w:rPr>
              <w:t xml:space="preserve"> izpildīta</w:t>
            </w:r>
            <w:r>
              <w:rPr>
                <w:rFonts w:eastAsia="Times New Roman" w:cs="Times New Roman"/>
                <w:szCs w:val="24"/>
                <w:lang w:eastAsia="lv-LV"/>
              </w:rPr>
              <w:t>s</w:t>
            </w:r>
            <w:r w:rsidRPr="00401D0F">
              <w:rPr>
                <w:rFonts w:eastAsia="Times New Roman" w:cs="Times New Roman"/>
                <w:szCs w:val="24"/>
                <w:lang w:eastAsia="lv-LV"/>
              </w:rPr>
              <w:t xml:space="preserve"> pilnībā</w:t>
            </w:r>
          </w:p>
        </w:tc>
      </w:tr>
      <w:tr w:rsidR="00A755DE" w:rsidRPr="001F4727" w14:paraId="491A2E72" w14:textId="77777777" w:rsidTr="009F0BEC">
        <w:tblPrEx>
          <w:tblCellMar>
            <w:top w:w="30" w:type="dxa"/>
            <w:left w:w="30" w:type="dxa"/>
            <w:bottom w:w="30" w:type="dxa"/>
            <w:right w:w="30" w:type="dxa"/>
          </w:tblCellMar>
        </w:tblPrEx>
        <w:trPr>
          <w:gridAfter w:val="1"/>
          <w:wAfter w:w="4" w:type="pct"/>
        </w:trPr>
        <w:tc>
          <w:tcPr>
            <w:tcW w:w="2098" w:type="pct"/>
            <w:gridSpan w:val="7"/>
            <w:tcBorders>
              <w:top w:val="outset" w:sz="6" w:space="0" w:color="auto"/>
              <w:left w:val="outset" w:sz="6" w:space="0" w:color="auto"/>
              <w:bottom w:val="outset" w:sz="6" w:space="0" w:color="auto"/>
              <w:right w:val="outset" w:sz="6" w:space="0" w:color="auto"/>
            </w:tcBorders>
          </w:tcPr>
          <w:p w14:paraId="6BFC40B5" w14:textId="77777777" w:rsidR="00A755DE" w:rsidRDefault="00A755DE" w:rsidP="003C0EEB">
            <w:pPr>
              <w:spacing w:after="0" w:line="240" w:lineRule="auto"/>
              <w:rPr>
                <w:rFonts w:eastAsia="Times New Roman" w:cs="Times New Roman"/>
                <w:szCs w:val="24"/>
                <w:lang w:eastAsia="lv-LV"/>
              </w:rPr>
            </w:pPr>
            <w:r>
              <w:rPr>
                <w:rFonts w:eastAsia="Times New Roman" w:cs="Times New Roman"/>
                <w:szCs w:val="24"/>
                <w:lang w:eastAsia="lv-LV"/>
              </w:rPr>
              <w:t>Konvencijas 9.pielikuma II.daļas 1.d</w:t>
            </w:r>
            <w:r w:rsidR="006458CA">
              <w:rPr>
                <w:rFonts w:eastAsia="Times New Roman" w:cs="Times New Roman"/>
                <w:szCs w:val="24"/>
                <w:lang w:eastAsia="lv-LV"/>
              </w:rPr>
              <w:t>.</w:t>
            </w:r>
            <w:r>
              <w:rPr>
                <w:rFonts w:eastAsia="Times New Roman" w:cs="Times New Roman"/>
                <w:szCs w:val="24"/>
                <w:lang w:eastAsia="lv-LV"/>
              </w:rPr>
              <w:t xml:space="preserve"> apakšpunkts nosaka, ka p</w:t>
            </w:r>
            <w:r w:rsidRPr="00401D0F">
              <w:rPr>
                <w:rFonts w:eastAsia="Times New Roman" w:cs="Times New Roman"/>
                <w:szCs w:val="24"/>
                <w:lang w:eastAsia="lv-LV"/>
              </w:rPr>
              <w:t xml:space="preserve">ersonām, kuras vēlas saņemt piekļuvi TIR </w:t>
            </w:r>
            <w:r w:rsidR="003523B6" w:rsidRPr="003523B6">
              <w:rPr>
                <w:rFonts w:eastAsia="Times New Roman" w:cs="Times New Roman"/>
                <w:szCs w:val="24"/>
                <w:lang w:eastAsia="lv-LV"/>
              </w:rPr>
              <w:t>procedūrai</w:t>
            </w:r>
            <w:r w:rsidRPr="00401D0F">
              <w:rPr>
                <w:rFonts w:eastAsia="Times New Roman" w:cs="Times New Roman"/>
                <w:szCs w:val="24"/>
                <w:lang w:eastAsia="lv-LV"/>
              </w:rPr>
              <w:t>, jāatbilst šādām min</w:t>
            </w:r>
            <w:r>
              <w:rPr>
                <w:rFonts w:eastAsia="Times New Roman" w:cs="Times New Roman"/>
                <w:szCs w:val="24"/>
                <w:lang w:eastAsia="lv-LV"/>
              </w:rPr>
              <w:t xml:space="preserve">imālajām normām un nosacījumiem un konkrēti - </w:t>
            </w:r>
            <w:r w:rsidRPr="00401D0F">
              <w:rPr>
                <w:rFonts w:eastAsia="Times New Roman" w:cs="Times New Roman"/>
                <w:szCs w:val="24"/>
                <w:lang w:eastAsia="lv-LV"/>
              </w:rPr>
              <w:t>pierādījumi, ka tā nav veikusi muitas vai nodokļu tiesību aktu nopietnus un atkārtotus pārkāpumus</w:t>
            </w:r>
            <w:r>
              <w:rPr>
                <w:rFonts w:eastAsia="Times New Roman" w:cs="Times New Roman"/>
                <w:szCs w:val="24"/>
                <w:lang w:eastAsia="lv-LV"/>
              </w:rPr>
              <w:t>.</w:t>
            </w:r>
          </w:p>
        </w:tc>
        <w:tc>
          <w:tcPr>
            <w:tcW w:w="1508" w:type="pct"/>
            <w:gridSpan w:val="4"/>
            <w:tcBorders>
              <w:top w:val="outset" w:sz="6" w:space="0" w:color="auto"/>
              <w:left w:val="outset" w:sz="6" w:space="0" w:color="auto"/>
              <w:bottom w:val="outset" w:sz="6" w:space="0" w:color="auto"/>
              <w:right w:val="outset" w:sz="6" w:space="0" w:color="auto"/>
            </w:tcBorders>
          </w:tcPr>
          <w:p w14:paraId="474B56D1" w14:textId="77777777" w:rsidR="00A755DE" w:rsidRPr="001F4727" w:rsidRDefault="005D4396" w:rsidP="00802BDD">
            <w:pPr>
              <w:spacing w:after="0" w:line="240" w:lineRule="auto"/>
              <w:rPr>
                <w:rFonts w:eastAsia="Times New Roman" w:cs="Times New Roman"/>
                <w:szCs w:val="24"/>
                <w:lang w:eastAsia="lv-LV"/>
              </w:rPr>
            </w:pPr>
            <w:r>
              <w:rPr>
                <w:rFonts w:eastAsia="Times New Roman" w:cs="Times New Roman"/>
                <w:szCs w:val="24"/>
                <w:lang w:eastAsia="lv-LV"/>
              </w:rPr>
              <w:t>N</w:t>
            </w:r>
            <w:r w:rsidR="005D518C">
              <w:rPr>
                <w:rFonts w:eastAsia="Times New Roman" w:cs="Times New Roman"/>
                <w:szCs w:val="24"/>
                <w:lang w:eastAsia="lv-LV"/>
              </w:rPr>
              <w:t>oteikumu projekt</w:t>
            </w:r>
            <w:r>
              <w:rPr>
                <w:rFonts w:eastAsia="Times New Roman" w:cs="Times New Roman"/>
                <w:szCs w:val="24"/>
                <w:lang w:eastAsia="lv-LV"/>
              </w:rPr>
              <w:t>a</w:t>
            </w:r>
            <w:r w:rsidR="00A755DE">
              <w:rPr>
                <w:rFonts w:eastAsia="Times New Roman" w:cs="Times New Roman"/>
                <w:szCs w:val="24"/>
                <w:lang w:eastAsia="lv-LV"/>
              </w:rPr>
              <w:t xml:space="preserve"> 12.</w:t>
            </w:r>
            <w:r w:rsidR="00802BDD">
              <w:rPr>
                <w:rFonts w:eastAsia="Times New Roman" w:cs="Times New Roman"/>
                <w:szCs w:val="24"/>
                <w:lang w:eastAsia="lv-LV"/>
              </w:rPr>
              <w:t>1</w:t>
            </w:r>
            <w:r w:rsidR="00A755DE">
              <w:rPr>
                <w:rFonts w:eastAsia="Times New Roman" w:cs="Times New Roman"/>
                <w:szCs w:val="24"/>
                <w:lang w:eastAsia="lv-LV"/>
              </w:rPr>
              <w:t>.apakšpunkts</w:t>
            </w:r>
          </w:p>
        </w:tc>
        <w:tc>
          <w:tcPr>
            <w:tcW w:w="1390" w:type="pct"/>
            <w:gridSpan w:val="2"/>
            <w:tcBorders>
              <w:top w:val="outset" w:sz="6" w:space="0" w:color="auto"/>
              <w:left w:val="outset" w:sz="6" w:space="0" w:color="auto"/>
              <w:bottom w:val="outset" w:sz="6" w:space="0" w:color="auto"/>
              <w:right w:val="outset" w:sz="6" w:space="0" w:color="auto"/>
            </w:tcBorders>
          </w:tcPr>
          <w:p w14:paraId="304E5B88" w14:textId="77777777" w:rsidR="00A755DE" w:rsidRPr="001F4727" w:rsidRDefault="00A755DE" w:rsidP="005D518C">
            <w:pPr>
              <w:spacing w:after="0" w:line="240" w:lineRule="auto"/>
              <w:rPr>
                <w:rFonts w:eastAsia="Times New Roman" w:cs="Times New Roman"/>
                <w:szCs w:val="24"/>
                <w:lang w:eastAsia="lv-LV"/>
              </w:rPr>
            </w:pPr>
            <w:r w:rsidRPr="00401D0F">
              <w:rPr>
                <w:rFonts w:eastAsia="Times New Roman" w:cs="Times New Roman"/>
                <w:szCs w:val="24"/>
                <w:lang w:eastAsia="lv-LV"/>
              </w:rPr>
              <w:t>Tiesību norma</w:t>
            </w:r>
            <w:r w:rsidR="005D518C">
              <w:rPr>
                <w:rFonts w:eastAsia="Times New Roman" w:cs="Times New Roman"/>
                <w:szCs w:val="24"/>
                <w:lang w:eastAsia="lv-LV"/>
              </w:rPr>
              <w:t>s prasības</w:t>
            </w:r>
            <w:r w:rsidRPr="00401D0F">
              <w:rPr>
                <w:rFonts w:eastAsia="Times New Roman" w:cs="Times New Roman"/>
                <w:szCs w:val="24"/>
                <w:lang w:eastAsia="lv-LV"/>
              </w:rPr>
              <w:t xml:space="preserve"> izpildīta</w:t>
            </w:r>
            <w:r w:rsidR="005D518C">
              <w:rPr>
                <w:rFonts w:eastAsia="Times New Roman" w:cs="Times New Roman"/>
                <w:szCs w:val="24"/>
                <w:lang w:eastAsia="lv-LV"/>
              </w:rPr>
              <w:t>s</w:t>
            </w:r>
            <w:r w:rsidRPr="00401D0F">
              <w:rPr>
                <w:rFonts w:eastAsia="Times New Roman" w:cs="Times New Roman"/>
                <w:szCs w:val="24"/>
                <w:lang w:eastAsia="lv-LV"/>
              </w:rPr>
              <w:t xml:space="preserve"> pilnībā</w:t>
            </w:r>
          </w:p>
        </w:tc>
      </w:tr>
      <w:tr w:rsidR="006458CA" w:rsidRPr="001F4727" w14:paraId="16F22750" w14:textId="77777777" w:rsidTr="009F0BEC">
        <w:tblPrEx>
          <w:tblCellMar>
            <w:top w:w="30" w:type="dxa"/>
            <w:left w:w="30" w:type="dxa"/>
            <w:bottom w:w="30" w:type="dxa"/>
            <w:right w:w="30" w:type="dxa"/>
          </w:tblCellMar>
        </w:tblPrEx>
        <w:trPr>
          <w:gridAfter w:val="1"/>
          <w:wAfter w:w="4" w:type="pct"/>
        </w:trPr>
        <w:tc>
          <w:tcPr>
            <w:tcW w:w="2098" w:type="pct"/>
            <w:gridSpan w:val="7"/>
            <w:tcBorders>
              <w:top w:val="outset" w:sz="6" w:space="0" w:color="auto"/>
              <w:left w:val="outset" w:sz="6" w:space="0" w:color="auto"/>
              <w:bottom w:val="outset" w:sz="6" w:space="0" w:color="auto"/>
              <w:right w:val="outset" w:sz="6" w:space="0" w:color="auto"/>
            </w:tcBorders>
          </w:tcPr>
          <w:p w14:paraId="0C74B48B" w14:textId="77777777" w:rsidR="006458CA" w:rsidRDefault="006458CA" w:rsidP="006458CA">
            <w:pPr>
              <w:spacing w:after="0" w:line="240" w:lineRule="auto"/>
              <w:rPr>
                <w:rFonts w:eastAsia="Times New Roman" w:cs="Times New Roman"/>
                <w:szCs w:val="24"/>
                <w:lang w:eastAsia="lv-LV"/>
              </w:rPr>
            </w:pPr>
            <w:r>
              <w:rPr>
                <w:rFonts w:eastAsia="Times New Roman" w:cs="Times New Roman"/>
                <w:szCs w:val="24"/>
                <w:lang w:eastAsia="lv-LV"/>
              </w:rPr>
              <w:t>Konvencijas 9.pielikuma II.daļas 1.e apakšpunkts nosaka, ka p</w:t>
            </w:r>
            <w:r w:rsidRPr="00401D0F">
              <w:rPr>
                <w:rFonts w:eastAsia="Times New Roman" w:cs="Times New Roman"/>
                <w:szCs w:val="24"/>
                <w:lang w:eastAsia="lv-LV"/>
              </w:rPr>
              <w:t xml:space="preserve">ersonām, kuras vēlas saņemt piekļuvi TIR </w:t>
            </w:r>
            <w:r w:rsidR="003523B6" w:rsidRPr="003523B6">
              <w:rPr>
                <w:rFonts w:eastAsia="Times New Roman" w:cs="Times New Roman"/>
                <w:szCs w:val="24"/>
                <w:lang w:eastAsia="lv-LV"/>
              </w:rPr>
              <w:t>procedūrai</w:t>
            </w:r>
            <w:r w:rsidRPr="00401D0F">
              <w:rPr>
                <w:rFonts w:eastAsia="Times New Roman" w:cs="Times New Roman"/>
                <w:szCs w:val="24"/>
                <w:lang w:eastAsia="lv-LV"/>
              </w:rPr>
              <w:t>, jāatbilst šādām min</w:t>
            </w:r>
            <w:r>
              <w:rPr>
                <w:rFonts w:eastAsia="Times New Roman" w:cs="Times New Roman"/>
                <w:szCs w:val="24"/>
                <w:lang w:eastAsia="lv-LV"/>
              </w:rPr>
              <w:t xml:space="preserve">imālajām normām un nosacījumiem un konkrēti - </w:t>
            </w:r>
            <w:r w:rsidRPr="006458CA">
              <w:rPr>
                <w:rFonts w:eastAsia="Times New Roman" w:cs="Times New Roman"/>
                <w:szCs w:val="24"/>
                <w:lang w:eastAsia="lv-LV"/>
              </w:rPr>
              <w:t>persona ir rakstiski apliecinājusi apņemšanos pildīt saistību deklarācijas</w:t>
            </w:r>
            <w:r>
              <w:rPr>
                <w:rFonts w:eastAsia="Times New Roman" w:cs="Times New Roman"/>
                <w:szCs w:val="24"/>
                <w:lang w:eastAsia="lv-LV"/>
              </w:rPr>
              <w:t xml:space="preserve"> ar garantijas asociāciju.</w:t>
            </w:r>
          </w:p>
        </w:tc>
        <w:tc>
          <w:tcPr>
            <w:tcW w:w="1508" w:type="pct"/>
            <w:gridSpan w:val="4"/>
            <w:tcBorders>
              <w:top w:val="outset" w:sz="6" w:space="0" w:color="auto"/>
              <w:left w:val="outset" w:sz="6" w:space="0" w:color="auto"/>
              <w:bottom w:val="outset" w:sz="6" w:space="0" w:color="auto"/>
              <w:right w:val="outset" w:sz="6" w:space="0" w:color="auto"/>
            </w:tcBorders>
          </w:tcPr>
          <w:p w14:paraId="743EE5E6" w14:textId="77777777" w:rsidR="006458CA" w:rsidRDefault="005D4396" w:rsidP="006458CA">
            <w:pPr>
              <w:spacing w:after="0" w:line="240" w:lineRule="auto"/>
              <w:rPr>
                <w:rFonts w:eastAsia="Times New Roman" w:cs="Times New Roman"/>
                <w:szCs w:val="24"/>
                <w:lang w:eastAsia="lv-LV"/>
              </w:rPr>
            </w:pPr>
            <w:r>
              <w:rPr>
                <w:rFonts w:eastAsia="Times New Roman" w:cs="Times New Roman"/>
                <w:szCs w:val="24"/>
                <w:lang w:eastAsia="lv-LV"/>
              </w:rPr>
              <w:t>N</w:t>
            </w:r>
            <w:r w:rsidR="005D518C">
              <w:rPr>
                <w:rFonts w:eastAsia="Times New Roman" w:cs="Times New Roman"/>
                <w:szCs w:val="24"/>
                <w:lang w:eastAsia="lv-LV"/>
              </w:rPr>
              <w:t>oteikumu projekta</w:t>
            </w:r>
            <w:r w:rsidR="006458CA" w:rsidRPr="000A772C">
              <w:t xml:space="preserve"> </w:t>
            </w:r>
            <w:r w:rsidR="006458CA">
              <w:t>9.6</w:t>
            </w:r>
            <w:r w:rsidR="006458CA" w:rsidRPr="000A772C">
              <w:t>.apakšpunkts</w:t>
            </w:r>
          </w:p>
        </w:tc>
        <w:tc>
          <w:tcPr>
            <w:tcW w:w="1390" w:type="pct"/>
            <w:gridSpan w:val="2"/>
            <w:tcBorders>
              <w:top w:val="outset" w:sz="6" w:space="0" w:color="auto"/>
              <w:left w:val="outset" w:sz="6" w:space="0" w:color="auto"/>
              <w:bottom w:val="outset" w:sz="6" w:space="0" w:color="auto"/>
              <w:right w:val="outset" w:sz="6" w:space="0" w:color="auto"/>
            </w:tcBorders>
          </w:tcPr>
          <w:p w14:paraId="2C06AB9B" w14:textId="77777777" w:rsidR="006458CA" w:rsidRPr="00401D0F" w:rsidRDefault="005D518C" w:rsidP="003C0EEB">
            <w:pPr>
              <w:spacing w:after="0" w:line="240" w:lineRule="auto"/>
              <w:rPr>
                <w:rFonts w:eastAsia="Times New Roman" w:cs="Times New Roman"/>
                <w:szCs w:val="24"/>
                <w:lang w:eastAsia="lv-LV"/>
              </w:rPr>
            </w:pPr>
            <w:r w:rsidRPr="00401D0F">
              <w:rPr>
                <w:rFonts w:eastAsia="Times New Roman" w:cs="Times New Roman"/>
                <w:szCs w:val="24"/>
                <w:lang w:eastAsia="lv-LV"/>
              </w:rPr>
              <w:t>Tiesību norma</w:t>
            </w:r>
            <w:r>
              <w:rPr>
                <w:rFonts w:eastAsia="Times New Roman" w:cs="Times New Roman"/>
                <w:szCs w:val="24"/>
                <w:lang w:eastAsia="lv-LV"/>
              </w:rPr>
              <w:t>s prasības</w:t>
            </w:r>
            <w:r w:rsidRPr="00401D0F">
              <w:rPr>
                <w:rFonts w:eastAsia="Times New Roman" w:cs="Times New Roman"/>
                <w:szCs w:val="24"/>
                <w:lang w:eastAsia="lv-LV"/>
              </w:rPr>
              <w:t xml:space="preserve"> izpildīta</w:t>
            </w:r>
            <w:r>
              <w:rPr>
                <w:rFonts w:eastAsia="Times New Roman" w:cs="Times New Roman"/>
                <w:szCs w:val="24"/>
                <w:lang w:eastAsia="lv-LV"/>
              </w:rPr>
              <w:t>s</w:t>
            </w:r>
            <w:r w:rsidRPr="00401D0F">
              <w:rPr>
                <w:rFonts w:eastAsia="Times New Roman" w:cs="Times New Roman"/>
                <w:szCs w:val="24"/>
                <w:lang w:eastAsia="lv-LV"/>
              </w:rPr>
              <w:t xml:space="preserve"> pilnībā</w:t>
            </w:r>
            <w:r w:rsidR="005D4396">
              <w:rPr>
                <w:rFonts w:eastAsia="Times New Roman" w:cs="Times New Roman"/>
                <w:szCs w:val="24"/>
                <w:lang w:eastAsia="lv-LV"/>
              </w:rPr>
              <w:t>.</w:t>
            </w:r>
          </w:p>
        </w:tc>
      </w:tr>
      <w:tr w:rsidR="00F02979" w:rsidRPr="001F4727" w14:paraId="3F1F6E6C" w14:textId="77777777" w:rsidTr="009F0BEC">
        <w:tblPrEx>
          <w:tblCellMar>
            <w:top w:w="30" w:type="dxa"/>
            <w:left w:w="30" w:type="dxa"/>
            <w:bottom w:w="30" w:type="dxa"/>
            <w:right w:w="30" w:type="dxa"/>
          </w:tblCellMar>
        </w:tblPrEx>
        <w:trPr>
          <w:gridAfter w:val="1"/>
          <w:wAfter w:w="4" w:type="pct"/>
        </w:trPr>
        <w:tc>
          <w:tcPr>
            <w:tcW w:w="2098" w:type="pct"/>
            <w:gridSpan w:val="7"/>
            <w:tcBorders>
              <w:top w:val="outset" w:sz="6" w:space="0" w:color="auto"/>
              <w:left w:val="outset" w:sz="6" w:space="0" w:color="auto"/>
              <w:bottom w:val="outset" w:sz="6" w:space="0" w:color="auto"/>
              <w:right w:val="outset" w:sz="6" w:space="0" w:color="auto"/>
            </w:tcBorders>
          </w:tcPr>
          <w:p w14:paraId="62DADEE9" w14:textId="77777777" w:rsidR="00F02979" w:rsidRDefault="00F02979" w:rsidP="00F02979">
            <w:pPr>
              <w:spacing w:after="0" w:line="240" w:lineRule="auto"/>
              <w:rPr>
                <w:rFonts w:eastAsia="Times New Roman" w:cs="Times New Roman"/>
                <w:szCs w:val="24"/>
                <w:lang w:eastAsia="lv-LV"/>
              </w:rPr>
            </w:pPr>
            <w:r w:rsidRPr="00F02979">
              <w:rPr>
                <w:rFonts w:eastAsia="Times New Roman" w:cs="Times New Roman"/>
                <w:szCs w:val="24"/>
                <w:lang w:eastAsia="lv-LV"/>
              </w:rPr>
              <w:t>Konvencijas 9.pielikuma II.daļas 2.punktā ir paredzētas TIR konvencijas dalībvalstu kompetento iestāžu un asociāciju tiesības noteikt papildu un daudz stingrākus nosacījumus un prasības TIR procedūras izmantošanai</w:t>
            </w:r>
          </w:p>
        </w:tc>
        <w:tc>
          <w:tcPr>
            <w:tcW w:w="1508" w:type="pct"/>
            <w:gridSpan w:val="4"/>
            <w:tcBorders>
              <w:top w:val="outset" w:sz="6" w:space="0" w:color="auto"/>
              <w:left w:val="outset" w:sz="6" w:space="0" w:color="auto"/>
              <w:bottom w:val="outset" w:sz="6" w:space="0" w:color="auto"/>
              <w:right w:val="outset" w:sz="6" w:space="0" w:color="auto"/>
            </w:tcBorders>
          </w:tcPr>
          <w:p w14:paraId="01A668FD" w14:textId="77777777" w:rsidR="00F02979" w:rsidRPr="000A772C" w:rsidRDefault="005D4396" w:rsidP="005D518C">
            <w:pPr>
              <w:spacing w:after="0" w:line="240" w:lineRule="auto"/>
            </w:pPr>
            <w:r>
              <w:rPr>
                <w:rFonts w:eastAsia="Times New Roman" w:cs="Times New Roman"/>
                <w:szCs w:val="24"/>
                <w:lang w:eastAsia="lv-LV"/>
              </w:rPr>
              <w:t>N</w:t>
            </w:r>
            <w:r w:rsidR="005D518C">
              <w:rPr>
                <w:rFonts w:eastAsia="Times New Roman" w:cs="Times New Roman"/>
                <w:szCs w:val="24"/>
                <w:lang w:eastAsia="lv-LV"/>
              </w:rPr>
              <w:t>oteikumu projekta</w:t>
            </w:r>
            <w:r w:rsidR="00F02979" w:rsidRPr="00CA67A1">
              <w:t xml:space="preserve"> 9.</w:t>
            </w:r>
            <w:r w:rsidR="00F02979">
              <w:t>3</w:t>
            </w:r>
            <w:r w:rsidR="00F02979" w:rsidRPr="00CA67A1">
              <w:t>.</w:t>
            </w:r>
            <w:r w:rsidR="00F02979">
              <w:t>, 12.2.,12.3.</w:t>
            </w:r>
            <w:r w:rsidR="00F02979" w:rsidRPr="00CA67A1">
              <w:t>apakšpunkts</w:t>
            </w:r>
          </w:p>
        </w:tc>
        <w:tc>
          <w:tcPr>
            <w:tcW w:w="1390" w:type="pct"/>
            <w:gridSpan w:val="2"/>
            <w:tcBorders>
              <w:top w:val="outset" w:sz="6" w:space="0" w:color="auto"/>
              <w:left w:val="outset" w:sz="6" w:space="0" w:color="auto"/>
              <w:bottom w:val="outset" w:sz="6" w:space="0" w:color="auto"/>
              <w:right w:val="outset" w:sz="6" w:space="0" w:color="auto"/>
            </w:tcBorders>
          </w:tcPr>
          <w:p w14:paraId="68166B4E" w14:textId="77777777" w:rsidR="00F02979" w:rsidRPr="000A772C" w:rsidRDefault="005D518C" w:rsidP="003C0EEB">
            <w:pPr>
              <w:spacing w:after="0" w:line="240" w:lineRule="auto"/>
            </w:pPr>
            <w:r w:rsidRPr="00401D0F">
              <w:rPr>
                <w:rFonts w:eastAsia="Times New Roman" w:cs="Times New Roman"/>
                <w:szCs w:val="24"/>
                <w:lang w:eastAsia="lv-LV"/>
              </w:rPr>
              <w:t>Tiesību norma</w:t>
            </w:r>
            <w:r>
              <w:rPr>
                <w:rFonts w:eastAsia="Times New Roman" w:cs="Times New Roman"/>
                <w:szCs w:val="24"/>
                <w:lang w:eastAsia="lv-LV"/>
              </w:rPr>
              <w:t>s prasības</w:t>
            </w:r>
            <w:r w:rsidRPr="00401D0F">
              <w:rPr>
                <w:rFonts w:eastAsia="Times New Roman" w:cs="Times New Roman"/>
                <w:szCs w:val="24"/>
                <w:lang w:eastAsia="lv-LV"/>
              </w:rPr>
              <w:t xml:space="preserve"> izpildīta</w:t>
            </w:r>
            <w:r>
              <w:rPr>
                <w:rFonts w:eastAsia="Times New Roman" w:cs="Times New Roman"/>
                <w:szCs w:val="24"/>
                <w:lang w:eastAsia="lv-LV"/>
              </w:rPr>
              <w:t>s</w:t>
            </w:r>
            <w:r w:rsidRPr="00401D0F">
              <w:rPr>
                <w:rFonts w:eastAsia="Times New Roman" w:cs="Times New Roman"/>
                <w:szCs w:val="24"/>
                <w:lang w:eastAsia="lv-LV"/>
              </w:rPr>
              <w:t xml:space="preserve"> pilnībā</w:t>
            </w:r>
          </w:p>
        </w:tc>
      </w:tr>
      <w:tr w:rsidR="00A755DE" w:rsidRPr="001F4727" w14:paraId="09011A4B" w14:textId="77777777" w:rsidTr="009F0BEC">
        <w:tblPrEx>
          <w:tblCellMar>
            <w:top w:w="30" w:type="dxa"/>
            <w:left w:w="30" w:type="dxa"/>
            <w:bottom w:w="30" w:type="dxa"/>
            <w:right w:w="30" w:type="dxa"/>
          </w:tblCellMar>
        </w:tblPrEx>
        <w:trPr>
          <w:gridAfter w:val="1"/>
          <w:wAfter w:w="4" w:type="pct"/>
        </w:trPr>
        <w:tc>
          <w:tcPr>
            <w:tcW w:w="2098" w:type="pct"/>
            <w:gridSpan w:val="7"/>
            <w:tcBorders>
              <w:top w:val="outset" w:sz="6" w:space="0" w:color="auto"/>
              <w:left w:val="outset" w:sz="6" w:space="0" w:color="auto"/>
              <w:bottom w:val="outset" w:sz="6" w:space="0" w:color="auto"/>
              <w:right w:val="outset" w:sz="6" w:space="0" w:color="auto"/>
            </w:tcBorders>
          </w:tcPr>
          <w:p w14:paraId="33DBF76F" w14:textId="77777777" w:rsidR="00A755DE" w:rsidRPr="001F4727" w:rsidRDefault="00A755DE" w:rsidP="005E7FC3">
            <w:pPr>
              <w:spacing w:after="0" w:line="240" w:lineRule="auto"/>
              <w:rPr>
                <w:rFonts w:eastAsia="Times New Roman" w:cs="Times New Roman"/>
                <w:szCs w:val="24"/>
                <w:lang w:eastAsia="lv-LV"/>
              </w:rPr>
            </w:pPr>
            <w:r>
              <w:rPr>
                <w:rFonts w:eastAsia="Times New Roman" w:cs="Times New Roman"/>
                <w:szCs w:val="24"/>
                <w:lang w:eastAsia="lv-LV"/>
              </w:rPr>
              <w:t>Nolīguma</w:t>
            </w:r>
            <w:r w:rsidRPr="001F4727">
              <w:rPr>
                <w:rFonts w:eastAsia="Times New Roman" w:cs="Times New Roman"/>
                <w:szCs w:val="24"/>
                <w:lang w:eastAsia="lv-LV"/>
              </w:rPr>
              <w:t xml:space="preserve"> par dzelzceļa satiksmi</w:t>
            </w:r>
            <w:r>
              <w:rPr>
                <w:rFonts w:eastAsia="Times New Roman" w:cs="Times New Roman"/>
                <w:szCs w:val="24"/>
                <w:lang w:eastAsia="lv-LV"/>
              </w:rPr>
              <w:t xml:space="preserve"> </w:t>
            </w:r>
            <w:r w:rsidR="003523B6">
              <w:rPr>
                <w:rFonts w:eastAsia="Times New Roman" w:cs="Times New Roman"/>
                <w:szCs w:val="24"/>
                <w:lang w:eastAsia="lv-LV"/>
              </w:rPr>
              <w:t>1</w:t>
            </w:r>
            <w:r>
              <w:rPr>
                <w:rFonts w:eastAsia="Times New Roman" w:cs="Times New Roman"/>
                <w:szCs w:val="24"/>
                <w:lang w:eastAsia="lv-LV"/>
              </w:rPr>
              <w:t>.</w:t>
            </w:r>
            <w:r w:rsidR="003523B6">
              <w:rPr>
                <w:rFonts w:eastAsia="Times New Roman" w:cs="Times New Roman"/>
                <w:szCs w:val="24"/>
                <w:lang w:eastAsia="lv-LV"/>
              </w:rPr>
              <w:t>pielikuma 1.</w:t>
            </w:r>
            <w:r w:rsidR="005E7FC3">
              <w:rPr>
                <w:rFonts w:eastAsia="Times New Roman" w:cs="Times New Roman"/>
                <w:szCs w:val="24"/>
                <w:lang w:eastAsia="lv-LV"/>
              </w:rPr>
              <w:t>pielikums</w:t>
            </w:r>
          </w:p>
        </w:tc>
        <w:tc>
          <w:tcPr>
            <w:tcW w:w="1508" w:type="pct"/>
            <w:gridSpan w:val="4"/>
            <w:tcBorders>
              <w:top w:val="outset" w:sz="6" w:space="0" w:color="auto"/>
              <w:left w:val="outset" w:sz="6" w:space="0" w:color="auto"/>
              <w:bottom w:val="outset" w:sz="6" w:space="0" w:color="auto"/>
              <w:right w:val="outset" w:sz="6" w:space="0" w:color="auto"/>
            </w:tcBorders>
          </w:tcPr>
          <w:p w14:paraId="18B01AC5" w14:textId="77777777" w:rsidR="00A755DE" w:rsidRPr="001F4727" w:rsidRDefault="005D4396" w:rsidP="00002528">
            <w:pPr>
              <w:spacing w:after="0" w:line="240" w:lineRule="auto"/>
              <w:rPr>
                <w:rFonts w:eastAsia="Times New Roman" w:cs="Times New Roman"/>
                <w:szCs w:val="24"/>
                <w:lang w:eastAsia="lv-LV"/>
              </w:rPr>
            </w:pPr>
            <w:r>
              <w:rPr>
                <w:rFonts w:eastAsia="Times New Roman" w:cs="Times New Roman"/>
                <w:szCs w:val="24"/>
                <w:lang w:eastAsia="lv-LV"/>
              </w:rPr>
              <w:t>N</w:t>
            </w:r>
            <w:r w:rsidR="005D518C">
              <w:rPr>
                <w:rFonts w:eastAsia="Times New Roman" w:cs="Times New Roman"/>
                <w:szCs w:val="24"/>
                <w:lang w:eastAsia="lv-LV"/>
              </w:rPr>
              <w:t>oteikumu projekta</w:t>
            </w:r>
            <w:r w:rsidR="00A755DE">
              <w:rPr>
                <w:rFonts w:eastAsia="Times New Roman" w:cs="Times New Roman"/>
                <w:szCs w:val="24"/>
                <w:lang w:eastAsia="lv-LV"/>
              </w:rPr>
              <w:t xml:space="preserve"> </w:t>
            </w:r>
            <w:r w:rsidR="00002528">
              <w:rPr>
                <w:rFonts w:eastAsia="Times New Roman" w:cs="Times New Roman"/>
                <w:szCs w:val="24"/>
                <w:lang w:eastAsia="lv-LV"/>
              </w:rPr>
              <w:t>5</w:t>
            </w:r>
            <w:r w:rsidR="00331C57">
              <w:rPr>
                <w:rFonts w:eastAsia="Times New Roman" w:cs="Times New Roman"/>
                <w:szCs w:val="24"/>
                <w:lang w:eastAsia="lv-LV"/>
              </w:rPr>
              <w:t>7</w:t>
            </w:r>
            <w:r w:rsidR="00A755DE">
              <w:rPr>
                <w:rFonts w:eastAsia="Times New Roman" w:cs="Times New Roman"/>
                <w:szCs w:val="24"/>
                <w:lang w:eastAsia="lv-LV"/>
              </w:rPr>
              <w:t>.punkts</w:t>
            </w:r>
          </w:p>
        </w:tc>
        <w:tc>
          <w:tcPr>
            <w:tcW w:w="1390" w:type="pct"/>
            <w:gridSpan w:val="2"/>
            <w:tcBorders>
              <w:top w:val="outset" w:sz="6" w:space="0" w:color="auto"/>
              <w:left w:val="outset" w:sz="6" w:space="0" w:color="auto"/>
              <w:bottom w:val="outset" w:sz="6" w:space="0" w:color="auto"/>
              <w:right w:val="outset" w:sz="6" w:space="0" w:color="auto"/>
            </w:tcBorders>
          </w:tcPr>
          <w:p w14:paraId="36FFA8F2" w14:textId="77777777" w:rsidR="00A755DE" w:rsidRPr="001F4727" w:rsidRDefault="00A755DE" w:rsidP="003C0EEB">
            <w:pPr>
              <w:spacing w:after="0" w:line="240" w:lineRule="auto"/>
              <w:jc w:val="both"/>
              <w:rPr>
                <w:rFonts w:eastAsia="Times New Roman" w:cs="Times New Roman"/>
                <w:szCs w:val="24"/>
                <w:lang w:eastAsia="lv-LV"/>
              </w:rPr>
            </w:pPr>
            <w:r w:rsidRPr="00401D0F">
              <w:rPr>
                <w:rFonts w:eastAsia="Times New Roman" w:cs="Times New Roman"/>
                <w:szCs w:val="24"/>
                <w:lang w:eastAsia="lv-LV"/>
              </w:rPr>
              <w:t xml:space="preserve">Tiesību norma </w:t>
            </w:r>
            <w:r w:rsidR="005D518C">
              <w:rPr>
                <w:rFonts w:eastAsia="Times New Roman" w:cs="Times New Roman"/>
                <w:szCs w:val="24"/>
                <w:lang w:eastAsia="lv-LV"/>
              </w:rPr>
              <w:t>nav</w:t>
            </w:r>
            <w:r w:rsidR="005D518C" w:rsidRPr="00401D0F">
              <w:rPr>
                <w:rFonts w:eastAsia="Times New Roman" w:cs="Times New Roman"/>
                <w:szCs w:val="24"/>
                <w:lang w:eastAsia="lv-LV"/>
              </w:rPr>
              <w:t xml:space="preserve"> </w:t>
            </w:r>
            <w:r w:rsidRPr="00401D0F">
              <w:rPr>
                <w:rFonts w:eastAsia="Times New Roman" w:cs="Times New Roman"/>
                <w:szCs w:val="24"/>
                <w:lang w:eastAsia="lv-LV"/>
              </w:rPr>
              <w:t xml:space="preserve">ieviesta ar šo noteikumu projektu, jo tā jau ir ieviesta ar Ministru Padomes </w:t>
            </w:r>
            <w:r w:rsidRPr="00401D0F">
              <w:rPr>
                <w:rFonts w:eastAsia="Times New Roman" w:cs="Times New Roman"/>
                <w:szCs w:val="24"/>
                <w:lang w:eastAsia="lv-LV"/>
              </w:rPr>
              <w:lastRenderedPageBreak/>
              <w:t xml:space="preserve">1993.gada 19.janvāra lēmumu Nr. 30 </w:t>
            </w:r>
            <w:r>
              <w:rPr>
                <w:rFonts w:eastAsia="Times New Roman" w:cs="Times New Roman"/>
                <w:szCs w:val="24"/>
                <w:lang w:eastAsia="lv-LV"/>
              </w:rPr>
              <w:t>“</w:t>
            </w:r>
            <w:r w:rsidRPr="00401D0F">
              <w:rPr>
                <w:rFonts w:eastAsia="Times New Roman" w:cs="Times New Roman"/>
                <w:szCs w:val="24"/>
                <w:lang w:eastAsia="lv-LV"/>
              </w:rPr>
              <w:t xml:space="preserve">Par pievienošanos starptautisko dzelzceļa satiksmi reglamentējošajiem dokumentiem”. </w:t>
            </w:r>
            <w:r w:rsidR="005D518C">
              <w:rPr>
                <w:rFonts w:eastAsia="Times New Roman" w:cs="Times New Roman"/>
                <w:szCs w:val="24"/>
                <w:lang w:eastAsia="lv-LV"/>
              </w:rPr>
              <w:t>Ministru kabineta n</w:t>
            </w:r>
            <w:r w:rsidRPr="00401D0F">
              <w:rPr>
                <w:rFonts w:eastAsia="Times New Roman" w:cs="Times New Roman"/>
                <w:szCs w:val="24"/>
                <w:lang w:eastAsia="lv-LV"/>
              </w:rPr>
              <w:t>oteikumu projektā ir atsauce par situāciju, kad izmanto 1951.gada 1.novem</w:t>
            </w:r>
            <w:r>
              <w:rPr>
                <w:rFonts w:eastAsia="Times New Roman" w:cs="Times New Roman"/>
                <w:szCs w:val="24"/>
                <w:lang w:eastAsia="lv-LV"/>
              </w:rPr>
              <w:t>bra Nolīgum</w:t>
            </w:r>
            <w:r w:rsidR="003C0EEB">
              <w:rPr>
                <w:rFonts w:eastAsia="Times New Roman" w:cs="Times New Roman"/>
                <w:szCs w:val="24"/>
                <w:lang w:eastAsia="lv-LV"/>
              </w:rPr>
              <w:t>a</w:t>
            </w:r>
            <w:r>
              <w:rPr>
                <w:rFonts w:eastAsia="Times New Roman" w:cs="Times New Roman"/>
                <w:szCs w:val="24"/>
                <w:lang w:eastAsia="lv-LV"/>
              </w:rPr>
              <w:t xml:space="preserve"> par starptautisko </w:t>
            </w:r>
            <w:r w:rsidRPr="00401D0F">
              <w:rPr>
                <w:rFonts w:eastAsia="Times New Roman" w:cs="Times New Roman"/>
                <w:szCs w:val="24"/>
                <w:lang w:eastAsia="lv-LV"/>
              </w:rPr>
              <w:t>dzelzceļa kravu satiksmi</w:t>
            </w:r>
            <w:r w:rsidR="005E7FC3">
              <w:rPr>
                <w:rFonts w:eastAsia="Times New Roman" w:cs="Times New Roman"/>
                <w:szCs w:val="24"/>
                <w:lang w:eastAsia="lv-LV"/>
              </w:rPr>
              <w:t xml:space="preserve"> 1.pielikuma</w:t>
            </w:r>
            <w:r w:rsidRPr="00401D0F">
              <w:rPr>
                <w:rFonts w:eastAsia="Times New Roman" w:cs="Times New Roman"/>
                <w:szCs w:val="24"/>
                <w:lang w:eastAsia="lv-LV"/>
              </w:rPr>
              <w:t xml:space="preserve"> 1. pielikumā </w:t>
            </w:r>
            <w:r w:rsidR="003C0EEB" w:rsidRPr="00401D0F">
              <w:rPr>
                <w:rFonts w:eastAsia="Times New Roman" w:cs="Times New Roman"/>
                <w:szCs w:val="24"/>
                <w:lang w:eastAsia="lv-LV"/>
              </w:rPr>
              <w:t>noteikt</w:t>
            </w:r>
            <w:r w:rsidR="003C0EEB">
              <w:rPr>
                <w:rFonts w:eastAsia="Times New Roman" w:cs="Times New Roman"/>
                <w:szCs w:val="24"/>
                <w:lang w:eastAsia="lv-LV"/>
              </w:rPr>
              <w:t>o</w:t>
            </w:r>
            <w:r w:rsidR="003C0EEB" w:rsidRPr="00401D0F">
              <w:rPr>
                <w:rFonts w:eastAsia="Times New Roman" w:cs="Times New Roman"/>
                <w:szCs w:val="24"/>
                <w:lang w:eastAsia="lv-LV"/>
              </w:rPr>
              <w:t xml:space="preserve"> </w:t>
            </w:r>
            <w:r w:rsidRPr="00401D0F">
              <w:rPr>
                <w:rFonts w:eastAsia="Times New Roman" w:cs="Times New Roman"/>
                <w:szCs w:val="24"/>
                <w:lang w:eastAsia="lv-LV"/>
              </w:rPr>
              <w:t>pavadzīm</w:t>
            </w:r>
            <w:r w:rsidR="003C0EEB">
              <w:rPr>
                <w:rFonts w:eastAsia="Times New Roman" w:cs="Times New Roman"/>
                <w:szCs w:val="24"/>
                <w:lang w:eastAsia="lv-LV"/>
              </w:rPr>
              <w:t>es paraugu</w:t>
            </w:r>
            <w:r w:rsidRPr="00401D0F">
              <w:rPr>
                <w:rFonts w:eastAsia="Times New Roman" w:cs="Times New Roman"/>
                <w:szCs w:val="24"/>
                <w:lang w:eastAsia="lv-LV"/>
              </w:rPr>
              <w:t>.</w:t>
            </w:r>
          </w:p>
        </w:tc>
      </w:tr>
      <w:tr w:rsidR="00A755DE" w:rsidRPr="005D4AE6" w14:paraId="1A28D159" w14:textId="77777777" w:rsidTr="009F0BEC">
        <w:tblPrEx>
          <w:tblCellMar>
            <w:top w:w="30" w:type="dxa"/>
            <w:left w:w="30" w:type="dxa"/>
            <w:bottom w:w="30" w:type="dxa"/>
            <w:right w:w="30" w:type="dxa"/>
          </w:tblCellMar>
        </w:tblPrEx>
        <w:trPr>
          <w:gridAfter w:val="1"/>
          <w:wAfter w:w="4" w:type="pct"/>
        </w:trPr>
        <w:tc>
          <w:tcPr>
            <w:tcW w:w="2098" w:type="pct"/>
            <w:gridSpan w:val="7"/>
            <w:tcBorders>
              <w:top w:val="outset" w:sz="6" w:space="0" w:color="auto"/>
              <w:left w:val="outset" w:sz="6" w:space="0" w:color="auto"/>
              <w:bottom w:val="outset" w:sz="6" w:space="0" w:color="auto"/>
              <w:right w:val="outset" w:sz="6" w:space="0" w:color="auto"/>
            </w:tcBorders>
            <w:hideMark/>
          </w:tcPr>
          <w:p w14:paraId="0A5A6293" w14:textId="77777777" w:rsidR="00A755DE" w:rsidRPr="005D4AE6" w:rsidRDefault="00A755DE" w:rsidP="003C0EEB">
            <w:pPr>
              <w:spacing w:after="0" w:line="240" w:lineRule="auto"/>
              <w:rPr>
                <w:rFonts w:eastAsia="Times New Roman" w:cs="Times New Roman"/>
                <w:szCs w:val="24"/>
                <w:lang w:eastAsia="lv-LV"/>
              </w:rPr>
            </w:pPr>
            <w:r w:rsidRPr="005D4AE6">
              <w:rPr>
                <w:rFonts w:eastAsia="Times New Roman" w:cs="Times New Roman"/>
                <w:szCs w:val="24"/>
                <w:lang w:eastAsia="lv-LV"/>
              </w:rPr>
              <w:lastRenderedPageBreak/>
              <w:t>Vai starptautiskajā dokumentā paredzētās saistības nav pretrunā ar jau esošajām Latvijas Republikas starptautiskajām saistībām</w:t>
            </w:r>
          </w:p>
        </w:tc>
        <w:tc>
          <w:tcPr>
            <w:tcW w:w="2897" w:type="pct"/>
            <w:gridSpan w:val="6"/>
            <w:tcBorders>
              <w:top w:val="outset" w:sz="6" w:space="0" w:color="auto"/>
              <w:left w:val="outset" w:sz="6" w:space="0" w:color="auto"/>
              <w:bottom w:val="outset" w:sz="6" w:space="0" w:color="auto"/>
              <w:right w:val="outset" w:sz="6" w:space="0" w:color="auto"/>
            </w:tcBorders>
            <w:hideMark/>
          </w:tcPr>
          <w:p w14:paraId="48846523" w14:textId="77777777" w:rsidR="00A755DE" w:rsidRPr="005D4AE6" w:rsidRDefault="00A755DE" w:rsidP="003C0EEB">
            <w:pPr>
              <w:spacing w:after="0" w:line="240" w:lineRule="auto"/>
              <w:rPr>
                <w:rFonts w:eastAsia="Times New Roman" w:cs="Times New Roman"/>
                <w:szCs w:val="24"/>
                <w:lang w:eastAsia="lv-LV"/>
              </w:rPr>
            </w:pPr>
            <w:r>
              <w:rPr>
                <w:rFonts w:eastAsia="Times New Roman" w:cs="Times New Roman"/>
                <w:szCs w:val="24"/>
                <w:lang w:eastAsia="lv-LV"/>
              </w:rPr>
              <w:t>Nav.</w:t>
            </w:r>
          </w:p>
        </w:tc>
      </w:tr>
      <w:tr w:rsidR="00A755DE" w:rsidRPr="005D4AE6" w14:paraId="557AB076" w14:textId="77777777" w:rsidTr="009F0BEC">
        <w:tblPrEx>
          <w:tblCellMar>
            <w:top w:w="30" w:type="dxa"/>
            <w:left w:w="30" w:type="dxa"/>
            <w:bottom w:w="30" w:type="dxa"/>
            <w:right w:w="30" w:type="dxa"/>
          </w:tblCellMar>
        </w:tblPrEx>
        <w:trPr>
          <w:gridAfter w:val="1"/>
          <w:wAfter w:w="4" w:type="pct"/>
          <w:trHeight w:val="1104"/>
        </w:trPr>
        <w:tc>
          <w:tcPr>
            <w:tcW w:w="2098" w:type="pct"/>
            <w:gridSpan w:val="7"/>
            <w:tcBorders>
              <w:top w:val="outset" w:sz="6" w:space="0" w:color="auto"/>
              <w:left w:val="outset" w:sz="6" w:space="0" w:color="auto"/>
              <w:bottom w:val="outset" w:sz="6" w:space="0" w:color="auto"/>
              <w:right w:val="outset" w:sz="6" w:space="0" w:color="auto"/>
            </w:tcBorders>
            <w:hideMark/>
          </w:tcPr>
          <w:p w14:paraId="2AF410CF" w14:textId="77777777" w:rsidR="00A755DE" w:rsidRPr="005D4AE6" w:rsidRDefault="00A755DE" w:rsidP="003C0EEB">
            <w:pPr>
              <w:spacing w:after="0" w:line="240" w:lineRule="auto"/>
              <w:rPr>
                <w:rFonts w:eastAsia="Times New Roman" w:cs="Times New Roman"/>
                <w:szCs w:val="24"/>
                <w:lang w:eastAsia="lv-LV"/>
              </w:rPr>
            </w:pPr>
            <w:r w:rsidRPr="005D4AE6">
              <w:rPr>
                <w:rFonts w:eastAsia="Times New Roman" w:cs="Times New Roman"/>
                <w:szCs w:val="24"/>
                <w:lang w:eastAsia="lv-LV"/>
              </w:rPr>
              <w:t>Cita informācija</w:t>
            </w:r>
          </w:p>
        </w:tc>
        <w:tc>
          <w:tcPr>
            <w:tcW w:w="2897" w:type="pct"/>
            <w:gridSpan w:val="6"/>
            <w:tcBorders>
              <w:top w:val="outset" w:sz="6" w:space="0" w:color="auto"/>
              <w:left w:val="outset" w:sz="6" w:space="0" w:color="auto"/>
              <w:bottom w:val="outset" w:sz="6" w:space="0" w:color="auto"/>
              <w:right w:val="outset" w:sz="6" w:space="0" w:color="auto"/>
            </w:tcBorders>
            <w:hideMark/>
          </w:tcPr>
          <w:p w14:paraId="7035A7FE" w14:textId="053E28D8" w:rsidR="00A755DE" w:rsidRPr="005D4AE6" w:rsidRDefault="00A755DE" w:rsidP="00A52A2C">
            <w:pPr>
              <w:spacing w:before="100" w:beforeAutospacing="1" w:after="100" w:afterAutospacing="1" w:line="240" w:lineRule="auto"/>
              <w:jc w:val="both"/>
              <w:rPr>
                <w:rFonts w:eastAsia="Times New Roman" w:cs="Times New Roman"/>
                <w:szCs w:val="24"/>
                <w:lang w:eastAsia="lv-LV"/>
              </w:rPr>
            </w:pPr>
            <w:r>
              <w:rPr>
                <w:rFonts w:eastAsia="Times New Roman" w:cs="Times New Roman"/>
                <w:szCs w:val="24"/>
                <w:lang w:eastAsia="lv-LV"/>
              </w:rPr>
              <w:t xml:space="preserve">Saskaņā ar </w:t>
            </w:r>
            <w:r w:rsidRPr="000D29A0">
              <w:rPr>
                <w:rFonts w:eastAsia="Times New Roman" w:cs="Times New Roman"/>
                <w:szCs w:val="24"/>
                <w:lang w:eastAsia="lv-LV"/>
              </w:rPr>
              <w:t>TIR konvencija</w:t>
            </w:r>
            <w:r>
              <w:rPr>
                <w:rFonts w:eastAsia="Times New Roman" w:cs="Times New Roman"/>
                <w:szCs w:val="24"/>
                <w:lang w:eastAsia="lv-LV"/>
              </w:rPr>
              <w:t>s</w:t>
            </w:r>
            <w:r w:rsidRPr="000D29A0">
              <w:rPr>
                <w:rFonts w:eastAsia="Times New Roman" w:cs="Times New Roman"/>
                <w:szCs w:val="24"/>
                <w:lang w:eastAsia="lv-LV"/>
              </w:rPr>
              <w:t xml:space="preserve"> 49.pant</w:t>
            </w:r>
            <w:r>
              <w:rPr>
                <w:rFonts w:eastAsia="Times New Roman" w:cs="Times New Roman"/>
                <w:szCs w:val="24"/>
                <w:lang w:eastAsia="lv-LV"/>
              </w:rPr>
              <w:t xml:space="preserve">u, kas paredz, ka </w:t>
            </w:r>
            <w:r w:rsidRPr="000D29A0">
              <w:rPr>
                <w:rFonts w:eastAsia="Times New Roman" w:cs="Times New Roman"/>
                <w:szCs w:val="24"/>
                <w:lang w:eastAsia="lv-LV"/>
              </w:rPr>
              <w:t>TIR konvencijas Līgumslēdzējas puses (pamatojoties uz vienpusējiem noteikumiem, divpusējiem vai daudzpusējiem nolīgumiem) ir tiesīgas piešķirt lielākus atvieglojumus nekā ir paredzēti TIR konvencijā, pie nosacījuma, ka šādi atvieglojumi neierobežo TIR konvencijas noteikumu piemērošanu, jo īpaši TIR procedūras veikšanu) un atbilstoši TIR konvencijas 19.panta noteikumiem (muitas dienests var pilnvarot personas muitas nodrošinājumu uzlikšanai transportlīdzeklim, p</w:t>
            </w:r>
            <w:r>
              <w:rPr>
                <w:rFonts w:eastAsia="Times New Roman" w:cs="Times New Roman"/>
                <w:szCs w:val="24"/>
                <w:lang w:eastAsia="lv-LV"/>
              </w:rPr>
              <w:t>iemērojot precēm TIR procedūru)</w:t>
            </w:r>
            <w:r w:rsidR="00C9468E">
              <w:rPr>
                <w:rFonts w:eastAsia="Times New Roman" w:cs="Times New Roman"/>
                <w:szCs w:val="24"/>
                <w:lang w:eastAsia="lv-LV"/>
              </w:rPr>
              <w:t xml:space="preserve">, </w:t>
            </w:r>
            <w:r w:rsidR="00A30EB2">
              <w:rPr>
                <w:rFonts w:eastAsia="Times New Roman" w:cs="Times New Roman"/>
                <w:szCs w:val="24"/>
                <w:lang w:eastAsia="lv-LV"/>
              </w:rPr>
              <w:t>likuma</w:t>
            </w:r>
            <w:r>
              <w:rPr>
                <w:rFonts w:eastAsia="Times New Roman" w:cs="Times New Roman"/>
                <w:szCs w:val="24"/>
                <w:lang w:eastAsia="lv-LV"/>
              </w:rPr>
              <w:t xml:space="preserve"> </w:t>
            </w:r>
            <w:r w:rsidR="00C9468E" w:rsidRPr="00C9468E">
              <w:rPr>
                <w:rFonts w:eastAsia="Times New Roman" w:cs="Times New Roman"/>
                <w:szCs w:val="24"/>
                <w:lang w:eastAsia="lv-LV"/>
              </w:rPr>
              <w:t>23.pant</w:t>
            </w:r>
            <w:r w:rsidR="005E7FC3">
              <w:rPr>
                <w:rFonts w:eastAsia="Times New Roman" w:cs="Times New Roman"/>
                <w:szCs w:val="24"/>
                <w:lang w:eastAsia="lv-LV"/>
              </w:rPr>
              <w:t xml:space="preserve">ā </w:t>
            </w:r>
            <w:r w:rsidRPr="000D29A0">
              <w:rPr>
                <w:rFonts w:eastAsia="Times New Roman" w:cs="Times New Roman"/>
                <w:szCs w:val="24"/>
                <w:lang w:eastAsia="lv-LV"/>
              </w:rPr>
              <w:t xml:space="preserve">ir iekļauts </w:t>
            </w:r>
            <w:r w:rsidR="00C9468E">
              <w:rPr>
                <w:rFonts w:eastAsia="Times New Roman" w:cs="Times New Roman"/>
                <w:szCs w:val="24"/>
                <w:lang w:eastAsia="lv-LV"/>
              </w:rPr>
              <w:t xml:space="preserve">normatīvais regulējums </w:t>
            </w:r>
            <w:r>
              <w:rPr>
                <w:rFonts w:eastAsia="Times New Roman" w:cs="Times New Roman"/>
                <w:szCs w:val="24"/>
                <w:lang w:eastAsia="lv-LV"/>
              </w:rPr>
              <w:t xml:space="preserve">TIR procedūras </w:t>
            </w:r>
            <w:r w:rsidR="00C9468E">
              <w:rPr>
                <w:rFonts w:eastAsia="Times New Roman" w:cs="Times New Roman"/>
                <w:szCs w:val="24"/>
                <w:lang w:eastAsia="lv-LV"/>
              </w:rPr>
              <w:t xml:space="preserve">vienkāršojuma </w:t>
            </w:r>
            <w:r>
              <w:rPr>
                <w:rFonts w:eastAsia="Times New Roman" w:cs="Times New Roman"/>
                <w:szCs w:val="24"/>
                <w:lang w:eastAsia="lv-LV"/>
              </w:rPr>
              <w:t>-</w:t>
            </w:r>
            <w:r w:rsidRPr="000D29A0">
              <w:rPr>
                <w:rFonts w:eastAsia="Times New Roman" w:cs="Times New Roman"/>
                <w:szCs w:val="24"/>
                <w:lang w:eastAsia="lv-LV"/>
              </w:rPr>
              <w:t xml:space="preserve"> </w:t>
            </w:r>
            <w:r w:rsidRPr="00BE719F">
              <w:rPr>
                <w:rFonts w:eastAsia="Times New Roman" w:cs="Times New Roman"/>
                <w:szCs w:val="24"/>
                <w:lang w:eastAsia="lv-LV"/>
              </w:rPr>
              <w:t>pilnvarot</w:t>
            </w:r>
            <w:r w:rsidR="00C9468E">
              <w:rPr>
                <w:rFonts w:eastAsia="Times New Roman" w:cs="Times New Roman"/>
                <w:szCs w:val="24"/>
                <w:lang w:eastAsia="lv-LV"/>
              </w:rPr>
              <w:t>ais</w:t>
            </w:r>
            <w:r>
              <w:rPr>
                <w:rFonts w:eastAsia="Times New Roman" w:cs="Times New Roman"/>
                <w:szCs w:val="24"/>
                <w:lang w:eastAsia="lv-LV"/>
              </w:rPr>
              <w:t xml:space="preserve"> </w:t>
            </w:r>
            <w:r w:rsidRPr="000D29A0">
              <w:rPr>
                <w:rFonts w:eastAsia="Times New Roman" w:cs="Times New Roman"/>
                <w:szCs w:val="24"/>
                <w:lang w:eastAsia="lv-LV"/>
              </w:rPr>
              <w:t>TIR nosūtītāj</w:t>
            </w:r>
            <w:r w:rsidR="00C9468E">
              <w:rPr>
                <w:rFonts w:eastAsia="Times New Roman" w:cs="Times New Roman"/>
                <w:szCs w:val="24"/>
                <w:lang w:eastAsia="lv-LV"/>
              </w:rPr>
              <w:t>s – piemērošanai.</w:t>
            </w:r>
          </w:p>
        </w:tc>
      </w:tr>
      <w:tr w:rsidR="00F0021C" w:rsidRPr="001C51BF" w14:paraId="3CC6272D" w14:textId="77777777" w:rsidTr="009F0BEC">
        <w:tblPrEx>
          <w:tblCellMar>
            <w:top w:w="30" w:type="dxa"/>
            <w:left w:w="30" w:type="dxa"/>
            <w:bottom w:w="30" w:type="dxa"/>
            <w:right w:w="30" w:type="dxa"/>
          </w:tblCellMar>
        </w:tblPrEx>
        <w:trPr>
          <w:trHeight w:val="278"/>
        </w:trPr>
        <w:tc>
          <w:tcPr>
            <w:tcW w:w="5000" w:type="pct"/>
            <w:gridSpan w:val="14"/>
            <w:tcBorders>
              <w:top w:val="nil"/>
              <w:left w:val="nil"/>
              <w:bottom w:val="single" w:sz="4" w:space="0" w:color="auto"/>
              <w:right w:val="nil"/>
            </w:tcBorders>
          </w:tcPr>
          <w:p w14:paraId="7F3203BB" w14:textId="77777777" w:rsidR="00F0021C" w:rsidRPr="001C51BF" w:rsidRDefault="00F0021C" w:rsidP="003E1AB9">
            <w:pPr>
              <w:spacing w:after="0"/>
              <w:jc w:val="both"/>
              <w:rPr>
                <w:rFonts w:eastAsia="Times New Roman" w:cs="Times New Roman"/>
                <w:szCs w:val="24"/>
                <w:lang w:eastAsia="lv-LV"/>
              </w:rPr>
            </w:pPr>
          </w:p>
        </w:tc>
      </w:tr>
      <w:tr w:rsidR="00ED2523" w:rsidRPr="001C51BF" w14:paraId="75DF9192" w14:textId="77777777" w:rsidTr="009F0BEC">
        <w:tblPrEx>
          <w:tblCellMar>
            <w:top w:w="30" w:type="dxa"/>
            <w:left w:w="30" w:type="dxa"/>
            <w:bottom w:w="30" w:type="dxa"/>
            <w:right w:w="30" w:type="dxa"/>
          </w:tblCellMar>
        </w:tblPrEx>
        <w:trPr>
          <w:trHeight w:val="420"/>
        </w:trPr>
        <w:tc>
          <w:tcPr>
            <w:tcW w:w="5000" w:type="pct"/>
            <w:gridSpan w:val="14"/>
            <w:tcBorders>
              <w:top w:val="single" w:sz="4" w:space="0" w:color="auto"/>
              <w:left w:val="outset" w:sz="6" w:space="0" w:color="auto"/>
              <w:bottom w:val="outset" w:sz="6" w:space="0" w:color="auto"/>
              <w:right w:val="outset" w:sz="6" w:space="0" w:color="auto"/>
            </w:tcBorders>
          </w:tcPr>
          <w:p w14:paraId="18D9C822" w14:textId="77777777" w:rsidR="00ED2523" w:rsidRPr="001C51BF" w:rsidRDefault="00ED2523" w:rsidP="00F0021C">
            <w:pPr>
              <w:spacing w:after="120"/>
              <w:jc w:val="both"/>
              <w:rPr>
                <w:rFonts w:eastAsia="Times New Roman" w:cs="Times New Roman"/>
                <w:b/>
                <w:bCs/>
                <w:szCs w:val="24"/>
                <w:lang w:eastAsia="lv-LV"/>
              </w:rPr>
            </w:pPr>
            <w:r w:rsidRPr="001C51BF">
              <w:rPr>
                <w:rFonts w:eastAsia="Times New Roman" w:cs="Times New Roman"/>
                <w:b/>
                <w:bCs/>
                <w:szCs w:val="24"/>
                <w:lang w:eastAsia="lv-LV"/>
              </w:rPr>
              <w:t>VI. Sabiedrības līdzdalība un komunikācijas aktivitātes</w:t>
            </w:r>
          </w:p>
        </w:tc>
      </w:tr>
      <w:tr w:rsidR="00F0021C" w:rsidRPr="001C51BF" w14:paraId="3D90924F" w14:textId="77777777" w:rsidTr="009F0BEC">
        <w:tblPrEx>
          <w:tblCellMar>
            <w:top w:w="30" w:type="dxa"/>
            <w:left w:w="30" w:type="dxa"/>
            <w:bottom w:w="30" w:type="dxa"/>
            <w:right w:w="30" w:type="dxa"/>
          </w:tblCellMar>
        </w:tblPrEx>
        <w:trPr>
          <w:trHeight w:val="540"/>
        </w:trPr>
        <w:tc>
          <w:tcPr>
            <w:tcW w:w="289" w:type="pct"/>
            <w:gridSpan w:val="4"/>
            <w:tcBorders>
              <w:top w:val="outset" w:sz="6" w:space="0" w:color="auto"/>
              <w:left w:val="outset" w:sz="6" w:space="0" w:color="auto"/>
              <w:bottom w:val="outset" w:sz="6" w:space="0" w:color="auto"/>
              <w:right w:val="outset" w:sz="6" w:space="0" w:color="auto"/>
            </w:tcBorders>
          </w:tcPr>
          <w:p w14:paraId="1CE08A59" w14:textId="77777777" w:rsidR="00F0021C" w:rsidRPr="001C51BF" w:rsidRDefault="00F0021C" w:rsidP="001C51BF">
            <w:pPr>
              <w:spacing w:after="0" w:line="240" w:lineRule="auto"/>
              <w:rPr>
                <w:rFonts w:eastAsia="Times New Roman" w:cs="Times New Roman"/>
                <w:szCs w:val="24"/>
                <w:lang w:eastAsia="lv-LV"/>
              </w:rPr>
            </w:pPr>
            <w:r>
              <w:rPr>
                <w:rFonts w:eastAsia="Times New Roman" w:cs="Times New Roman"/>
                <w:szCs w:val="24"/>
                <w:lang w:eastAsia="lv-LV"/>
              </w:rPr>
              <w:t>1.</w:t>
            </w:r>
          </w:p>
        </w:tc>
        <w:tc>
          <w:tcPr>
            <w:tcW w:w="1841" w:type="pct"/>
            <w:gridSpan w:val="4"/>
            <w:tcBorders>
              <w:top w:val="outset" w:sz="6" w:space="0" w:color="auto"/>
              <w:left w:val="outset" w:sz="6" w:space="0" w:color="auto"/>
              <w:bottom w:val="outset" w:sz="6" w:space="0" w:color="auto"/>
              <w:right w:val="outset" w:sz="6" w:space="0" w:color="auto"/>
            </w:tcBorders>
            <w:hideMark/>
          </w:tcPr>
          <w:p w14:paraId="6D2838FE" w14:textId="77777777" w:rsidR="00F0021C" w:rsidRPr="001C51BF" w:rsidRDefault="00F0021C" w:rsidP="001C51BF">
            <w:pPr>
              <w:spacing w:after="0" w:line="240" w:lineRule="auto"/>
              <w:rPr>
                <w:rFonts w:eastAsia="Times New Roman" w:cs="Times New Roman"/>
                <w:szCs w:val="24"/>
                <w:lang w:eastAsia="lv-LV"/>
              </w:rPr>
            </w:pPr>
            <w:r w:rsidRPr="001C51BF">
              <w:rPr>
                <w:rFonts w:eastAsia="Times New Roman" w:cs="Times New Roman"/>
                <w:szCs w:val="24"/>
                <w:lang w:eastAsia="lv-LV"/>
              </w:rPr>
              <w:t>Plānotās sabiedrības līdzdalības un komunikācijas aktivitātes saistībā ar projektu</w:t>
            </w:r>
          </w:p>
        </w:tc>
        <w:tc>
          <w:tcPr>
            <w:tcW w:w="2870" w:type="pct"/>
            <w:gridSpan w:val="6"/>
            <w:tcBorders>
              <w:top w:val="outset" w:sz="6" w:space="0" w:color="auto"/>
              <w:left w:val="outset" w:sz="6" w:space="0" w:color="auto"/>
              <w:bottom w:val="outset" w:sz="6" w:space="0" w:color="auto"/>
              <w:right w:val="outset" w:sz="6" w:space="0" w:color="auto"/>
            </w:tcBorders>
            <w:hideMark/>
          </w:tcPr>
          <w:p w14:paraId="3B1F5F1C" w14:textId="77777777" w:rsidR="00F0021C" w:rsidRPr="001C51BF" w:rsidRDefault="00F0021C" w:rsidP="00F0021C">
            <w:pPr>
              <w:spacing w:after="0" w:line="240" w:lineRule="auto"/>
              <w:jc w:val="both"/>
              <w:rPr>
                <w:rFonts w:eastAsia="Times New Roman" w:cs="Times New Roman"/>
                <w:szCs w:val="24"/>
                <w:lang w:eastAsia="lv-LV"/>
              </w:rPr>
            </w:pPr>
            <w:r>
              <w:rPr>
                <w:rFonts w:eastAsia="Times New Roman" w:cs="Times New Roman"/>
                <w:szCs w:val="24"/>
                <w:lang w:eastAsia="lv-LV"/>
              </w:rPr>
              <w:t>Informācija par n</w:t>
            </w:r>
            <w:r w:rsidRPr="001C51BF">
              <w:rPr>
                <w:rFonts w:eastAsia="Times New Roman" w:cs="Times New Roman"/>
                <w:szCs w:val="24"/>
                <w:lang w:eastAsia="lv-LV"/>
              </w:rPr>
              <w:t>oteikumu projekta</w:t>
            </w:r>
            <w:r>
              <w:rPr>
                <w:rFonts w:eastAsia="Times New Roman" w:cs="Times New Roman"/>
                <w:szCs w:val="24"/>
                <w:lang w:eastAsia="lv-LV"/>
              </w:rPr>
              <w:t xml:space="preserve"> izstrādi </w:t>
            </w:r>
            <w:r w:rsidRPr="001C51BF">
              <w:rPr>
                <w:rFonts w:eastAsia="Times New Roman" w:cs="Times New Roman"/>
                <w:szCs w:val="24"/>
                <w:lang w:eastAsia="lv-LV"/>
              </w:rPr>
              <w:t>ir ievietota Finanšu ministrijas mājas lapā</w:t>
            </w:r>
            <w:r>
              <w:rPr>
                <w:rFonts w:eastAsia="Times New Roman" w:cs="Times New Roman"/>
                <w:szCs w:val="24"/>
                <w:lang w:eastAsia="lv-LV"/>
              </w:rPr>
              <w:t xml:space="preserve"> sadaļā “Sabiedrības līdzdalība”.</w:t>
            </w:r>
          </w:p>
        </w:tc>
      </w:tr>
      <w:tr w:rsidR="00F0021C" w:rsidRPr="001C51BF" w14:paraId="7E8FC689" w14:textId="77777777" w:rsidTr="009F0BEC">
        <w:tblPrEx>
          <w:tblCellMar>
            <w:top w:w="30" w:type="dxa"/>
            <w:left w:w="30" w:type="dxa"/>
            <w:bottom w:w="30" w:type="dxa"/>
            <w:right w:w="30" w:type="dxa"/>
          </w:tblCellMar>
        </w:tblPrEx>
        <w:trPr>
          <w:trHeight w:val="330"/>
        </w:trPr>
        <w:tc>
          <w:tcPr>
            <w:tcW w:w="289" w:type="pct"/>
            <w:gridSpan w:val="4"/>
            <w:tcBorders>
              <w:top w:val="outset" w:sz="6" w:space="0" w:color="auto"/>
              <w:left w:val="outset" w:sz="6" w:space="0" w:color="auto"/>
              <w:bottom w:val="outset" w:sz="6" w:space="0" w:color="auto"/>
              <w:right w:val="outset" w:sz="6" w:space="0" w:color="auto"/>
            </w:tcBorders>
          </w:tcPr>
          <w:p w14:paraId="6E49B212" w14:textId="77777777" w:rsidR="00F0021C" w:rsidRPr="001C51BF" w:rsidRDefault="00F0021C" w:rsidP="001C51BF">
            <w:pPr>
              <w:spacing w:after="0" w:line="240" w:lineRule="auto"/>
              <w:rPr>
                <w:rFonts w:eastAsia="Times New Roman" w:cs="Times New Roman"/>
                <w:szCs w:val="24"/>
                <w:lang w:eastAsia="lv-LV"/>
              </w:rPr>
            </w:pPr>
            <w:r>
              <w:rPr>
                <w:rFonts w:eastAsia="Times New Roman" w:cs="Times New Roman"/>
                <w:szCs w:val="24"/>
                <w:lang w:eastAsia="lv-LV"/>
              </w:rPr>
              <w:t>2.</w:t>
            </w:r>
          </w:p>
        </w:tc>
        <w:tc>
          <w:tcPr>
            <w:tcW w:w="1841" w:type="pct"/>
            <w:gridSpan w:val="4"/>
            <w:tcBorders>
              <w:top w:val="outset" w:sz="6" w:space="0" w:color="auto"/>
              <w:left w:val="outset" w:sz="6" w:space="0" w:color="auto"/>
              <w:bottom w:val="outset" w:sz="6" w:space="0" w:color="auto"/>
              <w:right w:val="outset" w:sz="6" w:space="0" w:color="auto"/>
            </w:tcBorders>
            <w:hideMark/>
          </w:tcPr>
          <w:p w14:paraId="1C41406C" w14:textId="77777777" w:rsidR="00F0021C" w:rsidRPr="001C51BF" w:rsidRDefault="00F0021C" w:rsidP="001C51BF">
            <w:pPr>
              <w:spacing w:after="0" w:line="240" w:lineRule="auto"/>
              <w:rPr>
                <w:rFonts w:eastAsia="Times New Roman" w:cs="Times New Roman"/>
                <w:szCs w:val="24"/>
                <w:lang w:eastAsia="lv-LV"/>
              </w:rPr>
            </w:pPr>
            <w:r w:rsidRPr="001C51BF">
              <w:rPr>
                <w:rFonts w:eastAsia="Times New Roman" w:cs="Times New Roman"/>
                <w:szCs w:val="24"/>
                <w:lang w:eastAsia="lv-LV"/>
              </w:rPr>
              <w:t>Sabiedrības līdzdalība projekta izstrādē</w:t>
            </w:r>
          </w:p>
        </w:tc>
        <w:tc>
          <w:tcPr>
            <w:tcW w:w="2870" w:type="pct"/>
            <w:gridSpan w:val="6"/>
            <w:tcBorders>
              <w:top w:val="outset" w:sz="6" w:space="0" w:color="auto"/>
              <w:left w:val="outset" w:sz="6" w:space="0" w:color="auto"/>
              <w:bottom w:val="outset" w:sz="6" w:space="0" w:color="auto"/>
              <w:right w:val="outset" w:sz="6" w:space="0" w:color="auto"/>
            </w:tcBorders>
            <w:hideMark/>
          </w:tcPr>
          <w:p w14:paraId="0E5127A9" w14:textId="77777777" w:rsidR="00F0021C" w:rsidRPr="00C627CC" w:rsidRDefault="00F0021C" w:rsidP="001C51BF">
            <w:pPr>
              <w:spacing w:after="0" w:line="240" w:lineRule="auto"/>
              <w:jc w:val="both"/>
              <w:rPr>
                <w:rFonts w:eastAsia="Times New Roman" w:cs="Times New Roman"/>
                <w:szCs w:val="24"/>
                <w:lang w:eastAsia="lv-LV" w:bidi="lv-LV"/>
              </w:rPr>
            </w:pPr>
            <w:r w:rsidRPr="00C627CC">
              <w:rPr>
                <w:rFonts w:eastAsia="Times New Roman" w:cs="Times New Roman"/>
                <w:szCs w:val="24"/>
                <w:lang w:eastAsia="lv-LV" w:bidi="lv-LV"/>
              </w:rPr>
              <w:t>Noteikumu projekts un tā anotācija tika nosūtīti viedokļa izteikšanai Latvijas Tirdzniecības un rūpniecības kamerai, Latvijas Tranzīta biznesa asociācijai, Latvijas Loģistikas asociācijai, Latvijas Nacionālajai kravas ekspeditoru un loģistikas asociācijai un Latvijas Darba devēju konfederācijai.</w:t>
            </w:r>
          </w:p>
          <w:p w14:paraId="5A6B2941" w14:textId="77777777" w:rsidR="00F0021C" w:rsidRDefault="00F0021C" w:rsidP="001C51BF">
            <w:pPr>
              <w:spacing w:after="0" w:line="240" w:lineRule="auto"/>
              <w:jc w:val="both"/>
              <w:rPr>
                <w:rFonts w:eastAsia="Times New Roman" w:cs="Times New Roman"/>
                <w:szCs w:val="24"/>
                <w:lang w:eastAsia="lv-LV" w:bidi="lv-LV"/>
              </w:rPr>
            </w:pPr>
          </w:p>
          <w:p w14:paraId="5C1A788E" w14:textId="71A7F80B" w:rsidR="00F0021C" w:rsidRPr="001C51BF" w:rsidRDefault="00F0021C" w:rsidP="00FA10B0">
            <w:pPr>
              <w:spacing w:after="0" w:line="240" w:lineRule="auto"/>
              <w:jc w:val="both"/>
              <w:rPr>
                <w:rFonts w:eastAsia="Times New Roman" w:cs="Times New Roman"/>
                <w:i/>
                <w:szCs w:val="24"/>
                <w:lang w:eastAsia="lv-LV"/>
              </w:rPr>
            </w:pPr>
            <w:r w:rsidRPr="00C627CC">
              <w:rPr>
                <w:rFonts w:eastAsia="Times New Roman" w:cs="Times New Roman"/>
                <w:szCs w:val="24"/>
                <w:lang w:eastAsia="lv-LV" w:bidi="lv-LV"/>
              </w:rPr>
              <w:t xml:space="preserve">Noteikumu projekts tika skatīts Konsultatīvās padomes muitas politikas jomā </w:t>
            </w:r>
            <w:r w:rsidR="00FA10B0" w:rsidRPr="00FA10B0">
              <w:rPr>
                <w:rFonts w:eastAsia="Times New Roman" w:cs="Times New Roman"/>
                <w:b/>
                <w:szCs w:val="24"/>
                <w:lang w:eastAsia="lv-LV" w:bidi="lv-LV"/>
              </w:rPr>
              <w:t>2016</w:t>
            </w:r>
            <w:r w:rsidRPr="00FA10B0">
              <w:rPr>
                <w:rFonts w:eastAsia="Times New Roman" w:cs="Times New Roman"/>
                <w:b/>
                <w:szCs w:val="24"/>
                <w:lang w:eastAsia="lv-LV" w:bidi="lv-LV"/>
              </w:rPr>
              <w:t>.</w:t>
            </w:r>
            <w:r w:rsidR="00FA10B0" w:rsidRPr="00FA10B0">
              <w:rPr>
                <w:rFonts w:eastAsia="Times New Roman" w:cs="Times New Roman"/>
                <w:b/>
                <w:szCs w:val="24"/>
                <w:lang w:eastAsia="lv-LV" w:bidi="lv-LV"/>
              </w:rPr>
              <w:t>gada</w:t>
            </w:r>
            <w:r w:rsidR="00FA10B0">
              <w:rPr>
                <w:rFonts w:eastAsia="Times New Roman" w:cs="Times New Roman"/>
                <w:szCs w:val="24"/>
                <w:lang w:eastAsia="lv-LV" w:bidi="lv-LV"/>
              </w:rPr>
              <w:t xml:space="preserve"> </w:t>
            </w:r>
            <w:r w:rsidRPr="00C627CC">
              <w:rPr>
                <w:rFonts w:eastAsia="Times New Roman" w:cs="Times New Roman"/>
                <w:szCs w:val="24"/>
                <w:lang w:eastAsia="lv-LV" w:bidi="lv-LV"/>
              </w:rPr>
              <w:t>3.jūnija sanāksmē.</w:t>
            </w:r>
          </w:p>
        </w:tc>
      </w:tr>
      <w:tr w:rsidR="00F0021C" w:rsidRPr="001C51BF" w14:paraId="392721A3" w14:textId="77777777" w:rsidTr="009F0BEC">
        <w:tblPrEx>
          <w:tblCellMar>
            <w:top w:w="30" w:type="dxa"/>
            <w:left w:w="30" w:type="dxa"/>
            <w:bottom w:w="30" w:type="dxa"/>
            <w:right w:w="30" w:type="dxa"/>
          </w:tblCellMar>
        </w:tblPrEx>
        <w:trPr>
          <w:trHeight w:val="465"/>
        </w:trPr>
        <w:tc>
          <w:tcPr>
            <w:tcW w:w="289" w:type="pct"/>
            <w:gridSpan w:val="4"/>
            <w:tcBorders>
              <w:top w:val="outset" w:sz="6" w:space="0" w:color="auto"/>
              <w:left w:val="outset" w:sz="6" w:space="0" w:color="auto"/>
              <w:bottom w:val="outset" w:sz="6" w:space="0" w:color="auto"/>
              <w:right w:val="outset" w:sz="6" w:space="0" w:color="auto"/>
            </w:tcBorders>
          </w:tcPr>
          <w:p w14:paraId="6CC065A3" w14:textId="77777777" w:rsidR="00F0021C" w:rsidRPr="00A30EB2" w:rsidRDefault="00F0021C" w:rsidP="001C51BF">
            <w:pPr>
              <w:spacing w:after="0" w:line="240" w:lineRule="auto"/>
              <w:rPr>
                <w:rFonts w:eastAsia="Times New Roman" w:cs="Times New Roman"/>
                <w:szCs w:val="24"/>
                <w:lang w:eastAsia="lv-LV"/>
              </w:rPr>
            </w:pPr>
            <w:r>
              <w:rPr>
                <w:rFonts w:eastAsia="Times New Roman" w:cs="Times New Roman"/>
                <w:szCs w:val="24"/>
                <w:lang w:eastAsia="lv-LV"/>
              </w:rPr>
              <w:lastRenderedPageBreak/>
              <w:t>3.</w:t>
            </w:r>
          </w:p>
        </w:tc>
        <w:tc>
          <w:tcPr>
            <w:tcW w:w="1841" w:type="pct"/>
            <w:gridSpan w:val="4"/>
            <w:tcBorders>
              <w:top w:val="outset" w:sz="6" w:space="0" w:color="auto"/>
              <w:left w:val="outset" w:sz="6" w:space="0" w:color="auto"/>
              <w:bottom w:val="outset" w:sz="6" w:space="0" w:color="auto"/>
              <w:right w:val="outset" w:sz="6" w:space="0" w:color="auto"/>
            </w:tcBorders>
            <w:hideMark/>
          </w:tcPr>
          <w:p w14:paraId="2C07FF66" w14:textId="77777777" w:rsidR="00F0021C" w:rsidRPr="00A30EB2" w:rsidRDefault="00F0021C" w:rsidP="001C51BF">
            <w:pPr>
              <w:spacing w:after="0" w:line="240" w:lineRule="auto"/>
              <w:rPr>
                <w:rFonts w:eastAsia="Times New Roman" w:cs="Times New Roman"/>
                <w:szCs w:val="24"/>
                <w:lang w:eastAsia="lv-LV"/>
              </w:rPr>
            </w:pPr>
            <w:r w:rsidRPr="00A30EB2">
              <w:rPr>
                <w:rFonts w:eastAsia="Times New Roman" w:cs="Times New Roman"/>
                <w:szCs w:val="24"/>
                <w:lang w:eastAsia="lv-LV"/>
              </w:rPr>
              <w:t>Sabiedrības līdzdalības rezultāti</w:t>
            </w:r>
          </w:p>
        </w:tc>
        <w:tc>
          <w:tcPr>
            <w:tcW w:w="2870" w:type="pct"/>
            <w:gridSpan w:val="6"/>
            <w:tcBorders>
              <w:top w:val="outset" w:sz="6" w:space="0" w:color="auto"/>
              <w:left w:val="outset" w:sz="6" w:space="0" w:color="auto"/>
              <w:bottom w:val="outset" w:sz="6" w:space="0" w:color="auto"/>
              <w:right w:val="outset" w:sz="6" w:space="0" w:color="auto"/>
            </w:tcBorders>
            <w:hideMark/>
          </w:tcPr>
          <w:p w14:paraId="49DDB629" w14:textId="4305AA65" w:rsidR="00F0021C" w:rsidRPr="00A30EB2" w:rsidRDefault="00F0021C" w:rsidP="00A30EB2">
            <w:pPr>
              <w:spacing w:after="0" w:line="240" w:lineRule="auto"/>
              <w:jc w:val="both"/>
              <w:rPr>
                <w:szCs w:val="24"/>
                <w:lang w:eastAsia="lv-LV"/>
              </w:rPr>
            </w:pPr>
            <w:r w:rsidRPr="00A30EB2">
              <w:rPr>
                <w:rFonts w:eastAsia="Times New Roman" w:cs="Times New Roman"/>
                <w:szCs w:val="24"/>
                <w:lang w:eastAsia="lv-LV"/>
              </w:rPr>
              <w:t>Par nevalstiskā sektora sniegtajiem priekšlikumi</w:t>
            </w:r>
            <w:r w:rsidR="005F741E">
              <w:rPr>
                <w:rFonts w:eastAsia="Times New Roman" w:cs="Times New Roman"/>
                <w:szCs w:val="24"/>
                <w:lang w:eastAsia="lv-LV"/>
              </w:rPr>
              <w:t>em</w:t>
            </w:r>
            <w:r w:rsidRPr="00A30EB2">
              <w:rPr>
                <w:rFonts w:eastAsia="Times New Roman" w:cs="Times New Roman"/>
                <w:szCs w:val="24"/>
                <w:lang w:eastAsia="lv-LV"/>
              </w:rPr>
              <w:t xml:space="preserve"> atbilstoši likuma 5.panta otrajai daļai </w:t>
            </w:r>
            <w:r w:rsidR="00331C57">
              <w:rPr>
                <w:szCs w:val="24"/>
                <w:lang w:eastAsia="lv-LV"/>
              </w:rPr>
              <w:t>VID</w:t>
            </w:r>
            <w:r w:rsidRPr="00A30EB2">
              <w:rPr>
                <w:szCs w:val="24"/>
                <w:lang w:eastAsia="lv-LV"/>
              </w:rPr>
              <w:t xml:space="preserve"> izstrādās un publiskos savā tīmekļa vietnē informatīvo materiālu.</w:t>
            </w:r>
          </w:p>
          <w:p w14:paraId="59A20F05" w14:textId="77777777" w:rsidR="00F0021C" w:rsidRPr="00A30EB2" w:rsidRDefault="00F0021C" w:rsidP="00A30EB2">
            <w:pPr>
              <w:spacing w:after="0" w:line="240" w:lineRule="auto"/>
              <w:rPr>
                <w:rFonts w:eastAsia="Times New Roman" w:cs="Times New Roman"/>
                <w:szCs w:val="24"/>
                <w:lang w:eastAsia="lv-LV"/>
              </w:rPr>
            </w:pPr>
          </w:p>
        </w:tc>
      </w:tr>
      <w:tr w:rsidR="00F0021C" w:rsidRPr="001C51BF" w14:paraId="6838CB2C" w14:textId="77777777" w:rsidTr="009F0BEC">
        <w:tblPrEx>
          <w:tblCellMar>
            <w:top w:w="30" w:type="dxa"/>
            <w:left w:w="30" w:type="dxa"/>
            <w:bottom w:w="30" w:type="dxa"/>
            <w:right w:w="30" w:type="dxa"/>
          </w:tblCellMar>
        </w:tblPrEx>
        <w:trPr>
          <w:trHeight w:val="465"/>
        </w:trPr>
        <w:tc>
          <w:tcPr>
            <w:tcW w:w="289" w:type="pct"/>
            <w:gridSpan w:val="4"/>
            <w:tcBorders>
              <w:top w:val="outset" w:sz="6" w:space="0" w:color="auto"/>
              <w:left w:val="outset" w:sz="6" w:space="0" w:color="auto"/>
              <w:bottom w:val="single" w:sz="4" w:space="0" w:color="auto"/>
              <w:right w:val="outset" w:sz="6" w:space="0" w:color="auto"/>
            </w:tcBorders>
          </w:tcPr>
          <w:p w14:paraId="2D42367E" w14:textId="77777777" w:rsidR="00F0021C" w:rsidRPr="001C51BF" w:rsidRDefault="00F0021C" w:rsidP="001C51BF">
            <w:pPr>
              <w:spacing w:after="0" w:line="240" w:lineRule="auto"/>
              <w:rPr>
                <w:rFonts w:eastAsia="Times New Roman" w:cs="Times New Roman"/>
                <w:szCs w:val="24"/>
                <w:lang w:eastAsia="lv-LV"/>
              </w:rPr>
            </w:pPr>
            <w:r>
              <w:rPr>
                <w:rFonts w:eastAsia="Times New Roman" w:cs="Times New Roman"/>
                <w:szCs w:val="24"/>
                <w:lang w:eastAsia="lv-LV"/>
              </w:rPr>
              <w:t>4.</w:t>
            </w:r>
          </w:p>
        </w:tc>
        <w:tc>
          <w:tcPr>
            <w:tcW w:w="1841" w:type="pct"/>
            <w:gridSpan w:val="4"/>
            <w:tcBorders>
              <w:top w:val="outset" w:sz="6" w:space="0" w:color="auto"/>
              <w:left w:val="outset" w:sz="6" w:space="0" w:color="auto"/>
              <w:bottom w:val="single" w:sz="4" w:space="0" w:color="auto"/>
              <w:right w:val="outset" w:sz="6" w:space="0" w:color="auto"/>
            </w:tcBorders>
            <w:hideMark/>
          </w:tcPr>
          <w:p w14:paraId="6031562A" w14:textId="77777777" w:rsidR="00F0021C" w:rsidRPr="001C51BF" w:rsidRDefault="00F0021C" w:rsidP="001C51BF">
            <w:pPr>
              <w:spacing w:after="0" w:line="240" w:lineRule="auto"/>
              <w:rPr>
                <w:rFonts w:eastAsia="Times New Roman" w:cs="Times New Roman"/>
                <w:szCs w:val="24"/>
                <w:lang w:eastAsia="lv-LV"/>
              </w:rPr>
            </w:pPr>
            <w:r w:rsidRPr="001C51BF">
              <w:rPr>
                <w:rFonts w:eastAsia="Times New Roman" w:cs="Times New Roman"/>
                <w:szCs w:val="24"/>
                <w:lang w:eastAsia="lv-LV"/>
              </w:rPr>
              <w:t>Cita informācija</w:t>
            </w:r>
          </w:p>
        </w:tc>
        <w:tc>
          <w:tcPr>
            <w:tcW w:w="2870" w:type="pct"/>
            <w:gridSpan w:val="6"/>
            <w:tcBorders>
              <w:top w:val="outset" w:sz="6" w:space="0" w:color="auto"/>
              <w:left w:val="outset" w:sz="6" w:space="0" w:color="auto"/>
              <w:bottom w:val="single" w:sz="4" w:space="0" w:color="auto"/>
              <w:right w:val="outset" w:sz="6" w:space="0" w:color="auto"/>
            </w:tcBorders>
            <w:hideMark/>
          </w:tcPr>
          <w:p w14:paraId="5FC373A8" w14:textId="77777777" w:rsidR="00F0021C" w:rsidRPr="001C51BF" w:rsidRDefault="00F0021C" w:rsidP="001C51BF">
            <w:pPr>
              <w:spacing w:after="0" w:line="240" w:lineRule="auto"/>
              <w:rPr>
                <w:rFonts w:eastAsia="Times New Roman" w:cs="Times New Roman"/>
                <w:szCs w:val="24"/>
                <w:lang w:eastAsia="lv-LV"/>
              </w:rPr>
            </w:pPr>
            <w:r w:rsidRPr="001C51BF">
              <w:rPr>
                <w:rFonts w:eastAsia="Times New Roman" w:cs="Times New Roman"/>
                <w:szCs w:val="24"/>
                <w:lang w:eastAsia="lv-LV"/>
              </w:rPr>
              <w:t>Nav</w:t>
            </w:r>
          </w:p>
        </w:tc>
      </w:tr>
      <w:tr w:rsidR="00ED2523" w:rsidRPr="001C51BF" w14:paraId="364AD179" w14:textId="77777777" w:rsidTr="009F0BEC">
        <w:tblPrEx>
          <w:tblCellMar>
            <w:top w:w="30" w:type="dxa"/>
            <w:left w:w="30" w:type="dxa"/>
            <w:bottom w:w="30" w:type="dxa"/>
            <w:right w:w="30" w:type="dxa"/>
          </w:tblCellMar>
        </w:tblPrEx>
        <w:trPr>
          <w:trHeight w:val="243"/>
        </w:trPr>
        <w:tc>
          <w:tcPr>
            <w:tcW w:w="289" w:type="pct"/>
            <w:gridSpan w:val="4"/>
            <w:tcBorders>
              <w:top w:val="single" w:sz="4" w:space="0" w:color="auto"/>
              <w:left w:val="nil"/>
              <w:bottom w:val="nil"/>
              <w:right w:val="nil"/>
            </w:tcBorders>
          </w:tcPr>
          <w:p w14:paraId="65D73A56" w14:textId="77777777" w:rsidR="00ED2523" w:rsidRDefault="00ED2523" w:rsidP="001C51BF">
            <w:pPr>
              <w:spacing w:after="0" w:line="240" w:lineRule="auto"/>
              <w:rPr>
                <w:rFonts w:eastAsia="Times New Roman" w:cs="Times New Roman"/>
                <w:szCs w:val="24"/>
                <w:lang w:eastAsia="lv-LV"/>
              </w:rPr>
            </w:pPr>
          </w:p>
        </w:tc>
        <w:tc>
          <w:tcPr>
            <w:tcW w:w="1841" w:type="pct"/>
            <w:gridSpan w:val="4"/>
            <w:tcBorders>
              <w:top w:val="single" w:sz="4" w:space="0" w:color="auto"/>
              <w:left w:val="nil"/>
              <w:bottom w:val="nil"/>
              <w:right w:val="nil"/>
            </w:tcBorders>
          </w:tcPr>
          <w:p w14:paraId="0CE5EFE7" w14:textId="77777777" w:rsidR="00ED2523" w:rsidRPr="001C51BF" w:rsidRDefault="00ED2523" w:rsidP="001C51BF">
            <w:pPr>
              <w:spacing w:after="0" w:line="240" w:lineRule="auto"/>
              <w:rPr>
                <w:rFonts w:eastAsia="Times New Roman" w:cs="Times New Roman"/>
                <w:szCs w:val="24"/>
                <w:lang w:eastAsia="lv-LV"/>
              </w:rPr>
            </w:pPr>
          </w:p>
        </w:tc>
        <w:tc>
          <w:tcPr>
            <w:tcW w:w="2870" w:type="pct"/>
            <w:gridSpan w:val="6"/>
            <w:tcBorders>
              <w:top w:val="single" w:sz="4" w:space="0" w:color="auto"/>
              <w:left w:val="nil"/>
              <w:bottom w:val="nil"/>
              <w:right w:val="nil"/>
            </w:tcBorders>
          </w:tcPr>
          <w:p w14:paraId="6C3131A7" w14:textId="77777777" w:rsidR="00ED2523" w:rsidRPr="001C51BF" w:rsidRDefault="00ED2523" w:rsidP="001C51BF">
            <w:pPr>
              <w:spacing w:after="0" w:line="240" w:lineRule="auto"/>
              <w:rPr>
                <w:rFonts w:eastAsia="Times New Roman" w:cs="Times New Roman"/>
                <w:szCs w:val="24"/>
                <w:lang w:eastAsia="lv-LV"/>
              </w:rPr>
            </w:pPr>
          </w:p>
        </w:tc>
      </w:tr>
      <w:tr w:rsidR="005D4AE6" w:rsidRPr="00CB4E50" w14:paraId="74B2FA81" w14:textId="77777777" w:rsidTr="009F0BEC">
        <w:tblPrEx>
          <w:tblCellMar>
            <w:top w:w="30" w:type="dxa"/>
            <w:left w:w="30" w:type="dxa"/>
            <w:bottom w:w="30" w:type="dxa"/>
            <w:right w:w="30" w:type="dxa"/>
          </w:tblCellMar>
        </w:tblPrEx>
        <w:trPr>
          <w:gridAfter w:val="1"/>
          <w:wAfter w:w="4" w:type="pct"/>
          <w:trHeight w:val="375"/>
        </w:trPr>
        <w:tc>
          <w:tcPr>
            <w:tcW w:w="4996" w:type="pct"/>
            <w:gridSpan w:val="13"/>
            <w:tcBorders>
              <w:top w:val="outset" w:sz="6" w:space="0" w:color="auto"/>
              <w:left w:val="outset" w:sz="6" w:space="0" w:color="auto"/>
              <w:bottom w:val="outset" w:sz="6" w:space="0" w:color="auto"/>
              <w:right w:val="outset" w:sz="6" w:space="0" w:color="auto"/>
            </w:tcBorders>
            <w:vAlign w:val="center"/>
            <w:hideMark/>
          </w:tcPr>
          <w:p w14:paraId="5A972D55" w14:textId="77777777" w:rsidR="005D4AE6" w:rsidRPr="00CB4E50" w:rsidRDefault="005D4AE6" w:rsidP="005D4AE6">
            <w:pPr>
              <w:spacing w:before="100" w:beforeAutospacing="1" w:after="100" w:afterAutospacing="1" w:line="240" w:lineRule="auto"/>
              <w:rPr>
                <w:rFonts w:eastAsia="Times New Roman" w:cs="Times New Roman"/>
                <w:szCs w:val="24"/>
                <w:lang w:eastAsia="lv-LV"/>
              </w:rPr>
            </w:pPr>
            <w:r w:rsidRPr="00CB4E50">
              <w:rPr>
                <w:rFonts w:eastAsia="Times New Roman" w:cs="Times New Roman"/>
                <w:b/>
                <w:bCs/>
                <w:szCs w:val="24"/>
                <w:lang w:eastAsia="lv-LV"/>
              </w:rPr>
              <w:t>VII. Tiesību akta projekta izpildes nodrošināšana un tās ietekme uz institūcijām</w:t>
            </w:r>
          </w:p>
        </w:tc>
      </w:tr>
      <w:tr w:rsidR="005D4AE6" w:rsidRPr="00CB4E50" w14:paraId="0EE304D6" w14:textId="77777777" w:rsidTr="009F0BEC">
        <w:tblPrEx>
          <w:tblCellMar>
            <w:top w:w="30" w:type="dxa"/>
            <w:left w:w="30" w:type="dxa"/>
            <w:bottom w:w="30" w:type="dxa"/>
            <w:right w:w="30" w:type="dxa"/>
          </w:tblCellMar>
        </w:tblPrEx>
        <w:trPr>
          <w:gridAfter w:val="1"/>
          <w:wAfter w:w="4" w:type="pct"/>
          <w:trHeight w:val="420"/>
        </w:trPr>
        <w:tc>
          <w:tcPr>
            <w:tcW w:w="235" w:type="pct"/>
            <w:gridSpan w:val="3"/>
            <w:tcBorders>
              <w:top w:val="outset" w:sz="6" w:space="0" w:color="auto"/>
              <w:left w:val="outset" w:sz="6" w:space="0" w:color="auto"/>
              <w:bottom w:val="outset" w:sz="6" w:space="0" w:color="auto"/>
              <w:right w:val="outset" w:sz="6" w:space="0" w:color="auto"/>
            </w:tcBorders>
            <w:hideMark/>
          </w:tcPr>
          <w:p w14:paraId="114124E5"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1.</w:t>
            </w:r>
          </w:p>
        </w:tc>
        <w:tc>
          <w:tcPr>
            <w:tcW w:w="1895" w:type="pct"/>
            <w:gridSpan w:val="5"/>
            <w:tcBorders>
              <w:top w:val="outset" w:sz="6" w:space="0" w:color="auto"/>
              <w:left w:val="outset" w:sz="6" w:space="0" w:color="auto"/>
              <w:bottom w:val="outset" w:sz="6" w:space="0" w:color="auto"/>
              <w:right w:val="outset" w:sz="6" w:space="0" w:color="auto"/>
            </w:tcBorders>
            <w:hideMark/>
          </w:tcPr>
          <w:p w14:paraId="0B312CC0" w14:textId="77777777" w:rsidR="005D4AE6" w:rsidRPr="00CB4E50" w:rsidRDefault="005D4AE6" w:rsidP="001C51BF">
            <w:pPr>
              <w:spacing w:after="0" w:line="240" w:lineRule="auto"/>
              <w:rPr>
                <w:rFonts w:eastAsia="Times New Roman" w:cs="Times New Roman"/>
                <w:szCs w:val="24"/>
                <w:lang w:eastAsia="lv-LV"/>
              </w:rPr>
            </w:pPr>
            <w:r w:rsidRPr="00CB4E50">
              <w:rPr>
                <w:rFonts w:eastAsia="Times New Roman" w:cs="Times New Roman"/>
                <w:szCs w:val="24"/>
                <w:lang w:eastAsia="lv-LV"/>
              </w:rPr>
              <w:t>Projekta izpildē iesaistītās institūcijas</w:t>
            </w:r>
          </w:p>
        </w:tc>
        <w:tc>
          <w:tcPr>
            <w:tcW w:w="2865" w:type="pct"/>
            <w:gridSpan w:val="5"/>
            <w:tcBorders>
              <w:top w:val="outset" w:sz="6" w:space="0" w:color="auto"/>
              <w:left w:val="outset" w:sz="6" w:space="0" w:color="auto"/>
              <w:bottom w:val="outset" w:sz="6" w:space="0" w:color="auto"/>
              <w:right w:val="outset" w:sz="6" w:space="0" w:color="auto"/>
            </w:tcBorders>
            <w:hideMark/>
          </w:tcPr>
          <w:p w14:paraId="788E8721" w14:textId="77777777" w:rsidR="005D4AE6" w:rsidRPr="00CB4E50" w:rsidRDefault="00331C57" w:rsidP="00C838E1">
            <w:pPr>
              <w:spacing w:after="0" w:line="240" w:lineRule="auto"/>
              <w:jc w:val="both"/>
              <w:rPr>
                <w:rFonts w:eastAsia="Times New Roman" w:cs="Times New Roman"/>
                <w:szCs w:val="24"/>
                <w:lang w:eastAsia="lv-LV"/>
              </w:rPr>
            </w:pPr>
            <w:r>
              <w:rPr>
                <w:rFonts w:eastAsia="Times New Roman" w:cs="Times New Roman"/>
                <w:szCs w:val="24"/>
                <w:lang w:eastAsia="lv-LV"/>
              </w:rPr>
              <w:t>VID</w:t>
            </w:r>
            <w:r w:rsidR="00A25683">
              <w:rPr>
                <w:rFonts w:eastAsia="Times New Roman" w:cs="Times New Roman"/>
                <w:szCs w:val="24"/>
                <w:lang w:eastAsia="lv-LV"/>
              </w:rPr>
              <w:t>, b</w:t>
            </w:r>
            <w:r w:rsidR="00A25683" w:rsidRPr="00B20DDD">
              <w:rPr>
                <w:rFonts w:eastAsia="Times New Roman" w:cs="Times New Roman"/>
                <w:szCs w:val="24"/>
                <w:lang w:eastAsia="lv-LV"/>
              </w:rPr>
              <w:t>iedrība “Autopārvadātāju asociācija “Latvijas auto””</w:t>
            </w:r>
          </w:p>
        </w:tc>
      </w:tr>
      <w:tr w:rsidR="005D4AE6" w:rsidRPr="00CB4E50" w14:paraId="4589949E" w14:textId="77777777" w:rsidTr="009F0BEC">
        <w:tblPrEx>
          <w:tblCellMar>
            <w:top w:w="30" w:type="dxa"/>
            <w:left w:w="30" w:type="dxa"/>
            <w:bottom w:w="30" w:type="dxa"/>
            <w:right w:w="30" w:type="dxa"/>
          </w:tblCellMar>
        </w:tblPrEx>
        <w:trPr>
          <w:gridAfter w:val="1"/>
          <w:wAfter w:w="4" w:type="pct"/>
          <w:trHeight w:val="450"/>
        </w:trPr>
        <w:tc>
          <w:tcPr>
            <w:tcW w:w="235" w:type="pct"/>
            <w:gridSpan w:val="3"/>
            <w:tcBorders>
              <w:top w:val="outset" w:sz="6" w:space="0" w:color="auto"/>
              <w:left w:val="outset" w:sz="6" w:space="0" w:color="auto"/>
              <w:bottom w:val="outset" w:sz="6" w:space="0" w:color="auto"/>
              <w:right w:val="outset" w:sz="6" w:space="0" w:color="auto"/>
            </w:tcBorders>
            <w:hideMark/>
          </w:tcPr>
          <w:p w14:paraId="363D455B"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2.</w:t>
            </w:r>
          </w:p>
        </w:tc>
        <w:tc>
          <w:tcPr>
            <w:tcW w:w="1895" w:type="pct"/>
            <w:gridSpan w:val="5"/>
            <w:tcBorders>
              <w:top w:val="outset" w:sz="6" w:space="0" w:color="auto"/>
              <w:left w:val="outset" w:sz="6" w:space="0" w:color="auto"/>
              <w:bottom w:val="outset" w:sz="6" w:space="0" w:color="auto"/>
              <w:right w:val="outset" w:sz="6" w:space="0" w:color="auto"/>
            </w:tcBorders>
            <w:hideMark/>
          </w:tcPr>
          <w:p w14:paraId="679A9610" w14:textId="77777777" w:rsidR="005D4AE6" w:rsidRPr="00CB4E50" w:rsidRDefault="005D4AE6" w:rsidP="001C51BF">
            <w:pPr>
              <w:spacing w:after="0" w:line="240" w:lineRule="auto"/>
              <w:rPr>
                <w:rFonts w:eastAsia="Times New Roman" w:cs="Times New Roman"/>
                <w:szCs w:val="24"/>
                <w:lang w:eastAsia="lv-LV"/>
              </w:rPr>
            </w:pPr>
            <w:r w:rsidRPr="00CB4E50">
              <w:rPr>
                <w:rFonts w:eastAsia="Times New Roman" w:cs="Times New Roman"/>
                <w:szCs w:val="24"/>
                <w:lang w:eastAsia="lv-LV"/>
              </w:rPr>
              <w:t xml:space="preserve">Projekta izpildes ietekme uz pārvaldes funkcijām un institucionālo struktūru. </w:t>
            </w:r>
          </w:p>
          <w:p w14:paraId="307BD422" w14:textId="77777777" w:rsidR="005D4AE6" w:rsidRPr="00CB4E50" w:rsidRDefault="005D4AE6" w:rsidP="000C72BD">
            <w:pPr>
              <w:spacing w:after="0" w:line="240" w:lineRule="auto"/>
              <w:rPr>
                <w:rFonts w:eastAsia="Times New Roman" w:cs="Times New Roman"/>
                <w:szCs w:val="24"/>
                <w:lang w:eastAsia="lv-LV"/>
              </w:rPr>
            </w:pPr>
            <w:r w:rsidRPr="00CB4E50">
              <w:rPr>
                <w:rFonts w:eastAsia="Times New Roman" w:cs="Times New Roman"/>
                <w:szCs w:val="24"/>
                <w:lang w:eastAsia="lv-LV"/>
              </w:rPr>
              <w:t>Jaunu institūciju izveide, esošu institūciju likvidācija vai reorganizācija, to ietekme uz institūcijas cilvēkresursiem</w:t>
            </w:r>
          </w:p>
        </w:tc>
        <w:tc>
          <w:tcPr>
            <w:tcW w:w="2865" w:type="pct"/>
            <w:gridSpan w:val="5"/>
            <w:tcBorders>
              <w:top w:val="outset" w:sz="6" w:space="0" w:color="auto"/>
              <w:left w:val="outset" w:sz="6" w:space="0" w:color="auto"/>
              <w:bottom w:val="outset" w:sz="6" w:space="0" w:color="auto"/>
              <w:right w:val="outset" w:sz="6" w:space="0" w:color="auto"/>
            </w:tcBorders>
            <w:hideMark/>
          </w:tcPr>
          <w:p w14:paraId="1985DA8B" w14:textId="77777777" w:rsidR="003C0EEB" w:rsidRPr="002C5206" w:rsidRDefault="003C0EEB">
            <w:pPr>
              <w:pStyle w:val="naisnod"/>
              <w:spacing w:before="0" w:beforeAutospacing="0" w:after="0" w:afterAutospacing="0"/>
              <w:ind w:left="57" w:right="57"/>
              <w:jc w:val="both"/>
              <w:rPr>
                <w:bCs/>
              </w:rPr>
            </w:pPr>
            <w:r w:rsidRPr="002C5206">
              <w:rPr>
                <w:bCs/>
              </w:rPr>
              <w:t xml:space="preserve">Noteikumu projekts neietekmēs </w:t>
            </w:r>
            <w:r w:rsidR="00331C57">
              <w:rPr>
                <w:bCs/>
              </w:rPr>
              <w:t>VID</w:t>
            </w:r>
            <w:r w:rsidRPr="002C5206">
              <w:rPr>
                <w:bCs/>
              </w:rPr>
              <w:t xml:space="preserve"> funkcijas un uzdevumus.</w:t>
            </w:r>
          </w:p>
          <w:p w14:paraId="3F1DD732" w14:textId="77777777" w:rsidR="003C0EEB" w:rsidRDefault="003C0EEB">
            <w:pPr>
              <w:pStyle w:val="naisnod"/>
              <w:spacing w:before="0" w:beforeAutospacing="0" w:after="0" w:afterAutospacing="0"/>
              <w:ind w:left="57" w:right="57"/>
              <w:jc w:val="both"/>
            </w:pPr>
          </w:p>
          <w:p w14:paraId="76D564B0" w14:textId="77777777" w:rsidR="003C0EEB" w:rsidRPr="002C5206" w:rsidRDefault="003C0EEB">
            <w:pPr>
              <w:pStyle w:val="naisnod"/>
              <w:spacing w:before="0" w:beforeAutospacing="0" w:after="0" w:afterAutospacing="0"/>
              <w:ind w:left="57" w:right="57"/>
              <w:jc w:val="both"/>
            </w:pPr>
            <w:r w:rsidRPr="002C5206">
              <w:t>Nav nepieciešama jaunu institūciju izveide, esošu institūciju likvidācija vai reorganizācija.</w:t>
            </w:r>
          </w:p>
          <w:p w14:paraId="7384B7BC" w14:textId="77777777" w:rsidR="005D4AE6" w:rsidRPr="00CB4E50" w:rsidRDefault="005D4AE6">
            <w:pPr>
              <w:spacing w:after="0" w:line="240" w:lineRule="auto"/>
              <w:rPr>
                <w:rFonts w:eastAsia="Times New Roman" w:cs="Times New Roman"/>
                <w:szCs w:val="24"/>
                <w:lang w:eastAsia="lv-LV"/>
              </w:rPr>
            </w:pPr>
          </w:p>
        </w:tc>
      </w:tr>
      <w:tr w:rsidR="005D4AE6" w:rsidRPr="00CB4E50" w14:paraId="7512DD7C" w14:textId="77777777" w:rsidTr="009F0BEC">
        <w:tblPrEx>
          <w:tblCellMar>
            <w:top w:w="30" w:type="dxa"/>
            <w:left w:w="30" w:type="dxa"/>
            <w:bottom w:w="30" w:type="dxa"/>
            <w:right w:w="30" w:type="dxa"/>
          </w:tblCellMar>
        </w:tblPrEx>
        <w:trPr>
          <w:gridAfter w:val="1"/>
          <w:wAfter w:w="4" w:type="pct"/>
          <w:trHeight w:val="390"/>
        </w:trPr>
        <w:tc>
          <w:tcPr>
            <w:tcW w:w="235" w:type="pct"/>
            <w:gridSpan w:val="3"/>
            <w:tcBorders>
              <w:top w:val="outset" w:sz="6" w:space="0" w:color="auto"/>
              <w:left w:val="outset" w:sz="6" w:space="0" w:color="auto"/>
              <w:bottom w:val="outset" w:sz="6" w:space="0" w:color="auto"/>
              <w:right w:val="outset" w:sz="6" w:space="0" w:color="auto"/>
            </w:tcBorders>
            <w:hideMark/>
          </w:tcPr>
          <w:p w14:paraId="4A174BD6" w14:textId="77777777" w:rsidR="005D4AE6" w:rsidRPr="00CB4E50" w:rsidRDefault="005D4AE6" w:rsidP="005D4AE6">
            <w:pPr>
              <w:spacing w:after="0" w:line="240" w:lineRule="auto"/>
              <w:rPr>
                <w:rFonts w:eastAsia="Times New Roman" w:cs="Times New Roman"/>
                <w:szCs w:val="24"/>
                <w:lang w:eastAsia="lv-LV"/>
              </w:rPr>
            </w:pPr>
            <w:r w:rsidRPr="00CB4E50">
              <w:rPr>
                <w:rFonts w:eastAsia="Times New Roman" w:cs="Times New Roman"/>
                <w:szCs w:val="24"/>
                <w:lang w:eastAsia="lv-LV"/>
              </w:rPr>
              <w:t>3.</w:t>
            </w:r>
          </w:p>
        </w:tc>
        <w:tc>
          <w:tcPr>
            <w:tcW w:w="1895" w:type="pct"/>
            <w:gridSpan w:val="5"/>
            <w:tcBorders>
              <w:top w:val="outset" w:sz="6" w:space="0" w:color="auto"/>
              <w:left w:val="outset" w:sz="6" w:space="0" w:color="auto"/>
              <w:bottom w:val="outset" w:sz="6" w:space="0" w:color="auto"/>
              <w:right w:val="outset" w:sz="6" w:space="0" w:color="auto"/>
            </w:tcBorders>
            <w:hideMark/>
          </w:tcPr>
          <w:p w14:paraId="7AC533CB" w14:textId="77777777" w:rsidR="005D4AE6" w:rsidRPr="00CB4E50" w:rsidRDefault="005D4AE6" w:rsidP="001C51BF">
            <w:pPr>
              <w:spacing w:after="0" w:line="240" w:lineRule="auto"/>
              <w:rPr>
                <w:rFonts w:eastAsia="Times New Roman" w:cs="Times New Roman"/>
                <w:szCs w:val="24"/>
                <w:lang w:eastAsia="lv-LV"/>
              </w:rPr>
            </w:pPr>
            <w:r w:rsidRPr="00CB4E50">
              <w:rPr>
                <w:rFonts w:eastAsia="Times New Roman" w:cs="Times New Roman"/>
                <w:szCs w:val="24"/>
                <w:lang w:eastAsia="lv-LV"/>
              </w:rPr>
              <w:t>Cita informācija</w:t>
            </w:r>
          </w:p>
        </w:tc>
        <w:tc>
          <w:tcPr>
            <w:tcW w:w="2865" w:type="pct"/>
            <w:gridSpan w:val="5"/>
            <w:tcBorders>
              <w:top w:val="outset" w:sz="6" w:space="0" w:color="auto"/>
              <w:left w:val="outset" w:sz="6" w:space="0" w:color="auto"/>
              <w:bottom w:val="outset" w:sz="6" w:space="0" w:color="auto"/>
              <w:right w:val="outset" w:sz="6" w:space="0" w:color="auto"/>
            </w:tcBorders>
            <w:hideMark/>
          </w:tcPr>
          <w:p w14:paraId="7A60F7E4" w14:textId="77777777" w:rsidR="005D4AE6" w:rsidRPr="00CB4E50" w:rsidRDefault="004C29A6" w:rsidP="001C51BF">
            <w:pPr>
              <w:spacing w:before="100" w:beforeAutospacing="1" w:after="100" w:afterAutospacing="1" w:line="240" w:lineRule="auto"/>
              <w:rPr>
                <w:rFonts w:eastAsia="Times New Roman" w:cs="Times New Roman"/>
                <w:szCs w:val="24"/>
                <w:lang w:eastAsia="lv-LV"/>
              </w:rPr>
            </w:pPr>
            <w:r w:rsidRPr="00CB4E50">
              <w:rPr>
                <w:rFonts w:eastAsia="Times New Roman" w:cs="Times New Roman"/>
                <w:szCs w:val="24"/>
                <w:lang w:eastAsia="lv-LV"/>
              </w:rPr>
              <w:t>Nav</w:t>
            </w:r>
          </w:p>
        </w:tc>
      </w:tr>
    </w:tbl>
    <w:p w14:paraId="6FC7E165" w14:textId="77777777" w:rsidR="00A34D02" w:rsidRDefault="0086477C" w:rsidP="002907B4">
      <w:pPr>
        <w:tabs>
          <w:tab w:val="center" w:pos="0"/>
          <w:tab w:val="right" w:pos="8306"/>
        </w:tabs>
        <w:spacing w:after="0" w:line="240" w:lineRule="auto"/>
        <w:jc w:val="both"/>
        <w:rPr>
          <w:rFonts w:eastAsia="Times New Roman" w:cs="Times New Roman"/>
          <w:sz w:val="28"/>
          <w:szCs w:val="28"/>
        </w:rPr>
      </w:pPr>
      <w:r w:rsidRPr="00CB4E50">
        <w:rPr>
          <w:i/>
        </w:rPr>
        <w:t xml:space="preserve">Anotācijas </w:t>
      </w:r>
      <w:r>
        <w:rPr>
          <w:i/>
        </w:rPr>
        <w:t>III sadaļa - projekts š</w:t>
      </w:r>
      <w:r w:rsidR="00605CCF">
        <w:rPr>
          <w:i/>
        </w:rPr>
        <w:t>o</w:t>
      </w:r>
      <w:r>
        <w:rPr>
          <w:i/>
        </w:rPr>
        <w:t xml:space="preserve"> jom</w:t>
      </w:r>
      <w:r w:rsidR="00605CCF">
        <w:rPr>
          <w:i/>
        </w:rPr>
        <w:t>u</w:t>
      </w:r>
      <w:r w:rsidRPr="00CB4E50">
        <w:rPr>
          <w:i/>
        </w:rPr>
        <w:t xml:space="preserve"> neskar.</w:t>
      </w:r>
    </w:p>
    <w:p w14:paraId="621EC990" w14:textId="77777777" w:rsidR="0086477C" w:rsidRPr="00CB4E50" w:rsidRDefault="0086477C" w:rsidP="002907B4">
      <w:pPr>
        <w:tabs>
          <w:tab w:val="center" w:pos="0"/>
          <w:tab w:val="right" w:pos="8306"/>
        </w:tabs>
        <w:spacing w:after="0" w:line="240" w:lineRule="auto"/>
        <w:jc w:val="both"/>
        <w:rPr>
          <w:rFonts w:eastAsia="Times New Roman" w:cs="Times New Roman"/>
          <w:sz w:val="28"/>
          <w:szCs w:val="28"/>
        </w:rPr>
      </w:pPr>
    </w:p>
    <w:p w14:paraId="52278C7A" w14:textId="77777777" w:rsidR="002907B4" w:rsidRPr="009F0BEC" w:rsidRDefault="00132DD6" w:rsidP="00315540">
      <w:pPr>
        <w:tabs>
          <w:tab w:val="center" w:pos="0"/>
          <w:tab w:val="left" w:pos="6237"/>
        </w:tabs>
        <w:spacing w:after="0" w:line="240" w:lineRule="auto"/>
        <w:jc w:val="both"/>
        <w:rPr>
          <w:rFonts w:eastAsia="Times New Roman" w:cs="Times New Roman"/>
          <w:szCs w:val="24"/>
        </w:rPr>
      </w:pPr>
      <w:r w:rsidRPr="009F0BEC">
        <w:rPr>
          <w:rFonts w:eastAsia="Times New Roman" w:cs="Times New Roman"/>
          <w:szCs w:val="24"/>
        </w:rPr>
        <w:t>Finanšu ministr</w:t>
      </w:r>
      <w:r w:rsidR="002E2908" w:rsidRPr="009F0BEC">
        <w:rPr>
          <w:rFonts w:eastAsia="Times New Roman" w:cs="Times New Roman"/>
          <w:szCs w:val="24"/>
        </w:rPr>
        <w:t>e</w:t>
      </w:r>
      <w:r w:rsidR="00315540" w:rsidRPr="009F0BEC">
        <w:rPr>
          <w:rFonts w:eastAsia="Times New Roman" w:cs="Times New Roman"/>
          <w:szCs w:val="24"/>
        </w:rPr>
        <w:tab/>
      </w:r>
      <w:r w:rsidR="007551E0" w:rsidRPr="009F0BEC">
        <w:rPr>
          <w:rFonts w:eastAsia="Times New Roman" w:cs="Times New Roman"/>
          <w:szCs w:val="24"/>
        </w:rPr>
        <w:t>D</w:t>
      </w:r>
      <w:r w:rsidR="00A25683" w:rsidRPr="009F0BEC">
        <w:rPr>
          <w:rFonts w:eastAsia="Times New Roman" w:cs="Times New Roman"/>
          <w:szCs w:val="24"/>
        </w:rPr>
        <w:t xml:space="preserve">ana </w:t>
      </w:r>
      <w:r w:rsidR="007551E0" w:rsidRPr="009F0BEC">
        <w:rPr>
          <w:rFonts w:eastAsia="Times New Roman" w:cs="Times New Roman"/>
          <w:szCs w:val="24"/>
        </w:rPr>
        <w:t>Reizniece</w:t>
      </w:r>
      <w:r w:rsidR="00315540" w:rsidRPr="009F0BEC">
        <w:rPr>
          <w:rFonts w:eastAsia="Times New Roman" w:cs="Times New Roman"/>
          <w:szCs w:val="24"/>
        </w:rPr>
        <w:t>-</w:t>
      </w:r>
      <w:r w:rsidR="007551E0" w:rsidRPr="009F0BEC">
        <w:rPr>
          <w:rFonts w:eastAsia="Times New Roman" w:cs="Times New Roman"/>
          <w:szCs w:val="24"/>
        </w:rPr>
        <w:t>Ozola</w:t>
      </w:r>
    </w:p>
    <w:p w14:paraId="52450520" w14:textId="77777777" w:rsidR="002907B4" w:rsidRDefault="002907B4" w:rsidP="00883365">
      <w:pPr>
        <w:spacing w:after="0" w:line="240" w:lineRule="auto"/>
        <w:jc w:val="both"/>
        <w:rPr>
          <w:rFonts w:eastAsia="Times New Roman" w:cs="Times New Roman"/>
          <w:sz w:val="20"/>
          <w:szCs w:val="24"/>
        </w:rPr>
      </w:pPr>
    </w:p>
    <w:p w14:paraId="3CE2908A" w14:textId="77777777" w:rsidR="00CF15E9" w:rsidRDefault="00CF15E9" w:rsidP="00044B24">
      <w:pPr>
        <w:spacing w:after="0" w:line="240" w:lineRule="auto"/>
        <w:jc w:val="both"/>
        <w:rPr>
          <w:rFonts w:eastAsia="Times New Roman" w:cs="Times New Roman"/>
          <w:sz w:val="22"/>
        </w:rPr>
      </w:pPr>
    </w:p>
    <w:p w14:paraId="32DA1FE1" w14:textId="77777777" w:rsidR="009F0BEC" w:rsidRPr="009F0BEC" w:rsidRDefault="001B0137" w:rsidP="009F0BEC">
      <w:pPr>
        <w:tabs>
          <w:tab w:val="center" w:pos="4535"/>
        </w:tabs>
        <w:spacing w:after="0" w:line="240" w:lineRule="auto"/>
        <w:rPr>
          <w:rFonts w:cs="Times New Roman"/>
          <w:sz w:val="20"/>
          <w:szCs w:val="20"/>
        </w:rPr>
      </w:pPr>
      <w:r w:rsidRPr="009F0BEC">
        <w:rPr>
          <w:rFonts w:cs="Times New Roman"/>
          <w:sz w:val="20"/>
          <w:szCs w:val="20"/>
        </w:rPr>
        <w:t>Hudobčenoks</w:t>
      </w:r>
      <w:r w:rsidR="009F0BEC" w:rsidRPr="009F0BEC">
        <w:rPr>
          <w:rFonts w:cs="Times New Roman"/>
          <w:sz w:val="20"/>
          <w:szCs w:val="20"/>
        </w:rPr>
        <w:t xml:space="preserve">, </w:t>
      </w:r>
      <w:r w:rsidRPr="009F0BEC">
        <w:rPr>
          <w:rFonts w:cs="Times New Roman"/>
          <w:sz w:val="20"/>
          <w:szCs w:val="20"/>
        </w:rPr>
        <w:t>67121097</w:t>
      </w:r>
    </w:p>
    <w:p w14:paraId="26F88A7D" w14:textId="7B9F2499" w:rsidR="00ED2523" w:rsidRPr="009F0BEC" w:rsidRDefault="003C6B2B" w:rsidP="009F0BEC">
      <w:pPr>
        <w:tabs>
          <w:tab w:val="center" w:pos="4535"/>
        </w:tabs>
        <w:spacing w:after="0" w:line="240" w:lineRule="auto"/>
        <w:rPr>
          <w:rFonts w:cs="Times New Roman"/>
          <w:sz w:val="20"/>
          <w:szCs w:val="20"/>
        </w:rPr>
      </w:pPr>
      <w:hyperlink r:id="rId8" w:history="1">
        <w:r w:rsidR="00ED2523" w:rsidRPr="009F0BEC">
          <w:rPr>
            <w:rStyle w:val="Hyperlink"/>
            <w:rFonts w:cs="Times New Roman"/>
            <w:sz w:val="20"/>
            <w:szCs w:val="20"/>
          </w:rPr>
          <w:t>andrejs.hudobcenoks@vid.gov.lv</w:t>
        </w:r>
      </w:hyperlink>
    </w:p>
    <w:p w14:paraId="69812F75" w14:textId="77777777" w:rsidR="009F0BEC" w:rsidRPr="009F0BEC" w:rsidRDefault="00ED2523" w:rsidP="00425F28">
      <w:pPr>
        <w:spacing w:after="0" w:line="240" w:lineRule="auto"/>
        <w:jc w:val="both"/>
        <w:rPr>
          <w:rFonts w:cs="Times New Roman"/>
          <w:sz w:val="20"/>
          <w:szCs w:val="20"/>
        </w:rPr>
      </w:pPr>
      <w:r w:rsidRPr="009F0BEC">
        <w:rPr>
          <w:rFonts w:cs="Times New Roman"/>
          <w:sz w:val="20"/>
          <w:szCs w:val="20"/>
        </w:rPr>
        <w:t>Tomiņa</w:t>
      </w:r>
      <w:r w:rsidR="009F0BEC" w:rsidRPr="009F0BEC">
        <w:rPr>
          <w:rFonts w:cs="Times New Roman"/>
          <w:sz w:val="20"/>
          <w:szCs w:val="20"/>
        </w:rPr>
        <w:t xml:space="preserve">, </w:t>
      </w:r>
      <w:r w:rsidRPr="009F0BEC">
        <w:rPr>
          <w:rFonts w:cs="Times New Roman"/>
          <w:sz w:val="20"/>
          <w:szCs w:val="20"/>
        </w:rPr>
        <w:t>67095566</w:t>
      </w:r>
    </w:p>
    <w:p w14:paraId="4E397F9E" w14:textId="1C068E39" w:rsidR="00B62E9D" w:rsidRPr="009F0BEC" w:rsidRDefault="003C6B2B" w:rsidP="00425F28">
      <w:pPr>
        <w:spacing w:after="0" w:line="240" w:lineRule="auto"/>
        <w:jc w:val="both"/>
        <w:rPr>
          <w:rFonts w:cs="Times New Roman"/>
          <w:sz w:val="20"/>
          <w:szCs w:val="20"/>
        </w:rPr>
      </w:pPr>
      <w:hyperlink r:id="rId9" w:history="1">
        <w:r w:rsidR="00ED2523" w:rsidRPr="009F0BEC">
          <w:rPr>
            <w:rStyle w:val="Hyperlink"/>
            <w:rFonts w:cs="Times New Roman"/>
            <w:sz w:val="20"/>
            <w:szCs w:val="20"/>
          </w:rPr>
          <w:t>irita.tomina@fm.gov.lv</w:t>
        </w:r>
      </w:hyperlink>
      <w:r w:rsidR="00ED2523" w:rsidRPr="009F0BEC">
        <w:rPr>
          <w:rFonts w:cs="Times New Roman"/>
          <w:sz w:val="20"/>
          <w:szCs w:val="20"/>
        </w:rPr>
        <w:t xml:space="preserve"> </w:t>
      </w:r>
      <w:hyperlink r:id="rId10" w:history="1"/>
    </w:p>
    <w:sectPr w:rsidR="00B62E9D" w:rsidRPr="009F0BEC" w:rsidSect="003F1B3D">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E1BF8" w14:textId="77777777" w:rsidR="003C6B2B" w:rsidRDefault="003C6B2B" w:rsidP="00CE4D88">
      <w:pPr>
        <w:spacing w:after="0" w:line="240" w:lineRule="auto"/>
      </w:pPr>
      <w:r>
        <w:separator/>
      </w:r>
    </w:p>
  </w:endnote>
  <w:endnote w:type="continuationSeparator" w:id="0">
    <w:p w14:paraId="5F40E994" w14:textId="77777777" w:rsidR="003C6B2B" w:rsidRDefault="003C6B2B" w:rsidP="00CE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35FB6" w14:textId="2F1E2E3D" w:rsidR="00A82BC2" w:rsidRPr="00073804" w:rsidRDefault="00A82BC2" w:rsidP="004D1F9A">
    <w:pPr>
      <w:pStyle w:val="Footer"/>
      <w:jc w:val="both"/>
      <w:rPr>
        <w:sz w:val="20"/>
        <w:szCs w:val="20"/>
      </w:rPr>
    </w:pPr>
    <w:r>
      <w:rPr>
        <w:sz w:val="20"/>
        <w:szCs w:val="20"/>
      </w:rPr>
      <w:t>FMa</w:t>
    </w:r>
    <w:r w:rsidRPr="0062752B">
      <w:rPr>
        <w:sz w:val="20"/>
        <w:szCs w:val="20"/>
      </w:rPr>
      <w:t>not</w:t>
    </w:r>
    <w:r>
      <w:rPr>
        <w:sz w:val="20"/>
        <w:szCs w:val="20"/>
      </w:rPr>
      <w:t>_</w:t>
    </w:r>
    <w:r w:rsidR="00042BBC">
      <w:rPr>
        <w:sz w:val="20"/>
        <w:szCs w:val="20"/>
      </w:rPr>
      <w:t>0507</w:t>
    </w:r>
    <w:r w:rsidR="009F0BEC">
      <w:rPr>
        <w:sz w:val="20"/>
        <w:szCs w:val="20"/>
      </w:rPr>
      <w:t>17</w:t>
    </w:r>
    <w:r>
      <w:rPr>
        <w:sz w:val="20"/>
        <w:szCs w:val="20"/>
      </w:rPr>
      <w:t>_tranz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DB399" w14:textId="7FB6F075" w:rsidR="00A82BC2" w:rsidRPr="004D1F9A" w:rsidRDefault="00A82BC2" w:rsidP="004D1F9A">
    <w:pPr>
      <w:pStyle w:val="Footer"/>
      <w:jc w:val="both"/>
      <w:rPr>
        <w:sz w:val="20"/>
        <w:szCs w:val="20"/>
      </w:rPr>
    </w:pPr>
    <w:r>
      <w:rPr>
        <w:sz w:val="20"/>
        <w:szCs w:val="20"/>
      </w:rPr>
      <w:t>FMa</w:t>
    </w:r>
    <w:r w:rsidRPr="0062752B">
      <w:rPr>
        <w:sz w:val="20"/>
        <w:szCs w:val="20"/>
      </w:rPr>
      <w:t>not</w:t>
    </w:r>
    <w:r w:rsidR="004C21E4">
      <w:rPr>
        <w:sz w:val="20"/>
        <w:szCs w:val="20"/>
      </w:rPr>
      <w:t>_</w:t>
    </w:r>
    <w:r w:rsidR="00042BBC">
      <w:rPr>
        <w:sz w:val="20"/>
        <w:szCs w:val="20"/>
      </w:rPr>
      <w:t>0507</w:t>
    </w:r>
    <w:r w:rsidR="008516DD">
      <w:rPr>
        <w:sz w:val="20"/>
        <w:szCs w:val="20"/>
      </w:rPr>
      <w:t>17</w:t>
    </w:r>
    <w:r>
      <w:rPr>
        <w:sz w:val="20"/>
        <w:szCs w:val="20"/>
      </w:rPr>
      <w:t>_tranz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62D30" w14:textId="77777777" w:rsidR="003C6B2B" w:rsidRDefault="003C6B2B" w:rsidP="00CE4D88">
      <w:pPr>
        <w:spacing w:after="0" w:line="240" w:lineRule="auto"/>
      </w:pPr>
      <w:r>
        <w:separator/>
      </w:r>
    </w:p>
  </w:footnote>
  <w:footnote w:type="continuationSeparator" w:id="0">
    <w:p w14:paraId="07E5A62E" w14:textId="77777777" w:rsidR="003C6B2B" w:rsidRDefault="003C6B2B" w:rsidP="00CE4D88">
      <w:pPr>
        <w:spacing w:after="0" w:line="240" w:lineRule="auto"/>
      </w:pPr>
      <w:r>
        <w:continuationSeparator/>
      </w:r>
    </w:p>
  </w:footnote>
  <w:footnote w:id="1">
    <w:p w14:paraId="4FDF47EB" w14:textId="77777777" w:rsidR="00E2295C" w:rsidRDefault="00E2295C" w:rsidP="00E2295C">
      <w:pPr>
        <w:pStyle w:val="FootnoteText"/>
      </w:pPr>
      <w:r>
        <w:rPr>
          <w:rStyle w:val="FootnoteReference"/>
        </w:rPr>
        <w:t>[1]</w:t>
      </w:r>
      <w:r>
        <w:t xml:space="preserve"> </w:t>
      </w:r>
      <w:r>
        <w:rPr>
          <w:lang w:eastAsia="lv-LV"/>
        </w:rPr>
        <w:t>1956.gada 18.maija Muitas konvencija par konteineriem, 1972.gada 2.decembra Muitas konvencija par konteineriem, TIR konvencijas 7.pielikums.</w:t>
      </w:r>
    </w:p>
  </w:footnote>
  <w:footnote w:id="2">
    <w:p w14:paraId="21E93FEA" w14:textId="77777777" w:rsidR="00710443" w:rsidRDefault="00710443" w:rsidP="00710443">
      <w:pPr>
        <w:pStyle w:val="FootnoteText"/>
        <w:jc w:val="both"/>
      </w:pPr>
      <w:r>
        <w:rPr>
          <w:rStyle w:val="FootnoteReference"/>
        </w:rPr>
        <w:footnoteRef/>
      </w:r>
      <w:r>
        <w:t xml:space="preserve"> Saskaņā ar noteikuma projekta 3</w:t>
      </w:r>
      <w:r w:rsidRPr="00710443">
        <w:t>.pantu</w:t>
      </w:r>
      <w:r>
        <w:t xml:space="preserve"> t</w:t>
      </w:r>
      <w:r w:rsidRPr="00710443">
        <w:t>ranzīta procedūras izpildi un pabeigšanu kontrolē Valsts ieņēmumu dienests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686490"/>
      <w:docPartObj>
        <w:docPartGallery w:val="Page Numbers (Top of Page)"/>
        <w:docPartUnique/>
      </w:docPartObj>
    </w:sdtPr>
    <w:sdtEndPr>
      <w:rPr>
        <w:noProof/>
      </w:rPr>
    </w:sdtEndPr>
    <w:sdtContent>
      <w:p w14:paraId="4EC19440" w14:textId="6719E051" w:rsidR="00A82BC2" w:rsidRDefault="00A82BC2">
        <w:pPr>
          <w:pStyle w:val="Header"/>
          <w:jc w:val="center"/>
        </w:pPr>
        <w:r>
          <w:fldChar w:fldCharType="begin"/>
        </w:r>
        <w:r>
          <w:instrText xml:space="preserve"> PAGE   \* MERGEFORMAT </w:instrText>
        </w:r>
        <w:r>
          <w:fldChar w:fldCharType="separate"/>
        </w:r>
        <w:r w:rsidR="00C11053">
          <w:rPr>
            <w:noProof/>
          </w:rPr>
          <w:t>19</w:t>
        </w:r>
        <w:r>
          <w:rPr>
            <w:noProof/>
          </w:rPr>
          <w:fldChar w:fldCharType="end"/>
        </w:r>
      </w:p>
    </w:sdtContent>
  </w:sdt>
  <w:p w14:paraId="73613B75" w14:textId="77777777" w:rsidR="00A82BC2" w:rsidRDefault="00A82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E3A"/>
    <w:multiLevelType w:val="hybridMultilevel"/>
    <w:tmpl w:val="FD44C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053D55"/>
    <w:multiLevelType w:val="hybridMultilevel"/>
    <w:tmpl w:val="FD44C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A20AF7"/>
    <w:multiLevelType w:val="multilevel"/>
    <w:tmpl w:val="5022A71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B91E4C"/>
    <w:multiLevelType w:val="hybridMultilevel"/>
    <w:tmpl w:val="4B3CCD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E07C94"/>
    <w:multiLevelType w:val="hybridMultilevel"/>
    <w:tmpl w:val="257A3E7C"/>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5" w15:restartNumberingAfterBreak="0">
    <w:nsid w:val="4150511B"/>
    <w:multiLevelType w:val="hybridMultilevel"/>
    <w:tmpl w:val="19A299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2F25F43"/>
    <w:multiLevelType w:val="hybridMultilevel"/>
    <w:tmpl w:val="EA185C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3D52ED"/>
    <w:multiLevelType w:val="hybridMultilevel"/>
    <w:tmpl w:val="07CA1D6A"/>
    <w:lvl w:ilvl="0" w:tplc="5C42C18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09B780F"/>
    <w:multiLevelType w:val="hybridMultilevel"/>
    <w:tmpl w:val="53928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7A087A"/>
    <w:multiLevelType w:val="hybridMultilevel"/>
    <w:tmpl w:val="B494357C"/>
    <w:lvl w:ilvl="0" w:tplc="D068BD7C">
      <w:start w:val="1"/>
      <w:numFmt w:val="decimal"/>
      <w:lvlText w:val="%1."/>
      <w:lvlJc w:val="left"/>
      <w:pPr>
        <w:ind w:left="865" w:hanging="360"/>
      </w:pPr>
      <w:rPr>
        <w:rFonts w:hint="default"/>
      </w:rPr>
    </w:lvl>
    <w:lvl w:ilvl="1" w:tplc="04260019" w:tentative="1">
      <w:start w:val="1"/>
      <w:numFmt w:val="lowerLetter"/>
      <w:lvlText w:val="%2."/>
      <w:lvlJc w:val="left"/>
      <w:pPr>
        <w:ind w:left="1585" w:hanging="360"/>
      </w:pPr>
    </w:lvl>
    <w:lvl w:ilvl="2" w:tplc="0426001B" w:tentative="1">
      <w:start w:val="1"/>
      <w:numFmt w:val="lowerRoman"/>
      <w:lvlText w:val="%3."/>
      <w:lvlJc w:val="right"/>
      <w:pPr>
        <w:ind w:left="2305" w:hanging="180"/>
      </w:pPr>
    </w:lvl>
    <w:lvl w:ilvl="3" w:tplc="0426000F" w:tentative="1">
      <w:start w:val="1"/>
      <w:numFmt w:val="decimal"/>
      <w:lvlText w:val="%4."/>
      <w:lvlJc w:val="left"/>
      <w:pPr>
        <w:ind w:left="3025" w:hanging="360"/>
      </w:pPr>
    </w:lvl>
    <w:lvl w:ilvl="4" w:tplc="04260019" w:tentative="1">
      <w:start w:val="1"/>
      <w:numFmt w:val="lowerLetter"/>
      <w:lvlText w:val="%5."/>
      <w:lvlJc w:val="left"/>
      <w:pPr>
        <w:ind w:left="3745" w:hanging="360"/>
      </w:pPr>
    </w:lvl>
    <w:lvl w:ilvl="5" w:tplc="0426001B" w:tentative="1">
      <w:start w:val="1"/>
      <w:numFmt w:val="lowerRoman"/>
      <w:lvlText w:val="%6."/>
      <w:lvlJc w:val="right"/>
      <w:pPr>
        <w:ind w:left="4465" w:hanging="180"/>
      </w:pPr>
    </w:lvl>
    <w:lvl w:ilvl="6" w:tplc="0426000F" w:tentative="1">
      <w:start w:val="1"/>
      <w:numFmt w:val="decimal"/>
      <w:lvlText w:val="%7."/>
      <w:lvlJc w:val="left"/>
      <w:pPr>
        <w:ind w:left="5185" w:hanging="360"/>
      </w:pPr>
    </w:lvl>
    <w:lvl w:ilvl="7" w:tplc="04260019" w:tentative="1">
      <w:start w:val="1"/>
      <w:numFmt w:val="lowerLetter"/>
      <w:lvlText w:val="%8."/>
      <w:lvlJc w:val="left"/>
      <w:pPr>
        <w:ind w:left="5905" w:hanging="360"/>
      </w:pPr>
    </w:lvl>
    <w:lvl w:ilvl="8" w:tplc="0426001B" w:tentative="1">
      <w:start w:val="1"/>
      <w:numFmt w:val="lowerRoman"/>
      <w:lvlText w:val="%9."/>
      <w:lvlJc w:val="right"/>
      <w:pPr>
        <w:ind w:left="6625" w:hanging="180"/>
      </w:pPr>
    </w:lvl>
  </w:abstractNum>
  <w:abstractNum w:abstractNumId="10" w15:restartNumberingAfterBreak="0">
    <w:nsid w:val="6D367223"/>
    <w:multiLevelType w:val="hybridMultilevel"/>
    <w:tmpl w:val="F2DA3B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60904E5"/>
    <w:multiLevelType w:val="hybridMultilevel"/>
    <w:tmpl w:val="2214B400"/>
    <w:lvl w:ilvl="0" w:tplc="99AA768A">
      <w:start w:val="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7677782C"/>
    <w:multiLevelType w:val="hybridMultilevel"/>
    <w:tmpl w:val="FD44C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C517AA7"/>
    <w:multiLevelType w:val="hybridMultilevel"/>
    <w:tmpl w:val="681EBA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2"/>
  </w:num>
  <w:num w:numId="4">
    <w:abstractNumId w:val="3"/>
  </w:num>
  <w:num w:numId="5">
    <w:abstractNumId w:val="0"/>
  </w:num>
  <w:num w:numId="6">
    <w:abstractNumId w:val="6"/>
  </w:num>
  <w:num w:numId="7">
    <w:abstractNumId w:val="8"/>
  </w:num>
  <w:num w:numId="8">
    <w:abstractNumId w:val="5"/>
  </w:num>
  <w:num w:numId="9">
    <w:abstractNumId w:val="11"/>
  </w:num>
  <w:num w:numId="10">
    <w:abstractNumId w:val="7"/>
  </w:num>
  <w:num w:numId="11">
    <w:abstractNumId w:val="2"/>
  </w:num>
  <w:num w:numId="12">
    <w:abstractNumId w:val="9"/>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E6"/>
    <w:rsid w:val="00002528"/>
    <w:rsid w:val="00005D79"/>
    <w:rsid w:val="00011975"/>
    <w:rsid w:val="00013318"/>
    <w:rsid w:val="00013BC5"/>
    <w:rsid w:val="000178D9"/>
    <w:rsid w:val="00024420"/>
    <w:rsid w:val="00031824"/>
    <w:rsid w:val="000334EA"/>
    <w:rsid w:val="00034414"/>
    <w:rsid w:val="000345D2"/>
    <w:rsid w:val="0004088C"/>
    <w:rsid w:val="00042B0F"/>
    <w:rsid w:val="00042B49"/>
    <w:rsid w:val="00042BBC"/>
    <w:rsid w:val="00044B24"/>
    <w:rsid w:val="00050CBB"/>
    <w:rsid w:val="000514EE"/>
    <w:rsid w:val="00052D58"/>
    <w:rsid w:val="00057BD7"/>
    <w:rsid w:val="00060EB7"/>
    <w:rsid w:val="00061EE0"/>
    <w:rsid w:val="00062BC2"/>
    <w:rsid w:val="00065975"/>
    <w:rsid w:val="00065A63"/>
    <w:rsid w:val="00066758"/>
    <w:rsid w:val="00070CFF"/>
    <w:rsid w:val="000729FD"/>
    <w:rsid w:val="00073804"/>
    <w:rsid w:val="000739CF"/>
    <w:rsid w:val="00074E09"/>
    <w:rsid w:val="000816CC"/>
    <w:rsid w:val="00090A3C"/>
    <w:rsid w:val="0009109B"/>
    <w:rsid w:val="00095ABA"/>
    <w:rsid w:val="000A13B2"/>
    <w:rsid w:val="000A1E0C"/>
    <w:rsid w:val="000A4250"/>
    <w:rsid w:val="000A4E9B"/>
    <w:rsid w:val="000A79F0"/>
    <w:rsid w:val="000A7F2F"/>
    <w:rsid w:val="000B101E"/>
    <w:rsid w:val="000C72BD"/>
    <w:rsid w:val="000C7692"/>
    <w:rsid w:val="000D00C0"/>
    <w:rsid w:val="000D0B15"/>
    <w:rsid w:val="000D1777"/>
    <w:rsid w:val="00104131"/>
    <w:rsid w:val="00104EB7"/>
    <w:rsid w:val="00105B8A"/>
    <w:rsid w:val="0010635D"/>
    <w:rsid w:val="00110EF4"/>
    <w:rsid w:val="001118EF"/>
    <w:rsid w:val="00121314"/>
    <w:rsid w:val="00124367"/>
    <w:rsid w:val="00131BD9"/>
    <w:rsid w:val="00132DD6"/>
    <w:rsid w:val="00132DFB"/>
    <w:rsid w:val="0013408A"/>
    <w:rsid w:val="00144101"/>
    <w:rsid w:val="00147FD6"/>
    <w:rsid w:val="00151866"/>
    <w:rsid w:val="00151CBA"/>
    <w:rsid w:val="00154077"/>
    <w:rsid w:val="00156091"/>
    <w:rsid w:val="00160A62"/>
    <w:rsid w:val="00161D69"/>
    <w:rsid w:val="00163B6D"/>
    <w:rsid w:val="00163EDA"/>
    <w:rsid w:val="00170CE0"/>
    <w:rsid w:val="00171009"/>
    <w:rsid w:val="00173796"/>
    <w:rsid w:val="001805F6"/>
    <w:rsid w:val="001807E9"/>
    <w:rsid w:val="0018266F"/>
    <w:rsid w:val="001827E5"/>
    <w:rsid w:val="001950EB"/>
    <w:rsid w:val="00195190"/>
    <w:rsid w:val="001A0904"/>
    <w:rsid w:val="001A144F"/>
    <w:rsid w:val="001A17B6"/>
    <w:rsid w:val="001A6CEB"/>
    <w:rsid w:val="001B0137"/>
    <w:rsid w:val="001B0689"/>
    <w:rsid w:val="001B7163"/>
    <w:rsid w:val="001B7615"/>
    <w:rsid w:val="001C3108"/>
    <w:rsid w:val="001C51BF"/>
    <w:rsid w:val="001D2F2C"/>
    <w:rsid w:val="001D3942"/>
    <w:rsid w:val="001E11B7"/>
    <w:rsid w:val="001E7789"/>
    <w:rsid w:val="001F43C5"/>
    <w:rsid w:val="001F7986"/>
    <w:rsid w:val="00200A23"/>
    <w:rsid w:val="00203277"/>
    <w:rsid w:val="00206350"/>
    <w:rsid w:val="00207F20"/>
    <w:rsid w:val="00212075"/>
    <w:rsid w:val="00214F2C"/>
    <w:rsid w:val="00216D11"/>
    <w:rsid w:val="00220EAE"/>
    <w:rsid w:val="00231C7F"/>
    <w:rsid w:val="00240593"/>
    <w:rsid w:val="00240F51"/>
    <w:rsid w:val="00241989"/>
    <w:rsid w:val="00243ED8"/>
    <w:rsid w:val="002442F5"/>
    <w:rsid w:val="002567C1"/>
    <w:rsid w:val="002575EA"/>
    <w:rsid w:val="002616DF"/>
    <w:rsid w:val="00261AE8"/>
    <w:rsid w:val="0026571E"/>
    <w:rsid w:val="00266C73"/>
    <w:rsid w:val="00266EC7"/>
    <w:rsid w:val="0027083F"/>
    <w:rsid w:val="00275F82"/>
    <w:rsid w:val="00277855"/>
    <w:rsid w:val="0028710C"/>
    <w:rsid w:val="002907B4"/>
    <w:rsid w:val="002923CC"/>
    <w:rsid w:val="00293F90"/>
    <w:rsid w:val="002A0204"/>
    <w:rsid w:val="002A051E"/>
    <w:rsid w:val="002A1110"/>
    <w:rsid w:val="002A456D"/>
    <w:rsid w:val="002A631F"/>
    <w:rsid w:val="002A7042"/>
    <w:rsid w:val="002B3534"/>
    <w:rsid w:val="002B5AF6"/>
    <w:rsid w:val="002C252A"/>
    <w:rsid w:val="002C46AB"/>
    <w:rsid w:val="002C5206"/>
    <w:rsid w:val="002C531D"/>
    <w:rsid w:val="002C5490"/>
    <w:rsid w:val="002E2440"/>
    <w:rsid w:val="002E2908"/>
    <w:rsid w:val="002F2B9D"/>
    <w:rsid w:val="002F60C4"/>
    <w:rsid w:val="00300F7C"/>
    <w:rsid w:val="00303218"/>
    <w:rsid w:val="00306E19"/>
    <w:rsid w:val="00307B54"/>
    <w:rsid w:val="00311257"/>
    <w:rsid w:val="0031182C"/>
    <w:rsid w:val="00315540"/>
    <w:rsid w:val="00320015"/>
    <w:rsid w:val="003200B0"/>
    <w:rsid w:val="003252A4"/>
    <w:rsid w:val="00331C57"/>
    <w:rsid w:val="00334773"/>
    <w:rsid w:val="00334F7C"/>
    <w:rsid w:val="0033661F"/>
    <w:rsid w:val="00341EAF"/>
    <w:rsid w:val="00342A3D"/>
    <w:rsid w:val="00343E11"/>
    <w:rsid w:val="0034553D"/>
    <w:rsid w:val="00345897"/>
    <w:rsid w:val="00345B2A"/>
    <w:rsid w:val="003462D6"/>
    <w:rsid w:val="0034665D"/>
    <w:rsid w:val="003523B6"/>
    <w:rsid w:val="003536D5"/>
    <w:rsid w:val="0035535F"/>
    <w:rsid w:val="00357E6A"/>
    <w:rsid w:val="00362CBA"/>
    <w:rsid w:val="003638C9"/>
    <w:rsid w:val="00365851"/>
    <w:rsid w:val="0037347C"/>
    <w:rsid w:val="0037647B"/>
    <w:rsid w:val="00376D51"/>
    <w:rsid w:val="00394F0D"/>
    <w:rsid w:val="003A0EDB"/>
    <w:rsid w:val="003A22FC"/>
    <w:rsid w:val="003A4BE6"/>
    <w:rsid w:val="003B49F8"/>
    <w:rsid w:val="003B5BB3"/>
    <w:rsid w:val="003B71DC"/>
    <w:rsid w:val="003C0EEB"/>
    <w:rsid w:val="003C52FB"/>
    <w:rsid w:val="003C6B2B"/>
    <w:rsid w:val="003D0CF3"/>
    <w:rsid w:val="003D44B8"/>
    <w:rsid w:val="003D4842"/>
    <w:rsid w:val="003D4925"/>
    <w:rsid w:val="003D780C"/>
    <w:rsid w:val="003E1AB9"/>
    <w:rsid w:val="003E3B60"/>
    <w:rsid w:val="003E4203"/>
    <w:rsid w:val="003F127D"/>
    <w:rsid w:val="003F1B3D"/>
    <w:rsid w:val="003F787F"/>
    <w:rsid w:val="0041296C"/>
    <w:rsid w:val="004174A4"/>
    <w:rsid w:val="0041760E"/>
    <w:rsid w:val="004202B1"/>
    <w:rsid w:val="004238BB"/>
    <w:rsid w:val="00425F28"/>
    <w:rsid w:val="00427FBF"/>
    <w:rsid w:val="0043624D"/>
    <w:rsid w:val="00441AA4"/>
    <w:rsid w:val="00451A1A"/>
    <w:rsid w:val="004629EC"/>
    <w:rsid w:val="00462ABF"/>
    <w:rsid w:val="00464C8A"/>
    <w:rsid w:val="00465514"/>
    <w:rsid w:val="004708E1"/>
    <w:rsid w:val="00470AF9"/>
    <w:rsid w:val="00470EA2"/>
    <w:rsid w:val="00476370"/>
    <w:rsid w:val="00480EAD"/>
    <w:rsid w:val="00484085"/>
    <w:rsid w:val="00485AA7"/>
    <w:rsid w:val="00487FA7"/>
    <w:rsid w:val="00492F64"/>
    <w:rsid w:val="00493716"/>
    <w:rsid w:val="0049411D"/>
    <w:rsid w:val="004978B8"/>
    <w:rsid w:val="004A01FB"/>
    <w:rsid w:val="004A1DA5"/>
    <w:rsid w:val="004A4141"/>
    <w:rsid w:val="004C21E4"/>
    <w:rsid w:val="004C29A6"/>
    <w:rsid w:val="004C3B69"/>
    <w:rsid w:val="004C4C34"/>
    <w:rsid w:val="004D045F"/>
    <w:rsid w:val="004D1F9A"/>
    <w:rsid w:val="004E2C2B"/>
    <w:rsid w:val="004F0E07"/>
    <w:rsid w:val="00500885"/>
    <w:rsid w:val="00501142"/>
    <w:rsid w:val="0050510A"/>
    <w:rsid w:val="0050519F"/>
    <w:rsid w:val="00505C2C"/>
    <w:rsid w:val="005140B5"/>
    <w:rsid w:val="0052177A"/>
    <w:rsid w:val="00526C7F"/>
    <w:rsid w:val="00531BD4"/>
    <w:rsid w:val="00533B64"/>
    <w:rsid w:val="00533FA8"/>
    <w:rsid w:val="0053696C"/>
    <w:rsid w:val="00542E33"/>
    <w:rsid w:val="00555EEA"/>
    <w:rsid w:val="0055674F"/>
    <w:rsid w:val="0055712F"/>
    <w:rsid w:val="005613EA"/>
    <w:rsid w:val="00563525"/>
    <w:rsid w:val="00563B81"/>
    <w:rsid w:val="00566458"/>
    <w:rsid w:val="00581DD5"/>
    <w:rsid w:val="00582E76"/>
    <w:rsid w:val="0058383F"/>
    <w:rsid w:val="00590E0D"/>
    <w:rsid w:val="00591F47"/>
    <w:rsid w:val="005939AE"/>
    <w:rsid w:val="00594438"/>
    <w:rsid w:val="0059781E"/>
    <w:rsid w:val="0059789F"/>
    <w:rsid w:val="005A27AA"/>
    <w:rsid w:val="005A48D7"/>
    <w:rsid w:val="005A7A4F"/>
    <w:rsid w:val="005B06BB"/>
    <w:rsid w:val="005B38C3"/>
    <w:rsid w:val="005B6D59"/>
    <w:rsid w:val="005C7470"/>
    <w:rsid w:val="005D4396"/>
    <w:rsid w:val="005D4AE6"/>
    <w:rsid w:val="005D518C"/>
    <w:rsid w:val="005D6973"/>
    <w:rsid w:val="005E3169"/>
    <w:rsid w:val="005E5A60"/>
    <w:rsid w:val="005E6CDA"/>
    <w:rsid w:val="005E7FC3"/>
    <w:rsid w:val="005F3214"/>
    <w:rsid w:val="005F45D9"/>
    <w:rsid w:val="005F741E"/>
    <w:rsid w:val="005F7F49"/>
    <w:rsid w:val="00601980"/>
    <w:rsid w:val="0060380F"/>
    <w:rsid w:val="00605367"/>
    <w:rsid w:val="00605CCF"/>
    <w:rsid w:val="006071A8"/>
    <w:rsid w:val="00610EA3"/>
    <w:rsid w:val="00616FA9"/>
    <w:rsid w:val="00622A8F"/>
    <w:rsid w:val="00624039"/>
    <w:rsid w:val="0062668A"/>
    <w:rsid w:val="0062752B"/>
    <w:rsid w:val="0063170F"/>
    <w:rsid w:val="00635762"/>
    <w:rsid w:val="006371CE"/>
    <w:rsid w:val="006437E5"/>
    <w:rsid w:val="006458CA"/>
    <w:rsid w:val="00646392"/>
    <w:rsid w:val="00646919"/>
    <w:rsid w:val="00652B17"/>
    <w:rsid w:val="00653B6F"/>
    <w:rsid w:val="00653C36"/>
    <w:rsid w:val="00654BA0"/>
    <w:rsid w:val="00660B6C"/>
    <w:rsid w:val="00660D6F"/>
    <w:rsid w:val="00665A69"/>
    <w:rsid w:val="006664DE"/>
    <w:rsid w:val="006671A4"/>
    <w:rsid w:val="00667682"/>
    <w:rsid w:val="00676F8E"/>
    <w:rsid w:val="00681500"/>
    <w:rsid w:val="006853DD"/>
    <w:rsid w:val="006902D1"/>
    <w:rsid w:val="0069338E"/>
    <w:rsid w:val="006A45A9"/>
    <w:rsid w:val="006B0E41"/>
    <w:rsid w:val="006B4CF3"/>
    <w:rsid w:val="006B5656"/>
    <w:rsid w:val="006B76A6"/>
    <w:rsid w:val="006D5214"/>
    <w:rsid w:val="006E03A4"/>
    <w:rsid w:val="006E0F94"/>
    <w:rsid w:val="006E3714"/>
    <w:rsid w:val="006E587C"/>
    <w:rsid w:val="006F0096"/>
    <w:rsid w:val="006F2FEA"/>
    <w:rsid w:val="007017C8"/>
    <w:rsid w:val="00703911"/>
    <w:rsid w:val="00703DDF"/>
    <w:rsid w:val="00710443"/>
    <w:rsid w:val="00710AA1"/>
    <w:rsid w:val="00711247"/>
    <w:rsid w:val="00720641"/>
    <w:rsid w:val="0072108F"/>
    <w:rsid w:val="007218FD"/>
    <w:rsid w:val="00721902"/>
    <w:rsid w:val="0072255E"/>
    <w:rsid w:val="0072367F"/>
    <w:rsid w:val="007251B2"/>
    <w:rsid w:val="0072603D"/>
    <w:rsid w:val="007263A1"/>
    <w:rsid w:val="00737367"/>
    <w:rsid w:val="00740A97"/>
    <w:rsid w:val="007428FF"/>
    <w:rsid w:val="0074527A"/>
    <w:rsid w:val="0075067E"/>
    <w:rsid w:val="00750FC8"/>
    <w:rsid w:val="00751246"/>
    <w:rsid w:val="007551E0"/>
    <w:rsid w:val="00755BD2"/>
    <w:rsid w:val="00755F00"/>
    <w:rsid w:val="007563AA"/>
    <w:rsid w:val="00763A89"/>
    <w:rsid w:val="00764BEB"/>
    <w:rsid w:val="00767BFB"/>
    <w:rsid w:val="00770F73"/>
    <w:rsid w:val="00773735"/>
    <w:rsid w:val="00773B23"/>
    <w:rsid w:val="00774C21"/>
    <w:rsid w:val="00775E71"/>
    <w:rsid w:val="00786F83"/>
    <w:rsid w:val="00793683"/>
    <w:rsid w:val="00796237"/>
    <w:rsid w:val="007A34CB"/>
    <w:rsid w:val="007A4169"/>
    <w:rsid w:val="007A535D"/>
    <w:rsid w:val="007B3EA1"/>
    <w:rsid w:val="007B5179"/>
    <w:rsid w:val="007C5AF6"/>
    <w:rsid w:val="007D38FE"/>
    <w:rsid w:val="007E0D83"/>
    <w:rsid w:val="007E6459"/>
    <w:rsid w:val="007E71EA"/>
    <w:rsid w:val="007E77E4"/>
    <w:rsid w:val="007E7FEB"/>
    <w:rsid w:val="007F2898"/>
    <w:rsid w:val="007F768A"/>
    <w:rsid w:val="00802BDD"/>
    <w:rsid w:val="00803477"/>
    <w:rsid w:val="008113DB"/>
    <w:rsid w:val="00811C3C"/>
    <w:rsid w:val="00814660"/>
    <w:rsid w:val="00817321"/>
    <w:rsid w:val="00817DBF"/>
    <w:rsid w:val="00821EE9"/>
    <w:rsid w:val="00824B8E"/>
    <w:rsid w:val="00826B26"/>
    <w:rsid w:val="00830D77"/>
    <w:rsid w:val="0084006E"/>
    <w:rsid w:val="00843DFB"/>
    <w:rsid w:val="008449A0"/>
    <w:rsid w:val="00844A8A"/>
    <w:rsid w:val="008464D2"/>
    <w:rsid w:val="00847F6F"/>
    <w:rsid w:val="008516DD"/>
    <w:rsid w:val="0085595E"/>
    <w:rsid w:val="0086477C"/>
    <w:rsid w:val="00864DF9"/>
    <w:rsid w:val="00873AC6"/>
    <w:rsid w:val="00874E92"/>
    <w:rsid w:val="00883365"/>
    <w:rsid w:val="00883B89"/>
    <w:rsid w:val="0088585E"/>
    <w:rsid w:val="0089436D"/>
    <w:rsid w:val="008959E1"/>
    <w:rsid w:val="008A01F4"/>
    <w:rsid w:val="008A16EF"/>
    <w:rsid w:val="008A2FF4"/>
    <w:rsid w:val="008B1508"/>
    <w:rsid w:val="008C0079"/>
    <w:rsid w:val="008C1ADA"/>
    <w:rsid w:val="008C6530"/>
    <w:rsid w:val="008D2F9B"/>
    <w:rsid w:val="008D783B"/>
    <w:rsid w:val="008D7F7F"/>
    <w:rsid w:val="008E4C8A"/>
    <w:rsid w:val="008F41B5"/>
    <w:rsid w:val="008F546C"/>
    <w:rsid w:val="00901CEF"/>
    <w:rsid w:val="00902191"/>
    <w:rsid w:val="00902E1A"/>
    <w:rsid w:val="009032BE"/>
    <w:rsid w:val="00904783"/>
    <w:rsid w:val="00904FAA"/>
    <w:rsid w:val="00905BEF"/>
    <w:rsid w:val="00912FDB"/>
    <w:rsid w:val="00914026"/>
    <w:rsid w:val="00914B11"/>
    <w:rsid w:val="00920DBA"/>
    <w:rsid w:val="00922E9A"/>
    <w:rsid w:val="00930AE2"/>
    <w:rsid w:val="009313B8"/>
    <w:rsid w:val="00934910"/>
    <w:rsid w:val="00937297"/>
    <w:rsid w:val="0094096E"/>
    <w:rsid w:val="009438E4"/>
    <w:rsid w:val="0095128F"/>
    <w:rsid w:val="00952F49"/>
    <w:rsid w:val="00954639"/>
    <w:rsid w:val="00960BBB"/>
    <w:rsid w:val="009646B8"/>
    <w:rsid w:val="00964C79"/>
    <w:rsid w:val="00965493"/>
    <w:rsid w:val="00980E52"/>
    <w:rsid w:val="00985345"/>
    <w:rsid w:val="009A0335"/>
    <w:rsid w:val="009A51CC"/>
    <w:rsid w:val="009C0222"/>
    <w:rsid w:val="009C0976"/>
    <w:rsid w:val="009C10ED"/>
    <w:rsid w:val="009C68B6"/>
    <w:rsid w:val="009D14BA"/>
    <w:rsid w:val="009D2D1F"/>
    <w:rsid w:val="009D33D9"/>
    <w:rsid w:val="009E6F5C"/>
    <w:rsid w:val="009F0BEC"/>
    <w:rsid w:val="009F3C39"/>
    <w:rsid w:val="009F7A44"/>
    <w:rsid w:val="00A007BC"/>
    <w:rsid w:val="00A07178"/>
    <w:rsid w:val="00A10BA2"/>
    <w:rsid w:val="00A115BA"/>
    <w:rsid w:val="00A156B9"/>
    <w:rsid w:val="00A2073A"/>
    <w:rsid w:val="00A21489"/>
    <w:rsid w:val="00A22E8F"/>
    <w:rsid w:val="00A25683"/>
    <w:rsid w:val="00A27A70"/>
    <w:rsid w:val="00A30EB2"/>
    <w:rsid w:val="00A316C9"/>
    <w:rsid w:val="00A32D4A"/>
    <w:rsid w:val="00A34D02"/>
    <w:rsid w:val="00A40CD4"/>
    <w:rsid w:val="00A51823"/>
    <w:rsid w:val="00A52A2C"/>
    <w:rsid w:val="00A561BF"/>
    <w:rsid w:val="00A60009"/>
    <w:rsid w:val="00A755DE"/>
    <w:rsid w:val="00A76C3B"/>
    <w:rsid w:val="00A82BC2"/>
    <w:rsid w:val="00A85DB5"/>
    <w:rsid w:val="00A90E6E"/>
    <w:rsid w:val="00A931D5"/>
    <w:rsid w:val="00A9649F"/>
    <w:rsid w:val="00AA0506"/>
    <w:rsid w:val="00AC2F80"/>
    <w:rsid w:val="00AC6491"/>
    <w:rsid w:val="00AC6988"/>
    <w:rsid w:val="00AD07C2"/>
    <w:rsid w:val="00AD0CE8"/>
    <w:rsid w:val="00AD2E44"/>
    <w:rsid w:val="00AE3B9D"/>
    <w:rsid w:val="00AF1558"/>
    <w:rsid w:val="00AF23BC"/>
    <w:rsid w:val="00AF41B0"/>
    <w:rsid w:val="00B009BB"/>
    <w:rsid w:val="00B03311"/>
    <w:rsid w:val="00B0582E"/>
    <w:rsid w:val="00B12301"/>
    <w:rsid w:val="00B135F5"/>
    <w:rsid w:val="00B20DDD"/>
    <w:rsid w:val="00B2725C"/>
    <w:rsid w:val="00B3100A"/>
    <w:rsid w:val="00B317F3"/>
    <w:rsid w:val="00B33325"/>
    <w:rsid w:val="00B37178"/>
    <w:rsid w:val="00B4474B"/>
    <w:rsid w:val="00B45851"/>
    <w:rsid w:val="00B46D65"/>
    <w:rsid w:val="00B47534"/>
    <w:rsid w:val="00B47F60"/>
    <w:rsid w:val="00B522B8"/>
    <w:rsid w:val="00B56CD5"/>
    <w:rsid w:val="00B60780"/>
    <w:rsid w:val="00B60859"/>
    <w:rsid w:val="00B62E9D"/>
    <w:rsid w:val="00B63CA0"/>
    <w:rsid w:val="00B66928"/>
    <w:rsid w:val="00B66C47"/>
    <w:rsid w:val="00B74C76"/>
    <w:rsid w:val="00B84776"/>
    <w:rsid w:val="00B90F93"/>
    <w:rsid w:val="00B911B4"/>
    <w:rsid w:val="00B94DB2"/>
    <w:rsid w:val="00B9773A"/>
    <w:rsid w:val="00BA62F1"/>
    <w:rsid w:val="00BB0FDA"/>
    <w:rsid w:val="00BB2D4A"/>
    <w:rsid w:val="00BB59B3"/>
    <w:rsid w:val="00BC2513"/>
    <w:rsid w:val="00BC3246"/>
    <w:rsid w:val="00BC5367"/>
    <w:rsid w:val="00BD21F5"/>
    <w:rsid w:val="00BD7028"/>
    <w:rsid w:val="00BE333C"/>
    <w:rsid w:val="00BE3E80"/>
    <w:rsid w:val="00BE6A43"/>
    <w:rsid w:val="00BF077D"/>
    <w:rsid w:val="00BF11AA"/>
    <w:rsid w:val="00BF4E60"/>
    <w:rsid w:val="00BF5D30"/>
    <w:rsid w:val="00C0383D"/>
    <w:rsid w:val="00C07327"/>
    <w:rsid w:val="00C11053"/>
    <w:rsid w:val="00C1320E"/>
    <w:rsid w:val="00C15048"/>
    <w:rsid w:val="00C20009"/>
    <w:rsid w:val="00C2562F"/>
    <w:rsid w:val="00C321CF"/>
    <w:rsid w:val="00C40303"/>
    <w:rsid w:val="00C41CDD"/>
    <w:rsid w:val="00C43B44"/>
    <w:rsid w:val="00C461B7"/>
    <w:rsid w:val="00C50C69"/>
    <w:rsid w:val="00C52198"/>
    <w:rsid w:val="00C53586"/>
    <w:rsid w:val="00C627CC"/>
    <w:rsid w:val="00C6398B"/>
    <w:rsid w:val="00C71A66"/>
    <w:rsid w:val="00C71F54"/>
    <w:rsid w:val="00C724CE"/>
    <w:rsid w:val="00C72CB1"/>
    <w:rsid w:val="00C7302E"/>
    <w:rsid w:val="00C77181"/>
    <w:rsid w:val="00C838E1"/>
    <w:rsid w:val="00C92652"/>
    <w:rsid w:val="00C9468E"/>
    <w:rsid w:val="00C94991"/>
    <w:rsid w:val="00C9754E"/>
    <w:rsid w:val="00CA10D0"/>
    <w:rsid w:val="00CA3874"/>
    <w:rsid w:val="00CA5BA6"/>
    <w:rsid w:val="00CA5EE3"/>
    <w:rsid w:val="00CA6A2F"/>
    <w:rsid w:val="00CB078A"/>
    <w:rsid w:val="00CB4E50"/>
    <w:rsid w:val="00CC3AFF"/>
    <w:rsid w:val="00CC676B"/>
    <w:rsid w:val="00CD7023"/>
    <w:rsid w:val="00CE05B1"/>
    <w:rsid w:val="00CE4448"/>
    <w:rsid w:val="00CE4D88"/>
    <w:rsid w:val="00CE51A7"/>
    <w:rsid w:val="00CE54F4"/>
    <w:rsid w:val="00CE6EFB"/>
    <w:rsid w:val="00CF15E9"/>
    <w:rsid w:val="00CF1D93"/>
    <w:rsid w:val="00CF24BB"/>
    <w:rsid w:val="00CF4D10"/>
    <w:rsid w:val="00CF7F5A"/>
    <w:rsid w:val="00D01A6B"/>
    <w:rsid w:val="00D05436"/>
    <w:rsid w:val="00D12A2B"/>
    <w:rsid w:val="00D12F7D"/>
    <w:rsid w:val="00D2298F"/>
    <w:rsid w:val="00D2569C"/>
    <w:rsid w:val="00D25915"/>
    <w:rsid w:val="00D30689"/>
    <w:rsid w:val="00D44107"/>
    <w:rsid w:val="00D44CF3"/>
    <w:rsid w:val="00D46637"/>
    <w:rsid w:val="00D47070"/>
    <w:rsid w:val="00D52DC5"/>
    <w:rsid w:val="00D55AE4"/>
    <w:rsid w:val="00D56B76"/>
    <w:rsid w:val="00D56C9D"/>
    <w:rsid w:val="00D6223D"/>
    <w:rsid w:val="00D63152"/>
    <w:rsid w:val="00D6535E"/>
    <w:rsid w:val="00D714D6"/>
    <w:rsid w:val="00D8477E"/>
    <w:rsid w:val="00D84E1B"/>
    <w:rsid w:val="00D9550C"/>
    <w:rsid w:val="00D96E7E"/>
    <w:rsid w:val="00DA5AC1"/>
    <w:rsid w:val="00DA6C24"/>
    <w:rsid w:val="00DB0972"/>
    <w:rsid w:val="00DB3465"/>
    <w:rsid w:val="00DB668E"/>
    <w:rsid w:val="00DC0100"/>
    <w:rsid w:val="00DC0827"/>
    <w:rsid w:val="00DC3C3E"/>
    <w:rsid w:val="00DE390B"/>
    <w:rsid w:val="00DF0ADC"/>
    <w:rsid w:val="00DF39BD"/>
    <w:rsid w:val="00DF3DB8"/>
    <w:rsid w:val="00DF4436"/>
    <w:rsid w:val="00E00429"/>
    <w:rsid w:val="00E021AC"/>
    <w:rsid w:val="00E06656"/>
    <w:rsid w:val="00E076AB"/>
    <w:rsid w:val="00E07724"/>
    <w:rsid w:val="00E077E9"/>
    <w:rsid w:val="00E10539"/>
    <w:rsid w:val="00E11675"/>
    <w:rsid w:val="00E203ED"/>
    <w:rsid w:val="00E2295C"/>
    <w:rsid w:val="00E243C3"/>
    <w:rsid w:val="00E26090"/>
    <w:rsid w:val="00E42A44"/>
    <w:rsid w:val="00E5040F"/>
    <w:rsid w:val="00E51355"/>
    <w:rsid w:val="00E53586"/>
    <w:rsid w:val="00E54138"/>
    <w:rsid w:val="00E5636E"/>
    <w:rsid w:val="00E6097B"/>
    <w:rsid w:val="00E60C8E"/>
    <w:rsid w:val="00E6108F"/>
    <w:rsid w:val="00E6373C"/>
    <w:rsid w:val="00E66B77"/>
    <w:rsid w:val="00E67E66"/>
    <w:rsid w:val="00E76126"/>
    <w:rsid w:val="00E84B37"/>
    <w:rsid w:val="00E90C77"/>
    <w:rsid w:val="00E911B3"/>
    <w:rsid w:val="00E974AE"/>
    <w:rsid w:val="00E9787B"/>
    <w:rsid w:val="00E979BC"/>
    <w:rsid w:val="00E97C28"/>
    <w:rsid w:val="00EA44F3"/>
    <w:rsid w:val="00EA4729"/>
    <w:rsid w:val="00EB1238"/>
    <w:rsid w:val="00EB7114"/>
    <w:rsid w:val="00EC2B18"/>
    <w:rsid w:val="00EC604A"/>
    <w:rsid w:val="00ED0E21"/>
    <w:rsid w:val="00ED2523"/>
    <w:rsid w:val="00ED749A"/>
    <w:rsid w:val="00EE2C77"/>
    <w:rsid w:val="00EE7220"/>
    <w:rsid w:val="00EF0DB4"/>
    <w:rsid w:val="00EF16AB"/>
    <w:rsid w:val="00EF22C3"/>
    <w:rsid w:val="00F0021C"/>
    <w:rsid w:val="00F02979"/>
    <w:rsid w:val="00F04C63"/>
    <w:rsid w:val="00F06499"/>
    <w:rsid w:val="00F177F7"/>
    <w:rsid w:val="00F21469"/>
    <w:rsid w:val="00F22C21"/>
    <w:rsid w:val="00F230BD"/>
    <w:rsid w:val="00F23E5D"/>
    <w:rsid w:val="00F25201"/>
    <w:rsid w:val="00F25B69"/>
    <w:rsid w:val="00F3100C"/>
    <w:rsid w:val="00F313C8"/>
    <w:rsid w:val="00F32FD6"/>
    <w:rsid w:val="00F348B2"/>
    <w:rsid w:val="00F43937"/>
    <w:rsid w:val="00F539F8"/>
    <w:rsid w:val="00F54857"/>
    <w:rsid w:val="00F61E71"/>
    <w:rsid w:val="00F65D5D"/>
    <w:rsid w:val="00F74290"/>
    <w:rsid w:val="00F817A8"/>
    <w:rsid w:val="00F96B27"/>
    <w:rsid w:val="00FA10B0"/>
    <w:rsid w:val="00FA2A77"/>
    <w:rsid w:val="00FA4A39"/>
    <w:rsid w:val="00FA65F2"/>
    <w:rsid w:val="00FB1348"/>
    <w:rsid w:val="00FD0175"/>
    <w:rsid w:val="00FD02A7"/>
    <w:rsid w:val="00FF3C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9E5F6"/>
  <w15:docId w15:val="{98DF079F-6818-48A7-9FBB-CBA43A0C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nod">
    <w:name w:val="naisnod"/>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c">
    <w:name w:val="naisc"/>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f">
    <w:name w:val="naisf"/>
    <w:basedOn w:val="Normal"/>
    <w:rsid w:val="005D4AE6"/>
    <w:pPr>
      <w:spacing w:before="100" w:beforeAutospacing="1" w:after="100" w:afterAutospacing="1" w:line="240" w:lineRule="auto"/>
    </w:pPr>
    <w:rPr>
      <w:rFonts w:eastAsia="Times New Roman" w:cs="Times New Roman"/>
      <w:szCs w:val="24"/>
      <w:lang w:eastAsia="lv-LV"/>
    </w:rPr>
  </w:style>
  <w:style w:type="character" w:styleId="Hyperlink">
    <w:name w:val="Hyperlink"/>
    <w:basedOn w:val="DefaultParagraphFont"/>
    <w:uiPriority w:val="99"/>
    <w:unhideWhenUsed/>
    <w:rsid w:val="00C1320E"/>
    <w:rPr>
      <w:color w:val="0000FF" w:themeColor="hyperlink"/>
      <w:u w:val="single"/>
    </w:rPr>
  </w:style>
  <w:style w:type="paragraph" w:styleId="BalloonText">
    <w:name w:val="Balloon Text"/>
    <w:basedOn w:val="Normal"/>
    <w:link w:val="BalloonTextChar"/>
    <w:uiPriority w:val="99"/>
    <w:semiHidden/>
    <w:unhideWhenUsed/>
    <w:rsid w:val="004C2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9A6"/>
    <w:rPr>
      <w:rFonts w:ascii="Segoe UI" w:hAnsi="Segoe UI" w:cs="Segoe UI"/>
      <w:sz w:val="18"/>
      <w:szCs w:val="18"/>
    </w:rPr>
  </w:style>
  <w:style w:type="paragraph" w:styleId="ListParagraph">
    <w:name w:val="List Paragraph"/>
    <w:basedOn w:val="Normal"/>
    <w:uiPriority w:val="34"/>
    <w:qFormat/>
    <w:rsid w:val="0072108F"/>
    <w:pPr>
      <w:ind w:left="720"/>
      <w:contextualSpacing/>
    </w:pPr>
  </w:style>
  <w:style w:type="paragraph" w:styleId="Header">
    <w:name w:val="header"/>
    <w:basedOn w:val="Normal"/>
    <w:link w:val="HeaderChar"/>
    <w:uiPriority w:val="99"/>
    <w:unhideWhenUsed/>
    <w:rsid w:val="00CE4D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4D88"/>
  </w:style>
  <w:style w:type="paragraph" w:styleId="Footer">
    <w:name w:val="footer"/>
    <w:basedOn w:val="Normal"/>
    <w:link w:val="FooterChar"/>
    <w:uiPriority w:val="99"/>
    <w:unhideWhenUsed/>
    <w:rsid w:val="00CE4D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4D88"/>
  </w:style>
  <w:style w:type="character" w:styleId="CommentReference">
    <w:name w:val="annotation reference"/>
    <w:basedOn w:val="DefaultParagraphFont"/>
    <w:uiPriority w:val="99"/>
    <w:semiHidden/>
    <w:unhideWhenUsed/>
    <w:rsid w:val="00635762"/>
    <w:rPr>
      <w:sz w:val="16"/>
      <w:szCs w:val="16"/>
    </w:rPr>
  </w:style>
  <w:style w:type="paragraph" w:styleId="CommentText">
    <w:name w:val="annotation text"/>
    <w:basedOn w:val="Normal"/>
    <w:link w:val="CommentTextChar"/>
    <w:uiPriority w:val="99"/>
    <w:semiHidden/>
    <w:unhideWhenUsed/>
    <w:rsid w:val="00635762"/>
    <w:pPr>
      <w:spacing w:line="240" w:lineRule="auto"/>
    </w:pPr>
    <w:rPr>
      <w:sz w:val="20"/>
      <w:szCs w:val="20"/>
    </w:rPr>
  </w:style>
  <w:style w:type="character" w:customStyle="1" w:styleId="CommentTextChar">
    <w:name w:val="Comment Text Char"/>
    <w:basedOn w:val="DefaultParagraphFont"/>
    <w:link w:val="CommentText"/>
    <w:uiPriority w:val="99"/>
    <w:semiHidden/>
    <w:rsid w:val="00635762"/>
    <w:rPr>
      <w:sz w:val="20"/>
      <w:szCs w:val="20"/>
    </w:rPr>
  </w:style>
  <w:style w:type="paragraph" w:styleId="CommentSubject">
    <w:name w:val="annotation subject"/>
    <w:basedOn w:val="CommentText"/>
    <w:next w:val="CommentText"/>
    <w:link w:val="CommentSubjectChar"/>
    <w:uiPriority w:val="99"/>
    <w:semiHidden/>
    <w:unhideWhenUsed/>
    <w:rsid w:val="00635762"/>
    <w:rPr>
      <w:b/>
      <w:bCs/>
    </w:rPr>
  </w:style>
  <w:style w:type="character" w:customStyle="1" w:styleId="CommentSubjectChar">
    <w:name w:val="Comment Subject Char"/>
    <w:basedOn w:val="CommentTextChar"/>
    <w:link w:val="CommentSubject"/>
    <w:uiPriority w:val="99"/>
    <w:semiHidden/>
    <w:rsid w:val="00635762"/>
    <w:rPr>
      <w:b/>
      <w:bCs/>
      <w:sz w:val="20"/>
      <w:szCs w:val="20"/>
    </w:rPr>
  </w:style>
  <w:style w:type="paragraph" w:styleId="Revision">
    <w:name w:val="Revision"/>
    <w:hidden/>
    <w:uiPriority w:val="99"/>
    <w:semiHidden/>
    <w:rsid w:val="00E06656"/>
    <w:pPr>
      <w:spacing w:after="0" w:line="240" w:lineRule="auto"/>
    </w:pPr>
  </w:style>
  <w:style w:type="paragraph" w:customStyle="1" w:styleId="Default">
    <w:name w:val="Default"/>
    <w:rsid w:val="005613EA"/>
    <w:pPr>
      <w:autoSpaceDE w:val="0"/>
      <w:autoSpaceDN w:val="0"/>
      <w:adjustRightInd w:val="0"/>
      <w:spacing w:after="0" w:line="240" w:lineRule="auto"/>
    </w:pPr>
    <w:rPr>
      <w:rFonts w:ascii="EUAlbertina" w:hAnsi="EUAlbertina" w:cs="EUAlbertina"/>
      <w:color w:val="000000"/>
      <w:szCs w:val="24"/>
    </w:rPr>
  </w:style>
  <w:style w:type="paragraph" w:styleId="FootnoteText">
    <w:name w:val="footnote text"/>
    <w:basedOn w:val="Normal"/>
    <w:link w:val="FootnoteTextChar"/>
    <w:uiPriority w:val="99"/>
    <w:unhideWhenUsed/>
    <w:rsid w:val="006437E5"/>
    <w:pPr>
      <w:spacing w:after="0" w:line="240" w:lineRule="auto"/>
    </w:pPr>
    <w:rPr>
      <w:sz w:val="20"/>
      <w:szCs w:val="20"/>
    </w:rPr>
  </w:style>
  <w:style w:type="character" w:customStyle="1" w:styleId="FootnoteTextChar">
    <w:name w:val="Footnote Text Char"/>
    <w:basedOn w:val="DefaultParagraphFont"/>
    <w:link w:val="FootnoteText"/>
    <w:uiPriority w:val="99"/>
    <w:rsid w:val="006437E5"/>
    <w:rPr>
      <w:sz w:val="20"/>
      <w:szCs w:val="20"/>
    </w:rPr>
  </w:style>
  <w:style w:type="character" w:styleId="FootnoteReference">
    <w:name w:val="footnote reference"/>
    <w:basedOn w:val="DefaultParagraphFont"/>
    <w:uiPriority w:val="99"/>
    <w:semiHidden/>
    <w:unhideWhenUsed/>
    <w:rsid w:val="006437E5"/>
    <w:rPr>
      <w:vertAlign w:val="superscript"/>
    </w:rPr>
  </w:style>
  <w:style w:type="paragraph" w:customStyle="1" w:styleId="CM4">
    <w:name w:val="CM4"/>
    <w:basedOn w:val="Normal"/>
    <w:next w:val="Normal"/>
    <w:uiPriority w:val="99"/>
    <w:rsid w:val="00241989"/>
    <w:pPr>
      <w:autoSpaceDE w:val="0"/>
      <w:autoSpaceDN w:val="0"/>
      <w:adjustRightInd w:val="0"/>
      <w:spacing w:after="0" w:line="240" w:lineRule="auto"/>
    </w:pPr>
    <w:rPr>
      <w:rFonts w:cs="Times New Roman"/>
      <w:szCs w:val="24"/>
    </w:rPr>
  </w:style>
  <w:style w:type="character" w:customStyle="1" w:styleId="apple-converted-space">
    <w:name w:val="apple-converted-space"/>
    <w:basedOn w:val="DefaultParagraphFont"/>
    <w:rsid w:val="00E2295C"/>
  </w:style>
  <w:style w:type="character" w:customStyle="1" w:styleId="highlight">
    <w:name w:val="highlight"/>
    <w:basedOn w:val="DefaultParagraphFont"/>
    <w:rsid w:val="00E2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6685">
      <w:bodyDiv w:val="1"/>
      <w:marLeft w:val="0"/>
      <w:marRight w:val="0"/>
      <w:marTop w:val="0"/>
      <w:marBottom w:val="0"/>
      <w:divBdr>
        <w:top w:val="none" w:sz="0" w:space="0" w:color="auto"/>
        <w:left w:val="none" w:sz="0" w:space="0" w:color="auto"/>
        <w:bottom w:val="none" w:sz="0" w:space="0" w:color="auto"/>
        <w:right w:val="none" w:sz="0" w:space="0" w:color="auto"/>
      </w:divBdr>
    </w:div>
    <w:div w:id="72244452">
      <w:bodyDiv w:val="1"/>
      <w:marLeft w:val="0"/>
      <w:marRight w:val="0"/>
      <w:marTop w:val="0"/>
      <w:marBottom w:val="0"/>
      <w:divBdr>
        <w:top w:val="none" w:sz="0" w:space="0" w:color="auto"/>
        <w:left w:val="none" w:sz="0" w:space="0" w:color="auto"/>
        <w:bottom w:val="none" w:sz="0" w:space="0" w:color="auto"/>
        <w:right w:val="none" w:sz="0" w:space="0" w:color="auto"/>
      </w:divBdr>
    </w:div>
    <w:div w:id="380785383">
      <w:bodyDiv w:val="1"/>
      <w:marLeft w:val="0"/>
      <w:marRight w:val="0"/>
      <w:marTop w:val="0"/>
      <w:marBottom w:val="0"/>
      <w:divBdr>
        <w:top w:val="none" w:sz="0" w:space="0" w:color="auto"/>
        <w:left w:val="none" w:sz="0" w:space="0" w:color="auto"/>
        <w:bottom w:val="none" w:sz="0" w:space="0" w:color="auto"/>
        <w:right w:val="none" w:sz="0" w:space="0" w:color="auto"/>
      </w:divBdr>
    </w:div>
    <w:div w:id="552273008">
      <w:bodyDiv w:val="1"/>
      <w:marLeft w:val="0"/>
      <w:marRight w:val="0"/>
      <w:marTop w:val="0"/>
      <w:marBottom w:val="0"/>
      <w:divBdr>
        <w:top w:val="none" w:sz="0" w:space="0" w:color="auto"/>
        <w:left w:val="none" w:sz="0" w:space="0" w:color="auto"/>
        <w:bottom w:val="none" w:sz="0" w:space="0" w:color="auto"/>
        <w:right w:val="none" w:sz="0" w:space="0" w:color="auto"/>
      </w:divBdr>
    </w:div>
    <w:div w:id="689527973">
      <w:bodyDiv w:val="1"/>
      <w:marLeft w:val="0"/>
      <w:marRight w:val="0"/>
      <w:marTop w:val="0"/>
      <w:marBottom w:val="0"/>
      <w:divBdr>
        <w:top w:val="none" w:sz="0" w:space="0" w:color="auto"/>
        <w:left w:val="none" w:sz="0" w:space="0" w:color="auto"/>
        <w:bottom w:val="none" w:sz="0" w:space="0" w:color="auto"/>
        <w:right w:val="none" w:sz="0" w:space="0" w:color="auto"/>
      </w:divBdr>
      <w:divsChild>
        <w:div w:id="73462392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730083803">
      <w:bodyDiv w:val="1"/>
      <w:marLeft w:val="0"/>
      <w:marRight w:val="0"/>
      <w:marTop w:val="0"/>
      <w:marBottom w:val="0"/>
      <w:divBdr>
        <w:top w:val="none" w:sz="0" w:space="0" w:color="auto"/>
        <w:left w:val="none" w:sz="0" w:space="0" w:color="auto"/>
        <w:bottom w:val="none" w:sz="0" w:space="0" w:color="auto"/>
        <w:right w:val="none" w:sz="0" w:space="0" w:color="auto"/>
      </w:divBdr>
    </w:div>
    <w:div w:id="1300771355">
      <w:bodyDiv w:val="1"/>
      <w:marLeft w:val="0"/>
      <w:marRight w:val="0"/>
      <w:marTop w:val="0"/>
      <w:marBottom w:val="0"/>
      <w:divBdr>
        <w:top w:val="none" w:sz="0" w:space="0" w:color="auto"/>
        <w:left w:val="none" w:sz="0" w:space="0" w:color="auto"/>
        <w:bottom w:val="none" w:sz="0" w:space="0" w:color="auto"/>
        <w:right w:val="none" w:sz="0" w:space="0" w:color="auto"/>
      </w:divBdr>
      <w:divsChild>
        <w:div w:id="673342093">
          <w:marLeft w:val="0"/>
          <w:marRight w:val="0"/>
          <w:marTop w:val="0"/>
          <w:marBottom w:val="0"/>
          <w:divBdr>
            <w:top w:val="none" w:sz="0" w:space="0" w:color="auto"/>
            <w:left w:val="none" w:sz="0" w:space="0" w:color="auto"/>
            <w:bottom w:val="none" w:sz="0" w:space="0" w:color="auto"/>
            <w:right w:val="none" w:sz="0" w:space="0" w:color="auto"/>
          </w:divBdr>
          <w:divsChild>
            <w:div w:id="915165407">
              <w:marLeft w:val="0"/>
              <w:marRight w:val="0"/>
              <w:marTop w:val="0"/>
              <w:marBottom w:val="0"/>
              <w:divBdr>
                <w:top w:val="none" w:sz="0" w:space="0" w:color="auto"/>
                <w:left w:val="none" w:sz="0" w:space="0" w:color="auto"/>
                <w:bottom w:val="none" w:sz="0" w:space="0" w:color="auto"/>
                <w:right w:val="none" w:sz="0" w:space="0" w:color="auto"/>
              </w:divBdr>
              <w:divsChild>
                <w:div w:id="1445687028">
                  <w:marLeft w:val="0"/>
                  <w:marRight w:val="0"/>
                  <w:marTop w:val="0"/>
                  <w:marBottom w:val="0"/>
                  <w:divBdr>
                    <w:top w:val="none" w:sz="0" w:space="0" w:color="auto"/>
                    <w:left w:val="none" w:sz="0" w:space="0" w:color="auto"/>
                    <w:bottom w:val="none" w:sz="0" w:space="0" w:color="auto"/>
                    <w:right w:val="none" w:sz="0" w:space="0" w:color="auto"/>
                  </w:divBdr>
                  <w:divsChild>
                    <w:div w:id="19812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4017">
      <w:bodyDiv w:val="1"/>
      <w:marLeft w:val="0"/>
      <w:marRight w:val="0"/>
      <w:marTop w:val="0"/>
      <w:marBottom w:val="0"/>
      <w:divBdr>
        <w:top w:val="none" w:sz="0" w:space="0" w:color="auto"/>
        <w:left w:val="none" w:sz="0" w:space="0" w:color="auto"/>
        <w:bottom w:val="none" w:sz="0" w:space="0" w:color="auto"/>
        <w:right w:val="none" w:sz="0" w:space="0" w:color="auto"/>
      </w:divBdr>
    </w:div>
    <w:div w:id="1634018517">
      <w:bodyDiv w:val="1"/>
      <w:marLeft w:val="0"/>
      <w:marRight w:val="0"/>
      <w:marTop w:val="0"/>
      <w:marBottom w:val="0"/>
      <w:divBdr>
        <w:top w:val="none" w:sz="0" w:space="0" w:color="auto"/>
        <w:left w:val="none" w:sz="0" w:space="0" w:color="auto"/>
        <w:bottom w:val="none" w:sz="0" w:space="0" w:color="auto"/>
        <w:right w:val="none" w:sz="0" w:space="0" w:color="auto"/>
      </w:divBdr>
    </w:div>
    <w:div w:id="1989166059">
      <w:bodyDiv w:val="1"/>
      <w:marLeft w:val="0"/>
      <w:marRight w:val="0"/>
      <w:marTop w:val="0"/>
      <w:marBottom w:val="0"/>
      <w:divBdr>
        <w:top w:val="none" w:sz="0" w:space="0" w:color="auto"/>
        <w:left w:val="none" w:sz="0" w:space="0" w:color="auto"/>
        <w:bottom w:val="none" w:sz="0" w:space="0" w:color="auto"/>
        <w:right w:val="none" w:sz="0" w:space="0" w:color="auto"/>
      </w:divBdr>
    </w:div>
    <w:div w:id="199290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hudobcenoks@vid.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ris.Lukss@fm.gov.lv" TargetMode="External"/><Relationship Id="rId4" Type="http://schemas.openxmlformats.org/officeDocument/2006/relationships/settings" Target="settings.xml"/><Relationship Id="rId9" Type="http://schemas.openxmlformats.org/officeDocument/2006/relationships/hyperlink" Target="mailto:irita.tomina@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1C65A-FD36-4FD9-9431-B4142915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31725</Words>
  <Characters>18084</Characters>
  <Application>Microsoft Office Word</Application>
  <DocSecurity>0</DocSecurity>
  <Lines>150</Lines>
  <Paragraphs>99</Paragraphs>
  <ScaleCrop>false</ScaleCrop>
  <HeadingPairs>
    <vt:vector size="2" baseType="variant">
      <vt:variant>
        <vt:lpstr>Title</vt:lpstr>
      </vt:variant>
      <vt:variant>
        <vt:i4>1</vt:i4>
      </vt:variant>
    </vt:vector>
  </HeadingPairs>
  <TitlesOfParts>
    <vt:vector size="1" baseType="lpstr">
      <vt:lpstr>Ministru kabineta noteikumu projekta “Muitas procedūras – tranzīts – piemērošanas noteikumi” sākotnējās ietekmes novērtējuma ziņojums (anotācija)</vt:lpstr>
    </vt:vector>
  </TitlesOfParts>
  <Company>FM, VID</Company>
  <LinksUpToDate>false</LinksUpToDate>
  <CharactersWithSpaces>49710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“Muitas procedūras – tranzīts – piemērošanas noteikumi” sākotnējās ietekmes novērtējuma ziņojums (anotācija)</dc:title>
  <dc:subject>Anotācija</dc:subject>
  <dc:creator>Andrejs Hudobčenoks</dc:creator>
  <dc:description>67121097, andrejs.hudobcenoks@vid.gov.lv_x000d_
67095566, Irita.Tomina@fm.gov.lv</dc:description>
  <cp:lastModifiedBy>Marika Vībāne</cp:lastModifiedBy>
  <cp:revision>5</cp:revision>
  <cp:lastPrinted>2017-07-05T09:55:00Z</cp:lastPrinted>
  <dcterms:created xsi:type="dcterms:W3CDTF">2017-07-05T09:42:00Z</dcterms:created>
  <dcterms:modified xsi:type="dcterms:W3CDTF">2017-07-06T10:53:00Z</dcterms:modified>
</cp:coreProperties>
</file>