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F679" w14:textId="2D5E88D7" w:rsidR="00D90D4B" w:rsidRDefault="000D1D6D" w:rsidP="00C307A5">
      <w:pPr>
        <w:jc w:val="center"/>
        <w:rPr>
          <w:b/>
          <w:sz w:val="28"/>
          <w:szCs w:val="28"/>
        </w:rPr>
      </w:pPr>
      <w:r>
        <w:rPr>
          <w:rStyle w:val="Strong"/>
          <w:sz w:val="28"/>
          <w:szCs w:val="28"/>
        </w:rPr>
        <w:t>Sabiedrības iebildumi un priekšlikumi par attīstības plānošanas dokumentu</w:t>
      </w:r>
    </w:p>
    <w:p w14:paraId="3DE05633" w14:textId="77777777" w:rsidR="00617303" w:rsidRPr="00CF7C45" w:rsidRDefault="00617303" w:rsidP="00964FD5">
      <w:pPr>
        <w:jc w:val="center"/>
        <w:rPr>
          <w:b/>
          <w:sz w:val="28"/>
          <w:szCs w:val="28"/>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3960"/>
        <w:gridCol w:w="1911"/>
        <w:gridCol w:w="5528"/>
      </w:tblGrid>
      <w:tr w:rsidR="00C97F30" w:rsidRPr="00ED65A3" w14:paraId="281D12D5" w14:textId="77777777" w:rsidTr="00C97F30">
        <w:tc>
          <w:tcPr>
            <w:tcW w:w="720" w:type="dxa"/>
            <w:shd w:val="clear" w:color="auto" w:fill="auto"/>
          </w:tcPr>
          <w:p w14:paraId="6257BEFD" w14:textId="77777777" w:rsidR="00C97F30" w:rsidRPr="00C97F30" w:rsidRDefault="00C97F30" w:rsidP="00ED65A3">
            <w:pPr>
              <w:jc w:val="center"/>
            </w:pPr>
            <w:r w:rsidRPr="00C97F30">
              <w:t>Nr.</w:t>
            </w:r>
          </w:p>
          <w:p w14:paraId="5B46CF4B" w14:textId="77777777" w:rsidR="00C97F30" w:rsidRPr="00C97F30" w:rsidRDefault="00C97F30" w:rsidP="00ED65A3">
            <w:pPr>
              <w:jc w:val="center"/>
            </w:pPr>
            <w:r w:rsidRPr="00C97F30">
              <w:t>p.k.</w:t>
            </w:r>
          </w:p>
        </w:tc>
        <w:tc>
          <w:tcPr>
            <w:tcW w:w="3060" w:type="dxa"/>
            <w:shd w:val="clear" w:color="auto" w:fill="auto"/>
          </w:tcPr>
          <w:p w14:paraId="468B52DA" w14:textId="77777777" w:rsidR="00C97F30" w:rsidRPr="00C97F30" w:rsidRDefault="00C97F30" w:rsidP="00ED65A3">
            <w:pPr>
              <w:jc w:val="center"/>
            </w:pPr>
            <w:r w:rsidRPr="00C97F30">
              <w:t>Iebilduma/priekšlikuma iesniedzējs</w:t>
            </w:r>
          </w:p>
        </w:tc>
        <w:tc>
          <w:tcPr>
            <w:tcW w:w="3960" w:type="dxa"/>
            <w:shd w:val="clear" w:color="auto" w:fill="auto"/>
          </w:tcPr>
          <w:p w14:paraId="69F65088" w14:textId="77777777" w:rsidR="00C97F30" w:rsidRPr="00C97F30" w:rsidRDefault="00C97F30" w:rsidP="00ED65A3">
            <w:pPr>
              <w:jc w:val="center"/>
            </w:pPr>
            <w:r w:rsidRPr="00C97F30">
              <w:t>Iesniegtā iebilduma/priekšlikuma būtība</w:t>
            </w:r>
          </w:p>
        </w:tc>
        <w:tc>
          <w:tcPr>
            <w:tcW w:w="1911" w:type="dxa"/>
            <w:shd w:val="clear" w:color="auto" w:fill="auto"/>
          </w:tcPr>
          <w:p w14:paraId="297C5B5B" w14:textId="77777777" w:rsidR="00C97F30" w:rsidRPr="00C97F30" w:rsidRDefault="00C97F30" w:rsidP="00ED65A3">
            <w:pPr>
              <w:jc w:val="center"/>
            </w:pPr>
            <w:r w:rsidRPr="00C97F30">
              <w:t>Ņemts vērā/nav ņemts vērā</w:t>
            </w:r>
          </w:p>
        </w:tc>
        <w:tc>
          <w:tcPr>
            <w:tcW w:w="5528" w:type="dxa"/>
            <w:shd w:val="clear" w:color="auto" w:fill="auto"/>
          </w:tcPr>
          <w:p w14:paraId="22C985C1" w14:textId="77777777" w:rsidR="00C97F30" w:rsidRPr="00C97F30" w:rsidRDefault="00C97F30" w:rsidP="00ED65A3">
            <w:pPr>
              <w:jc w:val="center"/>
            </w:pPr>
            <w:r w:rsidRPr="00C97F30">
              <w:t>Pamatojums, ja iebildums/priekšlikums nav ņemts vērā</w:t>
            </w:r>
          </w:p>
        </w:tc>
      </w:tr>
      <w:tr w:rsidR="00C97F30" w:rsidRPr="00ED65A3" w14:paraId="2CF28A12" w14:textId="77777777" w:rsidTr="00C97F30">
        <w:tc>
          <w:tcPr>
            <w:tcW w:w="720" w:type="dxa"/>
            <w:shd w:val="clear" w:color="auto" w:fill="auto"/>
          </w:tcPr>
          <w:p w14:paraId="7E68476C" w14:textId="77777777" w:rsidR="00C97F30" w:rsidRPr="00C577DC" w:rsidRDefault="00C97F30" w:rsidP="00C307A5">
            <w:r>
              <w:t>1.</w:t>
            </w:r>
          </w:p>
        </w:tc>
        <w:tc>
          <w:tcPr>
            <w:tcW w:w="3060" w:type="dxa"/>
            <w:shd w:val="clear" w:color="auto" w:fill="auto"/>
          </w:tcPr>
          <w:p w14:paraId="0188F678" w14:textId="77777777" w:rsidR="00C97F30" w:rsidRPr="00C577DC" w:rsidRDefault="00282042" w:rsidP="00C577DC">
            <w:r>
              <w:t>Sabiedrisko pakalpojumu regulēšanas komisija</w:t>
            </w:r>
          </w:p>
        </w:tc>
        <w:tc>
          <w:tcPr>
            <w:tcW w:w="3960" w:type="dxa"/>
            <w:shd w:val="clear" w:color="auto" w:fill="auto"/>
          </w:tcPr>
          <w:p w14:paraId="7E64135C" w14:textId="51A76776" w:rsidR="00C97F30" w:rsidRPr="00282042" w:rsidRDefault="00282042" w:rsidP="008E75D9">
            <w:pPr>
              <w:jc w:val="both"/>
              <w:rPr>
                <w:sz w:val="20"/>
                <w:szCs w:val="20"/>
              </w:rPr>
            </w:pPr>
            <w:r w:rsidRPr="004E6756">
              <w:t xml:space="preserve">Plāna kopsavilkuma sadaļā (6.lappusē) papildināt ar Plānā noteikto darbības virzienu skaidrojumu, norādot, ka vienlaikus ar 5G un Savienojamības paziņojuma ieviešanu jānodrošina dinamiska normatīvās vides pielāgošana pakalpojumu kvalitātes uzraudzībai un piekļuves atvērtam internetam nodrošināšanai. Plāna 3.4.apakšpunktu „5G mobilie sakari un Savienojamības paziņojums” papildināt ar informāciju par sniegto pakalpojumu kvalitātes uzraudzības nepieciešamību un saistošo normatīvo aktu dinamisku jaunināšanu atbilstoši tehnoloģiju attīstībai, vienlaikus nodrošinot pakalpojumu kvalitātes uzraudzības pastāvīgu integritāti ar Eiropas Savienības regulējumu un atvērtas piekļuves internetam regulējumu, ko nosaka 2015.gada 25.novembra Eiropas Parlamenta un Padomes Regula (ES) 2015/2120, ar ko nosaka pasākumus sakarā ar piekļuvi atvērtam internetam un groza Direktīvu 2002/22/EK par universālo pakalpojumu un lietotāju tiesībām attiecībā uz elektronisko sakaru </w:t>
            </w:r>
            <w:r w:rsidRPr="004E6756">
              <w:lastRenderedPageBreak/>
              <w:t>tīkliem un pakalpojumiem un Regulu (ES) Nr. 531/2012 par viesabonēšanu publiskajos mobilo sakaru tīklos Savienībā.</w:t>
            </w:r>
          </w:p>
        </w:tc>
        <w:tc>
          <w:tcPr>
            <w:tcW w:w="1911" w:type="dxa"/>
            <w:shd w:val="clear" w:color="auto" w:fill="auto"/>
          </w:tcPr>
          <w:p w14:paraId="6047B259" w14:textId="77777777" w:rsidR="00C97F30" w:rsidRPr="00C905F2" w:rsidRDefault="004E6756" w:rsidP="00ED65A3">
            <w:pPr>
              <w:jc w:val="center"/>
            </w:pPr>
            <w:r>
              <w:lastRenderedPageBreak/>
              <w:t>Priekšlikums ņemts vērā.</w:t>
            </w:r>
          </w:p>
        </w:tc>
        <w:tc>
          <w:tcPr>
            <w:tcW w:w="5528" w:type="dxa"/>
            <w:shd w:val="clear" w:color="auto" w:fill="auto"/>
          </w:tcPr>
          <w:p w14:paraId="3991E45D" w14:textId="77777777" w:rsidR="00C97F30" w:rsidRDefault="00C97F30" w:rsidP="00ED65A3">
            <w:pPr>
              <w:jc w:val="center"/>
            </w:pPr>
          </w:p>
        </w:tc>
      </w:tr>
      <w:tr w:rsidR="00282042" w:rsidRPr="00ED65A3" w14:paraId="51802E9A" w14:textId="77777777" w:rsidTr="00C97F30">
        <w:tc>
          <w:tcPr>
            <w:tcW w:w="720" w:type="dxa"/>
            <w:shd w:val="clear" w:color="auto" w:fill="auto"/>
          </w:tcPr>
          <w:p w14:paraId="6FA7968C" w14:textId="77777777" w:rsidR="00282042" w:rsidRPr="00C905F2" w:rsidRDefault="00282042" w:rsidP="00282042">
            <w:r>
              <w:t>2.</w:t>
            </w:r>
          </w:p>
        </w:tc>
        <w:tc>
          <w:tcPr>
            <w:tcW w:w="3060" w:type="dxa"/>
            <w:shd w:val="clear" w:color="auto" w:fill="auto"/>
          </w:tcPr>
          <w:p w14:paraId="0B477A0A" w14:textId="77777777" w:rsidR="00282042" w:rsidRDefault="00282042" w:rsidP="00282042">
            <w:r w:rsidRPr="00150B6B">
              <w:t>Sabiedrisko pakalpojumu regulēšanas komisija</w:t>
            </w:r>
          </w:p>
        </w:tc>
        <w:tc>
          <w:tcPr>
            <w:tcW w:w="3960" w:type="dxa"/>
            <w:shd w:val="clear" w:color="auto" w:fill="auto"/>
          </w:tcPr>
          <w:p w14:paraId="50218ACD" w14:textId="77777777" w:rsidR="00282042" w:rsidRPr="00604854" w:rsidRDefault="00282042" w:rsidP="00282042">
            <w:pPr>
              <w:jc w:val="both"/>
            </w:pPr>
            <w:r w:rsidRPr="00604854">
              <w:t>Plāna 2.sadaļu „Esošās situācijas raksturojums” līdztekus informācijai par kvantitatīvajiem un ekonomiskajiem rādītājiem papildināt ar informāciju par mobilā interneta piekļuves pakalpojumu kvalitātes rādītājiem un iezīmēto 4G līdzšinējo attīstības dinamiku un faktisko pieejamību. Detalizēta informācija par pakalpojumu kvalitāti ietverta Regulatora kvalitātes pārskatā par 2016.gadu (https://www.sprk.gov.lv/lapas/regulatora-kvalittes-prskati), savukārt kopsavilkums par mobilā interneta piekļuves pakalpojuma kvalitātes attīstību pieejams arī biedrības “Latvijas Interneta Asociācija” informatīvajā bukletā iekļautajā attēlā „Lejupielādes ātruma dinamika mobilajos tīklos sadalījumā pa tehnoloģijām”:</w:t>
            </w:r>
          </w:p>
          <w:p w14:paraId="31D6CB04" w14:textId="77777777" w:rsidR="00282042" w:rsidRPr="00282042" w:rsidRDefault="00282042" w:rsidP="00282042">
            <w:pPr>
              <w:jc w:val="both"/>
              <w:rPr>
                <w:sz w:val="20"/>
                <w:szCs w:val="20"/>
              </w:rPr>
            </w:pPr>
            <w:r w:rsidRPr="00604854">
              <w:t>http://www.lia.lv/media/uploads/LIA_Nozare_Ciparos_2017.pdf</w:t>
            </w:r>
          </w:p>
        </w:tc>
        <w:tc>
          <w:tcPr>
            <w:tcW w:w="1911" w:type="dxa"/>
            <w:shd w:val="clear" w:color="auto" w:fill="auto"/>
          </w:tcPr>
          <w:p w14:paraId="18372B8D" w14:textId="77777777" w:rsidR="00282042" w:rsidRPr="00C905F2" w:rsidRDefault="00373B80" w:rsidP="00282042">
            <w:pPr>
              <w:jc w:val="center"/>
            </w:pPr>
            <w:r>
              <w:t>Priekšlikums ņemts vērā.</w:t>
            </w:r>
          </w:p>
        </w:tc>
        <w:tc>
          <w:tcPr>
            <w:tcW w:w="5528" w:type="dxa"/>
            <w:shd w:val="clear" w:color="auto" w:fill="auto"/>
          </w:tcPr>
          <w:p w14:paraId="178E848F" w14:textId="77777777" w:rsidR="00282042" w:rsidRPr="001D0B03" w:rsidRDefault="00282042" w:rsidP="00282042">
            <w:pPr>
              <w:jc w:val="center"/>
            </w:pPr>
          </w:p>
        </w:tc>
      </w:tr>
      <w:tr w:rsidR="00282042" w:rsidRPr="00ED65A3" w14:paraId="3B9AE3CA" w14:textId="77777777" w:rsidTr="00C97F30">
        <w:tc>
          <w:tcPr>
            <w:tcW w:w="720" w:type="dxa"/>
            <w:shd w:val="clear" w:color="auto" w:fill="auto"/>
          </w:tcPr>
          <w:p w14:paraId="3D889CD1" w14:textId="77777777" w:rsidR="00282042" w:rsidRPr="00C905F2" w:rsidRDefault="00282042" w:rsidP="00282042">
            <w:r>
              <w:t>3.</w:t>
            </w:r>
          </w:p>
        </w:tc>
        <w:tc>
          <w:tcPr>
            <w:tcW w:w="3060" w:type="dxa"/>
            <w:shd w:val="clear" w:color="auto" w:fill="auto"/>
          </w:tcPr>
          <w:p w14:paraId="3CF4D3B8" w14:textId="77777777" w:rsidR="00282042" w:rsidRDefault="00282042" w:rsidP="00282042">
            <w:r w:rsidRPr="00150B6B">
              <w:t>Sabiedrisko pakalpojumu regulēšana</w:t>
            </w:r>
            <w:bookmarkStart w:id="0" w:name="_GoBack"/>
            <w:bookmarkEnd w:id="0"/>
            <w:r w:rsidRPr="00150B6B">
              <w:t>s komisija</w:t>
            </w:r>
          </w:p>
        </w:tc>
        <w:tc>
          <w:tcPr>
            <w:tcW w:w="3960" w:type="dxa"/>
            <w:shd w:val="clear" w:color="auto" w:fill="auto"/>
          </w:tcPr>
          <w:p w14:paraId="176B12DD" w14:textId="77777777" w:rsidR="00282042" w:rsidRPr="00282042" w:rsidRDefault="00282042" w:rsidP="00282042">
            <w:pPr>
              <w:jc w:val="both"/>
              <w:rPr>
                <w:sz w:val="20"/>
                <w:szCs w:val="20"/>
              </w:rPr>
            </w:pPr>
            <w:r w:rsidRPr="00373B80">
              <w:t xml:space="preserve">Plāna 2.sadaļā “Esošās situācijas raksturojums” iekļauto grafisko informāciju  (7. un 8. attēls) papildināt ar datiem par ieņēmumiem 2016.gadā. </w:t>
            </w:r>
            <w:r w:rsidRPr="00373B80">
              <w:lastRenderedPageBreak/>
              <w:t>Regulators papildina 2017.gada 14.februārī</w:t>
            </w:r>
            <w:r w:rsidRPr="00282042">
              <w:rPr>
                <w:sz w:val="20"/>
                <w:szCs w:val="20"/>
              </w:rPr>
              <w:t xml:space="preserve"> </w:t>
            </w:r>
            <w:r w:rsidRPr="00373B80">
              <w:t>ar vēstuli Nr. Nr.2-2.78/574 Satiksmes ministrijai nosūtīto informāciju par ieņēmumu apjomu elektronisko sakaru nozarē ar datiem par 2016.gadu, sniedzot šādu informāciju: elektronisko sakaru nozarē ieņēmumi kopā – 533 milj. EUR, balss telefonijas pakalpojumu ieņēmumu apjoms – 159 milj. EUR, datu pārraides pakalpojumu ieņēmumu apjoms – 140 milj. EUR.</w:t>
            </w:r>
          </w:p>
        </w:tc>
        <w:tc>
          <w:tcPr>
            <w:tcW w:w="1911" w:type="dxa"/>
            <w:shd w:val="clear" w:color="auto" w:fill="auto"/>
          </w:tcPr>
          <w:p w14:paraId="01BF53AC" w14:textId="77777777" w:rsidR="00282042" w:rsidRPr="00C905F2" w:rsidRDefault="00373B80" w:rsidP="00282042">
            <w:pPr>
              <w:jc w:val="center"/>
            </w:pPr>
            <w:r>
              <w:lastRenderedPageBreak/>
              <w:t>Priekšlikums ņemts vērā.</w:t>
            </w:r>
          </w:p>
        </w:tc>
        <w:tc>
          <w:tcPr>
            <w:tcW w:w="5528" w:type="dxa"/>
            <w:shd w:val="clear" w:color="auto" w:fill="auto"/>
          </w:tcPr>
          <w:p w14:paraId="23F9A77B" w14:textId="77777777" w:rsidR="00282042" w:rsidRPr="008503C7" w:rsidRDefault="00282042" w:rsidP="00282042">
            <w:pPr>
              <w:jc w:val="center"/>
            </w:pPr>
          </w:p>
        </w:tc>
      </w:tr>
      <w:tr w:rsidR="00282042" w:rsidRPr="00ED65A3" w14:paraId="0C0C4C2D" w14:textId="77777777" w:rsidTr="00C97F30">
        <w:tc>
          <w:tcPr>
            <w:tcW w:w="720" w:type="dxa"/>
            <w:shd w:val="clear" w:color="auto" w:fill="auto"/>
          </w:tcPr>
          <w:p w14:paraId="40219F83" w14:textId="77777777" w:rsidR="00282042" w:rsidRPr="00B53882" w:rsidRDefault="00282042" w:rsidP="00282042">
            <w:r>
              <w:t>4.</w:t>
            </w:r>
          </w:p>
        </w:tc>
        <w:tc>
          <w:tcPr>
            <w:tcW w:w="3060" w:type="dxa"/>
            <w:shd w:val="clear" w:color="auto" w:fill="auto"/>
          </w:tcPr>
          <w:p w14:paraId="64F14A57" w14:textId="77777777" w:rsidR="00282042" w:rsidRDefault="00282042" w:rsidP="00282042">
            <w:r w:rsidRPr="00150B6B">
              <w:t>Sabiedrisko pakalpojumu regulēšanas komisija</w:t>
            </w:r>
          </w:p>
        </w:tc>
        <w:tc>
          <w:tcPr>
            <w:tcW w:w="3960" w:type="dxa"/>
            <w:shd w:val="clear" w:color="auto" w:fill="auto"/>
          </w:tcPr>
          <w:p w14:paraId="17BDDF13" w14:textId="485E11E0" w:rsidR="00282042" w:rsidRPr="00373B80" w:rsidRDefault="00282042" w:rsidP="00340414">
            <w:pPr>
              <w:jc w:val="both"/>
            </w:pPr>
            <w:r w:rsidRPr="00373B80">
              <w:t>Plāna 3.1.sadaļā “Nacionālā ceļveža izstrāde 700 MHz joslas pārplānošanai un zemes ciparu televīzijas apraides nodrošināšanai” 4.rindkopas tekstu: “No septiņiem televīzijas raidošajiem tīkliem, kas ir paredzēti ITU Reģionālajā nolīgumā 470–862 MHz radiofrekvenču spektra joslā, šobrīd ekspluatācijā atrodas visi paredzētie tīkli, kuru darbības nodrošināšanai izmanto 40 radiofrekvenču kanālus”, precizēt, ka patlaban valsts akciju sabiedrībai “Latvijas Valsts radio un te</w:t>
            </w:r>
            <w:r w:rsidR="00340414">
              <w:t>l</w:t>
            </w:r>
            <w:r w:rsidRPr="00373B80">
              <w:t>evīzij</w:t>
            </w:r>
            <w:r w:rsidR="00340414">
              <w:t>a</w:t>
            </w:r>
            <w:r w:rsidRPr="00373B80">
              <w:t xml:space="preserve">s centrs” līdz 2021.gada 31.decembrim ir piešķirtas radiofrekvenču spektra joslu 174 MHz - 230 MHz un 470 MHz - 790 MHz lietošanas tiesības, kuras var tikt lietotas TV pakalpojumu sniegšanai, nevis 470–862 MHz, kā minēts Plāna </w:t>
            </w:r>
            <w:r w:rsidRPr="00373B80">
              <w:lastRenderedPageBreak/>
              <w:t>3.1. sadaļā.</w:t>
            </w:r>
          </w:p>
        </w:tc>
        <w:tc>
          <w:tcPr>
            <w:tcW w:w="1911" w:type="dxa"/>
            <w:shd w:val="clear" w:color="auto" w:fill="auto"/>
          </w:tcPr>
          <w:p w14:paraId="6A238BDB" w14:textId="77777777" w:rsidR="00282042" w:rsidRPr="00B53882" w:rsidRDefault="00373B80" w:rsidP="00282042">
            <w:pPr>
              <w:jc w:val="center"/>
            </w:pPr>
            <w:r>
              <w:lastRenderedPageBreak/>
              <w:t>Priekšlikums ņemts vērā.</w:t>
            </w:r>
          </w:p>
        </w:tc>
        <w:tc>
          <w:tcPr>
            <w:tcW w:w="5528" w:type="dxa"/>
            <w:shd w:val="clear" w:color="auto" w:fill="auto"/>
          </w:tcPr>
          <w:p w14:paraId="70B933FC" w14:textId="77777777" w:rsidR="00282042" w:rsidRDefault="00282042" w:rsidP="00282042">
            <w:pPr>
              <w:jc w:val="center"/>
            </w:pPr>
          </w:p>
        </w:tc>
      </w:tr>
      <w:tr w:rsidR="00282042" w:rsidRPr="00ED65A3" w14:paraId="5ED91DBE" w14:textId="77777777" w:rsidTr="00C97F30">
        <w:tc>
          <w:tcPr>
            <w:tcW w:w="720" w:type="dxa"/>
            <w:shd w:val="clear" w:color="auto" w:fill="auto"/>
          </w:tcPr>
          <w:p w14:paraId="4ED3171D" w14:textId="77777777" w:rsidR="00282042" w:rsidRPr="00B53882" w:rsidRDefault="00282042" w:rsidP="00282042">
            <w:r>
              <w:t>5.</w:t>
            </w:r>
          </w:p>
        </w:tc>
        <w:tc>
          <w:tcPr>
            <w:tcW w:w="3060" w:type="dxa"/>
            <w:shd w:val="clear" w:color="auto" w:fill="auto"/>
          </w:tcPr>
          <w:p w14:paraId="132A994A" w14:textId="77777777" w:rsidR="00282042" w:rsidRDefault="00282042" w:rsidP="00282042">
            <w:r w:rsidRPr="00150B6B">
              <w:t>Sabiedrisko pakalpojumu regulēšanas komisija</w:t>
            </w:r>
          </w:p>
        </w:tc>
        <w:tc>
          <w:tcPr>
            <w:tcW w:w="3960" w:type="dxa"/>
            <w:shd w:val="clear" w:color="auto" w:fill="auto"/>
          </w:tcPr>
          <w:p w14:paraId="644778FB" w14:textId="77777777" w:rsidR="00282042" w:rsidRPr="00282042" w:rsidRDefault="00282042" w:rsidP="00E733FB">
            <w:pPr>
              <w:jc w:val="both"/>
              <w:rPr>
                <w:sz w:val="20"/>
                <w:szCs w:val="20"/>
              </w:rPr>
            </w:pPr>
            <w:r w:rsidRPr="00650814">
              <w:t>Plānā, attiecībā uz radiofrekvenču spektra jautājumiem, ir skaidri jānodala Satiksmes ministrijas un Vides aizsardzības un reģionālās attīstības ministrijas kompetence noteikt lietošanas tehniskos nosacījumus un joslu atbrīvošanas termiņus pārplānošanai no Regulatora kompetences noteikt radiofrekvenču spektra lietošanas tiesību piešķiršanas kārtību, katram elektronisko sakaru komersantam pieejamo resursa apjomu, lietošanas īpašos nosacījumus un lietošanas tiesību termiņus. Ņemot vērā iepriekš minēto un Elektronisko sakaru likumā noteiktās ministrijas un Regulatora kompetences, Regulators aicina precizēt sadaļu par radiofrekvenču spektru un uzdevumu Nr.1.1.</w:t>
            </w:r>
          </w:p>
        </w:tc>
        <w:tc>
          <w:tcPr>
            <w:tcW w:w="1911" w:type="dxa"/>
            <w:shd w:val="clear" w:color="auto" w:fill="auto"/>
          </w:tcPr>
          <w:p w14:paraId="24F931DE" w14:textId="77777777" w:rsidR="00282042" w:rsidRPr="00B53882" w:rsidRDefault="00650814" w:rsidP="00282042">
            <w:pPr>
              <w:jc w:val="center"/>
            </w:pPr>
            <w:r>
              <w:t>Priekšlikums ņemts vērā.</w:t>
            </w:r>
          </w:p>
        </w:tc>
        <w:tc>
          <w:tcPr>
            <w:tcW w:w="5528" w:type="dxa"/>
            <w:shd w:val="clear" w:color="auto" w:fill="auto"/>
          </w:tcPr>
          <w:p w14:paraId="06FACEB8" w14:textId="77777777" w:rsidR="00282042" w:rsidRDefault="00282042" w:rsidP="00282042">
            <w:pPr>
              <w:jc w:val="center"/>
            </w:pPr>
          </w:p>
        </w:tc>
      </w:tr>
      <w:tr w:rsidR="00282042" w:rsidRPr="00ED65A3" w14:paraId="0AA0277D" w14:textId="77777777" w:rsidTr="00C97F30">
        <w:tc>
          <w:tcPr>
            <w:tcW w:w="720" w:type="dxa"/>
            <w:shd w:val="clear" w:color="auto" w:fill="auto"/>
          </w:tcPr>
          <w:p w14:paraId="4A56E501" w14:textId="77777777" w:rsidR="00282042" w:rsidRPr="002B53AD" w:rsidRDefault="00282042" w:rsidP="00282042">
            <w:r>
              <w:t>6.</w:t>
            </w:r>
          </w:p>
        </w:tc>
        <w:tc>
          <w:tcPr>
            <w:tcW w:w="3060" w:type="dxa"/>
            <w:shd w:val="clear" w:color="auto" w:fill="auto"/>
          </w:tcPr>
          <w:p w14:paraId="029C2F2F" w14:textId="77777777" w:rsidR="00282042" w:rsidRDefault="00282042" w:rsidP="00282042">
            <w:r w:rsidRPr="00150B6B">
              <w:t>Sabiedrisko pakalpojumu regulēšanas komisija</w:t>
            </w:r>
          </w:p>
        </w:tc>
        <w:tc>
          <w:tcPr>
            <w:tcW w:w="3960" w:type="dxa"/>
            <w:shd w:val="clear" w:color="auto" w:fill="auto"/>
          </w:tcPr>
          <w:p w14:paraId="3CCACD0E" w14:textId="77777777" w:rsidR="00282042" w:rsidRPr="00282042" w:rsidRDefault="00282042" w:rsidP="00282042">
            <w:pPr>
              <w:jc w:val="both"/>
              <w:rPr>
                <w:sz w:val="20"/>
                <w:szCs w:val="20"/>
              </w:rPr>
            </w:pPr>
            <w:r w:rsidRPr="00195E78">
              <w:t xml:space="preserve">Plāna 4.1.sadaļā par numerācijas nodevu ir norādīts, ka Ministru kabineta noteikumu projektu “Noteikumi par numerācijas lietošanas tiesību ikgadējo valsts nodevu” (turpmāk – Nodevas noteikumi) jaunā redakcija stājas spēkā 2018.gada 1.janvārī. Uzdevumā Nr.2.7. ir norādīts, ka iepriekš minētā uzdevuma izpildes termiņš ir 2018.gada 31.decembris. Regulators aicina Plānā </w:t>
            </w:r>
            <w:r w:rsidRPr="00195E78">
              <w:lastRenderedPageBreak/>
              <w:t>saskaņot izpildes un Nodevu noteikumu spēkā stāšanās datumus, lai tie būtu izpildāmi. Regulators norāda, ka Regulators ar 2017.gada 3.aprīļa vēstuli Nr.2-2.79/1087 Satiksmes ministrijai nosūtīja jaunus priekšlikumus Nodevas noteikumiem, kā arī norāda, ka kopš 2016.gada 30.novembra sanāksmes Regulators ir izstrādājis un precizējis vairākus Nodevas noteikumu projektus.</w:t>
            </w:r>
          </w:p>
        </w:tc>
        <w:tc>
          <w:tcPr>
            <w:tcW w:w="1911" w:type="dxa"/>
            <w:shd w:val="clear" w:color="auto" w:fill="auto"/>
          </w:tcPr>
          <w:p w14:paraId="4B2967A8" w14:textId="77777777" w:rsidR="00282042" w:rsidRPr="00AC3C8B" w:rsidRDefault="007A7D21" w:rsidP="00282042">
            <w:pPr>
              <w:jc w:val="center"/>
            </w:pPr>
            <w:r>
              <w:lastRenderedPageBreak/>
              <w:t>Priekšlikums ņemts vērā.</w:t>
            </w:r>
          </w:p>
        </w:tc>
        <w:tc>
          <w:tcPr>
            <w:tcW w:w="5528" w:type="dxa"/>
            <w:shd w:val="clear" w:color="auto" w:fill="auto"/>
          </w:tcPr>
          <w:p w14:paraId="0E7A7326" w14:textId="77777777" w:rsidR="00282042" w:rsidRPr="00552911" w:rsidRDefault="007A7D21" w:rsidP="007A7D21">
            <w:pPr>
              <w:jc w:val="both"/>
            </w:pPr>
            <w:r>
              <w:t>Plāna projekts paredz uzdevumu izveidot darba grupu, kas izvērtēs numerācijas nodevas ieviešanas lietderību.</w:t>
            </w:r>
          </w:p>
        </w:tc>
      </w:tr>
      <w:tr w:rsidR="00282042" w:rsidRPr="00ED65A3" w14:paraId="75A9D163" w14:textId="77777777" w:rsidTr="00C97F30">
        <w:tc>
          <w:tcPr>
            <w:tcW w:w="720" w:type="dxa"/>
            <w:shd w:val="clear" w:color="auto" w:fill="auto"/>
          </w:tcPr>
          <w:p w14:paraId="3D17A01B" w14:textId="77777777" w:rsidR="00282042" w:rsidRPr="00BE6631" w:rsidRDefault="00282042" w:rsidP="00282042">
            <w:r>
              <w:t>7.</w:t>
            </w:r>
          </w:p>
        </w:tc>
        <w:tc>
          <w:tcPr>
            <w:tcW w:w="3060" w:type="dxa"/>
            <w:shd w:val="clear" w:color="auto" w:fill="auto"/>
          </w:tcPr>
          <w:p w14:paraId="4E660067" w14:textId="77777777" w:rsidR="00282042" w:rsidRDefault="00282042" w:rsidP="00282042">
            <w:r w:rsidRPr="00150B6B">
              <w:t>Sabiedrisko pakalpojumu regulēšanas komisija</w:t>
            </w:r>
          </w:p>
        </w:tc>
        <w:tc>
          <w:tcPr>
            <w:tcW w:w="3960" w:type="dxa"/>
            <w:shd w:val="clear" w:color="auto" w:fill="auto"/>
          </w:tcPr>
          <w:p w14:paraId="3A2A4C08" w14:textId="77777777" w:rsidR="00282042" w:rsidRPr="00282042" w:rsidRDefault="00282042" w:rsidP="00282042">
            <w:pPr>
              <w:jc w:val="both"/>
              <w:rPr>
                <w:sz w:val="20"/>
                <w:szCs w:val="20"/>
              </w:rPr>
            </w:pPr>
            <w:r w:rsidRPr="00053CEB">
              <w:t>Regulators norāda, ka Plānā aizvien nav iekļauta informācija par to vai un kādi numuri būtu izmantojami eZvana pakalpojuma nodrošināšanai. Šo jautājumu Regulators jau vairākkārt ir lūdzis izvērtēt Vides aizsardzības un reģionālās attīstības ministrijai un Satiksmes ministrijai. Regulators nav saņēmis Satiksmes ministrijas un Vides aizsardzības un reģionālās attīstības ministrijas viedokli par numuru nepieciešamību eZvana pakalpojuma nodrošināšanai.</w:t>
            </w:r>
          </w:p>
        </w:tc>
        <w:tc>
          <w:tcPr>
            <w:tcW w:w="1911" w:type="dxa"/>
            <w:shd w:val="clear" w:color="auto" w:fill="auto"/>
          </w:tcPr>
          <w:p w14:paraId="03B395DE" w14:textId="77777777" w:rsidR="00282042" w:rsidRPr="00BE6631" w:rsidRDefault="00053CEB" w:rsidP="00282042">
            <w:pPr>
              <w:jc w:val="center"/>
            </w:pPr>
            <w:r>
              <w:t>Priekšlikums nav ņemts vērā.</w:t>
            </w:r>
          </w:p>
        </w:tc>
        <w:tc>
          <w:tcPr>
            <w:tcW w:w="5528" w:type="dxa"/>
            <w:shd w:val="clear" w:color="auto" w:fill="auto"/>
          </w:tcPr>
          <w:p w14:paraId="1B8919A7" w14:textId="77777777" w:rsidR="00282042" w:rsidRPr="004A0E9A" w:rsidRDefault="00053CEB" w:rsidP="00053CEB">
            <w:pPr>
              <w:jc w:val="both"/>
            </w:pPr>
            <w:r>
              <w:t>Plāna projektā netiek skatīts jautājums par numerācijas resursu izmantošanu eZvana darbībai Latvijā, jo līdz šim nav konstatētas problēmas eZvana darbības nodrošināšanā, proti, pakalpojums tiek nodrošināts saskaņā ar Elektronisko sakaru likumā noteikto. Elektronisko sakaru nozares nevalstiskās organizācijas nesaskata nepieciešamību numerācijas resursu piešķiršanai eZvana darbības nodrošināšanai.</w:t>
            </w:r>
          </w:p>
        </w:tc>
      </w:tr>
      <w:tr w:rsidR="00282042" w:rsidRPr="00ED65A3" w14:paraId="285DD77F" w14:textId="77777777" w:rsidTr="00C97F30">
        <w:tc>
          <w:tcPr>
            <w:tcW w:w="720" w:type="dxa"/>
            <w:shd w:val="clear" w:color="auto" w:fill="auto"/>
          </w:tcPr>
          <w:p w14:paraId="0ED2CC3D" w14:textId="77777777" w:rsidR="00282042" w:rsidRPr="00481209" w:rsidRDefault="00282042" w:rsidP="00282042">
            <w:r>
              <w:t>8.</w:t>
            </w:r>
          </w:p>
        </w:tc>
        <w:tc>
          <w:tcPr>
            <w:tcW w:w="3060" w:type="dxa"/>
            <w:shd w:val="clear" w:color="auto" w:fill="auto"/>
          </w:tcPr>
          <w:p w14:paraId="47F1EAA5" w14:textId="77777777" w:rsidR="00282042" w:rsidRDefault="00282042" w:rsidP="00282042">
            <w:r w:rsidRPr="00150B6B">
              <w:t>Sabiedrisko pakalpojumu regulēšanas komisija</w:t>
            </w:r>
          </w:p>
        </w:tc>
        <w:tc>
          <w:tcPr>
            <w:tcW w:w="3960" w:type="dxa"/>
            <w:shd w:val="clear" w:color="auto" w:fill="auto"/>
          </w:tcPr>
          <w:p w14:paraId="26C39568" w14:textId="77777777" w:rsidR="00282042" w:rsidRPr="00282042" w:rsidRDefault="00282042" w:rsidP="00282042">
            <w:pPr>
              <w:jc w:val="both"/>
              <w:rPr>
                <w:sz w:val="20"/>
                <w:szCs w:val="20"/>
              </w:rPr>
            </w:pPr>
            <w:r w:rsidRPr="00AC3D77">
              <w:t xml:space="preserve">Plānā nepieciešams iekļaut uzdevumu, ka ir jāveic normatīvo aktu grozījumi (piemēram, nacionālais numerācijas plāns), lai nodrošinātu numura saglabāšanas pakalpojuma iespēju no publiskā fiksētā telefonu tīkla uz publiskā mobilā telefona tīkla numuriem un otrādi. Uzdevuma tabulā </w:t>
            </w:r>
            <w:r w:rsidRPr="00AC3D77">
              <w:lastRenderedPageBreak/>
              <w:t>izpildes termiņš ir jānorāda 2017.gada 31.decembris. Regulators norāda, ka, attīstoties tehnoloģijām un ievērojot tehnoloģiskās neitralitātes principu, kā arī sekojot līdzi IP tehnoloģijas attīstībai, ir jāļauj elektronisko skaru komersantiem un to galalietotājiem izvēlēties, kurā elektronisko sakaru tīklā saglabāt savu numuru. Regulators arī norāda, ka, analizējot balss telefonijas mazumtirdzniecības tirgu, ir konstatējis fiksētās un mobilās balss telefonijas aizstājamību, kas liecina par to, ka ierobežojums pārvietot numuru no fiksētā uz mobilo elektronisko sakaru tīklu un otrādi kļuvis par mākslīgu ierobežojumu konkurencei starp balss telefonijas komersantiem fiksētajā un mobilajā elektronisko sakaru tīklā.</w:t>
            </w:r>
          </w:p>
        </w:tc>
        <w:tc>
          <w:tcPr>
            <w:tcW w:w="1911" w:type="dxa"/>
            <w:shd w:val="clear" w:color="auto" w:fill="auto"/>
          </w:tcPr>
          <w:p w14:paraId="38478BFA" w14:textId="77777777" w:rsidR="00282042" w:rsidRPr="00481209" w:rsidRDefault="00AC3D77" w:rsidP="00282042">
            <w:pPr>
              <w:jc w:val="center"/>
            </w:pPr>
            <w:r>
              <w:lastRenderedPageBreak/>
              <w:t>Priekšlikums ņemts vērā.</w:t>
            </w:r>
          </w:p>
        </w:tc>
        <w:tc>
          <w:tcPr>
            <w:tcW w:w="5528" w:type="dxa"/>
            <w:shd w:val="clear" w:color="auto" w:fill="auto"/>
          </w:tcPr>
          <w:p w14:paraId="2BD1BD74" w14:textId="77777777" w:rsidR="00282042" w:rsidRPr="00A7241F" w:rsidRDefault="00282042" w:rsidP="00282042">
            <w:pPr>
              <w:jc w:val="center"/>
            </w:pPr>
          </w:p>
        </w:tc>
      </w:tr>
      <w:tr w:rsidR="00C97F30" w:rsidRPr="00ED65A3" w14:paraId="56DA38F4" w14:textId="77777777" w:rsidTr="00C97F30">
        <w:tc>
          <w:tcPr>
            <w:tcW w:w="720" w:type="dxa"/>
            <w:shd w:val="clear" w:color="auto" w:fill="auto"/>
          </w:tcPr>
          <w:p w14:paraId="3320DA23" w14:textId="77777777" w:rsidR="00C97F30" w:rsidRPr="00CB23D9" w:rsidRDefault="00C97F30" w:rsidP="00C307A5">
            <w:r>
              <w:t>9.</w:t>
            </w:r>
          </w:p>
        </w:tc>
        <w:tc>
          <w:tcPr>
            <w:tcW w:w="3060" w:type="dxa"/>
            <w:shd w:val="clear" w:color="auto" w:fill="auto"/>
          </w:tcPr>
          <w:p w14:paraId="0E5D30A2" w14:textId="77777777" w:rsidR="00C97F30" w:rsidRPr="00CB23D9" w:rsidRDefault="00282042" w:rsidP="00964FD5">
            <w:r w:rsidRPr="00282042">
              <w:t>Sabiedrisko pakalpojumu regulēšanas komisija</w:t>
            </w:r>
          </w:p>
        </w:tc>
        <w:tc>
          <w:tcPr>
            <w:tcW w:w="3960" w:type="dxa"/>
            <w:shd w:val="clear" w:color="auto" w:fill="auto"/>
          </w:tcPr>
          <w:p w14:paraId="281F6802" w14:textId="77777777" w:rsidR="00C97F30" w:rsidRPr="00282042" w:rsidRDefault="00282042" w:rsidP="00282042">
            <w:pPr>
              <w:jc w:val="both"/>
              <w:rPr>
                <w:sz w:val="20"/>
                <w:szCs w:val="20"/>
              </w:rPr>
            </w:pPr>
            <w:r w:rsidRPr="00AC3D77">
              <w:t xml:space="preserve">Regulators norāda, ka Vides aizsardzības un reģionālās attīstības ministrijas 2016.gada 5.oktobra numerācijas resursu izmantošanas koordinācijas darba grupā tika izstrādāti un iesūtīti priekšlikumus par numuru diapazonu noteikšanu starp-ierīču saziņai mašīna – mašīna sakariem (turpmāk – M2M). Regulators norāda, ka patlaban elektronisko sakaru komersanti piedāvā saviem galalietotājiem M2M </w:t>
            </w:r>
            <w:r w:rsidRPr="00AC3D77">
              <w:lastRenderedPageBreak/>
              <w:t>pakalpojumus izmantojot numurus, kuru numuru izmantošanas mērķis ir citu pakalpojumu sniegšana, kā rezultātā tiek veicināta numuru resursu izsmelšana. Regulators 2017.gada 10.aprīļa vēstulē Nr.1-2.79/1182 Vides aizsardzības un reģionālās attīstības ministrijai nosūtīja atzinumu par Ministru kabineta noteikumu projektu “Grozījumi Ministru kabineta 2015.gada 30.jūnija noteikumos Nr.367 “Nacionālais numerācijas plāns”” (VSS-312), kur norādīja, ka ir nepieciešams nodalīt numerāciju, kura izmantojama kā M2M numerācija, piemēram, numerācijas diapazons “70XXXXXX - 77XXXXXX” un “3XXXXXXX”. Vienlaicīgi Regulators norāda, ka 16 Eiropas Savienības valstīs ir ieviesta M2M numerācija, tam izdalot atsevišķu numerācijas diapazonu ar 8, 10, 11, 12, 13 vai 14 cipariem. Ņemot vērā iepriekš minēto, Regulators iebilst un nepiekrīt apgalvojumam, ka nav nepieciešams iedalīt papildu numerācijas resursus M2M pakalpojumiem.</w:t>
            </w:r>
          </w:p>
        </w:tc>
        <w:tc>
          <w:tcPr>
            <w:tcW w:w="1911" w:type="dxa"/>
            <w:shd w:val="clear" w:color="auto" w:fill="auto"/>
          </w:tcPr>
          <w:p w14:paraId="57E5CE32" w14:textId="77777777" w:rsidR="00C97F30" w:rsidRPr="00CB23D9" w:rsidRDefault="00AC3D77" w:rsidP="00ED65A3">
            <w:pPr>
              <w:jc w:val="center"/>
            </w:pPr>
            <w:r>
              <w:lastRenderedPageBreak/>
              <w:t>Priekšlikums nav ņemts vērā.</w:t>
            </w:r>
          </w:p>
        </w:tc>
        <w:tc>
          <w:tcPr>
            <w:tcW w:w="5528" w:type="dxa"/>
            <w:shd w:val="clear" w:color="auto" w:fill="auto"/>
          </w:tcPr>
          <w:p w14:paraId="26243A38" w14:textId="77777777" w:rsidR="00C97F30" w:rsidRDefault="00525004" w:rsidP="00525004">
            <w:pPr>
              <w:jc w:val="both"/>
            </w:pPr>
            <w:r>
              <w:t xml:space="preserve">Elektronisko sakaru nozares nevalstiskās organizācijas neatbalsta </w:t>
            </w:r>
            <w:r w:rsidRPr="00AC3D77">
              <w:t>nepieciešams iedalīt papildu numerācijas resursus M2M pakalpojumiem</w:t>
            </w:r>
            <w:r>
              <w:t xml:space="preserve">, kā arī diskusijās </w:t>
            </w:r>
            <w:r w:rsidRPr="00AC3D77">
              <w:t xml:space="preserve">Vides aizsardzības un reģionālās attīstības ministrijas </w:t>
            </w:r>
            <w:r>
              <w:t>N</w:t>
            </w:r>
            <w:r w:rsidRPr="00AC3D77">
              <w:t>umerācijas resursu koordinācijas darba grupā</w:t>
            </w:r>
            <w:r>
              <w:t xml:space="preserve"> Sabiedrisko pakalpojumu regulēšanas komisijas priekšlikums nav guvis atbalstu. </w:t>
            </w:r>
          </w:p>
        </w:tc>
      </w:tr>
      <w:tr w:rsidR="00C97F30" w:rsidRPr="00ED65A3" w14:paraId="19955CF5" w14:textId="77777777" w:rsidTr="00C97F30">
        <w:tc>
          <w:tcPr>
            <w:tcW w:w="720" w:type="dxa"/>
            <w:shd w:val="clear" w:color="auto" w:fill="auto"/>
          </w:tcPr>
          <w:p w14:paraId="0CC7D4D7" w14:textId="77777777" w:rsidR="00C97F30" w:rsidRPr="00103660" w:rsidRDefault="00C97F30" w:rsidP="00C307A5">
            <w:r>
              <w:t>10.</w:t>
            </w:r>
          </w:p>
        </w:tc>
        <w:tc>
          <w:tcPr>
            <w:tcW w:w="3060" w:type="dxa"/>
            <w:shd w:val="clear" w:color="auto" w:fill="auto"/>
          </w:tcPr>
          <w:p w14:paraId="693CFAAB" w14:textId="77777777" w:rsidR="00C97F30" w:rsidRPr="00CB23D9" w:rsidRDefault="00282042" w:rsidP="00282042">
            <w:r w:rsidRPr="00282042">
              <w:t>Sabiedrisko pakalpojumu regulēšanas komisija</w:t>
            </w:r>
          </w:p>
        </w:tc>
        <w:tc>
          <w:tcPr>
            <w:tcW w:w="3960" w:type="dxa"/>
            <w:shd w:val="clear" w:color="auto" w:fill="auto"/>
          </w:tcPr>
          <w:p w14:paraId="636965A9" w14:textId="77777777" w:rsidR="00C97F30" w:rsidRPr="00282042" w:rsidRDefault="00282042" w:rsidP="00282042">
            <w:pPr>
              <w:jc w:val="both"/>
              <w:rPr>
                <w:sz w:val="20"/>
                <w:szCs w:val="20"/>
              </w:rPr>
            </w:pPr>
            <w:r w:rsidRPr="00525004">
              <w:t xml:space="preserve">Ņemot vērā, ka grozījumu Vispārīgos būvnoteikumos sagatavošanas termiņš ir 2017.gada 30.decembris, un tajos ir paredzēts iekļaut jaunu iedalījumu </w:t>
            </w:r>
            <w:r w:rsidRPr="00525004">
              <w:lastRenderedPageBreak/>
              <w:t>grupu attiecībā uz elektronisko sakaru būvēm, jauniem elektronisko sakaru būvnoteikumiem ir jābūt izstrādātiem un saskaņotiem ar Vispārīgiem būvnoteikumiem pēc iespējas ātrāk, lai nodrošināt elektronisko sakaru tīklu būvniecību atbilstoši normatīvajos aktos noteiktajam. Regu</w:t>
            </w:r>
            <w:r w:rsidR="00525004">
              <w:t>lators aicina uzdevumā Nr.2.5. “</w:t>
            </w:r>
            <w:r w:rsidRPr="00525004">
              <w:t>Izstrādāt elektronisko sakaru tīklu būvnoteikumus atbilstoši būvniecības regulējumam, iekļaujot tajos atviegloto regulējumu elektronisko sakaru tīklu būvniecībai un ierīkošanai, ievērojot Vispārīgajos būvnoteikumos n</w:t>
            </w:r>
            <w:r w:rsidR="00525004">
              <w:t>oteikto būvju iedalījumu grupās”</w:t>
            </w:r>
            <w:r w:rsidRPr="00525004">
              <w:t xml:space="preserve"> noteikt ātrāku uzdevuma izpildes termiņu: “2018.gada 1.jūlijs”.</w:t>
            </w:r>
          </w:p>
        </w:tc>
        <w:tc>
          <w:tcPr>
            <w:tcW w:w="1911" w:type="dxa"/>
            <w:shd w:val="clear" w:color="auto" w:fill="auto"/>
          </w:tcPr>
          <w:p w14:paraId="5D6DE1AE" w14:textId="77777777" w:rsidR="00C97F30" w:rsidRPr="00CB23D9" w:rsidRDefault="00525004" w:rsidP="00ED65A3">
            <w:pPr>
              <w:jc w:val="center"/>
            </w:pPr>
            <w:r>
              <w:lastRenderedPageBreak/>
              <w:t>Priekšlikums nav ņemts vērā.</w:t>
            </w:r>
          </w:p>
        </w:tc>
        <w:tc>
          <w:tcPr>
            <w:tcW w:w="5528" w:type="dxa"/>
            <w:shd w:val="clear" w:color="auto" w:fill="auto"/>
          </w:tcPr>
          <w:p w14:paraId="5B77AF85" w14:textId="77777777" w:rsidR="00C97F30" w:rsidRDefault="00525004" w:rsidP="00525004">
            <w:pPr>
              <w:jc w:val="both"/>
            </w:pPr>
            <w:r>
              <w:t xml:space="preserve">Ņemot vērā to, ka elektronisko sakaru tīklu būvnoteikumu izstrāde ir atkarīga no grozījumiem </w:t>
            </w:r>
            <w:r w:rsidR="005264D2" w:rsidRPr="006177EC">
              <w:rPr>
                <w:bCs/>
              </w:rPr>
              <w:t xml:space="preserve">Ministru kabineta </w:t>
            </w:r>
            <w:r w:rsidR="005264D2" w:rsidRPr="00AC5E3F">
              <w:t xml:space="preserve">2014.gada 19.augusta </w:t>
            </w:r>
            <w:r w:rsidR="005264D2" w:rsidRPr="00AC5E3F">
              <w:rPr>
                <w:bCs/>
              </w:rPr>
              <w:t xml:space="preserve">noteikumos Nr.500 </w:t>
            </w:r>
            <w:r w:rsidR="005264D2">
              <w:rPr>
                <w:bCs/>
              </w:rPr>
              <w:t>“</w:t>
            </w:r>
            <w:r w:rsidR="005264D2" w:rsidRPr="00AC5E3F">
              <w:rPr>
                <w:bCs/>
              </w:rPr>
              <w:t>Vispārīgie būvnoteikumi</w:t>
            </w:r>
            <w:r w:rsidR="005264D2">
              <w:rPr>
                <w:bCs/>
              </w:rPr>
              <w:t>”</w:t>
            </w:r>
            <w:r>
              <w:t xml:space="preserve">, kurus virza </w:t>
            </w:r>
            <w:r>
              <w:lastRenderedPageBreak/>
              <w:t>Ekonomikas ministrija, kā arī ievērojot jebkuru ar būvniecību saistīto jautājumu sarežģīto saskaņošanas procesu, Satiksmes ministrija uzskata plāna projektā noteikto uzdevuma izpildes termiņu par esošajai situācijai atbilstošu, kā arī norāda, ka elektronisko sakaru tīklu būvnoteikumu izstrāde un virzība iespējama arī pirms plāna projektā noteiktā uzdevuma izpildes termiņa.</w:t>
            </w:r>
          </w:p>
        </w:tc>
      </w:tr>
      <w:tr w:rsidR="00C97F30" w:rsidRPr="00ED65A3" w14:paraId="4B337302" w14:textId="77777777" w:rsidTr="00C97F30">
        <w:tc>
          <w:tcPr>
            <w:tcW w:w="720" w:type="dxa"/>
            <w:shd w:val="clear" w:color="auto" w:fill="auto"/>
          </w:tcPr>
          <w:p w14:paraId="121BDC1A" w14:textId="77777777" w:rsidR="00C97F30" w:rsidRPr="005B0A82" w:rsidRDefault="00C97F30" w:rsidP="00D63A36">
            <w:r>
              <w:lastRenderedPageBreak/>
              <w:t>11.</w:t>
            </w:r>
          </w:p>
        </w:tc>
        <w:tc>
          <w:tcPr>
            <w:tcW w:w="3060" w:type="dxa"/>
            <w:shd w:val="clear" w:color="auto" w:fill="auto"/>
          </w:tcPr>
          <w:p w14:paraId="51D794A8" w14:textId="77777777" w:rsidR="00C97F30" w:rsidRPr="00ED65A3" w:rsidRDefault="00DF1129" w:rsidP="008002B5">
            <w:pPr>
              <w:rPr>
                <w:sz w:val="22"/>
                <w:szCs w:val="22"/>
              </w:rPr>
            </w:pPr>
            <w:r w:rsidRPr="00BC4E5E">
              <w:t>Biedrība “Latvijas Informācijas un komunikācijas tehnoloģijas asociācija”</w:t>
            </w:r>
          </w:p>
        </w:tc>
        <w:tc>
          <w:tcPr>
            <w:tcW w:w="3960" w:type="dxa"/>
            <w:shd w:val="clear" w:color="auto" w:fill="auto"/>
          </w:tcPr>
          <w:p w14:paraId="566EC83F" w14:textId="77777777" w:rsidR="00C97F30" w:rsidRPr="002D7396" w:rsidRDefault="00282042" w:rsidP="00282042">
            <w:pPr>
              <w:jc w:val="both"/>
            </w:pPr>
            <w:r w:rsidRPr="002D7396">
              <w:t xml:space="preserve">Projekta 4.1.sadaļā (2.1.uzdevums) kā viena no rīcībām regulējošās vides uzlabošanai ir definēta grozījumu izstrāde publiskās nomas tiesību regulējumā elektronisko sakaru tīklu attīstības sekmēšanai. Vēršam uzmanību, ka Finanšu ministrija ir izstrādājusi Ministru kabineta noteikumu “Publiskas personas mantas iznomāšanas noteikumi” projektu un šobrīd norisinās tā saskaņošanas process. Aicinām izvērtēt iespēju iesniegt priekšlikumus </w:t>
            </w:r>
            <w:r w:rsidRPr="002D7396">
              <w:lastRenderedPageBreak/>
              <w:t>minētā projekta ietvaros. Jebkurā gadījumā lūdzam Projektā noteikt ātrāku nepieciešamo grozījumu izstrādes termiņu (šobrīd – 2019.gada 30.decembris).</w:t>
            </w:r>
          </w:p>
        </w:tc>
        <w:tc>
          <w:tcPr>
            <w:tcW w:w="1911" w:type="dxa"/>
            <w:shd w:val="clear" w:color="auto" w:fill="auto"/>
          </w:tcPr>
          <w:p w14:paraId="73050335" w14:textId="77777777" w:rsidR="00C97F30" w:rsidRPr="00CB23D9" w:rsidRDefault="002D7396" w:rsidP="00ED65A3">
            <w:pPr>
              <w:jc w:val="center"/>
            </w:pPr>
            <w:r>
              <w:lastRenderedPageBreak/>
              <w:t>Priekšlikums ņemts vērā.</w:t>
            </w:r>
          </w:p>
        </w:tc>
        <w:tc>
          <w:tcPr>
            <w:tcW w:w="5528" w:type="dxa"/>
            <w:shd w:val="clear" w:color="auto" w:fill="auto"/>
          </w:tcPr>
          <w:p w14:paraId="2258FECB" w14:textId="77777777" w:rsidR="00C97F30" w:rsidRPr="00CB23D9" w:rsidRDefault="002D7396" w:rsidP="002D7396">
            <w:pPr>
              <w:jc w:val="both"/>
            </w:pPr>
            <w:r>
              <w:t>Satiksmes ministrijas Elektronisko sakaru nozares padomes ekspertu darba grupas sēdē panākta vienošanās par normatīvo aktu izstrādes un virzības secību.</w:t>
            </w:r>
          </w:p>
        </w:tc>
      </w:tr>
      <w:tr w:rsidR="002D7396" w:rsidRPr="00ED65A3" w14:paraId="3FA0371A" w14:textId="77777777" w:rsidTr="00C97F30">
        <w:tc>
          <w:tcPr>
            <w:tcW w:w="720" w:type="dxa"/>
            <w:shd w:val="clear" w:color="auto" w:fill="auto"/>
          </w:tcPr>
          <w:p w14:paraId="0FCFF596" w14:textId="77777777" w:rsidR="002D7396" w:rsidRPr="005B0A82" w:rsidRDefault="002D7396" w:rsidP="00D63A36">
            <w:r>
              <w:t>12.</w:t>
            </w:r>
          </w:p>
        </w:tc>
        <w:tc>
          <w:tcPr>
            <w:tcW w:w="3060" w:type="dxa"/>
            <w:shd w:val="clear" w:color="auto" w:fill="auto"/>
          </w:tcPr>
          <w:p w14:paraId="380D3783" w14:textId="77777777" w:rsidR="002D7396" w:rsidRPr="00CB23D9" w:rsidRDefault="002D7396" w:rsidP="00D63A36">
            <w:r w:rsidRPr="00DF1129">
              <w:t>Biedrība “Latvijas Informācijas un komunikācijas tehnoloģijas asociācija”</w:t>
            </w:r>
          </w:p>
        </w:tc>
        <w:tc>
          <w:tcPr>
            <w:tcW w:w="3960" w:type="dxa"/>
            <w:shd w:val="clear" w:color="auto" w:fill="auto"/>
          </w:tcPr>
          <w:p w14:paraId="6E176305" w14:textId="77777777" w:rsidR="002D7396" w:rsidRPr="002D7396" w:rsidRDefault="002D7396" w:rsidP="00282042">
            <w:pPr>
              <w:jc w:val="both"/>
              <w:rPr>
                <w:sz w:val="20"/>
                <w:szCs w:val="20"/>
              </w:rPr>
            </w:pPr>
            <w:r w:rsidRPr="002D7396">
              <w:t xml:space="preserve">Projekta 4.1.sadaļā (2.2. un 2.3.uzdevums) ietverta rīcība “Sadarbības atvieglošana daudzdzīvokļu mājās”. Lūdzam precizēt norādes par veicamo izmaiņu ietekmi. Veicot grozījumus Dzīvojamo māju pārvaldīšanas likumā, papildinot obligāti veicamās pārvaldīšanas darbības ar piekļuves nodrošināšanu dzīvojamai mājai publisko elektronisko sakaru tīklu ierīkošanai un uzturēšanai, daudzdzīvokļu mājas apsaimniekotājam nerastos tiesības iedzīvotāju vārdā saskaņot elektronisko sakaru pakalpojumu sniedzēju pieprasījumus attiecībā uz elektronisko sakaru infrastruktūras izvietošanu attiecīgajā objektā. Tiesības izlemt šo jautājumu saskaņā ar Dzīvokļa īpašuma likuma 16.pantu ir dzīvokļu īpašnieku kopības ekskluzīvā kompetencē. Grozījums varētu novērst gadījumus, kad dzīvojamās mājas pārvaldītājs nereaģē uz elektronisko sakaru komersanta lūgumu organizēt lēmuma </w:t>
            </w:r>
            <w:r w:rsidRPr="002D7396">
              <w:lastRenderedPageBreak/>
              <w:t>pieņemšanas procedūru. Koriģējama arī norāde attiecībā uz starpniecības maksu. Ja elektronisko sakaru pakalpojumu nodrošināšana (slēdzot attiecīgu līgumu) tiktu noteikta par obligāti veicamu pārvaldīšanas darbību, papildu maksa nebūtu nosakāma.</w:t>
            </w:r>
          </w:p>
        </w:tc>
        <w:tc>
          <w:tcPr>
            <w:tcW w:w="1911" w:type="dxa"/>
            <w:shd w:val="clear" w:color="auto" w:fill="auto"/>
          </w:tcPr>
          <w:p w14:paraId="123EAD22" w14:textId="77777777" w:rsidR="002D7396" w:rsidRPr="00CB23D9" w:rsidRDefault="002D7396" w:rsidP="00466875">
            <w:pPr>
              <w:jc w:val="center"/>
            </w:pPr>
            <w:r>
              <w:lastRenderedPageBreak/>
              <w:t>Priekšlikums ņemts vērā.</w:t>
            </w:r>
          </w:p>
        </w:tc>
        <w:tc>
          <w:tcPr>
            <w:tcW w:w="5528" w:type="dxa"/>
            <w:shd w:val="clear" w:color="auto" w:fill="auto"/>
          </w:tcPr>
          <w:p w14:paraId="09849DA3" w14:textId="77777777" w:rsidR="002D7396" w:rsidRPr="00CB23D9" w:rsidRDefault="002D7396" w:rsidP="002D7396">
            <w:pPr>
              <w:jc w:val="both"/>
            </w:pPr>
            <w:r>
              <w:t>Satiksmes ministrijas Elektronisko sakaru nozares padomes ekspertu darba grupas sēdē panākta vienošanās par priekšlikumu iestrādi normatīvo aktu projektos.</w:t>
            </w:r>
          </w:p>
        </w:tc>
      </w:tr>
      <w:tr w:rsidR="002D7396" w:rsidRPr="00ED65A3" w14:paraId="6806C46E" w14:textId="77777777" w:rsidTr="00C97F30">
        <w:tc>
          <w:tcPr>
            <w:tcW w:w="720" w:type="dxa"/>
            <w:shd w:val="clear" w:color="auto" w:fill="auto"/>
          </w:tcPr>
          <w:p w14:paraId="006EC5D4" w14:textId="77777777" w:rsidR="002D7396" w:rsidRPr="005B0A82" w:rsidRDefault="002D7396" w:rsidP="00DF1129">
            <w:r>
              <w:t>13.</w:t>
            </w:r>
          </w:p>
        </w:tc>
        <w:tc>
          <w:tcPr>
            <w:tcW w:w="3060" w:type="dxa"/>
            <w:shd w:val="clear" w:color="auto" w:fill="auto"/>
          </w:tcPr>
          <w:p w14:paraId="34A80047" w14:textId="77777777" w:rsidR="002D7396" w:rsidRDefault="002D7396" w:rsidP="00DF1129">
            <w:r w:rsidRPr="00FB5C4F">
              <w:t>Biedrība “Latvijas Informācijas un komunikācijas tehnoloģijas asociācija”</w:t>
            </w:r>
          </w:p>
        </w:tc>
        <w:tc>
          <w:tcPr>
            <w:tcW w:w="3960" w:type="dxa"/>
            <w:shd w:val="clear" w:color="auto" w:fill="auto"/>
          </w:tcPr>
          <w:p w14:paraId="2C1F685B" w14:textId="77777777" w:rsidR="002D7396" w:rsidRPr="00282042" w:rsidRDefault="002D7396" w:rsidP="00DF1129">
            <w:pPr>
              <w:jc w:val="both"/>
              <w:rPr>
                <w:sz w:val="20"/>
                <w:szCs w:val="20"/>
              </w:rPr>
            </w:pPr>
            <w:r w:rsidRPr="004C1753">
              <w:t>Lūdzam papildināt 4.1. sadaļā ietvertās rīcības “Elektronisko sakaru tīklu būvniecības procesa atvieglošana” 1.punkta 5.apakšpunktu ar vārdiem “vai kabeļu kanalizācija” (punkta redakcija: 5)ārējais elektronisko sakaru tīkls vai kabeļu kanalizācija  līdz 1000 m.)</w:t>
            </w:r>
          </w:p>
        </w:tc>
        <w:tc>
          <w:tcPr>
            <w:tcW w:w="1911" w:type="dxa"/>
            <w:shd w:val="clear" w:color="auto" w:fill="auto"/>
          </w:tcPr>
          <w:p w14:paraId="4BF331C1" w14:textId="77777777" w:rsidR="002D7396" w:rsidRPr="00CB23D9" w:rsidRDefault="002D7396" w:rsidP="00DF1129">
            <w:pPr>
              <w:jc w:val="center"/>
            </w:pPr>
            <w:r>
              <w:t>Priekšlikums ņemts vērā.</w:t>
            </w:r>
          </w:p>
        </w:tc>
        <w:tc>
          <w:tcPr>
            <w:tcW w:w="5528" w:type="dxa"/>
            <w:shd w:val="clear" w:color="auto" w:fill="auto"/>
          </w:tcPr>
          <w:p w14:paraId="4BC88E45" w14:textId="77777777" w:rsidR="002D7396" w:rsidRDefault="002D7396" w:rsidP="00DF1129">
            <w:pPr>
              <w:jc w:val="center"/>
            </w:pPr>
          </w:p>
        </w:tc>
      </w:tr>
      <w:tr w:rsidR="002D7396" w:rsidRPr="00ED65A3" w14:paraId="68DDABD8" w14:textId="77777777" w:rsidTr="00C97F30">
        <w:tc>
          <w:tcPr>
            <w:tcW w:w="720" w:type="dxa"/>
            <w:shd w:val="clear" w:color="auto" w:fill="auto"/>
          </w:tcPr>
          <w:p w14:paraId="66AAA838" w14:textId="77777777" w:rsidR="002D7396" w:rsidRPr="005B0A82" w:rsidRDefault="002D7396" w:rsidP="00DF1129">
            <w:r>
              <w:t>14.</w:t>
            </w:r>
          </w:p>
        </w:tc>
        <w:tc>
          <w:tcPr>
            <w:tcW w:w="3060" w:type="dxa"/>
            <w:shd w:val="clear" w:color="auto" w:fill="auto"/>
          </w:tcPr>
          <w:p w14:paraId="3C045AA4" w14:textId="77777777" w:rsidR="002D7396" w:rsidRDefault="002D7396" w:rsidP="00DF1129">
            <w:r w:rsidRPr="00FB5C4F">
              <w:t>Biedrība “Latvijas Informācijas un komunikācijas tehnoloģijas asociācija”</w:t>
            </w:r>
          </w:p>
        </w:tc>
        <w:tc>
          <w:tcPr>
            <w:tcW w:w="3960" w:type="dxa"/>
            <w:shd w:val="clear" w:color="auto" w:fill="auto"/>
          </w:tcPr>
          <w:p w14:paraId="0E160772" w14:textId="77777777" w:rsidR="002D7396" w:rsidRDefault="002D7396" w:rsidP="00DF1129">
            <w:pPr>
              <w:jc w:val="both"/>
            </w:pPr>
            <w:r w:rsidRPr="00F23CB9">
              <w:t xml:space="preserve">Projektā norādīts, ka paredzēts ieviest numerācijas nodevu par visiem piešķirtajiem numerācijas resursiem (7.lpp., 41.-42.lpp., 2.7.uzdevums), lai nodrošinātu ierobežoto resursu racionālo un optimālo izmantošanu. LIKTA jau iepriekš ir paudusi viedokli, ka nodevas ieviešanai par visu numerācijas resursu lietošanas tiesībām nav ne ekonomiska, ne cita pamatojuma. Pat izmantojamos numerācijas indeksos brīvie resursi nav reāli ierobežoti. Numerācijas resursi (izņemot īsos kodus) Latvijā šobrīd pieejami praktiski neierobežotā apjomā. Savulaik, lemjot par nodevas </w:t>
            </w:r>
            <w:r w:rsidRPr="00F23CB9">
              <w:lastRenderedPageBreak/>
              <w:t>par numerācijas resursu lietošanu ieviešanu Latvijā, kritērijs bija tieši resursu pieejamība, tāpēc arī nodeva tika attiecināta tikai uz īsajiem kodiem, kas bija un joprojām ir vienīgais reāli ierobežotais numerācijas resurss.</w:t>
            </w:r>
            <w:r>
              <w:t xml:space="preserve"> </w:t>
            </w:r>
          </w:p>
          <w:p w14:paraId="7E2846EC" w14:textId="77777777" w:rsidR="002D7396" w:rsidRPr="00282042" w:rsidRDefault="002D7396" w:rsidP="00DF1129">
            <w:pPr>
              <w:jc w:val="both"/>
              <w:rPr>
                <w:sz w:val="20"/>
                <w:szCs w:val="20"/>
              </w:rPr>
            </w:pPr>
            <w:r w:rsidRPr="00F23CB9">
              <w:t>Ar jauno regulējumu komersantiem tiktu uzlikts nesamērīgs un nepamatots slogs. SPRK atkārtoti jāizvērtē problēmjautājumu esamība un to raksturs numerācijas resursu lietošanas sfērā. Sagaidām izsvērtu un samērīgu priekšlikumu konstatēto problēmu (šobrīd nav definētas) risināšanai un kvalitatīvu tā apspriešanu ar nozari. LIKTA kategoriski iebilst pret nodevas ieviešanu par visiem numerācijas resursiem un attiecīgu noteikumu tālāku virzību, kā arī minētā pasākuma Nr. 2.7. iekļaušanu plānā. Pielikumā: LIKTA 2017.gada 15.februāra vēstule Satiksmes ministrijai Nr. 2017/02-02 uz 2 lpp.</w:t>
            </w:r>
          </w:p>
        </w:tc>
        <w:tc>
          <w:tcPr>
            <w:tcW w:w="1911" w:type="dxa"/>
            <w:shd w:val="clear" w:color="auto" w:fill="auto"/>
          </w:tcPr>
          <w:p w14:paraId="6A35D9DF" w14:textId="77777777" w:rsidR="002D7396" w:rsidRPr="005A7E5D" w:rsidRDefault="00F23CB9" w:rsidP="00DF1129">
            <w:pPr>
              <w:jc w:val="center"/>
            </w:pPr>
            <w:r>
              <w:lastRenderedPageBreak/>
              <w:t>Priekšlikums ņemts vērā.</w:t>
            </w:r>
          </w:p>
        </w:tc>
        <w:tc>
          <w:tcPr>
            <w:tcW w:w="5528" w:type="dxa"/>
            <w:shd w:val="clear" w:color="auto" w:fill="auto"/>
          </w:tcPr>
          <w:p w14:paraId="2EF42FE2" w14:textId="77777777" w:rsidR="002D7396" w:rsidRPr="007A56F6" w:rsidRDefault="00F23CB9" w:rsidP="00DF1129">
            <w:pPr>
              <w:jc w:val="center"/>
            </w:pPr>
            <w:r>
              <w:t>Plāna projekts paredz uzdevumu izveidot darba grupu, kas izvērtēs numerācijas nodevas ieviešanas lietderību.</w:t>
            </w:r>
          </w:p>
        </w:tc>
      </w:tr>
      <w:tr w:rsidR="002D7396" w:rsidRPr="00ED65A3" w14:paraId="12F129AF" w14:textId="77777777" w:rsidTr="00C97F30">
        <w:tc>
          <w:tcPr>
            <w:tcW w:w="720" w:type="dxa"/>
            <w:shd w:val="clear" w:color="auto" w:fill="auto"/>
          </w:tcPr>
          <w:p w14:paraId="1B1666E5" w14:textId="77777777" w:rsidR="002D7396" w:rsidRPr="005B0A82" w:rsidRDefault="002D7396" w:rsidP="00DF1129">
            <w:r>
              <w:t>15.</w:t>
            </w:r>
          </w:p>
        </w:tc>
        <w:tc>
          <w:tcPr>
            <w:tcW w:w="3060" w:type="dxa"/>
            <w:shd w:val="clear" w:color="auto" w:fill="auto"/>
          </w:tcPr>
          <w:p w14:paraId="45762879" w14:textId="77777777" w:rsidR="002D7396" w:rsidRDefault="002D7396" w:rsidP="00DF1129">
            <w:r w:rsidRPr="00907F7E">
              <w:t>Biedrība “Latvijas Informācijas un komunikācijas tehnoloģijas asociācija”</w:t>
            </w:r>
          </w:p>
        </w:tc>
        <w:tc>
          <w:tcPr>
            <w:tcW w:w="3960" w:type="dxa"/>
            <w:shd w:val="clear" w:color="auto" w:fill="auto"/>
          </w:tcPr>
          <w:p w14:paraId="60FB7628" w14:textId="77777777" w:rsidR="002D7396" w:rsidRPr="00282042" w:rsidRDefault="002D7396" w:rsidP="00DF1129">
            <w:pPr>
              <w:jc w:val="both"/>
              <w:rPr>
                <w:sz w:val="20"/>
                <w:szCs w:val="20"/>
              </w:rPr>
            </w:pPr>
            <w:r w:rsidRPr="00CC1FBA">
              <w:t xml:space="preserve">Projekta 4.1.sadaļā sniegta informācija par priekšlikumiem, kas nosaka elektronisko sakaru komersantiem pienākumu ierobežot piekļuvi interneta vietnēm vai pienākumu augstākā līmeņa domēna “.lv” reģistra turētājam atslēgt domēna vārdu. Ņemot vērā, ka nav nosakāms </w:t>
            </w:r>
            <w:r w:rsidRPr="00CC1FBA">
              <w:lastRenderedPageBreak/>
              <w:t>konkrēts pasākums, lūdzam rīcību “Bloķēšana” no Projekta izslēgt.</w:t>
            </w:r>
          </w:p>
        </w:tc>
        <w:tc>
          <w:tcPr>
            <w:tcW w:w="1911" w:type="dxa"/>
            <w:shd w:val="clear" w:color="auto" w:fill="auto"/>
          </w:tcPr>
          <w:p w14:paraId="29F0D252" w14:textId="77777777" w:rsidR="002D7396" w:rsidRPr="005A7E5D" w:rsidRDefault="00F23CB9" w:rsidP="00DF1129">
            <w:pPr>
              <w:jc w:val="center"/>
            </w:pPr>
            <w:r>
              <w:lastRenderedPageBreak/>
              <w:t>Priekšlikums nav ņemts vērā.</w:t>
            </w:r>
          </w:p>
        </w:tc>
        <w:tc>
          <w:tcPr>
            <w:tcW w:w="5528" w:type="dxa"/>
            <w:shd w:val="clear" w:color="auto" w:fill="auto"/>
          </w:tcPr>
          <w:p w14:paraId="16C15BF3" w14:textId="77777777" w:rsidR="002D7396" w:rsidRPr="00723215" w:rsidRDefault="00FD12D4" w:rsidP="00FD12D4">
            <w:pPr>
              <w:jc w:val="both"/>
            </w:pPr>
            <w:r>
              <w:t>Bloķēšanas jautājums pašlaik nozarē ir ļoti aktuāls, jo notiek regulāras diskusijas</w:t>
            </w:r>
            <w:r w:rsidR="00D077DE">
              <w:t xml:space="preserve"> ar dažādām institūcijām</w:t>
            </w:r>
            <w:r>
              <w:t xml:space="preserve"> par jaunām bloķēšanas iniciatīvām, kas netiek vērtētas viennozīmīgi. Tāpēc arī nav nosakāma vienāda turpmākā rīcība katrai bloķēšanas iniciatīvai. Satiksmes ministrijas ieskatā elektronisko sakaru nozares politikas plānošanas dokumentā šī tēma ir saglabājama.</w:t>
            </w:r>
          </w:p>
        </w:tc>
      </w:tr>
      <w:tr w:rsidR="002D7396" w:rsidRPr="00ED65A3" w14:paraId="4FAF70C3" w14:textId="77777777" w:rsidTr="00C97F30">
        <w:tc>
          <w:tcPr>
            <w:tcW w:w="720" w:type="dxa"/>
            <w:shd w:val="clear" w:color="auto" w:fill="auto"/>
          </w:tcPr>
          <w:p w14:paraId="48D8DF16" w14:textId="77777777" w:rsidR="002D7396" w:rsidRPr="005B0A82" w:rsidRDefault="002D7396" w:rsidP="00DF1129">
            <w:r>
              <w:t>16.</w:t>
            </w:r>
          </w:p>
        </w:tc>
        <w:tc>
          <w:tcPr>
            <w:tcW w:w="3060" w:type="dxa"/>
            <w:shd w:val="clear" w:color="auto" w:fill="auto"/>
          </w:tcPr>
          <w:p w14:paraId="42F337E4" w14:textId="77777777" w:rsidR="002D7396" w:rsidRDefault="002D7396" w:rsidP="00DF1129">
            <w:r w:rsidRPr="00907F7E">
              <w:t>Biedrība “Latvijas Informācijas un komunikācijas tehnoloģijas asociācija”</w:t>
            </w:r>
          </w:p>
        </w:tc>
        <w:tc>
          <w:tcPr>
            <w:tcW w:w="3960" w:type="dxa"/>
            <w:shd w:val="clear" w:color="auto" w:fill="auto"/>
          </w:tcPr>
          <w:p w14:paraId="07B40B0F" w14:textId="77777777" w:rsidR="002D7396" w:rsidRPr="00282042" w:rsidRDefault="002D7396" w:rsidP="00DF1129">
            <w:pPr>
              <w:jc w:val="both"/>
              <w:rPr>
                <w:sz w:val="20"/>
                <w:szCs w:val="20"/>
              </w:rPr>
            </w:pPr>
            <w:r w:rsidRPr="00F23CB9">
              <w:t>Lūdzam papildināt 4.1.sadaļu ar rīcību “Elektronisko sakaru likumā ietvertā saglabājamo datu regulējuma pārskatīšana”. Visaptveroša un nediferencēta visas informācijas par datu plūsmu un atrašanās vietas datu saglabāšana attiecībā uz visiem abonentiem un reģistrētiem lietotājiem un attiecībā uz visiem elektronisko sakaru līdzekļiem neatbilst Eiropas Savienības Pamattiesību hartai. Izstrādājami grozījumi Elektronisko sakaru likumā, ņemot vērā Eiropas Savienības Tiesas spriedumu apvienotajās lietās C-203/15 un C-698/15.</w:t>
            </w:r>
          </w:p>
        </w:tc>
        <w:tc>
          <w:tcPr>
            <w:tcW w:w="1911" w:type="dxa"/>
            <w:shd w:val="clear" w:color="auto" w:fill="auto"/>
          </w:tcPr>
          <w:p w14:paraId="21190123" w14:textId="77777777" w:rsidR="002D7396" w:rsidRPr="007216DD" w:rsidRDefault="00F23CB9" w:rsidP="00DF1129">
            <w:pPr>
              <w:jc w:val="center"/>
            </w:pPr>
            <w:r>
              <w:t>Priekšlikums nav ņemts vērā.</w:t>
            </w:r>
          </w:p>
        </w:tc>
        <w:tc>
          <w:tcPr>
            <w:tcW w:w="5528" w:type="dxa"/>
            <w:shd w:val="clear" w:color="auto" w:fill="auto"/>
          </w:tcPr>
          <w:p w14:paraId="574D6884" w14:textId="77777777" w:rsidR="002D7396" w:rsidRPr="00CD619A" w:rsidRDefault="00F23CB9" w:rsidP="00F23CB9">
            <w:pPr>
              <w:jc w:val="both"/>
            </w:pPr>
            <w:r w:rsidRPr="00F23CB9">
              <w:t xml:space="preserve">Satiksmes ministrijas Elektronisko sakaru nozares padomes ekspertu darba grupas sēdē </w:t>
            </w:r>
            <w:r>
              <w:t>izskaidrota esošā situācija saistībā ar saglabājamo datu regulējuma pārskatīšanu Latvijā un Eiropas Savienībā.</w:t>
            </w:r>
          </w:p>
        </w:tc>
      </w:tr>
      <w:tr w:rsidR="002D7396" w:rsidRPr="00ED65A3" w14:paraId="43029966" w14:textId="77777777" w:rsidTr="00C97F30">
        <w:tc>
          <w:tcPr>
            <w:tcW w:w="720" w:type="dxa"/>
            <w:shd w:val="clear" w:color="auto" w:fill="auto"/>
          </w:tcPr>
          <w:p w14:paraId="1885B665" w14:textId="77777777" w:rsidR="002D7396" w:rsidRPr="00DF5453" w:rsidRDefault="002D7396" w:rsidP="00D63A36">
            <w:r>
              <w:t>17.</w:t>
            </w:r>
          </w:p>
        </w:tc>
        <w:tc>
          <w:tcPr>
            <w:tcW w:w="3060" w:type="dxa"/>
            <w:shd w:val="clear" w:color="auto" w:fill="auto"/>
          </w:tcPr>
          <w:p w14:paraId="5CB2F417" w14:textId="77777777" w:rsidR="002D7396" w:rsidRPr="00DF5453" w:rsidRDefault="002D7396" w:rsidP="00D63A36">
            <w:r w:rsidRPr="00DF1129">
              <w:t>Biedrība “Latvijas Informācijas un komunikācijas tehnoloģijas asociācija”</w:t>
            </w:r>
          </w:p>
        </w:tc>
        <w:tc>
          <w:tcPr>
            <w:tcW w:w="3960" w:type="dxa"/>
            <w:shd w:val="clear" w:color="auto" w:fill="auto"/>
          </w:tcPr>
          <w:p w14:paraId="584B076C" w14:textId="77777777" w:rsidR="002D7396" w:rsidRPr="004C1753" w:rsidRDefault="002D7396" w:rsidP="00282042">
            <w:pPr>
              <w:jc w:val="both"/>
            </w:pPr>
            <w:r w:rsidRPr="004C1753">
              <w:t>Lūdzam papildināt 4.1.sadaļu ar rīcību “Lietošanas tiesību aprobežojuma regulējuma piemērošana”. Ar 2017.gada 23.martā pieņemtajiem grozījumiem Elektronisko sakaru likumā 18.1pants tika papildināts ar pirmo prim daļu, paredzot izņēmumu attiecībā uz publiskajām personām, ņemot vērā ka:</w:t>
            </w:r>
          </w:p>
          <w:p w14:paraId="516897BF" w14:textId="77777777" w:rsidR="002D7396" w:rsidRPr="004C1753" w:rsidRDefault="002D7396" w:rsidP="00282042">
            <w:pPr>
              <w:jc w:val="both"/>
            </w:pPr>
            <w:r w:rsidRPr="004C1753">
              <w:t>-</w:t>
            </w:r>
            <w:r w:rsidRPr="004C1753">
              <w:tab/>
              <w:t>elektronisko sakaru tīklu būvniecība ir būtisks ieguldījums infrastruktūras attīstībā un galalietotājiem sniegto pakalpojumu kvalitātes un pieejamības uzlabošanā;</w:t>
            </w:r>
          </w:p>
          <w:p w14:paraId="3492483D" w14:textId="77777777" w:rsidR="002D7396" w:rsidRPr="004C1753" w:rsidRDefault="002D7396" w:rsidP="00282042">
            <w:pPr>
              <w:jc w:val="both"/>
            </w:pPr>
            <w:r w:rsidRPr="004C1753">
              <w:lastRenderedPageBreak/>
              <w:t>-</w:t>
            </w:r>
            <w:r w:rsidRPr="004C1753">
              <w:tab/>
              <w:t>atlīdzības aprēķināšana un attiecīga līguma slēgšana publisko personu lietošanas tiesību aprobežojuma gadījumā radītu lielāku administratīvo slogu, nekā ieguvumu.</w:t>
            </w:r>
          </w:p>
          <w:p w14:paraId="6AEA1B6F" w14:textId="77777777" w:rsidR="002D7396" w:rsidRPr="004C1753" w:rsidRDefault="002D7396" w:rsidP="00282042">
            <w:pPr>
              <w:jc w:val="both"/>
            </w:pPr>
            <w:r w:rsidRPr="004C1753">
              <w:t>-</w:t>
            </w:r>
            <w:r w:rsidRPr="004C1753">
              <w:tab/>
              <w:t>Latvijas Nacionālajā attīstības plānā 2014.-2020.gadam ietvertos mērķus.</w:t>
            </w:r>
          </w:p>
          <w:p w14:paraId="322B51E8" w14:textId="77777777" w:rsidR="002D7396" w:rsidRPr="004C1753" w:rsidRDefault="002D7396" w:rsidP="00282042">
            <w:pPr>
              <w:jc w:val="both"/>
            </w:pPr>
            <w:r w:rsidRPr="004C1753">
              <w:t xml:space="preserve">Administratīvā sloga mazināšana elektronisko sakaru nozarē ir vitāli nepieciešams pasākums, kas izriet no Nākamās paaudzes platjoslas elektronisko sakaru tīklu attīstības koncepcijas 2013. - 2020.gadam (turpmāk – Koncepcija), lai veicinātu Latvijai kā Eiropas Savienības dalībvalstij doto uzdevumu izpildi. </w:t>
            </w:r>
          </w:p>
          <w:p w14:paraId="42F2105E" w14:textId="77777777" w:rsidR="002D7396" w:rsidRPr="00282042" w:rsidRDefault="002D7396" w:rsidP="00282042">
            <w:pPr>
              <w:jc w:val="both"/>
              <w:rPr>
                <w:sz w:val="20"/>
                <w:szCs w:val="20"/>
              </w:rPr>
            </w:pPr>
            <w:r w:rsidRPr="004C1753">
              <w:t>Praksē konstatējams, ka apskatāmā norma tiek interpretēta dažādi. Veicams tiesiskā regulējuma piemērošanas prakses atbilstības novērtējums sasniedzamajam mērķim, tas ir, atvieglot elektronisko sakaru komersantiem administratīvo (finansiālo) slogu, tādējādi veicinot elektronisko sakaru tīklu izbūvi, un vajadzības gadījumā izstrādājami priekšlikumi prakses pilnveidei vai grozījumiem regulējumā.</w:t>
            </w:r>
          </w:p>
        </w:tc>
        <w:tc>
          <w:tcPr>
            <w:tcW w:w="1911" w:type="dxa"/>
            <w:shd w:val="clear" w:color="auto" w:fill="auto"/>
          </w:tcPr>
          <w:p w14:paraId="5B6AACE1" w14:textId="77777777" w:rsidR="002D7396" w:rsidRPr="00DF5453" w:rsidRDefault="002D7396" w:rsidP="00ED65A3">
            <w:pPr>
              <w:jc w:val="center"/>
            </w:pPr>
            <w:r>
              <w:lastRenderedPageBreak/>
              <w:t>Priekšlikums ņemts vērā.</w:t>
            </w:r>
          </w:p>
        </w:tc>
        <w:tc>
          <w:tcPr>
            <w:tcW w:w="5528" w:type="dxa"/>
            <w:shd w:val="clear" w:color="auto" w:fill="auto"/>
          </w:tcPr>
          <w:p w14:paraId="26771F90" w14:textId="77777777" w:rsidR="002D7396" w:rsidRPr="00C64E93" w:rsidRDefault="002D7396" w:rsidP="00ED65A3">
            <w:pPr>
              <w:jc w:val="center"/>
            </w:pPr>
          </w:p>
        </w:tc>
      </w:tr>
      <w:tr w:rsidR="002D7396" w:rsidRPr="00ED65A3" w14:paraId="1B971F98" w14:textId="77777777" w:rsidTr="00C97F30">
        <w:tc>
          <w:tcPr>
            <w:tcW w:w="720" w:type="dxa"/>
            <w:shd w:val="clear" w:color="auto" w:fill="auto"/>
          </w:tcPr>
          <w:p w14:paraId="55C3BFD6" w14:textId="77777777" w:rsidR="002D7396" w:rsidRPr="001B07AF" w:rsidRDefault="002D7396" w:rsidP="00C307A5">
            <w:r>
              <w:t>18.</w:t>
            </w:r>
          </w:p>
        </w:tc>
        <w:tc>
          <w:tcPr>
            <w:tcW w:w="3060" w:type="dxa"/>
            <w:shd w:val="clear" w:color="auto" w:fill="auto"/>
          </w:tcPr>
          <w:p w14:paraId="51A35027" w14:textId="77777777" w:rsidR="002D7396" w:rsidRPr="006D7967" w:rsidRDefault="002D7396" w:rsidP="00D63A36">
            <w:r w:rsidRPr="00443DE6">
              <w:t>Nacionālā elektronisko plašsaziņas līdzekļu padome</w:t>
            </w:r>
          </w:p>
        </w:tc>
        <w:tc>
          <w:tcPr>
            <w:tcW w:w="3960" w:type="dxa"/>
            <w:shd w:val="clear" w:color="auto" w:fill="auto"/>
          </w:tcPr>
          <w:p w14:paraId="0146D917" w14:textId="77777777" w:rsidR="002D7396" w:rsidRPr="00282042" w:rsidRDefault="002D7396" w:rsidP="00282042">
            <w:pPr>
              <w:jc w:val="both"/>
              <w:rPr>
                <w:sz w:val="20"/>
                <w:szCs w:val="20"/>
              </w:rPr>
            </w:pPr>
            <w:r w:rsidRPr="00AD6F63">
              <w:t xml:space="preserve">Apsvērt iespēju papildināt plāna projekta 3.1 sadaļu ar televīzijas pakalpojumu konkurences vides </w:t>
            </w:r>
            <w:r w:rsidRPr="00AD6F63">
              <w:lastRenderedPageBreak/>
              <w:t>dinamikas koncentrētu raksturojumu, t.sk. ņemot vērā jaunu tehnoloģisko platformu un biznesa modeļu izplatību; informāciju par patērētāju ieradumu izmaiņu tendencēm un kopējā auditorijas apjoma dinamiku. Papildus informējam, ka NEPLP ir pasūtījusi datus par patērētāju ieradumiem un pieprasījuma izmaiņām laika periodā no 2014.-2017.g. un būs gatava sniegt Satiksmes ministrijai attiecīgo informāciju, tiklīdz tā būs NEPLP rīcībā.</w:t>
            </w:r>
          </w:p>
        </w:tc>
        <w:tc>
          <w:tcPr>
            <w:tcW w:w="1911" w:type="dxa"/>
            <w:shd w:val="clear" w:color="auto" w:fill="auto"/>
          </w:tcPr>
          <w:p w14:paraId="1602F092" w14:textId="77777777" w:rsidR="002D7396" w:rsidRPr="006D7967" w:rsidRDefault="00E96593" w:rsidP="00ED65A3">
            <w:pPr>
              <w:jc w:val="center"/>
            </w:pPr>
            <w:r>
              <w:lastRenderedPageBreak/>
              <w:t>Priekšlikums ņemts vērā.</w:t>
            </w:r>
          </w:p>
        </w:tc>
        <w:tc>
          <w:tcPr>
            <w:tcW w:w="5528" w:type="dxa"/>
            <w:shd w:val="clear" w:color="auto" w:fill="auto"/>
          </w:tcPr>
          <w:p w14:paraId="09D3C0C6" w14:textId="77777777" w:rsidR="002D7396" w:rsidRPr="002E6885" w:rsidRDefault="002D7396" w:rsidP="00ED65A3">
            <w:pPr>
              <w:jc w:val="center"/>
            </w:pPr>
          </w:p>
        </w:tc>
      </w:tr>
      <w:tr w:rsidR="002D7396" w:rsidRPr="00ED65A3" w14:paraId="0BD6E9BA" w14:textId="77777777" w:rsidTr="00C97F30">
        <w:tc>
          <w:tcPr>
            <w:tcW w:w="720" w:type="dxa"/>
            <w:shd w:val="clear" w:color="auto" w:fill="auto"/>
          </w:tcPr>
          <w:p w14:paraId="0FA3DA22" w14:textId="77777777" w:rsidR="002D7396" w:rsidRPr="00281AC4" w:rsidRDefault="002D7396" w:rsidP="00443DE6">
            <w:r>
              <w:t>19.</w:t>
            </w:r>
          </w:p>
        </w:tc>
        <w:tc>
          <w:tcPr>
            <w:tcW w:w="3060" w:type="dxa"/>
            <w:shd w:val="clear" w:color="auto" w:fill="auto"/>
          </w:tcPr>
          <w:p w14:paraId="1BF40642" w14:textId="77777777" w:rsidR="002D7396" w:rsidRDefault="002D7396" w:rsidP="00443DE6">
            <w:r w:rsidRPr="00042883">
              <w:t>Nacionālā elektronisko plašsaziņas līdzekļu padome</w:t>
            </w:r>
          </w:p>
        </w:tc>
        <w:tc>
          <w:tcPr>
            <w:tcW w:w="3960" w:type="dxa"/>
            <w:shd w:val="clear" w:color="auto" w:fill="auto"/>
          </w:tcPr>
          <w:p w14:paraId="7BA0E123" w14:textId="77777777" w:rsidR="002D7396" w:rsidRPr="00282042" w:rsidRDefault="002D7396" w:rsidP="00443DE6">
            <w:pPr>
              <w:jc w:val="both"/>
              <w:rPr>
                <w:sz w:val="20"/>
                <w:szCs w:val="20"/>
              </w:rPr>
            </w:pPr>
            <w:r w:rsidRPr="001E204B">
              <w:t>Papildināt plāna projekta 3.1 sadaļu ar apsvērumu, ka viens no zemes televīzijas maksas platformas konkurētspējas nosacījumiem pēc 2021.gada ir tās izmantošanas izmaksas komersantam (komersantiem), kas sniedz šādus pakalpojumus. Uzskatām, ka gadījumā, ja pēc 2021.gada izmaksas nesamazināsies, vai palielināsies, tas varētu radīt būtiskus riskus šādas platformas  konkurētspējai diverģētā televīzijas pakalpojumu tirgū.</w:t>
            </w:r>
          </w:p>
        </w:tc>
        <w:tc>
          <w:tcPr>
            <w:tcW w:w="1911" w:type="dxa"/>
            <w:shd w:val="clear" w:color="auto" w:fill="auto"/>
          </w:tcPr>
          <w:p w14:paraId="65E9E506" w14:textId="77777777" w:rsidR="002D7396" w:rsidRPr="00281AC4" w:rsidRDefault="001E204B" w:rsidP="00443DE6">
            <w:pPr>
              <w:jc w:val="center"/>
            </w:pPr>
            <w:r>
              <w:t>Priekšlikums ņemts vērā.</w:t>
            </w:r>
          </w:p>
        </w:tc>
        <w:tc>
          <w:tcPr>
            <w:tcW w:w="5528" w:type="dxa"/>
            <w:shd w:val="clear" w:color="auto" w:fill="auto"/>
          </w:tcPr>
          <w:p w14:paraId="59040F97" w14:textId="77777777" w:rsidR="002D7396" w:rsidRPr="003B036E" w:rsidRDefault="001E204B" w:rsidP="00DB1D54">
            <w:pPr>
              <w:jc w:val="both"/>
            </w:pPr>
            <w:r w:rsidRPr="00F23CB9">
              <w:t xml:space="preserve">Satiksmes ministrijas Elektronisko sakaru nozares padomes ekspertu darba grupas sēdē </w:t>
            </w:r>
            <w:r w:rsidR="00DB1D54">
              <w:t xml:space="preserve">panākta vienošanās par priekšlikuma izvērtēšanu </w:t>
            </w:r>
            <w:r w:rsidR="00DB1D54" w:rsidRPr="00DE3AD8">
              <w:rPr>
                <w:lang w:eastAsia="zh-CN"/>
              </w:rPr>
              <w:t>Satiksmes ministrija</w:t>
            </w:r>
            <w:r w:rsidR="00DB1D54">
              <w:rPr>
                <w:lang w:eastAsia="zh-CN"/>
              </w:rPr>
              <w:t>s ar 2017.gada 10.februāra rīkojumu Nr.01-03/39</w:t>
            </w:r>
            <w:r w:rsidR="00DB1D54" w:rsidRPr="00DE3AD8">
              <w:rPr>
                <w:lang w:eastAsia="zh-CN"/>
              </w:rPr>
              <w:t xml:space="preserve"> izveido</w:t>
            </w:r>
            <w:r w:rsidR="00DB1D54">
              <w:rPr>
                <w:lang w:eastAsia="zh-CN"/>
              </w:rPr>
              <w:t>ta</w:t>
            </w:r>
            <w:r w:rsidR="00DB1D54" w:rsidRPr="00DE3AD8">
              <w:rPr>
                <w:lang w:eastAsia="zh-CN"/>
              </w:rPr>
              <w:t>j</w:t>
            </w:r>
            <w:r w:rsidR="00DB1D54">
              <w:rPr>
                <w:lang w:eastAsia="zh-CN"/>
              </w:rPr>
              <w:t>ā</w:t>
            </w:r>
            <w:r w:rsidR="00DB1D54" w:rsidRPr="00DE3AD8">
              <w:rPr>
                <w:lang w:eastAsia="zh-CN"/>
              </w:rPr>
              <w:t xml:space="preserve"> darba grup</w:t>
            </w:r>
            <w:r w:rsidR="00DB1D54">
              <w:rPr>
                <w:lang w:eastAsia="zh-CN"/>
              </w:rPr>
              <w:t>ā.</w:t>
            </w:r>
          </w:p>
        </w:tc>
      </w:tr>
      <w:tr w:rsidR="002D7396" w:rsidRPr="00ED65A3" w14:paraId="76ACCE14" w14:textId="77777777" w:rsidTr="00C97F30">
        <w:tc>
          <w:tcPr>
            <w:tcW w:w="720" w:type="dxa"/>
            <w:shd w:val="clear" w:color="auto" w:fill="auto"/>
          </w:tcPr>
          <w:p w14:paraId="4ED13E31" w14:textId="77777777" w:rsidR="002D7396" w:rsidRPr="00723E41" w:rsidRDefault="002D7396" w:rsidP="00443DE6">
            <w:r>
              <w:t>20.</w:t>
            </w:r>
          </w:p>
        </w:tc>
        <w:tc>
          <w:tcPr>
            <w:tcW w:w="3060" w:type="dxa"/>
            <w:shd w:val="clear" w:color="auto" w:fill="auto"/>
          </w:tcPr>
          <w:p w14:paraId="4C4BAB6D" w14:textId="77777777" w:rsidR="002D7396" w:rsidRDefault="002D7396" w:rsidP="00443DE6">
            <w:r w:rsidRPr="00042883">
              <w:t>Nacionālā elektronisko plašsaziņas līdzekļu padome</w:t>
            </w:r>
          </w:p>
        </w:tc>
        <w:tc>
          <w:tcPr>
            <w:tcW w:w="3960" w:type="dxa"/>
            <w:shd w:val="clear" w:color="auto" w:fill="auto"/>
          </w:tcPr>
          <w:p w14:paraId="0DFC5555" w14:textId="77777777" w:rsidR="002D7396" w:rsidRPr="00282042" w:rsidRDefault="002D7396" w:rsidP="00443DE6">
            <w:pPr>
              <w:jc w:val="both"/>
              <w:rPr>
                <w:sz w:val="20"/>
                <w:szCs w:val="20"/>
              </w:rPr>
            </w:pPr>
            <w:r w:rsidRPr="00002E47">
              <w:t xml:space="preserve">Paredzēt, ka plānojot frekvenču politiku, zemes televīzijas apraidē pēc 2021.gada saglabājama bezmaksas paka, t.sk. sabiedriskā televīzija, kā arī programmas kas nodrošina nacionālo </w:t>
            </w:r>
            <w:r w:rsidRPr="00002E47">
              <w:lastRenderedPageBreak/>
              <w:t>televīzijas saturu, t.sk. reģionu iedzīvotājiem. Minētā norma būtu nepieciešama, lai varētu plānot investīcijas, t.sk. LTV virzoties uz sabiedriskās televīzijas programmu nodrošināšanu HD kvalitātē.</w:t>
            </w:r>
          </w:p>
        </w:tc>
        <w:tc>
          <w:tcPr>
            <w:tcW w:w="1911" w:type="dxa"/>
            <w:shd w:val="clear" w:color="auto" w:fill="auto"/>
          </w:tcPr>
          <w:p w14:paraId="24626477" w14:textId="77777777" w:rsidR="002D7396" w:rsidRPr="00723E41" w:rsidRDefault="00554037" w:rsidP="00002E47">
            <w:pPr>
              <w:jc w:val="center"/>
            </w:pPr>
            <w:r>
              <w:lastRenderedPageBreak/>
              <w:t>Priekšlikums ņemts vērā.</w:t>
            </w:r>
          </w:p>
        </w:tc>
        <w:tc>
          <w:tcPr>
            <w:tcW w:w="5528" w:type="dxa"/>
            <w:shd w:val="clear" w:color="auto" w:fill="auto"/>
          </w:tcPr>
          <w:p w14:paraId="6DB4E0C0" w14:textId="77777777" w:rsidR="00002E47" w:rsidRDefault="00002E47" w:rsidP="00002E47">
            <w:pPr>
              <w:jc w:val="both"/>
            </w:pPr>
            <w:r>
              <w:t xml:space="preserve">Ievērojot normatīvo regulējumu, jautājums par bezmaksas apraides nesaglabāšanu zemes apraidē nav aktuāls. Tieši pretēji, </w:t>
            </w:r>
            <w:r w:rsidRPr="00F23CB9">
              <w:t>Satiksmes ministrijas Elektronisko sakaru nozares padomes ekspertu darba grupas sēdē</w:t>
            </w:r>
            <w:r>
              <w:t xml:space="preserve"> tika izteikts pietiekami pamatots </w:t>
            </w:r>
            <w:r>
              <w:lastRenderedPageBreak/>
              <w:t>pieņēmums, ka bezmaksas zemes apraide saglabāsies vēl ilgāku laiku.</w:t>
            </w:r>
          </w:p>
          <w:p w14:paraId="4F1F1671" w14:textId="77777777" w:rsidR="002D7396" w:rsidRPr="00723E41" w:rsidRDefault="002D7396" w:rsidP="00554037">
            <w:pPr>
              <w:jc w:val="both"/>
            </w:pPr>
          </w:p>
        </w:tc>
      </w:tr>
      <w:tr w:rsidR="002D7396" w:rsidRPr="00ED65A3" w14:paraId="5DCC51F2" w14:textId="77777777" w:rsidTr="00C97F30">
        <w:tc>
          <w:tcPr>
            <w:tcW w:w="720" w:type="dxa"/>
            <w:shd w:val="clear" w:color="auto" w:fill="auto"/>
          </w:tcPr>
          <w:p w14:paraId="5E6ADE15" w14:textId="77777777" w:rsidR="002D7396" w:rsidRPr="00801A19" w:rsidRDefault="002D7396" w:rsidP="00443DE6">
            <w:r>
              <w:lastRenderedPageBreak/>
              <w:t>21.</w:t>
            </w:r>
          </w:p>
        </w:tc>
        <w:tc>
          <w:tcPr>
            <w:tcW w:w="3060" w:type="dxa"/>
            <w:shd w:val="clear" w:color="auto" w:fill="auto"/>
          </w:tcPr>
          <w:p w14:paraId="44D6BF8B" w14:textId="77777777" w:rsidR="002D7396" w:rsidRDefault="002D7396" w:rsidP="00443DE6">
            <w:r w:rsidRPr="00F80753">
              <w:t>Nacionālā elektronisko plašsaziņas līdzekļu padome</w:t>
            </w:r>
          </w:p>
        </w:tc>
        <w:tc>
          <w:tcPr>
            <w:tcW w:w="3960" w:type="dxa"/>
            <w:shd w:val="clear" w:color="auto" w:fill="auto"/>
          </w:tcPr>
          <w:p w14:paraId="7D7F1142" w14:textId="77777777" w:rsidR="002D7396" w:rsidRPr="00554037" w:rsidRDefault="002D7396" w:rsidP="00443DE6">
            <w:pPr>
              <w:jc w:val="both"/>
              <w:rPr>
                <w:highlight w:val="yellow"/>
              </w:rPr>
            </w:pPr>
            <w:r w:rsidRPr="00002E47">
              <w:t>Apsvērt 3.1. sadaļas noslēgumā kā turpmāko rīcību paredzēt veikt izvērtējumu par iespēju periodā pēc 2021.gada nodrošināt zemes televīzijas bezmaksas platformas uzturēšanas izmaksas segt no LVRTC līdzekļiem, turpmāk bezmaksas zemes apraides platformu attīstot kā sociālu pakalpojumu iedzīvotājiem. Ja šāds modelis tiktu ieviests, tas radītu labvēlīgu efektu plašā televīzijas pakalpojumu sniegšanas un satura attīstības spektrā, kā arī nodrošinātu informācijas pieejamību iedzīvotāju grupām, kam nav pieejami citi TV pakalpojumi. Turklāt virkne operatoru reģionos praksē izmanto zemes apraidi, lai iegūtu kvalitatīvu signālu televīzijas pakalpojumu nodrošināšanai iedzīvotājiem.</w:t>
            </w:r>
          </w:p>
        </w:tc>
        <w:tc>
          <w:tcPr>
            <w:tcW w:w="1911" w:type="dxa"/>
            <w:shd w:val="clear" w:color="auto" w:fill="auto"/>
          </w:tcPr>
          <w:p w14:paraId="0EC6020C" w14:textId="77777777" w:rsidR="002D7396" w:rsidRPr="00801A19" w:rsidRDefault="00002E47" w:rsidP="00002E47">
            <w:pPr>
              <w:jc w:val="center"/>
            </w:pPr>
            <w:r>
              <w:t>Priekšlikums ņemts vērā.</w:t>
            </w:r>
          </w:p>
        </w:tc>
        <w:tc>
          <w:tcPr>
            <w:tcW w:w="5528" w:type="dxa"/>
            <w:shd w:val="clear" w:color="auto" w:fill="auto"/>
          </w:tcPr>
          <w:p w14:paraId="5D493D94" w14:textId="77777777" w:rsidR="002D7396" w:rsidRPr="00901C5F" w:rsidRDefault="00002E47" w:rsidP="00002E47">
            <w:pPr>
              <w:jc w:val="both"/>
            </w:pPr>
            <w:r w:rsidRPr="00F23CB9">
              <w:t>Satiksmes ministrijas Elektronisko sakaru nozares padomes ekspertu darba grupas sēdē</w:t>
            </w:r>
            <w:r>
              <w:t xml:space="preserve"> tika panākta kopēja sapratne, ka no LVRTC līdzekļiem apraides izmaksas nav iespējams segt un apraides finansējums jāparedz tiešu no valsts budžeta, lai novērstu situāciju, kāda ir šobrīd, ka par apraidi maksā elektroniskie plašsaziņas līdzekļi, tādējādi samazinot sabiedriskajam pasūtījumam piešķirtos līdzekļus. </w:t>
            </w:r>
          </w:p>
        </w:tc>
      </w:tr>
      <w:tr w:rsidR="002D7396" w:rsidRPr="00ED65A3" w14:paraId="324BB88D" w14:textId="77777777" w:rsidTr="00C97F30">
        <w:tc>
          <w:tcPr>
            <w:tcW w:w="720" w:type="dxa"/>
            <w:shd w:val="clear" w:color="auto" w:fill="auto"/>
          </w:tcPr>
          <w:p w14:paraId="0270A26F" w14:textId="77777777" w:rsidR="002D7396" w:rsidRPr="00EF1938" w:rsidRDefault="002D7396" w:rsidP="00443DE6">
            <w:r>
              <w:t>22.</w:t>
            </w:r>
          </w:p>
        </w:tc>
        <w:tc>
          <w:tcPr>
            <w:tcW w:w="3060" w:type="dxa"/>
            <w:shd w:val="clear" w:color="auto" w:fill="auto"/>
          </w:tcPr>
          <w:p w14:paraId="361436EB" w14:textId="77777777" w:rsidR="002D7396" w:rsidRDefault="002D7396" w:rsidP="00443DE6">
            <w:r w:rsidRPr="00F80753">
              <w:t>Nacionālā elektronisko plašsaziņas līdzekļu padome</w:t>
            </w:r>
          </w:p>
        </w:tc>
        <w:tc>
          <w:tcPr>
            <w:tcW w:w="3960" w:type="dxa"/>
            <w:shd w:val="clear" w:color="auto" w:fill="auto"/>
          </w:tcPr>
          <w:p w14:paraId="408BB0DC" w14:textId="77777777" w:rsidR="002D7396" w:rsidRPr="00554037" w:rsidRDefault="002D7396" w:rsidP="00443DE6">
            <w:pPr>
              <w:jc w:val="both"/>
              <w:rPr>
                <w:highlight w:val="yellow"/>
              </w:rPr>
            </w:pPr>
            <w:r w:rsidRPr="00D7302E">
              <w:t xml:space="preserve">Paredzēt elektronisko sakaru nozares politikas ietvaros sabiedrisko mediju satura izplatības vajadzības dažādās jaunajās tehnoloģiskajās platformās, kas attīstāmas paralēli zemes apraides platformai, lai nodrošinātu plašākas </w:t>
            </w:r>
            <w:r w:rsidRPr="00D7302E">
              <w:lastRenderedPageBreak/>
              <w:t>auditorijas aptveramību, informācijas pieejamību dažādām iedzīvotāju kategorijām un radītu priekšnoteikumus investīciju plānošanai.</w:t>
            </w:r>
          </w:p>
        </w:tc>
        <w:tc>
          <w:tcPr>
            <w:tcW w:w="1911" w:type="dxa"/>
            <w:shd w:val="clear" w:color="auto" w:fill="auto"/>
          </w:tcPr>
          <w:p w14:paraId="4A0CD072" w14:textId="77777777" w:rsidR="002D7396" w:rsidRPr="00EF1938" w:rsidRDefault="00D7302E" w:rsidP="00443DE6">
            <w:pPr>
              <w:jc w:val="center"/>
            </w:pPr>
            <w:r>
              <w:lastRenderedPageBreak/>
              <w:t>Priekšlikums nav ņemts vērā.</w:t>
            </w:r>
          </w:p>
        </w:tc>
        <w:tc>
          <w:tcPr>
            <w:tcW w:w="5528" w:type="dxa"/>
            <w:shd w:val="clear" w:color="auto" w:fill="auto"/>
          </w:tcPr>
          <w:p w14:paraId="68A58E29" w14:textId="77777777" w:rsidR="002D7396" w:rsidRPr="00431039" w:rsidRDefault="00D7302E" w:rsidP="00D7302E">
            <w:pPr>
              <w:jc w:val="both"/>
            </w:pPr>
            <w:r>
              <w:t>Izteiktam priekšlikumam nav tiešas sasaistes ar elektronisko sakaru jomu.</w:t>
            </w:r>
          </w:p>
        </w:tc>
      </w:tr>
      <w:tr w:rsidR="002D7396" w:rsidRPr="00ED65A3" w14:paraId="647AF84E" w14:textId="77777777" w:rsidTr="00C97F30">
        <w:tc>
          <w:tcPr>
            <w:tcW w:w="720" w:type="dxa"/>
            <w:shd w:val="clear" w:color="auto" w:fill="auto"/>
          </w:tcPr>
          <w:p w14:paraId="1DF3C427" w14:textId="77777777" w:rsidR="002D7396" w:rsidRPr="008636EB" w:rsidRDefault="002D7396" w:rsidP="00443DE6">
            <w:r>
              <w:t>23.</w:t>
            </w:r>
          </w:p>
        </w:tc>
        <w:tc>
          <w:tcPr>
            <w:tcW w:w="3060" w:type="dxa"/>
            <w:shd w:val="clear" w:color="auto" w:fill="auto"/>
          </w:tcPr>
          <w:p w14:paraId="2BB8D839" w14:textId="77777777" w:rsidR="002D7396" w:rsidRDefault="002D7396" w:rsidP="00443DE6">
            <w:r w:rsidRPr="00F80753">
              <w:t>Nacionālā elektronisko plašsaziņas līdzekļu padome</w:t>
            </w:r>
          </w:p>
        </w:tc>
        <w:tc>
          <w:tcPr>
            <w:tcW w:w="3960" w:type="dxa"/>
            <w:shd w:val="clear" w:color="auto" w:fill="auto"/>
          </w:tcPr>
          <w:p w14:paraId="6D4BC431" w14:textId="77777777" w:rsidR="002D7396" w:rsidRPr="00282042" w:rsidRDefault="002D7396" w:rsidP="00443DE6">
            <w:pPr>
              <w:jc w:val="both"/>
              <w:rPr>
                <w:sz w:val="20"/>
                <w:szCs w:val="20"/>
              </w:rPr>
            </w:pPr>
            <w:r w:rsidRPr="00CC1FBA">
              <w:t>3.2 sadaļu papildināt ar koncentrētu radio programmu konkurences vides raksturojumu, informāciju par patērētāju ieradumu izmaiņu tendencēm un kopējās auditorijas apjoma dinamiku. Patlaban radio pakalpojumu tirgu raksturo blīva iekšējā konkurence (patlaban izdotas spēkā esošas 49 apraides atļaujas), salīdzinoši nelieli raidorganizāciju auditorijas apjomi, netiešās konkurences spiediens</w:t>
            </w:r>
            <w:r w:rsidR="00D7302E" w:rsidRPr="00CC1FBA">
              <w:t xml:space="preserve"> </w:t>
            </w:r>
            <w:r w:rsidRPr="00CC1FBA">
              <w:t>no citu platformu puses, īpaši, digitālajām platformām gan reklāmas izvietošanas jomā, gan auditorijas piesaistes jomā, zemi tautas ataudzes raksturlielumi, kas ietekmē auditorijas potenciālu. Ņemot vērā minēto, atbalstām, ka periodā līdz 2020.gadam nenotiek komerciālo programmu pāreja uz DBV+.</w:t>
            </w:r>
          </w:p>
        </w:tc>
        <w:tc>
          <w:tcPr>
            <w:tcW w:w="1911" w:type="dxa"/>
            <w:shd w:val="clear" w:color="auto" w:fill="auto"/>
          </w:tcPr>
          <w:p w14:paraId="0EB28291" w14:textId="77777777" w:rsidR="002D7396" w:rsidRPr="008636EB" w:rsidRDefault="00CC1FBA" w:rsidP="00443DE6">
            <w:pPr>
              <w:jc w:val="center"/>
            </w:pPr>
            <w:r>
              <w:t>Priekšlikums ņemts vērā.</w:t>
            </w:r>
          </w:p>
        </w:tc>
        <w:tc>
          <w:tcPr>
            <w:tcW w:w="5528" w:type="dxa"/>
            <w:shd w:val="clear" w:color="auto" w:fill="auto"/>
          </w:tcPr>
          <w:p w14:paraId="7147A467" w14:textId="77777777" w:rsidR="002D7396" w:rsidRDefault="002D7396" w:rsidP="00443DE6">
            <w:pPr>
              <w:jc w:val="center"/>
            </w:pPr>
          </w:p>
        </w:tc>
      </w:tr>
    </w:tbl>
    <w:p w14:paraId="5C94AFF6" w14:textId="77777777" w:rsidR="00C577DC" w:rsidRPr="00C577DC" w:rsidRDefault="00C577DC" w:rsidP="00C577DC">
      <w:pPr>
        <w:jc w:val="center"/>
        <w:rPr>
          <w:b/>
          <w:sz w:val="32"/>
          <w:szCs w:val="32"/>
        </w:rPr>
      </w:pPr>
    </w:p>
    <w:sectPr w:rsidR="00C577DC" w:rsidRPr="00C577DC" w:rsidSect="00604854">
      <w:headerReference w:type="default" r:id="rId6"/>
      <w:footerReference w:type="default" r:id="rId7"/>
      <w:headerReference w:type="first" r:id="rId8"/>
      <w:footerReference w:type="first" r:id="rId9"/>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CFA1" w14:textId="77777777" w:rsidR="00AF7FBF" w:rsidRDefault="00AF7FBF" w:rsidP="00C307A5">
      <w:r>
        <w:separator/>
      </w:r>
    </w:p>
  </w:endnote>
  <w:endnote w:type="continuationSeparator" w:id="0">
    <w:p w14:paraId="4F10EB9B" w14:textId="77777777" w:rsidR="00AF7FBF" w:rsidRDefault="00AF7FBF" w:rsidP="00C3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4A81" w14:textId="18F6CA9B" w:rsidR="00216C0E" w:rsidRPr="00470078" w:rsidRDefault="00216C0E" w:rsidP="00216C0E">
    <w:pPr>
      <w:pStyle w:val="Footer"/>
      <w:rPr>
        <w:sz w:val="16"/>
        <w:szCs w:val="16"/>
      </w:rPr>
    </w:pPr>
    <w:r w:rsidRPr="00470078">
      <w:rPr>
        <w:sz w:val="16"/>
        <w:szCs w:val="16"/>
      </w:rPr>
      <w:t>SAMpiel_0</w:t>
    </w:r>
    <w:r w:rsidR="00E60F86" w:rsidRPr="00470078">
      <w:rPr>
        <w:sz w:val="16"/>
        <w:szCs w:val="16"/>
      </w:rPr>
      <w:t>7</w:t>
    </w:r>
    <w:r w:rsidRPr="00470078">
      <w:rPr>
        <w:sz w:val="16"/>
        <w:szCs w:val="16"/>
      </w:rPr>
      <w:t>0817_plans</w:t>
    </w:r>
    <w:r w:rsidR="00340414" w:rsidRPr="00470078">
      <w:rPr>
        <w:sz w:val="16"/>
        <w:szCs w:val="16"/>
      </w:rPr>
      <w:t>:</w:t>
    </w:r>
    <w:r w:rsidRPr="00470078">
      <w:rPr>
        <w:sz w:val="16"/>
        <w:szCs w:val="16"/>
      </w:rPr>
      <w:t xml:space="preserve"> Sabiedrības iebildumi un priekšlikumi par attīstības plānošanas dokumentu</w:t>
    </w:r>
  </w:p>
  <w:p w14:paraId="3464E324" w14:textId="77777777" w:rsidR="00216C0E" w:rsidRDefault="0021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BA95" w14:textId="4EC31049" w:rsidR="001B1A10" w:rsidRPr="00470078" w:rsidRDefault="00216C0E">
    <w:pPr>
      <w:pStyle w:val="Footer"/>
      <w:rPr>
        <w:sz w:val="16"/>
        <w:szCs w:val="16"/>
      </w:rPr>
    </w:pPr>
    <w:r w:rsidRPr="00470078">
      <w:rPr>
        <w:sz w:val="16"/>
        <w:szCs w:val="16"/>
      </w:rPr>
      <w:t>SAMpiel_</w:t>
    </w:r>
    <w:r w:rsidR="009E1136" w:rsidRPr="00470078">
      <w:rPr>
        <w:sz w:val="16"/>
        <w:szCs w:val="16"/>
      </w:rPr>
      <w:t>0</w:t>
    </w:r>
    <w:r w:rsidR="00E60F86" w:rsidRPr="00470078">
      <w:rPr>
        <w:sz w:val="16"/>
        <w:szCs w:val="16"/>
      </w:rPr>
      <w:t>7</w:t>
    </w:r>
    <w:r w:rsidR="009E1136" w:rsidRPr="00470078">
      <w:rPr>
        <w:sz w:val="16"/>
        <w:szCs w:val="16"/>
      </w:rPr>
      <w:t>0817</w:t>
    </w:r>
    <w:r w:rsidRPr="00470078">
      <w:rPr>
        <w:sz w:val="16"/>
        <w:szCs w:val="16"/>
      </w:rPr>
      <w:t>_plans</w:t>
    </w:r>
    <w:r w:rsidR="00470078" w:rsidRPr="00470078">
      <w:rPr>
        <w:sz w:val="16"/>
        <w:szCs w:val="16"/>
      </w:rPr>
      <w:t>;</w:t>
    </w:r>
    <w:r w:rsidR="00340414" w:rsidRPr="00470078">
      <w:rPr>
        <w:sz w:val="16"/>
        <w:szCs w:val="16"/>
      </w:rPr>
      <w:t xml:space="preserve"> </w:t>
    </w:r>
    <w:r w:rsidR="00470078" w:rsidRPr="00470078">
      <w:rPr>
        <w:sz w:val="16"/>
        <w:szCs w:val="16"/>
      </w:rPr>
      <w:t>Pielikums attīstības plānošanas dokumentam “Elektronisko sakaru nozares politikas plāns 2017.-2020.gadam”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8B10" w14:textId="77777777" w:rsidR="00AF7FBF" w:rsidRDefault="00AF7FBF" w:rsidP="00C307A5">
      <w:r>
        <w:separator/>
      </w:r>
    </w:p>
  </w:footnote>
  <w:footnote w:type="continuationSeparator" w:id="0">
    <w:p w14:paraId="67C7C565" w14:textId="77777777" w:rsidR="00AF7FBF" w:rsidRDefault="00AF7FBF" w:rsidP="00C3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82434"/>
      <w:docPartObj>
        <w:docPartGallery w:val="Page Numbers (Top of Page)"/>
        <w:docPartUnique/>
      </w:docPartObj>
    </w:sdtPr>
    <w:sdtEndPr/>
    <w:sdtContent>
      <w:p w14:paraId="2449E276" w14:textId="1CAA0B42" w:rsidR="00604854" w:rsidRPr="00604854" w:rsidRDefault="00604854">
        <w:pPr>
          <w:pStyle w:val="Header"/>
          <w:jc w:val="center"/>
          <w:rPr>
            <w:sz w:val="20"/>
            <w:szCs w:val="20"/>
          </w:rPr>
        </w:pPr>
        <w:r w:rsidRPr="00604854">
          <w:rPr>
            <w:sz w:val="20"/>
            <w:szCs w:val="20"/>
          </w:rPr>
          <w:fldChar w:fldCharType="begin"/>
        </w:r>
        <w:r w:rsidRPr="00604854">
          <w:rPr>
            <w:sz w:val="20"/>
            <w:szCs w:val="20"/>
          </w:rPr>
          <w:instrText xml:space="preserve"> PAGE   \* MERGEFORMAT </w:instrText>
        </w:r>
        <w:r w:rsidRPr="00604854">
          <w:rPr>
            <w:sz w:val="20"/>
            <w:szCs w:val="20"/>
          </w:rPr>
          <w:fldChar w:fldCharType="separate"/>
        </w:r>
        <w:r w:rsidR="00470078">
          <w:rPr>
            <w:noProof/>
            <w:sz w:val="20"/>
            <w:szCs w:val="20"/>
          </w:rPr>
          <w:t>2</w:t>
        </w:r>
        <w:r w:rsidRPr="00604854">
          <w:rPr>
            <w:sz w:val="20"/>
            <w:szCs w:val="20"/>
          </w:rPr>
          <w:fldChar w:fldCharType="end"/>
        </w:r>
      </w:p>
    </w:sdtContent>
  </w:sdt>
  <w:p w14:paraId="418182C9" w14:textId="77777777" w:rsidR="00C307A5" w:rsidRDefault="00C30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19FE" w14:textId="3AB805F0" w:rsidR="001B1A10" w:rsidRDefault="001B1A10" w:rsidP="001B1A10">
    <w:pPr>
      <w:pStyle w:val="Header"/>
      <w:jc w:val="right"/>
      <w:rPr>
        <w:i/>
      </w:rPr>
    </w:pPr>
    <w:r w:rsidRPr="001B1A10">
      <w:rPr>
        <w:i/>
      </w:rPr>
      <w:t>Pielikums</w:t>
    </w:r>
  </w:p>
  <w:p w14:paraId="40C88FE5" w14:textId="355C44CB" w:rsidR="008F530D" w:rsidRPr="001B1A10" w:rsidRDefault="00470078" w:rsidP="001B1A10">
    <w:pPr>
      <w:pStyle w:val="Header"/>
      <w:jc w:val="right"/>
      <w:rPr>
        <w:i/>
      </w:rPr>
    </w:pPr>
    <w:r>
      <w:rPr>
        <w:i/>
      </w:rPr>
      <w:t>A</w:t>
    </w:r>
    <w:r w:rsidR="008F530D">
      <w:rPr>
        <w:i/>
      </w:rPr>
      <w:t>ttīstības plānošanas dokumentam “Elektronisko sakaru nozares politikas plāns 2017.-2020.gadam”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2"/>
    <w:rsid w:val="00002E47"/>
    <w:rsid w:val="000278F3"/>
    <w:rsid w:val="00034FF3"/>
    <w:rsid w:val="00036133"/>
    <w:rsid w:val="000451FF"/>
    <w:rsid w:val="00047709"/>
    <w:rsid w:val="00053CEB"/>
    <w:rsid w:val="000567EE"/>
    <w:rsid w:val="00063A65"/>
    <w:rsid w:val="00081160"/>
    <w:rsid w:val="0008261B"/>
    <w:rsid w:val="0009568F"/>
    <w:rsid w:val="000965AC"/>
    <w:rsid w:val="000A1D81"/>
    <w:rsid w:val="000A5868"/>
    <w:rsid w:val="000C179C"/>
    <w:rsid w:val="000C65F3"/>
    <w:rsid w:val="000D1D6D"/>
    <w:rsid w:val="00103660"/>
    <w:rsid w:val="00122404"/>
    <w:rsid w:val="00123C84"/>
    <w:rsid w:val="00125650"/>
    <w:rsid w:val="001345D9"/>
    <w:rsid w:val="0016487B"/>
    <w:rsid w:val="00191CC8"/>
    <w:rsid w:val="00195E78"/>
    <w:rsid w:val="001A1F94"/>
    <w:rsid w:val="001A31C2"/>
    <w:rsid w:val="001A3C0A"/>
    <w:rsid w:val="001A5433"/>
    <w:rsid w:val="001B07AF"/>
    <w:rsid w:val="001B1A10"/>
    <w:rsid w:val="001C3C03"/>
    <w:rsid w:val="001D0B03"/>
    <w:rsid w:val="001D34E9"/>
    <w:rsid w:val="001E204B"/>
    <w:rsid w:val="001E6C54"/>
    <w:rsid w:val="00207AED"/>
    <w:rsid w:val="002136E8"/>
    <w:rsid w:val="00216C0E"/>
    <w:rsid w:val="00235758"/>
    <w:rsid w:val="00255CA7"/>
    <w:rsid w:val="00281AC4"/>
    <w:rsid w:val="00282042"/>
    <w:rsid w:val="002A0B20"/>
    <w:rsid w:val="002B00B0"/>
    <w:rsid w:val="002B103C"/>
    <w:rsid w:val="002B3B10"/>
    <w:rsid w:val="002B53AD"/>
    <w:rsid w:val="002D7396"/>
    <w:rsid w:val="002E6885"/>
    <w:rsid w:val="002F4A94"/>
    <w:rsid w:val="00311446"/>
    <w:rsid w:val="00313CD3"/>
    <w:rsid w:val="003206EE"/>
    <w:rsid w:val="0032753A"/>
    <w:rsid w:val="00332463"/>
    <w:rsid w:val="0033616C"/>
    <w:rsid w:val="00340414"/>
    <w:rsid w:val="00373B80"/>
    <w:rsid w:val="003843E9"/>
    <w:rsid w:val="0038727E"/>
    <w:rsid w:val="00396650"/>
    <w:rsid w:val="003A4B21"/>
    <w:rsid w:val="003B036E"/>
    <w:rsid w:val="004013FF"/>
    <w:rsid w:val="00431039"/>
    <w:rsid w:val="00431A9C"/>
    <w:rsid w:val="00443DE6"/>
    <w:rsid w:val="00470078"/>
    <w:rsid w:val="00481209"/>
    <w:rsid w:val="00484099"/>
    <w:rsid w:val="004A0E9A"/>
    <w:rsid w:val="004A662D"/>
    <w:rsid w:val="004C1753"/>
    <w:rsid w:val="004C648A"/>
    <w:rsid w:val="004D73F6"/>
    <w:rsid w:val="004E6756"/>
    <w:rsid w:val="004E7402"/>
    <w:rsid w:val="00505D67"/>
    <w:rsid w:val="00514BD6"/>
    <w:rsid w:val="00523FD4"/>
    <w:rsid w:val="00525004"/>
    <w:rsid w:val="005264D2"/>
    <w:rsid w:val="00530F41"/>
    <w:rsid w:val="0055024D"/>
    <w:rsid w:val="00552911"/>
    <w:rsid w:val="00554037"/>
    <w:rsid w:val="0059594D"/>
    <w:rsid w:val="005A1703"/>
    <w:rsid w:val="005A7E5D"/>
    <w:rsid w:val="005B0A82"/>
    <w:rsid w:val="005D03E8"/>
    <w:rsid w:val="00604854"/>
    <w:rsid w:val="00617303"/>
    <w:rsid w:val="006468DC"/>
    <w:rsid w:val="00650814"/>
    <w:rsid w:val="00665525"/>
    <w:rsid w:val="0069530E"/>
    <w:rsid w:val="006D1761"/>
    <w:rsid w:val="006D7967"/>
    <w:rsid w:val="006E10D4"/>
    <w:rsid w:val="006E2209"/>
    <w:rsid w:val="00716BB5"/>
    <w:rsid w:val="007216DD"/>
    <w:rsid w:val="00723215"/>
    <w:rsid w:val="00723E04"/>
    <w:rsid w:val="00723E41"/>
    <w:rsid w:val="00731FD6"/>
    <w:rsid w:val="00735FC0"/>
    <w:rsid w:val="00773A62"/>
    <w:rsid w:val="007A1EC9"/>
    <w:rsid w:val="007A2758"/>
    <w:rsid w:val="007A4E0C"/>
    <w:rsid w:val="007A56F6"/>
    <w:rsid w:val="007A7D21"/>
    <w:rsid w:val="007B1001"/>
    <w:rsid w:val="007C2AF8"/>
    <w:rsid w:val="007D0A9E"/>
    <w:rsid w:val="007E37CB"/>
    <w:rsid w:val="007E75ED"/>
    <w:rsid w:val="007F2B08"/>
    <w:rsid w:val="007F30EC"/>
    <w:rsid w:val="008002B5"/>
    <w:rsid w:val="00801A19"/>
    <w:rsid w:val="008052F1"/>
    <w:rsid w:val="00812601"/>
    <w:rsid w:val="00820D18"/>
    <w:rsid w:val="008327A7"/>
    <w:rsid w:val="00832C94"/>
    <w:rsid w:val="00833963"/>
    <w:rsid w:val="00841AF8"/>
    <w:rsid w:val="008503C7"/>
    <w:rsid w:val="008636EB"/>
    <w:rsid w:val="00892C95"/>
    <w:rsid w:val="00894D99"/>
    <w:rsid w:val="008B470B"/>
    <w:rsid w:val="008B51F7"/>
    <w:rsid w:val="008B7D8D"/>
    <w:rsid w:val="008E0403"/>
    <w:rsid w:val="008E5ECC"/>
    <w:rsid w:val="008E75D9"/>
    <w:rsid w:val="008F530D"/>
    <w:rsid w:val="00901C5F"/>
    <w:rsid w:val="00914384"/>
    <w:rsid w:val="0094389A"/>
    <w:rsid w:val="0095722D"/>
    <w:rsid w:val="00964FD5"/>
    <w:rsid w:val="009A04CF"/>
    <w:rsid w:val="009B4737"/>
    <w:rsid w:val="009E1136"/>
    <w:rsid w:val="009F134F"/>
    <w:rsid w:val="009F3CFB"/>
    <w:rsid w:val="00A255E1"/>
    <w:rsid w:val="00A27EE5"/>
    <w:rsid w:val="00A50FAB"/>
    <w:rsid w:val="00A67332"/>
    <w:rsid w:val="00A7241F"/>
    <w:rsid w:val="00AA7CB6"/>
    <w:rsid w:val="00AC3C8B"/>
    <w:rsid w:val="00AC3D77"/>
    <w:rsid w:val="00AD3881"/>
    <w:rsid w:val="00AD6F63"/>
    <w:rsid w:val="00AF7FBF"/>
    <w:rsid w:val="00B23166"/>
    <w:rsid w:val="00B37363"/>
    <w:rsid w:val="00B41A32"/>
    <w:rsid w:val="00B53882"/>
    <w:rsid w:val="00B53D43"/>
    <w:rsid w:val="00B65AB0"/>
    <w:rsid w:val="00BB5302"/>
    <w:rsid w:val="00BC4E5E"/>
    <w:rsid w:val="00BE6631"/>
    <w:rsid w:val="00BE7835"/>
    <w:rsid w:val="00C04F3A"/>
    <w:rsid w:val="00C307A5"/>
    <w:rsid w:val="00C31C25"/>
    <w:rsid w:val="00C41255"/>
    <w:rsid w:val="00C4494B"/>
    <w:rsid w:val="00C52B85"/>
    <w:rsid w:val="00C54AFE"/>
    <w:rsid w:val="00C577DC"/>
    <w:rsid w:val="00C64E93"/>
    <w:rsid w:val="00C7218E"/>
    <w:rsid w:val="00C77999"/>
    <w:rsid w:val="00C854D1"/>
    <w:rsid w:val="00C905F2"/>
    <w:rsid w:val="00C97F30"/>
    <w:rsid w:val="00CB010D"/>
    <w:rsid w:val="00CB23D9"/>
    <w:rsid w:val="00CB5B35"/>
    <w:rsid w:val="00CC1A14"/>
    <w:rsid w:val="00CC1FBA"/>
    <w:rsid w:val="00CD4650"/>
    <w:rsid w:val="00CD619A"/>
    <w:rsid w:val="00CF5DE6"/>
    <w:rsid w:val="00D05F64"/>
    <w:rsid w:val="00D077DE"/>
    <w:rsid w:val="00D13C2A"/>
    <w:rsid w:val="00D36306"/>
    <w:rsid w:val="00D448A6"/>
    <w:rsid w:val="00D63A36"/>
    <w:rsid w:val="00D651E0"/>
    <w:rsid w:val="00D7302E"/>
    <w:rsid w:val="00D77C51"/>
    <w:rsid w:val="00D90D4B"/>
    <w:rsid w:val="00DB1D54"/>
    <w:rsid w:val="00DB3C1A"/>
    <w:rsid w:val="00DC6C3F"/>
    <w:rsid w:val="00DD6CAD"/>
    <w:rsid w:val="00DF1129"/>
    <w:rsid w:val="00DF5453"/>
    <w:rsid w:val="00E03D03"/>
    <w:rsid w:val="00E10AF2"/>
    <w:rsid w:val="00E151DF"/>
    <w:rsid w:val="00E37150"/>
    <w:rsid w:val="00E60F86"/>
    <w:rsid w:val="00E62279"/>
    <w:rsid w:val="00E659FD"/>
    <w:rsid w:val="00E66703"/>
    <w:rsid w:val="00E733FB"/>
    <w:rsid w:val="00E84CA1"/>
    <w:rsid w:val="00E96593"/>
    <w:rsid w:val="00E97758"/>
    <w:rsid w:val="00EB38A8"/>
    <w:rsid w:val="00ED2858"/>
    <w:rsid w:val="00ED65A3"/>
    <w:rsid w:val="00EE2D81"/>
    <w:rsid w:val="00EE6C17"/>
    <w:rsid w:val="00EF1938"/>
    <w:rsid w:val="00EF5F7A"/>
    <w:rsid w:val="00F04CC2"/>
    <w:rsid w:val="00F23CB9"/>
    <w:rsid w:val="00F46C04"/>
    <w:rsid w:val="00F57DBF"/>
    <w:rsid w:val="00FA499B"/>
    <w:rsid w:val="00FB3570"/>
    <w:rsid w:val="00FC1CAC"/>
    <w:rsid w:val="00FD12D4"/>
    <w:rsid w:val="00FF1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3B7B45"/>
  <w15:docId w15:val="{C86CE1B1-9E81-4481-8363-C7F65853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4FD5"/>
    <w:rPr>
      <w:b/>
      <w:bCs/>
    </w:rPr>
  </w:style>
  <w:style w:type="paragraph" w:styleId="BalloonText">
    <w:name w:val="Balloon Text"/>
    <w:basedOn w:val="Normal"/>
    <w:link w:val="BalloonTextChar"/>
    <w:rsid w:val="00FA499B"/>
    <w:rPr>
      <w:rFonts w:ascii="Tahoma" w:hAnsi="Tahoma" w:cs="Tahoma"/>
      <w:sz w:val="16"/>
      <w:szCs w:val="16"/>
    </w:rPr>
  </w:style>
  <w:style w:type="character" w:customStyle="1" w:styleId="BalloonTextChar">
    <w:name w:val="Balloon Text Char"/>
    <w:link w:val="BalloonText"/>
    <w:rsid w:val="00FA499B"/>
    <w:rPr>
      <w:rFonts w:ascii="Tahoma" w:hAnsi="Tahoma" w:cs="Tahoma"/>
      <w:sz w:val="16"/>
      <w:szCs w:val="16"/>
    </w:rPr>
  </w:style>
  <w:style w:type="paragraph" w:styleId="Header">
    <w:name w:val="header"/>
    <w:basedOn w:val="Normal"/>
    <w:link w:val="HeaderChar"/>
    <w:uiPriority w:val="99"/>
    <w:rsid w:val="00C307A5"/>
    <w:pPr>
      <w:tabs>
        <w:tab w:val="center" w:pos="4153"/>
        <w:tab w:val="right" w:pos="8306"/>
      </w:tabs>
    </w:pPr>
  </w:style>
  <w:style w:type="character" w:customStyle="1" w:styleId="HeaderChar">
    <w:name w:val="Header Char"/>
    <w:link w:val="Header"/>
    <w:uiPriority w:val="99"/>
    <w:rsid w:val="00C307A5"/>
    <w:rPr>
      <w:sz w:val="24"/>
      <w:szCs w:val="24"/>
    </w:rPr>
  </w:style>
  <w:style w:type="paragraph" w:styleId="Footer">
    <w:name w:val="footer"/>
    <w:basedOn w:val="Normal"/>
    <w:link w:val="FooterChar"/>
    <w:rsid w:val="00C307A5"/>
    <w:pPr>
      <w:tabs>
        <w:tab w:val="center" w:pos="4153"/>
        <w:tab w:val="right" w:pos="8306"/>
      </w:tabs>
    </w:pPr>
  </w:style>
  <w:style w:type="character" w:customStyle="1" w:styleId="FooterChar">
    <w:name w:val="Footer Char"/>
    <w:link w:val="Footer"/>
    <w:rsid w:val="00C307A5"/>
    <w:rPr>
      <w:sz w:val="24"/>
      <w:szCs w:val="24"/>
    </w:rPr>
  </w:style>
  <w:style w:type="character" w:styleId="CommentReference">
    <w:name w:val="annotation reference"/>
    <w:basedOn w:val="DefaultParagraphFont"/>
    <w:rsid w:val="00CC1FBA"/>
    <w:rPr>
      <w:sz w:val="16"/>
      <w:szCs w:val="16"/>
    </w:rPr>
  </w:style>
  <w:style w:type="paragraph" w:styleId="CommentText">
    <w:name w:val="annotation text"/>
    <w:basedOn w:val="Normal"/>
    <w:link w:val="CommentTextChar"/>
    <w:rsid w:val="00CC1FBA"/>
    <w:rPr>
      <w:sz w:val="20"/>
      <w:szCs w:val="20"/>
    </w:rPr>
  </w:style>
  <w:style w:type="character" w:customStyle="1" w:styleId="CommentTextChar">
    <w:name w:val="Comment Text Char"/>
    <w:basedOn w:val="DefaultParagraphFont"/>
    <w:link w:val="CommentText"/>
    <w:rsid w:val="00CC1FBA"/>
  </w:style>
  <w:style w:type="paragraph" w:styleId="CommentSubject">
    <w:name w:val="annotation subject"/>
    <w:basedOn w:val="CommentText"/>
    <w:next w:val="CommentText"/>
    <w:link w:val="CommentSubjectChar"/>
    <w:rsid w:val="00CC1FBA"/>
    <w:rPr>
      <w:b/>
      <w:bCs/>
    </w:rPr>
  </w:style>
  <w:style w:type="character" w:customStyle="1" w:styleId="CommentSubjectChar">
    <w:name w:val="Comment Subject Char"/>
    <w:basedOn w:val="CommentTextChar"/>
    <w:link w:val="CommentSubject"/>
    <w:rsid w:val="00CC1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16</Pages>
  <Words>14186</Words>
  <Characters>8087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Iebildumi un priekšlikumi par attīstības plānošanas dokumentu</vt:lpstr>
    </vt:vector>
  </TitlesOfParts>
  <Company>Satiksmes ministrija</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iebildumi un priekšlikumi par attīstības plānošanas dokumentu</dc:title>
  <dc:creator/>
  <dc:description>zita.kanberga@sam.gov.lv;
67028109</dc:description>
  <cp:lastModifiedBy>Ineta Kromane</cp:lastModifiedBy>
  <cp:revision>25</cp:revision>
  <cp:lastPrinted>2016-01-05T05:50:00Z</cp:lastPrinted>
  <dcterms:created xsi:type="dcterms:W3CDTF">2017-07-31T05:28:00Z</dcterms:created>
  <dcterms:modified xsi:type="dcterms:W3CDTF">2017-08-07T07:27:00Z</dcterms:modified>
</cp:coreProperties>
</file>