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0115B5" w:rsidRPr="004668F6" w:rsidP="001D19C2" w14:paraId="25973CFE" w14:textId="77777777">
      <w:pPr>
        <w:spacing w:after="120"/>
        <w:jc w:val="center"/>
        <w:rPr>
          <w:b/>
        </w:rPr>
      </w:pPr>
      <w:r w:rsidRPr="004668F6">
        <w:rPr>
          <w:b/>
        </w:rPr>
        <w:t xml:space="preserve"> </w:t>
      </w:r>
      <w:r w:rsidRPr="004668F6" w:rsidR="00B51894">
        <w:rPr>
          <w:b/>
        </w:rPr>
        <w:t xml:space="preserve">Ministru kabineta rīkojuma projekta </w:t>
      </w:r>
      <w:r w:rsidRPr="004668F6" w:rsidR="001E311E">
        <w:rPr>
          <w:b/>
        </w:rPr>
        <w:t>„</w:t>
      </w:r>
      <w:r w:rsidRPr="004668F6" w:rsidR="00B51894">
        <w:rPr>
          <w:b/>
        </w:rPr>
        <w:t>Par informācijas sabiedrības attīstības pamatnostādņu ieviešanu publiskās pārvaldes informācijas sistēmu jomā</w:t>
      </w:r>
      <w:r w:rsidR="0015215D">
        <w:rPr>
          <w:b/>
        </w:rPr>
        <w:t xml:space="preserve"> </w:t>
      </w:r>
      <w:r w:rsidRPr="004668F6" w:rsidR="006950C6">
        <w:rPr>
          <w:b/>
        </w:rPr>
        <w:t>(m</w:t>
      </w:r>
      <w:r w:rsidRPr="004668F6" w:rsidR="00B51894">
        <w:rPr>
          <w:b/>
        </w:rPr>
        <w:t>ērķarhitektūra</w:t>
      </w:r>
      <w:r w:rsidRPr="004668F6" w:rsidR="006950C6">
        <w:rPr>
          <w:b/>
        </w:rPr>
        <w:t>s</w:t>
      </w:r>
      <w:r w:rsidRPr="004668F6" w:rsidR="00B51894">
        <w:rPr>
          <w:b/>
        </w:rPr>
        <w:t xml:space="preserve"> </w:t>
      </w:r>
      <w:r w:rsidRPr="004668F6" w:rsidR="006950C6">
        <w:rPr>
          <w:b/>
        </w:rPr>
        <w:t>1</w:t>
      </w:r>
      <w:r w:rsidR="009F67B1">
        <w:rPr>
          <w:b/>
        </w:rPr>
        <w:t>5</w:t>
      </w:r>
      <w:r w:rsidRPr="004668F6" w:rsidR="00B51894">
        <w:rPr>
          <w:b/>
        </w:rPr>
        <w:t>.0</w:t>
      </w:r>
      <w:r w:rsidRPr="004668F6" w:rsidR="006950C6">
        <w:rPr>
          <w:b/>
        </w:rPr>
        <w:t xml:space="preserve"> versija</w:t>
      </w:r>
      <w:r w:rsidR="00AE467F">
        <w:rPr>
          <w:b/>
        </w:rPr>
        <w:t xml:space="preserve"> - </w:t>
      </w:r>
      <w:r w:rsidRPr="00AE467F" w:rsidR="00AE467F">
        <w:rPr>
          <w:b/>
        </w:rPr>
        <w:t>Teritoriālās attīstības plānošanas procesu un informācijas sistēmas attīstība</w:t>
      </w:r>
      <w:r w:rsidR="0015215D">
        <w:rPr>
          <w:b/>
        </w:rPr>
        <w:t>)</w:t>
      </w:r>
      <w:r w:rsidRPr="004668F6" w:rsidR="00B51894">
        <w:rPr>
          <w:b/>
        </w:rPr>
        <w:t>”</w:t>
      </w:r>
      <w:r w:rsidRPr="004668F6" w:rsidR="001D19C2">
        <w:rPr>
          <w:b/>
        </w:rPr>
        <w:t xml:space="preserve"> </w:t>
      </w:r>
      <w:r w:rsidRPr="004668F6" w:rsidR="001D19C2">
        <w:rPr>
          <w:b/>
          <w:bCs/>
          <w:lang w:eastAsia="en-US"/>
        </w:rPr>
        <w:t>sākotnējās ietekmes novērtējuma ziņojums (anotācija)</w:t>
      </w:r>
      <w:r w:rsidRPr="004668F6">
        <w:rPr>
          <w:b/>
          <w:lang w:eastAsia="en-US"/>
        </w:rPr>
        <w:t> </w:t>
      </w:r>
    </w:p>
    <w:tbl>
      <w:tblPr>
        <w:tblW w:w="9840" w:type="dxa"/>
        <w:tblCellSpacing w:w="0" w:type="dxa"/>
        <w:tblInd w:w="-408"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762"/>
        <w:gridCol w:w="1986"/>
        <w:gridCol w:w="7092"/>
      </w:tblGrid>
      <w:tr w14:paraId="76A492C1" w14:textId="77777777" w:rsidTr="00137314">
        <w:tblPrEx>
          <w:tblW w:w="9840" w:type="dxa"/>
          <w:tblCellSpacing w:w="0" w:type="dxa"/>
          <w:tblInd w:w="-408"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Ex>
        <w:trPr>
          <w:trHeight w:val="557"/>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0115B5" w:rsidRPr="004668F6" w:rsidP="00E211A8" w14:paraId="360B9D76" w14:textId="77777777">
            <w:pPr>
              <w:jc w:val="center"/>
              <w:rPr>
                <w:lang w:eastAsia="en-US"/>
              </w:rPr>
            </w:pPr>
            <w:r w:rsidRPr="004668F6">
              <w:rPr>
                <w:b/>
                <w:bCs/>
                <w:lang w:eastAsia="en-US"/>
              </w:rPr>
              <w:t xml:space="preserve"> I. </w:t>
            </w:r>
            <w:r w:rsidRPr="004668F6" w:rsidR="00E211A8">
              <w:rPr>
                <w:b/>
                <w:bCs/>
                <w:lang w:eastAsia="en-US"/>
              </w:rPr>
              <w:t>Tiesību akta</w:t>
            </w:r>
            <w:r w:rsidRPr="004668F6">
              <w:rPr>
                <w:b/>
                <w:bCs/>
                <w:lang w:eastAsia="en-US"/>
              </w:rPr>
              <w:t xml:space="preserve"> izstrādes nepieciešamība</w:t>
            </w:r>
          </w:p>
        </w:tc>
      </w:tr>
      <w:tr w14:paraId="3F08DB12" w14:textId="77777777" w:rsidTr="003C6EEB">
        <w:tblPrEx>
          <w:tblW w:w="9840" w:type="dxa"/>
          <w:tblCellSpacing w:w="0" w:type="dxa"/>
          <w:tblInd w:w="-408" w:type="dxa"/>
          <w:tblCellMar>
            <w:left w:w="57" w:type="dxa"/>
            <w:right w:w="57" w:type="dxa"/>
          </w:tblCellMar>
          <w:tblLook w:val="04A0"/>
        </w:tblPrEx>
        <w:trPr>
          <w:trHeight w:val="7520"/>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4668F6" w:rsidP="00B22BC5" w14:paraId="229EDC9E" w14:textId="77777777">
            <w:pPr>
              <w:rPr>
                <w:lang w:eastAsia="en-US"/>
              </w:rPr>
            </w:pPr>
            <w:r w:rsidRPr="004668F6">
              <w:rPr>
                <w:lang w:eastAsia="en-US"/>
              </w:rPr>
              <w:t> 1.</w:t>
            </w:r>
          </w:p>
        </w:tc>
        <w:tc>
          <w:tcPr>
            <w:tcW w:w="1986" w:type="dxa"/>
            <w:tcBorders>
              <w:top w:val="outset" w:sz="6" w:space="0" w:color="auto"/>
              <w:left w:val="outset" w:sz="6" w:space="0" w:color="auto"/>
              <w:bottom w:val="outset" w:sz="6" w:space="0" w:color="auto"/>
              <w:right w:val="outset" w:sz="6" w:space="0" w:color="auto"/>
            </w:tcBorders>
          </w:tcPr>
          <w:p w:rsidR="000115B5" w:rsidRPr="004668F6" w:rsidP="00B22BC5" w14:paraId="43825F75" w14:textId="77777777">
            <w:pPr>
              <w:rPr>
                <w:lang w:eastAsia="en-US"/>
              </w:rPr>
            </w:pPr>
            <w:r w:rsidRPr="004668F6">
              <w:rPr>
                <w:lang w:eastAsia="en-US"/>
              </w:rPr>
              <w:t>Pamatojums</w:t>
            </w:r>
          </w:p>
        </w:tc>
        <w:tc>
          <w:tcPr>
            <w:tcW w:w="7092" w:type="dxa"/>
            <w:tcBorders>
              <w:top w:val="outset" w:sz="6" w:space="0" w:color="auto"/>
              <w:left w:val="outset" w:sz="6" w:space="0" w:color="auto"/>
              <w:bottom w:val="outset" w:sz="6" w:space="0" w:color="auto"/>
              <w:right w:val="outset" w:sz="6" w:space="0" w:color="auto"/>
            </w:tcBorders>
          </w:tcPr>
          <w:p w:rsidR="0017092D" w:rsidRPr="004668F6" w:rsidP="00282259" w14:paraId="7B94DEF9" w14:textId="77777777">
            <w:pPr>
              <w:numPr>
                <w:ilvl w:val="0"/>
                <w:numId w:val="4"/>
              </w:numPr>
              <w:ind w:right="212"/>
              <w:jc w:val="both"/>
            </w:pPr>
            <w:r w:rsidRPr="004668F6">
              <w:t xml:space="preserve">2015. gada 17. novembra </w:t>
            </w:r>
            <w:r w:rsidRPr="004668F6" w:rsidR="00824C8E">
              <w:t xml:space="preserve">Ministru kabineta </w:t>
            </w:r>
            <w:r w:rsidRPr="004668F6" w:rsidR="00CA6015">
              <w:t xml:space="preserve">noteikumu Nr. 653 </w:t>
            </w:r>
            <w:r w:rsidRPr="004668F6" w:rsidR="00E54D90">
              <w:t>„</w:t>
            </w:r>
            <w:r w:rsidRPr="004668F6" w:rsidR="00CA6015">
              <w:t xml:space="preserve">Darbības programmas </w:t>
            </w:r>
            <w:r w:rsidRPr="004668F6" w:rsidR="00E54D90">
              <w:t>„</w:t>
            </w:r>
            <w:r w:rsidRPr="004668F6" w:rsidR="00CA6015">
              <w:t>Izaugsme un nodarbinātība</w:t>
            </w:r>
            <w:r w:rsidRPr="004668F6" w:rsidR="007B3D26">
              <w:t>”</w:t>
            </w:r>
            <w:r w:rsidRPr="004668F6" w:rsidR="00CA6015">
              <w:t xml:space="preserve"> 2.2.1. specifiskā atbalsta mērķa </w:t>
            </w:r>
            <w:r w:rsidRPr="004668F6" w:rsidR="00E54D90">
              <w:t>„</w:t>
            </w:r>
            <w:r w:rsidRPr="004668F6" w:rsidR="00CA6015">
              <w:t>Nodrošināt publisko datu atkalizmantošanas pieaugumu un efektīvu publiskās pārvaldes un privātā sektora mijiedarbību</w:t>
            </w:r>
            <w:r w:rsidRPr="004668F6" w:rsidR="007B3D26">
              <w:t>”</w:t>
            </w:r>
            <w:r w:rsidRPr="004668F6" w:rsidR="00CA6015">
              <w:t xml:space="preserve"> 2.2.1.1. pasākuma </w:t>
            </w:r>
            <w:r w:rsidRPr="004668F6" w:rsidR="00E54D90">
              <w:t>„</w:t>
            </w:r>
            <w:r w:rsidRPr="004668F6" w:rsidR="00CA6015">
              <w:t>Centralizētu publiskās pārvaldes IKT platformu izveide, publiskās pārvaldes procesu optimizēšana un attīstība</w:t>
            </w:r>
            <w:r w:rsidRPr="004668F6" w:rsidR="007B3D26">
              <w:t>”</w:t>
            </w:r>
            <w:r w:rsidRPr="004668F6" w:rsidR="00CA6015">
              <w:t xml:space="preserve"> īstenošanas</w:t>
            </w:r>
            <w:r w:rsidRPr="004668F6" w:rsidR="00991243">
              <w:t xml:space="preserve"> noteikumi” </w:t>
            </w:r>
            <w:r w:rsidRPr="004668F6" w:rsidR="006D61F3">
              <w:t xml:space="preserve">(turpmāk – īstenošanas noteikumi) </w:t>
            </w:r>
            <w:r w:rsidRPr="004668F6" w:rsidR="00991243">
              <w:t xml:space="preserve">4. </w:t>
            </w:r>
            <w:r w:rsidRPr="004668F6" w:rsidR="007B3D26">
              <w:t xml:space="preserve">punkts </w:t>
            </w:r>
            <w:r w:rsidRPr="004668F6" w:rsidR="00991243">
              <w:t>un 13.2.</w:t>
            </w:r>
            <w:r w:rsidRPr="004668F6" w:rsidR="007B3D26">
              <w:t>apakš</w:t>
            </w:r>
            <w:r w:rsidRPr="004668F6" w:rsidR="00991243">
              <w:t>punkt</w:t>
            </w:r>
            <w:r w:rsidRPr="004668F6" w:rsidR="007B3D26">
              <w:t>s</w:t>
            </w:r>
            <w:r w:rsidRPr="004668F6" w:rsidR="00CA6015">
              <w:t>.</w:t>
            </w:r>
          </w:p>
          <w:p w:rsidR="000612AA" w:rsidRPr="004668F6" w:rsidP="0061538B" w14:paraId="193ADDA3" w14:textId="77777777">
            <w:pPr>
              <w:numPr>
                <w:ilvl w:val="0"/>
                <w:numId w:val="4"/>
              </w:numPr>
              <w:ind w:right="212"/>
              <w:jc w:val="both"/>
            </w:pPr>
            <w:r w:rsidRPr="004668F6">
              <w:t>Deklarācijas par Māra Kučinska vadītā Ministru kabinet</w:t>
            </w:r>
            <w:r w:rsidRPr="004668F6" w:rsidR="00E54D90">
              <w:t>a iecerēto darbību 35</w:t>
            </w:r>
            <w:r w:rsidRPr="004668F6" w:rsidR="00441BB7">
              <w:t>.</w:t>
            </w:r>
            <w:r w:rsidRPr="004668F6" w:rsidR="00E54D90">
              <w:t xml:space="preserve"> uzdevums „</w:t>
            </w:r>
            <w:r w:rsidRPr="004668F6">
              <w:t>Nodrošināsim IKT publisko investīciju un e-pakalpojumu orientāciju uz jaunu produktu un pakalpojumu veidošanu un komercializāciju. Ieviesīsim e-pārvaldi publisko iestāžu darbā un pakalpojumu sniegšanā</w:t>
            </w:r>
            <w:r w:rsidRPr="004668F6" w:rsidR="00E54D90">
              <w:t>”</w:t>
            </w:r>
            <w:r w:rsidRPr="004668F6" w:rsidR="001D17AB">
              <w:t>;</w:t>
            </w:r>
            <w:r w:rsidRPr="004668F6" w:rsidR="00E54D90">
              <w:t xml:space="preserve"> </w:t>
            </w:r>
            <w:r w:rsidRPr="004668F6" w:rsidR="00911FC6">
              <w:t>r</w:t>
            </w:r>
            <w:r w:rsidRPr="004668F6" w:rsidR="00E54D90">
              <w:t>īcības plāna pasākums „</w:t>
            </w:r>
            <w:r w:rsidRPr="004668F6">
              <w:t>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VARAM kapacitāti un funkcijas”</w:t>
            </w:r>
            <w:r w:rsidRPr="004668F6" w:rsidR="001D17AB">
              <w:t>;</w:t>
            </w:r>
            <w:r w:rsidRPr="004668F6" w:rsidR="00E54D90">
              <w:t xml:space="preserve"> 5. darbības rezultāts „</w:t>
            </w:r>
            <w:r w:rsidRPr="004668F6">
              <w:t>Nodrošināta IKT procesu koordinācija un pārvaldība, paaugstināta VARAM kapacitāte, nodrošinot 38 ERAF līdzfinansēto projektu iekļaušanos publiskās pārvaldes vienotajā arhitektūrā”</w:t>
            </w:r>
            <w:r w:rsidRPr="004668F6" w:rsidR="00441BB7">
              <w:t>.</w:t>
            </w:r>
          </w:p>
          <w:p w:rsidR="00BA6374" w:rsidRPr="003C6EEB" w:rsidP="00914314" w14:paraId="02556E57" w14:textId="77777777">
            <w:pPr>
              <w:numPr>
                <w:ilvl w:val="0"/>
                <w:numId w:val="4"/>
              </w:numPr>
              <w:jc w:val="both"/>
            </w:pPr>
            <w:r w:rsidRPr="00246BEE">
              <w:t xml:space="preserve">MK 2016.gada 10.februāra </w:t>
            </w:r>
            <w:r w:rsidRPr="003C6EEB">
              <w:t xml:space="preserve">rīkojuma Nr.136 “Par informācijas sabiedrības attīstības pamatnostādņu ieviešanu publiskās pārvaldes informācijas sistēmu jomā” </w:t>
            </w:r>
            <w:r w:rsidRPr="003C6EEB">
              <w:rPr>
                <w:shd w:val="clear" w:color="auto" w:fill="FFFFFF"/>
              </w:rPr>
              <w:t>4.</w:t>
            </w:r>
            <w:r w:rsidRPr="003C6EEB">
              <w:rPr>
                <w:shd w:val="clear" w:color="auto" w:fill="FFFFFF"/>
                <w:vertAlign w:val="superscript"/>
              </w:rPr>
              <w:t>1</w:t>
            </w:r>
            <w:r w:rsidRPr="003C6EEB">
              <w:rPr>
                <w:shd w:val="clear" w:color="auto" w:fill="FFFFFF"/>
              </w:rPr>
              <w:t xml:space="preserve"> punkts un </w:t>
            </w:r>
            <w:r w:rsidRPr="003C6EEB">
              <w:t>4.2.apakšpunkts.</w:t>
            </w:r>
          </w:p>
          <w:p w:rsidR="0030033B" w:rsidRPr="004668F6" w:rsidP="006950C6" w14:paraId="2276B4F5" w14:textId="77777777">
            <w:pPr>
              <w:ind w:right="212"/>
              <w:jc w:val="both"/>
            </w:pPr>
          </w:p>
        </w:tc>
      </w:tr>
      <w:tr w14:paraId="4627DD78" w14:textId="77777777" w:rsidTr="00137314">
        <w:tblPrEx>
          <w:tblW w:w="9840" w:type="dxa"/>
          <w:tblCellSpacing w:w="0" w:type="dxa"/>
          <w:tblInd w:w="-408" w:type="dxa"/>
          <w:tblCellMar>
            <w:left w:w="57" w:type="dxa"/>
            <w:right w:w="57" w:type="dxa"/>
          </w:tblCellMar>
          <w:tblLook w:val="04A0"/>
        </w:tblPrEx>
        <w:trPr>
          <w:trHeight w:val="978"/>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4668F6" w:rsidP="00B22BC5" w14:paraId="51C917A2" w14:textId="77777777">
            <w:pPr>
              <w:rPr>
                <w:lang w:eastAsia="en-US"/>
              </w:rPr>
            </w:pPr>
            <w:r w:rsidRPr="004668F6">
              <w:rPr>
                <w:lang w:eastAsia="en-US"/>
              </w:rPr>
              <w:t> 2.</w:t>
            </w:r>
          </w:p>
        </w:tc>
        <w:tc>
          <w:tcPr>
            <w:tcW w:w="1986" w:type="dxa"/>
            <w:tcBorders>
              <w:top w:val="outset" w:sz="6" w:space="0" w:color="auto"/>
              <w:left w:val="outset" w:sz="6" w:space="0" w:color="auto"/>
              <w:bottom w:val="outset" w:sz="6" w:space="0" w:color="auto"/>
              <w:right w:val="outset" w:sz="6" w:space="0" w:color="auto"/>
            </w:tcBorders>
          </w:tcPr>
          <w:p w:rsidR="000115B5" w:rsidRPr="004668F6" w:rsidP="00B22BC5" w14:paraId="2A9C7061" w14:textId="77777777">
            <w:pPr>
              <w:rPr>
                <w:lang w:eastAsia="en-US"/>
              </w:rPr>
            </w:pPr>
            <w:r w:rsidRPr="004668F6">
              <w:rPr>
                <w:lang w:eastAsia="en-US"/>
              </w:rPr>
              <w:t>Pašreizējā situācija un problēmas</w:t>
            </w:r>
            <w:r w:rsidRPr="004668F6" w:rsidR="00681198">
              <w:rPr>
                <w:lang w:eastAsia="en-US"/>
              </w:rPr>
              <w:t>, kuru risināšanai tiesību akta projekts izstrādāts, tiesiskā regulējuma mērķis un būtība</w:t>
            </w:r>
          </w:p>
        </w:tc>
        <w:tc>
          <w:tcPr>
            <w:tcW w:w="7092" w:type="dxa"/>
            <w:tcBorders>
              <w:top w:val="outset" w:sz="6" w:space="0" w:color="auto"/>
              <w:left w:val="outset" w:sz="6" w:space="0" w:color="auto"/>
              <w:bottom w:val="outset" w:sz="6" w:space="0" w:color="auto"/>
              <w:right w:val="outset" w:sz="6" w:space="0" w:color="auto"/>
            </w:tcBorders>
          </w:tcPr>
          <w:p w:rsidR="006E7626" w:rsidRPr="004668F6" w:rsidP="00101D63" w14:paraId="4E8FFA80" w14:textId="77777777">
            <w:pPr>
              <w:pStyle w:val="ListParagraph"/>
              <w:spacing w:after="120" w:line="259" w:lineRule="auto"/>
              <w:ind w:left="0"/>
              <w:jc w:val="both"/>
              <w:rPr>
                <w:rFonts w:eastAsia="MS Mincho"/>
                <w:bCs/>
              </w:rPr>
            </w:pPr>
            <w:r w:rsidRPr="004668F6">
              <w:rPr>
                <w:lang w:val="x-none" w:eastAsia="zh-CN"/>
              </w:rPr>
              <w:t xml:space="preserve">Ar </w:t>
            </w:r>
            <w:r w:rsidRPr="004668F6">
              <w:t xml:space="preserve">Ministru kabineta rīkojuma projektu </w:t>
            </w:r>
            <w:r w:rsidRPr="004668F6">
              <w:rPr>
                <w:lang w:val="x-none" w:eastAsia="zh-CN"/>
              </w:rPr>
              <w:t>tiek apstiprināts un iekļauts</w:t>
            </w:r>
            <w:r w:rsidRPr="004668F6" w:rsidR="00173237">
              <w:rPr>
                <w:lang w:eastAsia="zh-CN"/>
              </w:rPr>
              <w:t xml:space="preserve"> </w:t>
            </w:r>
            <w:r w:rsidRPr="004668F6" w:rsidR="00BB4947">
              <w:rPr>
                <w:lang w:eastAsia="zh-CN"/>
              </w:rPr>
              <w:t>informācijas un komunikācijas tehnoloģiju (turpmāk – IKT)</w:t>
            </w:r>
            <w:r w:rsidRPr="004668F6" w:rsidR="00173237">
              <w:rPr>
                <w:lang w:eastAsia="zh-CN"/>
              </w:rPr>
              <w:t xml:space="preserve"> </w:t>
            </w:r>
            <w:r w:rsidRPr="004668F6">
              <w:rPr>
                <w:lang w:val="x-none" w:eastAsia="zh-CN"/>
              </w:rPr>
              <w:t xml:space="preserve">mērķarhitektūras </w:t>
            </w:r>
            <w:r w:rsidRPr="004668F6" w:rsidR="006950C6">
              <w:rPr>
                <w:lang w:eastAsia="zh-CN"/>
              </w:rPr>
              <w:t>1</w:t>
            </w:r>
            <w:r w:rsidR="009F67B1">
              <w:rPr>
                <w:lang w:eastAsia="zh-CN"/>
              </w:rPr>
              <w:t>5</w:t>
            </w:r>
            <w:r w:rsidRPr="004668F6" w:rsidR="0061538B">
              <w:rPr>
                <w:lang w:val="x-none" w:eastAsia="zh-CN"/>
              </w:rPr>
              <w:t>.0</w:t>
            </w:r>
            <w:r w:rsidRPr="004668F6" w:rsidR="0061538B">
              <w:rPr>
                <w:lang w:eastAsia="zh-CN"/>
              </w:rPr>
              <w:t xml:space="preserve"> </w:t>
            </w:r>
            <w:r w:rsidRPr="004668F6">
              <w:rPr>
                <w:lang w:val="x-none" w:eastAsia="zh-CN"/>
              </w:rPr>
              <w:t xml:space="preserve">versijā  </w:t>
            </w:r>
            <w:r w:rsidR="008120EB">
              <w:rPr>
                <w:lang w:eastAsia="zh-CN"/>
              </w:rPr>
              <w:t xml:space="preserve">Valsts reģionālās attīstības aģentūras (turpmāk - VRAA) </w:t>
            </w:r>
            <w:r w:rsidRPr="004668F6" w:rsidR="005A39B7">
              <w:rPr>
                <w:lang w:val="x-none" w:eastAsia="zh-CN"/>
              </w:rPr>
              <w:t>projekt</w:t>
            </w:r>
            <w:r w:rsidRPr="004668F6" w:rsidR="005A39B7">
              <w:rPr>
                <w:lang w:eastAsia="zh-CN"/>
              </w:rPr>
              <w:t>a</w:t>
            </w:r>
            <w:r w:rsidRPr="004668F6" w:rsidR="005A39B7">
              <w:rPr>
                <w:lang w:val="x-none" w:eastAsia="zh-CN"/>
              </w:rPr>
              <w:t xml:space="preserve"> </w:t>
            </w:r>
            <w:r w:rsidRPr="004668F6" w:rsidR="006950C6">
              <w:rPr>
                <w:lang w:eastAsia="zh-CN"/>
              </w:rPr>
              <w:t>“</w:t>
            </w:r>
            <w:r w:rsidRPr="009F67B1" w:rsidR="009F67B1">
              <w:rPr>
                <w:lang w:eastAsia="zh-CN"/>
              </w:rPr>
              <w:t>Teritoriālās attīstības plānošanas procesu un informācijas sistēmas attīstība</w:t>
            </w:r>
            <w:r w:rsidRPr="004668F6" w:rsidR="001C3EC6">
              <w:rPr>
                <w:lang w:val="x-none" w:eastAsia="zh-CN"/>
              </w:rPr>
              <w:t>” (turpmāk –</w:t>
            </w:r>
            <w:r w:rsidR="008120EB">
              <w:rPr>
                <w:lang w:eastAsia="zh-CN"/>
              </w:rPr>
              <w:t xml:space="preserve"> p</w:t>
            </w:r>
            <w:r w:rsidRPr="004668F6" w:rsidR="008120EB">
              <w:rPr>
                <w:lang w:eastAsia="zh-CN"/>
              </w:rPr>
              <w:t>rojekts</w:t>
            </w:r>
            <w:r w:rsidRPr="004668F6" w:rsidR="001C3EC6">
              <w:rPr>
                <w:lang w:val="x-none" w:eastAsia="zh-CN"/>
              </w:rPr>
              <w:t>)</w:t>
            </w:r>
            <w:r w:rsidRPr="004668F6" w:rsidR="005A39B7">
              <w:rPr>
                <w:lang w:eastAsia="zh-CN"/>
              </w:rPr>
              <w:t xml:space="preserve"> apraksts</w:t>
            </w:r>
            <w:r w:rsidRPr="004668F6" w:rsidR="001C3EC6">
              <w:rPr>
                <w:lang w:val="x-none" w:eastAsia="zh-CN"/>
              </w:rPr>
              <w:t>, kas tika izv</w:t>
            </w:r>
            <w:r w:rsidRPr="004668F6" w:rsidR="001C3EC6">
              <w:rPr>
                <w:lang w:eastAsia="zh-CN"/>
              </w:rPr>
              <w:t xml:space="preserve">ērtēts atbilstoši </w:t>
            </w:r>
            <w:r w:rsidRPr="004668F6" w:rsidR="00601A76">
              <w:rPr>
                <w:lang w:eastAsia="zh-CN"/>
              </w:rPr>
              <w:t xml:space="preserve">Vides aizsardzības un reģionālās attīstības ministrijas (turpmāk – </w:t>
            </w:r>
            <w:r w:rsidRPr="004668F6" w:rsidR="001C3EC6">
              <w:rPr>
                <w:lang w:eastAsia="zh-CN"/>
              </w:rPr>
              <w:t>VARAM</w:t>
            </w:r>
            <w:r w:rsidRPr="004668F6" w:rsidR="00601A76">
              <w:rPr>
                <w:lang w:eastAsia="zh-CN"/>
              </w:rPr>
              <w:t>)</w:t>
            </w:r>
            <w:r w:rsidRPr="004668F6" w:rsidR="001C3EC6">
              <w:rPr>
                <w:lang w:eastAsia="zh-CN"/>
              </w:rPr>
              <w:t xml:space="preserve"> izstrādātajai </w:t>
            </w:r>
            <w:r w:rsidRPr="004668F6" w:rsidR="00101D63">
              <w:rPr>
                <w:lang w:eastAsia="zh-CN"/>
              </w:rPr>
              <w:t xml:space="preserve">un apstiprinātajai </w:t>
            </w:r>
            <w:r w:rsidRPr="004668F6" w:rsidR="001C3EC6">
              <w:rPr>
                <w:lang w:eastAsia="zh-CN"/>
              </w:rPr>
              <w:t>metodikai par projektu iekļaušanu IKT mērķarhitektūrā.</w:t>
            </w:r>
            <w:r w:rsidRPr="004668F6" w:rsidR="00101D63">
              <w:rPr>
                <w:lang w:eastAsia="zh-CN"/>
              </w:rPr>
              <w:t xml:space="preserve"> VARAM ir atbalstījis </w:t>
            </w:r>
            <w:r w:rsidR="00254371">
              <w:rPr>
                <w:lang w:eastAsia="zh-CN"/>
              </w:rPr>
              <w:t>P</w:t>
            </w:r>
            <w:r w:rsidRPr="004668F6" w:rsidR="00101D63">
              <w:rPr>
                <w:lang w:eastAsia="zh-CN"/>
              </w:rPr>
              <w:t>rojekta iekļaušanu IKT m</w:t>
            </w:r>
            <w:r w:rsidRPr="004668F6" w:rsidR="006950C6">
              <w:rPr>
                <w:lang w:eastAsia="zh-CN"/>
              </w:rPr>
              <w:t>ērķarhitektūras kārtējā versijā.</w:t>
            </w:r>
            <w:r w:rsidRPr="004668F6" w:rsidR="00101D63">
              <w:rPr>
                <w:lang w:eastAsia="zh-CN"/>
              </w:rPr>
              <w:t xml:space="preserve"> </w:t>
            </w:r>
            <w:r w:rsidRPr="004668F6" w:rsidR="006950C6">
              <w:rPr>
                <w:lang w:eastAsia="zh-CN"/>
              </w:rPr>
              <w:t>Projekts veicina d</w:t>
            </w:r>
            <w:r w:rsidRPr="004668F6" w:rsidR="008F6AEE">
              <w:rPr>
                <w:rFonts w:eastAsia="MS Mincho"/>
                <w:bCs/>
              </w:rPr>
              <w:t xml:space="preserve">arbības programmas </w:t>
            </w:r>
            <w:r w:rsidRPr="004668F6" w:rsidR="00E54D90">
              <w:rPr>
                <w:rFonts w:eastAsia="MS Mincho"/>
                <w:bCs/>
              </w:rPr>
              <w:t>„</w:t>
            </w:r>
            <w:r w:rsidRPr="004668F6" w:rsidR="008F6AEE">
              <w:rPr>
                <w:rFonts w:eastAsia="MS Mincho"/>
                <w:bCs/>
              </w:rPr>
              <w:t xml:space="preserve">Izaugsme un nodarbinātība” </w:t>
            </w:r>
            <w:r w:rsidRPr="004668F6" w:rsidR="005A095E">
              <w:rPr>
                <w:rFonts w:eastAsia="MS Mincho"/>
                <w:bCs/>
              </w:rPr>
              <w:t>specifiskā atbalsta mērķa</w:t>
            </w:r>
            <w:r w:rsidRPr="004668F6" w:rsidR="00FA11CC">
              <w:rPr>
                <w:rFonts w:eastAsia="MS Mincho"/>
                <w:bCs/>
              </w:rPr>
              <w:t xml:space="preserve"> </w:t>
            </w:r>
            <w:r w:rsidRPr="004668F6" w:rsidR="00E54D90">
              <w:rPr>
                <w:rFonts w:eastAsia="MS Mincho"/>
                <w:bCs/>
              </w:rPr>
              <w:t>„</w:t>
            </w:r>
            <w:r w:rsidRPr="004668F6" w:rsidR="005A095E">
              <w:rPr>
                <w:rFonts w:eastAsia="MS Mincho"/>
                <w:bCs/>
              </w:rPr>
              <w:t xml:space="preserve">Nodrošināt publisko datu atkalizmantošanas pieaugumu un efektīvu publiskās pārvaldes </w:t>
            </w:r>
            <w:r w:rsidRPr="004668F6" w:rsidR="00E54D90">
              <w:rPr>
                <w:rFonts w:eastAsia="MS Mincho"/>
                <w:bCs/>
              </w:rPr>
              <w:t>un privātā sektora mijiedarbību”</w:t>
            </w:r>
            <w:r w:rsidRPr="004668F6" w:rsidR="00EA5122">
              <w:rPr>
                <w:rFonts w:eastAsia="MS Mincho"/>
                <w:bCs/>
              </w:rPr>
              <w:t xml:space="preserve"> </w:t>
            </w:r>
            <w:r w:rsidRPr="004668F6">
              <w:rPr>
                <w:rFonts w:eastAsia="MS Mincho"/>
                <w:bCs/>
              </w:rPr>
              <w:t>2.2.1.1. pasākuma</w:t>
            </w:r>
            <w:r w:rsidRPr="004668F6" w:rsidR="00EA5122">
              <w:rPr>
                <w:rFonts w:eastAsia="MS Mincho"/>
                <w:bCs/>
              </w:rPr>
              <w:t>m</w:t>
            </w:r>
            <w:r w:rsidRPr="004668F6">
              <w:rPr>
                <w:rFonts w:eastAsia="MS Mincho"/>
                <w:bCs/>
              </w:rPr>
              <w:t xml:space="preserve"> </w:t>
            </w:r>
            <w:r w:rsidRPr="004668F6" w:rsidR="00E54D90">
              <w:rPr>
                <w:rFonts w:eastAsia="MS Mincho"/>
                <w:bCs/>
              </w:rPr>
              <w:t>„</w:t>
            </w:r>
            <w:r w:rsidRPr="004668F6">
              <w:rPr>
                <w:rFonts w:eastAsia="MS Mincho"/>
                <w:bCs/>
              </w:rPr>
              <w:t>Centralizētu publiskās pārvaldes IKT platformu izveide, publiskās pārvaldes pr</w:t>
            </w:r>
            <w:r w:rsidRPr="004668F6" w:rsidR="007B5191">
              <w:rPr>
                <w:rFonts w:eastAsia="MS Mincho"/>
                <w:bCs/>
              </w:rPr>
              <w:t>ocesu optimizēšana un attīstība”</w:t>
            </w:r>
            <w:r w:rsidRPr="004668F6">
              <w:rPr>
                <w:rFonts w:eastAsia="MS Mincho"/>
                <w:bCs/>
              </w:rPr>
              <w:t xml:space="preserve"> </w:t>
            </w:r>
            <w:r w:rsidRPr="004668F6" w:rsidR="00EA5122">
              <w:rPr>
                <w:rFonts w:eastAsia="MS Mincho"/>
                <w:bCs/>
              </w:rPr>
              <w:t xml:space="preserve">izvirzīto rādītāju </w:t>
            </w:r>
            <w:r w:rsidRPr="004668F6" w:rsidR="008F6AEE">
              <w:rPr>
                <w:rFonts w:eastAsia="MS Mincho"/>
                <w:bCs/>
              </w:rPr>
              <w:t>sasniegšanu</w:t>
            </w:r>
            <w:r w:rsidRPr="004668F6" w:rsidR="006950C6">
              <w:rPr>
                <w:rFonts w:eastAsia="MS Mincho"/>
                <w:bCs/>
              </w:rPr>
              <w:t>,</w:t>
            </w:r>
            <w:r w:rsidRPr="004668F6" w:rsidR="00D64D51">
              <w:rPr>
                <w:rFonts w:eastAsia="MS Mincho"/>
                <w:bCs/>
              </w:rPr>
              <w:t xml:space="preserve"> </w:t>
            </w:r>
            <w:r w:rsidRPr="00297101" w:rsidR="00D64D51">
              <w:rPr>
                <w:rFonts w:eastAsia="MS Mincho"/>
                <w:bCs/>
              </w:rPr>
              <w:t xml:space="preserve">pilnveidojot un attīstot </w:t>
            </w:r>
            <w:r w:rsidRPr="00297101" w:rsidR="007E74AE">
              <w:rPr>
                <w:rFonts w:eastAsia="MS Mincho"/>
                <w:bCs/>
              </w:rPr>
              <w:t>5</w:t>
            </w:r>
            <w:r w:rsidRPr="00297101" w:rsidR="00D64D51">
              <w:rPr>
                <w:rFonts w:eastAsia="MS Mincho"/>
                <w:bCs/>
              </w:rPr>
              <w:t xml:space="preserve"> </w:t>
            </w:r>
            <w:r w:rsidRPr="00297101" w:rsidR="00D64D51">
              <w:rPr>
                <w:rFonts w:eastAsia="MS Mincho"/>
                <w:bCs/>
              </w:rPr>
              <w:t xml:space="preserve">darbības procesus, </w:t>
            </w:r>
            <w:r w:rsidR="007754C6">
              <w:rPr>
                <w:rFonts w:eastAsia="MS Mincho"/>
                <w:bCs/>
              </w:rPr>
              <w:t xml:space="preserve">ieviešot jaunus un pilnveidojot esošos elektroniskos pakalpojumus, </w:t>
            </w:r>
            <w:r w:rsidRPr="00297101" w:rsidR="00D64D51">
              <w:rPr>
                <w:rFonts w:eastAsia="MS Mincho"/>
                <w:bCs/>
              </w:rPr>
              <w:t xml:space="preserve">kā arī publicējot </w:t>
            </w:r>
            <w:r w:rsidRPr="00297101" w:rsidR="004E7DEB">
              <w:rPr>
                <w:rFonts w:eastAsia="MS Mincho"/>
                <w:bCs/>
              </w:rPr>
              <w:t>34</w:t>
            </w:r>
            <w:r w:rsidRPr="00297101" w:rsidR="00D64D51">
              <w:rPr>
                <w:rFonts w:eastAsia="MS Mincho"/>
                <w:bCs/>
              </w:rPr>
              <w:t xml:space="preserve"> </w:t>
            </w:r>
            <w:r w:rsidR="00DA63F3">
              <w:rPr>
                <w:rFonts w:eastAsia="MS Mincho"/>
                <w:bCs/>
              </w:rPr>
              <w:t>atvērto</w:t>
            </w:r>
            <w:r w:rsidRPr="00297101" w:rsidR="00D64D51">
              <w:rPr>
                <w:rFonts w:eastAsia="MS Mincho"/>
                <w:bCs/>
              </w:rPr>
              <w:t xml:space="preserve"> datu kopas.</w:t>
            </w:r>
          </w:p>
          <w:p w:rsidR="004E7DEB" w:rsidRPr="003F1792" w:rsidP="00137314" w14:paraId="0489E25C" w14:textId="77777777">
            <w:pPr>
              <w:pStyle w:val="ListParagraph"/>
              <w:spacing w:before="120" w:after="120"/>
              <w:ind w:left="0"/>
              <w:jc w:val="both"/>
            </w:pPr>
            <w:r w:rsidRPr="003F1792">
              <w:t>Projekt</w:t>
            </w:r>
            <w:r>
              <w:t>s</w:t>
            </w:r>
            <w:r w:rsidRPr="003F1792">
              <w:t xml:space="preserve"> </w:t>
            </w:r>
            <w:r w:rsidRPr="003F1792" w:rsidR="00286D65">
              <w:t>nodrošinā</w:t>
            </w:r>
            <w:r>
              <w:t>s</w:t>
            </w:r>
            <w:r w:rsidRPr="003F1792" w:rsidR="00286D65">
              <w:rPr>
                <w:rFonts w:eastAsia="MS Mincho"/>
                <w:bCs/>
              </w:rPr>
              <w:t xml:space="preserve"> Teritorijas attīstības plānošanas informācijas sistēmas (</w:t>
            </w:r>
            <w:r w:rsidRPr="003F1792" w:rsidR="00286D65">
              <w:t xml:space="preserve">turpmāk – </w:t>
            </w:r>
            <w:r w:rsidRPr="003F1792" w:rsidR="00286D65">
              <w:rPr>
                <w:rFonts w:eastAsia="MS Mincho"/>
                <w:bCs/>
              </w:rPr>
              <w:t xml:space="preserve">TAPIS) </w:t>
            </w:r>
            <w:r w:rsidRPr="003F1792" w:rsidR="00286D65">
              <w:t>un Reģionālās attīstības indikatoru moduļa (turpmāk - RAIM), kas ir TAPIS sastāvdaļa, tālāku funkcionālo attīstību un pilnveidošanu, valsts pārvaldes efektivitātes un sadarbspējas uzlabošanu nekustamo īpašumu un būvniecības pārvaldības jomās.</w:t>
            </w:r>
          </w:p>
          <w:p w:rsidR="00286D65" w:rsidP="0038766A" w14:paraId="38BD9F71" w14:textId="77777777">
            <w:pPr>
              <w:pStyle w:val="ListParagraph"/>
              <w:spacing w:before="120" w:after="120"/>
              <w:ind w:left="0"/>
              <w:jc w:val="both"/>
            </w:pPr>
            <w:r>
              <w:t xml:space="preserve">Pēc savas būtības </w:t>
            </w:r>
            <w:r w:rsidR="008120EB">
              <w:t xml:space="preserve">projekts </w:t>
            </w:r>
            <w:r>
              <w:t xml:space="preserve">ir </w:t>
            </w:r>
            <w:r w:rsidRPr="00CC2DC7" w:rsidR="004454C2">
              <w:t>darbības programmas "Infrastruktūra un pakalpojumi" papildinājuma 3.2.prioritātes "Teritoriju pieejamības un sasniedzamības veicināšana" 3.2.2.pasākuma "IKT infrastruktūra un pakalpojumi" 3.2.2.1.aktivitātes "Publiskās pārvaldes elektronisko pakalpojumu un informācijas sistēmu attīstība" 3.2.2.1.1.apakšaktivitātes "Informācijas sistēmu un elektronisko pakalpojumu attīstība" ietvaros</w:t>
            </w:r>
            <w:r w:rsidR="004454C2">
              <w:t xml:space="preserve"> īstenotā </w:t>
            </w:r>
            <w:r>
              <w:t>TAPIS izveides projekta turpinājums, kurš vērsts uz sekojošu mērķu īstenošanu:</w:t>
            </w:r>
          </w:p>
          <w:p w:rsidR="008120EB" w:rsidRPr="008120EB" w:rsidP="008120EB" w14:paraId="5D9A787B" w14:textId="77777777">
            <w:pPr>
              <w:numPr>
                <w:ilvl w:val="0"/>
                <w:numId w:val="35"/>
              </w:numPr>
              <w:spacing w:before="80" w:after="80"/>
              <w:contextualSpacing/>
              <w:jc w:val="both"/>
              <w:rPr>
                <w:rFonts w:eastAsia="PMingLiU"/>
                <w:lang w:eastAsia="en-US"/>
              </w:rPr>
            </w:pPr>
            <w:r w:rsidRPr="008120EB">
              <w:rPr>
                <w:rFonts w:eastAsia="PMingLiU"/>
                <w:lang w:eastAsia="en-US"/>
              </w:rPr>
              <w:t>Ieviest  ērti lietojamu, efektīvu, uz modernām tehnoloģijām balstītu pilnveidoto TAPIS risinājumu;</w:t>
            </w:r>
          </w:p>
          <w:p w:rsidR="008120EB" w:rsidRPr="008120EB" w:rsidP="008120EB" w14:paraId="0A0CFD00" w14:textId="77777777">
            <w:pPr>
              <w:numPr>
                <w:ilvl w:val="0"/>
                <w:numId w:val="35"/>
              </w:numPr>
              <w:spacing w:before="80" w:after="80"/>
              <w:contextualSpacing/>
              <w:jc w:val="both"/>
              <w:rPr>
                <w:rFonts w:eastAsia="PMingLiU"/>
                <w:lang w:eastAsia="en-US"/>
              </w:rPr>
            </w:pPr>
            <w:r w:rsidRPr="008120EB">
              <w:rPr>
                <w:rFonts w:eastAsia="PMingLiU"/>
                <w:lang w:eastAsia="en-US"/>
              </w:rPr>
              <w:t>Elektronizēt Jūras telpiskās plānošanas atbalsta procesus;</w:t>
            </w:r>
          </w:p>
          <w:p w:rsidR="008120EB" w:rsidRPr="008120EB" w:rsidP="008120EB" w14:paraId="2F529536" w14:textId="77777777">
            <w:pPr>
              <w:numPr>
                <w:ilvl w:val="0"/>
                <w:numId w:val="35"/>
              </w:numPr>
              <w:spacing w:before="80" w:after="80"/>
              <w:contextualSpacing/>
              <w:jc w:val="both"/>
              <w:rPr>
                <w:rFonts w:eastAsia="PMingLiU"/>
                <w:lang w:eastAsia="en-US"/>
              </w:rPr>
            </w:pPr>
            <w:r w:rsidRPr="008120EB">
              <w:rPr>
                <w:rFonts w:eastAsia="PMingLiU"/>
                <w:lang w:eastAsia="en-US"/>
              </w:rPr>
              <w:t>Veikt teritorijas attīstības plānošanas procesu pilnveidošanu TAPIS, datu apmaiņas sadarbības ietvaros.</w:t>
            </w:r>
          </w:p>
          <w:p w:rsidR="008120EB" w:rsidRPr="008120EB" w:rsidP="008120EB" w14:paraId="0E32F28A" w14:textId="77777777">
            <w:pPr>
              <w:numPr>
                <w:ilvl w:val="0"/>
                <w:numId w:val="35"/>
              </w:numPr>
              <w:spacing w:before="80" w:after="80"/>
              <w:contextualSpacing/>
              <w:jc w:val="both"/>
              <w:rPr>
                <w:rFonts w:eastAsia="PMingLiU"/>
                <w:lang w:eastAsia="en-US"/>
              </w:rPr>
            </w:pPr>
            <w:r w:rsidRPr="008120EB">
              <w:rPr>
                <w:rFonts w:eastAsia="PMingLiU"/>
                <w:lang w:eastAsia="en-US"/>
              </w:rPr>
              <w:t xml:space="preserve">Veicināt teritorijas attīstības plānošanas procesa datu publisko pieejamību </w:t>
            </w:r>
            <w:r>
              <w:fldChar w:fldCharType="begin"/>
            </w:r>
            <w:r>
              <w:instrText xml:space="preserve"> HYPERLINK "http://www.geolatvija.lv" </w:instrText>
            </w:r>
            <w:r>
              <w:fldChar w:fldCharType="separate"/>
            </w:r>
            <w:r w:rsidRPr="008120EB">
              <w:rPr>
                <w:rFonts w:eastAsia="PMingLiU"/>
                <w:lang w:eastAsia="en-US"/>
              </w:rPr>
              <w:t>www.geolatvija.lv</w:t>
            </w:r>
            <w:r>
              <w:fldChar w:fldCharType="end"/>
            </w:r>
            <w:r w:rsidRPr="008120EB">
              <w:rPr>
                <w:rFonts w:eastAsia="PMingLiU"/>
                <w:lang w:eastAsia="en-US"/>
              </w:rPr>
              <w:t xml:space="preserve"> un www.latvija.lv, ieviešot četrus elektroniskos pakalpojumus</w:t>
            </w:r>
            <w:r w:rsidR="00837128">
              <w:rPr>
                <w:rFonts w:eastAsia="PMingLiU"/>
                <w:lang w:eastAsia="en-US"/>
              </w:rPr>
              <w:t xml:space="preserve"> – divus jaunus un divus pilnveidojamus</w:t>
            </w:r>
            <w:r w:rsidR="00FE35B5">
              <w:rPr>
                <w:rFonts w:eastAsia="PMingLiU"/>
                <w:lang w:eastAsia="en-US"/>
              </w:rPr>
              <w:t>;</w:t>
            </w:r>
          </w:p>
          <w:p w:rsidR="008120EB" w:rsidRPr="008120EB" w:rsidP="008120EB" w14:paraId="538F5B45" w14:textId="77777777">
            <w:pPr>
              <w:numPr>
                <w:ilvl w:val="0"/>
                <w:numId w:val="35"/>
              </w:numPr>
              <w:spacing w:before="80" w:after="80"/>
              <w:contextualSpacing/>
              <w:jc w:val="both"/>
              <w:rPr>
                <w:b/>
                <w:u w:val="single"/>
              </w:rPr>
            </w:pPr>
            <w:r w:rsidRPr="008120EB">
              <w:rPr>
                <w:rFonts w:eastAsia="PMingLiU"/>
                <w:lang w:eastAsia="en-US"/>
              </w:rPr>
              <w:t>Pilnveidot reģionālās attīstības politikas instrumentu pārvaldības un RAIM, tai skaitā, nodrošināt risinājuma publiskās daļas integrāciju ar Datu publicēšanas platformu.</w:t>
            </w:r>
          </w:p>
          <w:p w:rsidR="00E85061" w:rsidP="0038766A" w14:paraId="3DAD3651" w14:textId="77777777">
            <w:pPr>
              <w:pStyle w:val="ListParagraph"/>
              <w:spacing w:before="120" w:after="120"/>
              <w:ind w:left="0"/>
              <w:jc w:val="both"/>
              <w:rPr>
                <w:rFonts w:eastAsia="MS Mincho"/>
                <w:bCs/>
              </w:rPr>
            </w:pPr>
            <w:r w:rsidRPr="008119DA">
              <w:rPr>
                <w:lang w:eastAsia="lv-LV"/>
              </w:rPr>
              <w:t xml:space="preserve">VARAM kā TAPIS pārzinis, sadarbojoties gan ar valsts pārvaldes institūcijām, gan pašvaldībām, ir identificējis </w:t>
            </w:r>
            <w:r>
              <w:rPr>
                <w:lang w:eastAsia="lv-LV"/>
              </w:rPr>
              <w:t xml:space="preserve">vairākas nepieciešamās </w:t>
            </w:r>
            <w:r w:rsidRPr="008119DA">
              <w:rPr>
                <w:lang w:eastAsia="lv-LV"/>
              </w:rPr>
              <w:t xml:space="preserve">pilnveidojumu jomas, kuru veiksmīga risināšana </w:t>
            </w:r>
            <w:r w:rsidR="007A5436">
              <w:rPr>
                <w:lang w:eastAsia="lv-LV"/>
              </w:rPr>
              <w:t>Eiropas Savienības struktūrfondu un Koh</w:t>
            </w:r>
            <w:r w:rsidR="00E316C0">
              <w:rPr>
                <w:lang w:eastAsia="lv-LV"/>
              </w:rPr>
              <w:t>ēzijas fon</w:t>
            </w:r>
            <w:r w:rsidR="007A5436">
              <w:rPr>
                <w:lang w:eastAsia="lv-LV"/>
              </w:rPr>
              <w:t>da 2014. – 2020.</w:t>
            </w:r>
            <w:r w:rsidR="00E316C0">
              <w:rPr>
                <w:lang w:eastAsia="lv-LV"/>
              </w:rPr>
              <w:t xml:space="preserve"> </w:t>
            </w:r>
            <w:r w:rsidR="007A5436">
              <w:rPr>
                <w:lang w:eastAsia="lv-LV"/>
              </w:rPr>
              <w:t>gada plānošanas periodā</w:t>
            </w:r>
            <w:r w:rsidR="00E316C0">
              <w:rPr>
                <w:lang w:eastAsia="lv-LV"/>
              </w:rPr>
              <w:t>,</w:t>
            </w:r>
            <w:r w:rsidRPr="008119DA">
              <w:rPr>
                <w:lang w:eastAsia="lv-LV"/>
              </w:rPr>
              <w:t xml:space="preserve"> ļaus ievērojami uzlabot TAPIS un RAIM lietojamību un funkcionalitāti, </w:t>
            </w:r>
            <w:r>
              <w:rPr>
                <w:lang w:eastAsia="lv-LV"/>
              </w:rPr>
              <w:t xml:space="preserve">kā arī </w:t>
            </w:r>
            <w:r w:rsidRPr="008119DA">
              <w:rPr>
                <w:lang w:eastAsia="lv-LV"/>
              </w:rPr>
              <w:t>paaugstināt valsts pārvaldes efektivitāti</w:t>
            </w:r>
            <w:r>
              <w:rPr>
                <w:lang w:eastAsia="lv-LV"/>
              </w:rPr>
              <w:t xml:space="preserve"> un</w:t>
            </w:r>
            <w:r w:rsidRPr="008119DA">
              <w:rPr>
                <w:lang w:eastAsia="lv-LV"/>
              </w:rPr>
              <w:t xml:space="preserve"> veicināt uzņēmējdarbības vides attīstību</w:t>
            </w:r>
            <w:r>
              <w:rPr>
                <w:lang w:eastAsia="lv-LV"/>
              </w:rPr>
              <w:t xml:space="preserve">. </w:t>
            </w:r>
            <w:r w:rsidRPr="005570BE">
              <w:rPr>
                <w:rFonts w:eastAsia="MS Mincho"/>
                <w:bCs/>
              </w:rPr>
              <w:t xml:space="preserve">Projekta īstenošana </w:t>
            </w:r>
            <w:r>
              <w:rPr>
                <w:rFonts w:eastAsia="MS Mincho"/>
                <w:bCs/>
              </w:rPr>
              <w:t>ļaus atr</w:t>
            </w:r>
            <w:r w:rsidRPr="005570BE" w:rsidR="006B1FF3">
              <w:rPr>
                <w:rFonts w:eastAsia="MS Mincho"/>
                <w:bCs/>
              </w:rPr>
              <w:t>isinā</w:t>
            </w:r>
            <w:r>
              <w:rPr>
                <w:rFonts w:eastAsia="MS Mincho"/>
                <w:bCs/>
              </w:rPr>
              <w:t>t sekojošas konstatētās</w:t>
            </w:r>
            <w:r w:rsidRPr="005570BE" w:rsidR="006B1FF3">
              <w:rPr>
                <w:rFonts w:eastAsia="MS Mincho"/>
                <w:bCs/>
              </w:rPr>
              <w:t xml:space="preserve"> problēm</w:t>
            </w:r>
            <w:r>
              <w:rPr>
                <w:rFonts w:eastAsia="MS Mincho"/>
                <w:bCs/>
              </w:rPr>
              <w:t>as</w:t>
            </w:r>
            <w:r w:rsidRPr="005570BE" w:rsidR="00BA6374">
              <w:rPr>
                <w:rFonts w:eastAsia="MS Mincho"/>
                <w:bCs/>
              </w:rPr>
              <w:t>:</w:t>
            </w:r>
          </w:p>
          <w:p w:rsidR="00405DDD" w:rsidP="00567B84" w14:paraId="39098982" w14:textId="47C6B8ED">
            <w:pPr>
              <w:numPr>
                <w:ilvl w:val="0"/>
                <w:numId w:val="27"/>
              </w:numPr>
              <w:jc w:val="both"/>
            </w:pPr>
            <w:r w:rsidRPr="008119DA">
              <w:rPr>
                <w:bCs/>
                <w:kern w:val="12"/>
              </w:rPr>
              <w:t>J</w:t>
            </w:r>
            <w:r w:rsidRPr="008119DA">
              <w:rPr>
                <w:kern w:val="12"/>
              </w:rPr>
              <w:t>ūras telpas plānošan</w:t>
            </w:r>
            <w:r w:rsidRPr="008119DA">
              <w:rPr>
                <w:bCs/>
                <w:kern w:val="12"/>
              </w:rPr>
              <w:t>u</w:t>
            </w:r>
            <w:r w:rsidRPr="008119DA">
              <w:rPr>
                <w:kern w:val="12"/>
              </w:rPr>
              <w:t xml:space="preserve"> regulē </w:t>
            </w:r>
            <w:r w:rsidRPr="008119DA">
              <w:rPr>
                <w:i/>
                <w:kern w:val="12"/>
              </w:rPr>
              <w:t>Teritorijas attīstības plānošanas likums</w:t>
            </w:r>
            <w:r>
              <w:rPr>
                <w:i/>
                <w:kern w:val="12"/>
              </w:rPr>
              <w:t xml:space="preserve">, </w:t>
            </w:r>
            <w:r w:rsidRPr="008119DA">
              <w:rPr>
                <w:bCs/>
                <w:kern w:val="12"/>
              </w:rPr>
              <w:t>kas nosaka, ka jūras telpiskais plānojums ir nacionālā līmeņa ilgtermiņa teritorijas attīstības plānošanas dokuments</w:t>
            </w:r>
            <w:r>
              <w:rPr>
                <w:bCs/>
                <w:kern w:val="12"/>
              </w:rPr>
              <w:t xml:space="preserve">, kurš </w:t>
            </w:r>
            <w:r w:rsidRPr="008119DA">
              <w:rPr>
                <w:bCs/>
                <w:kern w:val="12"/>
              </w:rPr>
              <w:t>jāizstrādā VARAM sadarbībā ar nozaru ministrijām un pašvaldībām, kuru administratīvā teritorija robežojas ar jūru.</w:t>
            </w:r>
            <w:r>
              <w:rPr>
                <w:bCs/>
                <w:kern w:val="12"/>
              </w:rPr>
              <w:t xml:space="preserve"> </w:t>
            </w:r>
            <w:r w:rsidRPr="008119DA">
              <w:rPr>
                <w:bCs/>
                <w:kern w:val="12"/>
              </w:rPr>
              <w:t xml:space="preserve">Jūras telpiskā plānojuma ietvaru </w:t>
            </w:r>
            <w:r w:rsidRPr="00F71A9C">
              <w:rPr>
                <w:bCs/>
                <w:kern w:val="12"/>
              </w:rPr>
              <w:t xml:space="preserve">nosaka </w:t>
            </w:r>
            <w:r w:rsidRPr="00F71A9C" w:rsidR="00F71A9C">
              <w:rPr>
                <w:bCs/>
                <w:kern w:val="12"/>
              </w:rPr>
              <w:t>Eiropas Parlamenta u</w:t>
            </w:r>
            <w:r w:rsidR="00637BE3">
              <w:rPr>
                <w:bCs/>
                <w:kern w:val="12"/>
              </w:rPr>
              <w:t>n Padomes 2014. gada 23. jūlija Direktīva 2014/89/ES</w:t>
            </w:r>
            <w:r w:rsidRPr="00F71A9C" w:rsidR="00F71A9C">
              <w:rPr>
                <w:bCs/>
                <w:kern w:val="12"/>
              </w:rPr>
              <w:t>, ar ko izveido jūras telpiskās plānošanas satvaru,</w:t>
            </w:r>
            <w:r w:rsidRPr="00F71A9C">
              <w:rPr>
                <w:bCs/>
                <w:kern w:val="12"/>
              </w:rPr>
              <w:t xml:space="preserve"> sekojoši</w:t>
            </w:r>
            <w:r>
              <w:rPr>
                <w:bCs/>
                <w:kern w:val="12"/>
              </w:rPr>
              <w:t>,</w:t>
            </w:r>
            <w:r w:rsidRPr="008119DA">
              <w:rPr>
                <w:kern w:val="12"/>
              </w:rPr>
              <w:t xml:space="preserve"> </w:t>
            </w:r>
            <w:r w:rsidR="00B92A7C">
              <w:rPr>
                <w:kern w:val="12"/>
              </w:rPr>
              <w:t xml:space="preserve">tā </w:t>
            </w:r>
            <w:r w:rsidRPr="008119DA">
              <w:rPr>
                <w:kern w:val="12"/>
              </w:rPr>
              <w:t>plānošanai un datu apm</w:t>
            </w:r>
            <w:r>
              <w:rPr>
                <w:kern w:val="12"/>
              </w:rPr>
              <w:t>aiņai ir starptautisks raksturs</w:t>
            </w:r>
            <w:r>
              <w:rPr>
                <w:bCs/>
                <w:kern w:val="12"/>
              </w:rPr>
              <w:t>.</w:t>
            </w:r>
            <w:r w:rsidRPr="008119DA" w:rsidR="00B92A7C">
              <w:t xml:space="preserve"> </w:t>
            </w:r>
            <w:r w:rsidR="00B92A7C">
              <w:t>N</w:t>
            </w:r>
            <w:r w:rsidRPr="008119DA" w:rsidR="00B92A7C">
              <w:t xml:space="preserve">o 2015.gada 1.janvāra VARAM vadībā tiek izstrādāts </w:t>
            </w:r>
            <w:r w:rsidRPr="008119DA" w:rsidR="00B92A7C">
              <w:rPr>
                <w:bCs/>
                <w:kern w:val="12"/>
              </w:rPr>
              <w:t>Jūras telpisk</w:t>
            </w:r>
            <w:r w:rsidR="00B92A7C">
              <w:rPr>
                <w:bCs/>
                <w:kern w:val="12"/>
              </w:rPr>
              <w:t>ais</w:t>
            </w:r>
            <w:r w:rsidRPr="008119DA" w:rsidR="00B92A7C">
              <w:rPr>
                <w:bCs/>
                <w:kern w:val="12"/>
              </w:rPr>
              <w:t xml:space="preserve"> plānojum</w:t>
            </w:r>
            <w:r w:rsidR="00B92A7C">
              <w:rPr>
                <w:bCs/>
                <w:kern w:val="12"/>
              </w:rPr>
              <w:t>s</w:t>
            </w:r>
            <w:r w:rsidRPr="008119DA" w:rsidR="00B92A7C">
              <w:rPr>
                <w:bCs/>
                <w:kern w:val="12"/>
              </w:rPr>
              <w:t xml:space="preserve"> </w:t>
            </w:r>
            <w:r w:rsidR="00B92A7C">
              <w:t xml:space="preserve">un šobrīd </w:t>
            </w:r>
            <w:r w:rsidRPr="00FC07AB" w:rsidR="00B92A7C">
              <w:t>tiek precizēta plānojuma gala redakcija</w:t>
            </w:r>
            <w:r w:rsidRPr="008119DA" w:rsidR="00B92A7C">
              <w:t>.</w:t>
            </w:r>
            <w:r>
              <w:t xml:space="preserve"> Ņemot vērā to, ka </w:t>
            </w:r>
            <w:r w:rsidRPr="008119DA">
              <w:t xml:space="preserve">Jūras telpiskā plānojuma izstrādes procesā ir iesaistītas dažādas nozaru institūcijas (Latvijas Jūras administrācija, Latvijas Hidroekoloģijas institūts, Pārtikas drošības, dzīvnieku veselības un vides zinātniskais institūts </w:t>
            </w:r>
            <w:r w:rsidRPr="008119DA">
              <w:t>BIOR, L</w:t>
            </w:r>
            <w:r w:rsidR="00731E24">
              <w:t>atvijas Vides, ģeoloģijas un meteoroloģijas centrs</w:t>
            </w:r>
            <w:r w:rsidRPr="008119DA">
              <w:t>, Z</w:t>
            </w:r>
            <w:r w:rsidR="00731E24">
              <w:t>emkopības ministrija</w:t>
            </w:r>
            <w:r w:rsidRPr="008119DA">
              <w:t>, B</w:t>
            </w:r>
            <w:r w:rsidR="00731E24">
              <w:t>ūvniecības valsts kontroles birojs,</w:t>
            </w:r>
            <w:r w:rsidRPr="008119DA">
              <w:t xml:space="preserve"> Ai</w:t>
            </w:r>
            <w:r w:rsidR="00731E24">
              <w:t>zsardzības ministrija</w:t>
            </w:r>
            <w:r w:rsidRPr="008119DA">
              <w:t>, S</w:t>
            </w:r>
            <w:r w:rsidR="00731E24">
              <w:t>atiksmes ministrija</w:t>
            </w:r>
            <w:r w:rsidRPr="008119DA">
              <w:t xml:space="preserve">, VARAM), </w:t>
            </w:r>
            <w:r>
              <w:t>izejas datu apkopošana</w:t>
            </w:r>
            <w:r w:rsidRPr="008119DA">
              <w:t xml:space="preserve"> un visaptverošu risinājumu izstrād</w:t>
            </w:r>
            <w:r>
              <w:t>e</w:t>
            </w:r>
            <w:r w:rsidRPr="008119DA">
              <w:t xml:space="preserve"> ir sarežģī</w:t>
            </w:r>
            <w:r>
              <w:t>ts process</w:t>
            </w:r>
            <w:r w:rsidRPr="008119DA">
              <w:t xml:space="preserve">. </w:t>
            </w:r>
            <w:r w:rsidR="00567B84">
              <w:t xml:space="preserve">Projekta mērķis ir </w:t>
            </w:r>
            <w:r w:rsidRPr="008119DA" w:rsidR="00567B84">
              <w:t>izveidot vienot</w:t>
            </w:r>
            <w:r w:rsidR="00567B84">
              <w:t>u</w:t>
            </w:r>
            <w:r w:rsidRPr="008119DA" w:rsidR="00567B84">
              <w:t xml:space="preserve"> platform</w:t>
            </w:r>
            <w:r w:rsidR="00567B84">
              <w:t>u</w:t>
            </w:r>
            <w:r w:rsidRPr="008119DA" w:rsidR="00567B84">
              <w:t>/elektronisk</w:t>
            </w:r>
            <w:r w:rsidR="00567B84">
              <w:t>u</w:t>
            </w:r>
            <w:r w:rsidRPr="008119DA" w:rsidR="00567B84">
              <w:t xml:space="preserve"> vid</w:t>
            </w:r>
            <w:r w:rsidR="00567B84">
              <w:t>i</w:t>
            </w:r>
            <w:r w:rsidRPr="008119DA" w:rsidR="00567B84">
              <w:t xml:space="preserve">, kura nodrošinātu regulāru informācijas, galvenokārt telpisko risinājumu, apmaiņu starp visām </w:t>
            </w:r>
            <w:r w:rsidR="00567B84">
              <w:t xml:space="preserve">jūras plānošanā </w:t>
            </w:r>
            <w:r w:rsidRPr="008119DA" w:rsidR="00567B84">
              <w:t>iesaistītām institūcijām</w:t>
            </w:r>
            <w:r w:rsidR="00567B84">
              <w:t>.</w:t>
            </w:r>
          </w:p>
          <w:p w:rsidR="00A960DF" w:rsidRPr="008119DA" w:rsidP="00A960DF" w14:paraId="3DED1007" w14:textId="77777777">
            <w:pPr>
              <w:numPr>
                <w:ilvl w:val="0"/>
                <w:numId w:val="27"/>
              </w:numPr>
              <w:jc w:val="both"/>
            </w:pPr>
            <w:r w:rsidRPr="008119DA">
              <w:t>Pēdējā laikā arvien biežāk nākas saskarties ar dažādu jaunu nacionālo interešu objektu un tiem nepieciešamās teritorijas noteikšanas gadījumiem</w:t>
            </w:r>
            <w:r>
              <w:t xml:space="preserve">, </w:t>
            </w:r>
            <w:r w:rsidRPr="008119DA">
              <w:t>piemēram, „Rail Baltica” dzelzceļa līnijai rezervētā teritorija, u.tml. No teritorijas plānošanas procedūras viedokļa, nacionālo interešu objekta noteikšanas un apstiprināšanas procedūra nav saistīta ar pašvaldības</w:t>
            </w:r>
            <w:r>
              <w:t xml:space="preserve"> teritorijas plānošanas procesu, tomēr</w:t>
            </w:r>
            <w:r w:rsidRPr="008119DA">
              <w:t xml:space="preserve"> no minētā objekta vai teritorijas noteikšanas brīža, </w:t>
            </w:r>
            <w:r>
              <w:t xml:space="preserve">pašvaldībai, </w:t>
            </w:r>
            <w:r w:rsidRPr="008119DA">
              <w:t xml:space="preserve">izsniedzot </w:t>
            </w:r>
            <w:r>
              <w:t xml:space="preserve">personai </w:t>
            </w:r>
            <w:r w:rsidRPr="008119DA">
              <w:t xml:space="preserve">informāciju par </w:t>
            </w:r>
            <w:r>
              <w:t xml:space="preserve">zemesgabala </w:t>
            </w:r>
            <w:r w:rsidRPr="008119DA">
              <w:t xml:space="preserve">atļauto izmantošanu saskaņā ar teritorijas plānojumu vai izsniedzot būvatļauju, jāņem vērā nosacījumi teritorijas izmantošanai nacionālo interešu teritorijā. Ņemot vērā, ka TAPIS šādu telpisku informāciju </w:t>
            </w:r>
            <w:r>
              <w:t xml:space="preserve">pagaidām </w:t>
            </w:r>
            <w:r w:rsidRPr="008119DA">
              <w:t>neuztur, pašvaldībai pašai no atbildīgās ministrijas, vai uzņēmuma, kuram pieder objekts, kuram noteikts šāds statuss, jālūdz telpiskie dati precīzai teritorijas attēlošanai jauna teritorijas plānojuma izstrādes gadījumā</w:t>
            </w:r>
            <w:r>
              <w:t>.</w:t>
            </w:r>
            <w:r w:rsidR="00705B95">
              <w:t xml:space="preserve"> Projektā rezultātā tiks izveidota iespēja </w:t>
            </w:r>
            <w:r w:rsidRPr="008119DA" w:rsidR="00705B95">
              <w:t xml:space="preserve">TAPIS vidē </w:t>
            </w:r>
            <w:r w:rsidR="00705B95">
              <w:t>u</w:t>
            </w:r>
            <w:r w:rsidRPr="008119DA" w:rsidR="00705B95">
              <w:t>zkrā</w:t>
            </w:r>
            <w:r w:rsidR="00705B95">
              <w:t>t</w:t>
            </w:r>
            <w:r w:rsidRPr="008119DA" w:rsidR="00705B95">
              <w:t xml:space="preserve"> arī piln</w:t>
            </w:r>
            <w:r w:rsidR="00705B95">
              <w:t>u</w:t>
            </w:r>
            <w:r w:rsidRPr="008119DA" w:rsidR="00705B95">
              <w:t xml:space="preserve"> informācij</w:t>
            </w:r>
            <w:r w:rsidR="00705B95">
              <w:t>u</w:t>
            </w:r>
            <w:r w:rsidRPr="008119DA" w:rsidR="00705B95">
              <w:t xml:space="preserve"> (teksta un ģeotelpisk</w:t>
            </w:r>
            <w:r w:rsidR="00705B95">
              <w:t>o</w:t>
            </w:r>
            <w:r w:rsidRPr="008119DA" w:rsidR="00705B95">
              <w:t>) par M</w:t>
            </w:r>
            <w:r w:rsidR="00705B95">
              <w:t xml:space="preserve">inistru kabinetā </w:t>
            </w:r>
            <w:r w:rsidRPr="008119DA" w:rsidR="00705B95">
              <w:t>noteiktajiem nacionālo interešu objektiem un teritorijām, papildus nodrošināt to publicēšanu</w:t>
            </w:r>
            <w:r w:rsidR="00077021">
              <w:t xml:space="preserve"> TAPIS publiskajā daļā portālā</w:t>
            </w:r>
            <w:r w:rsidRPr="008119DA" w:rsidR="00705B95">
              <w:t xml:space="preserve"> </w:t>
            </w:r>
            <w:r w:rsidR="008120EB">
              <w:t>geolatvija</w:t>
            </w:r>
            <w:r w:rsidR="004A7C26">
              <w:t xml:space="preserve">.lv </w:t>
            </w:r>
            <w:r w:rsidR="00077021">
              <w:t xml:space="preserve">sadaļā </w:t>
            </w:r>
            <w:r w:rsidRPr="00077021" w:rsidR="00077021">
              <w:rPr>
                <w:i/>
              </w:rPr>
              <w:t>Teritorijas attīstības plānošana</w:t>
            </w:r>
            <w:r w:rsidR="00077021">
              <w:t>.</w:t>
            </w:r>
          </w:p>
          <w:p w:rsidR="00AE6052" w:rsidP="00567B84" w14:paraId="4A8CA12D" w14:textId="77777777">
            <w:pPr>
              <w:numPr>
                <w:ilvl w:val="0"/>
                <w:numId w:val="27"/>
              </w:numPr>
              <w:jc w:val="both"/>
            </w:pPr>
            <w:r>
              <w:t xml:space="preserve">Analizējot un apkopojot </w:t>
            </w:r>
            <w:r w:rsidRPr="008119DA">
              <w:t xml:space="preserve">VARAM kā TAPIS pārziņa iegūto pieredzi </w:t>
            </w:r>
            <w:r>
              <w:t xml:space="preserve">par </w:t>
            </w:r>
            <w:r w:rsidRPr="008119DA">
              <w:t xml:space="preserve">TAPIS darbības </w:t>
            </w:r>
            <w:r>
              <w:t>r</w:t>
            </w:r>
            <w:r w:rsidRPr="008119DA">
              <w:t>ezultāt</w:t>
            </w:r>
            <w:r>
              <w:t>iem</w:t>
            </w:r>
            <w:r w:rsidRPr="008119DA">
              <w:t>, kā arī ņemot vērā TAPIS lietotāju priekšlikumus</w:t>
            </w:r>
            <w:r>
              <w:t>,</w:t>
            </w:r>
            <w:r w:rsidRPr="008119DA">
              <w:t xml:space="preserve"> </w:t>
            </w:r>
            <w:r>
              <w:t xml:space="preserve">noteikti vairāki </w:t>
            </w:r>
            <w:r w:rsidRPr="008119DA">
              <w:t>TAPIS funkcionalitātes paplašināšanas virzieni</w:t>
            </w:r>
            <w:r>
              <w:t xml:space="preserve"> - j</w:t>
            </w:r>
            <w:r w:rsidRPr="008119DA">
              <w:t>ūras piekrastes ūdeņu plānošanas iespējas</w:t>
            </w:r>
            <w:r>
              <w:t>, d</w:t>
            </w:r>
            <w:r w:rsidRPr="008119DA">
              <w:t>etālplānojumu teksta un telpisko datu strukturēšana</w:t>
            </w:r>
            <w:r>
              <w:t xml:space="preserve">, </w:t>
            </w:r>
            <w:r w:rsidRPr="008119DA">
              <w:t xml:space="preserve">datu apmaiņas procesu </w:t>
            </w:r>
            <w:r>
              <w:t xml:space="preserve">un TAPIS funkcionalitātes </w:t>
            </w:r>
            <w:r w:rsidRPr="008119DA">
              <w:t>pilnveido</w:t>
            </w:r>
            <w:r>
              <w:t xml:space="preserve">šana, </w:t>
            </w:r>
            <w:r w:rsidRPr="008119DA">
              <w:t>e-pakalpojumu</w:t>
            </w:r>
            <w:r>
              <w:t xml:space="preserve"> attīstīšana</w:t>
            </w:r>
            <w:r w:rsidR="002504B4">
              <w:t xml:space="preserve">, kas padarīs sistēmu ātrdarbīgāku, ērtāku lietotājam un </w:t>
            </w:r>
            <w:r w:rsidRPr="008119DA" w:rsidR="002504B4">
              <w:t>pašvaldību speciālistiem</w:t>
            </w:r>
            <w:r w:rsidR="002504B4">
              <w:t>.</w:t>
            </w:r>
          </w:p>
          <w:p w:rsidR="005D286C" w:rsidP="00567B84" w14:paraId="101023E0" w14:textId="77777777">
            <w:pPr>
              <w:numPr>
                <w:ilvl w:val="0"/>
                <w:numId w:val="27"/>
              </w:numPr>
              <w:jc w:val="both"/>
            </w:pPr>
            <w:r w:rsidRPr="008119DA">
              <w:t xml:space="preserve">Viena no šobrīd īstenotā RAIM risinājuma problēmām ir būtiskas ārpakalpojuma izmaksas katras jaunas datu kopas/datu avota iekļaušanai sistēmā. Tādējādi </w:t>
            </w:r>
            <w:r>
              <w:t xml:space="preserve">Projekta īstenošanas rezultātā </w:t>
            </w:r>
            <w:r w:rsidRPr="008119DA">
              <w:t>tiek plānota standartizēta datu saņemšanas un apstrādes risinājuma ieviešana, kas ievērojami samazinātu izmaksas RAIM uzturēšanai un jaunu rādītāju iekļaušanai RAIM</w:t>
            </w:r>
            <w:r>
              <w:t>.</w:t>
            </w:r>
          </w:p>
          <w:p w:rsidR="003F4581" w:rsidRPr="008119DA" w:rsidP="00567B84" w14:paraId="563D0AC3" w14:textId="77777777">
            <w:pPr>
              <w:numPr>
                <w:ilvl w:val="0"/>
                <w:numId w:val="27"/>
              </w:numPr>
              <w:jc w:val="both"/>
            </w:pPr>
            <w:r w:rsidRPr="008119DA">
              <w:t xml:space="preserve">Šobrīd VARAM nav pieejama elektroniska vide, ar kuras palīdzību </w:t>
            </w:r>
            <w:r>
              <w:t>varētu sagatavot zemes</w:t>
            </w:r>
            <w:r w:rsidRPr="008119DA">
              <w:t xml:space="preserve"> pārskatu un veikt datu analīzi. Analizējot situāciju, šim mērķim par vispiemērotāko risinājumu atzīts RAIM izmantošana. RAIM iespējams uzkrāt nepieciešamos telpiskos un teksta datus un informāciju, kas ļautu veikt analīzi par zemi un ar to saistīto procesu attīstību administratīvi teritoriālajās vienībās dažādos laika griezumos.</w:t>
            </w:r>
          </w:p>
          <w:p w:rsidR="00FA1AC6" w:rsidP="00137314" w14:paraId="7ED2B221" w14:textId="77777777">
            <w:pPr>
              <w:jc w:val="both"/>
            </w:pPr>
            <w:r w:rsidRPr="004668F6">
              <w:t xml:space="preserve">Lai risinātu iepriekš minētās problēmas un sasniegtu projekta mērķus, kā arī ievērotu normatīvajos aktos noteikto, projekta ietvaros plānots </w:t>
            </w:r>
            <w:r w:rsidRPr="004668F6">
              <w:t>veikt šādus pasākumus:</w:t>
            </w:r>
          </w:p>
          <w:p w:rsidR="003402CD" w:rsidRPr="003402CD" w:rsidP="003402CD" w14:paraId="74088D47" w14:textId="77777777">
            <w:pPr>
              <w:numPr>
                <w:ilvl w:val="0"/>
                <w:numId w:val="28"/>
              </w:numPr>
              <w:jc w:val="both"/>
            </w:pPr>
            <w:r w:rsidRPr="008119DA">
              <w:rPr>
                <w:iCs/>
              </w:rPr>
              <w:t>TAPIS pamatprocesu uzlabojumi</w:t>
            </w:r>
            <w:r>
              <w:rPr>
                <w:iCs/>
              </w:rPr>
              <w:t>;</w:t>
            </w:r>
          </w:p>
          <w:p w:rsidR="003402CD" w:rsidRPr="003402CD" w:rsidP="003402CD" w14:paraId="0720CF36" w14:textId="77777777">
            <w:pPr>
              <w:numPr>
                <w:ilvl w:val="0"/>
                <w:numId w:val="28"/>
              </w:numPr>
              <w:jc w:val="both"/>
            </w:pPr>
            <w:r>
              <w:rPr>
                <w:iCs/>
              </w:rPr>
              <w:t>specificēto datu apjoma</w:t>
            </w:r>
            <w:r w:rsidRPr="008119DA">
              <w:rPr>
                <w:iCs/>
              </w:rPr>
              <w:t xml:space="preserve"> paplašin</w:t>
            </w:r>
            <w:r>
              <w:rPr>
                <w:iCs/>
              </w:rPr>
              <w:t>āšana;</w:t>
            </w:r>
          </w:p>
          <w:p w:rsidR="003402CD" w:rsidP="008120EB" w14:paraId="10BA0C2F" w14:textId="77777777">
            <w:pPr>
              <w:numPr>
                <w:ilvl w:val="0"/>
                <w:numId w:val="28"/>
              </w:numPr>
              <w:jc w:val="both"/>
            </w:pPr>
            <w:r w:rsidRPr="008119DA">
              <w:t>turpināt attīstīt integr</w:t>
            </w:r>
            <w:r>
              <w:t xml:space="preserve">āciju ar citām valsts informācijas sistēmām </w:t>
            </w:r>
            <w:r w:rsidRPr="008119DA">
              <w:t xml:space="preserve"> (</w:t>
            </w:r>
            <w:r w:rsidRPr="008120EB" w:rsidR="008120EB">
              <w:t>Vides pārraudzības valsts biroj</w:t>
            </w:r>
            <w:r w:rsidR="008120EB">
              <w:t>ā</w:t>
            </w:r>
            <w:r w:rsidRPr="008120EB" w:rsidR="008120EB">
              <w:t xml:space="preserve"> </w:t>
            </w:r>
            <w:r w:rsidR="008120EB">
              <w:t>(</w:t>
            </w:r>
            <w:r w:rsidR="00CF6D31">
              <w:t xml:space="preserve">turpmāk - </w:t>
            </w:r>
            <w:r w:rsidRPr="008119DA">
              <w:t>VPVB</w:t>
            </w:r>
            <w:r w:rsidR="008120EB">
              <w:t>)</w:t>
            </w:r>
            <w:r w:rsidRPr="008119DA">
              <w:t xml:space="preserve">, </w:t>
            </w:r>
            <w:r w:rsidR="008120EB">
              <w:t>Valsts zemes dienestā (</w:t>
            </w:r>
            <w:r w:rsidR="00CF6D31">
              <w:t xml:space="preserve">turpmāk - </w:t>
            </w:r>
            <w:r w:rsidRPr="008119DA">
              <w:t>VZD</w:t>
            </w:r>
            <w:r w:rsidR="008120EB">
              <w:t>)</w:t>
            </w:r>
            <w:r w:rsidRPr="008119DA">
              <w:t xml:space="preserve">, </w:t>
            </w:r>
            <w:r w:rsidRPr="008120EB" w:rsidR="008120EB">
              <w:t>Būvniecības valsts kontroles biroj</w:t>
            </w:r>
            <w:r w:rsidR="008120EB">
              <w:t>ā</w:t>
            </w:r>
            <w:r w:rsidRPr="008120EB" w:rsidR="008120EB">
              <w:t xml:space="preserve"> </w:t>
            </w:r>
            <w:r w:rsidR="00CF6D31">
              <w:t xml:space="preserve">(turpmāk - </w:t>
            </w:r>
            <w:r w:rsidRPr="008119DA">
              <w:t>BVKB</w:t>
            </w:r>
            <w:r w:rsidR="008120EB">
              <w:t>), oficiālajā laikrakstā</w:t>
            </w:r>
            <w:r w:rsidRPr="008119DA">
              <w:t xml:space="preserve"> „Latvijas Vēstnesis”</w:t>
            </w:r>
            <w:r>
              <w:t>, u.c.</w:t>
            </w:r>
            <w:r w:rsidRPr="008119DA">
              <w:t>);</w:t>
            </w:r>
          </w:p>
          <w:p w:rsidR="003402CD" w:rsidRPr="003402CD" w:rsidP="003402CD" w14:paraId="4C721814" w14:textId="77777777">
            <w:pPr>
              <w:numPr>
                <w:ilvl w:val="0"/>
                <w:numId w:val="28"/>
              </w:numPr>
              <w:jc w:val="both"/>
            </w:pPr>
            <w:r w:rsidRPr="008119DA">
              <w:rPr>
                <w:iCs/>
              </w:rPr>
              <w:t>konkurētspējīgākas funkcionalitātes nodrošināšana grafisko datu apstrādei</w:t>
            </w:r>
            <w:r>
              <w:rPr>
                <w:iCs/>
              </w:rPr>
              <w:t>;</w:t>
            </w:r>
          </w:p>
          <w:p w:rsidR="003402CD" w:rsidRPr="003402CD" w:rsidP="008120EB" w14:paraId="50128929" w14:textId="77777777">
            <w:pPr>
              <w:numPr>
                <w:ilvl w:val="0"/>
                <w:numId w:val="28"/>
              </w:numPr>
              <w:jc w:val="both"/>
            </w:pPr>
            <w:r w:rsidRPr="008119DA">
              <w:t xml:space="preserve">datu nodošana uz </w:t>
            </w:r>
            <w:r w:rsidRPr="008120EB" w:rsidR="008120EB">
              <w:t xml:space="preserve">Apgrūtināto teritoriju informācijas sistēma </w:t>
            </w:r>
            <w:r w:rsidR="008120EB">
              <w:t>(</w:t>
            </w:r>
            <w:r w:rsidR="00CF6D31">
              <w:t xml:space="preserve">turpmāk - </w:t>
            </w:r>
            <w:r w:rsidRPr="008119DA">
              <w:t>ATIS</w:t>
            </w:r>
            <w:r w:rsidR="008120EB">
              <w:t>)</w:t>
            </w:r>
            <w:r>
              <w:t xml:space="preserve"> ārpus </w:t>
            </w:r>
            <w:r w:rsidRPr="008119DA">
              <w:t>teritorijas attīstības plānošanas procesa</w:t>
            </w:r>
            <w:r>
              <w:t>;</w:t>
            </w:r>
          </w:p>
          <w:p w:rsidR="003402CD" w:rsidRPr="003402CD" w:rsidP="003402CD" w14:paraId="7224D830" w14:textId="77777777">
            <w:pPr>
              <w:numPr>
                <w:ilvl w:val="0"/>
                <w:numId w:val="28"/>
              </w:numPr>
              <w:jc w:val="both"/>
            </w:pPr>
            <w:r w:rsidRPr="008119DA">
              <w:rPr>
                <w:kern w:val="12"/>
              </w:rPr>
              <w:t>izveidot jūras telpiskās plānošanas rīku nodrošin</w:t>
            </w:r>
            <w:r>
              <w:rPr>
                <w:kern w:val="12"/>
              </w:rPr>
              <w:t>o</w:t>
            </w:r>
            <w:r w:rsidRPr="008119DA">
              <w:rPr>
                <w:kern w:val="12"/>
              </w:rPr>
              <w:t xml:space="preserve">t sadarbspēju nacionālā un </w:t>
            </w:r>
            <w:r w:rsidR="008120EB">
              <w:rPr>
                <w:kern w:val="12"/>
              </w:rPr>
              <w:t>Eiropas Savienības</w:t>
            </w:r>
            <w:r w:rsidRPr="008119DA" w:rsidR="008120EB">
              <w:rPr>
                <w:kern w:val="12"/>
              </w:rPr>
              <w:t xml:space="preserve"> </w:t>
            </w:r>
            <w:r w:rsidRPr="008119DA">
              <w:rPr>
                <w:kern w:val="12"/>
              </w:rPr>
              <w:t>mērogā</w:t>
            </w:r>
            <w:r>
              <w:rPr>
                <w:kern w:val="12"/>
              </w:rPr>
              <w:t>;</w:t>
            </w:r>
          </w:p>
          <w:p w:rsidR="003402CD" w:rsidP="003402CD" w14:paraId="0A8691AB" w14:textId="77777777">
            <w:pPr>
              <w:numPr>
                <w:ilvl w:val="0"/>
                <w:numId w:val="28"/>
              </w:numPr>
              <w:jc w:val="both"/>
            </w:pPr>
            <w:r w:rsidRPr="008119DA">
              <w:t>ieviešot</w:t>
            </w:r>
            <w:r>
              <w:t xml:space="preserve"> </w:t>
            </w:r>
            <w:r w:rsidRPr="008119DA">
              <w:t>div</w:t>
            </w:r>
            <w:r>
              <w:t>us jaunus</w:t>
            </w:r>
            <w:r w:rsidRPr="008119DA">
              <w:t xml:space="preserve"> un div</w:t>
            </w:r>
            <w:r>
              <w:t>us</w:t>
            </w:r>
            <w:r w:rsidRPr="008119DA">
              <w:t xml:space="preserve"> pilnveidojam</w:t>
            </w:r>
            <w:r>
              <w:t>us</w:t>
            </w:r>
            <w:r w:rsidRPr="008119DA">
              <w:t xml:space="preserve"> elektroniskos pakalpojumus</w:t>
            </w:r>
            <w:r>
              <w:t>;</w:t>
            </w:r>
          </w:p>
          <w:p w:rsidR="003E5C0E" w:rsidRPr="003E5C0E" w:rsidP="003402CD" w14:paraId="678EF3B5" w14:textId="77777777">
            <w:pPr>
              <w:numPr>
                <w:ilvl w:val="0"/>
                <w:numId w:val="28"/>
              </w:numPr>
              <w:jc w:val="both"/>
            </w:pPr>
            <w:r w:rsidRPr="008119DA">
              <w:rPr>
                <w:kern w:val="12"/>
              </w:rPr>
              <w:t>RAIM datu saņemšanas un apstrādes risinājuma standartizācija</w:t>
            </w:r>
            <w:r>
              <w:rPr>
                <w:kern w:val="12"/>
              </w:rPr>
              <w:t>;</w:t>
            </w:r>
          </w:p>
          <w:p w:rsidR="003E5C0E" w:rsidRPr="003E5C0E" w:rsidP="003402CD" w14:paraId="7228557F" w14:textId="77777777">
            <w:pPr>
              <w:numPr>
                <w:ilvl w:val="0"/>
                <w:numId w:val="28"/>
              </w:numPr>
              <w:jc w:val="both"/>
            </w:pPr>
            <w:r w:rsidRPr="003E5C0E">
              <w:rPr>
                <w:rFonts w:eastAsia="Calibri"/>
                <w:kern w:val="12"/>
                <w:lang w:eastAsia="en-US"/>
              </w:rPr>
              <w:t>saskarnes izstrāde datu saņemšanai no Datu publicēšanas platformas</w:t>
            </w:r>
            <w:r>
              <w:rPr>
                <w:rFonts w:eastAsia="Calibri"/>
                <w:kern w:val="12"/>
                <w:lang w:eastAsia="en-US"/>
              </w:rPr>
              <w:t>;</w:t>
            </w:r>
          </w:p>
          <w:p w:rsidR="003E5C0E" w:rsidP="003402CD" w14:paraId="1064D4D0" w14:textId="77777777">
            <w:pPr>
              <w:numPr>
                <w:ilvl w:val="0"/>
                <w:numId w:val="28"/>
              </w:numPr>
              <w:jc w:val="both"/>
            </w:pPr>
            <w:r w:rsidRPr="008119DA">
              <w:t>datu un informācijas uzkrāšana RAIM zemes pārskata sagatavošanai</w:t>
            </w:r>
            <w:r>
              <w:t>;</w:t>
            </w:r>
          </w:p>
          <w:p w:rsidR="003E5C0E" w:rsidP="003402CD" w14:paraId="0744E3CB" w14:textId="77777777">
            <w:pPr>
              <w:numPr>
                <w:ilvl w:val="0"/>
                <w:numId w:val="28"/>
              </w:numPr>
              <w:jc w:val="both"/>
            </w:pPr>
            <w:r w:rsidRPr="008119DA">
              <w:t>RAIM publiskās daļas integrāciju VARAM plānotajā Datu publicēšanas platformā</w:t>
            </w:r>
            <w:r>
              <w:t>.</w:t>
            </w:r>
          </w:p>
          <w:p w:rsidR="00101D63" w:rsidP="00155FAF" w14:paraId="78E38702" w14:textId="77777777">
            <w:pPr>
              <w:pStyle w:val="ISBodyText"/>
              <w:spacing w:before="0" w:after="0"/>
              <w:rPr>
                <w:rFonts w:ascii="Times New Roman" w:hAnsi="Times New Roman"/>
                <w:sz w:val="24"/>
                <w:szCs w:val="24"/>
              </w:rPr>
            </w:pPr>
            <w:r w:rsidRPr="008119DA">
              <w:rPr>
                <w:rFonts w:ascii="Times New Roman" w:hAnsi="Times New Roman"/>
                <w:sz w:val="24"/>
                <w:szCs w:val="24"/>
              </w:rPr>
              <w:t>Attīstot TAPIS paredzami sekojoši ieguvumi</w:t>
            </w:r>
            <w:r>
              <w:rPr>
                <w:rFonts w:ascii="Times New Roman" w:hAnsi="Times New Roman"/>
                <w:sz w:val="24"/>
                <w:szCs w:val="24"/>
              </w:rPr>
              <w:t>:</w:t>
            </w:r>
          </w:p>
          <w:p w:rsidR="00155FAF" w:rsidRPr="00155FAF" w:rsidP="00155FAF" w14:paraId="4BBF54A2" w14:textId="77777777">
            <w:pPr>
              <w:pStyle w:val="ISBodyText"/>
              <w:numPr>
                <w:ilvl w:val="0"/>
                <w:numId w:val="29"/>
              </w:numPr>
              <w:spacing w:before="0" w:after="0"/>
              <w:rPr>
                <w:rFonts w:ascii="Times New Roman" w:hAnsi="Times New Roman"/>
                <w:sz w:val="24"/>
                <w:szCs w:val="24"/>
              </w:rPr>
            </w:pPr>
            <w:r w:rsidRPr="00155FAF">
              <w:rPr>
                <w:rFonts w:ascii="Times New Roman" w:hAnsi="Times New Roman"/>
                <w:bCs w:val="0"/>
                <w:sz w:val="24"/>
                <w:szCs w:val="24"/>
                <w:lang w:eastAsia="lv-LV"/>
              </w:rPr>
              <w:t>Strukturētu detālplānojumu uzturēšana TAPIS ļaus privātpersonām un uzņēmējiem pieprasīt izziņas elektroniski, izmantojot e-pakalpojumus</w:t>
            </w:r>
            <w:r>
              <w:rPr>
                <w:rFonts w:ascii="Times New Roman" w:hAnsi="Times New Roman"/>
                <w:bCs w:val="0"/>
                <w:sz w:val="24"/>
                <w:szCs w:val="24"/>
                <w:lang w:eastAsia="lv-LV"/>
              </w:rPr>
              <w:t>;</w:t>
            </w:r>
          </w:p>
          <w:p w:rsidR="00155FAF" w:rsidP="00155FAF" w14:paraId="061E9CE7" w14:textId="77777777">
            <w:pPr>
              <w:pStyle w:val="ISBodyText"/>
              <w:numPr>
                <w:ilvl w:val="0"/>
                <w:numId w:val="29"/>
              </w:numPr>
              <w:spacing w:before="0" w:after="0"/>
              <w:rPr>
                <w:rFonts w:ascii="Times New Roman" w:hAnsi="Times New Roman"/>
                <w:sz w:val="24"/>
                <w:szCs w:val="24"/>
              </w:rPr>
            </w:pPr>
            <w:r w:rsidRPr="008119DA">
              <w:rPr>
                <w:rFonts w:ascii="Times New Roman" w:hAnsi="Times New Roman"/>
                <w:sz w:val="24"/>
                <w:szCs w:val="24"/>
                <w:lang w:eastAsia="lv-LV"/>
              </w:rPr>
              <w:t>Palielinoties TAPIS uzturētajiem datiem un informācijas apjomam, paaugstināsies elektronisko pakalpojumu izmantošanas intensitāte, vienlaicīgi samazinot nepieciešamību datus iegūt pieprasījuma veidā vai klātienē no pašvaldības vai pārvaldes iestādēm</w:t>
            </w:r>
            <w:r>
              <w:rPr>
                <w:rFonts w:ascii="Times New Roman" w:hAnsi="Times New Roman"/>
                <w:sz w:val="24"/>
                <w:szCs w:val="24"/>
                <w:lang w:eastAsia="lv-LV"/>
              </w:rPr>
              <w:t>;</w:t>
            </w:r>
          </w:p>
          <w:p w:rsidR="00155FAF" w:rsidP="00155FAF" w14:paraId="5F75F96C" w14:textId="77777777">
            <w:pPr>
              <w:pStyle w:val="ISBodyText"/>
              <w:numPr>
                <w:ilvl w:val="0"/>
                <w:numId w:val="29"/>
              </w:numPr>
              <w:spacing w:before="0" w:after="0"/>
              <w:rPr>
                <w:rFonts w:ascii="Times New Roman" w:hAnsi="Times New Roman"/>
                <w:sz w:val="24"/>
                <w:szCs w:val="24"/>
              </w:rPr>
            </w:pPr>
            <w:r w:rsidRPr="008119DA">
              <w:rPr>
                <w:rFonts w:ascii="Times New Roman" w:hAnsi="Times New Roman"/>
                <w:sz w:val="24"/>
                <w:szCs w:val="24"/>
                <w:lang w:eastAsia="lv-LV"/>
              </w:rPr>
              <w:t>Datu apmaiņa starp vairākām valsts informācijas sistēmām, datu uzkrāšana vienuviet (nav nepieciešama atkārtota vienu un to pašu datu ievade vairākās sistēmās</w:t>
            </w:r>
            <w:r w:rsidR="00F348A0">
              <w:rPr>
                <w:rFonts w:ascii="Times New Roman" w:hAnsi="Times New Roman"/>
                <w:sz w:val="24"/>
                <w:szCs w:val="24"/>
                <w:lang w:eastAsia="lv-LV"/>
              </w:rPr>
              <w:t>)</w:t>
            </w:r>
            <w:r>
              <w:rPr>
                <w:rFonts w:ascii="Times New Roman" w:hAnsi="Times New Roman"/>
                <w:sz w:val="24"/>
                <w:szCs w:val="24"/>
                <w:lang w:eastAsia="lv-LV"/>
              </w:rPr>
              <w:t>;</w:t>
            </w:r>
          </w:p>
          <w:p w:rsidR="00155FAF" w:rsidRPr="00155FAF" w:rsidP="00155FAF" w14:paraId="4BEE8438" w14:textId="77777777">
            <w:pPr>
              <w:pStyle w:val="ISBodyText"/>
              <w:numPr>
                <w:ilvl w:val="0"/>
                <w:numId w:val="29"/>
              </w:numPr>
              <w:spacing w:before="0" w:after="0"/>
              <w:rPr>
                <w:rFonts w:ascii="Times New Roman" w:hAnsi="Times New Roman"/>
                <w:sz w:val="24"/>
                <w:szCs w:val="24"/>
              </w:rPr>
            </w:pPr>
            <w:r w:rsidRPr="00155FAF">
              <w:rPr>
                <w:rFonts w:ascii="Times New Roman" w:hAnsi="Times New Roman"/>
                <w:iCs/>
                <w:sz w:val="24"/>
                <w:szCs w:val="24"/>
              </w:rPr>
              <w:t>RAIM papildināšana ar jauniem dažādu nozaru datiem</w:t>
            </w:r>
            <w:r w:rsidRPr="00155FAF" w:rsidR="0009794A">
              <w:rPr>
                <w:rFonts w:ascii="Times New Roman" w:hAnsi="Times New Roman"/>
                <w:iCs/>
                <w:sz w:val="24"/>
                <w:szCs w:val="24"/>
              </w:rPr>
              <w:t xml:space="preserve"> nodrošinās</w:t>
            </w:r>
            <w:r w:rsidRPr="00155FAF">
              <w:rPr>
                <w:rFonts w:ascii="Times New Roman" w:hAnsi="Times New Roman"/>
                <w:iCs/>
                <w:sz w:val="24"/>
                <w:szCs w:val="24"/>
              </w:rPr>
              <w:t xml:space="preserve"> </w:t>
            </w:r>
            <w:r w:rsidR="0009794A">
              <w:rPr>
                <w:rFonts w:ascii="Times New Roman" w:hAnsi="Times New Roman"/>
                <w:iCs/>
                <w:sz w:val="24"/>
                <w:szCs w:val="24"/>
              </w:rPr>
              <w:t xml:space="preserve">valsts pārvaldes institūcijām un </w:t>
            </w:r>
            <w:r w:rsidRPr="00155FAF">
              <w:rPr>
                <w:rFonts w:ascii="Times New Roman" w:hAnsi="Times New Roman"/>
                <w:iCs/>
                <w:sz w:val="24"/>
                <w:szCs w:val="24"/>
              </w:rPr>
              <w:t xml:space="preserve">pašvaldībām strukturētu datu pieejamību, kas </w:t>
            </w:r>
            <w:r w:rsidR="0009794A">
              <w:rPr>
                <w:rFonts w:ascii="Times New Roman" w:hAnsi="Times New Roman"/>
                <w:iCs/>
                <w:sz w:val="24"/>
                <w:szCs w:val="24"/>
              </w:rPr>
              <w:t xml:space="preserve">nepieciešami </w:t>
            </w:r>
            <w:r w:rsidRPr="00155FAF">
              <w:rPr>
                <w:rFonts w:ascii="Times New Roman" w:hAnsi="Times New Roman"/>
                <w:iCs/>
                <w:sz w:val="24"/>
                <w:szCs w:val="24"/>
              </w:rPr>
              <w:t>attīstības plānošanas un novērtēšanas procesā</w:t>
            </w:r>
            <w:r>
              <w:rPr>
                <w:rFonts w:ascii="Times New Roman" w:hAnsi="Times New Roman"/>
                <w:iCs/>
                <w:sz w:val="24"/>
                <w:szCs w:val="24"/>
              </w:rPr>
              <w:t>;</w:t>
            </w:r>
          </w:p>
          <w:p w:rsidR="00AA0628" w:rsidRPr="00AA0628" w:rsidP="00155FAF" w14:paraId="185325F9" w14:textId="77777777">
            <w:pPr>
              <w:pStyle w:val="ISBodyText"/>
              <w:numPr>
                <w:ilvl w:val="0"/>
                <w:numId w:val="29"/>
              </w:numPr>
              <w:spacing w:before="0" w:after="0"/>
              <w:rPr>
                <w:rFonts w:ascii="Times New Roman" w:hAnsi="Times New Roman"/>
                <w:sz w:val="24"/>
                <w:szCs w:val="24"/>
              </w:rPr>
            </w:pPr>
            <w:r w:rsidRPr="008119DA">
              <w:rPr>
                <w:rFonts w:ascii="Times New Roman" w:hAnsi="Times New Roman"/>
                <w:iCs/>
                <w:sz w:val="24"/>
                <w:szCs w:val="24"/>
              </w:rPr>
              <w:t xml:space="preserve">TAPIS </w:t>
            </w:r>
            <w:r>
              <w:rPr>
                <w:rFonts w:ascii="Times New Roman" w:hAnsi="Times New Roman"/>
                <w:iCs/>
                <w:sz w:val="24"/>
                <w:szCs w:val="24"/>
              </w:rPr>
              <w:t xml:space="preserve">nodrošinās </w:t>
            </w:r>
            <w:r w:rsidR="00B66909">
              <w:rPr>
                <w:rFonts w:ascii="Times New Roman" w:hAnsi="Times New Roman"/>
                <w:iCs/>
                <w:sz w:val="24"/>
                <w:szCs w:val="24"/>
              </w:rPr>
              <w:t xml:space="preserve">piekrastes </w:t>
            </w:r>
            <w:r w:rsidRPr="008119DA">
              <w:rPr>
                <w:rFonts w:ascii="Times New Roman" w:hAnsi="Times New Roman"/>
                <w:iCs/>
                <w:sz w:val="24"/>
                <w:szCs w:val="24"/>
              </w:rPr>
              <w:t>pašvaldīb</w:t>
            </w:r>
            <w:r w:rsidR="00B66909">
              <w:rPr>
                <w:rFonts w:ascii="Times New Roman" w:hAnsi="Times New Roman"/>
                <w:iCs/>
                <w:sz w:val="24"/>
                <w:szCs w:val="24"/>
              </w:rPr>
              <w:t>ām</w:t>
            </w:r>
            <w:r w:rsidRPr="008119DA">
              <w:rPr>
                <w:rFonts w:ascii="Times New Roman" w:hAnsi="Times New Roman"/>
                <w:iCs/>
                <w:sz w:val="24"/>
                <w:szCs w:val="24"/>
              </w:rPr>
              <w:t xml:space="preserve"> iespēj</w:t>
            </w:r>
            <w:r>
              <w:rPr>
                <w:rFonts w:ascii="Times New Roman" w:hAnsi="Times New Roman"/>
                <w:iCs/>
                <w:sz w:val="24"/>
                <w:szCs w:val="24"/>
              </w:rPr>
              <w:t>u</w:t>
            </w:r>
            <w:r w:rsidRPr="008119DA">
              <w:rPr>
                <w:rFonts w:ascii="Times New Roman" w:hAnsi="Times New Roman"/>
                <w:iCs/>
                <w:sz w:val="24"/>
                <w:szCs w:val="24"/>
              </w:rPr>
              <w:t xml:space="preserve"> plānot teritoriju ārpus sav</w:t>
            </w:r>
            <w:r>
              <w:rPr>
                <w:rFonts w:ascii="Times New Roman" w:hAnsi="Times New Roman"/>
                <w:iCs/>
                <w:sz w:val="24"/>
                <w:szCs w:val="24"/>
              </w:rPr>
              <w:t xml:space="preserve">as administratīvās teritorijas - </w:t>
            </w:r>
            <w:r w:rsidRPr="008119DA">
              <w:rPr>
                <w:rFonts w:ascii="Times New Roman" w:hAnsi="Times New Roman"/>
                <w:iCs/>
                <w:sz w:val="24"/>
                <w:szCs w:val="24"/>
              </w:rPr>
              <w:t xml:space="preserve">jūras </w:t>
            </w:r>
            <w:r>
              <w:rPr>
                <w:rFonts w:ascii="Times New Roman" w:hAnsi="Times New Roman"/>
                <w:iCs/>
                <w:sz w:val="24"/>
                <w:szCs w:val="24"/>
              </w:rPr>
              <w:t xml:space="preserve">piekrastes ūdeņu </w:t>
            </w:r>
            <w:r w:rsidRPr="008119DA">
              <w:rPr>
                <w:rFonts w:ascii="Times New Roman" w:hAnsi="Times New Roman"/>
                <w:iCs/>
                <w:sz w:val="24"/>
                <w:szCs w:val="24"/>
              </w:rPr>
              <w:t>plānošana</w:t>
            </w:r>
            <w:r w:rsidR="00B66909">
              <w:rPr>
                <w:rFonts w:ascii="Times New Roman" w:hAnsi="Times New Roman"/>
                <w:iCs/>
                <w:sz w:val="24"/>
                <w:szCs w:val="24"/>
              </w:rPr>
              <w:t>i</w:t>
            </w:r>
            <w:r>
              <w:rPr>
                <w:rFonts w:ascii="Times New Roman" w:hAnsi="Times New Roman"/>
                <w:iCs/>
                <w:sz w:val="24"/>
                <w:szCs w:val="24"/>
              </w:rPr>
              <w:t>;</w:t>
            </w:r>
          </w:p>
          <w:p w:rsidR="00024BB4" w:rsidRPr="007C2B33" w:rsidP="006A31A6" w14:paraId="48E47BD3" w14:textId="77777777">
            <w:pPr>
              <w:pStyle w:val="ISBodyText"/>
              <w:numPr>
                <w:ilvl w:val="0"/>
                <w:numId w:val="29"/>
              </w:numPr>
              <w:spacing w:before="0" w:after="0"/>
              <w:rPr>
                <w:rFonts w:ascii="Times New Roman" w:hAnsi="Times New Roman"/>
                <w:sz w:val="24"/>
                <w:szCs w:val="24"/>
              </w:rPr>
            </w:pPr>
            <w:r w:rsidRPr="008120EB">
              <w:rPr>
                <w:rFonts w:ascii="Times New Roman" w:eastAsia="Times New Roman" w:hAnsi="Times New Roman"/>
                <w:bCs w:val="0"/>
                <w:sz w:val="24"/>
                <w:szCs w:val="24"/>
              </w:rPr>
              <w:t>Nodrošināta jūras telpiskās plānošanas datu publiska pieejamība.</w:t>
            </w:r>
          </w:p>
          <w:p w:rsidR="00024BB4" w:rsidRPr="004668F6" w:rsidP="00137314" w14:paraId="006F3A9A" w14:textId="77777777">
            <w:pPr>
              <w:pStyle w:val="ISBodyText"/>
              <w:spacing w:before="0" w:after="0"/>
              <w:rPr>
                <w:rFonts w:cs="Segoe UI"/>
                <w:sz w:val="24"/>
                <w:szCs w:val="24"/>
              </w:rPr>
            </w:pPr>
            <w:r w:rsidRPr="007C2B33">
              <w:rPr>
                <w:rFonts w:ascii="Times New Roman" w:hAnsi="Times New Roman"/>
                <w:sz w:val="24"/>
                <w:szCs w:val="24"/>
              </w:rPr>
              <w:t xml:space="preserve">Projekta </w:t>
            </w:r>
            <w:r w:rsidRPr="007C2B33">
              <w:rPr>
                <w:rFonts w:ascii="Times New Roman" w:hAnsi="Times New Roman" w:hint="cs"/>
                <w:sz w:val="24"/>
                <w:szCs w:val="24"/>
              </w:rPr>
              <w:t>ī</w:t>
            </w:r>
            <w:r w:rsidRPr="007C2B33">
              <w:rPr>
                <w:rFonts w:ascii="Times New Roman" w:hAnsi="Times New Roman"/>
                <w:sz w:val="24"/>
                <w:szCs w:val="24"/>
              </w:rPr>
              <w:t>stenošana laik</w:t>
            </w:r>
            <w:r w:rsidRPr="007C2B33">
              <w:rPr>
                <w:rFonts w:ascii="Times New Roman" w:hAnsi="Times New Roman" w:hint="cs"/>
                <w:sz w:val="24"/>
                <w:szCs w:val="24"/>
              </w:rPr>
              <w:t>ā</w:t>
            </w:r>
            <w:r w:rsidRPr="007C2B33">
              <w:rPr>
                <w:rFonts w:ascii="Times New Roman" w:hAnsi="Times New Roman"/>
                <w:sz w:val="24"/>
                <w:szCs w:val="24"/>
              </w:rPr>
              <w:t xml:space="preserve"> VARAM, k</w:t>
            </w:r>
            <w:r w:rsidRPr="007C2B33">
              <w:rPr>
                <w:rFonts w:ascii="Times New Roman" w:hAnsi="Times New Roman" w:hint="cs"/>
                <w:sz w:val="24"/>
                <w:szCs w:val="24"/>
              </w:rPr>
              <w:t>ā</w:t>
            </w:r>
            <w:r w:rsidRPr="007C2B33">
              <w:rPr>
                <w:rFonts w:ascii="Times New Roman" w:hAnsi="Times New Roman"/>
                <w:sz w:val="24"/>
                <w:szCs w:val="24"/>
              </w:rPr>
              <w:t xml:space="preserve"> TAPIS un RAIM p</w:t>
            </w:r>
            <w:r w:rsidRPr="007C2B33">
              <w:rPr>
                <w:rFonts w:ascii="Times New Roman" w:hAnsi="Times New Roman" w:hint="cs"/>
                <w:sz w:val="24"/>
                <w:szCs w:val="24"/>
              </w:rPr>
              <w:t>ā</w:t>
            </w:r>
            <w:r w:rsidRPr="007C2B33">
              <w:rPr>
                <w:rFonts w:ascii="Times New Roman" w:hAnsi="Times New Roman"/>
                <w:sz w:val="24"/>
                <w:szCs w:val="24"/>
              </w:rPr>
              <w:t>rzinis,  nodrošin</w:t>
            </w:r>
            <w:r w:rsidRPr="007C2B33">
              <w:rPr>
                <w:rFonts w:ascii="Times New Roman" w:hAnsi="Times New Roman" w:hint="cs"/>
                <w:sz w:val="24"/>
                <w:szCs w:val="24"/>
              </w:rPr>
              <w:t>ā</w:t>
            </w:r>
            <w:r w:rsidRPr="007C2B33">
              <w:rPr>
                <w:rFonts w:ascii="Times New Roman" w:hAnsi="Times New Roman"/>
                <w:sz w:val="24"/>
                <w:szCs w:val="24"/>
              </w:rPr>
              <w:t>s  ar Projektu saist</w:t>
            </w:r>
            <w:r w:rsidRPr="007C2B33">
              <w:rPr>
                <w:rFonts w:ascii="Times New Roman" w:hAnsi="Times New Roman" w:hint="cs"/>
                <w:sz w:val="24"/>
                <w:szCs w:val="24"/>
              </w:rPr>
              <w:t>ī</w:t>
            </w:r>
            <w:r w:rsidRPr="007C2B33">
              <w:rPr>
                <w:rFonts w:ascii="Times New Roman" w:hAnsi="Times New Roman"/>
                <w:sz w:val="24"/>
                <w:szCs w:val="24"/>
              </w:rPr>
              <w:t>to normat</w:t>
            </w:r>
            <w:r w:rsidRPr="007C2B33">
              <w:rPr>
                <w:rFonts w:ascii="Times New Roman" w:hAnsi="Times New Roman" w:hint="cs"/>
                <w:sz w:val="24"/>
                <w:szCs w:val="24"/>
              </w:rPr>
              <w:t>ī</w:t>
            </w:r>
            <w:r w:rsidRPr="007C2B33">
              <w:rPr>
                <w:rFonts w:ascii="Times New Roman" w:hAnsi="Times New Roman"/>
                <w:sz w:val="24"/>
                <w:szCs w:val="24"/>
              </w:rPr>
              <w:t>vo aktu groz</w:t>
            </w:r>
            <w:r w:rsidRPr="007C2B33">
              <w:rPr>
                <w:rFonts w:ascii="Times New Roman" w:hAnsi="Times New Roman" w:hint="cs"/>
                <w:sz w:val="24"/>
                <w:szCs w:val="24"/>
              </w:rPr>
              <w:t>ī</w:t>
            </w:r>
            <w:r w:rsidRPr="007C2B33">
              <w:rPr>
                <w:rFonts w:ascii="Times New Roman" w:hAnsi="Times New Roman"/>
                <w:sz w:val="24"/>
                <w:szCs w:val="24"/>
              </w:rPr>
              <w:t>jumu izstr</w:t>
            </w:r>
            <w:r w:rsidRPr="007C2B33">
              <w:rPr>
                <w:rFonts w:ascii="Times New Roman" w:hAnsi="Times New Roman" w:hint="cs"/>
                <w:sz w:val="24"/>
                <w:szCs w:val="24"/>
              </w:rPr>
              <w:t>ā</w:t>
            </w:r>
            <w:r w:rsidRPr="007C2B33">
              <w:rPr>
                <w:rFonts w:ascii="Times New Roman" w:hAnsi="Times New Roman"/>
                <w:sz w:val="24"/>
                <w:szCs w:val="24"/>
              </w:rPr>
              <w:t>di.</w:t>
            </w:r>
          </w:p>
        </w:tc>
      </w:tr>
      <w:tr w14:paraId="40DA1212" w14:textId="77777777" w:rsidTr="00137314">
        <w:tblPrEx>
          <w:tblW w:w="9840" w:type="dxa"/>
          <w:tblCellSpacing w:w="0" w:type="dxa"/>
          <w:tblInd w:w="-408" w:type="dxa"/>
          <w:tblCellMar>
            <w:left w:w="57" w:type="dxa"/>
            <w:right w:w="57" w:type="dxa"/>
          </w:tblCellMar>
          <w:tblLook w:val="04A0"/>
        </w:tblPrEx>
        <w:trPr>
          <w:trHeight w:val="921"/>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4668F6" w:rsidP="00B22BC5" w14:paraId="02680EEE" w14:textId="77777777">
            <w:pPr>
              <w:rPr>
                <w:lang w:eastAsia="en-US"/>
              </w:rPr>
            </w:pPr>
            <w:r w:rsidRPr="004668F6">
              <w:rPr>
                <w:lang w:eastAsia="en-US"/>
              </w:rPr>
              <w:t> 3.</w:t>
            </w:r>
          </w:p>
        </w:tc>
        <w:tc>
          <w:tcPr>
            <w:tcW w:w="1986" w:type="dxa"/>
            <w:tcBorders>
              <w:top w:val="outset" w:sz="6" w:space="0" w:color="auto"/>
              <w:left w:val="outset" w:sz="6" w:space="0" w:color="auto"/>
              <w:bottom w:val="outset" w:sz="6" w:space="0" w:color="auto"/>
              <w:right w:val="outset" w:sz="6" w:space="0" w:color="auto"/>
            </w:tcBorders>
          </w:tcPr>
          <w:p w:rsidR="000115B5" w:rsidRPr="004668F6" w:rsidP="00B22BC5" w14:paraId="6D11603A" w14:textId="77777777">
            <w:pPr>
              <w:rPr>
                <w:lang w:eastAsia="en-US"/>
              </w:rPr>
            </w:pPr>
            <w:r w:rsidRPr="004668F6">
              <w:rPr>
                <w:lang w:eastAsia="en-US"/>
              </w:rPr>
              <w:t>Projekta izstrādē iesaistītās institūcijas</w:t>
            </w:r>
          </w:p>
        </w:tc>
        <w:tc>
          <w:tcPr>
            <w:tcW w:w="7092" w:type="dxa"/>
            <w:tcBorders>
              <w:top w:val="outset" w:sz="6" w:space="0" w:color="auto"/>
              <w:left w:val="outset" w:sz="6" w:space="0" w:color="auto"/>
              <w:bottom w:val="outset" w:sz="6" w:space="0" w:color="auto"/>
              <w:right w:val="outset" w:sz="6" w:space="0" w:color="auto"/>
            </w:tcBorders>
          </w:tcPr>
          <w:p w:rsidR="00C16138" w:rsidRPr="000D6DA6" w:rsidP="008120EB" w14:paraId="4EA591E0" w14:textId="77777777">
            <w:pPr>
              <w:jc w:val="both"/>
            </w:pPr>
            <w:r>
              <w:t>VARAM</w:t>
            </w:r>
            <w:r w:rsidRPr="00AE467F" w:rsidR="00884ED5">
              <w:t>,</w:t>
            </w:r>
            <w:r w:rsidRPr="00AE467F" w:rsidR="00273AE2">
              <w:rPr>
                <w:i/>
                <w:iCs/>
              </w:rPr>
              <w:t xml:space="preserve"> </w:t>
            </w:r>
            <w:r>
              <w:t>VRAA</w:t>
            </w:r>
            <w:r w:rsidRPr="00AE467F" w:rsidR="004E4C99">
              <w:t>,</w:t>
            </w:r>
            <w:r w:rsidRPr="00AE467F" w:rsidR="00273AE2">
              <w:rPr>
                <w:i/>
              </w:rPr>
              <w:t xml:space="preserve"> </w:t>
            </w:r>
            <w:r>
              <w:t>VZD</w:t>
            </w:r>
            <w:r w:rsidRPr="00AE467F" w:rsidR="00884ED5">
              <w:t xml:space="preserve">, </w:t>
            </w:r>
            <w:r w:rsidRPr="00AE467F" w:rsidR="00E652B8">
              <w:t>E</w:t>
            </w:r>
            <w:r w:rsidRPr="000D6DA6" w:rsidR="00E652B8">
              <w:t xml:space="preserve">konomikas ministrija, </w:t>
            </w:r>
            <w:r>
              <w:t>BVKB</w:t>
            </w:r>
            <w:r w:rsidRPr="00115304" w:rsidR="00884ED5">
              <w:t>,</w:t>
            </w:r>
            <w:r w:rsidRPr="00137314" w:rsidR="00884ED5">
              <w:rPr>
                <w:i/>
              </w:rPr>
              <w:t xml:space="preserve"> </w:t>
            </w:r>
            <w:r w:rsidRPr="007C2B33">
              <w:rPr>
                <w:rStyle w:val="Strong"/>
                <w:b w:val="0"/>
              </w:rPr>
              <w:t>VPVB.</w:t>
            </w:r>
          </w:p>
        </w:tc>
      </w:tr>
      <w:tr w14:paraId="7CFB3857" w14:textId="77777777" w:rsidTr="00137314">
        <w:tblPrEx>
          <w:tblW w:w="9840" w:type="dxa"/>
          <w:tblCellSpacing w:w="0" w:type="dxa"/>
          <w:tblInd w:w="-408" w:type="dxa"/>
          <w:tblCellMar>
            <w:left w:w="57" w:type="dxa"/>
            <w:right w:w="57" w:type="dxa"/>
          </w:tblCellMar>
          <w:tblLook w:val="04A0"/>
        </w:tblPrEx>
        <w:trPr>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4668F6" w:rsidP="00B22BC5" w14:paraId="08F41243" w14:textId="77777777">
            <w:pPr>
              <w:rPr>
                <w:lang w:eastAsia="en-US"/>
              </w:rPr>
            </w:pPr>
            <w:r w:rsidRPr="004668F6">
              <w:rPr>
                <w:lang w:eastAsia="en-US"/>
              </w:rPr>
              <w:t> 4.</w:t>
            </w:r>
          </w:p>
        </w:tc>
        <w:tc>
          <w:tcPr>
            <w:tcW w:w="1986" w:type="dxa"/>
            <w:tcBorders>
              <w:top w:val="outset" w:sz="6" w:space="0" w:color="auto"/>
              <w:left w:val="outset" w:sz="6" w:space="0" w:color="auto"/>
              <w:bottom w:val="outset" w:sz="6" w:space="0" w:color="auto"/>
              <w:right w:val="outset" w:sz="6" w:space="0" w:color="auto"/>
            </w:tcBorders>
          </w:tcPr>
          <w:p w:rsidR="000115B5" w:rsidRPr="004668F6" w:rsidP="00B22BC5" w14:paraId="166D4007" w14:textId="77777777">
            <w:pPr>
              <w:rPr>
                <w:lang w:eastAsia="en-US"/>
              </w:rPr>
            </w:pPr>
            <w:r w:rsidRPr="004668F6">
              <w:rPr>
                <w:lang w:eastAsia="en-US"/>
              </w:rPr>
              <w:t> Cita informācija</w:t>
            </w:r>
          </w:p>
        </w:tc>
        <w:tc>
          <w:tcPr>
            <w:tcW w:w="7092" w:type="dxa"/>
            <w:tcBorders>
              <w:top w:val="outset" w:sz="6" w:space="0" w:color="auto"/>
              <w:left w:val="outset" w:sz="6" w:space="0" w:color="auto"/>
              <w:bottom w:val="outset" w:sz="6" w:space="0" w:color="auto"/>
              <w:right w:val="outset" w:sz="6" w:space="0" w:color="auto"/>
            </w:tcBorders>
          </w:tcPr>
          <w:p w:rsidR="005202FE" w:rsidRPr="004668F6" w:rsidP="00F376DE" w14:paraId="783DFC0B" w14:textId="77777777">
            <w:pPr>
              <w:jc w:val="both"/>
              <w:rPr>
                <w:lang w:eastAsia="en-US"/>
              </w:rPr>
            </w:pPr>
            <w:r w:rsidRPr="004668F6">
              <w:rPr>
                <w:lang w:eastAsia="en-US"/>
              </w:rPr>
              <w:t>Nav.</w:t>
            </w:r>
          </w:p>
        </w:tc>
      </w:tr>
    </w:tbl>
    <w:p w:rsidR="000115B5" w:rsidRPr="004668F6" w:rsidP="00D67767" w14:paraId="4CAD55AB" w14:textId="77777777">
      <w:pPr>
        <w:jc w:val="both"/>
        <w:rPr>
          <w:lang w:eastAsia="en-US"/>
        </w:rPr>
      </w:pPr>
      <w:r w:rsidRPr="004668F6">
        <w:rPr>
          <w:lang w:eastAsia="en-US"/>
        </w:rPr>
        <w:t> </w:t>
      </w:r>
    </w:p>
    <w:tbl>
      <w:tblPr>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3"/>
        <w:gridCol w:w="1985"/>
        <w:gridCol w:w="7092"/>
      </w:tblGrid>
      <w:tr w14:paraId="471108FC" w14:textId="77777777" w:rsidTr="00137314">
        <w:tblPrEx>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585"/>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2626CB" w:rsidRPr="004668F6" w:rsidP="00D743BC" w14:paraId="30BC68E6" w14:textId="77777777">
            <w:pPr>
              <w:jc w:val="center"/>
              <w:rPr>
                <w:b/>
                <w:bCs/>
              </w:rPr>
            </w:pPr>
            <w:r w:rsidRPr="004668F6">
              <w:rPr>
                <w:b/>
                <w:bCs/>
              </w:rPr>
              <w:t> II. Tiesību akta projekta ietekme uz sabiedrību, tautsaimniecības attīstību un administratīvo slogu</w:t>
            </w:r>
          </w:p>
        </w:tc>
      </w:tr>
      <w:tr w14:paraId="320F2F16" w14:textId="77777777" w:rsidTr="00137314">
        <w:tblPrEx>
          <w:tblW w:w="9840" w:type="dxa"/>
          <w:tblCellSpacing w:w="0" w:type="dxa"/>
          <w:tblInd w:w="-465" w:type="dxa"/>
          <w:tblCellMar>
            <w:left w:w="57" w:type="dxa"/>
            <w:right w:w="57" w:type="dxa"/>
          </w:tblCellMar>
          <w:tblLook w:val="04A0"/>
        </w:tblPrEx>
        <w:trPr>
          <w:trHeight w:val="905"/>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675791" w:rsidP="00D743BC" w14:paraId="739285AF" w14:textId="77777777">
            <w:pPr>
              <w:rPr>
                <w:lang w:eastAsia="en-US"/>
              </w:rPr>
            </w:pPr>
            <w:r w:rsidRPr="00675791">
              <w:rPr>
                <w:lang w:eastAsia="en-US"/>
              </w:rPr>
              <w:t>1.</w:t>
            </w:r>
          </w:p>
        </w:tc>
        <w:tc>
          <w:tcPr>
            <w:tcW w:w="1985" w:type="dxa"/>
            <w:tcBorders>
              <w:top w:val="outset" w:sz="6" w:space="0" w:color="auto"/>
              <w:left w:val="outset" w:sz="6" w:space="0" w:color="auto"/>
              <w:bottom w:val="outset" w:sz="6" w:space="0" w:color="auto"/>
              <w:right w:val="outset" w:sz="6" w:space="0" w:color="auto"/>
            </w:tcBorders>
          </w:tcPr>
          <w:p w:rsidR="002626CB" w:rsidRPr="00675791" w:rsidP="00D743BC" w14:paraId="571F781E" w14:textId="77777777">
            <w:pPr>
              <w:rPr>
                <w:lang w:eastAsia="en-US"/>
              </w:rPr>
            </w:pPr>
            <w:r w:rsidRPr="00675791">
              <w:rPr>
                <w:lang w:eastAsia="en-US"/>
              </w:rPr>
              <w:t>Sabiedrības mērķgrupas, kuras tiesiskais regulējums ietekmē vai varētu ietekmēt</w:t>
            </w:r>
          </w:p>
        </w:tc>
        <w:tc>
          <w:tcPr>
            <w:tcW w:w="7092" w:type="dxa"/>
            <w:tcBorders>
              <w:top w:val="outset" w:sz="6" w:space="0" w:color="auto"/>
              <w:left w:val="outset" w:sz="6" w:space="0" w:color="auto"/>
              <w:bottom w:val="outset" w:sz="6" w:space="0" w:color="auto"/>
              <w:right w:val="outset" w:sz="6" w:space="0" w:color="auto"/>
            </w:tcBorders>
          </w:tcPr>
          <w:p w:rsidR="00F90926" w:rsidRPr="00B041D8" w:rsidP="001821CB" w14:paraId="6D500650" w14:textId="09DF8E8E">
            <w:pPr>
              <w:pStyle w:val="BodyText"/>
              <w:ind w:firstLine="0"/>
            </w:pPr>
            <w:r w:rsidRPr="00193CAA">
              <w:rPr>
                <w:sz w:val="24"/>
                <w:szCs w:val="24"/>
              </w:rPr>
              <w:t>Projekta rezultātā tiks ieviests ērti lietojams, efektīvs, uz modernām tehnoloģijām balstīts TAPIS un RAIM pilnveidotais risinājums, kā arī pilnveidoti</w:t>
            </w:r>
            <w:r w:rsidR="007430A7">
              <w:rPr>
                <w:sz w:val="24"/>
                <w:szCs w:val="24"/>
                <w:lang w:val="lv-LV"/>
              </w:rPr>
              <w:t xml:space="preserve"> divi esošie</w:t>
            </w:r>
            <w:r w:rsidRPr="00193CAA">
              <w:rPr>
                <w:sz w:val="24"/>
                <w:szCs w:val="24"/>
              </w:rPr>
              <w:t xml:space="preserve"> un </w:t>
            </w:r>
            <w:r w:rsidR="001821CB">
              <w:rPr>
                <w:sz w:val="24"/>
                <w:szCs w:val="24"/>
                <w:lang w:val="lv-LV"/>
              </w:rPr>
              <w:t>divi</w:t>
            </w:r>
            <w:r w:rsidRPr="00193CAA" w:rsidR="001821CB">
              <w:rPr>
                <w:sz w:val="24"/>
                <w:szCs w:val="24"/>
              </w:rPr>
              <w:t xml:space="preserve"> </w:t>
            </w:r>
            <w:r w:rsidRPr="00193CAA">
              <w:rPr>
                <w:sz w:val="24"/>
                <w:szCs w:val="24"/>
              </w:rPr>
              <w:t>jaun</w:t>
            </w:r>
            <w:r w:rsidR="001821CB">
              <w:rPr>
                <w:sz w:val="24"/>
                <w:szCs w:val="24"/>
                <w:lang w:val="lv-LV"/>
              </w:rPr>
              <w:t>iz</w:t>
            </w:r>
            <w:r w:rsidRPr="00193CAA">
              <w:rPr>
                <w:sz w:val="24"/>
                <w:szCs w:val="24"/>
              </w:rPr>
              <w:t>veidoti elektroniskie pakalpojumi teritorijas attīstības plānošanas jomā. TAPIS un RAIM lietotāji ir pašvaldības</w:t>
            </w:r>
            <w:r w:rsidRPr="00193CAA" w:rsidR="0084450E">
              <w:rPr>
                <w:sz w:val="24"/>
                <w:szCs w:val="24"/>
              </w:rPr>
              <w:t xml:space="preserve"> un</w:t>
            </w:r>
            <w:r w:rsidRPr="00193CAA">
              <w:rPr>
                <w:sz w:val="24"/>
                <w:szCs w:val="24"/>
              </w:rPr>
              <w:t xml:space="preserve"> teritorijas plānošanā iesaistītās valsts institūcijas, kā arī visa sabiedrība, kura </w:t>
            </w:r>
            <w:r w:rsidRPr="00193CAA" w:rsidR="0084450E">
              <w:rPr>
                <w:sz w:val="24"/>
                <w:szCs w:val="24"/>
              </w:rPr>
              <w:t xml:space="preserve">informācijas saņemšanai </w:t>
            </w:r>
            <w:r w:rsidRPr="00193CAA">
              <w:rPr>
                <w:sz w:val="24"/>
                <w:szCs w:val="24"/>
              </w:rPr>
              <w:t xml:space="preserve">lieto publiski pieejamos portālus </w:t>
            </w:r>
            <w:r>
              <w:fldChar w:fldCharType="begin"/>
            </w:r>
            <w:r>
              <w:instrText xml:space="preserve"> HYPERLINK "http://www.latvija.lv" </w:instrText>
            </w:r>
            <w:r>
              <w:fldChar w:fldCharType="separate"/>
            </w:r>
            <w:r w:rsidRPr="007D01EC" w:rsidR="005227BD">
              <w:rPr>
                <w:rStyle w:val="Hyperlink"/>
                <w:sz w:val="24"/>
                <w:szCs w:val="24"/>
              </w:rPr>
              <w:t>www.latvija.lv</w:t>
            </w:r>
            <w:r>
              <w:fldChar w:fldCharType="end"/>
            </w:r>
            <w:r w:rsidRPr="00193CAA">
              <w:rPr>
                <w:sz w:val="24"/>
                <w:szCs w:val="24"/>
              </w:rPr>
              <w:t xml:space="preserve">, </w:t>
            </w:r>
            <w:r>
              <w:fldChar w:fldCharType="begin"/>
            </w:r>
            <w:r>
              <w:instrText xml:space="preserve"> HYPERLINK "http://www.geolatvija.lv" </w:instrText>
            </w:r>
            <w:r>
              <w:fldChar w:fldCharType="separate"/>
            </w:r>
            <w:r w:rsidRPr="007D01EC" w:rsidR="005227BD">
              <w:rPr>
                <w:rStyle w:val="Hyperlink"/>
                <w:sz w:val="24"/>
                <w:szCs w:val="24"/>
              </w:rPr>
              <w:t>www.geolatvija.lv</w:t>
            </w:r>
            <w:r>
              <w:fldChar w:fldCharType="end"/>
            </w:r>
            <w:r w:rsidRPr="00193CAA">
              <w:rPr>
                <w:sz w:val="24"/>
                <w:szCs w:val="24"/>
              </w:rPr>
              <w:t xml:space="preserve"> un </w:t>
            </w:r>
            <w:r>
              <w:fldChar w:fldCharType="begin"/>
            </w:r>
            <w:r>
              <w:instrText xml:space="preserve"> HYPERLINK "http://www.raim.gov.lv" </w:instrText>
            </w:r>
            <w:r>
              <w:fldChar w:fldCharType="separate"/>
            </w:r>
            <w:r w:rsidRPr="00193CAA">
              <w:rPr>
                <w:rStyle w:val="Hyperlink"/>
                <w:sz w:val="24"/>
                <w:szCs w:val="24"/>
                <w:lang w:eastAsia="en-US"/>
              </w:rPr>
              <w:t>www.raim.gov.lv</w:t>
            </w:r>
            <w:r>
              <w:fldChar w:fldCharType="end"/>
            </w:r>
            <w:r w:rsidRPr="00193CAA">
              <w:rPr>
                <w:sz w:val="24"/>
                <w:szCs w:val="24"/>
              </w:rPr>
              <w:t>.</w:t>
            </w:r>
          </w:p>
        </w:tc>
      </w:tr>
      <w:tr w14:paraId="5C428570" w14:textId="77777777" w:rsidTr="00137314">
        <w:tblPrEx>
          <w:tblW w:w="9840" w:type="dxa"/>
          <w:tblCellSpacing w:w="0" w:type="dxa"/>
          <w:tblInd w:w="-465" w:type="dxa"/>
          <w:tblCellMar>
            <w:left w:w="57" w:type="dxa"/>
            <w:right w:w="57" w:type="dxa"/>
          </w:tblCellMar>
          <w:tblLook w:val="04A0"/>
        </w:tblPrEx>
        <w:trPr>
          <w:trHeight w:val="628"/>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675791" w:rsidP="00D743BC" w14:paraId="0B8E3AEF" w14:textId="77777777">
            <w:pPr>
              <w:rPr>
                <w:lang w:eastAsia="en-US"/>
              </w:rPr>
            </w:pPr>
            <w:r w:rsidRPr="00675791">
              <w:rPr>
                <w:lang w:eastAsia="en-US"/>
              </w:rPr>
              <w:t>2.</w:t>
            </w:r>
          </w:p>
        </w:tc>
        <w:tc>
          <w:tcPr>
            <w:tcW w:w="1985" w:type="dxa"/>
            <w:tcBorders>
              <w:top w:val="outset" w:sz="6" w:space="0" w:color="auto"/>
              <w:left w:val="outset" w:sz="6" w:space="0" w:color="auto"/>
              <w:bottom w:val="outset" w:sz="6" w:space="0" w:color="auto"/>
              <w:right w:val="outset" w:sz="6" w:space="0" w:color="auto"/>
            </w:tcBorders>
          </w:tcPr>
          <w:p w:rsidR="002626CB" w:rsidRPr="00675791" w:rsidP="00D743BC" w14:paraId="6A77916D" w14:textId="77777777">
            <w:pPr>
              <w:rPr>
                <w:lang w:eastAsia="en-US"/>
              </w:rPr>
            </w:pPr>
            <w:r w:rsidRPr="00675791">
              <w:rPr>
                <w:lang w:eastAsia="en-US"/>
              </w:rPr>
              <w:t>Tiesiskā regulējuma ietekme uz tautsaimniecību un administratīvo slogu</w:t>
            </w:r>
          </w:p>
        </w:tc>
        <w:tc>
          <w:tcPr>
            <w:tcW w:w="7092" w:type="dxa"/>
            <w:tcBorders>
              <w:top w:val="outset" w:sz="6" w:space="0" w:color="auto"/>
              <w:left w:val="outset" w:sz="6" w:space="0" w:color="auto"/>
              <w:bottom w:val="outset" w:sz="6" w:space="0" w:color="auto"/>
              <w:right w:val="outset" w:sz="6" w:space="0" w:color="auto"/>
            </w:tcBorders>
            <w:shd w:val="clear" w:color="auto" w:fill="auto"/>
          </w:tcPr>
          <w:p w:rsidR="00796CB5" w:rsidRPr="00675791" w:rsidP="002018AC" w14:paraId="0813020E" w14:textId="77777777">
            <w:pPr>
              <w:jc w:val="both"/>
            </w:pPr>
            <w:r w:rsidRPr="00675791">
              <w:rPr>
                <w:rFonts w:eastAsia="MS Mincho"/>
                <w:bCs/>
              </w:rPr>
              <w:t xml:space="preserve">Projekta īstenošanas rezultātā tiks panākts administratīvā sloga samazinājums gan iedzīvotājiem (iespēja saņemt </w:t>
            </w:r>
            <w:r w:rsidR="00CD4717">
              <w:rPr>
                <w:rFonts w:eastAsia="MS Mincho"/>
                <w:bCs/>
              </w:rPr>
              <w:t xml:space="preserve">centralizētus </w:t>
            </w:r>
            <w:r w:rsidRPr="00675791">
              <w:rPr>
                <w:rFonts w:eastAsia="MS Mincho"/>
                <w:bCs/>
              </w:rPr>
              <w:t>elektronisko</w:t>
            </w:r>
            <w:r w:rsidR="00CD4717">
              <w:rPr>
                <w:rFonts w:eastAsia="MS Mincho"/>
                <w:bCs/>
              </w:rPr>
              <w:t>s</w:t>
            </w:r>
            <w:r w:rsidRPr="00675791">
              <w:rPr>
                <w:rFonts w:eastAsia="MS Mincho"/>
                <w:bCs/>
              </w:rPr>
              <w:t xml:space="preserve"> pakalpojumu</w:t>
            </w:r>
            <w:r w:rsidR="00CD4717">
              <w:rPr>
                <w:rFonts w:eastAsia="MS Mincho"/>
                <w:bCs/>
              </w:rPr>
              <w:t xml:space="preserve">s portālos </w:t>
            </w:r>
            <w:r>
              <w:fldChar w:fldCharType="begin"/>
            </w:r>
            <w:r>
              <w:instrText xml:space="preserve"> HYPERLINK "http://www.latvija.lv" </w:instrText>
            </w:r>
            <w:r>
              <w:fldChar w:fldCharType="separate"/>
            </w:r>
            <w:r w:rsidRPr="00734C7E" w:rsidR="00CD4717">
              <w:rPr>
                <w:rStyle w:val="Hyperlink"/>
                <w:rFonts w:eastAsia="MS Mincho"/>
                <w:bCs/>
              </w:rPr>
              <w:t>www.latvija.lv</w:t>
            </w:r>
            <w:r>
              <w:fldChar w:fldCharType="end"/>
            </w:r>
            <w:r w:rsidR="00CD4717">
              <w:rPr>
                <w:rFonts w:eastAsia="MS Mincho"/>
                <w:bCs/>
              </w:rPr>
              <w:t xml:space="preserve"> un </w:t>
            </w:r>
            <w:r>
              <w:fldChar w:fldCharType="begin"/>
            </w:r>
            <w:r>
              <w:instrText xml:space="preserve"> HYPERLINK "http://www.geolatvija.lv" </w:instrText>
            </w:r>
            <w:r>
              <w:fldChar w:fldCharType="separate"/>
            </w:r>
            <w:r w:rsidRPr="00734C7E" w:rsidR="00CD4717">
              <w:rPr>
                <w:rStyle w:val="Hyperlink"/>
                <w:rFonts w:eastAsia="MS Mincho"/>
                <w:bCs/>
              </w:rPr>
              <w:t>www.geolatvija.lv</w:t>
            </w:r>
            <w:r>
              <w:fldChar w:fldCharType="end"/>
            </w:r>
            <w:r w:rsidR="00CD4717">
              <w:rPr>
                <w:rFonts w:eastAsia="MS Mincho"/>
                <w:bCs/>
              </w:rPr>
              <w:t xml:space="preserve"> </w:t>
            </w:r>
            <w:r w:rsidRPr="00675791">
              <w:rPr>
                <w:rFonts w:eastAsia="MS Mincho"/>
                <w:bCs/>
              </w:rPr>
              <w:t>), gan valsts pārvaldei un pašvaldībām centralizēti saņemot un apstrādājot strukturētus datus. Papildus sagaidāms valsts iestāžu uzturēšanas izmaksu samazinājums, kuru veido valsts informācijas sistēmu integrācijas risinājumi un iespēja teritorijas attīstības plānošanas procesā ātri un ērti piekļūt dažādu sistēmu datiem</w:t>
            </w:r>
            <w:r w:rsidR="00457794">
              <w:rPr>
                <w:rFonts w:eastAsia="MS Mincho"/>
                <w:bCs/>
              </w:rPr>
              <w:t xml:space="preserve">. </w:t>
            </w:r>
            <w:r w:rsidRPr="006E68F7" w:rsidR="00457794">
              <w:rPr>
                <w:rFonts w:eastAsia="MS Mincho"/>
                <w:bCs/>
              </w:rPr>
              <w:t xml:space="preserve">TAPIS pamatfunkcionalitāte ir izstrādāta, lai pašvaldībām un valsts pārvaldes iestādēm datu lejupielādei un augšupielādei nebūtu nepieciešami papildus finanšu resursi datu apmaiņas tehnoloģisko risinājumu izstrādei. </w:t>
            </w:r>
            <w:r w:rsidRPr="006E68F7" w:rsidR="00634D84">
              <w:rPr>
                <w:rFonts w:eastAsia="MS Mincho"/>
                <w:bCs/>
              </w:rPr>
              <w:t>S</w:t>
            </w:r>
            <w:r w:rsidRPr="006E68F7" w:rsidR="00457794">
              <w:rPr>
                <w:rFonts w:eastAsia="MS Mincho"/>
                <w:bCs/>
              </w:rPr>
              <w:t xml:space="preserve">istēmas </w:t>
            </w:r>
            <w:r w:rsidRPr="006E68F7" w:rsidR="00634D84">
              <w:rPr>
                <w:rFonts w:eastAsia="MS Mincho"/>
                <w:bCs/>
              </w:rPr>
              <w:t>darbības nodrošināšanai TAPIS izmanto IKT koplietošanas platformas.</w:t>
            </w:r>
            <w:r w:rsidR="00634D84">
              <w:rPr>
                <w:rFonts w:eastAsia="MS Mincho"/>
                <w:bCs/>
                <w:u w:val="single"/>
              </w:rPr>
              <w:t xml:space="preserve"> </w:t>
            </w:r>
          </w:p>
        </w:tc>
      </w:tr>
      <w:tr w14:paraId="6D613B77" w14:textId="77777777" w:rsidTr="00137314">
        <w:tblPrEx>
          <w:tblW w:w="9840" w:type="dxa"/>
          <w:tblCellSpacing w:w="0" w:type="dxa"/>
          <w:tblInd w:w="-465" w:type="dxa"/>
          <w:tblCellMar>
            <w:left w:w="57" w:type="dxa"/>
            <w:right w:w="57" w:type="dxa"/>
          </w:tblCellMar>
          <w:tblLook w:val="04A0"/>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4668F6" w:rsidP="00D743BC" w14:paraId="7F05F5EC" w14:textId="77777777">
            <w:pPr>
              <w:rPr>
                <w:lang w:eastAsia="en-US"/>
              </w:rPr>
            </w:pPr>
            <w:r w:rsidRPr="004668F6">
              <w:rPr>
                <w:lang w:eastAsia="en-US"/>
              </w:rPr>
              <w:t>3.</w:t>
            </w:r>
          </w:p>
        </w:tc>
        <w:tc>
          <w:tcPr>
            <w:tcW w:w="1985" w:type="dxa"/>
            <w:tcBorders>
              <w:top w:val="outset" w:sz="6" w:space="0" w:color="auto"/>
              <w:left w:val="outset" w:sz="6" w:space="0" w:color="auto"/>
              <w:bottom w:val="outset" w:sz="6" w:space="0" w:color="auto"/>
              <w:right w:val="outset" w:sz="6" w:space="0" w:color="auto"/>
            </w:tcBorders>
          </w:tcPr>
          <w:p w:rsidR="002626CB" w:rsidRPr="004668F6" w:rsidP="00D743BC" w14:paraId="22B84F94" w14:textId="77777777">
            <w:pPr>
              <w:rPr>
                <w:lang w:eastAsia="en-US"/>
              </w:rPr>
            </w:pPr>
            <w:r w:rsidRPr="004668F6">
              <w:rPr>
                <w:lang w:eastAsia="en-US"/>
              </w:rPr>
              <w:t>Administratīvo izmaksu monetārais novērtējums</w:t>
            </w:r>
          </w:p>
        </w:tc>
        <w:tc>
          <w:tcPr>
            <w:tcW w:w="7092" w:type="dxa"/>
            <w:tcBorders>
              <w:top w:val="outset" w:sz="6" w:space="0" w:color="auto"/>
              <w:left w:val="outset" w:sz="6" w:space="0" w:color="auto"/>
              <w:bottom w:val="outset" w:sz="6" w:space="0" w:color="auto"/>
              <w:right w:val="outset" w:sz="6" w:space="0" w:color="auto"/>
            </w:tcBorders>
          </w:tcPr>
          <w:p w:rsidR="00EB2229" w:rsidRPr="004668F6" w:rsidP="00EB2229" w14:paraId="13D1A986" w14:textId="082CBA53">
            <w:pPr>
              <w:jc w:val="both"/>
              <w:rPr>
                <w:lang w:eastAsia="en-US"/>
              </w:rPr>
            </w:pPr>
            <w:r>
              <w:t>Projekts šo jomu neskar</w:t>
            </w:r>
          </w:p>
        </w:tc>
      </w:tr>
      <w:tr w14:paraId="5F1C5DB9" w14:textId="77777777" w:rsidTr="00137314">
        <w:tblPrEx>
          <w:tblW w:w="9840" w:type="dxa"/>
          <w:tblCellSpacing w:w="0" w:type="dxa"/>
          <w:tblInd w:w="-465" w:type="dxa"/>
          <w:tblCellMar>
            <w:left w:w="57" w:type="dxa"/>
            <w:right w:w="57" w:type="dxa"/>
          </w:tblCellMar>
          <w:tblLook w:val="04A0"/>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4668F6" w:rsidP="00D743BC" w14:paraId="46333080" w14:textId="77777777">
            <w:pPr>
              <w:rPr>
                <w:lang w:eastAsia="en-US"/>
              </w:rPr>
            </w:pPr>
            <w:r w:rsidRPr="004668F6">
              <w:rPr>
                <w:lang w:eastAsia="en-US"/>
              </w:rPr>
              <w:t>4.</w:t>
            </w:r>
          </w:p>
        </w:tc>
        <w:tc>
          <w:tcPr>
            <w:tcW w:w="1985" w:type="dxa"/>
            <w:tcBorders>
              <w:top w:val="outset" w:sz="6" w:space="0" w:color="auto"/>
              <w:left w:val="outset" w:sz="6" w:space="0" w:color="auto"/>
              <w:bottom w:val="outset" w:sz="6" w:space="0" w:color="auto"/>
              <w:right w:val="outset" w:sz="6" w:space="0" w:color="auto"/>
            </w:tcBorders>
          </w:tcPr>
          <w:p w:rsidR="002626CB" w:rsidRPr="004668F6" w:rsidP="00D743BC" w14:paraId="34D88A79" w14:textId="77777777">
            <w:pPr>
              <w:rPr>
                <w:lang w:eastAsia="en-US"/>
              </w:rPr>
            </w:pPr>
            <w:r w:rsidRPr="004668F6">
              <w:rPr>
                <w:lang w:eastAsia="en-US"/>
              </w:rPr>
              <w:t>Cita informācija</w:t>
            </w:r>
          </w:p>
        </w:tc>
        <w:tc>
          <w:tcPr>
            <w:tcW w:w="7092" w:type="dxa"/>
            <w:tcBorders>
              <w:top w:val="outset" w:sz="6" w:space="0" w:color="auto"/>
              <w:left w:val="outset" w:sz="6" w:space="0" w:color="auto"/>
              <w:bottom w:val="outset" w:sz="6" w:space="0" w:color="auto"/>
              <w:right w:val="outset" w:sz="6" w:space="0" w:color="auto"/>
            </w:tcBorders>
          </w:tcPr>
          <w:p w:rsidR="002626CB" w:rsidRPr="004668F6" w:rsidP="00D743BC" w14:paraId="724513FA" w14:textId="678954E5">
            <w:pPr>
              <w:jc w:val="both"/>
              <w:rPr>
                <w:lang w:eastAsia="en-US"/>
              </w:rPr>
            </w:pPr>
            <w:r>
              <w:rPr>
                <w:lang w:eastAsia="en-US"/>
              </w:rPr>
              <w:t>Nav</w:t>
            </w:r>
          </w:p>
        </w:tc>
      </w:tr>
    </w:tbl>
    <w:p w:rsidR="002626CB" w:rsidRPr="004668F6" w:rsidP="00D67767" w14:paraId="5E445E71" w14:textId="77777777">
      <w:pPr>
        <w:jc w:val="both"/>
        <w:rPr>
          <w:lang w:eastAsia="en-US"/>
        </w:rPr>
      </w:pPr>
    </w:p>
    <w:tbl>
      <w:tblPr>
        <w:tblW w:w="5502"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9"/>
        <w:gridCol w:w="1554"/>
        <w:gridCol w:w="1558"/>
        <w:gridCol w:w="1842"/>
        <w:gridCol w:w="1987"/>
        <w:gridCol w:w="1415"/>
      </w:tblGrid>
      <w:tr w14:paraId="0336EACD" w14:textId="77777777" w:rsidTr="00776898">
        <w:tblPrEx>
          <w:tblW w:w="5502"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4668F6" w:rsidP="000F5C7E" w14:paraId="7FE805E4" w14:textId="77777777">
            <w:pPr>
              <w:pStyle w:val="ListParagraph"/>
              <w:tabs>
                <w:tab w:val="left" w:pos="2268"/>
                <w:tab w:val="left" w:pos="2410"/>
              </w:tabs>
              <w:ind w:left="1080"/>
              <w:jc w:val="center"/>
              <w:rPr>
                <w:b/>
                <w:bCs/>
              </w:rPr>
            </w:pPr>
            <w:r w:rsidRPr="004668F6">
              <w:rPr>
                <w:b/>
                <w:bCs/>
              </w:rPr>
              <w:t>III. Tiesību akta projekta ietekme uz valsts budžetu un pašvaldību budžetiem</w:t>
            </w:r>
          </w:p>
        </w:tc>
      </w:tr>
      <w:tr w14:paraId="36DF72BB" w14:textId="77777777" w:rsidTr="00776898">
        <w:tblPrEx>
          <w:tblW w:w="5502" w:type="pct"/>
          <w:tblInd w:w="-318" w:type="dxa"/>
          <w:tblLayout w:type="fixed"/>
          <w:tblLook w:val="04A0"/>
        </w:tblPrEx>
        <w:tc>
          <w:tcPr>
            <w:tcW w:w="8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4668F6" w:rsidP="000F5C7E" w14:paraId="6CDA6E65" w14:textId="77777777">
            <w:pPr>
              <w:jc w:val="center"/>
              <w:rPr>
                <w:b/>
                <w:lang w:eastAsia="en-US"/>
              </w:rPr>
            </w:pPr>
            <w:r w:rsidRPr="004668F6">
              <w:rPr>
                <w:b/>
              </w:rPr>
              <w:t>Rādītāji</w:t>
            </w:r>
          </w:p>
        </w:tc>
        <w:tc>
          <w:tcPr>
            <w:tcW w:w="154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4668F6" w:rsidP="00C25B40" w14:paraId="12CA142E" w14:textId="77777777">
            <w:pPr>
              <w:jc w:val="center"/>
              <w:rPr>
                <w:b/>
                <w:lang w:eastAsia="en-US"/>
              </w:rPr>
            </w:pPr>
            <w:r w:rsidRPr="004668F6">
              <w:rPr>
                <w:b/>
              </w:rPr>
              <w:t>201</w:t>
            </w:r>
            <w:r w:rsidRPr="004668F6" w:rsidR="00C25B40">
              <w:rPr>
                <w:b/>
              </w:rPr>
              <w:t>7</w:t>
            </w:r>
            <w:r w:rsidRPr="004668F6">
              <w:rPr>
                <w:b/>
              </w:rPr>
              <w:t>.gads</w:t>
            </w:r>
          </w:p>
        </w:tc>
        <w:tc>
          <w:tcPr>
            <w:tcW w:w="260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4668F6" w:rsidP="000F5C7E" w14:paraId="6D74DA16" w14:textId="77777777">
            <w:pPr>
              <w:jc w:val="center"/>
              <w:rPr>
                <w:b/>
              </w:rPr>
            </w:pPr>
            <w:r w:rsidRPr="004668F6">
              <w:rPr>
                <w:b/>
              </w:rPr>
              <w:t>Turpmākie trīs gadi (</w:t>
            </w:r>
            <w:r w:rsidRPr="004668F6">
              <w:rPr>
                <w:b/>
                <w:i/>
              </w:rPr>
              <w:t>euro</w:t>
            </w:r>
            <w:r w:rsidRPr="004668F6">
              <w:rPr>
                <w:b/>
              </w:rPr>
              <w:t>)</w:t>
            </w:r>
          </w:p>
        </w:tc>
      </w:tr>
      <w:tr w14:paraId="078EA963" w14:textId="77777777" w:rsidTr="00776898">
        <w:tblPrEx>
          <w:tblW w:w="5502" w:type="pct"/>
          <w:tblInd w:w="-318" w:type="dxa"/>
          <w:tblLayout w:type="fixed"/>
          <w:tblLook w:val="04A0"/>
        </w:tblPrEx>
        <w:tc>
          <w:tcPr>
            <w:tcW w:w="8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4668F6" w:rsidP="000F5C7E" w14:paraId="354149C6" w14:textId="77777777">
            <w:pPr>
              <w:rPr>
                <w:b/>
                <w:lang w:eastAsia="en-US"/>
              </w:rPr>
            </w:pPr>
          </w:p>
        </w:tc>
        <w:tc>
          <w:tcPr>
            <w:tcW w:w="154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4668F6" w:rsidP="000F5C7E" w14:paraId="24B8029B" w14:textId="77777777">
            <w:pPr>
              <w:rPr>
                <w:b/>
                <w:lang w:eastAsia="en-US"/>
              </w:rPr>
            </w:pP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4668F6" w:rsidP="00C25B40" w14:paraId="4248A756" w14:textId="77777777">
            <w:pPr>
              <w:jc w:val="center"/>
              <w:rPr>
                <w:b/>
                <w:lang w:eastAsia="en-US"/>
              </w:rPr>
            </w:pPr>
            <w:r w:rsidRPr="004668F6">
              <w:rPr>
                <w:b/>
              </w:rPr>
              <w:t>201</w:t>
            </w:r>
            <w:r w:rsidRPr="004668F6" w:rsidR="00C25B40">
              <w:rPr>
                <w:b/>
              </w:rPr>
              <w:t>8</w:t>
            </w:r>
            <w:r w:rsidRPr="004668F6">
              <w:rPr>
                <w:b/>
              </w:rPr>
              <w:t>.g.</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4668F6" w:rsidP="00C25B40" w14:paraId="78485C77" w14:textId="77777777">
            <w:pPr>
              <w:jc w:val="center"/>
              <w:rPr>
                <w:b/>
                <w:lang w:eastAsia="en-US"/>
              </w:rPr>
            </w:pPr>
            <w:r w:rsidRPr="004668F6">
              <w:rPr>
                <w:b/>
              </w:rPr>
              <w:t>201</w:t>
            </w:r>
            <w:r w:rsidRPr="004668F6" w:rsidR="00C25B40">
              <w:rPr>
                <w:b/>
              </w:rPr>
              <w:t>9</w:t>
            </w:r>
            <w:r w:rsidRPr="004668F6">
              <w:rPr>
                <w:b/>
              </w:rPr>
              <w:t>.g.</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4668F6" w:rsidP="00C25B40" w14:paraId="0B10335A" w14:textId="77777777">
            <w:pPr>
              <w:jc w:val="center"/>
              <w:rPr>
                <w:b/>
                <w:lang w:eastAsia="en-US"/>
              </w:rPr>
            </w:pPr>
            <w:r w:rsidRPr="004668F6">
              <w:rPr>
                <w:b/>
              </w:rPr>
              <w:t>20</w:t>
            </w:r>
            <w:r w:rsidRPr="004668F6" w:rsidR="00C25B40">
              <w:rPr>
                <w:b/>
              </w:rPr>
              <w:t>20</w:t>
            </w:r>
            <w:r w:rsidRPr="004668F6">
              <w:rPr>
                <w:b/>
              </w:rPr>
              <w:t>.g.</w:t>
            </w:r>
          </w:p>
        </w:tc>
      </w:tr>
      <w:tr w14:paraId="31E77E2A" w14:textId="77777777" w:rsidTr="00776898">
        <w:tblPrEx>
          <w:tblW w:w="5502" w:type="pct"/>
          <w:tblInd w:w="-318" w:type="dxa"/>
          <w:tblLayout w:type="fixed"/>
          <w:tblLook w:val="04A0"/>
        </w:tblPrEx>
        <w:tc>
          <w:tcPr>
            <w:tcW w:w="8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4668F6" w:rsidP="000F5C7E" w14:paraId="0704FC75" w14:textId="77777777">
            <w:pPr>
              <w:rPr>
                <w:b/>
                <w:lang w:eastAsia="en-US"/>
              </w:rPr>
            </w:pP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4668F6" w:rsidP="000F5C7E" w14:paraId="6555BE89" w14:textId="77777777">
            <w:pPr>
              <w:jc w:val="center"/>
              <w:rPr>
                <w:b/>
                <w:lang w:eastAsia="en-US"/>
              </w:rPr>
            </w:pPr>
            <w:r w:rsidRPr="004668F6">
              <w:rPr>
                <w:b/>
              </w:rPr>
              <w:t>saskaņā ar valsts budžetu kārtējam gadam</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4668F6" w:rsidP="000F5C7E" w14:paraId="257B8A27" w14:textId="77777777">
            <w:pPr>
              <w:jc w:val="center"/>
              <w:rPr>
                <w:b/>
                <w:lang w:eastAsia="en-US"/>
              </w:rPr>
            </w:pPr>
            <w:r w:rsidRPr="004668F6">
              <w:rPr>
                <w:b/>
              </w:rPr>
              <w:t>izmaiņas kārtējā gadā, salīdzinot ar valsts budžetu kārtējam gadam</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4668F6" w:rsidP="00D64FD4" w14:paraId="0F6FC1BA" w14:textId="77777777">
            <w:pPr>
              <w:jc w:val="center"/>
              <w:rPr>
                <w:b/>
                <w:lang w:eastAsia="en-US"/>
              </w:rPr>
            </w:pPr>
            <w:r w:rsidRPr="004668F6">
              <w:rPr>
                <w:b/>
              </w:rPr>
              <w:t>izmaiņas, salīdzinot ar kārtējo (201</w:t>
            </w:r>
            <w:r w:rsidRPr="004668F6" w:rsidR="00D64FD4">
              <w:rPr>
                <w:b/>
              </w:rPr>
              <w:t>7</w:t>
            </w:r>
            <w:r w:rsidRPr="004668F6">
              <w:rPr>
                <w:b/>
              </w:rPr>
              <w:t>) gadu</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4668F6" w:rsidP="00D64FD4" w14:paraId="4D67C1F4" w14:textId="77777777">
            <w:pPr>
              <w:jc w:val="center"/>
              <w:rPr>
                <w:b/>
                <w:lang w:eastAsia="en-US"/>
              </w:rPr>
            </w:pPr>
            <w:r w:rsidRPr="004668F6">
              <w:rPr>
                <w:b/>
              </w:rPr>
              <w:t>izmaiņas, salīdzinot ar kārtējo (201</w:t>
            </w:r>
            <w:r w:rsidRPr="004668F6" w:rsidR="00D64FD4">
              <w:rPr>
                <w:b/>
              </w:rPr>
              <w:t>7</w:t>
            </w:r>
            <w:r w:rsidRPr="004668F6">
              <w:rPr>
                <w:b/>
              </w:rPr>
              <w:t>) gadu</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4668F6" w:rsidP="00D64FD4" w14:paraId="20888F20" w14:textId="77777777">
            <w:pPr>
              <w:jc w:val="center"/>
              <w:rPr>
                <w:b/>
                <w:lang w:eastAsia="en-US"/>
              </w:rPr>
            </w:pPr>
            <w:r w:rsidRPr="004668F6">
              <w:rPr>
                <w:b/>
              </w:rPr>
              <w:t>izmaiņas, salīdzinot ar kārtējo (201</w:t>
            </w:r>
            <w:r w:rsidRPr="004668F6" w:rsidR="00D64FD4">
              <w:rPr>
                <w:b/>
              </w:rPr>
              <w:t>7</w:t>
            </w:r>
            <w:r w:rsidRPr="004668F6">
              <w:rPr>
                <w:b/>
              </w:rPr>
              <w:t>) gadu</w:t>
            </w:r>
          </w:p>
        </w:tc>
      </w:tr>
      <w:tr w14:paraId="49FE5028"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4668F6" w:rsidP="000F5C7E" w14:paraId="18DFEC4C" w14:textId="77777777">
            <w:pPr>
              <w:jc w:val="center"/>
              <w:rPr>
                <w:lang w:eastAsia="en-US"/>
              </w:rPr>
            </w:pPr>
            <w:r w:rsidRPr="004668F6">
              <w:t>1</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4668F6" w:rsidP="000F5C7E" w14:paraId="6178EDAF" w14:textId="77777777">
            <w:pPr>
              <w:jc w:val="center"/>
              <w:rPr>
                <w:lang w:eastAsia="en-US"/>
              </w:rPr>
            </w:pPr>
            <w:r w:rsidRPr="004668F6">
              <w:t>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4668F6" w:rsidP="000F5C7E" w14:paraId="774336C0" w14:textId="77777777">
            <w:pPr>
              <w:jc w:val="center"/>
              <w:rPr>
                <w:lang w:eastAsia="en-US"/>
              </w:rPr>
            </w:pPr>
            <w:r w:rsidRPr="004668F6">
              <w:t>3</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4668F6" w:rsidP="000F5C7E" w14:paraId="68985E55" w14:textId="77777777">
            <w:pPr>
              <w:jc w:val="center"/>
              <w:rPr>
                <w:lang w:eastAsia="en-US"/>
              </w:rPr>
            </w:pPr>
            <w:r w:rsidRPr="004668F6">
              <w:t>4</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4668F6" w:rsidP="000F5C7E" w14:paraId="3867C303" w14:textId="77777777">
            <w:pPr>
              <w:jc w:val="center"/>
              <w:rPr>
                <w:lang w:eastAsia="en-US"/>
              </w:rPr>
            </w:pPr>
            <w:r w:rsidRPr="004668F6">
              <w:t>5</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4668F6" w:rsidP="000F5C7E" w14:paraId="7FB125A6" w14:textId="77777777">
            <w:pPr>
              <w:jc w:val="center"/>
              <w:rPr>
                <w:lang w:eastAsia="en-US"/>
              </w:rPr>
            </w:pPr>
            <w:r w:rsidRPr="004668F6">
              <w:t>6</w:t>
            </w:r>
          </w:p>
        </w:tc>
      </w:tr>
      <w:tr w14:paraId="0A7B668B"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CD3CDD" w:rsidRPr="004668F6" w:rsidP="00CD3CDD" w14:paraId="3C55FC4D" w14:textId="77777777">
            <w:pPr>
              <w:rPr>
                <w:lang w:eastAsia="en-US"/>
              </w:rPr>
            </w:pPr>
            <w:r w:rsidRPr="004668F6">
              <w:t>1. Budžeta ieņēmumi:</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CD3CDD" w:rsidRPr="004668F6" w:rsidP="00CD3CDD" w14:paraId="49BCF3C8" w14:textId="77777777">
            <w:pPr>
              <w:jc w:val="right"/>
              <w:rPr>
                <w:sz w:val="22"/>
                <w:szCs w:val="22"/>
                <w:lang w:eastAsia="en-US"/>
              </w:rPr>
            </w:pPr>
            <w:r w:rsidRPr="004668F6">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CD3CDD" w:rsidRPr="004668F6" w:rsidP="00CD3CDD" w14:paraId="70E12961" w14:textId="77777777">
            <w:pPr>
              <w:jc w:val="right"/>
              <w:rPr>
                <w:sz w:val="22"/>
                <w:szCs w:val="22"/>
                <w:lang w:eastAsia="en-US"/>
              </w:rPr>
            </w:pPr>
            <w:r>
              <w:rPr>
                <w:sz w:val="22"/>
                <w:szCs w:val="22"/>
                <w:lang w:eastAsia="en-US"/>
              </w:rPr>
              <w:t>338 091</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CD3CDD" w:rsidRPr="004668F6" w:rsidP="00CD3CDD" w14:paraId="08FD5365" w14:textId="77777777">
            <w:pPr>
              <w:jc w:val="right"/>
              <w:rPr>
                <w:sz w:val="22"/>
                <w:szCs w:val="22"/>
                <w:lang w:eastAsia="en-US"/>
              </w:rPr>
            </w:pPr>
            <w:r>
              <w:rPr>
                <w:sz w:val="22"/>
                <w:szCs w:val="22"/>
                <w:lang w:eastAsia="en-US"/>
              </w:rPr>
              <w:t>327 113</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CD3CDD" w:rsidRPr="004668F6" w:rsidP="00CD3CDD" w14:paraId="7975058E" w14:textId="77777777">
            <w:pPr>
              <w:jc w:val="right"/>
              <w:rPr>
                <w:sz w:val="22"/>
                <w:szCs w:val="22"/>
                <w:lang w:eastAsia="en-US"/>
              </w:rPr>
            </w:pPr>
            <w:r>
              <w:rPr>
                <w:sz w:val="22"/>
                <w:szCs w:val="22"/>
                <w:lang w:eastAsia="en-US"/>
              </w:rPr>
              <w:t>184 796</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D3CDD" w:rsidRPr="004668F6" w:rsidP="00CD3CDD" w14:paraId="19631DD0" w14:textId="77777777">
            <w:pPr>
              <w:jc w:val="right"/>
              <w:rPr>
                <w:sz w:val="22"/>
                <w:szCs w:val="22"/>
                <w:lang w:eastAsia="en-US"/>
              </w:rPr>
            </w:pPr>
            <w:r>
              <w:rPr>
                <w:sz w:val="22"/>
                <w:szCs w:val="22"/>
                <w:lang w:eastAsia="en-US"/>
              </w:rPr>
              <w:t>0</w:t>
            </w:r>
          </w:p>
        </w:tc>
      </w:tr>
      <w:tr w14:paraId="0CF149C4"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C1D83" w:rsidRPr="004668F6" w:rsidP="00604E95" w14:paraId="3B199BE4" w14:textId="77777777">
            <w:pPr>
              <w:rPr>
                <w:lang w:eastAsia="en-US"/>
              </w:rPr>
            </w:pPr>
            <w:r w:rsidRPr="004668F6">
              <w:t>1.1. valsts pamatbudžets, tai skaitā ieņēmumi no maksas pakalpojumiem un citi pašu ieņēmumi</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607E58E9" w14:textId="77777777">
            <w:pPr>
              <w:jc w:val="right"/>
              <w:rPr>
                <w:sz w:val="22"/>
                <w:szCs w:val="22"/>
                <w:lang w:eastAsia="en-US"/>
              </w:rPr>
            </w:pPr>
            <w:r w:rsidRPr="004668F6">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6A25CFBD" w14:textId="77777777">
            <w:pPr>
              <w:jc w:val="right"/>
              <w:rPr>
                <w:sz w:val="22"/>
                <w:szCs w:val="22"/>
                <w:lang w:eastAsia="en-US"/>
              </w:rPr>
            </w:pPr>
            <w:r>
              <w:rPr>
                <w:sz w:val="22"/>
                <w:szCs w:val="22"/>
                <w:lang w:eastAsia="en-US"/>
              </w:rPr>
              <w:t>338 091</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CD3CDD" w14:paraId="479F717B" w14:textId="77777777">
            <w:pPr>
              <w:jc w:val="right"/>
              <w:rPr>
                <w:sz w:val="22"/>
                <w:szCs w:val="22"/>
                <w:lang w:eastAsia="en-US"/>
              </w:rPr>
            </w:pPr>
            <w:r>
              <w:rPr>
                <w:sz w:val="22"/>
                <w:szCs w:val="22"/>
                <w:lang w:eastAsia="en-US"/>
              </w:rPr>
              <w:t>327 113</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CD3CDD" w14:paraId="4AD16422" w14:textId="77777777">
            <w:pPr>
              <w:jc w:val="right"/>
              <w:rPr>
                <w:sz w:val="22"/>
                <w:szCs w:val="22"/>
                <w:lang w:eastAsia="en-US"/>
              </w:rPr>
            </w:pPr>
            <w:r>
              <w:rPr>
                <w:sz w:val="22"/>
                <w:szCs w:val="22"/>
                <w:lang w:eastAsia="en-US"/>
              </w:rPr>
              <w:t>184 796</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5DFB4E22" w14:textId="77777777">
            <w:pPr>
              <w:jc w:val="right"/>
              <w:rPr>
                <w:sz w:val="22"/>
                <w:szCs w:val="22"/>
                <w:lang w:eastAsia="en-US"/>
              </w:rPr>
            </w:pPr>
            <w:r>
              <w:rPr>
                <w:sz w:val="22"/>
                <w:szCs w:val="22"/>
                <w:lang w:eastAsia="en-US"/>
              </w:rPr>
              <w:t>0</w:t>
            </w:r>
          </w:p>
        </w:tc>
      </w:tr>
      <w:tr w14:paraId="7C17B816"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C1D83" w:rsidRPr="004668F6" w:rsidP="00604E95" w14:paraId="1FA7AEC2" w14:textId="77777777">
            <w:pPr>
              <w:rPr>
                <w:lang w:eastAsia="en-US"/>
              </w:rPr>
            </w:pPr>
            <w:r w:rsidRPr="004668F6">
              <w:t>1.2. valsts speciālais budžets</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7EE8180C" w14:textId="77777777">
            <w:pPr>
              <w:jc w:val="right"/>
              <w:rPr>
                <w:sz w:val="22"/>
                <w:szCs w:val="22"/>
                <w:lang w:eastAsia="en-US"/>
              </w:rPr>
            </w:pPr>
            <w:r w:rsidRPr="004668F6">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28EF80D1" w14:textId="77777777">
            <w:pPr>
              <w:jc w:val="right"/>
              <w:rPr>
                <w:sz w:val="22"/>
                <w:szCs w:val="22"/>
                <w:lang w:eastAsia="en-US"/>
              </w:rPr>
            </w:pPr>
            <w:r w:rsidRPr="004668F6">
              <w:rPr>
                <w:sz w:val="22"/>
                <w:szCs w:val="22"/>
                <w:lang w:eastAsia="en-US"/>
              </w:rPr>
              <w:t>0</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072DA088" w14:textId="77777777">
            <w:pPr>
              <w:jc w:val="right"/>
              <w:rPr>
                <w:sz w:val="22"/>
                <w:szCs w:val="22"/>
                <w:lang w:eastAsia="en-US"/>
              </w:rPr>
            </w:pPr>
            <w:r>
              <w:rPr>
                <w:sz w:val="22"/>
                <w:szCs w:val="22"/>
                <w:lang w:eastAsia="en-US"/>
              </w:rPr>
              <w:t>0</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7C742345" w14:textId="77777777">
            <w:pPr>
              <w:jc w:val="right"/>
              <w:rPr>
                <w:sz w:val="22"/>
                <w:szCs w:val="22"/>
                <w:lang w:eastAsia="en-US"/>
              </w:rPr>
            </w:pPr>
            <w:r>
              <w:rPr>
                <w:sz w:val="22"/>
                <w:szCs w:val="22"/>
                <w:lang w:eastAsia="en-US"/>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0E7A122B" w14:textId="77777777">
            <w:pPr>
              <w:jc w:val="right"/>
              <w:rPr>
                <w:sz w:val="22"/>
                <w:szCs w:val="22"/>
                <w:lang w:eastAsia="en-US"/>
              </w:rPr>
            </w:pPr>
            <w:r>
              <w:rPr>
                <w:sz w:val="22"/>
                <w:szCs w:val="22"/>
                <w:lang w:eastAsia="en-US"/>
              </w:rPr>
              <w:t>0</w:t>
            </w:r>
          </w:p>
        </w:tc>
      </w:tr>
      <w:tr w14:paraId="248FD61E"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C1D83" w:rsidRPr="004668F6" w:rsidP="00604E95" w14:paraId="34FE143C" w14:textId="77777777">
            <w:pPr>
              <w:rPr>
                <w:lang w:eastAsia="en-US"/>
              </w:rPr>
            </w:pPr>
            <w:r w:rsidRPr="004668F6">
              <w:t>1.3. pašvaldību budžets</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125B1F89" w14:textId="77777777">
            <w:pPr>
              <w:jc w:val="right"/>
              <w:rPr>
                <w:sz w:val="22"/>
                <w:szCs w:val="22"/>
                <w:lang w:eastAsia="en-US"/>
              </w:rPr>
            </w:pPr>
            <w:r w:rsidRPr="004668F6">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4CD58729" w14:textId="77777777">
            <w:pPr>
              <w:jc w:val="right"/>
              <w:rPr>
                <w:sz w:val="22"/>
                <w:szCs w:val="22"/>
                <w:lang w:eastAsia="en-US"/>
              </w:rPr>
            </w:pPr>
            <w:r w:rsidRPr="004668F6">
              <w:rPr>
                <w:sz w:val="22"/>
                <w:szCs w:val="22"/>
                <w:lang w:eastAsia="en-US"/>
              </w:rPr>
              <w:t>0</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36AF192B" w14:textId="77777777">
            <w:pPr>
              <w:jc w:val="right"/>
              <w:rPr>
                <w:sz w:val="22"/>
                <w:szCs w:val="22"/>
                <w:lang w:eastAsia="en-US"/>
              </w:rPr>
            </w:pPr>
            <w:r>
              <w:rPr>
                <w:sz w:val="22"/>
                <w:szCs w:val="22"/>
                <w:lang w:eastAsia="en-US"/>
              </w:rPr>
              <w:t>0</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76656853" w14:textId="77777777">
            <w:pPr>
              <w:jc w:val="right"/>
              <w:rPr>
                <w:sz w:val="22"/>
                <w:szCs w:val="22"/>
                <w:lang w:eastAsia="en-US"/>
              </w:rPr>
            </w:pPr>
            <w:r>
              <w:rPr>
                <w:sz w:val="22"/>
                <w:szCs w:val="22"/>
                <w:lang w:eastAsia="en-US"/>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2B6032F6" w14:textId="77777777">
            <w:pPr>
              <w:jc w:val="right"/>
              <w:rPr>
                <w:sz w:val="22"/>
                <w:szCs w:val="22"/>
                <w:lang w:eastAsia="en-US"/>
              </w:rPr>
            </w:pPr>
            <w:r>
              <w:rPr>
                <w:sz w:val="22"/>
                <w:szCs w:val="22"/>
                <w:lang w:eastAsia="en-US"/>
              </w:rPr>
              <w:t>0</w:t>
            </w:r>
          </w:p>
        </w:tc>
      </w:tr>
      <w:tr w14:paraId="72AD0922" w14:textId="77777777" w:rsidTr="00776898">
        <w:tblPrEx>
          <w:tblW w:w="5502" w:type="pct"/>
          <w:tblInd w:w="-318" w:type="dxa"/>
          <w:tblLayout w:type="fixed"/>
          <w:tblLook w:val="04A0"/>
        </w:tblPrEx>
        <w:trPr>
          <w:trHeight w:val="176"/>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C1D83" w:rsidRPr="004668F6" w:rsidP="000C1D83" w14:paraId="3D161311" w14:textId="77777777">
            <w:pPr>
              <w:rPr>
                <w:lang w:eastAsia="en-US"/>
              </w:rPr>
            </w:pPr>
            <w:r w:rsidRPr="004668F6">
              <w:t>2. Budžeta izdevumi:</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0C1D83" w14:paraId="12E648AC" w14:textId="77777777">
            <w:pPr>
              <w:jc w:val="right"/>
              <w:rPr>
                <w:sz w:val="22"/>
                <w:szCs w:val="22"/>
                <w:lang w:eastAsia="en-US"/>
              </w:rPr>
            </w:pPr>
            <w:r w:rsidRPr="004668F6">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0C1D83" w:rsidRPr="004668F6" w:rsidP="000C1D83" w14:paraId="277EABA1" w14:textId="77777777">
            <w:pPr>
              <w:jc w:val="right"/>
              <w:rPr>
                <w:sz w:val="22"/>
                <w:szCs w:val="22"/>
                <w:lang w:eastAsia="en-US"/>
              </w:rPr>
            </w:pPr>
            <w:r>
              <w:rPr>
                <w:sz w:val="22"/>
                <w:szCs w:val="22"/>
                <w:lang w:eastAsia="en-US"/>
              </w:rPr>
              <w:t>397 754</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0C1D83" w14:paraId="418AFB5B" w14:textId="77777777">
            <w:pPr>
              <w:jc w:val="right"/>
              <w:rPr>
                <w:sz w:val="22"/>
                <w:szCs w:val="22"/>
                <w:lang w:eastAsia="en-US"/>
              </w:rPr>
            </w:pPr>
            <w:r>
              <w:rPr>
                <w:sz w:val="22"/>
                <w:szCs w:val="22"/>
                <w:lang w:eastAsia="en-US"/>
              </w:rPr>
              <w:t>384 839</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0C1D83" w14:paraId="0BD9B0EC" w14:textId="77777777">
            <w:pPr>
              <w:jc w:val="right"/>
              <w:rPr>
                <w:sz w:val="22"/>
                <w:szCs w:val="22"/>
                <w:lang w:eastAsia="en-US"/>
              </w:rPr>
            </w:pPr>
            <w:r>
              <w:rPr>
                <w:sz w:val="22"/>
                <w:szCs w:val="22"/>
                <w:lang w:eastAsia="en-US"/>
              </w:rPr>
              <w:t>217 407</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0C1D83" w14:paraId="3964FF90" w14:textId="77777777">
            <w:pPr>
              <w:jc w:val="right"/>
              <w:rPr>
                <w:sz w:val="20"/>
                <w:szCs w:val="20"/>
                <w:lang w:eastAsia="en-US"/>
              </w:rPr>
            </w:pPr>
            <w:r>
              <w:rPr>
                <w:sz w:val="20"/>
                <w:szCs w:val="20"/>
                <w:lang w:eastAsia="en-US"/>
              </w:rPr>
              <w:t>97 084</w:t>
            </w:r>
          </w:p>
        </w:tc>
      </w:tr>
      <w:tr w14:paraId="6C6A51FA"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C1D83" w:rsidRPr="004668F6" w:rsidP="00604E95" w14:paraId="734444AD" w14:textId="77777777">
            <w:pPr>
              <w:rPr>
                <w:lang w:eastAsia="en-US"/>
              </w:rPr>
            </w:pPr>
            <w:r w:rsidRPr="004668F6">
              <w:t>2.1. valsts pamatbudžets</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1D0B8D45" w14:textId="77777777">
            <w:pPr>
              <w:jc w:val="right"/>
              <w:rPr>
                <w:sz w:val="22"/>
                <w:szCs w:val="22"/>
                <w:lang w:eastAsia="en-US"/>
              </w:rPr>
            </w:pPr>
            <w:r w:rsidRPr="004668F6">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0C1D83" w:rsidRPr="004668F6" w:rsidP="00604E95" w14:paraId="5F37639C" w14:textId="77777777">
            <w:pPr>
              <w:jc w:val="right"/>
              <w:rPr>
                <w:sz w:val="22"/>
                <w:szCs w:val="22"/>
                <w:lang w:eastAsia="en-US"/>
              </w:rPr>
            </w:pPr>
            <w:r>
              <w:rPr>
                <w:sz w:val="22"/>
                <w:szCs w:val="22"/>
                <w:lang w:eastAsia="en-US"/>
              </w:rPr>
              <w:t>397 754</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6AF545D0" w14:textId="77777777">
            <w:pPr>
              <w:jc w:val="right"/>
              <w:rPr>
                <w:sz w:val="22"/>
                <w:szCs w:val="22"/>
                <w:lang w:eastAsia="en-US"/>
              </w:rPr>
            </w:pPr>
            <w:r>
              <w:rPr>
                <w:sz w:val="22"/>
                <w:szCs w:val="22"/>
                <w:lang w:eastAsia="en-US"/>
              </w:rPr>
              <w:t>384 839</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5E843D36" w14:textId="77777777">
            <w:pPr>
              <w:jc w:val="right"/>
              <w:rPr>
                <w:sz w:val="22"/>
                <w:szCs w:val="22"/>
                <w:lang w:eastAsia="en-US"/>
              </w:rPr>
            </w:pPr>
            <w:r>
              <w:rPr>
                <w:sz w:val="22"/>
                <w:szCs w:val="22"/>
                <w:lang w:eastAsia="en-US"/>
              </w:rPr>
              <w:t>217 407</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122D3C2D" w14:textId="77777777">
            <w:pPr>
              <w:jc w:val="right"/>
              <w:rPr>
                <w:sz w:val="20"/>
                <w:szCs w:val="20"/>
                <w:lang w:eastAsia="en-US"/>
              </w:rPr>
            </w:pPr>
            <w:r>
              <w:rPr>
                <w:sz w:val="20"/>
                <w:szCs w:val="20"/>
                <w:lang w:eastAsia="en-US"/>
              </w:rPr>
              <w:t>97 084</w:t>
            </w:r>
          </w:p>
        </w:tc>
      </w:tr>
      <w:tr w14:paraId="641A5402"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C1D83" w:rsidRPr="004668F6" w:rsidP="00604E95" w14:paraId="45D7D689" w14:textId="77777777">
            <w:pPr>
              <w:rPr>
                <w:lang w:eastAsia="en-US"/>
              </w:rPr>
            </w:pPr>
            <w:r w:rsidRPr="004668F6">
              <w:t>2.2. valsts speciālais budžets</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044E2336" w14:textId="77777777">
            <w:pPr>
              <w:jc w:val="right"/>
              <w:rPr>
                <w:sz w:val="22"/>
                <w:szCs w:val="22"/>
                <w:lang w:eastAsia="en-US"/>
              </w:rPr>
            </w:pPr>
            <w:r w:rsidRPr="004668F6">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0C1D83" w:rsidRPr="004668F6" w:rsidP="00604E95" w14:paraId="44A96F23" w14:textId="77777777">
            <w:pPr>
              <w:jc w:val="right"/>
              <w:rPr>
                <w:sz w:val="22"/>
                <w:szCs w:val="22"/>
                <w:lang w:eastAsia="en-US"/>
              </w:rPr>
            </w:pPr>
            <w:r w:rsidRPr="004668F6">
              <w:rPr>
                <w:sz w:val="22"/>
                <w:szCs w:val="22"/>
                <w:lang w:eastAsia="en-US"/>
              </w:rPr>
              <w:t>0</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3319651C" w14:textId="77777777">
            <w:pPr>
              <w:jc w:val="right"/>
              <w:rPr>
                <w:sz w:val="22"/>
                <w:szCs w:val="22"/>
                <w:lang w:eastAsia="en-US"/>
              </w:rPr>
            </w:pPr>
            <w:r>
              <w:rPr>
                <w:sz w:val="22"/>
                <w:szCs w:val="22"/>
                <w:lang w:eastAsia="en-US"/>
              </w:rPr>
              <w:t>0</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7048C361" w14:textId="77777777">
            <w:pPr>
              <w:jc w:val="right"/>
              <w:rPr>
                <w:sz w:val="22"/>
                <w:szCs w:val="22"/>
                <w:lang w:eastAsia="en-US"/>
              </w:rPr>
            </w:pPr>
            <w:r>
              <w:rPr>
                <w:sz w:val="22"/>
                <w:szCs w:val="22"/>
                <w:lang w:eastAsia="en-US"/>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327C42C5" w14:textId="77777777">
            <w:pPr>
              <w:jc w:val="right"/>
              <w:rPr>
                <w:sz w:val="22"/>
                <w:szCs w:val="22"/>
                <w:lang w:eastAsia="en-US"/>
              </w:rPr>
            </w:pPr>
            <w:r>
              <w:rPr>
                <w:sz w:val="22"/>
                <w:szCs w:val="22"/>
                <w:lang w:eastAsia="en-US"/>
              </w:rPr>
              <w:t>0</w:t>
            </w:r>
          </w:p>
        </w:tc>
      </w:tr>
      <w:tr w14:paraId="7147F879"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C1D83" w:rsidRPr="004668F6" w:rsidP="00604E95" w14:paraId="6115C5C3" w14:textId="77777777">
            <w:pPr>
              <w:rPr>
                <w:sz w:val="22"/>
                <w:szCs w:val="22"/>
                <w:lang w:eastAsia="en-US"/>
              </w:rPr>
            </w:pPr>
            <w:r w:rsidRPr="004668F6">
              <w:rPr>
                <w:sz w:val="22"/>
                <w:szCs w:val="22"/>
              </w:rPr>
              <w:t>2.3. pašvaldību budžets</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1B50BF68" w14:textId="77777777">
            <w:pPr>
              <w:jc w:val="right"/>
              <w:rPr>
                <w:sz w:val="22"/>
                <w:szCs w:val="22"/>
                <w:lang w:eastAsia="en-US"/>
              </w:rPr>
            </w:pPr>
            <w:r w:rsidRPr="004668F6">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0C1D83" w:rsidRPr="004668F6" w:rsidP="00604E95" w14:paraId="03CBAC09" w14:textId="77777777">
            <w:pPr>
              <w:jc w:val="right"/>
              <w:rPr>
                <w:sz w:val="22"/>
                <w:szCs w:val="22"/>
                <w:lang w:eastAsia="en-US"/>
              </w:rPr>
            </w:pPr>
            <w:r w:rsidRPr="004668F6">
              <w:rPr>
                <w:sz w:val="22"/>
                <w:szCs w:val="22"/>
                <w:lang w:eastAsia="en-US"/>
              </w:rPr>
              <w:t>0</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3793920A" w14:textId="77777777">
            <w:pPr>
              <w:jc w:val="right"/>
              <w:rPr>
                <w:sz w:val="22"/>
                <w:szCs w:val="22"/>
                <w:lang w:eastAsia="en-US"/>
              </w:rPr>
            </w:pPr>
            <w:r>
              <w:rPr>
                <w:sz w:val="22"/>
                <w:szCs w:val="22"/>
                <w:lang w:eastAsia="en-US"/>
              </w:rPr>
              <w:t>0</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33564906" w14:textId="77777777">
            <w:pPr>
              <w:jc w:val="right"/>
              <w:rPr>
                <w:sz w:val="22"/>
                <w:szCs w:val="22"/>
                <w:lang w:eastAsia="en-US"/>
              </w:rPr>
            </w:pPr>
            <w:r>
              <w:rPr>
                <w:sz w:val="22"/>
                <w:szCs w:val="22"/>
                <w:lang w:eastAsia="en-US"/>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103C3849" w14:textId="77777777">
            <w:pPr>
              <w:jc w:val="right"/>
              <w:rPr>
                <w:sz w:val="22"/>
                <w:szCs w:val="22"/>
                <w:lang w:eastAsia="en-US"/>
              </w:rPr>
            </w:pPr>
            <w:r>
              <w:rPr>
                <w:sz w:val="22"/>
                <w:szCs w:val="22"/>
                <w:lang w:eastAsia="en-US"/>
              </w:rPr>
              <w:t>0</w:t>
            </w:r>
          </w:p>
        </w:tc>
      </w:tr>
      <w:tr w14:paraId="3941E537"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C1D83" w:rsidRPr="004668F6" w:rsidP="00604E95" w14:paraId="71141D62" w14:textId="77777777">
            <w:pPr>
              <w:rPr>
                <w:lang w:eastAsia="en-US"/>
              </w:rPr>
            </w:pPr>
            <w:r w:rsidRPr="004668F6">
              <w:t>3. Finansiālā ietekme:</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2BB83A4E" w14:textId="77777777">
            <w:pPr>
              <w:jc w:val="right"/>
              <w:rPr>
                <w:sz w:val="22"/>
                <w:szCs w:val="22"/>
                <w:lang w:eastAsia="en-US"/>
              </w:rPr>
            </w:pPr>
            <w:r w:rsidRPr="004668F6">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0C1D83" w:rsidRPr="004668F6" w:rsidP="00604E95" w14:paraId="55A185FF" w14:textId="77777777">
            <w:pPr>
              <w:jc w:val="right"/>
              <w:rPr>
                <w:sz w:val="22"/>
                <w:szCs w:val="22"/>
                <w:lang w:eastAsia="en-US"/>
              </w:rPr>
            </w:pPr>
            <w:r>
              <w:rPr>
                <w:sz w:val="22"/>
                <w:szCs w:val="22"/>
                <w:lang w:eastAsia="en-US"/>
              </w:rPr>
              <w:t>-59 663</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309E624D" w14:textId="77777777">
            <w:pPr>
              <w:jc w:val="right"/>
              <w:rPr>
                <w:sz w:val="22"/>
                <w:szCs w:val="22"/>
                <w:lang w:eastAsia="en-US"/>
              </w:rPr>
            </w:pPr>
            <w:r>
              <w:rPr>
                <w:sz w:val="22"/>
                <w:szCs w:val="22"/>
                <w:lang w:eastAsia="en-US"/>
              </w:rPr>
              <w:t>-57 726</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472DF592" w14:textId="77777777">
            <w:pPr>
              <w:jc w:val="right"/>
              <w:rPr>
                <w:sz w:val="22"/>
                <w:szCs w:val="22"/>
                <w:lang w:eastAsia="en-US"/>
              </w:rPr>
            </w:pPr>
            <w:r>
              <w:rPr>
                <w:sz w:val="22"/>
                <w:szCs w:val="22"/>
                <w:lang w:eastAsia="en-US"/>
              </w:rPr>
              <w:t>-32 611</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89613D" w14:paraId="4932B476" w14:textId="77777777">
            <w:pPr>
              <w:jc w:val="right"/>
              <w:rPr>
                <w:sz w:val="22"/>
                <w:szCs w:val="22"/>
                <w:lang w:eastAsia="en-US"/>
              </w:rPr>
            </w:pPr>
            <w:r>
              <w:rPr>
                <w:sz w:val="22"/>
                <w:szCs w:val="22"/>
                <w:lang w:eastAsia="en-US"/>
              </w:rPr>
              <w:t>-</w:t>
            </w:r>
            <w:r w:rsidR="007877FB">
              <w:rPr>
                <w:sz w:val="20"/>
                <w:szCs w:val="20"/>
                <w:lang w:eastAsia="en-US"/>
              </w:rPr>
              <w:t>97 084</w:t>
            </w:r>
          </w:p>
        </w:tc>
      </w:tr>
      <w:tr w14:paraId="69C4E6F1"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C1D83" w:rsidRPr="004668F6" w:rsidP="00604E95" w14:paraId="30033A5C" w14:textId="77777777">
            <w:pPr>
              <w:rPr>
                <w:lang w:eastAsia="en-US"/>
              </w:rPr>
            </w:pPr>
            <w:r w:rsidRPr="004668F6">
              <w:t>3.1. valsts pamatbudžets</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06E2AAED" w14:textId="77777777">
            <w:pPr>
              <w:jc w:val="right"/>
              <w:rPr>
                <w:sz w:val="22"/>
                <w:szCs w:val="22"/>
                <w:lang w:eastAsia="en-US"/>
              </w:rPr>
            </w:pPr>
            <w:r w:rsidRPr="004668F6">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0C1D83" w:rsidRPr="004668F6" w:rsidP="00604E95" w14:paraId="40C3EEDC" w14:textId="77777777">
            <w:pPr>
              <w:jc w:val="right"/>
              <w:rPr>
                <w:sz w:val="22"/>
                <w:szCs w:val="22"/>
                <w:lang w:eastAsia="en-US"/>
              </w:rPr>
            </w:pPr>
            <w:r>
              <w:rPr>
                <w:sz w:val="22"/>
                <w:szCs w:val="22"/>
                <w:lang w:eastAsia="en-US"/>
              </w:rPr>
              <w:t>-59 663</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89613D" w14:paraId="37AF4092" w14:textId="77777777">
            <w:pPr>
              <w:jc w:val="right"/>
              <w:rPr>
                <w:sz w:val="22"/>
                <w:szCs w:val="22"/>
                <w:lang w:eastAsia="en-US"/>
              </w:rPr>
            </w:pPr>
            <w:r>
              <w:rPr>
                <w:sz w:val="22"/>
                <w:szCs w:val="22"/>
                <w:lang w:eastAsia="en-US"/>
              </w:rPr>
              <w:t>-57 726</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2135D4" w14:paraId="594CE1ED" w14:textId="77777777">
            <w:pPr>
              <w:jc w:val="right"/>
              <w:rPr>
                <w:sz w:val="22"/>
                <w:szCs w:val="22"/>
                <w:lang w:eastAsia="en-US"/>
              </w:rPr>
            </w:pPr>
            <w:r>
              <w:rPr>
                <w:sz w:val="22"/>
                <w:szCs w:val="22"/>
                <w:lang w:eastAsia="en-US"/>
              </w:rPr>
              <w:t>-32 611</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137314" w:rsidP="009B751C" w14:paraId="75842679" w14:textId="77777777">
            <w:pPr>
              <w:jc w:val="right"/>
              <w:rPr>
                <w:sz w:val="22"/>
              </w:rPr>
            </w:pPr>
            <w:r w:rsidRPr="00EF0054">
              <w:rPr>
                <w:sz w:val="22"/>
                <w:szCs w:val="22"/>
                <w:lang w:eastAsia="en-US"/>
              </w:rPr>
              <w:t>-</w:t>
            </w:r>
            <w:r w:rsidR="007877FB">
              <w:rPr>
                <w:sz w:val="20"/>
                <w:szCs w:val="20"/>
                <w:lang w:eastAsia="en-US"/>
              </w:rPr>
              <w:t>97 084</w:t>
            </w:r>
          </w:p>
        </w:tc>
      </w:tr>
      <w:tr w14:paraId="622F5219"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C1D83" w:rsidRPr="004668F6" w:rsidP="00604E95" w14:paraId="41DC9679" w14:textId="77777777">
            <w:pPr>
              <w:rPr>
                <w:lang w:eastAsia="en-US"/>
              </w:rPr>
            </w:pPr>
            <w:r w:rsidRPr="004668F6">
              <w:t>3.2. speciālais budžets</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46858183" w14:textId="77777777">
            <w:pPr>
              <w:jc w:val="right"/>
              <w:rPr>
                <w:sz w:val="22"/>
                <w:szCs w:val="22"/>
                <w:lang w:eastAsia="en-US"/>
              </w:rPr>
            </w:pPr>
            <w:r w:rsidRPr="004668F6">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0C1D83" w:rsidRPr="004668F6" w:rsidP="00604E95" w14:paraId="0AC66B77" w14:textId="77777777">
            <w:pPr>
              <w:jc w:val="right"/>
              <w:rPr>
                <w:sz w:val="22"/>
                <w:szCs w:val="22"/>
                <w:lang w:eastAsia="en-US"/>
              </w:rPr>
            </w:pPr>
            <w:r w:rsidRPr="004668F6">
              <w:rPr>
                <w:sz w:val="22"/>
                <w:szCs w:val="22"/>
                <w:lang w:eastAsia="en-US"/>
              </w:rPr>
              <w:t>0</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791564C8" w14:textId="77777777">
            <w:pPr>
              <w:jc w:val="right"/>
              <w:rPr>
                <w:sz w:val="22"/>
                <w:szCs w:val="22"/>
                <w:lang w:eastAsia="en-US"/>
              </w:rPr>
            </w:pPr>
            <w:r>
              <w:rPr>
                <w:sz w:val="22"/>
                <w:szCs w:val="22"/>
                <w:lang w:eastAsia="en-US"/>
              </w:rPr>
              <w:t>0</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44C84178" w14:textId="77777777">
            <w:pPr>
              <w:jc w:val="right"/>
              <w:rPr>
                <w:sz w:val="22"/>
                <w:szCs w:val="22"/>
                <w:lang w:eastAsia="en-US"/>
              </w:rPr>
            </w:pPr>
            <w:r>
              <w:rPr>
                <w:sz w:val="22"/>
                <w:szCs w:val="22"/>
                <w:lang w:eastAsia="en-US"/>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51847953" w14:textId="77777777">
            <w:pPr>
              <w:jc w:val="right"/>
              <w:rPr>
                <w:sz w:val="22"/>
                <w:szCs w:val="22"/>
                <w:lang w:eastAsia="en-US"/>
              </w:rPr>
            </w:pPr>
            <w:r>
              <w:rPr>
                <w:sz w:val="22"/>
                <w:szCs w:val="22"/>
                <w:lang w:eastAsia="en-US"/>
              </w:rPr>
              <w:t>0</w:t>
            </w:r>
          </w:p>
        </w:tc>
      </w:tr>
      <w:tr w14:paraId="6DDDF9A1"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C1D83" w:rsidRPr="004668F6" w:rsidP="00604E95" w14:paraId="4C6D66F7" w14:textId="77777777">
            <w:pPr>
              <w:rPr>
                <w:lang w:eastAsia="en-US"/>
              </w:rPr>
            </w:pPr>
            <w:r w:rsidRPr="004668F6">
              <w:t>3.3. pašvaldību budžets</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1C14026D" w14:textId="77777777">
            <w:pPr>
              <w:jc w:val="right"/>
              <w:rPr>
                <w:sz w:val="22"/>
                <w:szCs w:val="22"/>
                <w:lang w:eastAsia="en-US"/>
              </w:rPr>
            </w:pPr>
            <w:r w:rsidRPr="004668F6">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0C1D83" w:rsidRPr="004668F6" w:rsidP="00604E95" w14:paraId="46ADCA44" w14:textId="77777777">
            <w:pPr>
              <w:jc w:val="right"/>
              <w:rPr>
                <w:sz w:val="22"/>
                <w:szCs w:val="22"/>
                <w:lang w:eastAsia="en-US"/>
              </w:rPr>
            </w:pPr>
            <w:r w:rsidRPr="004668F6">
              <w:rPr>
                <w:sz w:val="22"/>
                <w:szCs w:val="22"/>
                <w:lang w:eastAsia="en-US"/>
              </w:rPr>
              <w:t>0</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14357529" w14:textId="77777777">
            <w:pPr>
              <w:jc w:val="right"/>
              <w:rPr>
                <w:sz w:val="22"/>
                <w:szCs w:val="22"/>
                <w:lang w:eastAsia="en-US"/>
              </w:rPr>
            </w:pPr>
            <w:r>
              <w:rPr>
                <w:sz w:val="22"/>
                <w:szCs w:val="22"/>
                <w:lang w:eastAsia="en-US"/>
              </w:rPr>
              <w:t>0</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61DC734B" w14:textId="77777777">
            <w:pPr>
              <w:jc w:val="right"/>
              <w:rPr>
                <w:sz w:val="22"/>
                <w:szCs w:val="22"/>
                <w:lang w:eastAsia="en-US"/>
              </w:rPr>
            </w:pPr>
            <w:r>
              <w:rPr>
                <w:sz w:val="22"/>
                <w:szCs w:val="22"/>
                <w:lang w:eastAsia="en-US"/>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613FF66F" w14:textId="77777777">
            <w:pPr>
              <w:jc w:val="right"/>
              <w:rPr>
                <w:sz w:val="22"/>
                <w:szCs w:val="22"/>
                <w:lang w:eastAsia="en-US"/>
              </w:rPr>
            </w:pPr>
            <w:r>
              <w:rPr>
                <w:sz w:val="22"/>
                <w:szCs w:val="22"/>
                <w:lang w:eastAsia="en-US"/>
              </w:rPr>
              <w:t>0</w:t>
            </w:r>
          </w:p>
        </w:tc>
      </w:tr>
      <w:tr w14:paraId="3C27ED85" w14:textId="77777777" w:rsidTr="00776898">
        <w:tblPrEx>
          <w:tblW w:w="5502" w:type="pct"/>
          <w:tblInd w:w="-318" w:type="dxa"/>
          <w:tblLayout w:type="fixed"/>
          <w:tblLook w:val="04A0"/>
        </w:tblPrEx>
        <w:trPr>
          <w:trHeight w:val="1380"/>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C1D83" w:rsidRPr="004668F6" w:rsidP="00604E95" w14:paraId="77BE989C" w14:textId="77777777">
            <w:pPr>
              <w:rPr>
                <w:lang w:eastAsia="en-US"/>
              </w:rPr>
            </w:pPr>
            <w:r w:rsidRPr="004668F6">
              <w:t>4. Finanšu līdzekļi papildu izdevumu finansēšanai (kompensējošu izdevumu samazinājumu norāda ar „+” zīmi</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65F19414" w14:textId="77777777">
            <w:pPr>
              <w:jc w:val="right"/>
              <w:rPr>
                <w:sz w:val="22"/>
                <w:szCs w:val="22"/>
                <w:lang w:eastAsia="en-US"/>
              </w:rPr>
            </w:pPr>
            <w:r w:rsidRPr="004668F6">
              <w:rPr>
                <w:sz w:val="22"/>
                <w:szCs w:val="22"/>
                <w:lang w:eastAsia="en-US"/>
              </w:rPr>
              <w:t>x</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0C1D83" w:rsidRPr="004668F6" w:rsidP="00604E95" w14:paraId="7FCAA365" w14:textId="77777777">
            <w:pPr>
              <w:jc w:val="right"/>
              <w:rPr>
                <w:sz w:val="22"/>
                <w:szCs w:val="22"/>
                <w:lang w:eastAsia="en-US"/>
              </w:rPr>
            </w:pPr>
            <w:r w:rsidRPr="004668F6">
              <w:rPr>
                <w:sz w:val="22"/>
                <w:szCs w:val="22"/>
                <w:lang w:eastAsia="en-US"/>
              </w:rPr>
              <w:t>0</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1BEB5B9F" w14:textId="77777777">
            <w:pPr>
              <w:jc w:val="right"/>
              <w:rPr>
                <w:sz w:val="22"/>
                <w:szCs w:val="22"/>
                <w:lang w:eastAsia="en-US"/>
              </w:rPr>
            </w:pPr>
            <w:r>
              <w:rPr>
                <w:sz w:val="22"/>
                <w:szCs w:val="22"/>
                <w:lang w:eastAsia="en-US"/>
              </w:rPr>
              <w:t>0</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2F26950A" w14:textId="77777777">
            <w:pPr>
              <w:jc w:val="right"/>
              <w:rPr>
                <w:sz w:val="22"/>
                <w:szCs w:val="22"/>
                <w:lang w:eastAsia="en-US"/>
              </w:rPr>
            </w:pPr>
            <w:r>
              <w:rPr>
                <w:sz w:val="22"/>
                <w:szCs w:val="22"/>
                <w:lang w:eastAsia="en-US"/>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604E95" w14:paraId="763075E6" w14:textId="77777777">
            <w:pPr>
              <w:jc w:val="right"/>
              <w:rPr>
                <w:sz w:val="22"/>
                <w:szCs w:val="22"/>
                <w:lang w:eastAsia="en-US"/>
              </w:rPr>
            </w:pPr>
            <w:r>
              <w:rPr>
                <w:sz w:val="22"/>
                <w:szCs w:val="22"/>
                <w:lang w:eastAsia="en-US"/>
              </w:rPr>
              <w:t>0</w:t>
            </w:r>
          </w:p>
        </w:tc>
      </w:tr>
      <w:tr w14:paraId="11E0E103"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C1D83" w:rsidRPr="004668F6" w:rsidP="000F5C7E" w14:paraId="62CFCF9F" w14:textId="77777777">
            <w:pPr>
              <w:rPr>
                <w:lang w:eastAsia="en-US"/>
              </w:rPr>
            </w:pPr>
            <w:r w:rsidRPr="004668F6">
              <w:t>5. Precizētā finansiālā ietekme:</w:t>
            </w:r>
          </w:p>
        </w:tc>
        <w:tc>
          <w:tcPr>
            <w:tcW w:w="7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0F5C7E" w14:paraId="595CEB77" w14:textId="77777777">
            <w:pPr>
              <w:jc w:val="right"/>
              <w:rPr>
                <w:sz w:val="22"/>
                <w:szCs w:val="22"/>
                <w:lang w:eastAsia="en-US"/>
              </w:rPr>
            </w:pPr>
            <w:r w:rsidRPr="004668F6">
              <w:rPr>
                <w:sz w:val="22"/>
                <w:szCs w:val="22"/>
                <w:lang w:eastAsia="en-US"/>
              </w:rPr>
              <w:t>x</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0F5C7E" w14:paraId="5CC212DD" w14:textId="77777777">
            <w:pPr>
              <w:jc w:val="right"/>
              <w:rPr>
                <w:sz w:val="22"/>
                <w:szCs w:val="22"/>
                <w:lang w:eastAsia="en-US"/>
              </w:rPr>
            </w:pPr>
            <w:r>
              <w:rPr>
                <w:sz w:val="22"/>
                <w:szCs w:val="22"/>
                <w:lang w:eastAsia="en-US"/>
              </w:rPr>
              <w:t>-59 663</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89613D" w14:paraId="1C5A91F0" w14:textId="77777777">
            <w:pPr>
              <w:jc w:val="right"/>
              <w:rPr>
                <w:sz w:val="22"/>
                <w:szCs w:val="22"/>
                <w:lang w:eastAsia="en-US"/>
              </w:rPr>
            </w:pPr>
            <w:r>
              <w:rPr>
                <w:sz w:val="22"/>
                <w:szCs w:val="22"/>
                <w:lang w:eastAsia="en-US"/>
              </w:rPr>
              <w:t>-57 726</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0F5C7E" w14:paraId="599D5C02" w14:textId="77777777">
            <w:pPr>
              <w:jc w:val="right"/>
              <w:rPr>
                <w:sz w:val="22"/>
                <w:szCs w:val="22"/>
                <w:lang w:eastAsia="en-US"/>
              </w:rPr>
            </w:pPr>
            <w:r>
              <w:rPr>
                <w:sz w:val="22"/>
                <w:szCs w:val="22"/>
                <w:lang w:eastAsia="en-US"/>
              </w:rPr>
              <w:t>-32 611</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0F5C7E" w14:paraId="04DF9EEF" w14:textId="77777777">
            <w:pPr>
              <w:jc w:val="right"/>
              <w:rPr>
                <w:sz w:val="22"/>
                <w:szCs w:val="22"/>
                <w:lang w:eastAsia="en-US"/>
              </w:rPr>
            </w:pPr>
            <w:r>
              <w:rPr>
                <w:sz w:val="22"/>
                <w:szCs w:val="22"/>
                <w:lang w:eastAsia="en-US"/>
              </w:rPr>
              <w:t>-</w:t>
            </w:r>
            <w:r w:rsidR="007877FB">
              <w:rPr>
                <w:sz w:val="20"/>
                <w:szCs w:val="20"/>
                <w:lang w:eastAsia="en-US"/>
              </w:rPr>
              <w:t>97 084</w:t>
            </w:r>
          </w:p>
        </w:tc>
      </w:tr>
      <w:tr w14:paraId="603A3DA0"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C1D83" w:rsidRPr="004668F6" w:rsidP="000F5C7E" w14:paraId="7B24EDAD" w14:textId="77777777">
            <w:pPr>
              <w:rPr>
                <w:lang w:eastAsia="en-US"/>
              </w:rPr>
            </w:pPr>
            <w:r w:rsidRPr="004668F6">
              <w:t>5.1. valsts pamatbudžets</w:t>
            </w:r>
          </w:p>
        </w:tc>
        <w:tc>
          <w:tcPr>
            <w:tcW w:w="7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0F5C7E" w14:paraId="52BF11E3" w14:textId="77777777">
            <w:pPr>
              <w:rPr>
                <w:sz w:val="22"/>
                <w:szCs w:val="22"/>
                <w:lang w:eastAsia="en-US"/>
              </w:rPr>
            </w:pP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0F5C7E" w14:paraId="071E1E0A" w14:textId="77777777">
            <w:pPr>
              <w:jc w:val="right"/>
              <w:rPr>
                <w:sz w:val="22"/>
                <w:szCs w:val="22"/>
                <w:lang w:eastAsia="en-US"/>
              </w:rPr>
            </w:pPr>
            <w:r>
              <w:rPr>
                <w:sz w:val="22"/>
                <w:szCs w:val="22"/>
                <w:lang w:eastAsia="en-US"/>
              </w:rPr>
              <w:t>-59 663</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0F5C7E" w14:paraId="297320AE" w14:textId="77777777">
            <w:pPr>
              <w:jc w:val="right"/>
              <w:rPr>
                <w:sz w:val="22"/>
                <w:szCs w:val="22"/>
                <w:lang w:eastAsia="en-US"/>
              </w:rPr>
            </w:pPr>
            <w:r>
              <w:rPr>
                <w:sz w:val="22"/>
                <w:szCs w:val="22"/>
                <w:lang w:eastAsia="en-US"/>
              </w:rPr>
              <w:t>-57 726</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89613D" w14:paraId="40B96BC8" w14:textId="77777777">
            <w:pPr>
              <w:jc w:val="right"/>
              <w:rPr>
                <w:sz w:val="22"/>
                <w:szCs w:val="22"/>
                <w:lang w:eastAsia="en-US"/>
              </w:rPr>
            </w:pPr>
            <w:r>
              <w:rPr>
                <w:sz w:val="22"/>
                <w:szCs w:val="22"/>
                <w:lang w:eastAsia="en-US"/>
              </w:rPr>
              <w:t>-32 611</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0F5C7E" w14:paraId="2468B6D1" w14:textId="77777777">
            <w:pPr>
              <w:jc w:val="right"/>
              <w:rPr>
                <w:sz w:val="22"/>
                <w:szCs w:val="22"/>
                <w:lang w:eastAsia="en-US"/>
              </w:rPr>
            </w:pPr>
            <w:r>
              <w:rPr>
                <w:sz w:val="22"/>
                <w:szCs w:val="22"/>
                <w:lang w:eastAsia="en-US"/>
              </w:rPr>
              <w:t>-</w:t>
            </w:r>
            <w:r w:rsidR="007877FB">
              <w:rPr>
                <w:sz w:val="20"/>
                <w:szCs w:val="20"/>
                <w:lang w:eastAsia="en-US"/>
              </w:rPr>
              <w:t>97 084</w:t>
            </w:r>
          </w:p>
        </w:tc>
      </w:tr>
      <w:tr w14:paraId="20CA3718"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C1D83" w:rsidRPr="004668F6" w:rsidP="000F5C7E" w14:paraId="355B0AD4" w14:textId="77777777">
            <w:pPr>
              <w:rPr>
                <w:lang w:eastAsia="en-US"/>
              </w:rPr>
            </w:pPr>
            <w:r w:rsidRPr="004668F6">
              <w:t>5.2. speciālais budžets</w:t>
            </w:r>
          </w:p>
        </w:tc>
        <w:tc>
          <w:tcPr>
            <w:tcW w:w="7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0F5C7E" w14:paraId="00BB297B" w14:textId="77777777">
            <w:pPr>
              <w:rPr>
                <w:sz w:val="22"/>
                <w:szCs w:val="22"/>
                <w:lang w:eastAsia="en-US"/>
              </w:rPr>
            </w:pP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0F5C7E" w14:paraId="27330B95" w14:textId="77777777">
            <w:pPr>
              <w:jc w:val="right"/>
              <w:rPr>
                <w:sz w:val="22"/>
                <w:szCs w:val="22"/>
                <w:lang w:eastAsia="en-US"/>
              </w:rPr>
            </w:pPr>
            <w:r w:rsidRPr="004668F6">
              <w:rPr>
                <w:sz w:val="22"/>
                <w:szCs w:val="22"/>
                <w:lang w:eastAsia="en-US"/>
              </w:rPr>
              <w:t>0</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0F5C7E" w14:paraId="6C5019EF" w14:textId="77777777">
            <w:pPr>
              <w:jc w:val="right"/>
              <w:rPr>
                <w:sz w:val="22"/>
                <w:szCs w:val="22"/>
                <w:lang w:eastAsia="en-US"/>
              </w:rPr>
            </w:pPr>
            <w:r>
              <w:rPr>
                <w:sz w:val="22"/>
                <w:szCs w:val="22"/>
                <w:lang w:eastAsia="en-US"/>
              </w:rPr>
              <w:t>0</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0F5C7E" w14:paraId="57FFE41D" w14:textId="77777777">
            <w:pPr>
              <w:jc w:val="right"/>
              <w:rPr>
                <w:sz w:val="22"/>
                <w:szCs w:val="22"/>
                <w:lang w:eastAsia="en-US"/>
              </w:rPr>
            </w:pPr>
            <w:r>
              <w:rPr>
                <w:sz w:val="22"/>
                <w:szCs w:val="22"/>
                <w:lang w:eastAsia="en-US"/>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0F5C7E" w14:paraId="0EDF1F8E" w14:textId="77777777">
            <w:pPr>
              <w:jc w:val="right"/>
              <w:rPr>
                <w:sz w:val="22"/>
                <w:szCs w:val="22"/>
                <w:lang w:eastAsia="en-US"/>
              </w:rPr>
            </w:pPr>
            <w:r>
              <w:rPr>
                <w:sz w:val="22"/>
                <w:szCs w:val="22"/>
                <w:lang w:eastAsia="en-US"/>
              </w:rPr>
              <w:t>0</w:t>
            </w:r>
          </w:p>
        </w:tc>
      </w:tr>
      <w:tr w14:paraId="4A48B312"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C1D83" w:rsidRPr="004668F6" w:rsidP="000F5C7E" w14:paraId="08B06984" w14:textId="77777777">
            <w:pPr>
              <w:rPr>
                <w:lang w:eastAsia="en-US"/>
              </w:rPr>
            </w:pPr>
            <w:r w:rsidRPr="004668F6">
              <w:t>5.3. pašvaldību budžets</w:t>
            </w:r>
          </w:p>
        </w:tc>
        <w:tc>
          <w:tcPr>
            <w:tcW w:w="7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0F5C7E" w14:paraId="72CC9F9A" w14:textId="77777777">
            <w:pPr>
              <w:rPr>
                <w:sz w:val="22"/>
                <w:szCs w:val="22"/>
                <w:lang w:eastAsia="en-US"/>
              </w:rPr>
            </w:pP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0F5C7E" w14:paraId="2F13CF0F" w14:textId="77777777">
            <w:pPr>
              <w:jc w:val="right"/>
              <w:rPr>
                <w:sz w:val="22"/>
                <w:szCs w:val="22"/>
                <w:lang w:eastAsia="en-US"/>
              </w:rPr>
            </w:pPr>
            <w:r w:rsidRPr="004668F6">
              <w:rPr>
                <w:sz w:val="22"/>
                <w:szCs w:val="22"/>
                <w:lang w:eastAsia="en-US"/>
              </w:rPr>
              <w:t>0</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0F5C7E" w14:paraId="25FB2C85" w14:textId="77777777">
            <w:pPr>
              <w:jc w:val="right"/>
              <w:rPr>
                <w:sz w:val="22"/>
                <w:szCs w:val="22"/>
                <w:lang w:eastAsia="en-US"/>
              </w:rPr>
            </w:pPr>
            <w:r w:rsidRPr="004668F6">
              <w:rPr>
                <w:sz w:val="22"/>
                <w:szCs w:val="22"/>
                <w:lang w:eastAsia="en-US"/>
              </w:rPr>
              <w:t>0</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0F5C7E" w14:paraId="2FE7BB64" w14:textId="77777777">
            <w:pPr>
              <w:jc w:val="right"/>
              <w:rPr>
                <w:sz w:val="22"/>
                <w:szCs w:val="22"/>
                <w:lang w:eastAsia="en-US"/>
              </w:rPr>
            </w:pPr>
            <w:r w:rsidRPr="004668F6">
              <w:rPr>
                <w:sz w:val="22"/>
                <w:szCs w:val="22"/>
                <w:lang w:eastAsia="en-US"/>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C1D83" w:rsidRPr="004668F6" w:rsidP="000F5C7E" w14:paraId="680CB355" w14:textId="77777777">
            <w:pPr>
              <w:jc w:val="right"/>
              <w:rPr>
                <w:sz w:val="22"/>
                <w:szCs w:val="22"/>
                <w:lang w:eastAsia="en-US"/>
              </w:rPr>
            </w:pPr>
            <w:r w:rsidRPr="004668F6">
              <w:rPr>
                <w:sz w:val="22"/>
                <w:szCs w:val="22"/>
                <w:lang w:eastAsia="en-US"/>
              </w:rPr>
              <w:t>0</w:t>
            </w:r>
          </w:p>
        </w:tc>
      </w:tr>
      <w:tr w14:paraId="1D554CE7"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C1D83" w:rsidRPr="004668F6" w:rsidP="00FF1F46" w14:paraId="620AA8A8" w14:textId="77777777">
            <w:pPr>
              <w:rPr>
                <w:lang w:eastAsia="en-US"/>
              </w:rPr>
            </w:pPr>
            <w:r w:rsidRPr="004668F6">
              <w:t xml:space="preserve">6. Detalizēts ieņēmumu un izdevumu aprēķins (ja nepieciešams, detalizētu ieņēmumu un izdevumu aprēķinu var pievienot </w:t>
            </w:r>
            <w:r w:rsidRPr="004668F6">
              <w:t>anotācijas pielikumā):</w:t>
            </w:r>
          </w:p>
        </w:tc>
        <w:tc>
          <w:tcPr>
            <w:tcW w:w="4151"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0C1D83" w:rsidRPr="008749DB" w:rsidP="008749DB" w14:paraId="4DF51D2E" w14:textId="2ED46744">
            <w:pPr>
              <w:jc w:val="both"/>
              <w:rPr>
                <w:lang w:eastAsia="en-US"/>
              </w:rPr>
            </w:pPr>
            <w:r w:rsidRPr="00E523DB">
              <w:rPr>
                <w:lang w:eastAsia="en-US"/>
              </w:rPr>
              <w:t xml:space="preserve">Projekts tiks </w:t>
            </w:r>
            <w:r w:rsidRPr="00E523DB" w:rsidR="00FA1AC6">
              <w:rPr>
                <w:lang w:eastAsia="en-US"/>
              </w:rPr>
              <w:t>līdz</w:t>
            </w:r>
            <w:r w:rsidRPr="00E523DB">
              <w:rPr>
                <w:lang w:eastAsia="en-US"/>
              </w:rPr>
              <w:t xml:space="preserve">finansēts no </w:t>
            </w:r>
            <w:r w:rsidR="00C60B6B">
              <w:rPr>
                <w:lang w:eastAsia="en-US"/>
              </w:rPr>
              <w:t xml:space="preserve">Eiropas Reģionālās attīstības fonda (turpmāk – </w:t>
            </w:r>
            <w:r w:rsidRPr="00E523DB" w:rsidR="00FA1AC6">
              <w:rPr>
                <w:lang w:eastAsia="en-US"/>
              </w:rPr>
              <w:t>ERAF</w:t>
            </w:r>
            <w:r w:rsidR="00C60B6B">
              <w:rPr>
                <w:lang w:eastAsia="en-US"/>
              </w:rPr>
              <w:t>)</w:t>
            </w:r>
            <w:r w:rsidRPr="00E523DB">
              <w:rPr>
                <w:lang w:eastAsia="en-US"/>
              </w:rPr>
              <w:t xml:space="preserve"> līdzekļiem, un tā kopējais finansējuma apjoms ir </w:t>
            </w:r>
            <w:r w:rsidRPr="00E523DB" w:rsidR="00E523DB">
              <w:rPr>
                <w:lang w:eastAsia="en-US"/>
              </w:rPr>
              <w:t>1</w:t>
            </w:r>
            <w:r w:rsidRPr="00E523DB">
              <w:rPr>
                <w:lang w:eastAsia="en-US"/>
              </w:rPr>
              <w:t xml:space="preserve"> 000 000  </w:t>
            </w:r>
            <w:r w:rsidRPr="00E523DB">
              <w:rPr>
                <w:i/>
                <w:lang w:eastAsia="en-US"/>
              </w:rPr>
              <w:t>euro</w:t>
            </w:r>
            <w:r w:rsidRPr="00E523DB">
              <w:rPr>
                <w:lang w:eastAsia="en-US"/>
              </w:rPr>
              <w:t xml:space="preserve">, </w:t>
            </w:r>
            <w:r w:rsidRPr="00E523DB" w:rsidR="00FA1AC6">
              <w:rPr>
                <w:lang w:eastAsia="en-US"/>
              </w:rPr>
              <w:t xml:space="preserve">tajā skaitā ERAF finansējums </w:t>
            </w:r>
            <w:r w:rsidRPr="00E523DB" w:rsidR="00E523DB">
              <w:rPr>
                <w:lang w:eastAsia="en-US"/>
              </w:rPr>
              <w:t>8</w:t>
            </w:r>
            <w:r w:rsidRPr="00E523DB" w:rsidR="00FA1AC6">
              <w:rPr>
                <w:lang w:eastAsia="en-US"/>
              </w:rPr>
              <w:t xml:space="preserve">50 000 </w:t>
            </w:r>
            <w:r w:rsidRPr="00E523DB" w:rsidR="00FA1AC6">
              <w:rPr>
                <w:i/>
                <w:lang w:eastAsia="en-US"/>
              </w:rPr>
              <w:t>euro</w:t>
            </w:r>
            <w:r w:rsidRPr="00E523DB" w:rsidR="00FA1AC6">
              <w:rPr>
                <w:lang w:eastAsia="en-US"/>
              </w:rPr>
              <w:t xml:space="preserve"> un valsts budžeta finansējums </w:t>
            </w:r>
            <w:r w:rsidRPr="00E523DB" w:rsidR="00E523DB">
              <w:rPr>
                <w:lang w:eastAsia="en-US"/>
              </w:rPr>
              <w:t>1</w:t>
            </w:r>
            <w:r w:rsidRPr="00E523DB" w:rsidR="00FA1AC6">
              <w:rPr>
                <w:lang w:eastAsia="en-US"/>
              </w:rPr>
              <w:t xml:space="preserve">50 000 </w:t>
            </w:r>
            <w:r w:rsidRPr="00E523DB" w:rsidR="00FA1AC6">
              <w:rPr>
                <w:i/>
                <w:lang w:eastAsia="en-US"/>
              </w:rPr>
              <w:t xml:space="preserve">euro. </w:t>
            </w:r>
            <w:r w:rsidRPr="00E523DB" w:rsidR="00FA1AC6">
              <w:rPr>
                <w:lang w:eastAsia="en-US"/>
              </w:rPr>
              <w:t>N</w:t>
            </w:r>
            <w:r w:rsidRPr="00E523DB">
              <w:rPr>
                <w:lang w:eastAsia="en-US"/>
              </w:rPr>
              <w:t>o tiem 2017. gadā –</w:t>
            </w:r>
            <w:r w:rsidRPr="00AE467F" w:rsidR="00EF0054">
              <w:t>397 754</w:t>
            </w:r>
            <w:r w:rsidRPr="008749DB" w:rsidR="00EF0054">
              <w:rPr>
                <w:lang w:eastAsia="en-US"/>
              </w:rPr>
              <w:t xml:space="preserve"> </w:t>
            </w:r>
            <w:r w:rsidRPr="008749DB">
              <w:rPr>
                <w:i/>
                <w:lang w:eastAsia="en-US"/>
              </w:rPr>
              <w:t>euro</w:t>
            </w:r>
            <w:r w:rsidRPr="008749DB">
              <w:rPr>
                <w:lang w:eastAsia="en-US"/>
              </w:rPr>
              <w:t>, 2018. gadā –</w:t>
            </w:r>
            <w:r w:rsidRPr="00AE467F" w:rsidR="00EF0054">
              <w:t>384 839</w:t>
            </w:r>
            <w:r w:rsidRPr="008749DB" w:rsidR="00EF0054">
              <w:rPr>
                <w:lang w:eastAsia="en-US"/>
              </w:rPr>
              <w:t xml:space="preserve"> </w:t>
            </w:r>
            <w:r w:rsidRPr="008749DB">
              <w:rPr>
                <w:lang w:eastAsia="en-US"/>
              </w:rPr>
              <w:t>e</w:t>
            </w:r>
            <w:r w:rsidRPr="008749DB">
              <w:rPr>
                <w:i/>
                <w:lang w:eastAsia="en-US"/>
              </w:rPr>
              <w:t xml:space="preserve">uro, </w:t>
            </w:r>
            <w:r w:rsidRPr="008749DB">
              <w:rPr>
                <w:lang w:eastAsia="en-US"/>
              </w:rPr>
              <w:t xml:space="preserve">2019.gadā - </w:t>
            </w:r>
            <w:r w:rsidRPr="00AE467F" w:rsidR="00EF0054">
              <w:t>217 407</w:t>
            </w:r>
            <w:r w:rsidRPr="008749DB">
              <w:t xml:space="preserve"> </w:t>
            </w:r>
            <w:r w:rsidRPr="008749DB">
              <w:rPr>
                <w:i/>
                <w:lang w:eastAsia="en-US"/>
              </w:rPr>
              <w:t>euro.</w:t>
            </w:r>
            <w:r w:rsidRPr="008749DB">
              <w:rPr>
                <w:sz w:val="22"/>
                <w:szCs w:val="22"/>
                <w:lang w:eastAsia="en-US"/>
              </w:rPr>
              <w:t xml:space="preserve"> </w:t>
            </w:r>
          </w:p>
          <w:p w:rsidR="000C1D83" w:rsidP="00FA1AC6" w14:paraId="4F6D59FB" w14:textId="77777777">
            <w:pPr>
              <w:jc w:val="both"/>
              <w:rPr>
                <w:b/>
                <w:lang w:eastAsia="en-US"/>
              </w:rPr>
            </w:pPr>
            <w:r w:rsidRPr="008749DB">
              <w:rPr>
                <w:lang w:eastAsia="en-US"/>
              </w:rPr>
              <w:t>Projekta rezultātu uzturēšanai nepieciešami līdzekļi 15% apmērā no projekta summas</w:t>
            </w:r>
            <w:r w:rsidR="00395A24">
              <w:rPr>
                <w:lang w:eastAsia="en-US"/>
              </w:rPr>
              <w:t xml:space="preserve"> – </w:t>
            </w:r>
            <w:r w:rsidR="00B42A94">
              <w:rPr>
                <w:b/>
                <w:lang w:eastAsia="en-US"/>
              </w:rPr>
              <w:t>147 084</w:t>
            </w:r>
            <w:r w:rsidRPr="00193CAA" w:rsidR="00395A24">
              <w:rPr>
                <w:b/>
                <w:lang w:eastAsia="en-US"/>
              </w:rPr>
              <w:t xml:space="preserve"> </w:t>
            </w:r>
            <w:r w:rsidRPr="00193CAA" w:rsidR="00395A24">
              <w:rPr>
                <w:b/>
                <w:i/>
                <w:lang w:eastAsia="en-US"/>
              </w:rPr>
              <w:t>euro</w:t>
            </w:r>
            <w:r w:rsidR="00395A24">
              <w:rPr>
                <w:lang w:eastAsia="en-US"/>
              </w:rPr>
              <w:t>.</w:t>
            </w:r>
            <w:r w:rsidR="00D244BB">
              <w:rPr>
                <w:lang w:eastAsia="en-US"/>
              </w:rPr>
              <w:t xml:space="preserve"> </w:t>
            </w:r>
            <w:r w:rsidR="00395A24">
              <w:rPr>
                <w:lang w:eastAsia="en-US"/>
              </w:rPr>
              <w:t>T</w:t>
            </w:r>
            <w:r w:rsidRPr="008749DB">
              <w:rPr>
                <w:lang w:eastAsia="en-US"/>
              </w:rPr>
              <w:t xml:space="preserve">ā kā </w:t>
            </w:r>
            <w:r w:rsidRPr="00AE467F">
              <w:rPr>
                <w:lang w:eastAsia="en-US"/>
              </w:rPr>
              <w:t>infrastruktūras uzturēšanu</w:t>
            </w:r>
            <w:r w:rsidRPr="008749DB">
              <w:rPr>
                <w:lang w:eastAsia="en-US"/>
              </w:rPr>
              <w:t xml:space="preserve"> 5% apmērā </w:t>
            </w:r>
            <w:r w:rsidRPr="008749DB" w:rsidR="000772E5">
              <w:rPr>
                <w:lang w:eastAsia="en-US"/>
              </w:rPr>
              <w:t xml:space="preserve">no projekta summas </w:t>
            </w:r>
            <w:r w:rsidRPr="008749DB">
              <w:rPr>
                <w:lang w:eastAsia="en-US"/>
              </w:rPr>
              <w:t>VRAA nodrošinās no sava budžeta līdzekļiem</w:t>
            </w:r>
            <w:r w:rsidRPr="008749DB" w:rsidR="000C4027">
              <w:rPr>
                <w:lang w:eastAsia="en-US"/>
              </w:rPr>
              <w:t xml:space="preserve"> – 32.00.00 programmas “Valsts reģionālās attīstības politikas īstenošana”</w:t>
            </w:r>
            <w:r w:rsidR="00395A24">
              <w:rPr>
                <w:lang w:eastAsia="en-US"/>
              </w:rPr>
              <w:t xml:space="preserve"> – </w:t>
            </w:r>
            <w:r w:rsidRPr="00193CAA" w:rsidR="00395A24">
              <w:rPr>
                <w:b/>
                <w:lang w:eastAsia="en-US"/>
              </w:rPr>
              <w:t xml:space="preserve">50 000 </w:t>
            </w:r>
            <w:r w:rsidRPr="00193CAA" w:rsidR="00395A24">
              <w:rPr>
                <w:b/>
                <w:i/>
                <w:lang w:eastAsia="en-US"/>
              </w:rPr>
              <w:t>euro</w:t>
            </w:r>
            <w:r w:rsidRPr="008749DB">
              <w:rPr>
                <w:lang w:eastAsia="en-US"/>
              </w:rPr>
              <w:t xml:space="preserve">, </w:t>
            </w:r>
            <w:r w:rsidRPr="00AE467F" w:rsidR="000C4027">
              <w:rPr>
                <w:lang w:eastAsia="en-US"/>
              </w:rPr>
              <w:t>sākot ar 2020.gadu</w:t>
            </w:r>
            <w:r w:rsidRPr="008749DB" w:rsidR="000C4027">
              <w:rPr>
                <w:lang w:eastAsia="en-US"/>
              </w:rPr>
              <w:t xml:space="preserve"> </w:t>
            </w:r>
            <w:r w:rsidRPr="008749DB">
              <w:rPr>
                <w:lang w:eastAsia="en-US"/>
              </w:rPr>
              <w:t>papildu nepieciešami līdz</w:t>
            </w:r>
            <w:r>
              <w:rPr>
                <w:lang w:eastAsia="en-US"/>
              </w:rPr>
              <w:t xml:space="preserve">ekļi </w:t>
            </w:r>
            <w:r w:rsidR="00395A24">
              <w:rPr>
                <w:lang w:eastAsia="en-US"/>
              </w:rPr>
              <w:t xml:space="preserve"> ir </w:t>
            </w:r>
            <w:r>
              <w:rPr>
                <w:lang w:eastAsia="en-US"/>
              </w:rPr>
              <w:t xml:space="preserve">10% apmērā, t.i. </w:t>
            </w:r>
            <w:r w:rsidR="00B42A94">
              <w:rPr>
                <w:b/>
                <w:lang w:eastAsia="en-US"/>
              </w:rPr>
              <w:t>97 084</w:t>
            </w:r>
            <w:r w:rsidRPr="00137314">
              <w:rPr>
                <w:b/>
                <w:lang w:eastAsia="en-US"/>
              </w:rPr>
              <w:t xml:space="preserve"> </w:t>
            </w:r>
            <w:r w:rsidRPr="007C2B33">
              <w:rPr>
                <w:b/>
                <w:i/>
                <w:lang w:eastAsia="en-US"/>
              </w:rPr>
              <w:t>euro</w:t>
            </w:r>
            <w:r w:rsidR="00C849B0">
              <w:rPr>
                <w:b/>
                <w:lang w:eastAsia="en-US"/>
              </w:rPr>
              <w:t>.</w:t>
            </w:r>
          </w:p>
          <w:p w:rsidR="009A00F0" w:rsidP="00FA1AC6" w14:paraId="3121DE15" w14:textId="77777777">
            <w:pPr>
              <w:jc w:val="both"/>
              <w:rPr>
                <w:lang w:eastAsia="en-US"/>
              </w:rPr>
            </w:pPr>
          </w:p>
          <w:p w:rsidR="001349DD" w:rsidRPr="00A07482" w:rsidP="001349DD" w14:paraId="7B5194AE" w14:textId="77777777">
            <w:pPr>
              <w:pStyle w:val="naisc"/>
              <w:spacing w:before="0" w:after="0"/>
              <w:jc w:val="both"/>
            </w:pPr>
            <w:r w:rsidRPr="00314AF6">
              <w:t>VRAA vei</w:t>
            </w:r>
            <w:r w:rsidR="00B06EB7">
              <w:t>cot</w:t>
            </w:r>
            <w:r w:rsidRPr="00314AF6">
              <w:t xml:space="preserve"> 32.00.00 programmas “Valsts reģionālās attīstības politikas īstenošana” ietvaros piešķirt</w:t>
            </w:r>
            <w:r w:rsidR="00B06EB7">
              <w:t>o</w:t>
            </w:r>
            <w:r w:rsidRPr="00314AF6">
              <w:t xml:space="preserve"> līdzekļ</w:t>
            </w:r>
            <w:r w:rsidR="00B06EB7">
              <w:t>u</w:t>
            </w:r>
            <w:r w:rsidRPr="00314AF6">
              <w:t xml:space="preserve"> projektu </w:t>
            </w:r>
            <w:r w:rsidRPr="00B7705E">
              <w:t>“Pašvaldību teritorijas attīstības plānošanas, infrastruktūras un nekustamo īpašumu pārvaldības un uzraudzības informācijas sistēma - 1. kārta”</w:t>
            </w:r>
            <w:r w:rsidRPr="00484680">
              <w:t xml:space="preserve"> (Vienošanās Nr.3DP/3.2.2.1.1./09/IPIA/IUMEPLS/005) un projekta “Pašvaldību teritorijas attīstības plāno</w:t>
            </w:r>
            <w:r w:rsidRPr="00A6101A">
              <w:t xml:space="preserve">šanas, infrastruktūras un nekustamo īpašumu pārvaldības un uzraudzības informācijas sistēmas ieviešana novados - 2.kārta” </w:t>
            </w:r>
            <w:r w:rsidRPr="0065081B">
              <w:t xml:space="preserve">(Vienošanās Nr.3DP/3.2.2.1.1./09/IPIA/IUMEPLS/018) </w:t>
            </w:r>
            <w:r w:rsidRPr="00900F92">
              <w:t xml:space="preserve">sasniegto rezultātu uzturēšanai </w:t>
            </w:r>
            <w:r w:rsidRPr="00314AF6" w:rsidR="00B06EB7">
              <w:t>izvērtējumu</w:t>
            </w:r>
            <w:r w:rsidR="00B06EB7">
              <w:t>,</w:t>
            </w:r>
            <w:r w:rsidRPr="00900F92" w:rsidR="00B06EB7">
              <w:t xml:space="preserve"> </w:t>
            </w:r>
            <w:r w:rsidR="00B06EB7">
              <w:t>secina</w:t>
            </w:r>
            <w:r w:rsidRPr="00900F92">
              <w:t>, ka P</w:t>
            </w:r>
            <w:r w:rsidRPr="00016EB1">
              <w:t>rojekta 1. kārtas uzturēšanai kopum</w:t>
            </w:r>
            <w:r w:rsidRPr="0035494D">
              <w:t xml:space="preserve">ā gadā tiek novirzīti līdzekļi 197 630 </w:t>
            </w:r>
            <w:r w:rsidRPr="00B06EB7">
              <w:rPr>
                <w:i/>
              </w:rPr>
              <w:t>euro</w:t>
            </w:r>
            <w:r w:rsidRPr="0035494D">
              <w:t xml:space="preserve"> apmērā, tajā skaitā drošības auditam – 30 000 </w:t>
            </w:r>
            <w:r w:rsidRPr="00B06EB7">
              <w:rPr>
                <w:i/>
              </w:rPr>
              <w:t>euro</w:t>
            </w:r>
            <w:r w:rsidRPr="0035494D">
              <w:t xml:space="preserve">, licencēm – 22 000 </w:t>
            </w:r>
            <w:r w:rsidRPr="00B06EB7">
              <w:rPr>
                <w:i/>
              </w:rPr>
              <w:t>euro</w:t>
            </w:r>
            <w:r w:rsidRPr="0035494D">
              <w:t xml:space="preserve">, datu centru pakalpojumiem – 8 500 </w:t>
            </w:r>
            <w:r w:rsidRPr="00B06EB7">
              <w:rPr>
                <w:i/>
              </w:rPr>
              <w:t>euro</w:t>
            </w:r>
            <w:r w:rsidRPr="0035494D">
              <w:t xml:space="preserve">, TAPIS programmatūras uzturēšanai – 94 500 </w:t>
            </w:r>
            <w:r w:rsidRPr="00B06EB7">
              <w:rPr>
                <w:i/>
              </w:rPr>
              <w:t>euro</w:t>
            </w:r>
            <w:r w:rsidR="00B06EB7">
              <w:t>,</w:t>
            </w:r>
            <w:r w:rsidRPr="0035494D">
              <w:t xml:space="preserve"> 2 amata vietu atlīdzībai un uzturēšanai – 42 63</w:t>
            </w:r>
            <w:r w:rsidRPr="005F05FD">
              <w:t xml:space="preserve">0 </w:t>
            </w:r>
            <w:r w:rsidRPr="00B06EB7">
              <w:rPr>
                <w:i/>
              </w:rPr>
              <w:t>euro</w:t>
            </w:r>
            <w:r w:rsidR="00B06EB7">
              <w:t>,</w:t>
            </w:r>
            <w:r w:rsidRPr="005F05FD">
              <w:t xml:space="preserve"> savukārt </w:t>
            </w:r>
            <w:r w:rsidRPr="00345703">
              <w:t>P</w:t>
            </w:r>
            <w:r w:rsidRPr="009470C5">
              <w:t xml:space="preserve">rojekta 2.kārtas uzturēšanai kopumā gadā tiek novirzīti 109 960 </w:t>
            </w:r>
            <w:r w:rsidRPr="00B06EB7">
              <w:rPr>
                <w:i/>
              </w:rPr>
              <w:t>euro</w:t>
            </w:r>
            <w:r w:rsidRPr="009470C5">
              <w:t xml:space="preserve">, tajā skaitā: drošības auditam 15 000 </w:t>
            </w:r>
            <w:r w:rsidRPr="00B06EB7">
              <w:rPr>
                <w:i/>
              </w:rPr>
              <w:t>euro</w:t>
            </w:r>
            <w:r w:rsidR="00B06EB7">
              <w:t>,</w:t>
            </w:r>
            <w:r w:rsidRPr="009470C5">
              <w:t xml:space="preserve">  RAIM </w:t>
            </w:r>
            <w:r w:rsidRPr="00A07482">
              <w:t xml:space="preserve">programmatūras uzturēšanai 39 480 </w:t>
            </w:r>
            <w:r w:rsidRPr="00B06EB7">
              <w:rPr>
                <w:i/>
              </w:rPr>
              <w:t>euro</w:t>
            </w:r>
            <w:r w:rsidRPr="00A07482">
              <w:t xml:space="preserve">, datu centru pakalpojumiem  7 080 </w:t>
            </w:r>
            <w:r w:rsidRPr="00B06EB7">
              <w:rPr>
                <w:i/>
              </w:rPr>
              <w:t>euro</w:t>
            </w:r>
            <w:r w:rsidRPr="00A07482">
              <w:t xml:space="preserve">, serveru infrastruktūrai 48 400 </w:t>
            </w:r>
            <w:r w:rsidRPr="00B06EB7">
              <w:rPr>
                <w:i/>
              </w:rPr>
              <w:t>euro</w:t>
            </w:r>
            <w:r w:rsidRPr="00A07482">
              <w:t>.</w:t>
            </w:r>
          </w:p>
          <w:p w:rsidR="0090245A" w:rsidP="001349DD" w14:paraId="03C1DB3D" w14:textId="77777777">
            <w:pPr>
              <w:pStyle w:val="ListParagraph"/>
              <w:ind w:left="27"/>
              <w:jc w:val="both"/>
            </w:pPr>
            <w:r w:rsidRPr="00B06EB7">
              <w:rPr>
                <w:u w:val="single"/>
              </w:rPr>
              <w:t xml:space="preserve">TAPIS 3.kārtas </w:t>
            </w:r>
            <w:r w:rsidR="00B06EB7">
              <w:rPr>
                <w:u w:val="single"/>
              </w:rPr>
              <w:t>P</w:t>
            </w:r>
            <w:r w:rsidRPr="00B06EB7">
              <w:rPr>
                <w:u w:val="single"/>
              </w:rPr>
              <w:t xml:space="preserve">rojekta uzturēšanai VRAA plāno novirzīt līdzekļus no iepriekš piešķirtā finansējuma – </w:t>
            </w:r>
            <w:r w:rsidRPr="006D3796">
              <w:rPr>
                <w:b/>
                <w:u w:val="single"/>
              </w:rPr>
              <w:t xml:space="preserve">50 000 </w:t>
            </w:r>
            <w:r w:rsidRPr="006D3796">
              <w:rPr>
                <w:b/>
                <w:i/>
                <w:u w:val="single"/>
              </w:rPr>
              <w:t>euro</w:t>
            </w:r>
            <w:r w:rsidRPr="00B06EB7">
              <w:rPr>
                <w:u w:val="single"/>
              </w:rPr>
              <w:t xml:space="preserve"> apmērā</w:t>
            </w:r>
            <w:r w:rsidRPr="00A07482">
              <w:t xml:space="preserve">, tajā skaitā: auditam 15 000 </w:t>
            </w:r>
            <w:r w:rsidRPr="00B06EB7">
              <w:rPr>
                <w:i/>
              </w:rPr>
              <w:t>euro</w:t>
            </w:r>
            <w:r w:rsidR="0060080C">
              <w:rPr>
                <w:i/>
              </w:rPr>
              <w:t xml:space="preserve"> </w:t>
            </w:r>
            <w:r w:rsidRPr="0060080C" w:rsidR="0060080C">
              <w:t>un</w:t>
            </w:r>
            <w:r w:rsidRPr="00A07482">
              <w:t xml:space="preserve"> serveru infrastruktūrai – 35 000 </w:t>
            </w:r>
            <w:r w:rsidRPr="00B06EB7">
              <w:rPr>
                <w:i/>
              </w:rPr>
              <w:t>euro</w:t>
            </w:r>
            <w:r w:rsidRPr="00A07482">
              <w:t xml:space="preserve"> (daļēji izmantojot </w:t>
            </w:r>
            <w:r w:rsidR="00B06EB7">
              <w:t>P</w:t>
            </w:r>
            <w:r w:rsidRPr="00A07482">
              <w:t xml:space="preserve">rojekta 1. un 2. kārtā izveidoto infrastruktūru). </w:t>
            </w:r>
            <w:r w:rsidR="0060080C">
              <w:t>N</w:t>
            </w:r>
            <w:r w:rsidRPr="00A07482">
              <w:t>ovirz</w:t>
            </w:r>
            <w:r w:rsidR="0060080C">
              <w:t>o</w:t>
            </w:r>
            <w:r w:rsidRPr="00A07482">
              <w:t>t lielāku finansējumu TAPIS 3.kārtas uzturēšanai, pastāv risks, ka pietiekošā kvalitātē netiks nodrošināta Projekta 1. un 2. kārtas sasniegto rezultātu uzturēšana.</w:t>
            </w:r>
          </w:p>
          <w:p w:rsidR="00C849B0" w:rsidP="001349DD" w14:paraId="3F0468BC" w14:textId="77777777">
            <w:pPr>
              <w:pStyle w:val="ListParagraph"/>
              <w:ind w:left="27"/>
              <w:jc w:val="both"/>
            </w:pPr>
          </w:p>
          <w:p w:rsidR="00C849B0" w:rsidP="001349DD" w14:paraId="2732C944" w14:textId="77777777">
            <w:pPr>
              <w:pStyle w:val="ListParagraph"/>
              <w:ind w:left="27"/>
              <w:jc w:val="both"/>
            </w:pPr>
            <w:r>
              <w:t>A</w:t>
            </w:r>
            <w:r w:rsidRPr="00AE467F">
              <w:t>r 2020.gadu</w:t>
            </w:r>
            <w:r w:rsidRPr="008749DB">
              <w:t xml:space="preserve"> </w:t>
            </w:r>
            <w:r>
              <w:t>papildu nepieciešamos</w:t>
            </w:r>
            <w:r w:rsidR="009A00F0">
              <w:t xml:space="preserve"> finanšu</w:t>
            </w:r>
            <w:r w:rsidRPr="008749DB">
              <w:t xml:space="preserve"> līdz</w:t>
            </w:r>
            <w:r>
              <w:t xml:space="preserve">ekļus </w:t>
            </w:r>
            <w:r>
              <w:rPr>
                <w:b/>
              </w:rPr>
              <w:t>97 084</w:t>
            </w:r>
            <w:r w:rsidRPr="00137314">
              <w:rPr>
                <w:b/>
              </w:rPr>
              <w:t xml:space="preserve"> </w:t>
            </w:r>
            <w:r w:rsidRPr="007C2B33">
              <w:rPr>
                <w:b/>
                <w:i/>
              </w:rPr>
              <w:t>euro</w:t>
            </w:r>
            <w:r>
              <w:rPr>
                <w:b/>
                <w:i/>
              </w:rPr>
              <w:t xml:space="preserve"> </w:t>
            </w:r>
            <w:r>
              <w:t>apmērā veido:</w:t>
            </w:r>
          </w:p>
          <w:p w:rsidR="00046613" w:rsidP="0090245A" w14:paraId="62600ECB" w14:textId="77777777">
            <w:pPr>
              <w:pStyle w:val="ListParagraph"/>
              <w:numPr>
                <w:ilvl w:val="0"/>
                <w:numId w:val="36"/>
              </w:numPr>
              <w:jc w:val="both"/>
            </w:pPr>
            <w:r>
              <w:t>Atlīdzība</w:t>
            </w:r>
            <w:r w:rsidR="00706259">
              <w:t>i</w:t>
            </w:r>
            <w:r>
              <w:t xml:space="preserve"> – </w:t>
            </w:r>
            <w:r w:rsidRPr="00C90EC8" w:rsidR="00C90EC8">
              <w:rPr>
                <w:u w:val="single"/>
              </w:rPr>
              <w:t xml:space="preserve">amata </w:t>
            </w:r>
            <w:r w:rsidRPr="00C849B0" w:rsidR="00B42A94">
              <w:rPr>
                <w:u w:val="single"/>
              </w:rPr>
              <w:t>kl</w:t>
            </w:r>
            <w:r w:rsidR="002B3E99">
              <w:rPr>
                <w:u w:val="single"/>
              </w:rPr>
              <w:t>a</w:t>
            </w:r>
            <w:r w:rsidR="00C90EC8">
              <w:rPr>
                <w:u w:val="single"/>
              </w:rPr>
              <w:t>sificēšanas</w:t>
            </w:r>
            <w:r w:rsidRPr="00C849B0" w:rsidR="00B42A94">
              <w:rPr>
                <w:u w:val="single"/>
              </w:rPr>
              <w:t xml:space="preserve"> celšana</w:t>
            </w:r>
            <w:r w:rsidR="00706259">
              <w:rPr>
                <w:u w:val="single"/>
              </w:rPr>
              <w:t>i</w:t>
            </w:r>
            <w:r w:rsidRPr="00C849B0" w:rsidR="00B42A94">
              <w:rPr>
                <w:u w:val="single"/>
              </w:rPr>
              <w:t xml:space="preserve"> 5 esošām amata vietām - 29 884</w:t>
            </w:r>
            <w:r w:rsidRPr="00C849B0">
              <w:rPr>
                <w:u w:val="single"/>
              </w:rPr>
              <w:t xml:space="preserve"> </w:t>
            </w:r>
            <w:r w:rsidRPr="00C849B0">
              <w:rPr>
                <w:i/>
                <w:u w:val="single"/>
              </w:rPr>
              <w:t>euro</w:t>
            </w:r>
            <w:r>
              <w:t xml:space="preserve"> </w:t>
            </w:r>
          </w:p>
          <w:p w:rsidR="00204E41" w:rsidP="00916E61" w14:paraId="1A245A77" w14:textId="77777777">
            <w:pPr>
              <w:ind w:firstLine="720"/>
              <w:jc w:val="both"/>
            </w:pPr>
            <w:r w:rsidRPr="00572EEA">
              <w:t>Ņemot vērā, ka attīstoties VRAA sniedzamajiem IKT pakalpojumiem, informācijas sistēmām, tīmekļa pakalpēm, kā arī VRAA uzņemoties vadošo lomu IKT pārvaldībā VARAM resora iestādēs, nemitīgi aug arī infrastruktūras un datortehnikas uzturēšanas darbu apjoms</w:t>
            </w:r>
            <w:r w:rsidRPr="00916E61">
              <w:t xml:space="preserve">, </w:t>
            </w:r>
            <w:r>
              <w:t>t.sk.</w:t>
            </w:r>
            <w:r w:rsidR="00290D13">
              <w:t xml:space="preserve"> </w:t>
            </w:r>
            <w:r w:rsidRPr="00916E61">
              <w:t>TAPIS</w:t>
            </w:r>
            <w:r>
              <w:t xml:space="preserve"> un</w:t>
            </w:r>
            <w:r w:rsidRPr="00916E61">
              <w:t xml:space="preserve"> RAIM</w:t>
            </w:r>
            <w:r>
              <w:t>,</w:t>
            </w:r>
            <w:r w:rsidRPr="00572EEA">
              <w:t xml:space="preserve"> ar t</w:t>
            </w:r>
            <w:r>
              <w:t>o</w:t>
            </w:r>
            <w:r w:rsidRPr="00572EEA">
              <w:t xml:space="preserve"> jauno uzlaboto funk</w:t>
            </w:r>
            <w:r>
              <w:t>cionalitāti, kas tiks izstrādāta</w:t>
            </w:r>
            <w:r w:rsidRPr="00572EEA">
              <w:t xml:space="preserve"> TAPIS 3. kārtas ietvaros. Pi</w:t>
            </w:r>
            <w:r>
              <w:t>e</w:t>
            </w:r>
            <w:r w:rsidRPr="00572EEA">
              <w:t xml:space="preserve">augot </w:t>
            </w:r>
            <w:r>
              <w:t xml:space="preserve">informācijas </w:t>
            </w:r>
            <w:r w:rsidRPr="00572EEA">
              <w:t xml:space="preserve">sistēmu komplicētībai un apkalpojamo vienību skaitam, pieaug prasības arī to apkalpojošā personāla zināšanām un kvalifikācijas līmenim. </w:t>
            </w:r>
            <w:r w:rsidRPr="008468CA" w:rsidR="008468CA">
              <w:t>TAPIS ir centralizēta</w:t>
            </w:r>
            <w:r w:rsidR="008468CA">
              <w:t>,</w:t>
            </w:r>
            <w:r w:rsidRPr="008468CA" w:rsidR="008468CA">
              <w:t xml:space="preserve"> visās pašvaldībās lietota augstas pieejamības valsts infor</w:t>
            </w:r>
            <w:r w:rsidR="008468CA">
              <w:t>mācijas sistēma un VRAA funkcija</w:t>
            </w:r>
            <w:r w:rsidRPr="008468CA" w:rsidR="008468CA">
              <w:t xml:space="preserve"> un pienākums ir nodrošināt šīs sistēmas turētāja pienākumus atbilstoši normatīvajos aktos noteiktajam apjomam par valsts informācijas sistēmām</w:t>
            </w:r>
            <w:r w:rsidR="008468CA">
              <w:t xml:space="preserve">, </w:t>
            </w:r>
            <w:r w:rsidRPr="008468CA" w:rsidR="008468CA">
              <w:t>tai skaitā, drošības un infrastruktūras jautājumos</w:t>
            </w:r>
            <w:r w:rsidR="008468CA">
              <w:t>.</w:t>
            </w:r>
            <w:r w:rsidRPr="008468CA" w:rsidR="008468CA">
              <w:t xml:space="preserve"> Līdz ar to</w:t>
            </w:r>
            <w:r w:rsidR="00850907">
              <w:t>,</w:t>
            </w:r>
            <w:r w:rsidRPr="008468CA" w:rsidR="008468CA">
              <w:t xml:space="preserve"> ar TAPIS sistēmu saistītie darbi, ņemot vērā VRAA ilgstošo pieredzi centralizētu koplietošanas valsts informācijas sistēmu uzturēšanā un attīstībā, ir vērtējami kā komplicēti, saistīti ar darbībām un procesiem ne tikai iestādē, bet starpresoru un pašvaldību mērogā, nodrošinot sarežģītas tiešsaistes datu apmaiņas ar citām valsts un pašvaldību sistēmām, administrējot TAPIS infrastruktūras resursus un nodrošinot to augsta līmeņa pieejamību un plānojot resursu mērogojamību. </w:t>
            </w:r>
            <w:r w:rsidRPr="00572EEA">
              <w:t xml:space="preserve">Lai nodrošinātu labākas iespējas kvalificēta personāla noturēšanai, nepieciešams pārskatīt </w:t>
            </w:r>
            <w:r w:rsidR="00F7563B">
              <w:t>esošā</w:t>
            </w:r>
            <w:r>
              <w:t xml:space="preserve">s </w:t>
            </w:r>
            <w:r w:rsidR="00F7563B">
              <w:t xml:space="preserve">atalgojuma </w:t>
            </w:r>
            <w:r w:rsidRPr="00572EEA">
              <w:t>amatu saimes un līmeņus</w:t>
            </w:r>
            <w:r w:rsidR="003147B6">
              <w:t>, jo atbilstoši Valsts ieņēmumu dienesta datiem, sistēmanalītiķu atalgojums VRAA jau šobrīd ievērojami atpaliek no nozares vidējā atalgojuma</w:t>
            </w:r>
            <w:r w:rsidR="002A6279">
              <w:t xml:space="preserve"> (sistēmanalītiķu atalgojums 2016.gada laika periodā no februāra līdz oktobrim veidoja 53% no nozares vidējā atalgojuma)</w:t>
            </w:r>
            <w:r w:rsidRPr="00572EEA">
              <w:t xml:space="preserve">. </w:t>
            </w:r>
            <w:r w:rsidRPr="00FF3768" w:rsidR="00FF3768">
              <w:t>Lai ilgtermiņā VRAA varētu nodrošināt esošo speciālistu nodarbināšanu VRAA, izmantojot to praksē gūtās zināšanas, VRAA ir jānodrošina šo speciālistu atalgojums atbilstoši nozare</w:t>
            </w:r>
            <w:r w:rsidR="005544E8">
              <w:t>s tendencēm. Atalgojuma k</w:t>
            </w:r>
            <w:r w:rsidRPr="00FF3768" w:rsidR="00FF3768">
              <w:t>l</w:t>
            </w:r>
            <w:r w:rsidR="005544E8">
              <w:t>as</w:t>
            </w:r>
            <w:r w:rsidRPr="00FF3768" w:rsidR="00FF3768">
              <w:t xml:space="preserve">ifikācijas celšana ir plānota pakāpeniska, pēc </w:t>
            </w:r>
            <w:r w:rsidR="005544E8">
              <w:t xml:space="preserve">Projekta </w:t>
            </w:r>
            <w:r w:rsidRPr="00FF3768" w:rsidR="00FF3768">
              <w:t xml:space="preserve">beigām sasniedzot 12.mēnešalgu grupas maksimumu. </w:t>
            </w:r>
            <w:r w:rsidRPr="00572EEA">
              <w:t>A</w:t>
            </w:r>
            <w:r>
              <w:t>matu klasifikāciju un noteikšanas kārtību nosaka a</w:t>
            </w:r>
            <w:r w:rsidRPr="00572EEA">
              <w:t xml:space="preserve">tbilstoši Ministru kabineta 2010.gada 30.novembra </w:t>
            </w:r>
            <w:r w:rsidRPr="00572EEA">
              <w:t>noteikumu Nr.1075 „Valsts un pašvaldību institūciju a</w:t>
            </w:r>
            <w:r>
              <w:t xml:space="preserve">matu katalogs”  </w:t>
            </w:r>
            <w:r>
              <w:t>prasībām. Projekta beigu posmā VRAA veiks atlīdzības klasifikācijas celšanas pieprasījumu atbilstoši šo noteikumu prasībām</w:t>
            </w:r>
            <w:r>
              <w:t xml:space="preserve">. </w:t>
            </w:r>
          </w:p>
          <w:p w:rsidR="00916E61" w:rsidRPr="00572EEA" w:rsidP="00916E61" w14:paraId="7FAF3D1A" w14:textId="77777777">
            <w:pPr>
              <w:ind w:firstLine="720"/>
              <w:jc w:val="both"/>
            </w:pPr>
            <w:r>
              <w:t xml:space="preserve">Lai veiktu atalgojuma klasificēšanas celšanu 5 esošām amata vietām, </w:t>
            </w:r>
            <w:r w:rsidRPr="00572EEA">
              <w:t>VR</w:t>
            </w:r>
            <w:r w:rsidR="003147B6">
              <w:t>A</w:t>
            </w:r>
            <w:r w:rsidRPr="00572EEA">
              <w:t xml:space="preserve">A nepieciešami 29 884 </w:t>
            </w:r>
            <w:r w:rsidRPr="00572EEA">
              <w:rPr>
                <w:i/>
              </w:rPr>
              <w:t>euro</w:t>
            </w:r>
            <w:r w:rsidRPr="00572EEA">
              <w:t>:</w:t>
            </w:r>
          </w:p>
          <w:p w:rsidR="00916E61" w:rsidRPr="00572EEA" w:rsidP="00916E61" w14:paraId="00C7FF4B" w14:textId="77777777">
            <w:pPr>
              <w:ind w:firstLine="720"/>
              <w:jc w:val="both"/>
            </w:pPr>
            <w:r w:rsidRPr="00572EEA">
              <w:t>1) Informācijas sistēmu atbalsta departamenta 3 si</w:t>
            </w:r>
            <w:r>
              <w:t>stēmu administratoru amata vietu</w:t>
            </w:r>
            <w:r w:rsidRPr="00572EEA">
              <w:t xml:space="preserve"> (šobrīd 19.3 amata saime, IIA amata līmenis, 11 mēnešalgas grupa) pārkvalificē</w:t>
            </w:r>
            <w:r>
              <w:t>šanai</w:t>
            </w:r>
            <w:r w:rsidRPr="00572EEA">
              <w:t xml:space="preserve"> uz</w:t>
            </w:r>
            <w:r>
              <w:t xml:space="preserve"> 19.5 amata saimi ar</w:t>
            </w:r>
            <w:r w:rsidRPr="00572EEA">
              <w:t xml:space="preserve"> IVA amata līmeni</w:t>
            </w:r>
            <w:r>
              <w:t xml:space="preserve"> un 12 mēnešalgu grupu</w:t>
            </w:r>
            <w:r w:rsidRPr="00572EEA">
              <w:t>;</w:t>
            </w:r>
          </w:p>
          <w:p w:rsidR="00916E61" w:rsidP="00916E61" w14:paraId="139982A4" w14:textId="77777777">
            <w:pPr>
              <w:pStyle w:val="ListParagraph"/>
              <w:jc w:val="both"/>
            </w:pPr>
            <w:r w:rsidRPr="00572EEA">
              <w:t xml:space="preserve">2) </w:t>
            </w:r>
            <w:r w:rsidRPr="00572EEA">
              <w:rPr>
                <w:rFonts w:eastAsiaTheme="minorEastAsia"/>
                <w:iCs/>
                <w:noProof/>
              </w:rPr>
              <w:t>Informācijas sistēmu attīstības departamenta Pārvaldības nodaļas</w:t>
            </w:r>
            <w:r>
              <w:rPr>
                <w:rFonts w:eastAsiaTheme="minorEastAsia"/>
                <w:iCs/>
                <w:noProof/>
              </w:rPr>
              <w:t xml:space="preserve"> 2 sistēmu analītiķu amata vietu</w:t>
            </w:r>
            <w:r w:rsidRPr="00572EEA">
              <w:rPr>
                <w:rFonts w:eastAsiaTheme="minorEastAsia"/>
                <w:iCs/>
                <w:noProof/>
              </w:rPr>
              <w:t xml:space="preserve"> (</w:t>
            </w:r>
            <w:r w:rsidRPr="00572EEA">
              <w:t>šobrīd 19.3 amata saime, IIA amata līmenis, 11 mēnešalgas grupa) pārkvalificē</w:t>
            </w:r>
            <w:r>
              <w:t>šanai</w:t>
            </w:r>
            <w:r w:rsidRPr="00572EEA">
              <w:t xml:space="preserve"> uz 19.</w:t>
            </w:r>
            <w:r>
              <w:t>4</w:t>
            </w:r>
            <w:r w:rsidRPr="00572EEA">
              <w:t xml:space="preserve"> </w:t>
            </w:r>
            <w:r>
              <w:t>amata saimi ar</w:t>
            </w:r>
            <w:r w:rsidRPr="00572EEA">
              <w:t xml:space="preserve"> IV amata līmeni</w:t>
            </w:r>
            <w:r>
              <w:t xml:space="preserve"> un</w:t>
            </w:r>
            <w:r w:rsidRPr="00572EEA">
              <w:t xml:space="preserve"> 12 mēnešalgu grup</w:t>
            </w:r>
            <w:r>
              <w:t>u</w:t>
            </w:r>
            <w:r w:rsidRPr="00572EEA">
              <w:t>.</w:t>
            </w:r>
          </w:p>
          <w:p w:rsidR="006603BF" w:rsidP="00916E61" w14:paraId="03358F5F" w14:textId="77777777">
            <w:pPr>
              <w:pStyle w:val="ListParagraph"/>
              <w:jc w:val="both"/>
            </w:pPr>
          </w:p>
          <w:p w:rsidR="006603BF" w:rsidRPr="00A8371D" w:rsidP="00916E61" w14:paraId="38C9DA8F" w14:textId="77777777">
            <w:pPr>
              <w:pStyle w:val="ListParagraph"/>
              <w:jc w:val="both"/>
              <w:rPr>
                <w:i/>
              </w:rPr>
            </w:pPr>
            <w:r w:rsidRPr="00A8371D">
              <w:rPr>
                <w:i/>
              </w:rPr>
              <w:t>19.5 amata saimes, IVA amata līmeņa, 12 mēnešalgu grupas apraksts</w:t>
            </w:r>
          </w:p>
          <w:tbl>
            <w:tblPr>
              <w:tblW w:w="7671" w:type="dxa"/>
              <w:tblLayout w:type="fixed"/>
              <w:tblCellMar>
                <w:left w:w="0" w:type="dxa"/>
                <w:right w:w="0" w:type="dxa"/>
              </w:tblCellMar>
              <w:tblLook w:val="04A0"/>
            </w:tblPr>
            <w:tblGrid>
              <w:gridCol w:w="1506"/>
              <w:gridCol w:w="841"/>
              <w:gridCol w:w="1355"/>
              <w:gridCol w:w="2837"/>
              <w:gridCol w:w="1132"/>
            </w:tblGrid>
            <w:tr w14:paraId="6E631C17" w14:textId="77777777" w:rsidTr="006603BF">
              <w:tblPrEx>
                <w:tblW w:w="7671" w:type="dxa"/>
                <w:tblLayout w:type="fixed"/>
                <w:tblCellMar>
                  <w:left w:w="0" w:type="dxa"/>
                  <w:right w:w="0" w:type="dxa"/>
                </w:tblCellMar>
                <w:tblLook w:val="04A0"/>
              </w:tblPrEx>
              <w:tc>
                <w:tcPr>
                  <w:tcW w:w="9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03BF" w:rsidP="005544E8" w14:paraId="32D27422" w14:textId="77777777">
                  <w:pPr>
                    <w:rPr>
                      <w:color w:val="000000"/>
                    </w:rPr>
                  </w:pPr>
                  <w:r>
                    <w:rPr>
                      <w:color w:val="000000"/>
                    </w:rPr>
                    <w:t>Apakšsaimes apraksts</w:t>
                  </w:r>
                </w:p>
              </w:tc>
              <w:tc>
                <w:tcPr>
                  <w:tcW w:w="401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03BF" w:rsidP="005544E8" w14:paraId="4EBE1CC9" w14:textId="77777777">
                  <w:pPr>
                    <w:jc w:val="both"/>
                    <w:rPr>
                      <w:color w:val="000000"/>
                    </w:rPr>
                  </w:pPr>
                  <w:r>
                    <w:rPr>
                      <w:color w:val="000000"/>
                    </w:rPr>
                    <w:t>Šajā apakšsaimē ietilpst amati, kuru pildītāji administrē un uztur informācijas sistēmas un programmatūru (lietojumus)</w:t>
                  </w:r>
                </w:p>
              </w:tc>
            </w:tr>
            <w:tr w14:paraId="4131B73B" w14:textId="77777777" w:rsidTr="006603BF">
              <w:tblPrEx>
                <w:tblW w:w="7671" w:type="dxa"/>
                <w:tblLayout w:type="fixed"/>
                <w:tblCellMar>
                  <w:left w:w="0" w:type="dxa"/>
                  <w:right w:w="0" w:type="dxa"/>
                </w:tblCellMar>
                <w:tblLook w:val="04A0"/>
              </w:tblPrEx>
              <w:tc>
                <w:tcPr>
                  <w:tcW w:w="9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03BF" w:rsidP="005544E8" w14:paraId="6B398CB9" w14:textId="77777777">
                  <w:pPr>
                    <w:jc w:val="both"/>
                    <w:rPr>
                      <w:color w:val="000000"/>
                    </w:rPr>
                  </w:pPr>
                  <w:r>
                    <w:rPr>
                      <w:color w:val="000000"/>
                    </w:rPr>
                    <w:t>Amata saime</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6603BF" w:rsidP="005544E8" w14:paraId="19D8847A" w14:textId="77777777">
                  <w:pPr>
                    <w:jc w:val="both"/>
                    <w:rPr>
                      <w:color w:val="000000"/>
                    </w:rPr>
                  </w:pPr>
                  <w:r>
                    <w:rPr>
                      <w:color w:val="000000"/>
                    </w:rPr>
                    <w:t>Amata līmenis</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6603BF" w:rsidRPr="006603BF" w:rsidP="005544E8" w14:paraId="225F0C1F" w14:textId="77777777">
                  <w:pPr>
                    <w:jc w:val="both"/>
                  </w:pPr>
                  <w:r w:rsidRPr="006603BF">
                    <w:t>Līmeņa raksturojums</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6603BF" w:rsidRPr="006603BF" w:rsidP="005544E8" w14:paraId="3360C5E6" w14:textId="77777777">
                  <w:pPr>
                    <w:jc w:val="both"/>
                  </w:pPr>
                  <w:r w:rsidRPr="006603BF">
                    <w:t>Amata paraugapraksts</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6603BF" w:rsidP="005544E8" w14:paraId="2294CAB8" w14:textId="77777777">
                  <w:pPr>
                    <w:jc w:val="both"/>
                    <w:rPr>
                      <w:color w:val="000000"/>
                    </w:rPr>
                  </w:pPr>
                  <w:r>
                    <w:rPr>
                      <w:color w:val="000000"/>
                    </w:rPr>
                    <w:t>Mēnešalgas grupa</w:t>
                  </w:r>
                </w:p>
              </w:tc>
            </w:tr>
            <w:tr w14:paraId="65E11356" w14:textId="77777777" w:rsidTr="006603BF">
              <w:tblPrEx>
                <w:tblW w:w="7671" w:type="dxa"/>
                <w:tblLayout w:type="fixed"/>
                <w:tblCellMar>
                  <w:left w:w="0" w:type="dxa"/>
                  <w:right w:w="0" w:type="dxa"/>
                </w:tblCellMar>
                <w:tblLook w:val="04A0"/>
              </w:tblPrEx>
              <w:tc>
                <w:tcPr>
                  <w:tcW w:w="9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03BF" w:rsidP="005544E8" w14:paraId="2B4F29BA" w14:textId="77777777">
                  <w:pPr>
                    <w:jc w:val="both"/>
                    <w:rPr>
                      <w:color w:val="000000"/>
                    </w:rPr>
                  </w:pPr>
                  <w:r>
                    <w:rPr>
                      <w:color w:val="000000"/>
                    </w:rPr>
                    <w:t>19.5. Sistēmu administrēšana un uzturēšana</w:t>
                  </w:r>
                </w:p>
              </w:tc>
              <w:tc>
                <w:tcPr>
                  <w:tcW w:w="548" w:type="pct"/>
                  <w:tcBorders>
                    <w:top w:val="nil"/>
                    <w:left w:val="nil"/>
                    <w:bottom w:val="single" w:sz="8" w:space="0" w:color="auto"/>
                    <w:right w:val="single" w:sz="8" w:space="0" w:color="auto"/>
                  </w:tcBorders>
                  <w:tcMar>
                    <w:top w:w="0" w:type="dxa"/>
                    <w:left w:w="108" w:type="dxa"/>
                    <w:bottom w:w="0" w:type="dxa"/>
                    <w:right w:w="108" w:type="dxa"/>
                  </w:tcMar>
                </w:tcPr>
                <w:p w:rsidR="006603BF" w:rsidP="005544E8" w14:paraId="17008F80" w14:textId="77777777">
                  <w:pPr>
                    <w:jc w:val="both"/>
                    <w:rPr>
                      <w:color w:val="000000"/>
                    </w:rPr>
                  </w:pPr>
                  <w:r>
                    <w:rPr>
                      <w:color w:val="000000"/>
                    </w:rPr>
                    <w:t>IVA</w:t>
                  </w:r>
                </w:p>
                <w:p w:rsidR="006603BF" w:rsidP="005544E8" w14:paraId="0B8DED8E" w14:textId="77777777">
                  <w:pPr>
                    <w:jc w:val="both"/>
                    <w:rPr>
                      <w:color w:val="000000"/>
                    </w:rPr>
                  </w:pP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6603BF" w:rsidRPr="006603BF" w:rsidP="005544E8" w14:paraId="5EDF2212" w14:textId="77777777">
                  <w:pPr>
                    <w:jc w:val="both"/>
                  </w:pPr>
                  <w:r w:rsidRPr="006603BF">
                    <w:t>Vada un kontrolē sarežģītu datorsistēmu, operētājsistēmu un lietojumu (programmatūras) pakešu ar lielu (500–1000) lietotāju skaitu administrēšanu</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6603BF" w:rsidRPr="006603BF" w:rsidP="006603BF" w14:paraId="312B034D" w14:textId="77777777">
                  <w:pPr>
                    <w:pStyle w:val="ListParagraph"/>
                    <w:numPr>
                      <w:ilvl w:val="0"/>
                      <w:numId w:val="37"/>
                    </w:numPr>
                    <w:shd w:val="clear" w:color="auto" w:fill="FFFFFF"/>
                    <w:spacing w:line="293" w:lineRule="atLeast"/>
                    <w:ind w:left="318" w:hanging="284"/>
                    <w:jc w:val="both"/>
                  </w:pPr>
                  <w:r w:rsidRPr="006603BF">
                    <w:rPr>
                      <w:rFonts w:hint="eastAsia"/>
                    </w:rPr>
                    <w:t>Vada un kontrolē sare</w:t>
                  </w:r>
                  <w:r w:rsidRPr="006603BF">
                    <w:rPr>
                      <w:rFonts w:ascii="Cambria" w:hAnsi="Cambria" w:cs="Cambria"/>
                    </w:rPr>
                    <w:t>žģ</w:t>
                  </w:r>
                  <w:r w:rsidRPr="006603BF">
                    <w:rPr>
                      <w:rFonts w:hint="eastAsia"/>
                    </w:rPr>
                    <w:t>ītu datorsistēmu, operētājsistēmu un lietojumu (programmatūras) pakešu ar lielu lietotāju skaitu administrēšanu, iek</w:t>
                  </w:r>
                  <w:r w:rsidRPr="006603BF">
                    <w:rPr>
                      <w:rFonts w:ascii="Cambria" w:hAnsi="Cambria" w:cs="Cambria"/>
                    </w:rPr>
                    <w:t>ļ</w:t>
                  </w:r>
                  <w:r w:rsidRPr="006603BF">
                    <w:rPr>
                      <w:rFonts w:hint="eastAsia"/>
                    </w:rPr>
                    <w:t xml:space="preserve">aujot regulārus sistēmu testus </w:t>
                  </w:r>
                </w:p>
                <w:p w:rsidR="006603BF" w:rsidRPr="006603BF" w:rsidP="006603BF" w14:paraId="5A2A76FD" w14:textId="77777777">
                  <w:pPr>
                    <w:numPr>
                      <w:ilvl w:val="0"/>
                      <w:numId w:val="37"/>
                    </w:numPr>
                    <w:shd w:val="clear" w:color="auto" w:fill="FFFFFF"/>
                    <w:spacing w:before="100" w:beforeAutospacing="1" w:after="100" w:afterAutospacing="1" w:line="293" w:lineRule="atLeast"/>
                    <w:ind w:left="318" w:hanging="284"/>
                    <w:jc w:val="both"/>
                  </w:pPr>
                  <w:r w:rsidRPr="006603BF">
                    <w:t>Organizē, vada un kontrolē citu speciālistu darbu</w:t>
                  </w:r>
                </w:p>
                <w:p w:rsidR="006603BF" w:rsidRPr="006603BF" w:rsidP="006603BF" w14:paraId="2A23B5D5" w14:textId="77777777">
                  <w:pPr>
                    <w:numPr>
                      <w:ilvl w:val="0"/>
                      <w:numId w:val="37"/>
                    </w:numPr>
                    <w:shd w:val="clear" w:color="auto" w:fill="FFFFFF"/>
                    <w:spacing w:before="100" w:beforeAutospacing="1" w:after="100" w:afterAutospacing="1" w:line="293" w:lineRule="atLeast"/>
                    <w:ind w:left="318" w:hanging="284"/>
                    <w:jc w:val="both"/>
                  </w:pPr>
                  <w:r w:rsidRPr="006603BF">
                    <w:t>Piedāvā risinājumus tehnikas/programmatūras savienojamības problēmām un vada to ieviešanu</w:t>
                  </w:r>
                </w:p>
                <w:p w:rsidR="006603BF" w:rsidRPr="006603BF" w:rsidP="006603BF" w14:paraId="370371C3" w14:textId="77777777">
                  <w:pPr>
                    <w:numPr>
                      <w:ilvl w:val="0"/>
                      <w:numId w:val="37"/>
                    </w:numPr>
                    <w:shd w:val="clear" w:color="auto" w:fill="FFFFFF"/>
                    <w:spacing w:before="100" w:beforeAutospacing="1" w:after="100" w:afterAutospacing="1" w:line="293" w:lineRule="atLeast"/>
                    <w:ind w:left="318" w:hanging="284"/>
                    <w:jc w:val="both"/>
                  </w:pPr>
                  <w:r w:rsidRPr="006603BF">
                    <w:t>Organizē un vada liela apjoma projektus, kas saistīti ar sistēmu attīstību un optimizāciju</w:t>
                  </w:r>
                </w:p>
                <w:p w:rsidR="006603BF" w:rsidRPr="006603BF" w:rsidP="006603BF" w14:paraId="1A302753" w14:textId="77777777">
                  <w:pPr>
                    <w:numPr>
                      <w:ilvl w:val="0"/>
                      <w:numId w:val="37"/>
                    </w:numPr>
                    <w:shd w:val="clear" w:color="auto" w:fill="FFFFFF"/>
                    <w:spacing w:before="100" w:beforeAutospacing="1" w:after="100" w:afterAutospacing="1" w:line="293" w:lineRule="atLeast"/>
                    <w:ind w:left="318" w:hanging="284"/>
                    <w:jc w:val="both"/>
                  </w:pPr>
                  <w:r w:rsidRPr="006603BF">
                    <w:t>Piedalās sarunās ar piegādātājiem, kontrolē piegādes līgumu izpildi</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6603BF" w:rsidP="005544E8" w14:paraId="44615AB1" w14:textId="77777777">
                  <w:pPr>
                    <w:jc w:val="both"/>
                    <w:rPr>
                      <w:color w:val="000000"/>
                    </w:rPr>
                  </w:pPr>
                  <w:r>
                    <w:rPr>
                      <w:color w:val="000000"/>
                    </w:rPr>
                    <w:t>12</w:t>
                  </w:r>
                </w:p>
              </w:tc>
            </w:tr>
          </w:tbl>
          <w:p w:rsidR="006603BF" w:rsidP="00916E61" w14:paraId="06AFBEAF" w14:textId="77777777">
            <w:pPr>
              <w:pStyle w:val="ListParagraph"/>
              <w:jc w:val="both"/>
            </w:pPr>
          </w:p>
          <w:p w:rsidR="004741E9" w:rsidP="00916E61" w14:paraId="1F32FD64" w14:textId="77777777">
            <w:pPr>
              <w:pStyle w:val="ListParagraph"/>
              <w:jc w:val="both"/>
              <w:rPr>
                <w:i/>
              </w:rPr>
            </w:pPr>
            <w:r w:rsidRPr="004741E9">
              <w:rPr>
                <w:i/>
              </w:rPr>
              <w:t xml:space="preserve">19.4 </w:t>
            </w:r>
            <w:r>
              <w:rPr>
                <w:i/>
              </w:rPr>
              <w:t xml:space="preserve">amata saimes, </w:t>
            </w:r>
            <w:r w:rsidRPr="004741E9">
              <w:rPr>
                <w:i/>
              </w:rPr>
              <w:t>IV amata līme</w:t>
            </w:r>
            <w:r>
              <w:rPr>
                <w:i/>
              </w:rPr>
              <w:t>ņa,</w:t>
            </w:r>
            <w:r w:rsidRPr="004741E9">
              <w:rPr>
                <w:i/>
              </w:rPr>
              <w:t xml:space="preserve"> 12 mēnešalgu grup</w:t>
            </w:r>
            <w:r>
              <w:rPr>
                <w:i/>
              </w:rPr>
              <w:t>as apraksts</w:t>
            </w:r>
          </w:p>
          <w:p w:rsidR="004741E9" w:rsidP="00916E61" w14:paraId="022FB98D" w14:textId="77777777">
            <w:pPr>
              <w:pStyle w:val="ListParagraph"/>
              <w:jc w:val="both"/>
              <w:rPr>
                <w:i/>
              </w:rPr>
            </w:pPr>
          </w:p>
          <w:tbl>
            <w:tblPr>
              <w:tblW w:w="4714" w:type="pct"/>
              <w:tblInd w:w="17" w:type="dxa"/>
              <w:tblLayout w:type="fixed"/>
              <w:tblCellMar>
                <w:left w:w="0" w:type="dxa"/>
                <w:right w:w="0" w:type="dxa"/>
              </w:tblCellMar>
              <w:tblLook w:val="04A0"/>
            </w:tblPr>
            <w:tblGrid>
              <w:gridCol w:w="1559"/>
              <w:gridCol w:w="709"/>
              <w:gridCol w:w="1416"/>
              <w:gridCol w:w="2836"/>
              <w:gridCol w:w="1136"/>
            </w:tblGrid>
            <w:tr w14:paraId="4B8B274F" w14:textId="77777777" w:rsidTr="004741E9">
              <w:tblPrEx>
                <w:tblW w:w="4714" w:type="pct"/>
                <w:tblInd w:w="17" w:type="dxa"/>
                <w:tblLayout w:type="fixed"/>
                <w:tblCellMar>
                  <w:left w:w="0" w:type="dxa"/>
                  <w:right w:w="0" w:type="dxa"/>
                </w:tblCellMar>
                <w:tblLook w:val="04A0"/>
              </w:tblPrEx>
              <w:tc>
                <w:tcPr>
                  <w:tcW w:w="10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41E9" w:rsidP="005544E8" w14:paraId="7BEE0FFD" w14:textId="77777777">
                  <w:pPr>
                    <w:rPr>
                      <w:color w:val="000000"/>
                    </w:rPr>
                  </w:pPr>
                  <w:r>
                    <w:rPr>
                      <w:color w:val="000000"/>
                    </w:rPr>
                    <w:t xml:space="preserve">Apakšsaimes </w:t>
                  </w:r>
                  <w:r>
                    <w:rPr>
                      <w:color w:val="000000"/>
                    </w:rPr>
                    <w:t>apraksts</w:t>
                  </w:r>
                </w:p>
              </w:tc>
              <w:tc>
                <w:tcPr>
                  <w:tcW w:w="3982"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41E9" w:rsidP="005544E8" w14:paraId="76E85ED6" w14:textId="77777777">
                  <w:pPr>
                    <w:jc w:val="both"/>
                    <w:rPr>
                      <w:color w:val="000000"/>
                      <w:lang w:eastAsia="en-US"/>
                    </w:rPr>
                  </w:pPr>
                  <w:r>
                    <w:rPr>
                      <w:color w:val="000000"/>
                    </w:rPr>
                    <w:t xml:space="preserve">Šajā apakšsaimē ietilpst amati, kuru pildītāji izstrādā un </w:t>
                  </w:r>
                  <w:r>
                    <w:rPr>
                      <w:color w:val="000000"/>
                    </w:rPr>
                    <w:t>attīsta programmatūru (lietojumus).</w:t>
                  </w:r>
                </w:p>
              </w:tc>
            </w:tr>
            <w:tr w14:paraId="1F01BF7F" w14:textId="77777777" w:rsidTr="004741E9">
              <w:tblPrEx>
                <w:tblW w:w="4714" w:type="pct"/>
                <w:tblInd w:w="17" w:type="dxa"/>
                <w:tblLayout w:type="fixed"/>
                <w:tblCellMar>
                  <w:left w:w="0" w:type="dxa"/>
                  <w:right w:w="0" w:type="dxa"/>
                </w:tblCellMar>
                <w:tblLook w:val="04A0"/>
              </w:tblPrEx>
              <w:tc>
                <w:tcPr>
                  <w:tcW w:w="10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1E9" w:rsidP="004741E9" w14:paraId="346FED5F" w14:textId="77777777">
                  <w:pPr>
                    <w:jc w:val="both"/>
                    <w:rPr>
                      <w:color w:val="000000"/>
                    </w:rPr>
                  </w:pPr>
                  <w:r>
                    <w:rPr>
                      <w:color w:val="000000"/>
                    </w:rPr>
                    <w:t>Amata saime</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4741E9" w:rsidP="004741E9" w14:paraId="44F23006" w14:textId="77777777">
                  <w:pPr>
                    <w:jc w:val="both"/>
                    <w:rPr>
                      <w:color w:val="000000"/>
                    </w:rPr>
                  </w:pPr>
                  <w:r>
                    <w:rPr>
                      <w:color w:val="000000"/>
                    </w:rPr>
                    <w:t>Amata līmenis</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4741E9" w:rsidP="004741E9" w14:paraId="1A294035" w14:textId="77777777">
                  <w:pPr>
                    <w:jc w:val="both"/>
                    <w:rPr>
                      <w:color w:val="000000"/>
                    </w:rPr>
                  </w:pPr>
                  <w:r>
                    <w:rPr>
                      <w:color w:val="000000"/>
                    </w:rPr>
                    <w:t>Līmeņa raksturojums</w:t>
                  </w:r>
                </w:p>
              </w:tc>
              <w:tc>
                <w:tcPr>
                  <w:tcW w:w="1852" w:type="pct"/>
                  <w:tcBorders>
                    <w:top w:val="nil"/>
                    <w:left w:val="nil"/>
                    <w:bottom w:val="single" w:sz="8" w:space="0" w:color="auto"/>
                    <w:right w:val="single" w:sz="8" w:space="0" w:color="auto"/>
                  </w:tcBorders>
                  <w:tcMar>
                    <w:top w:w="0" w:type="dxa"/>
                    <w:left w:w="108" w:type="dxa"/>
                    <w:bottom w:w="0" w:type="dxa"/>
                    <w:right w:w="108" w:type="dxa"/>
                  </w:tcMar>
                  <w:hideMark/>
                </w:tcPr>
                <w:p w:rsidR="004741E9" w:rsidP="004741E9" w14:paraId="3B90E58E" w14:textId="77777777">
                  <w:pPr>
                    <w:jc w:val="both"/>
                    <w:rPr>
                      <w:color w:val="000000"/>
                    </w:rPr>
                  </w:pPr>
                  <w:r>
                    <w:rPr>
                      <w:color w:val="000000"/>
                    </w:rPr>
                    <w:t>Amata paraugapraksts</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4741E9" w:rsidP="004741E9" w14:paraId="40C34A2F" w14:textId="77777777">
                  <w:pPr>
                    <w:jc w:val="both"/>
                    <w:rPr>
                      <w:color w:val="000000"/>
                    </w:rPr>
                  </w:pPr>
                  <w:r>
                    <w:rPr>
                      <w:color w:val="000000"/>
                    </w:rPr>
                    <w:t>Mēnešalgas grupa</w:t>
                  </w:r>
                </w:p>
              </w:tc>
            </w:tr>
            <w:tr w14:paraId="2E5AAD5F" w14:textId="77777777" w:rsidTr="004741E9">
              <w:tblPrEx>
                <w:tblW w:w="4714" w:type="pct"/>
                <w:tblInd w:w="17" w:type="dxa"/>
                <w:tblLayout w:type="fixed"/>
                <w:tblCellMar>
                  <w:left w:w="0" w:type="dxa"/>
                  <w:right w:w="0" w:type="dxa"/>
                </w:tblCellMar>
                <w:tblLook w:val="04A0"/>
              </w:tblPrEx>
              <w:tc>
                <w:tcPr>
                  <w:tcW w:w="10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41E9" w:rsidP="004741E9" w14:paraId="211C3D7C" w14:textId="77777777">
                  <w:pPr>
                    <w:jc w:val="both"/>
                    <w:rPr>
                      <w:color w:val="000000"/>
                    </w:rPr>
                  </w:pPr>
                  <w:r>
                    <w:rPr>
                      <w:color w:val="000000"/>
                    </w:rPr>
                    <w:t>19.4. Programmatūras attīstība</w:t>
                  </w:r>
                </w:p>
              </w:tc>
              <w:tc>
                <w:tcPr>
                  <w:tcW w:w="463" w:type="pct"/>
                  <w:tcBorders>
                    <w:top w:val="nil"/>
                    <w:left w:val="nil"/>
                    <w:bottom w:val="single" w:sz="8" w:space="0" w:color="auto"/>
                    <w:right w:val="single" w:sz="8" w:space="0" w:color="auto"/>
                  </w:tcBorders>
                  <w:tcMar>
                    <w:top w:w="0" w:type="dxa"/>
                    <w:left w:w="108" w:type="dxa"/>
                    <w:bottom w:w="0" w:type="dxa"/>
                    <w:right w:w="108" w:type="dxa"/>
                  </w:tcMar>
                </w:tcPr>
                <w:p w:rsidR="004741E9" w:rsidP="004741E9" w14:paraId="536F896D" w14:textId="77777777">
                  <w:pPr>
                    <w:jc w:val="both"/>
                    <w:rPr>
                      <w:color w:val="000000"/>
                    </w:rPr>
                  </w:pPr>
                  <w:r>
                    <w:rPr>
                      <w:color w:val="000000"/>
                    </w:rPr>
                    <w:t>IV</w:t>
                  </w:r>
                </w:p>
                <w:p w:rsidR="004741E9" w:rsidP="004741E9" w14:paraId="78F7EA18" w14:textId="77777777">
                  <w:pPr>
                    <w:jc w:val="both"/>
                    <w:rPr>
                      <w:color w:val="000000"/>
                    </w:rPr>
                  </w:pP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4741E9" w:rsidP="004741E9" w14:paraId="59DC9034" w14:textId="77777777">
                  <w:pPr>
                    <w:jc w:val="both"/>
                    <w:rPr>
                      <w:color w:val="000000"/>
                    </w:rPr>
                  </w:pPr>
                  <w:r>
                    <w:rPr>
                      <w:color w:val="000000"/>
                      <w:shd w:val="clear" w:color="auto" w:fill="FFFFFF"/>
                    </w:rPr>
                    <w:t>Veic sistēmu analīzi un izstrādā programmēšanas uzdevumus visas iestādes darbības procesu mērogā. Koordinē un uzrauga citu darbinieku darbu</w:t>
                  </w:r>
                </w:p>
              </w:tc>
              <w:tc>
                <w:tcPr>
                  <w:tcW w:w="1852" w:type="pct"/>
                  <w:tcBorders>
                    <w:top w:val="nil"/>
                    <w:left w:val="nil"/>
                    <w:bottom w:val="single" w:sz="8" w:space="0" w:color="auto"/>
                    <w:right w:val="single" w:sz="8" w:space="0" w:color="auto"/>
                  </w:tcBorders>
                  <w:tcMar>
                    <w:top w:w="0" w:type="dxa"/>
                    <w:left w:w="108" w:type="dxa"/>
                    <w:bottom w:w="0" w:type="dxa"/>
                    <w:right w:w="108" w:type="dxa"/>
                  </w:tcMar>
                  <w:hideMark/>
                </w:tcPr>
                <w:p w:rsidR="004741E9" w:rsidP="004741E9" w14:paraId="7D9513E5" w14:textId="77777777">
                  <w:pPr>
                    <w:numPr>
                      <w:ilvl w:val="0"/>
                      <w:numId w:val="38"/>
                    </w:numPr>
                    <w:shd w:val="clear" w:color="auto" w:fill="FFFFFF"/>
                    <w:spacing w:before="100" w:beforeAutospacing="1" w:after="100" w:afterAutospacing="1"/>
                    <w:ind w:left="283" w:hanging="284"/>
                    <w:rPr>
                      <w:color w:val="000000"/>
                    </w:rPr>
                  </w:pPr>
                  <w:r>
                    <w:rPr>
                      <w:color w:val="000000"/>
                    </w:rPr>
                    <w:t>Veic iestādes darbības procesu sistēmanalīzi;</w:t>
                  </w:r>
                </w:p>
                <w:p w:rsidR="004741E9" w:rsidP="004741E9" w14:paraId="5B2945CE" w14:textId="77777777">
                  <w:pPr>
                    <w:numPr>
                      <w:ilvl w:val="0"/>
                      <w:numId w:val="38"/>
                    </w:numPr>
                    <w:shd w:val="clear" w:color="auto" w:fill="FFFFFF"/>
                    <w:spacing w:before="100" w:beforeAutospacing="1" w:after="100" w:afterAutospacing="1"/>
                    <w:ind w:left="283" w:hanging="284"/>
                    <w:rPr>
                      <w:color w:val="000000"/>
                    </w:rPr>
                  </w:pPr>
                  <w:r>
                    <w:rPr>
                      <w:color w:val="000000"/>
                    </w:rPr>
                    <w:t>Kopā ar pasūtītāju sagatavo sistēmu prasību specifikāciju;</w:t>
                  </w:r>
                </w:p>
                <w:p w:rsidR="004741E9" w:rsidP="004741E9" w14:paraId="5967D55D" w14:textId="77777777">
                  <w:pPr>
                    <w:numPr>
                      <w:ilvl w:val="0"/>
                      <w:numId w:val="38"/>
                    </w:numPr>
                    <w:shd w:val="clear" w:color="auto" w:fill="FFFFFF"/>
                    <w:spacing w:before="100" w:beforeAutospacing="1" w:after="100" w:afterAutospacing="1"/>
                    <w:ind w:left="283" w:hanging="284"/>
                    <w:rPr>
                      <w:color w:val="000000"/>
                    </w:rPr>
                  </w:pPr>
                  <w:r>
                    <w:rPr>
                      <w:color w:val="000000"/>
                    </w:rPr>
                    <w:t>Konsultē iestādes vadību par IT stratēģijas izveidi un ieviešanu;</w:t>
                  </w:r>
                </w:p>
                <w:p w:rsidR="004741E9" w:rsidP="004741E9" w14:paraId="7F712F57" w14:textId="77777777">
                  <w:pPr>
                    <w:numPr>
                      <w:ilvl w:val="0"/>
                      <w:numId w:val="38"/>
                    </w:numPr>
                    <w:shd w:val="clear" w:color="auto" w:fill="FFFFFF"/>
                    <w:spacing w:before="100" w:beforeAutospacing="1" w:after="100" w:afterAutospacing="1"/>
                    <w:ind w:left="283" w:hanging="284"/>
                    <w:rPr>
                      <w:color w:val="000000"/>
                    </w:rPr>
                  </w:pPr>
                  <w:r>
                    <w:rPr>
                      <w:color w:val="000000"/>
                    </w:rPr>
                    <w:t>Vada IT projektus, koordinē un uzrauga citu darbinieku darbu;</w:t>
                  </w:r>
                </w:p>
                <w:p w:rsidR="004741E9" w:rsidP="004741E9" w14:paraId="343225A6" w14:textId="77777777">
                  <w:pPr>
                    <w:numPr>
                      <w:ilvl w:val="0"/>
                      <w:numId w:val="38"/>
                    </w:numPr>
                    <w:shd w:val="clear" w:color="auto" w:fill="FFFFFF"/>
                    <w:spacing w:before="100" w:beforeAutospacing="1" w:after="100" w:afterAutospacing="1"/>
                    <w:ind w:left="283" w:hanging="284"/>
                    <w:rPr>
                      <w:color w:val="000000"/>
                    </w:rPr>
                  </w:pPr>
                  <w:r>
                    <w:rPr>
                      <w:color w:val="000000"/>
                    </w:rPr>
                    <w:t>Var veikt ar informācijas sistēmas drošību saistītos pasākumus iestādē un izstrādāt informācijas sistēmu drošības programmas.</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4741E9" w:rsidP="004741E9" w14:paraId="02DB33B1" w14:textId="77777777">
                  <w:pPr>
                    <w:jc w:val="both"/>
                    <w:rPr>
                      <w:color w:val="000000"/>
                    </w:rPr>
                  </w:pPr>
                  <w:r>
                    <w:rPr>
                      <w:color w:val="000000"/>
                    </w:rPr>
                    <w:t>12</w:t>
                  </w:r>
                </w:p>
              </w:tc>
            </w:tr>
          </w:tbl>
          <w:p w:rsidR="008F5BE1" w:rsidP="008F5BE1" w14:paraId="67B9E576" w14:textId="77777777">
            <w:pPr>
              <w:spacing w:after="60"/>
              <w:jc w:val="both"/>
            </w:pPr>
          </w:p>
          <w:p w:rsidR="008F5BE1" w:rsidP="008F5BE1" w14:paraId="61A4C970" w14:textId="77777777">
            <w:pPr>
              <w:spacing w:after="60"/>
              <w:jc w:val="both"/>
            </w:pPr>
            <w:r>
              <w:t>Pēc P</w:t>
            </w:r>
            <w:r>
              <w:t>rojekta pabeigšanas</w:t>
            </w:r>
            <w:r>
              <w:t xml:space="preserve"> VRAA</w:t>
            </w:r>
            <w:r w:rsidRPr="007F4D2C">
              <w:rPr>
                <w:rFonts w:eastAsiaTheme="minorEastAsia"/>
                <w:iCs/>
                <w:noProof/>
              </w:rPr>
              <w:t xml:space="preserve"> </w:t>
            </w:r>
            <w:r w:rsidRPr="007F4D2C">
              <w:rPr>
                <w:b/>
                <w:u w:val="single"/>
              </w:rPr>
              <w:t>sistēmu administratoriem un sistēmu analītiķiem</w:t>
            </w:r>
            <w:r>
              <w:t xml:space="preserve"> būs jāuztur un jāpilnveido zemāk uzskatīto, </w:t>
            </w:r>
            <w:r>
              <w:t>P</w:t>
            </w:r>
            <w:r>
              <w:t>rojektā īstenoto aktivitāšu rezultāti</w:t>
            </w:r>
            <w:r>
              <w:t xml:space="preserve">, kuri </w:t>
            </w:r>
            <w:r>
              <w:t>netika uzturēt</w:t>
            </w:r>
            <w:r>
              <w:t>i</w:t>
            </w:r>
            <w:r>
              <w:t xml:space="preserve"> līdz šim</w:t>
            </w:r>
            <w:r>
              <w:t>,</w:t>
            </w:r>
            <w:r>
              <w:t xml:space="preserve"> vai arī atsevišķi zemāk minētie pilnveidojumi esošajai funkcionalitātei, </w:t>
            </w:r>
            <w:r>
              <w:t xml:space="preserve">kuri </w:t>
            </w:r>
            <w:r>
              <w:t xml:space="preserve">pēc projekta īstenošanas, kļūs krietni komplicētāki: </w:t>
            </w:r>
          </w:p>
          <w:p w:rsidR="008F5BE1" w:rsidRPr="003C0C6F" w:rsidP="008F5BE1" w14:paraId="09D0CB45" w14:textId="77777777">
            <w:pPr>
              <w:pStyle w:val="ListParagraph"/>
              <w:numPr>
                <w:ilvl w:val="0"/>
                <w:numId w:val="39"/>
              </w:numPr>
              <w:spacing w:after="60"/>
              <w:jc w:val="both"/>
            </w:pPr>
            <w:r w:rsidRPr="003C0C6F">
              <w:t>Detālplānojumu datu struktūras noteikšana un izstrādes procedūras atbalsts.</w:t>
            </w:r>
            <w:r w:rsidRPr="007F4D2C">
              <w:t xml:space="preserve"> </w:t>
            </w:r>
            <w:r w:rsidRPr="00765E16">
              <w:t>Līdz ar detālplānojumu datu specificēšanu, plānots pilnveidot risinājumu detālplānojumu strukturētā TIAN un grafiskās daļas telpisko datu nodošanai VZD ĢIS</w:t>
            </w:r>
            <w:r w:rsidR="00A030F7">
              <w:t>;</w:t>
            </w:r>
          </w:p>
          <w:p w:rsidR="008F5BE1" w:rsidRPr="003C0C6F" w:rsidP="008F5BE1" w14:paraId="2A12DA07" w14:textId="77777777">
            <w:pPr>
              <w:pStyle w:val="ListParagraph"/>
              <w:numPr>
                <w:ilvl w:val="0"/>
                <w:numId w:val="39"/>
              </w:numPr>
              <w:spacing w:after="60"/>
              <w:jc w:val="both"/>
              <w:rPr>
                <w:rFonts w:eastAsiaTheme="minorEastAsia"/>
                <w:iCs/>
                <w:noProof/>
                <w:color w:val="1F497D"/>
              </w:rPr>
            </w:pPr>
            <w:r w:rsidRPr="003C0C6F">
              <w:t>Jūras telpiskās plānošanas atbalsta procesu elektronizācija;</w:t>
            </w:r>
          </w:p>
          <w:p w:rsidR="008F5BE1" w:rsidRPr="003C0C6F" w:rsidP="008F5BE1" w14:paraId="30430EB8" w14:textId="77777777">
            <w:pPr>
              <w:pStyle w:val="ListParagraph"/>
              <w:numPr>
                <w:ilvl w:val="0"/>
                <w:numId w:val="39"/>
              </w:numPr>
              <w:spacing w:after="60"/>
              <w:jc w:val="both"/>
              <w:rPr>
                <w:rFonts w:eastAsiaTheme="minorEastAsia"/>
                <w:iCs/>
                <w:noProof/>
                <w:color w:val="1F497D"/>
              </w:rPr>
            </w:pPr>
            <w:r w:rsidRPr="003C0C6F">
              <w:t>Saskarnes ar „Latvijas Vēstnesi” izveidošana;</w:t>
            </w:r>
          </w:p>
          <w:p w:rsidR="008F5BE1" w:rsidRPr="003C0C6F" w:rsidP="008F5BE1" w14:paraId="179869F6" w14:textId="77777777">
            <w:pPr>
              <w:pStyle w:val="ListParagraph"/>
              <w:numPr>
                <w:ilvl w:val="0"/>
                <w:numId w:val="39"/>
              </w:numPr>
              <w:spacing w:after="60"/>
              <w:jc w:val="both"/>
              <w:rPr>
                <w:rFonts w:eastAsiaTheme="minorEastAsia"/>
                <w:iCs/>
                <w:noProof/>
                <w:color w:val="1F497D"/>
              </w:rPr>
            </w:pPr>
            <w:r w:rsidRPr="003C0C6F">
              <w:t>VPVB darbinieka darba vides izveidošana TAPIS vidē;</w:t>
            </w:r>
          </w:p>
          <w:p w:rsidR="008F5BE1" w:rsidRPr="00C602C9" w:rsidP="008F5BE1" w14:paraId="4D25AFEC" w14:textId="77777777">
            <w:pPr>
              <w:pStyle w:val="ListParagraph"/>
              <w:numPr>
                <w:ilvl w:val="0"/>
                <w:numId w:val="39"/>
              </w:numPr>
              <w:spacing w:after="60"/>
              <w:jc w:val="both"/>
              <w:rPr>
                <w:rFonts w:eastAsiaTheme="minorEastAsia"/>
                <w:iCs/>
                <w:noProof/>
                <w:color w:val="1F497D"/>
              </w:rPr>
            </w:pPr>
            <w:r w:rsidRPr="003C0C6F">
              <w:t>Izstrādāt</w:t>
            </w:r>
            <w:r w:rsidR="00A030F7">
              <w:t>s</w:t>
            </w:r>
            <w:r w:rsidRPr="003C0C6F">
              <w:t xml:space="preserve"> atbalsta proces</w:t>
            </w:r>
            <w:r w:rsidR="00A030F7">
              <w:t>s</w:t>
            </w:r>
            <w:r w:rsidRPr="003C0C6F">
              <w:t xml:space="preserve"> informācijas par pašvaldību pārziņā esošajām apgrūtinātajām teritorijām un objektiem nodošanai ATIS ārpus </w:t>
            </w:r>
            <w:r w:rsidR="00A030F7">
              <w:t>teritorijas plānošanas procesa;</w:t>
            </w:r>
          </w:p>
          <w:p w:rsidR="008F5BE1" w:rsidRPr="00C602C9" w:rsidP="008F5BE1" w14:paraId="39DADB5C" w14:textId="77777777">
            <w:pPr>
              <w:pStyle w:val="ListParagraph"/>
              <w:numPr>
                <w:ilvl w:val="0"/>
                <w:numId w:val="39"/>
              </w:numPr>
              <w:spacing w:after="60"/>
              <w:jc w:val="both"/>
              <w:rPr>
                <w:rFonts w:eastAsiaTheme="minorEastAsia"/>
                <w:iCs/>
                <w:noProof/>
                <w:color w:val="1F497D"/>
              </w:rPr>
            </w:pPr>
            <w:r>
              <w:t>P</w:t>
            </w:r>
            <w:r w:rsidRPr="00C602C9">
              <w:t>ilnveidot</w:t>
            </w:r>
            <w:r>
              <w:t>a sistēmas lietojamība</w:t>
            </w:r>
            <w:r w:rsidRPr="00C602C9">
              <w:t>, nodrošināt</w:t>
            </w:r>
            <w:r>
              <w:t>a</w:t>
            </w:r>
            <w:r w:rsidRPr="00C602C9">
              <w:t xml:space="preserve"> </w:t>
            </w:r>
            <w:r w:rsidRPr="00C602C9">
              <w:t>informācijas</w:t>
            </w:r>
            <w:r>
              <w:t xml:space="preserve"> par</w:t>
            </w:r>
            <w:r w:rsidRPr="00C602C9">
              <w:t xml:space="preserve"> </w:t>
            </w:r>
            <w:r>
              <w:t>nacionālo interešu objektiem un teritorijām</w:t>
            </w:r>
            <w:r w:rsidRPr="00C602C9">
              <w:t xml:space="preserve"> </w:t>
            </w:r>
            <w:r>
              <w:t>pieejamība</w:t>
            </w:r>
            <w:r w:rsidRPr="00C602C9">
              <w:t>, pilnveidot</w:t>
            </w:r>
            <w:r>
              <w:t>a</w:t>
            </w:r>
            <w:r w:rsidRPr="00C602C9">
              <w:t xml:space="preserve"> teritorijas plānojuma un lo</w:t>
            </w:r>
            <w:r>
              <w:t>kālplānojuma izstrādes procedūra</w:t>
            </w:r>
            <w:r w:rsidRPr="00C602C9">
              <w:t xml:space="preserve">, </w:t>
            </w:r>
            <w:r>
              <w:t>kas ļaus</w:t>
            </w:r>
            <w:r w:rsidRPr="00B11C03">
              <w:t xml:space="preserve"> tos izstrādāt paralēli</w:t>
            </w:r>
            <w:r w:rsidRPr="00652F11">
              <w:t xml:space="preserve">, </w:t>
            </w:r>
            <w:r w:rsidRPr="007F4D2C">
              <w:rPr>
                <w:bCs/>
              </w:rPr>
              <w:t>izveidot</w:t>
            </w:r>
            <w:r>
              <w:rPr>
                <w:bCs/>
              </w:rPr>
              <w:t>s ziņojuma ģenerēšanas mehānisms</w:t>
            </w:r>
            <w:r w:rsidRPr="007F4D2C">
              <w:t xml:space="preserve"> </w:t>
            </w:r>
            <w:r w:rsidRPr="00B11C03">
              <w:t>par saņemtiem institūciju nosacījumiem / atzinumiem un iedzīvotāju priekšlikumiem</w:t>
            </w:r>
            <w:r>
              <w:rPr>
                <w:u w:val="single"/>
              </w:rPr>
              <w:t>;</w:t>
            </w:r>
          </w:p>
          <w:p w:rsidR="008F5BE1" w:rsidRPr="00C602C9" w:rsidP="008F5BE1" w14:paraId="1C1E1E1C" w14:textId="77777777">
            <w:pPr>
              <w:pStyle w:val="ListParagraph"/>
              <w:numPr>
                <w:ilvl w:val="0"/>
                <w:numId w:val="39"/>
              </w:numPr>
              <w:spacing w:after="60"/>
              <w:jc w:val="both"/>
              <w:rPr>
                <w:rFonts w:eastAsiaTheme="minorEastAsia"/>
                <w:iCs/>
                <w:noProof/>
                <w:color w:val="1F497D"/>
              </w:rPr>
            </w:pPr>
            <w:r>
              <w:t>V</w:t>
            </w:r>
            <w:r w:rsidRPr="00C602C9">
              <w:t>eikt</w:t>
            </w:r>
            <w:r>
              <w:t>a datu savākšana</w:t>
            </w:r>
            <w:r w:rsidRPr="00C602C9">
              <w:t xml:space="preserve">, </w:t>
            </w:r>
            <w:r>
              <w:t>apstrāde, iekļaušana</w:t>
            </w:r>
            <w:r w:rsidRPr="00C602C9">
              <w:t xml:space="preserve"> RAIM rādītāju datu bāzē, izmantojot automatizēto datu ielādes mehānismu;</w:t>
            </w:r>
          </w:p>
          <w:p w:rsidR="008F5BE1" w:rsidRPr="005B5412" w:rsidP="008F5BE1" w14:paraId="4A75C8CD" w14:textId="77777777">
            <w:pPr>
              <w:pStyle w:val="ListParagraph"/>
              <w:numPr>
                <w:ilvl w:val="0"/>
                <w:numId w:val="39"/>
              </w:numPr>
              <w:spacing w:after="60"/>
              <w:jc w:val="both"/>
              <w:rPr>
                <w:rFonts w:eastAsiaTheme="minorEastAsia"/>
                <w:iCs/>
                <w:noProof/>
                <w:color w:val="1F497D"/>
              </w:rPr>
            </w:pPr>
            <w:r>
              <w:t>R</w:t>
            </w:r>
            <w:r w:rsidRPr="00C602C9">
              <w:t>ealizēt</w:t>
            </w:r>
            <w:r>
              <w:t>a saskarne</w:t>
            </w:r>
            <w:r w:rsidRPr="00C602C9">
              <w:t xml:space="preserve"> ar Datu publicēšanas platformu (DPP);</w:t>
            </w:r>
          </w:p>
          <w:p w:rsidR="008F5BE1" w:rsidRPr="00B11C03" w:rsidP="008F5BE1" w14:paraId="23A535E5" w14:textId="77777777">
            <w:pPr>
              <w:pStyle w:val="ListParagraph"/>
              <w:numPr>
                <w:ilvl w:val="0"/>
                <w:numId w:val="39"/>
              </w:numPr>
              <w:spacing w:after="60"/>
              <w:jc w:val="both"/>
              <w:rPr>
                <w:rFonts w:eastAsiaTheme="minorEastAsia"/>
                <w:iCs/>
                <w:noProof/>
                <w:color w:val="1F497D"/>
              </w:rPr>
            </w:pPr>
            <w:r w:rsidRPr="00B11C03">
              <w:t>Pilnveidot</w:t>
            </w:r>
            <w:r w:rsidR="00A030F7">
              <w:t>i</w:t>
            </w:r>
            <w:r w:rsidRPr="00B11C03">
              <w:t xml:space="preserve"> e-pakalpojum</w:t>
            </w:r>
            <w:r w:rsidR="00BE75BC">
              <w:t>i</w:t>
            </w:r>
            <w:r w:rsidR="00ED3789">
              <w:t xml:space="preserve"> </w:t>
            </w:r>
            <w:r w:rsidRPr="00B11C03">
              <w:t>EP 163 un EP 174. Šo e-pakalpojumu veidnē tiks ievietota grafiskā informācija (karte), kurā pakalpojuma saņēmējs vizuāli varēs redzēt, par kuru zemes vienību tiek pieprasīts attiecīgais e-</w:t>
            </w:r>
            <w:r w:rsidRPr="00B11C03">
              <w:t xml:space="preserve">pakalpojums. E-pakalpojuma EP163 izpildīšanu varēs uzsākt no TAPIS publiskās daļas </w:t>
            </w:r>
            <w:r w:rsidR="00A17736">
              <w:t xml:space="preserve">portālā </w:t>
            </w:r>
            <w:r>
              <w:fldChar w:fldCharType="begin"/>
            </w:r>
            <w:r>
              <w:instrText xml:space="preserve"> HYPERLINK "http://www.geolatvija.lv" </w:instrText>
            </w:r>
            <w:r>
              <w:fldChar w:fldCharType="separate"/>
            </w:r>
            <w:r w:rsidRPr="00B11C03">
              <w:rPr>
                <w:rStyle w:val="Hyperlink"/>
              </w:rPr>
              <w:t>www.geolatvija.lv</w:t>
            </w:r>
            <w:r>
              <w:fldChar w:fldCharType="end"/>
            </w:r>
            <w:r w:rsidRPr="00B11C03">
              <w:t>, tādējādi veicot e-pakalpojuma pieprasījumu skaita pieaugumu</w:t>
            </w:r>
            <w:r>
              <w:t>;</w:t>
            </w:r>
          </w:p>
          <w:p w:rsidR="008F5BE1" w:rsidRPr="004669CA" w:rsidP="008F5BE1" w14:paraId="1411485E" w14:textId="27BF180A">
            <w:pPr>
              <w:pStyle w:val="ListParagraph"/>
              <w:numPr>
                <w:ilvl w:val="0"/>
                <w:numId w:val="39"/>
              </w:numPr>
              <w:spacing w:after="60"/>
              <w:jc w:val="both"/>
              <w:rPr>
                <w:rFonts w:eastAsiaTheme="minorEastAsia"/>
                <w:iCs/>
                <w:noProof/>
                <w:color w:val="1F497D"/>
              </w:rPr>
            </w:pPr>
            <w:r w:rsidRPr="003C0C6F">
              <w:t xml:space="preserve">VRAA koplietošanas komponentes ārzemnieku autentifikācijas pakalpojuma pieslēgšana atbilstoši </w:t>
            </w:r>
            <w:r w:rsidR="00646D14">
              <w:t>Elektroniskās identifikācijas un uzticamības pakalpojumu regulas</w:t>
            </w:r>
            <w:r w:rsidR="00BC47B1">
              <w:t xml:space="preserve"> </w:t>
            </w:r>
            <w:r w:rsidR="00646D14">
              <w:rPr>
                <w:rStyle w:val="italic"/>
              </w:rPr>
              <w:t>eIDAS</w:t>
            </w:r>
            <w:r w:rsidR="00BC47B1">
              <w:rPr>
                <w:rStyle w:val="italic"/>
              </w:rPr>
              <w:t xml:space="preserve"> (</w:t>
            </w:r>
            <w:r w:rsidRPr="00BC47B1" w:rsidR="00BC47B1">
              <w:rPr>
                <w:rStyle w:val="Strong"/>
                <w:b w:val="0"/>
              </w:rPr>
              <w:t>Eiropas Parlamenta un Pa</w:t>
            </w:r>
            <w:r w:rsidR="00637BE3">
              <w:rPr>
                <w:rStyle w:val="Strong"/>
                <w:b w:val="0"/>
              </w:rPr>
              <w:t>domes 2014.gada 23.jūlija</w:t>
            </w:r>
            <w:r w:rsidRPr="00BC47B1" w:rsidR="00637BE3">
              <w:rPr>
                <w:rStyle w:val="Strong"/>
                <w:b w:val="0"/>
              </w:rPr>
              <w:t xml:space="preserve"> </w:t>
            </w:r>
            <w:r w:rsidR="00637BE3">
              <w:rPr>
                <w:rStyle w:val="Strong"/>
                <w:b w:val="0"/>
              </w:rPr>
              <w:t xml:space="preserve">Regula (ES) Nr. 910/2014 </w:t>
            </w:r>
            <w:r w:rsidRPr="00BC47B1" w:rsidR="00BC47B1">
              <w:rPr>
                <w:rStyle w:val="Strong"/>
                <w:b w:val="0"/>
              </w:rPr>
              <w:t>par elektronisko identifikāciju un uzticamības pakalpojumiem elektronisko darījumu veikšanai iekšējā tirgū</w:t>
            </w:r>
            <w:r w:rsidRPr="00BC47B1" w:rsidR="00646D14">
              <w:rPr>
                <w:rStyle w:val="italic"/>
                <w:b/>
              </w:rPr>
              <w:t>)</w:t>
            </w:r>
            <w:r w:rsidRPr="003C0C6F">
              <w:t xml:space="preserve"> prasībām</w:t>
            </w:r>
            <w:r>
              <w:t>;</w:t>
            </w:r>
          </w:p>
          <w:p w:rsidR="008F5BE1" w:rsidRPr="004E1B27" w:rsidP="008F5BE1" w14:paraId="7611FE22" w14:textId="77777777">
            <w:pPr>
              <w:pStyle w:val="ListParagraph"/>
              <w:numPr>
                <w:ilvl w:val="0"/>
                <w:numId w:val="39"/>
              </w:numPr>
              <w:spacing w:after="60"/>
              <w:jc w:val="both"/>
              <w:rPr>
                <w:rFonts w:eastAsiaTheme="minorEastAsia"/>
                <w:iCs/>
                <w:noProof/>
                <w:color w:val="1F497D"/>
              </w:rPr>
            </w:pPr>
            <w:r>
              <w:t>I</w:t>
            </w:r>
            <w:r w:rsidRPr="004669CA">
              <w:t>zstrādāt</w:t>
            </w:r>
            <w:r>
              <w:t>i divi</w:t>
            </w:r>
            <w:r w:rsidR="0059632E">
              <w:t xml:space="preserve"> jaun</w:t>
            </w:r>
            <w:r w:rsidR="006B7CFE">
              <w:t>i</w:t>
            </w:r>
            <w:r w:rsidR="009704CF">
              <w:t xml:space="preserve"> e-pakalpojumi (</w:t>
            </w:r>
            <w:r w:rsidRPr="004669CA">
              <w:t>par Jūras telpisko plānojumu</w:t>
            </w:r>
            <w:r>
              <w:t xml:space="preserve"> un par</w:t>
            </w:r>
            <w:r w:rsidRPr="004669CA">
              <w:t xml:space="preserve"> Nacionālo interešu objektu teritorijām</w:t>
            </w:r>
            <w:r>
              <w:t>),</w:t>
            </w:r>
            <w:r w:rsidRPr="004669CA">
              <w:t xml:space="preserve"> kas vienlaicīgi </w:t>
            </w:r>
            <w:r w:rsidRPr="004669CA">
              <w:rPr>
                <w:color w:val="000000"/>
              </w:rPr>
              <w:t xml:space="preserve">veicinās gan </w:t>
            </w:r>
            <w:r w:rsidR="0062376A">
              <w:rPr>
                <w:color w:val="000000"/>
              </w:rPr>
              <w:t>vizuālo</w:t>
            </w:r>
            <w:r w:rsidRPr="004669CA" w:rsidR="0062376A">
              <w:rPr>
                <w:color w:val="000000"/>
              </w:rPr>
              <w:t xml:space="preserve"> </w:t>
            </w:r>
            <w:r w:rsidRPr="004669CA">
              <w:rPr>
                <w:color w:val="000000"/>
              </w:rPr>
              <w:t xml:space="preserve">teritorijas pārskatāmību </w:t>
            </w:r>
            <w:r w:rsidR="009704CF">
              <w:t xml:space="preserve">portālā </w:t>
            </w:r>
            <w:r>
              <w:fldChar w:fldCharType="begin"/>
            </w:r>
            <w:r>
              <w:instrText xml:space="preserve"> HYPERLINK "http://www.geolatvija.lv" </w:instrText>
            </w:r>
            <w:r>
              <w:fldChar w:fldCharType="separate"/>
            </w:r>
            <w:r w:rsidRPr="00B11C03" w:rsidR="009704CF">
              <w:rPr>
                <w:rStyle w:val="Hyperlink"/>
              </w:rPr>
              <w:t>www.geolatvija.lv</w:t>
            </w:r>
            <w:r>
              <w:fldChar w:fldCharType="end"/>
            </w:r>
            <w:r w:rsidR="0062376A">
              <w:rPr>
                <w:rStyle w:val="Hyperlink"/>
              </w:rPr>
              <w:t xml:space="preserve"> </w:t>
            </w:r>
            <w:r w:rsidRPr="004669CA">
              <w:rPr>
                <w:color w:val="000000"/>
              </w:rPr>
              <w:t>saistībā ar jūras telpiskā plānojuma datiem un nacionālo interešu objektu un teritoriju datiem, gan paplašinās portāl</w:t>
            </w:r>
            <w:r w:rsidR="0062376A">
              <w:rPr>
                <w:color w:val="000000"/>
              </w:rPr>
              <w:t>ā pieejamās informācijas klāstu;</w:t>
            </w:r>
          </w:p>
          <w:p w:rsidR="008F5BE1" w:rsidRPr="007F3ADC" w:rsidP="008F5BE1" w14:paraId="2B4F6333" w14:textId="77777777">
            <w:pPr>
              <w:pStyle w:val="ListParagraph"/>
              <w:numPr>
                <w:ilvl w:val="0"/>
                <w:numId w:val="39"/>
              </w:numPr>
              <w:spacing w:after="60"/>
              <w:jc w:val="both"/>
              <w:rPr>
                <w:rFonts w:eastAsiaTheme="minorEastAsia"/>
                <w:iCs/>
                <w:noProof/>
                <w:color w:val="1F497D"/>
              </w:rPr>
            </w:pPr>
            <w:r w:rsidRPr="007F3ADC">
              <w:t>TAPIS nodrošinā</w:t>
            </w:r>
            <w:r w:rsidR="0062376A">
              <w:t>s</w:t>
            </w:r>
            <w:r w:rsidRPr="007F3ADC">
              <w:t xml:space="preserve"> iespēju </w:t>
            </w:r>
            <w:r w:rsidR="006233AC">
              <w:t>Būvniecības informācijas sistēmas (</w:t>
            </w:r>
            <w:r w:rsidRPr="007F3ADC">
              <w:t>BIS</w:t>
            </w:r>
            <w:r w:rsidR="006233AC">
              <w:t>)</w:t>
            </w:r>
            <w:r w:rsidRPr="007F3ADC">
              <w:t xml:space="preserve"> pusē atvērt un apskatīties nepieciešamās teritorijas attīstības plānošanas dokumenta sadaļas;</w:t>
            </w:r>
          </w:p>
          <w:p w:rsidR="008F5BE1" w:rsidRPr="00CC5998" w:rsidP="008F5BE1" w14:paraId="1F9D7751" w14:textId="77777777">
            <w:pPr>
              <w:pStyle w:val="ListParagraph"/>
              <w:numPr>
                <w:ilvl w:val="0"/>
                <w:numId w:val="39"/>
              </w:numPr>
              <w:spacing w:after="60"/>
              <w:jc w:val="both"/>
              <w:rPr>
                <w:rFonts w:eastAsiaTheme="minorEastAsia"/>
                <w:iCs/>
                <w:noProof/>
                <w:color w:val="1F497D"/>
              </w:rPr>
            </w:pPr>
            <w:r w:rsidRPr="00CC5998">
              <w:t>I</w:t>
            </w:r>
            <w:r w:rsidRPr="00CC5998">
              <w:t>zveidot</w:t>
            </w:r>
            <w:r w:rsidRPr="00CC5998">
              <w:t>a</w:t>
            </w:r>
            <w:r w:rsidRPr="00CC5998">
              <w:t xml:space="preserve"> </w:t>
            </w:r>
            <w:r w:rsidRPr="00CC5998">
              <w:t>jauna</w:t>
            </w:r>
            <w:r w:rsidRPr="00CC5998">
              <w:t xml:space="preserve"> pakalp</w:t>
            </w:r>
            <w:r w:rsidRPr="00CC5998">
              <w:t>e</w:t>
            </w:r>
            <w:r w:rsidRPr="00CC5998">
              <w:t xml:space="preserve">, lai TAPIS </w:t>
            </w:r>
            <w:r w:rsidRPr="00CC5998">
              <w:t xml:space="preserve">no BIS </w:t>
            </w:r>
            <w:r w:rsidRPr="00CC5998">
              <w:t>saņemt</w:t>
            </w:r>
            <w:r w:rsidRPr="00CC5998" w:rsidR="00CC5998">
              <w:t>u teksta datus</w:t>
            </w:r>
            <w:r w:rsidRPr="00CC5998">
              <w:t xml:space="preserve"> par būves un zemes vienību raksturojošajiem datiem;</w:t>
            </w:r>
          </w:p>
          <w:p w:rsidR="004741E9" w:rsidP="00CC5998" w14:paraId="76F72574" w14:textId="77777777">
            <w:pPr>
              <w:pStyle w:val="ListParagraph"/>
              <w:numPr>
                <w:ilvl w:val="0"/>
                <w:numId w:val="39"/>
              </w:numPr>
              <w:jc w:val="both"/>
            </w:pPr>
            <w:r>
              <w:t>A</w:t>
            </w:r>
            <w:r w:rsidRPr="00CC5998" w:rsidR="008F5BE1">
              <w:t>ttīstīt</w:t>
            </w:r>
            <w:r>
              <w:t>a</w:t>
            </w:r>
            <w:r w:rsidRPr="00CC5998" w:rsidR="008F5BE1">
              <w:t xml:space="preserve"> tiešsaistes saskarn</w:t>
            </w:r>
            <w:r>
              <w:t>e</w:t>
            </w:r>
            <w:r w:rsidRPr="00CC5998" w:rsidR="008F5BE1">
              <w:t xml:space="preserve"> starp TAPIS un ATIS, nodrošinot divvirzienu datu plūsmu, kas vienlaikus </w:t>
            </w:r>
            <w:r>
              <w:t>nodrošina</w:t>
            </w:r>
            <w:r w:rsidRPr="00CC5998" w:rsidR="008F5BE1">
              <w:t xml:space="preserve"> pašvaldībām atvieglotu datu nodošanu uz ATIS</w:t>
            </w:r>
            <w:r>
              <w:t>.</w:t>
            </w:r>
          </w:p>
          <w:p w:rsidR="009B6F69" w:rsidP="009B6F69" w14:paraId="0264DAD7" w14:textId="77777777">
            <w:pPr>
              <w:pStyle w:val="ListParagraph"/>
              <w:jc w:val="both"/>
            </w:pPr>
          </w:p>
          <w:p w:rsidR="009B6F69" w:rsidRPr="00CC5998" w:rsidP="009B6F69" w14:paraId="722C1BC8" w14:textId="77777777">
            <w:pPr>
              <w:jc w:val="both"/>
            </w:pPr>
            <w:r>
              <w:t xml:space="preserve">Ņemot vērā iepriekšminēto, </w:t>
            </w:r>
            <w:r w:rsidR="00F534F0">
              <w:t xml:space="preserve">zemāk sniegts salīdzinājums ar </w:t>
            </w:r>
            <w:r>
              <w:t xml:space="preserve">šobrīd VRAA </w:t>
            </w:r>
            <w:r w:rsidR="00D85721">
              <w:t>speciālistu esoš</w:t>
            </w:r>
            <w:r w:rsidR="00F534F0">
              <w:t>o</w:t>
            </w:r>
            <w:r w:rsidR="00D85721">
              <w:t xml:space="preserve"> atalgojum</w:t>
            </w:r>
            <w:r w:rsidR="00F534F0">
              <w:t>u un atalgojumu pēc k</w:t>
            </w:r>
            <w:r w:rsidR="00AF018C">
              <w:t>lasi</w:t>
            </w:r>
            <w:r w:rsidR="00F534F0">
              <w:t>fikācijas celšanas</w:t>
            </w:r>
            <w:r w:rsidR="00D95C8C">
              <w:t xml:space="preserve"> (ņemot vērā, ka</w:t>
            </w:r>
            <w:r w:rsidR="00631617">
              <w:t xml:space="preserve"> </w:t>
            </w:r>
            <w:r w:rsidR="00D95C8C">
              <w:t xml:space="preserve">anotācijā sniegtie aprēķini ir būtiski visa Projekta īstenošanas veiksmīgam rezultātam un rezultātu uzturēšanai turpmākā laika periodā, </w:t>
            </w:r>
            <w:r w:rsidR="00B0472B">
              <w:t>aprēķinos</w:t>
            </w:r>
            <w:r w:rsidR="00D95C8C">
              <w:t xml:space="preserve"> nor</w:t>
            </w:r>
            <w:r w:rsidR="00B0472B">
              <w:t>ād</w:t>
            </w:r>
            <w:r w:rsidR="00D95C8C">
              <w:t xml:space="preserve">īts šobrīd esošais atalgojums 5 amata vietām (1244 </w:t>
            </w:r>
            <w:r w:rsidRPr="00FB62EC" w:rsidR="00D95C8C">
              <w:rPr>
                <w:i/>
              </w:rPr>
              <w:t>euro</w:t>
            </w:r>
            <w:r w:rsidR="00D95C8C">
              <w:t>), kuru atlīdzību plānot</w:t>
            </w:r>
            <w:r w:rsidR="006E71FF">
              <w:t>s celt</w:t>
            </w:r>
            <w:r w:rsidR="006D10D5">
              <w:t xml:space="preserve"> veicot pārklasifikāciju</w:t>
            </w:r>
            <w:r w:rsidR="006E41D2">
              <w:t>, bet ku</w:t>
            </w:r>
            <w:r w:rsidR="00940E46">
              <w:t>rš nesasniedz 11.mēne</w:t>
            </w:r>
            <w:r w:rsidR="006E41D2">
              <w:t>šalgas grupas maksim</w:t>
            </w:r>
            <w:r w:rsidR="00940E46">
              <w:t>ālo darba samaksas lielumu</w:t>
            </w:r>
            <w:r w:rsidR="00D95C8C">
              <w:t>)</w:t>
            </w:r>
            <w:r w:rsidR="00D85721">
              <w:t>:</w:t>
            </w:r>
          </w:p>
          <w:tbl>
            <w:tblPr>
              <w:tblW w:w="8107" w:type="dxa"/>
              <w:tblLayout w:type="fixed"/>
              <w:tblLook w:val="04A0"/>
            </w:tblPr>
            <w:tblGrid>
              <w:gridCol w:w="1870"/>
              <w:gridCol w:w="530"/>
              <w:gridCol w:w="604"/>
              <w:gridCol w:w="1417"/>
              <w:gridCol w:w="1276"/>
              <w:gridCol w:w="1134"/>
              <w:gridCol w:w="1276"/>
            </w:tblGrid>
            <w:tr w14:paraId="0DBFDEA9" w14:textId="77777777" w:rsidTr="007C7B5B">
              <w:tblPrEx>
                <w:tblW w:w="8107" w:type="dxa"/>
                <w:tblLayout w:type="fixed"/>
                <w:tblLook w:val="04A0"/>
              </w:tblPrEx>
              <w:trPr>
                <w:trHeight w:val="300"/>
              </w:trPr>
              <w:tc>
                <w:tcPr>
                  <w:tcW w:w="1870" w:type="dxa"/>
                  <w:tcBorders>
                    <w:top w:val="nil"/>
                    <w:left w:val="nil"/>
                    <w:bottom w:val="nil"/>
                    <w:right w:val="nil"/>
                  </w:tcBorders>
                  <w:shd w:val="clear" w:color="auto" w:fill="auto"/>
                  <w:noWrap/>
                  <w:vAlign w:val="bottom"/>
                  <w:hideMark/>
                </w:tcPr>
                <w:p w:rsidR="00C93888" w:rsidRPr="00ED315A" w:rsidP="009B6F69" w14:paraId="2132B1E9" w14:textId="77777777">
                  <w:pPr>
                    <w:rPr>
                      <w:b/>
                      <w:color w:val="000000"/>
                      <w:lang w:eastAsia="en-US"/>
                    </w:rPr>
                  </w:pPr>
                  <w:r w:rsidRPr="00ED315A">
                    <w:rPr>
                      <w:b/>
                      <w:color w:val="000000"/>
                      <w:lang w:eastAsia="en-US"/>
                    </w:rPr>
                    <w:t>esošās amata</w:t>
                  </w:r>
                  <w:r w:rsidRPr="00ED315A" w:rsidR="008B77FF">
                    <w:rPr>
                      <w:b/>
                      <w:color w:val="000000"/>
                      <w:lang w:eastAsia="en-US"/>
                    </w:rPr>
                    <w:t xml:space="preserve"> </w:t>
                  </w:r>
                  <w:r w:rsidRPr="00ED315A">
                    <w:rPr>
                      <w:b/>
                      <w:color w:val="000000"/>
                      <w:lang w:eastAsia="en-US"/>
                    </w:rPr>
                    <w:t xml:space="preserve"> </w:t>
                  </w:r>
                  <w:r w:rsidRPr="00ED315A" w:rsidR="009B6F69">
                    <w:rPr>
                      <w:b/>
                      <w:color w:val="000000"/>
                      <w:lang w:eastAsia="en-US"/>
                    </w:rPr>
                    <w:t>v</w:t>
                  </w:r>
                  <w:r w:rsidRPr="00ED315A">
                    <w:rPr>
                      <w:b/>
                      <w:color w:val="000000"/>
                      <w:lang w:eastAsia="en-US"/>
                    </w:rPr>
                    <w:t>ietas</w:t>
                  </w:r>
                </w:p>
              </w:tc>
              <w:tc>
                <w:tcPr>
                  <w:tcW w:w="1134" w:type="dxa"/>
                  <w:gridSpan w:val="2"/>
                  <w:tcBorders>
                    <w:top w:val="nil"/>
                    <w:left w:val="nil"/>
                    <w:bottom w:val="nil"/>
                    <w:right w:val="nil"/>
                  </w:tcBorders>
                  <w:shd w:val="clear" w:color="auto" w:fill="auto"/>
                  <w:noWrap/>
                  <w:vAlign w:val="bottom"/>
                  <w:hideMark/>
                </w:tcPr>
                <w:p w:rsidR="00C93888" w:rsidRPr="00ED315A" w:rsidP="00C93888" w14:paraId="30DFF191" w14:textId="77777777">
                  <w:pPr>
                    <w:rPr>
                      <w:color w:val="000000"/>
                      <w:lang w:eastAsia="en-US"/>
                    </w:rPr>
                  </w:pPr>
                </w:p>
              </w:tc>
              <w:tc>
                <w:tcPr>
                  <w:tcW w:w="1417" w:type="dxa"/>
                  <w:tcBorders>
                    <w:top w:val="nil"/>
                    <w:left w:val="nil"/>
                    <w:bottom w:val="nil"/>
                    <w:right w:val="nil"/>
                  </w:tcBorders>
                  <w:shd w:val="clear" w:color="auto" w:fill="auto"/>
                  <w:noWrap/>
                  <w:vAlign w:val="bottom"/>
                  <w:hideMark/>
                </w:tcPr>
                <w:p w:rsidR="00C93888" w:rsidRPr="00ED315A" w:rsidP="00C93888" w14:paraId="1A430AD0" w14:textId="77777777">
                  <w:pPr>
                    <w:rPr>
                      <w:color w:val="000000"/>
                      <w:lang w:eastAsia="en-US"/>
                    </w:rPr>
                  </w:pPr>
                </w:p>
              </w:tc>
              <w:tc>
                <w:tcPr>
                  <w:tcW w:w="1276" w:type="dxa"/>
                  <w:tcBorders>
                    <w:top w:val="nil"/>
                    <w:left w:val="nil"/>
                    <w:bottom w:val="nil"/>
                    <w:right w:val="nil"/>
                  </w:tcBorders>
                  <w:shd w:val="clear" w:color="auto" w:fill="auto"/>
                  <w:noWrap/>
                  <w:vAlign w:val="bottom"/>
                  <w:hideMark/>
                </w:tcPr>
                <w:p w:rsidR="00C93888" w:rsidRPr="00ED315A" w:rsidP="00C93888" w14:paraId="19029DD0" w14:textId="77777777">
                  <w:pPr>
                    <w:rPr>
                      <w:color w:val="000000"/>
                      <w:lang w:eastAsia="en-US"/>
                    </w:rPr>
                  </w:pPr>
                </w:p>
              </w:tc>
              <w:tc>
                <w:tcPr>
                  <w:tcW w:w="1134" w:type="dxa"/>
                  <w:tcBorders>
                    <w:top w:val="nil"/>
                    <w:left w:val="nil"/>
                    <w:bottom w:val="nil"/>
                    <w:right w:val="nil"/>
                  </w:tcBorders>
                  <w:shd w:val="clear" w:color="auto" w:fill="auto"/>
                  <w:noWrap/>
                  <w:vAlign w:val="bottom"/>
                  <w:hideMark/>
                </w:tcPr>
                <w:p w:rsidR="00C93888" w:rsidRPr="00ED315A" w:rsidP="00C93888" w14:paraId="146CFCA6" w14:textId="77777777">
                  <w:pPr>
                    <w:rPr>
                      <w:color w:val="000000"/>
                      <w:lang w:eastAsia="en-US"/>
                    </w:rPr>
                  </w:pPr>
                </w:p>
              </w:tc>
              <w:tc>
                <w:tcPr>
                  <w:tcW w:w="1276" w:type="dxa"/>
                  <w:tcBorders>
                    <w:top w:val="nil"/>
                    <w:left w:val="nil"/>
                    <w:bottom w:val="nil"/>
                    <w:right w:val="nil"/>
                  </w:tcBorders>
                  <w:shd w:val="clear" w:color="auto" w:fill="auto"/>
                  <w:noWrap/>
                  <w:vAlign w:val="bottom"/>
                  <w:hideMark/>
                </w:tcPr>
                <w:p w:rsidR="00C93888" w:rsidRPr="00ED315A" w:rsidP="00C93888" w14:paraId="342515BE" w14:textId="77777777">
                  <w:pPr>
                    <w:rPr>
                      <w:color w:val="000000"/>
                      <w:lang w:eastAsia="en-US"/>
                    </w:rPr>
                  </w:pPr>
                </w:p>
              </w:tc>
            </w:tr>
            <w:tr w14:paraId="4EE7950B" w14:textId="77777777" w:rsidTr="007C7B5B">
              <w:tblPrEx>
                <w:tblW w:w="8107" w:type="dxa"/>
                <w:tblLayout w:type="fixed"/>
                <w:tblLook w:val="04A0"/>
              </w:tblPrEx>
              <w:trPr>
                <w:trHeight w:val="600"/>
              </w:trPr>
              <w:tc>
                <w:tcPr>
                  <w:tcW w:w="1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3888" w:rsidRPr="00ED315A" w:rsidP="00C93888" w14:paraId="14CDBB8F" w14:textId="77777777">
                  <w:pPr>
                    <w:rPr>
                      <w:color w:val="000000"/>
                      <w:lang w:eastAsia="en-US"/>
                    </w:rPr>
                  </w:pPr>
                  <w:r w:rsidRPr="00ED315A">
                    <w:rPr>
                      <w:color w:val="000000"/>
                      <w:lang w:eastAsia="en-US"/>
                    </w:rPr>
                    <w:t>amata nosaukums</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C93888" w:rsidRPr="00ED315A" w:rsidP="00C93888" w14:paraId="33A11F56" w14:textId="77777777">
                  <w:pPr>
                    <w:rPr>
                      <w:color w:val="000000"/>
                      <w:lang w:eastAsia="en-US"/>
                    </w:rPr>
                  </w:pPr>
                  <w:r w:rsidRPr="00ED315A">
                    <w:rPr>
                      <w:color w:val="000000"/>
                      <w:lang w:eastAsia="en-US"/>
                    </w:rPr>
                    <w:t>amata saime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C93888" w:rsidRPr="00ED315A" w:rsidP="00C93888" w14:paraId="473BFD89" w14:textId="77777777">
                  <w:pPr>
                    <w:rPr>
                      <w:color w:val="000000"/>
                      <w:lang w:eastAsia="en-US"/>
                    </w:rPr>
                  </w:pPr>
                  <w:r w:rsidRPr="00ED315A">
                    <w:rPr>
                      <w:color w:val="000000"/>
                      <w:lang w:eastAsia="en-US"/>
                    </w:rPr>
                    <w:t>amata līmenis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93888" w:rsidRPr="00ED315A" w:rsidP="00C93888" w14:paraId="637A3BB2" w14:textId="77777777">
                  <w:pPr>
                    <w:rPr>
                      <w:color w:val="000000"/>
                      <w:lang w:eastAsia="en-US"/>
                    </w:rPr>
                  </w:pPr>
                  <w:r w:rsidRPr="00ED315A">
                    <w:rPr>
                      <w:color w:val="000000"/>
                      <w:lang w:eastAsia="en-US"/>
                    </w:rPr>
                    <w:t>mēnešalgu grupa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93888" w:rsidRPr="00ED315A" w:rsidP="00C93888" w14:paraId="63510E14" w14:textId="77777777">
                  <w:pPr>
                    <w:rPr>
                      <w:color w:val="000000"/>
                      <w:lang w:eastAsia="en-US"/>
                    </w:rPr>
                  </w:pPr>
                  <w:r w:rsidRPr="00ED315A">
                    <w:rPr>
                      <w:color w:val="000000"/>
                      <w:lang w:eastAsia="en-US"/>
                    </w:rPr>
                    <w:t>kategorija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93888" w:rsidRPr="00ED315A" w:rsidP="00C93888" w14:paraId="3795FD1E" w14:textId="77777777">
                  <w:pPr>
                    <w:rPr>
                      <w:color w:val="000000"/>
                      <w:lang w:eastAsia="en-US"/>
                    </w:rPr>
                  </w:pPr>
                  <w:r w:rsidRPr="00ED315A">
                    <w:rPr>
                      <w:color w:val="000000"/>
                      <w:lang w:eastAsia="en-US"/>
                    </w:rPr>
                    <w:t>M</w:t>
                  </w:r>
                  <w:r w:rsidRPr="00ED315A">
                    <w:rPr>
                      <w:color w:val="000000"/>
                      <w:lang w:eastAsia="en-US"/>
                    </w:rPr>
                    <w:t>ēnešalga</w:t>
                  </w:r>
                </w:p>
                <w:p w:rsidR="000A2606" w:rsidP="00C93888" w14:paraId="101C384D" w14:textId="77777777">
                  <w:pPr>
                    <w:rPr>
                      <w:i/>
                      <w:color w:val="000000"/>
                      <w:lang w:eastAsia="en-US"/>
                    </w:rPr>
                  </w:pPr>
                  <w:r>
                    <w:rPr>
                      <w:i/>
                      <w:color w:val="000000"/>
                      <w:lang w:eastAsia="en-US"/>
                    </w:rPr>
                    <w:t>e</w:t>
                  </w:r>
                  <w:r w:rsidRPr="00ED315A">
                    <w:rPr>
                      <w:i/>
                      <w:color w:val="000000"/>
                      <w:lang w:eastAsia="en-US"/>
                    </w:rPr>
                    <w:t>uro</w:t>
                  </w:r>
                </w:p>
                <w:p w:rsidR="00AF072D" w:rsidRPr="00ED315A" w:rsidP="00C93888" w14:paraId="25A891A1" w14:textId="77777777">
                  <w:pPr>
                    <w:rPr>
                      <w:i/>
                      <w:color w:val="000000"/>
                      <w:lang w:eastAsia="en-US"/>
                    </w:rPr>
                  </w:pPr>
                  <w:r>
                    <w:rPr>
                      <w:i/>
                      <w:color w:val="000000"/>
                      <w:lang w:eastAsia="en-US"/>
                    </w:rPr>
                    <w:t>(esošā)</w:t>
                  </w:r>
                </w:p>
              </w:tc>
            </w:tr>
            <w:tr w14:paraId="62A3020F" w14:textId="77777777" w:rsidTr="007C7B5B">
              <w:tblPrEx>
                <w:tblW w:w="8107" w:type="dxa"/>
                <w:tblLayout w:type="fixed"/>
                <w:tblLook w:val="04A0"/>
              </w:tblPrEx>
              <w:trPr>
                <w:trHeight w:val="300"/>
              </w:trPr>
              <w:tc>
                <w:tcPr>
                  <w:tcW w:w="1870" w:type="dxa"/>
                  <w:tcBorders>
                    <w:top w:val="nil"/>
                    <w:left w:val="nil"/>
                    <w:bottom w:val="nil"/>
                    <w:right w:val="nil"/>
                  </w:tcBorders>
                  <w:shd w:val="clear" w:color="auto" w:fill="auto"/>
                  <w:noWrap/>
                  <w:vAlign w:val="bottom"/>
                  <w:hideMark/>
                </w:tcPr>
                <w:p w:rsidR="00C93888" w:rsidRPr="00ED315A" w:rsidP="00C93888" w14:paraId="254DB2BF" w14:textId="77777777">
                  <w:pPr>
                    <w:rPr>
                      <w:color w:val="000000"/>
                      <w:lang w:eastAsia="en-US"/>
                    </w:rPr>
                  </w:pPr>
                  <w:r w:rsidRPr="00ED315A">
                    <w:rPr>
                      <w:color w:val="000000"/>
                      <w:lang w:eastAsia="en-US"/>
                    </w:rPr>
                    <w:t>sistēmu analītiķis</w:t>
                  </w:r>
                </w:p>
              </w:tc>
              <w:tc>
                <w:tcPr>
                  <w:tcW w:w="1134" w:type="dxa"/>
                  <w:gridSpan w:val="2"/>
                  <w:tcBorders>
                    <w:top w:val="nil"/>
                    <w:left w:val="nil"/>
                    <w:bottom w:val="nil"/>
                    <w:right w:val="nil"/>
                  </w:tcBorders>
                  <w:shd w:val="clear" w:color="auto" w:fill="auto"/>
                  <w:noWrap/>
                  <w:vAlign w:val="bottom"/>
                  <w:hideMark/>
                </w:tcPr>
                <w:p w:rsidR="00C93888" w:rsidRPr="00ED315A" w:rsidP="00C93888" w14:paraId="30CF0482" w14:textId="77777777">
                  <w:pPr>
                    <w:rPr>
                      <w:color w:val="000000"/>
                      <w:lang w:eastAsia="en-US"/>
                    </w:rPr>
                  </w:pPr>
                  <w:r w:rsidRPr="00ED315A">
                    <w:rPr>
                      <w:color w:val="000000"/>
                      <w:lang w:eastAsia="en-US"/>
                    </w:rPr>
                    <w:t>19.3</w:t>
                  </w:r>
                </w:p>
              </w:tc>
              <w:tc>
                <w:tcPr>
                  <w:tcW w:w="1417" w:type="dxa"/>
                  <w:tcBorders>
                    <w:top w:val="nil"/>
                    <w:left w:val="nil"/>
                    <w:bottom w:val="nil"/>
                    <w:right w:val="nil"/>
                  </w:tcBorders>
                  <w:shd w:val="clear" w:color="auto" w:fill="auto"/>
                  <w:noWrap/>
                  <w:vAlign w:val="bottom"/>
                  <w:hideMark/>
                </w:tcPr>
                <w:p w:rsidR="00C93888" w:rsidRPr="00ED315A" w:rsidP="00C93888" w14:paraId="10ECAEC5" w14:textId="77777777">
                  <w:pPr>
                    <w:rPr>
                      <w:color w:val="000000"/>
                      <w:lang w:eastAsia="en-US"/>
                    </w:rPr>
                  </w:pPr>
                  <w:r w:rsidRPr="00ED315A">
                    <w:rPr>
                      <w:color w:val="000000"/>
                      <w:lang w:eastAsia="en-US"/>
                    </w:rPr>
                    <w:t>IIA</w:t>
                  </w:r>
                </w:p>
              </w:tc>
              <w:tc>
                <w:tcPr>
                  <w:tcW w:w="1276" w:type="dxa"/>
                  <w:tcBorders>
                    <w:top w:val="nil"/>
                    <w:left w:val="nil"/>
                    <w:bottom w:val="nil"/>
                    <w:right w:val="nil"/>
                  </w:tcBorders>
                  <w:shd w:val="clear" w:color="auto" w:fill="auto"/>
                  <w:noWrap/>
                  <w:vAlign w:val="bottom"/>
                  <w:hideMark/>
                </w:tcPr>
                <w:p w:rsidR="00C93888" w:rsidRPr="00ED315A" w:rsidP="00C93888" w14:paraId="62F9703D" w14:textId="77777777">
                  <w:pPr>
                    <w:rPr>
                      <w:color w:val="000000"/>
                      <w:lang w:eastAsia="en-US"/>
                    </w:rPr>
                  </w:pPr>
                  <w:r w:rsidRPr="00ED315A">
                    <w:rPr>
                      <w:color w:val="000000"/>
                      <w:lang w:eastAsia="en-US"/>
                    </w:rPr>
                    <w:t>11</w:t>
                  </w:r>
                </w:p>
              </w:tc>
              <w:tc>
                <w:tcPr>
                  <w:tcW w:w="1134" w:type="dxa"/>
                  <w:tcBorders>
                    <w:top w:val="nil"/>
                    <w:left w:val="nil"/>
                    <w:bottom w:val="nil"/>
                    <w:right w:val="nil"/>
                  </w:tcBorders>
                  <w:shd w:val="clear" w:color="auto" w:fill="auto"/>
                  <w:noWrap/>
                  <w:vAlign w:val="bottom"/>
                  <w:hideMark/>
                </w:tcPr>
                <w:p w:rsidR="00C93888" w:rsidRPr="00ED315A" w:rsidP="00C93888" w14:paraId="1653C89A" w14:textId="77777777">
                  <w:pPr>
                    <w:rPr>
                      <w:color w:val="000000"/>
                      <w:lang w:eastAsia="en-US"/>
                    </w:rPr>
                  </w:pPr>
                  <w:r w:rsidRPr="00ED315A">
                    <w:rPr>
                      <w:color w:val="000000"/>
                      <w:lang w:eastAsia="en-US"/>
                    </w:rPr>
                    <w:t>3</w:t>
                  </w:r>
                </w:p>
              </w:tc>
              <w:tc>
                <w:tcPr>
                  <w:tcW w:w="1276" w:type="dxa"/>
                  <w:tcBorders>
                    <w:top w:val="nil"/>
                    <w:left w:val="nil"/>
                    <w:bottom w:val="nil"/>
                    <w:right w:val="nil"/>
                  </w:tcBorders>
                  <w:shd w:val="clear" w:color="auto" w:fill="auto"/>
                  <w:noWrap/>
                  <w:vAlign w:val="bottom"/>
                  <w:hideMark/>
                </w:tcPr>
                <w:p w:rsidR="00C93888" w:rsidRPr="00ED315A" w:rsidP="00C93888" w14:paraId="274379C3" w14:textId="77777777">
                  <w:pPr>
                    <w:jc w:val="right"/>
                    <w:rPr>
                      <w:color w:val="000000"/>
                      <w:lang w:eastAsia="en-US"/>
                    </w:rPr>
                  </w:pPr>
                  <w:r w:rsidRPr="00ED315A">
                    <w:rPr>
                      <w:color w:val="000000"/>
                      <w:lang w:eastAsia="en-US"/>
                    </w:rPr>
                    <w:t>1244</w:t>
                  </w:r>
                </w:p>
              </w:tc>
            </w:tr>
            <w:tr w14:paraId="7B6327A5" w14:textId="77777777" w:rsidTr="007C7B5B">
              <w:tblPrEx>
                <w:tblW w:w="8107" w:type="dxa"/>
                <w:tblLayout w:type="fixed"/>
                <w:tblLook w:val="04A0"/>
              </w:tblPrEx>
              <w:trPr>
                <w:trHeight w:val="300"/>
              </w:trPr>
              <w:tc>
                <w:tcPr>
                  <w:tcW w:w="1870" w:type="dxa"/>
                  <w:tcBorders>
                    <w:top w:val="nil"/>
                    <w:left w:val="nil"/>
                    <w:bottom w:val="nil"/>
                    <w:right w:val="nil"/>
                  </w:tcBorders>
                  <w:shd w:val="clear" w:color="auto" w:fill="auto"/>
                  <w:noWrap/>
                  <w:vAlign w:val="bottom"/>
                  <w:hideMark/>
                </w:tcPr>
                <w:p w:rsidR="00C93888" w:rsidRPr="00ED315A" w:rsidP="00C93888" w14:paraId="2292D996" w14:textId="77777777">
                  <w:pPr>
                    <w:rPr>
                      <w:color w:val="000000"/>
                      <w:lang w:eastAsia="en-US"/>
                    </w:rPr>
                  </w:pPr>
                  <w:r w:rsidRPr="00ED315A">
                    <w:rPr>
                      <w:color w:val="000000"/>
                      <w:lang w:eastAsia="en-US"/>
                    </w:rPr>
                    <w:t>sistēmu analītiķis</w:t>
                  </w:r>
                </w:p>
              </w:tc>
              <w:tc>
                <w:tcPr>
                  <w:tcW w:w="1134" w:type="dxa"/>
                  <w:gridSpan w:val="2"/>
                  <w:tcBorders>
                    <w:top w:val="nil"/>
                    <w:left w:val="nil"/>
                    <w:bottom w:val="nil"/>
                    <w:right w:val="nil"/>
                  </w:tcBorders>
                  <w:shd w:val="clear" w:color="auto" w:fill="auto"/>
                  <w:noWrap/>
                  <w:vAlign w:val="bottom"/>
                  <w:hideMark/>
                </w:tcPr>
                <w:p w:rsidR="00C93888" w:rsidRPr="00ED315A" w:rsidP="00C93888" w14:paraId="76B204B0" w14:textId="77777777">
                  <w:pPr>
                    <w:rPr>
                      <w:color w:val="000000"/>
                      <w:lang w:eastAsia="en-US"/>
                    </w:rPr>
                  </w:pPr>
                  <w:r w:rsidRPr="00ED315A">
                    <w:rPr>
                      <w:color w:val="000000"/>
                      <w:lang w:eastAsia="en-US"/>
                    </w:rPr>
                    <w:t>19.3</w:t>
                  </w:r>
                </w:p>
              </w:tc>
              <w:tc>
                <w:tcPr>
                  <w:tcW w:w="1417" w:type="dxa"/>
                  <w:tcBorders>
                    <w:top w:val="nil"/>
                    <w:left w:val="nil"/>
                    <w:bottom w:val="nil"/>
                    <w:right w:val="nil"/>
                  </w:tcBorders>
                  <w:shd w:val="clear" w:color="auto" w:fill="auto"/>
                  <w:noWrap/>
                  <w:vAlign w:val="bottom"/>
                  <w:hideMark/>
                </w:tcPr>
                <w:p w:rsidR="00C93888" w:rsidRPr="00ED315A" w:rsidP="00C93888" w14:paraId="266AD2CB" w14:textId="77777777">
                  <w:pPr>
                    <w:rPr>
                      <w:color w:val="000000"/>
                      <w:lang w:eastAsia="en-US"/>
                    </w:rPr>
                  </w:pPr>
                  <w:r w:rsidRPr="00ED315A">
                    <w:rPr>
                      <w:color w:val="000000"/>
                      <w:lang w:eastAsia="en-US"/>
                    </w:rPr>
                    <w:t>IIA</w:t>
                  </w:r>
                </w:p>
              </w:tc>
              <w:tc>
                <w:tcPr>
                  <w:tcW w:w="1276" w:type="dxa"/>
                  <w:tcBorders>
                    <w:top w:val="nil"/>
                    <w:left w:val="nil"/>
                    <w:bottom w:val="nil"/>
                    <w:right w:val="nil"/>
                  </w:tcBorders>
                  <w:shd w:val="clear" w:color="auto" w:fill="auto"/>
                  <w:noWrap/>
                  <w:vAlign w:val="bottom"/>
                  <w:hideMark/>
                </w:tcPr>
                <w:p w:rsidR="00C93888" w:rsidRPr="00ED315A" w:rsidP="00C93888" w14:paraId="6B257D27" w14:textId="77777777">
                  <w:pPr>
                    <w:rPr>
                      <w:color w:val="000000"/>
                      <w:lang w:eastAsia="en-US"/>
                    </w:rPr>
                  </w:pPr>
                  <w:r w:rsidRPr="00ED315A">
                    <w:rPr>
                      <w:color w:val="000000"/>
                      <w:lang w:eastAsia="en-US"/>
                    </w:rPr>
                    <w:t>11</w:t>
                  </w:r>
                </w:p>
              </w:tc>
              <w:tc>
                <w:tcPr>
                  <w:tcW w:w="1134" w:type="dxa"/>
                  <w:tcBorders>
                    <w:top w:val="nil"/>
                    <w:left w:val="nil"/>
                    <w:bottom w:val="nil"/>
                    <w:right w:val="nil"/>
                  </w:tcBorders>
                  <w:shd w:val="clear" w:color="auto" w:fill="auto"/>
                  <w:noWrap/>
                  <w:vAlign w:val="bottom"/>
                  <w:hideMark/>
                </w:tcPr>
                <w:p w:rsidR="00C93888" w:rsidRPr="00ED315A" w:rsidP="00C93888" w14:paraId="183F1EFB" w14:textId="77777777">
                  <w:pPr>
                    <w:rPr>
                      <w:color w:val="000000"/>
                      <w:lang w:eastAsia="en-US"/>
                    </w:rPr>
                  </w:pPr>
                  <w:r w:rsidRPr="00ED315A">
                    <w:rPr>
                      <w:color w:val="000000"/>
                      <w:lang w:eastAsia="en-US"/>
                    </w:rPr>
                    <w:t>3</w:t>
                  </w:r>
                </w:p>
              </w:tc>
              <w:tc>
                <w:tcPr>
                  <w:tcW w:w="1276" w:type="dxa"/>
                  <w:tcBorders>
                    <w:top w:val="nil"/>
                    <w:left w:val="nil"/>
                    <w:bottom w:val="nil"/>
                    <w:right w:val="nil"/>
                  </w:tcBorders>
                  <w:shd w:val="clear" w:color="auto" w:fill="auto"/>
                  <w:noWrap/>
                  <w:vAlign w:val="bottom"/>
                  <w:hideMark/>
                </w:tcPr>
                <w:p w:rsidR="00C93888" w:rsidRPr="00ED315A" w:rsidP="00C93888" w14:paraId="4894468B" w14:textId="77777777">
                  <w:pPr>
                    <w:jc w:val="right"/>
                    <w:rPr>
                      <w:color w:val="000000"/>
                      <w:lang w:eastAsia="en-US"/>
                    </w:rPr>
                  </w:pPr>
                  <w:r w:rsidRPr="00ED315A">
                    <w:rPr>
                      <w:color w:val="000000"/>
                      <w:lang w:eastAsia="en-US"/>
                    </w:rPr>
                    <w:t>1244</w:t>
                  </w:r>
                </w:p>
              </w:tc>
            </w:tr>
            <w:tr w14:paraId="11E7C50E" w14:textId="77777777" w:rsidTr="007C7B5B">
              <w:tblPrEx>
                <w:tblW w:w="8107" w:type="dxa"/>
                <w:tblLayout w:type="fixed"/>
                <w:tblLook w:val="04A0"/>
              </w:tblPrEx>
              <w:trPr>
                <w:trHeight w:val="300"/>
              </w:trPr>
              <w:tc>
                <w:tcPr>
                  <w:tcW w:w="1870" w:type="dxa"/>
                  <w:tcBorders>
                    <w:top w:val="nil"/>
                    <w:left w:val="nil"/>
                    <w:bottom w:val="nil"/>
                    <w:right w:val="nil"/>
                  </w:tcBorders>
                  <w:shd w:val="clear" w:color="auto" w:fill="auto"/>
                  <w:noWrap/>
                  <w:vAlign w:val="bottom"/>
                  <w:hideMark/>
                </w:tcPr>
                <w:p w:rsidR="00C93888" w:rsidRPr="00ED315A" w:rsidP="00C93888" w14:paraId="25F4ED63" w14:textId="77777777">
                  <w:pPr>
                    <w:rPr>
                      <w:color w:val="000000"/>
                      <w:lang w:eastAsia="en-US"/>
                    </w:rPr>
                  </w:pPr>
                  <w:r w:rsidRPr="00ED315A">
                    <w:rPr>
                      <w:color w:val="000000"/>
                      <w:lang w:eastAsia="en-US"/>
                    </w:rPr>
                    <w:t>sistēmu administrators</w:t>
                  </w:r>
                </w:p>
              </w:tc>
              <w:tc>
                <w:tcPr>
                  <w:tcW w:w="1134" w:type="dxa"/>
                  <w:gridSpan w:val="2"/>
                  <w:tcBorders>
                    <w:top w:val="nil"/>
                    <w:left w:val="nil"/>
                    <w:bottom w:val="nil"/>
                    <w:right w:val="nil"/>
                  </w:tcBorders>
                  <w:shd w:val="clear" w:color="auto" w:fill="auto"/>
                  <w:noWrap/>
                  <w:vAlign w:val="bottom"/>
                  <w:hideMark/>
                </w:tcPr>
                <w:p w:rsidR="00C93888" w:rsidRPr="00ED315A" w:rsidP="00C93888" w14:paraId="4043BFF6" w14:textId="77777777">
                  <w:pPr>
                    <w:rPr>
                      <w:color w:val="000000"/>
                      <w:lang w:eastAsia="en-US"/>
                    </w:rPr>
                  </w:pPr>
                  <w:r w:rsidRPr="00ED315A">
                    <w:rPr>
                      <w:color w:val="000000"/>
                      <w:lang w:eastAsia="en-US"/>
                    </w:rPr>
                    <w:t>19.3</w:t>
                  </w:r>
                </w:p>
              </w:tc>
              <w:tc>
                <w:tcPr>
                  <w:tcW w:w="1417" w:type="dxa"/>
                  <w:tcBorders>
                    <w:top w:val="nil"/>
                    <w:left w:val="nil"/>
                    <w:bottom w:val="nil"/>
                    <w:right w:val="nil"/>
                  </w:tcBorders>
                  <w:shd w:val="clear" w:color="auto" w:fill="auto"/>
                  <w:noWrap/>
                  <w:vAlign w:val="bottom"/>
                  <w:hideMark/>
                </w:tcPr>
                <w:p w:rsidR="00C93888" w:rsidRPr="00ED315A" w:rsidP="00C93888" w14:paraId="022827C6" w14:textId="77777777">
                  <w:pPr>
                    <w:rPr>
                      <w:color w:val="000000"/>
                      <w:lang w:eastAsia="en-US"/>
                    </w:rPr>
                  </w:pPr>
                  <w:r w:rsidRPr="00ED315A">
                    <w:rPr>
                      <w:color w:val="000000"/>
                      <w:lang w:eastAsia="en-US"/>
                    </w:rPr>
                    <w:t>IIA</w:t>
                  </w:r>
                </w:p>
              </w:tc>
              <w:tc>
                <w:tcPr>
                  <w:tcW w:w="1276" w:type="dxa"/>
                  <w:tcBorders>
                    <w:top w:val="nil"/>
                    <w:left w:val="nil"/>
                    <w:bottom w:val="nil"/>
                    <w:right w:val="nil"/>
                  </w:tcBorders>
                  <w:shd w:val="clear" w:color="auto" w:fill="auto"/>
                  <w:noWrap/>
                  <w:vAlign w:val="bottom"/>
                  <w:hideMark/>
                </w:tcPr>
                <w:p w:rsidR="00C93888" w:rsidRPr="00ED315A" w:rsidP="00C93888" w14:paraId="598A7D84" w14:textId="77777777">
                  <w:pPr>
                    <w:rPr>
                      <w:color w:val="000000"/>
                      <w:lang w:eastAsia="en-US"/>
                    </w:rPr>
                  </w:pPr>
                  <w:r w:rsidRPr="00ED315A">
                    <w:rPr>
                      <w:color w:val="000000"/>
                      <w:lang w:eastAsia="en-US"/>
                    </w:rPr>
                    <w:t>11</w:t>
                  </w:r>
                </w:p>
              </w:tc>
              <w:tc>
                <w:tcPr>
                  <w:tcW w:w="1134" w:type="dxa"/>
                  <w:tcBorders>
                    <w:top w:val="nil"/>
                    <w:left w:val="nil"/>
                    <w:bottom w:val="nil"/>
                    <w:right w:val="nil"/>
                  </w:tcBorders>
                  <w:shd w:val="clear" w:color="auto" w:fill="auto"/>
                  <w:noWrap/>
                  <w:vAlign w:val="bottom"/>
                  <w:hideMark/>
                </w:tcPr>
                <w:p w:rsidR="00C93888" w:rsidRPr="00ED315A" w:rsidP="00C93888" w14:paraId="30FE1FB3" w14:textId="77777777">
                  <w:pPr>
                    <w:rPr>
                      <w:color w:val="000000"/>
                      <w:lang w:eastAsia="en-US"/>
                    </w:rPr>
                  </w:pPr>
                  <w:r w:rsidRPr="00ED315A">
                    <w:rPr>
                      <w:color w:val="000000"/>
                      <w:lang w:eastAsia="en-US"/>
                    </w:rPr>
                    <w:t>3</w:t>
                  </w:r>
                </w:p>
              </w:tc>
              <w:tc>
                <w:tcPr>
                  <w:tcW w:w="1276" w:type="dxa"/>
                  <w:tcBorders>
                    <w:top w:val="nil"/>
                    <w:left w:val="nil"/>
                    <w:bottom w:val="nil"/>
                    <w:right w:val="nil"/>
                  </w:tcBorders>
                  <w:shd w:val="clear" w:color="auto" w:fill="auto"/>
                  <w:noWrap/>
                  <w:vAlign w:val="bottom"/>
                  <w:hideMark/>
                </w:tcPr>
                <w:p w:rsidR="00C93888" w:rsidRPr="00ED315A" w:rsidP="00C93888" w14:paraId="2012F257" w14:textId="77777777">
                  <w:pPr>
                    <w:jc w:val="right"/>
                    <w:rPr>
                      <w:color w:val="000000"/>
                      <w:lang w:eastAsia="en-US"/>
                    </w:rPr>
                  </w:pPr>
                  <w:r w:rsidRPr="00ED315A">
                    <w:rPr>
                      <w:color w:val="000000"/>
                      <w:lang w:eastAsia="en-US"/>
                    </w:rPr>
                    <w:t>1244</w:t>
                  </w:r>
                </w:p>
              </w:tc>
            </w:tr>
            <w:tr w14:paraId="7E7E8E5E" w14:textId="77777777" w:rsidTr="007C7B5B">
              <w:tblPrEx>
                <w:tblW w:w="8107" w:type="dxa"/>
                <w:tblLayout w:type="fixed"/>
                <w:tblLook w:val="04A0"/>
              </w:tblPrEx>
              <w:trPr>
                <w:trHeight w:val="300"/>
              </w:trPr>
              <w:tc>
                <w:tcPr>
                  <w:tcW w:w="1870" w:type="dxa"/>
                  <w:tcBorders>
                    <w:top w:val="nil"/>
                    <w:left w:val="nil"/>
                    <w:bottom w:val="nil"/>
                    <w:right w:val="nil"/>
                  </w:tcBorders>
                  <w:shd w:val="clear" w:color="auto" w:fill="auto"/>
                  <w:noWrap/>
                  <w:vAlign w:val="bottom"/>
                  <w:hideMark/>
                </w:tcPr>
                <w:p w:rsidR="00C93888" w:rsidRPr="00ED315A" w:rsidP="00C93888" w14:paraId="037F6E93" w14:textId="77777777">
                  <w:pPr>
                    <w:rPr>
                      <w:color w:val="000000"/>
                      <w:lang w:eastAsia="en-US"/>
                    </w:rPr>
                  </w:pPr>
                  <w:r w:rsidRPr="00ED315A">
                    <w:rPr>
                      <w:color w:val="000000"/>
                      <w:lang w:eastAsia="en-US"/>
                    </w:rPr>
                    <w:t>sistēmu administrators</w:t>
                  </w:r>
                </w:p>
              </w:tc>
              <w:tc>
                <w:tcPr>
                  <w:tcW w:w="1134" w:type="dxa"/>
                  <w:gridSpan w:val="2"/>
                  <w:tcBorders>
                    <w:top w:val="nil"/>
                    <w:left w:val="nil"/>
                    <w:bottom w:val="nil"/>
                    <w:right w:val="nil"/>
                  </w:tcBorders>
                  <w:shd w:val="clear" w:color="auto" w:fill="auto"/>
                  <w:noWrap/>
                  <w:vAlign w:val="bottom"/>
                  <w:hideMark/>
                </w:tcPr>
                <w:p w:rsidR="00C93888" w:rsidRPr="00ED315A" w:rsidP="00C93888" w14:paraId="4AC1B1A1" w14:textId="77777777">
                  <w:pPr>
                    <w:rPr>
                      <w:color w:val="000000"/>
                      <w:lang w:eastAsia="en-US"/>
                    </w:rPr>
                  </w:pPr>
                  <w:r w:rsidRPr="00ED315A">
                    <w:rPr>
                      <w:color w:val="000000"/>
                      <w:lang w:eastAsia="en-US"/>
                    </w:rPr>
                    <w:t>19.3</w:t>
                  </w:r>
                </w:p>
              </w:tc>
              <w:tc>
                <w:tcPr>
                  <w:tcW w:w="1417" w:type="dxa"/>
                  <w:tcBorders>
                    <w:top w:val="nil"/>
                    <w:left w:val="nil"/>
                    <w:bottom w:val="nil"/>
                    <w:right w:val="nil"/>
                  </w:tcBorders>
                  <w:shd w:val="clear" w:color="auto" w:fill="auto"/>
                  <w:noWrap/>
                  <w:vAlign w:val="bottom"/>
                  <w:hideMark/>
                </w:tcPr>
                <w:p w:rsidR="00C93888" w:rsidRPr="00ED315A" w:rsidP="00C93888" w14:paraId="03C8381F" w14:textId="77777777">
                  <w:pPr>
                    <w:rPr>
                      <w:color w:val="000000"/>
                      <w:lang w:eastAsia="en-US"/>
                    </w:rPr>
                  </w:pPr>
                  <w:r w:rsidRPr="00ED315A">
                    <w:rPr>
                      <w:color w:val="000000"/>
                      <w:lang w:eastAsia="en-US"/>
                    </w:rPr>
                    <w:t>IIA</w:t>
                  </w:r>
                </w:p>
              </w:tc>
              <w:tc>
                <w:tcPr>
                  <w:tcW w:w="1276" w:type="dxa"/>
                  <w:tcBorders>
                    <w:top w:val="nil"/>
                    <w:left w:val="nil"/>
                    <w:bottom w:val="nil"/>
                    <w:right w:val="nil"/>
                  </w:tcBorders>
                  <w:shd w:val="clear" w:color="auto" w:fill="auto"/>
                  <w:noWrap/>
                  <w:vAlign w:val="bottom"/>
                  <w:hideMark/>
                </w:tcPr>
                <w:p w:rsidR="00C93888" w:rsidRPr="00ED315A" w:rsidP="00C93888" w14:paraId="331DAD71" w14:textId="77777777">
                  <w:pPr>
                    <w:rPr>
                      <w:color w:val="000000"/>
                      <w:lang w:eastAsia="en-US"/>
                    </w:rPr>
                  </w:pPr>
                  <w:r w:rsidRPr="00ED315A">
                    <w:rPr>
                      <w:color w:val="000000"/>
                      <w:lang w:eastAsia="en-US"/>
                    </w:rPr>
                    <w:t>11</w:t>
                  </w:r>
                </w:p>
              </w:tc>
              <w:tc>
                <w:tcPr>
                  <w:tcW w:w="1134" w:type="dxa"/>
                  <w:tcBorders>
                    <w:top w:val="nil"/>
                    <w:left w:val="nil"/>
                    <w:bottom w:val="nil"/>
                    <w:right w:val="nil"/>
                  </w:tcBorders>
                  <w:shd w:val="clear" w:color="auto" w:fill="auto"/>
                  <w:noWrap/>
                  <w:vAlign w:val="bottom"/>
                  <w:hideMark/>
                </w:tcPr>
                <w:p w:rsidR="00C93888" w:rsidRPr="00ED315A" w:rsidP="00C93888" w14:paraId="14939A06" w14:textId="77777777">
                  <w:pPr>
                    <w:rPr>
                      <w:color w:val="000000"/>
                      <w:lang w:eastAsia="en-US"/>
                    </w:rPr>
                  </w:pPr>
                  <w:r w:rsidRPr="00ED315A">
                    <w:rPr>
                      <w:color w:val="000000"/>
                      <w:lang w:eastAsia="en-US"/>
                    </w:rPr>
                    <w:t>3</w:t>
                  </w:r>
                </w:p>
              </w:tc>
              <w:tc>
                <w:tcPr>
                  <w:tcW w:w="1276" w:type="dxa"/>
                  <w:tcBorders>
                    <w:top w:val="nil"/>
                    <w:left w:val="nil"/>
                    <w:bottom w:val="nil"/>
                    <w:right w:val="nil"/>
                  </w:tcBorders>
                  <w:shd w:val="clear" w:color="auto" w:fill="auto"/>
                  <w:noWrap/>
                  <w:vAlign w:val="bottom"/>
                  <w:hideMark/>
                </w:tcPr>
                <w:p w:rsidR="00C93888" w:rsidRPr="00ED315A" w:rsidP="00C93888" w14:paraId="7D88A713" w14:textId="77777777">
                  <w:pPr>
                    <w:jc w:val="right"/>
                    <w:rPr>
                      <w:color w:val="000000"/>
                      <w:lang w:eastAsia="en-US"/>
                    </w:rPr>
                  </w:pPr>
                  <w:r w:rsidRPr="00ED315A">
                    <w:rPr>
                      <w:color w:val="000000"/>
                      <w:lang w:eastAsia="en-US"/>
                    </w:rPr>
                    <w:t>1244</w:t>
                  </w:r>
                </w:p>
              </w:tc>
            </w:tr>
            <w:tr w14:paraId="195F25FF" w14:textId="77777777" w:rsidTr="007C7B5B">
              <w:tblPrEx>
                <w:tblW w:w="8107" w:type="dxa"/>
                <w:tblLayout w:type="fixed"/>
                <w:tblLook w:val="04A0"/>
              </w:tblPrEx>
              <w:trPr>
                <w:trHeight w:val="300"/>
              </w:trPr>
              <w:tc>
                <w:tcPr>
                  <w:tcW w:w="1870" w:type="dxa"/>
                  <w:tcBorders>
                    <w:top w:val="nil"/>
                    <w:left w:val="nil"/>
                    <w:bottom w:val="nil"/>
                    <w:right w:val="nil"/>
                  </w:tcBorders>
                  <w:shd w:val="clear" w:color="auto" w:fill="auto"/>
                  <w:noWrap/>
                  <w:vAlign w:val="bottom"/>
                  <w:hideMark/>
                </w:tcPr>
                <w:p w:rsidR="00C93888" w:rsidRPr="00ED315A" w:rsidP="00C93888" w14:paraId="58289FC3" w14:textId="77777777">
                  <w:pPr>
                    <w:rPr>
                      <w:color w:val="000000"/>
                      <w:lang w:eastAsia="en-US"/>
                    </w:rPr>
                  </w:pPr>
                  <w:r w:rsidRPr="00ED315A">
                    <w:rPr>
                      <w:color w:val="000000"/>
                      <w:lang w:eastAsia="en-US"/>
                    </w:rPr>
                    <w:t>sistēmu administrators</w:t>
                  </w:r>
                </w:p>
              </w:tc>
              <w:tc>
                <w:tcPr>
                  <w:tcW w:w="1134" w:type="dxa"/>
                  <w:gridSpan w:val="2"/>
                  <w:tcBorders>
                    <w:top w:val="nil"/>
                    <w:left w:val="nil"/>
                    <w:bottom w:val="nil"/>
                    <w:right w:val="nil"/>
                  </w:tcBorders>
                  <w:shd w:val="clear" w:color="auto" w:fill="auto"/>
                  <w:noWrap/>
                  <w:vAlign w:val="bottom"/>
                  <w:hideMark/>
                </w:tcPr>
                <w:p w:rsidR="00C93888" w:rsidRPr="00ED315A" w:rsidP="00C93888" w14:paraId="2985E02C" w14:textId="77777777">
                  <w:pPr>
                    <w:rPr>
                      <w:color w:val="000000"/>
                      <w:lang w:eastAsia="en-US"/>
                    </w:rPr>
                  </w:pPr>
                  <w:r w:rsidRPr="00ED315A">
                    <w:rPr>
                      <w:color w:val="000000"/>
                      <w:lang w:eastAsia="en-US"/>
                    </w:rPr>
                    <w:t>19.3</w:t>
                  </w:r>
                </w:p>
              </w:tc>
              <w:tc>
                <w:tcPr>
                  <w:tcW w:w="1417" w:type="dxa"/>
                  <w:tcBorders>
                    <w:top w:val="nil"/>
                    <w:left w:val="nil"/>
                    <w:bottom w:val="nil"/>
                    <w:right w:val="nil"/>
                  </w:tcBorders>
                  <w:shd w:val="clear" w:color="auto" w:fill="auto"/>
                  <w:noWrap/>
                  <w:vAlign w:val="bottom"/>
                  <w:hideMark/>
                </w:tcPr>
                <w:p w:rsidR="00C93888" w:rsidRPr="00ED315A" w:rsidP="00C93888" w14:paraId="0FF5B3C8" w14:textId="77777777">
                  <w:pPr>
                    <w:rPr>
                      <w:color w:val="000000"/>
                      <w:lang w:eastAsia="en-US"/>
                    </w:rPr>
                  </w:pPr>
                  <w:r w:rsidRPr="00ED315A">
                    <w:rPr>
                      <w:color w:val="000000"/>
                      <w:lang w:eastAsia="en-US"/>
                    </w:rPr>
                    <w:t>IIA</w:t>
                  </w:r>
                </w:p>
              </w:tc>
              <w:tc>
                <w:tcPr>
                  <w:tcW w:w="1276" w:type="dxa"/>
                  <w:tcBorders>
                    <w:top w:val="nil"/>
                    <w:left w:val="nil"/>
                    <w:bottom w:val="nil"/>
                    <w:right w:val="nil"/>
                  </w:tcBorders>
                  <w:shd w:val="clear" w:color="auto" w:fill="auto"/>
                  <w:noWrap/>
                  <w:vAlign w:val="bottom"/>
                  <w:hideMark/>
                </w:tcPr>
                <w:p w:rsidR="00C93888" w:rsidRPr="00ED315A" w:rsidP="00C93888" w14:paraId="5FFEB12F" w14:textId="77777777">
                  <w:pPr>
                    <w:rPr>
                      <w:color w:val="000000"/>
                      <w:lang w:eastAsia="en-US"/>
                    </w:rPr>
                  </w:pPr>
                  <w:r w:rsidRPr="00ED315A">
                    <w:rPr>
                      <w:color w:val="000000"/>
                      <w:lang w:eastAsia="en-US"/>
                    </w:rPr>
                    <w:t>11</w:t>
                  </w:r>
                </w:p>
              </w:tc>
              <w:tc>
                <w:tcPr>
                  <w:tcW w:w="1134" w:type="dxa"/>
                  <w:tcBorders>
                    <w:top w:val="nil"/>
                    <w:left w:val="nil"/>
                    <w:bottom w:val="nil"/>
                    <w:right w:val="nil"/>
                  </w:tcBorders>
                  <w:shd w:val="clear" w:color="auto" w:fill="auto"/>
                  <w:noWrap/>
                  <w:vAlign w:val="bottom"/>
                  <w:hideMark/>
                </w:tcPr>
                <w:p w:rsidR="00C93888" w:rsidRPr="00ED315A" w:rsidP="00C93888" w14:paraId="48E03463" w14:textId="77777777">
                  <w:pPr>
                    <w:rPr>
                      <w:color w:val="000000"/>
                      <w:lang w:eastAsia="en-US"/>
                    </w:rPr>
                  </w:pPr>
                  <w:r w:rsidRPr="00ED315A">
                    <w:rPr>
                      <w:color w:val="000000"/>
                      <w:lang w:eastAsia="en-US"/>
                    </w:rPr>
                    <w:t>3</w:t>
                  </w:r>
                </w:p>
              </w:tc>
              <w:tc>
                <w:tcPr>
                  <w:tcW w:w="1276" w:type="dxa"/>
                  <w:tcBorders>
                    <w:top w:val="nil"/>
                    <w:left w:val="nil"/>
                    <w:bottom w:val="nil"/>
                    <w:right w:val="nil"/>
                  </w:tcBorders>
                  <w:shd w:val="clear" w:color="auto" w:fill="auto"/>
                  <w:noWrap/>
                  <w:vAlign w:val="bottom"/>
                  <w:hideMark/>
                </w:tcPr>
                <w:p w:rsidR="00C93888" w:rsidRPr="00ED315A" w:rsidP="00C93888" w14:paraId="5C468B69" w14:textId="77777777">
                  <w:pPr>
                    <w:jc w:val="right"/>
                    <w:rPr>
                      <w:color w:val="000000"/>
                      <w:lang w:eastAsia="en-US"/>
                    </w:rPr>
                  </w:pPr>
                  <w:r w:rsidRPr="00ED315A">
                    <w:rPr>
                      <w:color w:val="000000"/>
                      <w:lang w:eastAsia="en-US"/>
                    </w:rPr>
                    <w:t>1244</w:t>
                  </w:r>
                </w:p>
              </w:tc>
            </w:tr>
            <w:tr w14:paraId="2F1CFFA0" w14:textId="77777777" w:rsidTr="007C7B5B">
              <w:tblPrEx>
                <w:tblW w:w="8107" w:type="dxa"/>
                <w:tblLayout w:type="fixed"/>
                <w:tblLook w:val="04A0"/>
              </w:tblPrEx>
              <w:trPr>
                <w:trHeight w:val="300"/>
              </w:trPr>
              <w:tc>
                <w:tcPr>
                  <w:tcW w:w="3004" w:type="dxa"/>
                  <w:gridSpan w:val="3"/>
                  <w:tcBorders>
                    <w:top w:val="nil"/>
                    <w:left w:val="nil"/>
                    <w:bottom w:val="nil"/>
                    <w:right w:val="nil"/>
                  </w:tcBorders>
                  <w:shd w:val="clear" w:color="auto" w:fill="auto"/>
                  <w:noWrap/>
                  <w:vAlign w:val="bottom"/>
                  <w:hideMark/>
                </w:tcPr>
                <w:p w:rsidR="006D1FC2" w:rsidRPr="00ED315A" w:rsidP="00C93888" w14:paraId="72415BDC" w14:textId="77777777">
                  <w:pPr>
                    <w:rPr>
                      <w:b/>
                      <w:color w:val="000000"/>
                      <w:lang w:eastAsia="en-US"/>
                    </w:rPr>
                  </w:pPr>
                </w:p>
                <w:p w:rsidR="00C93888" w:rsidRPr="00ED315A" w:rsidP="003F0A52" w14:paraId="506DF7EA" w14:textId="77777777">
                  <w:pPr>
                    <w:rPr>
                      <w:b/>
                      <w:color w:val="000000"/>
                      <w:lang w:eastAsia="en-US"/>
                    </w:rPr>
                  </w:pPr>
                  <w:r w:rsidRPr="00ED315A">
                    <w:rPr>
                      <w:b/>
                      <w:color w:val="000000"/>
                      <w:lang w:eastAsia="en-US"/>
                    </w:rPr>
                    <w:t>pēc k</w:t>
                  </w:r>
                  <w:r w:rsidRPr="00ED315A" w:rsidR="003F0A52">
                    <w:rPr>
                      <w:b/>
                      <w:color w:val="000000"/>
                      <w:lang w:eastAsia="en-US"/>
                    </w:rPr>
                    <w:t>lasi</w:t>
                  </w:r>
                  <w:r w:rsidRPr="00ED315A">
                    <w:rPr>
                      <w:b/>
                      <w:color w:val="000000"/>
                      <w:lang w:eastAsia="en-US"/>
                    </w:rPr>
                    <w:t>fikācijas celšanas</w:t>
                  </w:r>
                </w:p>
              </w:tc>
              <w:tc>
                <w:tcPr>
                  <w:tcW w:w="1417" w:type="dxa"/>
                  <w:tcBorders>
                    <w:top w:val="nil"/>
                    <w:left w:val="nil"/>
                    <w:bottom w:val="nil"/>
                    <w:right w:val="nil"/>
                  </w:tcBorders>
                  <w:shd w:val="clear" w:color="auto" w:fill="auto"/>
                  <w:noWrap/>
                  <w:vAlign w:val="bottom"/>
                  <w:hideMark/>
                </w:tcPr>
                <w:p w:rsidR="00C93888" w:rsidRPr="00ED315A" w:rsidP="00C93888" w14:paraId="25CCA28D" w14:textId="77777777">
                  <w:pPr>
                    <w:rPr>
                      <w:color w:val="000000"/>
                      <w:lang w:eastAsia="en-US"/>
                    </w:rPr>
                  </w:pPr>
                </w:p>
              </w:tc>
              <w:tc>
                <w:tcPr>
                  <w:tcW w:w="1276" w:type="dxa"/>
                  <w:tcBorders>
                    <w:top w:val="nil"/>
                    <w:left w:val="nil"/>
                    <w:bottom w:val="nil"/>
                    <w:right w:val="nil"/>
                  </w:tcBorders>
                  <w:shd w:val="clear" w:color="auto" w:fill="auto"/>
                  <w:noWrap/>
                  <w:vAlign w:val="bottom"/>
                  <w:hideMark/>
                </w:tcPr>
                <w:p w:rsidR="00C93888" w:rsidRPr="00ED315A" w:rsidP="00C93888" w14:paraId="3684CD32" w14:textId="77777777">
                  <w:pPr>
                    <w:rPr>
                      <w:color w:val="000000"/>
                      <w:lang w:eastAsia="en-US"/>
                    </w:rPr>
                  </w:pPr>
                </w:p>
              </w:tc>
              <w:tc>
                <w:tcPr>
                  <w:tcW w:w="1134" w:type="dxa"/>
                  <w:tcBorders>
                    <w:top w:val="nil"/>
                    <w:left w:val="nil"/>
                    <w:bottom w:val="nil"/>
                    <w:right w:val="nil"/>
                  </w:tcBorders>
                  <w:shd w:val="clear" w:color="auto" w:fill="auto"/>
                  <w:noWrap/>
                  <w:vAlign w:val="bottom"/>
                  <w:hideMark/>
                </w:tcPr>
                <w:p w:rsidR="00C93888" w:rsidRPr="00ED315A" w:rsidP="00C93888" w14:paraId="1FC0C611" w14:textId="77777777">
                  <w:pPr>
                    <w:rPr>
                      <w:color w:val="000000"/>
                      <w:lang w:eastAsia="en-US"/>
                    </w:rPr>
                  </w:pPr>
                </w:p>
              </w:tc>
              <w:tc>
                <w:tcPr>
                  <w:tcW w:w="1276" w:type="dxa"/>
                  <w:tcBorders>
                    <w:top w:val="nil"/>
                    <w:left w:val="nil"/>
                    <w:bottom w:val="nil"/>
                    <w:right w:val="nil"/>
                  </w:tcBorders>
                  <w:shd w:val="clear" w:color="auto" w:fill="auto"/>
                  <w:noWrap/>
                  <w:vAlign w:val="bottom"/>
                  <w:hideMark/>
                </w:tcPr>
                <w:p w:rsidR="00C93888" w:rsidRPr="00ED315A" w:rsidP="00C93888" w14:paraId="417B37EB" w14:textId="77777777">
                  <w:pPr>
                    <w:rPr>
                      <w:color w:val="000000"/>
                      <w:lang w:eastAsia="en-US"/>
                    </w:rPr>
                  </w:pPr>
                </w:p>
              </w:tc>
            </w:tr>
            <w:tr w14:paraId="5D6C3459" w14:textId="77777777" w:rsidTr="008C5852">
              <w:tblPrEx>
                <w:tblW w:w="8107" w:type="dxa"/>
                <w:tblLayout w:type="fixed"/>
                <w:tblLook w:val="04A0"/>
              </w:tblPrEx>
              <w:trPr>
                <w:trHeight w:val="600"/>
              </w:trPr>
              <w:tc>
                <w:tcPr>
                  <w:tcW w:w="1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3888" w:rsidRPr="00ED315A" w:rsidP="00C93888" w14:paraId="06875B05" w14:textId="77777777">
                  <w:pPr>
                    <w:rPr>
                      <w:color w:val="000000"/>
                      <w:lang w:eastAsia="en-US"/>
                    </w:rPr>
                  </w:pPr>
                  <w:r w:rsidRPr="00ED315A">
                    <w:rPr>
                      <w:color w:val="000000"/>
                      <w:lang w:eastAsia="en-US"/>
                    </w:rPr>
                    <w:t>amata nosaukums</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C93888" w:rsidRPr="00ED315A" w:rsidP="00C93888" w14:paraId="11BB83A5" w14:textId="77777777">
                  <w:pPr>
                    <w:rPr>
                      <w:color w:val="000000"/>
                      <w:lang w:eastAsia="en-US"/>
                    </w:rPr>
                  </w:pPr>
                  <w:r w:rsidRPr="00ED315A">
                    <w:rPr>
                      <w:color w:val="000000"/>
                      <w:lang w:eastAsia="en-US"/>
                    </w:rPr>
                    <w:t>amata saime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C93888" w:rsidRPr="00ED315A" w:rsidP="00C93888" w14:paraId="61B60697" w14:textId="77777777">
                  <w:pPr>
                    <w:rPr>
                      <w:color w:val="000000"/>
                      <w:lang w:eastAsia="en-US"/>
                    </w:rPr>
                  </w:pPr>
                  <w:r w:rsidRPr="00ED315A">
                    <w:rPr>
                      <w:color w:val="000000"/>
                      <w:lang w:eastAsia="en-US"/>
                    </w:rPr>
                    <w:t>amata līmenis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93888" w:rsidRPr="00ED315A" w:rsidP="00C93888" w14:paraId="1F27AACB" w14:textId="77777777">
                  <w:pPr>
                    <w:rPr>
                      <w:color w:val="000000"/>
                      <w:lang w:eastAsia="en-US"/>
                    </w:rPr>
                  </w:pPr>
                  <w:r w:rsidRPr="00ED315A">
                    <w:rPr>
                      <w:color w:val="000000"/>
                      <w:lang w:eastAsia="en-US"/>
                    </w:rPr>
                    <w:t>mēnešalgu grupa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93888" w:rsidRPr="00ED315A" w:rsidP="00C93888" w14:paraId="4FD002B7" w14:textId="77777777">
                  <w:pPr>
                    <w:rPr>
                      <w:color w:val="000000"/>
                      <w:lang w:eastAsia="en-US"/>
                    </w:rPr>
                  </w:pPr>
                  <w:r w:rsidRPr="00ED315A">
                    <w:rPr>
                      <w:color w:val="000000"/>
                      <w:lang w:eastAsia="en-US"/>
                    </w:rPr>
                    <w:t>kategorija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93888" w:rsidRPr="00ED315A" w:rsidP="00C93888" w14:paraId="7A04FF91" w14:textId="77777777">
                  <w:pPr>
                    <w:rPr>
                      <w:color w:val="000000"/>
                      <w:lang w:eastAsia="en-US"/>
                    </w:rPr>
                  </w:pPr>
                  <w:r w:rsidRPr="00ED315A">
                    <w:rPr>
                      <w:color w:val="000000"/>
                      <w:lang w:eastAsia="en-US"/>
                    </w:rPr>
                    <w:t>M</w:t>
                  </w:r>
                  <w:r w:rsidRPr="00ED315A">
                    <w:rPr>
                      <w:color w:val="000000"/>
                      <w:lang w:eastAsia="en-US"/>
                    </w:rPr>
                    <w:t>ēnešalga</w:t>
                  </w:r>
                </w:p>
                <w:p w:rsidR="000A2606" w:rsidRPr="00ED315A" w:rsidP="00C93888" w14:paraId="2CCD5CC1" w14:textId="77777777">
                  <w:pPr>
                    <w:rPr>
                      <w:i/>
                      <w:color w:val="000000"/>
                      <w:lang w:eastAsia="en-US"/>
                    </w:rPr>
                  </w:pPr>
                  <w:r w:rsidRPr="00ED315A">
                    <w:rPr>
                      <w:i/>
                      <w:color w:val="000000"/>
                      <w:lang w:eastAsia="en-US"/>
                    </w:rPr>
                    <w:t>euro</w:t>
                  </w:r>
                </w:p>
              </w:tc>
            </w:tr>
            <w:tr w14:paraId="57302FF6" w14:textId="77777777" w:rsidTr="008C5852">
              <w:tblPrEx>
                <w:tblW w:w="8107" w:type="dxa"/>
                <w:tblLayout w:type="fixed"/>
                <w:tblLook w:val="04A0"/>
              </w:tblPrEx>
              <w:trPr>
                <w:trHeight w:val="300"/>
              </w:trPr>
              <w:tc>
                <w:tcPr>
                  <w:tcW w:w="1870" w:type="dxa"/>
                  <w:tcBorders>
                    <w:top w:val="nil"/>
                    <w:left w:val="nil"/>
                    <w:bottom w:val="nil"/>
                    <w:right w:val="nil"/>
                  </w:tcBorders>
                  <w:shd w:val="clear" w:color="auto" w:fill="auto"/>
                  <w:noWrap/>
                  <w:vAlign w:val="bottom"/>
                  <w:hideMark/>
                </w:tcPr>
                <w:p w:rsidR="00C93888" w:rsidRPr="00ED315A" w:rsidP="00C93888" w14:paraId="1B212B2D" w14:textId="77777777">
                  <w:pPr>
                    <w:rPr>
                      <w:color w:val="000000"/>
                      <w:lang w:eastAsia="en-US"/>
                    </w:rPr>
                  </w:pPr>
                  <w:r w:rsidRPr="00ED315A">
                    <w:rPr>
                      <w:color w:val="000000"/>
                      <w:lang w:eastAsia="en-US"/>
                    </w:rPr>
                    <w:t>sistēmu analītiķis</w:t>
                  </w:r>
                </w:p>
              </w:tc>
              <w:tc>
                <w:tcPr>
                  <w:tcW w:w="1134" w:type="dxa"/>
                  <w:gridSpan w:val="2"/>
                  <w:tcBorders>
                    <w:top w:val="nil"/>
                    <w:left w:val="nil"/>
                    <w:bottom w:val="nil"/>
                    <w:right w:val="nil"/>
                  </w:tcBorders>
                  <w:shd w:val="clear" w:color="auto" w:fill="auto"/>
                  <w:noWrap/>
                  <w:vAlign w:val="bottom"/>
                  <w:hideMark/>
                </w:tcPr>
                <w:p w:rsidR="00C93888" w:rsidRPr="00ED315A" w:rsidP="00C93888" w14:paraId="628225F4" w14:textId="77777777">
                  <w:pPr>
                    <w:rPr>
                      <w:color w:val="000000"/>
                      <w:lang w:eastAsia="en-US"/>
                    </w:rPr>
                  </w:pPr>
                  <w:r w:rsidRPr="00ED315A">
                    <w:rPr>
                      <w:color w:val="000000"/>
                      <w:lang w:eastAsia="en-US"/>
                    </w:rPr>
                    <w:t>19.4</w:t>
                  </w:r>
                </w:p>
              </w:tc>
              <w:tc>
                <w:tcPr>
                  <w:tcW w:w="1417" w:type="dxa"/>
                  <w:tcBorders>
                    <w:top w:val="nil"/>
                    <w:left w:val="nil"/>
                    <w:bottom w:val="nil"/>
                    <w:right w:val="nil"/>
                  </w:tcBorders>
                  <w:shd w:val="clear" w:color="auto" w:fill="auto"/>
                  <w:noWrap/>
                  <w:vAlign w:val="bottom"/>
                  <w:hideMark/>
                </w:tcPr>
                <w:p w:rsidR="00C93888" w:rsidRPr="00ED315A" w:rsidP="00C93888" w14:paraId="35F6DBDB" w14:textId="77777777">
                  <w:pPr>
                    <w:rPr>
                      <w:color w:val="000000"/>
                      <w:lang w:eastAsia="en-US"/>
                    </w:rPr>
                  </w:pPr>
                  <w:r w:rsidRPr="00ED315A">
                    <w:rPr>
                      <w:color w:val="000000"/>
                      <w:lang w:eastAsia="en-US"/>
                    </w:rPr>
                    <w:t>IV</w:t>
                  </w:r>
                </w:p>
              </w:tc>
              <w:tc>
                <w:tcPr>
                  <w:tcW w:w="1276" w:type="dxa"/>
                  <w:tcBorders>
                    <w:top w:val="nil"/>
                    <w:left w:val="nil"/>
                    <w:bottom w:val="nil"/>
                    <w:right w:val="nil"/>
                  </w:tcBorders>
                  <w:shd w:val="clear" w:color="auto" w:fill="auto"/>
                  <w:noWrap/>
                  <w:vAlign w:val="bottom"/>
                  <w:hideMark/>
                </w:tcPr>
                <w:p w:rsidR="00C93888" w:rsidRPr="00ED315A" w:rsidP="00C93888" w14:paraId="5A5D2EB5" w14:textId="77777777">
                  <w:pPr>
                    <w:rPr>
                      <w:color w:val="000000"/>
                      <w:lang w:eastAsia="en-US"/>
                    </w:rPr>
                  </w:pPr>
                  <w:r w:rsidRPr="00ED315A">
                    <w:rPr>
                      <w:color w:val="000000"/>
                      <w:lang w:eastAsia="en-US"/>
                    </w:rPr>
                    <w:t>12</w:t>
                  </w:r>
                </w:p>
              </w:tc>
              <w:tc>
                <w:tcPr>
                  <w:tcW w:w="1134" w:type="dxa"/>
                  <w:tcBorders>
                    <w:top w:val="nil"/>
                    <w:left w:val="nil"/>
                    <w:bottom w:val="nil"/>
                    <w:right w:val="nil"/>
                  </w:tcBorders>
                  <w:shd w:val="clear" w:color="auto" w:fill="auto"/>
                  <w:noWrap/>
                  <w:vAlign w:val="bottom"/>
                  <w:hideMark/>
                </w:tcPr>
                <w:p w:rsidR="00C93888" w:rsidRPr="00ED315A" w:rsidP="00C93888" w14:paraId="43D5C0E7" w14:textId="77777777">
                  <w:pPr>
                    <w:rPr>
                      <w:color w:val="000000"/>
                      <w:lang w:eastAsia="en-US"/>
                    </w:rPr>
                  </w:pPr>
                  <w:r w:rsidRPr="00ED315A">
                    <w:rPr>
                      <w:color w:val="000000"/>
                      <w:lang w:eastAsia="en-US"/>
                    </w:rPr>
                    <w:t>3</w:t>
                  </w:r>
                </w:p>
              </w:tc>
              <w:tc>
                <w:tcPr>
                  <w:tcW w:w="1276" w:type="dxa"/>
                  <w:tcBorders>
                    <w:top w:val="nil"/>
                    <w:left w:val="nil"/>
                    <w:bottom w:val="nil"/>
                    <w:right w:val="nil"/>
                  </w:tcBorders>
                  <w:shd w:val="clear" w:color="auto" w:fill="auto"/>
                  <w:noWrap/>
                  <w:vAlign w:val="bottom"/>
                  <w:hideMark/>
                </w:tcPr>
                <w:p w:rsidR="00C93888" w:rsidRPr="00ED315A" w:rsidP="00C93888" w14:paraId="7A562E03" w14:textId="77777777">
                  <w:pPr>
                    <w:jc w:val="right"/>
                    <w:rPr>
                      <w:color w:val="000000"/>
                      <w:lang w:eastAsia="en-US"/>
                    </w:rPr>
                  </w:pPr>
                  <w:r w:rsidRPr="00ED315A">
                    <w:rPr>
                      <w:color w:val="000000"/>
                      <w:lang w:eastAsia="en-US"/>
                    </w:rPr>
                    <w:t>1647</w:t>
                  </w:r>
                </w:p>
              </w:tc>
            </w:tr>
            <w:tr w14:paraId="2F22D2A8" w14:textId="77777777" w:rsidTr="008C5852">
              <w:tblPrEx>
                <w:tblW w:w="8107" w:type="dxa"/>
                <w:tblLayout w:type="fixed"/>
                <w:tblLook w:val="04A0"/>
              </w:tblPrEx>
              <w:trPr>
                <w:trHeight w:val="300"/>
              </w:trPr>
              <w:tc>
                <w:tcPr>
                  <w:tcW w:w="1870" w:type="dxa"/>
                  <w:tcBorders>
                    <w:top w:val="nil"/>
                    <w:left w:val="nil"/>
                    <w:bottom w:val="nil"/>
                    <w:right w:val="nil"/>
                  </w:tcBorders>
                  <w:shd w:val="clear" w:color="auto" w:fill="auto"/>
                  <w:noWrap/>
                  <w:vAlign w:val="bottom"/>
                  <w:hideMark/>
                </w:tcPr>
                <w:p w:rsidR="00C93888" w:rsidRPr="00ED315A" w:rsidP="00C93888" w14:paraId="6EACC868" w14:textId="77777777">
                  <w:pPr>
                    <w:rPr>
                      <w:color w:val="000000"/>
                      <w:lang w:eastAsia="en-US"/>
                    </w:rPr>
                  </w:pPr>
                  <w:r w:rsidRPr="00ED315A">
                    <w:rPr>
                      <w:color w:val="000000"/>
                      <w:lang w:eastAsia="en-US"/>
                    </w:rPr>
                    <w:t>sistēmu analītiķis</w:t>
                  </w:r>
                </w:p>
              </w:tc>
              <w:tc>
                <w:tcPr>
                  <w:tcW w:w="1134" w:type="dxa"/>
                  <w:gridSpan w:val="2"/>
                  <w:tcBorders>
                    <w:top w:val="nil"/>
                    <w:left w:val="nil"/>
                    <w:bottom w:val="nil"/>
                    <w:right w:val="nil"/>
                  </w:tcBorders>
                  <w:shd w:val="clear" w:color="auto" w:fill="auto"/>
                  <w:noWrap/>
                  <w:vAlign w:val="bottom"/>
                  <w:hideMark/>
                </w:tcPr>
                <w:p w:rsidR="00C93888" w:rsidRPr="00ED315A" w:rsidP="00C93888" w14:paraId="75912807" w14:textId="77777777">
                  <w:pPr>
                    <w:rPr>
                      <w:color w:val="000000"/>
                      <w:lang w:eastAsia="en-US"/>
                    </w:rPr>
                  </w:pPr>
                  <w:r w:rsidRPr="00ED315A">
                    <w:rPr>
                      <w:color w:val="000000"/>
                      <w:lang w:eastAsia="en-US"/>
                    </w:rPr>
                    <w:t>19.4</w:t>
                  </w:r>
                </w:p>
              </w:tc>
              <w:tc>
                <w:tcPr>
                  <w:tcW w:w="1417" w:type="dxa"/>
                  <w:tcBorders>
                    <w:top w:val="nil"/>
                    <w:left w:val="nil"/>
                    <w:bottom w:val="nil"/>
                    <w:right w:val="nil"/>
                  </w:tcBorders>
                  <w:shd w:val="clear" w:color="auto" w:fill="auto"/>
                  <w:noWrap/>
                  <w:vAlign w:val="bottom"/>
                  <w:hideMark/>
                </w:tcPr>
                <w:p w:rsidR="00C93888" w:rsidRPr="00ED315A" w:rsidP="00C93888" w14:paraId="5CB98442" w14:textId="77777777">
                  <w:pPr>
                    <w:rPr>
                      <w:color w:val="000000"/>
                      <w:lang w:eastAsia="en-US"/>
                    </w:rPr>
                  </w:pPr>
                  <w:r w:rsidRPr="00ED315A">
                    <w:rPr>
                      <w:color w:val="000000"/>
                      <w:lang w:eastAsia="en-US"/>
                    </w:rPr>
                    <w:t>IV</w:t>
                  </w:r>
                </w:p>
              </w:tc>
              <w:tc>
                <w:tcPr>
                  <w:tcW w:w="1276" w:type="dxa"/>
                  <w:tcBorders>
                    <w:top w:val="nil"/>
                    <w:left w:val="nil"/>
                    <w:bottom w:val="nil"/>
                    <w:right w:val="nil"/>
                  </w:tcBorders>
                  <w:shd w:val="clear" w:color="auto" w:fill="auto"/>
                  <w:noWrap/>
                  <w:vAlign w:val="bottom"/>
                  <w:hideMark/>
                </w:tcPr>
                <w:p w:rsidR="00C93888" w:rsidRPr="00ED315A" w:rsidP="00C93888" w14:paraId="5413D196" w14:textId="77777777">
                  <w:pPr>
                    <w:rPr>
                      <w:color w:val="000000"/>
                      <w:lang w:eastAsia="en-US"/>
                    </w:rPr>
                  </w:pPr>
                  <w:r w:rsidRPr="00ED315A">
                    <w:rPr>
                      <w:color w:val="000000"/>
                      <w:lang w:eastAsia="en-US"/>
                    </w:rPr>
                    <w:t>12</w:t>
                  </w:r>
                </w:p>
              </w:tc>
              <w:tc>
                <w:tcPr>
                  <w:tcW w:w="1134" w:type="dxa"/>
                  <w:tcBorders>
                    <w:top w:val="nil"/>
                    <w:left w:val="nil"/>
                    <w:bottom w:val="nil"/>
                    <w:right w:val="nil"/>
                  </w:tcBorders>
                  <w:shd w:val="clear" w:color="auto" w:fill="auto"/>
                  <w:noWrap/>
                  <w:vAlign w:val="bottom"/>
                  <w:hideMark/>
                </w:tcPr>
                <w:p w:rsidR="00C93888" w:rsidRPr="00ED315A" w:rsidP="00C93888" w14:paraId="175C39C4" w14:textId="77777777">
                  <w:pPr>
                    <w:rPr>
                      <w:color w:val="000000"/>
                      <w:lang w:eastAsia="en-US"/>
                    </w:rPr>
                  </w:pPr>
                  <w:r w:rsidRPr="00ED315A">
                    <w:rPr>
                      <w:color w:val="000000"/>
                      <w:lang w:eastAsia="en-US"/>
                    </w:rPr>
                    <w:t>3</w:t>
                  </w:r>
                </w:p>
              </w:tc>
              <w:tc>
                <w:tcPr>
                  <w:tcW w:w="1276" w:type="dxa"/>
                  <w:tcBorders>
                    <w:top w:val="nil"/>
                    <w:left w:val="nil"/>
                    <w:bottom w:val="nil"/>
                    <w:right w:val="nil"/>
                  </w:tcBorders>
                  <w:shd w:val="clear" w:color="auto" w:fill="auto"/>
                  <w:noWrap/>
                  <w:vAlign w:val="bottom"/>
                  <w:hideMark/>
                </w:tcPr>
                <w:p w:rsidR="00C93888" w:rsidRPr="00ED315A" w:rsidP="00C93888" w14:paraId="4820D89D" w14:textId="77777777">
                  <w:pPr>
                    <w:jc w:val="right"/>
                    <w:rPr>
                      <w:color w:val="000000"/>
                      <w:lang w:eastAsia="en-US"/>
                    </w:rPr>
                  </w:pPr>
                  <w:r w:rsidRPr="00ED315A">
                    <w:rPr>
                      <w:color w:val="000000"/>
                      <w:lang w:eastAsia="en-US"/>
                    </w:rPr>
                    <w:t>1647</w:t>
                  </w:r>
                </w:p>
              </w:tc>
            </w:tr>
            <w:tr w14:paraId="11DC8559" w14:textId="77777777" w:rsidTr="008C5852">
              <w:tblPrEx>
                <w:tblW w:w="8107" w:type="dxa"/>
                <w:tblLayout w:type="fixed"/>
                <w:tblLook w:val="04A0"/>
              </w:tblPrEx>
              <w:trPr>
                <w:trHeight w:val="300"/>
              </w:trPr>
              <w:tc>
                <w:tcPr>
                  <w:tcW w:w="1870" w:type="dxa"/>
                  <w:tcBorders>
                    <w:top w:val="nil"/>
                    <w:left w:val="nil"/>
                    <w:bottom w:val="nil"/>
                    <w:right w:val="nil"/>
                  </w:tcBorders>
                  <w:shd w:val="clear" w:color="auto" w:fill="auto"/>
                  <w:noWrap/>
                  <w:vAlign w:val="bottom"/>
                  <w:hideMark/>
                </w:tcPr>
                <w:p w:rsidR="00C93888" w:rsidRPr="00ED315A" w:rsidP="00C93888" w14:paraId="65F845C7" w14:textId="77777777">
                  <w:pPr>
                    <w:rPr>
                      <w:color w:val="000000"/>
                      <w:lang w:eastAsia="en-US"/>
                    </w:rPr>
                  </w:pPr>
                  <w:r w:rsidRPr="00ED315A">
                    <w:rPr>
                      <w:color w:val="000000"/>
                      <w:lang w:eastAsia="en-US"/>
                    </w:rPr>
                    <w:t>sistēmu administrators</w:t>
                  </w:r>
                </w:p>
              </w:tc>
              <w:tc>
                <w:tcPr>
                  <w:tcW w:w="1134" w:type="dxa"/>
                  <w:gridSpan w:val="2"/>
                  <w:tcBorders>
                    <w:top w:val="nil"/>
                    <w:left w:val="nil"/>
                    <w:bottom w:val="nil"/>
                    <w:right w:val="nil"/>
                  </w:tcBorders>
                  <w:shd w:val="clear" w:color="auto" w:fill="auto"/>
                  <w:noWrap/>
                  <w:vAlign w:val="bottom"/>
                  <w:hideMark/>
                </w:tcPr>
                <w:p w:rsidR="00C93888" w:rsidRPr="00ED315A" w:rsidP="00C93888" w14:paraId="0099DFD4" w14:textId="77777777">
                  <w:pPr>
                    <w:rPr>
                      <w:color w:val="000000"/>
                      <w:lang w:eastAsia="en-US"/>
                    </w:rPr>
                  </w:pPr>
                  <w:r w:rsidRPr="00ED315A">
                    <w:rPr>
                      <w:color w:val="000000"/>
                      <w:lang w:eastAsia="en-US"/>
                    </w:rPr>
                    <w:t>19.5</w:t>
                  </w:r>
                </w:p>
              </w:tc>
              <w:tc>
                <w:tcPr>
                  <w:tcW w:w="1417" w:type="dxa"/>
                  <w:tcBorders>
                    <w:top w:val="nil"/>
                    <w:left w:val="nil"/>
                    <w:bottom w:val="nil"/>
                    <w:right w:val="nil"/>
                  </w:tcBorders>
                  <w:shd w:val="clear" w:color="auto" w:fill="auto"/>
                  <w:noWrap/>
                  <w:vAlign w:val="bottom"/>
                  <w:hideMark/>
                </w:tcPr>
                <w:p w:rsidR="00C93888" w:rsidRPr="00ED315A" w:rsidP="00C93888" w14:paraId="2A2C7726" w14:textId="77777777">
                  <w:pPr>
                    <w:rPr>
                      <w:color w:val="000000"/>
                      <w:lang w:eastAsia="en-US"/>
                    </w:rPr>
                  </w:pPr>
                  <w:r w:rsidRPr="00ED315A">
                    <w:rPr>
                      <w:color w:val="000000"/>
                      <w:lang w:eastAsia="en-US"/>
                    </w:rPr>
                    <w:t>IVA</w:t>
                  </w:r>
                </w:p>
              </w:tc>
              <w:tc>
                <w:tcPr>
                  <w:tcW w:w="1276" w:type="dxa"/>
                  <w:tcBorders>
                    <w:top w:val="nil"/>
                    <w:left w:val="nil"/>
                    <w:bottom w:val="nil"/>
                    <w:right w:val="nil"/>
                  </w:tcBorders>
                  <w:shd w:val="clear" w:color="auto" w:fill="auto"/>
                  <w:noWrap/>
                  <w:vAlign w:val="bottom"/>
                  <w:hideMark/>
                </w:tcPr>
                <w:p w:rsidR="00C93888" w:rsidRPr="00ED315A" w:rsidP="00C93888" w14:paraId="06E3A9F3" w14:textId="77777777">
                  <w:pPr>
                    <w:rPr>
                      <w:color w:val="000000"/>
                      <w:lang w:eastAsia="en-US"/>
                    </w:rPr>
                  </w:pPr>
                  <w:r w:rsidRPr="00ED315A">
                    <w:rPr>
                      <w:color w:val="000000"/>
                      <w:lang w:eastAsia="en-US"/>
                    </w:rPr>
                    <w:t>12</w:t>
                  </w:r>
                </w:p>
              </w:tc>
              <w:tc>
                <w:tcPr>
                  <w:tcW w:w="1134" w:type="dxa"/>
                  <w:tcBorders>
                    <w:top w:val="nil"/>
                    <w:left w:val="nil"/>
                    <w:bottom w:val="nil"/>
                    <w:right w:val="nil"/>
                  </w:tcBorders>
                  <w:shd w:val="clear" w:color="auto" w:fill="auto"/>
                  <w:noWrap/>
                  <w:vAlign w:val="bottom"/>
                  <w:hideMark/>
                </w:tcPr>
                <w:p w:rsidR="00C93888" w:rsidRPr="00ED315A" w:rsidP="00C93888" w14:paraId="66FB96A5" w14:textId="77777777">
                  <w:pPr>
                    <w:rPr>
                      <w:color w:val="000000"/>
                      <w:lang w:eastAsia="en-US"/>
                    </w:rPr>
                  </w:pPr>
                  <w:r w:rsidRPr="00ED315A">
                    <w:rPr>
                      <w:color w:val="000000"/>
                      <w:lang w:eastAsia="en-US"/>
                    </w:rPr>
                    <w:t>3</w:t>
                  </w:r>
                </w:p>
              </w:tc>
              <w:tc>
                <w:tcPr>
                  <w:tcW w:w="1276" w:type="dxa"/>
                  <w:tcBorders>
                    <w:top w:val="nil"/>
                    <w:left w:val="nil"/>
                    <w:bottom w:val="nil"/>
                    <w:right w:val="nil"/>
                  </w:tcBorders>
                  <w:shd w:val="clear" w:color="auto" w:fill="auto"/>
                  <w:noWrap/>
                  <w:vAlign w:val="bottom"/>
                  <w:hideMark/>
                </w:tcPr>
                <w:p w:rsidR="00C93888" w:rsidRPr="00ED315A" w:rsidP="00C93888" w14:paraId="5CCF2573" w14:textId="77777777">
                  <w:pPr>
                    <w:jc w:val="right"/>
                    <w:rPr>
                      <w:color w:val="000000"/>
                      <w:lang w:eastAsia="en-US"/>
                    </w:rPr>
                  </w:pPr>
                  <w:r w:rsidRPr="00ED315A">
                    <w:rPr>
                      <w:color w:val="000000"/>
                      <w:lang w:eastAsia="en-US"/>
                    </w:rPr>
                    <w:t>1647</w:t>
                  </w:r>
                </w:p>
              </w:tc>
            </w:tr>
            <w:tr w14:paraId="7F8A5E8B" w14:textId="77777777" w:rsidTr="008C5852">
              <w:tblPrEx>
                <w:tblW w:w="8107" w:type="dxa"/>
                <w:tblLayout w:type="fixed"/>
                <w:tblLook w:val="04A0"/>
              </w:tblPrEx>
              <w:trPr>
                <w:trHeight w:val="300"/>
              </w:trPr>
              <w:tc>
                <w:tcPr>
                  <w:tcW w:w="1870" w:type="dxa"/>
                  <w:tcBorders>
                    <w:top w:val="nil"/>
                    <w:left w:val="nil"/>
                    <w:bottom w:val="nil"/>
                    <w:right w:val="nil"/>
                  </w:tcBorders>
                  <w:shd w:val="clear" w:color="auto" w:fill="auto"/>
                  <w:noWrap/>
                  <w:vAlign w:val="bottom"/>
                  <w:hideMark/>
                </w:tcPr>
                <w:p w:rsidR="00C93888" w:rsidRPr="00ED315A" w:rsidP="00C93888" w14:paraId="53F44F45" w14:textId="77777777">
                  <w:pPr>
                    <w:rPr>
                      <w:color w:val="000000"/>
                      <w:lang w:eastAsia="en-US"/>
                    </w:rPr>
                  </w:pPr>
                  <w:r w:rsidRPr="00ED315A">
                    <w:rPr>
                      <w:color w:val="000000"/>
                      <w:lang w:eastAsia="en-US"/>
                    </w:rPr>
                    <w:t>sistēmu administrators</w:t>
                  </w:r>
                </w:p>
              </w:tc>
              <w:tc>
                <w:tcPr>
                  <w:tcW w:w="1134" w:type="dxa"/>
                  <w:gridSpan w:val="2"/>
                  <w:tcBorders>
                    <w:top w:val="nil"/>
                    <w:left w:val="nil"/>
                    <w:bottom w:val="nil"/>
                    <w:right w:val="nil"/>
                  </w:tcBorders>
                  <w:shd w:val="clear" w:color="auto" w:fill="auto"/>
                  <w:noWrap/>
                  <w:vAlign w:val="bottom"/>
                  <w:hideMark/>
                </w:tcPr>
                <w:p w:rsidR="00C93888" w:rsidRPr="00ED315A" w:rsidP="00C93888" w14:paraId="5E91DCC9" w14:textId="77777777">
                  <w:pPr>
                    <w:rPr>
                      <w:color w:val="000000"/>
                      <w:lang w:eastAsia="en-US"/>
                    </w:rPr>
                  </w:pPr>
                  <w:r w:rsidRPr="00ED315A">
                    <w:rPr>
                      <w:color w:val="000000"/>
                      <w:lang w:eastAsia="en-US"/>
                    </w:rPr>
                    <w:t>19.5</w:t>
                  </w:r>
                </w:p>
              </w:tc>
              <w:tc>
                <w:tcPr>
                  <w:tcW w:w="1417" w:type="dxa"/>
                  <w:tcBorders>
                    <w:top w:val="nil"/>
                    <w:left w:val="nil"/>
                    <w:bottom w:val="nil"/>
                    <w:right w:val="nil"/>
                  </w:tcBorders>
                  <w:shd w:val="clear" w:color="auto" w:fill="auto"/>
                  <w:noWrap/>
                  <w:vAlign w:val="bottom"/>
                  <w:hideMark/>
                </w:tcPr>
                <w:p w:rsidR="00C93888" w:rsidRPr="00ED315A" w:rsidP="00C93888" w14:paraId="1CCFF93E" w14:textId="77777777">
                  <w:pPr>
                    <w:rPr>
                      <w:color w:val="000000"/>
                      <w:lang w:eastAsia="en-US"/>
                    </w:rPr>
                  </w:pPr>
                  <w:r w:rsidRPr="00ED315A">
                    <w:rPr>
                      <w:color w:val="000000"/>
                      <w:lang w:eastAsia="en-US"/>
                    </w:rPr>
                    <w:t>IVA</w:t>
                  </w:r>
                </w:p>
              </w:tc>
              <w:tc>
                <w:tcPr>
                  <w:tcW w:w="1276" w:type="dxa"/>
                  <w:tcBorders>
                    <w:top w:val="nil"/>
                    <w:left w:val="nil"/>
                    <w:bottom w:val="nil"/>
                    <w:right w:val="nil"/>
                  </w:tcBorders>
                  <w:shd w:val="clear" w:color="auto" w:fill="auto"/>
                  <w:noWrap/>
                  <w:vAlign w:val="bottom"/>
                  <w:hideMark/>
                </w:tcPr>
                <w:p w:rsidR="00C93888" w:rsidRPr="00ED315A" w:rsidP="00C93888" w14:paraId="71997A6A" w14:textId="77777777">
                  <w:pPr>
                    <w:rPr>
                      <w:color w:val="000000"/>
                      <w:lang w:eastAsia="en-US"/>
                    </w:rPr>
                  </w:pPr>
                  <w:r w:rsidRPr="00ED315A">
                    <w:rPr>
                      <w:color w:val="000000"/>
                      <w:lang w:eastAsia="en-US"/>
                    </w:rPr>
                    <w:t>12</w:t>
                  </w:r>
                </w:p>
              </w:tc>
              <w:tc>
                <w:tcPr>
                  <w:tcW w:w="1134" w:type="dxa"/>
                  <w:tcBorders>
                    <w:top w:val="nil"/>
                    <w:left w:val="nil"/>
                    <w:bottom w:val="nil"/>
                    <w:right w:val="nil"/>
                  </w:tcBorders>
                  <w:shd w:val="clear" w:color="auto" w:fill="auto"/>
                  <w:noWrap/>
                  <w:vAlign w:val="bottom"/>
                  <w:hideMark/>
                </w:tcPr>
                <w:p w:rsidR="00C93888" w:rsidRPr="00ED315A" w:rsidP="00C93888" w14:paraId="27FA2BDF" w14:textId="77777777">
                  <w:pPr>
                    <w:rPr>
                      <w:color w:val="000000"/>
                      <w:lang w:eastAsia="en-US"/>
                    </w:rPr>
                  </w:pPr>
                  <w:r w:rsidRPr="00ED315A">
                    <w:rPr>
                      <w:color w:val="000000"/>
                      <w:lang w:eastAsia="en-US"/>
                    </w:rPr>
                    <w:t>3</w:t>
                  </w:r>
                </w:p>
              </w:tc>
              <w:tc>
                <w:tcPr>
                  <w:tcW w:w="1276" w:type="dxa"/>
                  <w:tcBorders>
                    <w:top w:val="nil"/>
                    <w:left w:val="nil"/>
                    <w:bottom w:val="nil"/>
                    <w:right w:val="nil"/>
                  </w:tcBorders>
                  <w:shd w:val="clear" w:color="auto" w:fill="auto"/>
                  <w:noWrap/>
                  <w:vAlign w:val="bottom"/>
                  <w:hideMark/>
                </w:tcPr>
                <w:p w:rsidR="00C93888" w:rsidRPr="00ED315A" w:rsidP="00C93888" w14:paraId="4371CB20" w14:textId="77777777">
                  <w:pPr>
                    <w:jc w:val="right"/>
                    <w:rPr>
                      <w:color w:val="000000"/>
                      <w:lang w:eastAsia="en-US"/>
                    </w:rPr>
                  </w:pPr>
                  <w:r w:rsidRPr="00ED315A">
                    <w:rPr>
                      <w:color w:val="000000"/>
                      <w:lang w:eastAsia="en-US"/>
                    </w:rPr>
                    <w:t>1647</w:t>
                  </w:r>
                </w:p>
              </w:tc>
            </w:tr>
            <w:tr w14:paraId="74FBE184" w14:textId="77777777" w:rsidTr="008C5852">
              <w:tblPrEx>
                <w:tblW w:w="8107" w:type="dxa"/>
                <w:tblLayout w:type="fixed"/>
                <w:tblLook w:val="04A0"/>
              </w:tblPrEx>
              <w:trPr>
                <w:trHeight w:val="300"/>
              </w:trPr>
              <w:tc>
                <w:tcPr>
                  <w:tcW w:w="1870" w:type="dxa"/>
                  <w:tcBorders>
                    <w:top w:val="nil"/>
                    <w:left w:val="nil"/>
                    <w:bottom w:val="nil"/>
                    <w:right w:val="nil"/>
                  </w:tcBorders>
                  <w:shd w:val="clear" w:color="auto" w:fill="auto"/>
                  <w:noWrap/>
                  <w:vAlign w:val="bottom"/>
                  <w:hideMark/>
                </w:tcPr>
                <w:p w:rsidR="00C93888" w:rsidRPr="00ED315A" w:rsidP="00C93888" w14:paraId="7A59E51E" w14:textId="77777777">
                  <w:pPr>
                    <w:rPr>
                      <w:color w:val="000000"/>
                      <w:lang w:eastAsia="en-US"/>
                    </w:rPr>
                  </w:pPr>
                  <w:r w:rsidRPr="00ED315A">
                    <w:rPr>
                      <w:color w:val="000000"/>
                      <w:lang w:eastAsia="en-US"/>
                    </w:rPr>
                    <w:t>sistēmu administrators</w:t>
                  </w:r>
                </w:p>
              </w:tc>
              <w:tc>
                <w:tcPr>
                  <w:tcW w:w="1134" w:type="dxa"/>
                  <w:gridSpan w:val="2"/>
                  <w:tcBorders>
                    <w:top w:val="nil"/>
                    <w:left w:val="nil"/>
                    <w:bottom w:val="nil"/>
                    <w:right w:val="nil"/>
                  </w:tcBorders>
                  <w:shd w:val="clear" w:color="auto" w:fill="auto"/>
                  <w:noWrap/>
                  <w:vAlign w:val="bottom"/>
                  <w:hideMark/>
                </w:tcPr>
                <w:p w:rsidR="00C93888" w:rsidRPr="00ED315A" w:rsidP="00C93888" w14:paraId="65B79C05" w14:textId="77777777">
                  <w:pPr>
                    <w:rPr>
                      <w:color w:val="000000"/>
                      <w:lang w:eastAsia="en-US"/>
                    </w:rPr>
                  </w:pPr>
                  <w:r w:rsidRPr="00ED315A">
                    <w:rPr>
                      <w:color w:val="000000"/>
                      <w:lang w:eastAsia="en-US"/>
                    </w:rPr>
                    <w:t>19.5</w:t>
                  </w:r>
                </w:p>
              </w:tc>
              <w:tc>
                <w:tcPr>
                  <w:tcW w:w="1417" w:type="dxa"/>
                  <w:tcBorders>
                    <w:top w:val="nil"/>
                    <w:left w:val="nil"/>
                    <w:bottom w:val="nil"/>
                    <w:right w:val="nil"/>
                  </w:tcBorders>
                  <w:shd w:val="clear" w:color="auto" w:fill="auto"/>
                  <w:noWrap/>
                  <w:vAlign w:val="bottom"/>
                  <w:hideMark/>
                </w:tcPr>
                <w:p w:rsidR="00C93888" w:rsidRPr="00ED315A" w:rsidP="00C93888" w14:paraId="4FE949DA" w14:textId="77777777">
                  <w:pPr>
                    <w:rPr>
                      <w:color w:val="000000"/>
                      <w:lang w:eastAsia="en-US"/>
                    </w:rPr>
                  </w:pPr>
                  <w:r w:rsidRPr="00ED315A">
                    <w:rPr>
                      <w:color w:val="000000"/>
                      <w:lang w:eastAsia="en-US"/>
                    </w:rPr>
                    <w:t>IVA</w:t>
                  </w:r>
                </w:p>
              </w:tc>
              <w:tc>
                <w:tcPr>
                  <w:tcW w:w="1276" w:type="dxa"/>
                  <w:tcBorders>
                    <w:top w:val="nil"/>
                    <w:left w:val="nil"/>
                    <w:bottom w:val="nil"/>
                    <w:right w:val="nil"/>
                  </w:tcBorders>
                  <w:shd w:val="clear" w:color="auto" w:fill="auto"/>
                  <w:noWrap/>
                  <w:vAlign w:val="bottom"/>
                  <w:hideMark/>
                </w:tcPr>
                <w:p w:rsidR="00C93888" w:rsidRPr="00ED315A" w:rsidP="00C93888" w14:paraId="43C30876" w14:textId="77777777">
                  <w:pPr>
                    <w:rPr>
                      <w:color w:val="000000"/>
                      <w:lang w:eastAsia="en-US"/>
                    </w:rPr>
                  </w:pPr>
                  <w:r w:rsidRPr="00ED315A">
                    <w:rPr>
                      <w:color w:val="000000"/>
                      <w:lang w:eastAsia="en-US"/>
                    </w:rPr>
                    <w:t>12</w:t>
                  </w:r>
                </w:p>
              </w:tc>
              <w:tc>
                <w:tcPr>
                  <w:tcW w:w="1134" w:type="dxa"/>
                  <w:tcBorders>
                    <w:top w:val="nil"/>
                    <w:left w:val="nil"/>
                    <w:bottom w:val="nil"/>
                    <w:right w:val="nil"/>
                  </w:tcBorders>
                  <w:shd w:val="clear" w:color="auto" w:fill="auto"/>
                  <w:noWrap/>
                  <w:vAlign w:val="bottom"/>
                  <w:hideMark/>
                </w:tcPr>
                <w:p w:rsidR="00C93888" w:rsidRPr="00ED315A" w:rsidP="00C93888" w14:paraId="2C286FA9" w14:textId="77777777">
                  <w:pPr>
                    <w:rPr>
                      <w:color w:val="000000"/>
                      <w:lang w:eastAsia="en-US"/>
                    </w:rPr>
                  </w:pPr>
                  <w:r w:rsidRPr="00ED315A">
                    <w:rPr>
                      <w:color w:val="000000"/>
                      <w:lang w:eastAsia="en-US"/>
                    </w:rPr>
                    <w:t>3</w:t>
                  </w:r>
                </w:p>
              </w:tc>
              <w:tc>
                <w:tcPr>
                  <w:tcW w:w="1276" w:type="dxa"/>
                  <w:tcBorders>
                    <w:top w:val="nil"/>
                    <w:left w:val="nil"/>
                    <w:bottom w:val="nil"/>
                    <w:right w:val="nil"/>
                  </w:tcBorders>
                  <w:shd w:val="clear" w:color="auto" w:fill="auto"/>
                  <w:noWrap/>
                  <w:vAlign w:val="bottom"/>
                  <w:hideMark/>
                </w:tcPr>
                <w:p w:rsidR="00C93888" w:rsidRPr="00ED315A" w:rsidP="00C93888" w14:paraId="2650633D" w14:textId="77777777">
                  <w:pPr>
                    <w:jc w:val="right"/>
                    <w:rPr>
                      <w:color w:val="000000"/>
                      <w:lang w:eastAsia="en-US"/>
                    </w:rPr>
                  </w:pPr>
                  <w:r w:rsidRPr="00ED315A">
                    <w:rPr>
                      <w:color w:val="000000"/>
                      <w:lang w:eastAsia="en-US"/>
                    </w:rPr>
                    <w:t>1647</w:t>
                  </w:r>
                </w:p>
              </w:tc>
            </w:tr>
            <w:tr w14:paraId="120453C9" w14:textId="77777777" w:rsidTr="008C5852">
              <w:tblPrEx>
                <w:tblW w:w="8107" w:type="dxa"/>
                <w:tblLayout w:type="fixed"/>
                <w:tblLook w:val="04A0"/>
              </w:tblPrEx>
              <w:trPr>
                <w:trHeight w:val="300"/>
              </w:trPr>
              <w:tc>
                <w:tcPr>
                  <w:tcW w:w="1870" w:type="dxa"/>
                  <w:tcBorders>
                    <w:top w:val="nil"/>
                    <w:left w:val="nil"/>
                    <w:bottom w:val="nil"/>
                    <w:right w:val="nil"/>
                  </w:tcBorders>
                  <w:shd w:val="clear" w:color="auto" w:fill="auto"/>
                  <w:noWrap/>
                  <w:vAlign w:val="bottom"/>
                  <w:hideMark/>
                </w:tcPr>
                <w:p w:rsidR="00C93888" w:rsidRPr="00ED315A" w:rsidP="00C93888" w14:paraId="7E07744B" w14:textId="77777777">
                  <w:pPr>
                    <w:rPr>
                      <w:color w:val="000000"/>
                      <w:lang w:eastAsia="en-US"/>
                    </w:rPr>
                  </w:pPr>
                </w:p>
              </w:tc>
              <w:tc>
                <w:tcPr>
                  <w:tcW w:w="1134" w:type="dxa"/>
                  <w:gridSpan w:val="2"/>
                  <w:tcBorders>
                    <w:top w:val="nil"/>
                    <w:left w:val="nil"/>
                    <w:bottom w:val="nil"/>
                    <w:right w:val="nil"/>
                  </w:tcBorders>
                  <w:shd w:val="clear" w:color="auto" w:fill="auto"/>
                  <w:noWrap/>
                  <w:vAlign w:val="bottom"/>
                  <w:hideMark/>
                </w:tcPr>
                <w:p w:rsidR="00C93888" w:rsidRPr="00ED315A" w:rsidP="00C93888" w14:paraId="7F055E73" w14:textId="77777777">
                  <w:pPr>
                    <w:rPr>
                      <w:color w:val="000000"/>
                      <w:lang w:eastAsia="en-US"/>
                    </w:rPr>
                  </w:pPr>
                </w:p>
              </w:tc>
              <w:tc>
                <w:tcPr>
                  <w:tcW w:w="1417" w:type="dxa"/>
                  <w:tcBorders>
                    <w:top w:val="nil"/>
                    <w:left w:val="nil"/>
                    <w:bottom w:val="nil"/>
                    <w:right w:val="nil"/>
                  </w:tcBorders>
                  <w:shd w:val="clear" w:color="auto" w:fill="auto"/>
                  <w:noWrap/>
                  <w:vAlign w:val="bottom"/>
                  <w:hideMark/>
                </w:tcPr>
                <w:p w:rsidR="00C93888" w:rsidRPr="00ED315A" w:rsidP="00C93888" w14:paraId="0C054FB3" w14:textId="77777777">
                  <w:pPr>
                    <w:rPr>
                      <w:color w:val="000000"/>
                      <w:lang w:eastAsia="en-US"/>
                    </w:rPr>
                  </w:pPr>
                </w:p>
              </w:tc>
              <w:tc>
                <w:tcPr>
                  <w:tcW w:w="1276" w:type="dxa"/>
                  <w:tcBorders>
                    <w:top w:val="nil"/>
                    <w:left w:val="nil"/>
                    <w:bottom w:val="nil"/>
                    <w:right w:val="nil"/>
                  </w:tcBorders>
                  <w:shd w:val="clear" w:color="auto" w:fill="auto"/>
                  <w:noWrap/>
                  <w:vAlign w:val="bottom"/>
                  <w:hideMark/>
                </w:tcPr>
                <w:p w:rsidR="00C93888" w:rsidRPr="00ED315A" w:rsidP="00C93888" w14:paraId="42CF4B7C" w14:textId="77777777">
                  <w:pPr>
                    <w:rPr>
                      <w:color w:val="000000"/>
                      <w:lang w:eastAsia="en-US"/>
                    </w:rPr>
                  </w:pPr>
                </w:p>
              </w:tc>
              <w:tc>
                <w:tcPr>
                  <w:tcW w:w="1134" w:type="dxa"/>
                  <w:tcBorders>
                    <w:top w:val="nil"/>
                    <w:left w:val="nil"/>
                    <w:bottom w:val="nil"/>
                    <w:right w:val="nil"/>
                  </w:tcBorders>
                  <w:shd w:val="clear" w:color="auto" w:fill="auto"/>
                  <w:noWrap/>
                  <w:vAlign w:val="bottom"/>
                  <w:hideMark/>
                </w:tcPr>
                <w:p w:rsidR="00C93888" w:rsidRPr="00ED315A" w:rsidP="00C93888" w14:paraId="258FBC80" w14:textId="77777777">
                  <w:pPr>
                    <w:rPr>
                      <w:color w:val="000000"/>
                      <w:lang w:eastAsia="en-US"/>
                    </w:rPr>
                  </w:pPr>
                </w:p>
              </w:tc>
              <w:tc>
                <w:tcPr>
                  <w:tcW w:w="1276" w:type="dxa"/>
                  <w:tcBorders>
                    <w:top w:val="nil"/>
                    <w:left w:val="nil"/>
                    <w:bottom w:val="nil"/>
                    <w:right w:val="nil"/>
                  </w:tcBorders>
                  <w:shd w:val="clear" w:color="auto" w:fill="auto"/>
                  <w:noWrap/>
                  <w:vAlign w:val="bottom"/>
                  <w:hideMark/>
                </w:tcPr>
                <w:p w:rsidR="00C93888" w:rsidRPr="00ED315A" w:rsidP="00C93888" w14:paraId="163F35EC" w14:textId="77777777">
                  <w:pPr>
                    <w:rPr>
                      <w:color w:val="000000"/>
                      <w:lang w:eastAsia="en-US"/>
                    </w:rPr>
                  </w:pPr>
                </w:p>
              </w:tc>
            </w:tr>
            <w:tr w14:paraId="47CCB2C3" w14:textId="77777777" w:rsidTr="007C7B5B">
              <w:tblPrEx>
                <w:tblW w:w="8107" w:type="dxa"/>
                <w:tblLayout w:type="fixed"/>
                <w:tblLook w:val="04A0"/>
              </w:tblPrEx>
              <w:trPr>
                <w:trHeight w:val="720"/>
              </w:trPr>
              <w:tc>
                <w:tcPr>
                  <w:tcW w:w="3004" w:type="dxa"/>
                  <w:gridSpan w:val="3"/>
                  <w:tcBorders>
                    <w:top w:val="nil"/>
                    <w:left w:val="nil"/>
                    <w:bottom w:val="nil"/>
                    <w:right w:val="nil"/>
                  </w:tcBorders>
                  <w:shd w:val="clear" w:color="auto" w:fill="auto"/>
                  <w:vAlign w:val="bottom"/>
                  <w:hideMark/>
                </w:tcPr>
                <w:p w:rsidR="00C93888" w:rsidRPr="008C5852" w:rsidP="00421E99" w14:paraId="4B0F1093" w14:textId="77777777">
                  <w:pPr>
                    <w:rPr>
                      <w:b/>
                      <w:bCs/>
                      <w:color w:val="000000"/>
                      <w:u w:val="single"/>
                      <w:lang w:val="en-US" w:eastAsia="en-US"/>
                    </w:rPr>
                  </w:pPr>
                  <w:r w:rsidRPr="008C5852">
                    <w:rPr>
                      <w:b/>
                      <w:bCs/>
                      <w:color w:val="000000"/>
                      <w:u w:val="single"/>
                      <w:lang w:val="en-US" w:eastAsia="en-US"/>
                    </w:rPr>
                    <w:t>nepieciešamais finansējums k</w:t>
                  </w:r>
                  <w:r w:rsidR="00421E99">
                    <w:rPr>
                      <w:b/>
                      <w:bCs/>
                      <w:color w:val="000000"/>
                      <w:u w:val="single"/>
                      <w:lang w:val="en-US" w:eastAsia="en-US"/>
                    </w:rPr>
                    <w:t>lasifikācijas</w:t>
                  </w:r>
                  <w:r w:rsidRPr="008C5852">
                    <w:rPr>
                      <w:b/>
                      <w:bCs/>
                      <w:color w:val="000000"/>
                      <w:u w:val="single"/>
                      <w:lang w:val="en-US" w:eastAsia="en-US"/>
                    </w:rPr>
                    <w:t xml:space="preserve"> celšanai (gadā)</w:t>
                  </w:r>
                </w:p>
              </w:tc>
              <w:tc>
                <w:tcPr>
                  <w:tcW w:w="1417" w:type="dxa"/>
                  <w:tcBorders>
                    <w:top w:val="nil"/>
                    <w:left w:val="nil"/>
                    <w:bottom w:val="nil"/>
                    <w:right w:val="nil"/>
                  </w:tcBorders>
                  <w:shd w:val="clear" w:color="auto" w:fill="auto"/>
                  <w:vAlign w:val="bottom"/>
                  <w:hideMark/>
                </w:tcPr>
                <w:p w:rsidR="00C93888" w:rsidRPr="008C5852" w:rsidP="00C93888" w14:paraId="1BFBA6FB" w14:textId="77777777">
                  <w:pPr>
                    <w:jc w:val="right"/>
                    <w:rPr>
                      <w:b/>
                      <w:bCs/>
                      <w:color w:val="000000"/>
                      <w:u w:val="single"/>
                      <w:lang w:val="en-US" w:eastAsia="en-US"/>
                    </w:rPr>
                  </w:pPr>
                  <w:r w:rsidRPr="008C5852">
                    <w:rPr>
                      <w:b/>
                      <w:bCs/>
                      <w:color w:val="000000"/>
                      <w:u w:val="single"/>
                      <w:lang w:val="en-US" w:eastAsia="en-US"/>
                    </w:rPr>
                    <w:t>29</w:t>
                  </w:r>
                  <w:r w:rsidR="006F1385">
                    <w:rPr>
                      <w:b/>
                      <w:bCs/>
                      <w:color w:val="000000"/>
                      <w:u w:val="single"/>
                      <w:lang w:val="en-US" w:eastAsia="en-US"/>
                    </w:rPr>
                    <w:t> </w:t>
                  </w:r>
                  <w:r w:rsidRPr="008C5852">
                    <w:rPr>
                      <w:b/>
                      <w:bCs/>
                      <w:color w:val="000000"/>
                      <w:u w:val="single"/>
                      <w:lang w:val="en-US" w:eastAsia="en-US"/>
                    </w:rPr>
                    <w:t>884</w:t>
                  </w:r>
                  <w:r w:rsidR="006F1385">
                    <w:rPr>
                      <w:b/>
                      <w:bCs/>
                      <w:color w:val="000000"/>
                      <w:u w:val="single"/>
                      <w:lang w:val="en-US" w:eastAsia="en-US"/>
                    </w:rPr>
                    <w:t xml:space="preserve"> </w:t>
                  </w:r>
                  <w:r w:rsidRPr="006F1385" w:rsidR="006F1385">
                    <w:rPr>
                      <w:b/>
                      <w:bCs/>
                      <w:i/>
                      <w:color w:val="000000"/>
                      <w:u w:val="single"/>
                      <w:lang w:val="en-US" w:eastAsia="en-US"/>
                    </w:rPr>
                    <w:t>euro</w:t>
                  </w:r>
                </w:p>
              </w:tc>
              <w:tc>
                <w:tcPr>
                  <w:tcW w:w="1276" w:type="dxa"/>
                  <w:tcBorders>
                    <w:top w:val="nil"/>
                    <w:left w:val="nil"/>
                    <w:bottom w:val="nil"/>
                    <w:right w:val="nil"/>
                  </w:tcBorders>
                  <w:shd w:val="clear" w:color="auto" w:fill="auto"/>
                  <w:noWrap/>
                  <w:vAlign w:val="bottom"/>
                  <w:hideMark/>
                </w:tcPr>
                <w:p w:rsidR="00C93888" w:rsidRPr="008C5852" w:rsidP="00C93888" w14:paraId="20419AEA" w14:textId="77777777">
                  <w:pPr>
                    <w:rPr>
                      <w:color w:val="000000"/>
                      <w:lang w:val="en-US" w:eastAsia="en-US"/>
                    </w:rPr>
                  </w:pPr>
                </w:p>
              </w:tc>
              <w:tc>
                <w:tcPr>
                  <w:tcW w:w="1134" w:type="dxa"/>
                  <w:tcBorders>
                    <w:top w:val="nil"/>
                    <w:left w:val="nil"/>
                    <w:bottom w:val="nil"/>
                    <w:right w:val="nil"/>
                  </w:tcBorders>
                  <w:shd w:val="clear" w:color="auto" w:fill="auto"/>
                  <w:noWrap/>
                  <w:vAlign w:val="bottom"/>
                  <w:hideMark/>
                </w:tcPr>
                <w:p w:rsidR="00C93888" w:rsidRPr="008C5852" w:rsidP="00C93888" w14:paraId="0FE0D189" w14:textId="77777777">
                  <w:pPr>
                    <w:rPr>
                      <w:color w:val="000000"/>
                      <w:lang w:val="en-US" w:eastAsia="en-US"/>
                    </w:rPr>
                  </w:pPr>
                </w:p>
              </w:tc>
              <w:tc>
                <w:tcPr>
                  <w:tcW w:w="1276" w:type="dxa"/>
                  <w:tcBorders>
                    <w:top w:val="nil"/>
                    <w:left w:val="nil"/>
                    <w:bottom w:val="nil"/>
                    <w:right w:val="nil"/>
                  </w:tcBorders>
                  <w:shd w:val="clear" w:color="auto" w:fill="auto"/>
                  <w:noWrap/>
                  <w:vAlign w:val="bottom"/>
                  <w:hideMark/>
                </w:tcPr>
                <w:p w:rsidR="00C93888" w:rsidRPr="008C5852" w:rsidP="00C93888" w14:paraId="3ED33608" w14:textId="77777777">
                  <w:pPr>
                    <w:rPr>
                      <w:color w:val="000000"/>
                      <w:lang w:val="en-US" w:eastAsia="en-US"/>
                    </w:rPr>
                  </w:pPr>
                </w:p>
              </w:tc>
            </w:tr>
            <w:tr w14:paraId="32E44F07" w14:textId="77777777" w:rsidTr="007C7B5B">
              <w:tblPrEx>
                <w:tblW w:w="8107" w:type="dxa"/>
                <w:tblLayout w:type="fixed"/>
                <w:tblLook w:val="04A0"/>
              </w:tblPrEx>
              <w:trPr>
                <w:trHeight w:val="300"/>
              </w:trPr>
              <w:tc>
                <w:tcPr>
                  <w:tcW w:w="2400" w:type="dxa"/>
                  <w:gridSpan w:val="2"/>
                  <w:tcBorders>
                    <w:top w:val="nil"/>
                    <w:left w:val="nil"/>
                    <w:bottom w:val="nil"/>
                    <w:right w:val="nil"/>
                  </w:tcBorders>
                  <w:shd w:val="clear" w:color="auto" w:fill="auto"/>
                  <w:noWrap/>
                  <w:vAlign w:val="bottom"/>
                  <w:hideMark/>
                </w:tcPr>
                <w:p w:rsidR="00C93888" w:rsidRPr="008C5852" w:rsidP="00C93888" w14:paraId="12F2C539" w14:textId="77777777">
                  <w:pPr>
                    <w:rPr>
                      <w:color w:val="000000"/>
                      <w:lang w:val="en-US" w:eastAsia="en-US"/>
                    </w:rPr>
                  </w:pPr>
                </w:p>
              </w:tc>
              <w:tc>
                <w:tcPr>
                  <w:tcW w:w="5707" w:type="dxa"/>
                  <w:gridSpan w:val="5"/>
                  <w:tcBorders>
                    <w:top w:val="nil"/>
                    <w:left w:val="nil"/>
                    <w:bottom w:val="nil"/>
                    <w:right w:val="nil"/>
                  </w:tcBorders>
                  <w:shd w:val="clear" w:color="auto" w:fill="auto"/>
                  <w:vAlign w:val="bottom"/>
                  <w:hideMark/>
                </w:tcPr>
                <w:p w:rsidR="00C93888" w:rsidRPr="008C5852" w:rsidP="00DD3ED0" w14:paraId="0684E225" w14:textId="77777777">
                  <w:pPr>
                    <w:ind w:left="-71"/>
                    <w:rPr>
                      <w:color w:val="000000"/>
                      <w:lang w:val="en-US" w:eastAsia="en-US"/>
                    </w:rPr>
                  </w:pPr>
                  <w:r w:rsidRPr="008C5852">
                    <w:rPr>
                      <w:color w:val="000000"/>
                      <w:lang w:val="en-US" w:eastAsia="en-US"/>
                    </w:rPr>
                    <w:t>(1647-1244)*12 mēneši*1,2359 DD nodoklis * 5 darbinieki</w:t>
                  </w:r>
                </w:p>
              </w:tc>
            </w:tr>
          </w:tbl>
          <w:p w:rsidR="00B42A94" w:rsidP="00B73DA2" w14:paraId="7BB8921C" w14:textId="77777777">
            <w:pPr>
              <w:ind w:left="720"/>
              <w:jc w:val="both"/>
              <w:rPr>
                <w:lang w:eastAsia="en-US"/>
              </w:rPr>
            </w:pPr>
          </w:p>
          <w:p w:rsidR="00804183" w:rsidRPr="00C849B0" w:rsidP="0090245A" w14:paraId="72CA42D1" w14:textId="77777777">
            <w:pPr>
              <w:pStyle w:val="ListParagraph"/>
              <w:numPr>
                <w:ilvl w:val="0"/>
                <w:numId w:val="36"/>
              </w:numPr>
              <w:jc w:val="both"/>
              <w:rPr>
                <w:u w:val="single"/>
              </w:rPr>
            </w:pPr>
            <w:r w:rsidRPr="00C849B0">
              <w:rPr>
                <w:u w:val="single"/>
              </w:rPr>
              <w:t>Programmatūras uzturēšanai – 6</w:t>
            </w:r>
            <w:r w:rsidRPr="00C849B0" w:rsidR="0068122D">
              <w:rPr>
                <w:u w:val="single"/>
              </w:rPr>
              <w:t>7</w:t>
            </w:r>
            <w:r w:rsidRPr="00C849B0">
              <w:rPr>
                <w:u w:val="single"/>
              </w:rPr>
              <w:t> </w:t>
            </w:r>
            <w:r w:rsidRPr="00C849B0" w:rsidR="0068122D">
              <w:rPr>
                <w:u w:val="single"/>
              </w:rPr>
              <w:t>200</w:t>
            </w:r>
            <w:r w:rsidRPr="00C849B0">
              <w:rPr>
                <w:u w:val="single"/>
              </w:rPr>
              <w:t xml:space="preserve"> </w:t>
            </w:r>
            <w:r w:rsidRPr="00C849B0">
              <w:rPr>
                <w:i/>
                <w:u w:val="single"/>
              </w:rPr>
              <w:t>euro</w:t>
            </w:r>
          </w:p>
          <w:p w:rsidR="00804183" w:rsidP="00804183" w14:paraId="54723580" w14:textId="77777777">
            <w:pPr>
              <w:ind w:left="360"/>
              <w:jc w:val="both"/>
              <w:rPr>
                <w:lang w:eastAsia="en-US"/>
              </w:rPr>
            </w:pPr>
            <w:r>
              <w:rPr>
                <w:lang w:eastAsia="en-US"/>
              </w:rPr>
              <w:t xml:space="preserve">uzturēšanai nepieciešamas 160 cilvēkdienas (apjoms noteikts, vadoties no iepriekš veiktajiem programmatūras izstrādes un uzlabošanas darbu veikšanai nepieciešamajiem laika, darba un izmaksu apjomiem). Samaksa par vienu cilvēkdienu – 420 </w:t>
            </w:r>
            <w:r w:rsidRPr="007C2B33">
              <w:rPr>
                <w:i/>
                <w:lang w:eastAsia="en-US"/>
              </w:rPr>
              <w:t>euro</w:t>
            </w:r>
            <w:r>
              <w:rPr>
                <w:lang w:eastAsia="en-US"/>
              </w:rPr>
              <w:t xml:space="preserve"> (ar PVN) </w:t>
            </w:r>
          </w:p>
          <w:p w:rsidR="00804183" w:rsidP="00804183" w14:paraId="3C7B46CB" w14:textId="77777777">
            <w:pPr>
              <w:ind w:left="360"/>
              <w:jc w:val="both"/>
              <w:rPr>
                <w:lang w:eastAsia="en-US"/>
              </w:rPr>
            </w:pPr>
            <w:r>
              <w:rPr>
                <w:lang w:eastAsia="en-US"/>
              </w:rPr>
              <w:t xml:space="preserve">160 c/d x 420 </w:t>
            </w:r>
            <w:r w:rsidRPr="007C2B33">
              <w:rPr>
                <w:i/>
                <w:lang w:eastAsia="en-US"/>
              </w:rPr>
              <w:t>euro</w:t>
            </w:r>
            <w:r>
              <w:rPr>
                <w:lang w:eastAsia="en-US"/>
              </w:rPr>
              <w:t xml:space="preserve"> = </w:t>
            </w:r>
            <w:r w:rsidRPr="0068122D">
              <w:rPr>
                <w:lang w:eastAsia="en-US"/>
              </w:rPr>
              <w:t>67</w:t>
            </w:r>
            <w:r w:rsidR="0068122D">
              <w:rPr>
                <w:lang w:eastAsia="en-US"/>
              </w:rPr>
              <w:t> </w:t>
            </w:r>
            <w:r w:rsidRPr="0068122D">
              <w:rPr>
                <w:lang w:eastAsia="en-US"/>
              </w:rPr>
              <w:t>20</w:t>
            </w:r>
            <w:r w:rsidR="0068122D">
              <w:rPr>
                <w:lang w:eastAsia="en-US"/>
              </w:rPr>
              <w:t>0</w:t>
            </w:r>
            <w:r w:rsidRPr="0068122D">
              <w:rPr>
                <w:lang w:eastAsia="en-US"/>
              </w:rPr>
              <w:t xml:space="preserve"> </w:t>
            </w:r>
            <w:r w:rsidRPr="0068122D">
              <w:rPr>
                <w:i/>
                <w:lang w:eastAsia="en-US"/>
              </w:rPr>
              <w:t>euro</w:t>
            </w:r>
            <w:r w:rsidRPr="0068122D">
              <w:rPr>
                <w:lang w:eastAsia="en-US"/>
              </w:rPr>
              <w:t xml:space="preserve"> </w:t>
            </w:r>
          </w:p>
          <w:p w:rsidR="000C1D83" w:rsidRPr="004668F6" w:rsidP="00137314" w14:paraId="6057A4AC" w14:textId="77777777">
            <w:pPr>
              <w:ind w:left="360"/>
              <w:jc w:val="both"/>
              <w:rPr>
                <w:lang w:eastAsia="en-US"/>
              </w:rPr>
            </w:pPr>
            <w:r>
              <w:rPr>
                <w:lang w:eastAsia="en-US"/>
              </w:rPr>
              <w:t>(EKK 2251 – informācijas sistēmas uzturēšana).</w:t>
            </w:r>
          </w:p>
        </w:tc>
      </w:tr>
      <w:tr w14:paraId="37E7DBCE"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C1D83" w:rsidRPr="004668F6" w:rsidP="00FF1F46" w14:paraId="6C73FB67" w14:textId="77777777">
            <w:pPr>
              <w:rPr>
                <w:lang w:eastAsia="en-US"/>
              </w:rPr>
            </w:pPr>
            <w:r w:rsidRPr="004668F6">
              <w:t>6.1. detalizēts ieņēmumu aprēķins</w:t>
            </w:r>
          </w:p>
        </w:tc>
        <w:tc>
          <w:tcPr>
            <w:tcW w:w="4151"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4668F6" w:rsidP="00FF1F46" w14:paraId="3880952E" w14:textId="77777777">
            <w:pPr>
              <w:rPr>
                <w:lang w:eastAsia="en-US"/>
              </w:rPr>
            </w:pPr>
          </w:p>
        </w:tc>
      </w:tr>
      <w:tr w14:paraId="4CAA1737"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C1D83" w:rsidRPr="004668F6" w:rsidP="00FF1F46" w14:paraId="54E83C5C" w14:textId="77777777">
            <w:pPr>
              <w:rPr>
                <w:lang w:eastAsia="en-US"/>
              </w:rPr>
            </w:pPr>
            <w:r w:rsidRPr="004668F6">
              <w:t>6.2. detalizēts izdevumu aprēķins</w:t>
            </w:r>
          </w:p>
        </w:tc>
        <w:tc>
          <w:tcPr>
            <w:tcW w:w="4151"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4668F6" w:rsidP="00FF1F46" w14:paraId="6C607D0C" w14:textId="77777777">
            <w:pPr>
              <w:rPr>
                <w:lang w:eastAsia="en-US"/>
              </w:rPr>
            </w:pPr>
          </w:p>
        </w:tc>
      </w:tr>
      <w:tr w14:paraId="59DAB913" w14:textId="77777777" w:rsidTr="00776898">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0C1D83" w:rsidRPr="004668F6" w:rsidP="00FF1F46" w14:paraId="34497B83" w14:textId="77777777">
            <w:pPr>
              <w:rPr>
                <w:lang w:eastAsia="en-US"/>
              </w:rPr>
            </w:pPr>
            <w:r w:rsidRPr="004668F6">
              <w:t>7. Cita informācija</w:t>
            </w:r>
          </w:p>
        </w:tc>
        <w:tc>
          <w:tcPr>
            <w:tcW w:w="4151" w:type="pct"/>
            <w:gridSpan w:val="5"/>
            <w:tcBorders>
              <w:top w:val="single" w:sz="4" w:space="0" w:color="auto"/>
              <w:left w:val="single" w:sz="4" w:space="0" w:color="auto"/>
              <w:bottom w:val="single" w:sz="4" w:space="0" w:color="auto"/>
              <w:right w:val="single" w:sz="4" w:space="0" w:color="auto"/>
            </w:tcBorders>
            <w:shd w:val="clear" w:color="auto" w:fill="auto"/>
          </w:tcPr>
          <w:p w:rsidR="000C1D83" w:rsidRPr="004668F6" w:rsidP="00E3531E" w14:paraId="021424F7" w14:textId="77777777">
            <w:pPr>
              <w:jc w:val="both"/>
              <w:rPr>
                <w:lang w:eastAsia="en-US"/>
              </w:rPr>
            </w:pPr>
            <w:r w:rsidRPr="004668F6">
              <w:rPr>
                <w:lang w:eastAsia="en-US"/>
              </w:rPr>
              <w:t>Projekta īstenošanai 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rsidR="004C28CE" w:rsidP="00B22BC5" w14:paraId="36FAE13A" w14:textId="77777777">
      <w:pPr>
        <w:rPr>
          <w:iCs/>
          <w:lang w:eastAsia="en-US"/>
        </w:rPr>
      </w:pPr>
    </w:p>
    <w:tbl>
      <w:tblPr>
        <w:tblW w:w="5551" w:type="pct"/>
        <w:tblCellSpacing w:w="15" w:type="dxa"/>
        <w:tblInd w:w="-3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082"/>
      </w:tblGrid>
      <w:tr w14:paraId="643242DC" w14:textId="77777777" w:rsidTr="001821CB">
        <w:tblPrEx>
          <w:tblW w:w="5551" w:type="pct"/>
          <w:tblCellSpacing w:w="15" w:type="dxa"/>
          <w:tblInd w:w="-3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4C28CE" w:rsidP="001821CB" w14:paraId="519F37F3" w14:textId="77777777">
            <w:pPr>
              <w:pStyle w:val="tvhtml"/>
              <w:jc w:val="center"/>
              <w:rPr>
                <w:b/>
                <w:bCs/>
              </w:rPr>
            </w:pPr>
            <w:r w:rsidRPr="004873B1">
              <w:rPr>
                <w:b/>
                <w:bCs/>
              </w:rPr>
              <w:t>IV. Tiesību akta projekta ietekme uz spēkā esošo tiesību normu sistēmu</w:t>
            </w:r>
          </w:p>
        </w:tc>
      </w:tr>
      <w:tr w14:paraId="5103EFF6" w14:textId="77777777" w:rsidTr="001821CB">
        <w:tblPrEx>
          <w:tblW w:w="5551" w:type="pct"/>
          <w:tblCellSpacing w:w="15" w:type="dxa"/>
          <w:tblInd w:w="-375" w:type="dxa"/>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4C28CE" w:rsidP="001821CB" w14:paraId="773BED1A" w14:textId="77777777">
            <w:pPr>
              <w:pStyle w:val="tvhtml"/>
              <w:jc w:val="center"/>
            </w:pPr>
            <w:r>
              <w:t>Projekts šo jomu neskar</w:t>
            </w:r>
          </w:p>
        </w:tc>
      </w:tr>
    </w:tbl>
    <w:p w:rsidR="004C28CE" w:rsidP="004C28CE" w14:paraId="1F199167" w14:textId="77777777">
      <w:pPr>
        <w:rPr>
          <w:iCs/>
          <w:lang w:eastAsia="en-US"/>
        </w:rPr>
      </w:pPr>
    </w:p>
    <w:tbl>
      <w:tblPr>
        <w:tblW w:w="5551" w:type="pct"/>
        <w:tblCellSpacing w:w="15" w:type="dxa"/>
        <w:tblInd w:w="-3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082"/>
      </w:tblGrid>
      <w:tr w14:paraId="1CDDE6FE" w14:textId="77777777" w:rsidTr="001821CB">
        <w:tblPrEx>
          <w:tblW w:w="5551" w:type="pct"/>
          <w:tblCellSpacing w:w="15" w:type="dxa"/>
          <w:tblInd w:w="-3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4C28CE" w:rsidP="001821CB" w14:paraId="32EBD883" w14:textId="77777777">
            <w:pPr>
              <w:pStyle w:val="tvhtml"/>
              <w:jc w:val="center"/>
              <w:rPr>
                <w:b/>
                <w:bCs/>
              </w:rPr>
            </w:pPr>
            <w:r w:rsidRPr="008F15F0">
              <w:rPr>
                <w:b/>
                <w:bCs/>
              </w:rPr>
              <w:t>V. Tiesību akta projekta atbilstība Latvijas Republikas starptautiskajām saistībām</w:t>
            </w:r>
          </w:p>
        </w:tc>
      </w:tr>
      <w:tr w14:paraId="203A3A65" w14:textId="77777777" w:rsidTr="001821CB">
        <w:tblPrEx>
          <w:tblW w:w="5551" w:type="pct"/>
          <w:tblCellSpacing w:w="15" w:type="dxa"/>
          <w:tblInd w:w="-375" w:type="dxa"/>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4C28CE" w:rsidP="001821CB" w14:paraId="07F36A1B" w14:textId="77777777">
            <w:pPr>
              <w:pStyle w:val="tvhtml"/>
              <w:jc w:val="center"/>
            </w:pPr>
            <w:r>
              <w:t>Projekts šo jomu neskar</w:t>
            </w:r>
          </w:p>
        </w:tc>
      </w:tr>
    </w:tbl>
    <w:p w:rsidR="004C28CE" w:rsidP="004C28CE" w14:paraId="74DEEB16" w14:textId="77777777">
      <w:pPr>
        <w:rPr>
          <w:sz w:val="20"/>
          <w:szCs w:val="20"/>
        </w:rPr>
      </w:pPr>
    </w:p>
    <w:p w:rsidR="004C28CE" w:rsidP="004C28CE" w14:paraId="26EDA640" w14:textId="77777777">
      <w:pPr>
        <w:rPr>
          <w:sz w:val="20"/>
          <w:szCs w:val="20"/>
        </w:rPr>
      </w:pPr>
    </w:p>
    <w:tbl>
      <w:tblPr>
        <w:tblW w:w="5551" w:type="pct"/>
        <w:tblCellSpacing w:w="15" w:type="dxa"/>
        <w:tblInd w:w="-3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082"/>
      </w:tblGrid>
      <w:tr w14:paraId="23FD7438" w14:textId="77777777" w:rsidTr="001821CB">
        <w:tblPrEx>
          <w:tblW w:w="5551" w:type="pct"/>
          <w:tblCellSpacing w:w="15" w:type="dxa"/>
          <w:tblInd w:w="-3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4C28CE" w:rsidP="001821CB" w14:paraId="060FB773" w14:textId="77777777">
            <w:pPr>
              <w:pStyle w:val="tvhtml"/>
              <w:jc w:val="center"/>
              <w:rPr>
                <w:b/>
                <w:bCs/>
              </w:rPr>
            </w:pPr>
            <w:r w:rsidRPr="008F15F0">
              <w:rPr>
                <w:b/>
                <w:bCs/>
              </w:rPr>
              <w:t>VI. Sabiedrības līdzdalība un komunikācijas aktivitātes</w:t>
            </w:r>
          </w:p>
        </w:tc>
      </w:tr>
      <w:tr w14:paraId="0552FA5F" w14:textId="77777777" w:rsidTr="001821CB">
        <w:tblPrEx>
          <w:tblW w:w="5551" w:type="pct"/>
          <w:tblCellSpacing w:w="15" w:type="dxa"/>
          <w:tblInd w:w="-375" w:type="dxa"/>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4C28CE" w:rsidP="001821CB" w14:paraId="4D606016" w14:textId="77777777">
            <w:pPr>
              <w:pStyle w:val="tvhtml"/>
              <w:jc w:val="center"/>
            </w:pPr>
            <w:r>
              <w:t>Projekts šo jomu neskar</w:t>
            </w:r>
          </w:p>
        </w:tc>
      </w:tr>
    </w:tbl>
    <w:p w:rsidR="004C28CE" w:rsidRPr="004668F6" w:rsidP="00B22BC5" w14:paraId="5B5BC1D6" w14:textId="77777777">
      <w:pPr>
        <w:rPr>
          <w:iCs/>
          <w:lang w:eastAsia="en-US"/>
        </w:rPr>
      </w:pPr>
    </w:p>
    <w:tbl>
      <w:tblPr>
        <w:tblW w:w="10056"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80"/>
        <w:gridCol w:w="4376"/>
        <w:gridCol w:w="5000"/>
      </w:tblGrid>
      <w:tr w14:paraId="1F4DD1BD" w14:textId="77777777" w:rsidTr="00882641">
        <w:tblPrEx>
          <w:tblW w:w="10056"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10056" w:type="dxa"/>
            <w:gridSpan w:val="3"/>
            <w:tcBorders>
              <w:top w:val="single" w:sz="4" w:space="0" w:color="auto"/>
            </w:tcBorders>
            <w:tcMar>
              <w:top w:w="57" w:type="dxa"/>
              <w:left w:w="57" w:type="dxa"/>
              <w:bottom w:w="57" w:type="dxa"/>
              <w:right w:w="57" w:type="dxa"/>
            </w:tcMar>
          </w:tcPr>
          <w:p w:rsidR="007018E8" w:rsidRPr="004668F6" w:rsidP="00257808" w14:paraId="6A2818D7" w14:textId="77777777">
            <w:pPr>
              <w:pStyle w:val="naisnod"/>
              <w:spacing w:before="0" w:after="0"/>
              <w:ind w:left="57" w:right="57"/>
            </w:pPr>
            <w:r w:rsidRPr="004668F6">
              <w:t>VII. Tiesību akta projekta izpildes nodrošināšana un tās ietekme uz institūcijām</w:t>
            </w:r>
          </w:p>
        </w:tc>
      </w:tr>
      <w:tr w14:paraId="13AE09A6" w14:textId="77777777" w:rsidTr="00882641">
        <w:tblPrEx>
          <w:tblW w:w="10056" w:type="dxa"/>
          <w:tblInd w:w="-369" w:type="dxa"/>
          <w:tblCellMar>
            <w:top w:w="28" w:type="dxa"/>
            <w:left w:w="28" w:type="dxa"/>
            <w:bottom w:w="28" w:type="dxa"/>
            <w:right w:w="28" w:type="dxa"/>
          </w:tblCellMar>
          <w:tblLook w:val="0000"/>
        </w:tblPrEx>
        <w:trPr>
          <w:trHeight w:val="427"/>
        </w:trPr>
        <w:tc>
          <w:tcPr>
            <w:tcW w:w="680" w:type="dxa"/>
            <w:tcMar>
              <w:top w:w="57" w:type="dxa"/>
              <w:left w:w="57" w:type="dxa"/>
              <w:bottom w:w="57" w:type="dxa"/>
              <w:right w:w="57" w:type="dxa"/>
            </w:tcMar>
          </w:tcPr>
          <w:p w:rsidR="007018E8" w:rsidRPr="004668F6" w:rsidP="00257808" w14:paraId="07740D24" w14:textId="77777777">
            <w:pPr>
              <w:pStyle w:val="naisnod"/>
              <w:spacing w:before="0" w:after="0"/>
              <w:ind w:left="57" w:right="57"/>
              <w:jc w:val="left"/>
              <w:rPr>
                <w:b w:val="0"/>
              </w:rPr>
            </w:pPr>
            <w:r w:rsidRPr="004668F6">
              <w:rPr>
                <w:b w:val="0"/>
              </w:rPr>
              <w:t>1.</w:t>
            </w:r>
          </w:p>
        </w:tc>
        <w:tc>
          <w:tcPr>
            <w:tcW w:w="4376" w:type="dxa"/>
            <w:tcMar>
              <w:top w:w="57" w:type="dxa"/>
              <w:left w:w="57" w:type="dxa"/>
              <w:bottom w:w="57" w:type="dxa"/>
              <w:right w:w="57" w:type="dxa"/>
            </w:tcMar>
          </w:tcPr>
          <w:p w:rsidR="007018E8" w:rsidRPr="004668F6" w:rsidP="00257808" w14:paraId="0A28CA84" w14:textId="77777777">
            <w:pPr>
              <w:pStyle w:val="naisf"/>
              <w:spacing w:before="0" w:after="0"/>
              <w:ind w:left="57" w:right="57" w:firstLine="0"/>
              <w:jc w:val="left"/>
            </w:pPr>
            <w:r w:rsidRPr="004668F6">
              <w:t xml:space="preserve">Projekta izpildē iesaistītās institūcijas </w:t>
            </w:r>
          </w:p>
        </w:tc>
        <w:tc>
          <w:tcPr>
            <w:tcW w:w="5000" w:type="dxa"/>
            <w:tcMar>
              <w:top w:w="57" w:type="dxa"/>
              <w:left w:w="57" w:type="dxa"/>
              <w:bottom w:w="57" w:type="dxa"/>
              <w:right w:w="57" w:type="dxa"/>
            </w:tcMar>
          </w:tcPr>
          <w:p w:rsidR="007018E8" w:rsidRPr="004668F6" w:rsidP="00000121" w14:paraId="59EDD26A" w14:textId="77777777">
            <w:pPr>
              <w:jc w:val="both"/>
            </w:pPr>
            <w:r w:rsidRPr="00AE467F">
              <w:t>VRAA</w:t>
            </w:r>
            <w:r w:rsidR="007F6359">
              <w:t>, Projekta sadarbības partneri – VARAM, VZD, VBKB, VPVB, kā arī, EM, Centrālā statistikas pārvalde, Latvijas Jūras administrācija.</w:t>
            </w:r>
          </w:p>
        </w:tc>
      </w:tr>
      <w:tr w14:paraId="293A5098" w14:textId="77777777" w:rsidTr="00882641">
        <w:tblPrEx>
          <w:tblW w:w="10056" w:type="dxa"/>
          <w:tblInd w:w="-369" w:type="dxa"/>
          <w:tblCellMar>
            <w:top w:w="28" w:type="dxa"/>
            <w:left w:w="28" w:type="dxa"/>
            <w:bottom w:w="28" w:type="dxa"/>
            <w:right w:w="28" w:type="dxa"/>
          </w:tblCellMar>
          <w:tblLook w:val="0000"/>
        </w:tblPrEx>
        <w:trPr>
          <w:trHeight w:val="463"/>
        </w:trPr>
        <w:tc>
          <w:tcPr>
            <w:tcW w:w="680" w:type="dxa"/>
            <w:tcMar>
              <w:top w:w="57" w:type="dxa"/>
              <w:left w:w="57" w:type="dxa"/>
              <w:bottom w:w="57" w:type="dxa"/>
              <w:right w:w="57" w:type="dxa"/>
            </w:tcMar>
          </w:tcPr>
          <w:p w:rsidR="007018E8" w:rsidRPr="004668F6" w:rsidP="00257808" w14:paraId="16B4D051" w14:textId="77777777">
            <w:pPr>
              <w:pStyle w:val="naisnod"/>
              <w:spacing w:before="0" w:after="0"/>
              <w:ind w:left="57" w:right="57"/>
              <w:jc w:val="left"/>
              <w:rPr>
                <w:b w:val="0"/>
              </w:rPr>
            </w:pPr>
            <w:r w:rsidRPr="004668F6">
              <w:rPr>
                <w:b w:val="0"/>
              </w:rPr>
              <w:t>2.</w:t>
            </w:r>
          </w:p>
        </w:tc>
        <w:tc>
          <w:tcPr>
            <w:tcW w:w="4376" w:type="dxa"/>
            <w:tcMar>
              <w:top w:w="57" w:type="dxa"/>
              <w:left w:w="57" w:type="dxa"/>
              <w:bottom w:w="57" w:type="dxa"/>
              <w:right w:w="57" w:type="dxa"/>
            </w:tcMar>
          </w:tcPr>
          <w:p w:rsidR="007018E8" w:rsidRPr="004668F6" w:rsidP="00257808" w14:paraId="31A870F1" w14:textId="77777777">
            <w:pPr>
              <w:pStyle w:val="naisf"/>
              <w:spacing w:before="0" w:after="0"/>
              <w:ind w:left="57" w:right="57" w:firstLine="0"/>
              <w:jc w:val="left"/>
            </w:pPr>
            <w:r w:rsidRPr="004668F6">
              <w:t>Projekta izpildes ietekme uz pārvaldes funkcijām un institucionālo struktūru</w:t>
            </w:r>
          </w:p>
        </w:tc>
        <w:tc>
          <w:tcPr>
            <w:tcW w:w="5000" w:type="dxa"/>
            <w:tcMar>
              <w:top w:w="57" w:type="dxa"/>
              <w:left w:w="57" w:type="dxa"/>
              <w:bottom w:w="57" w:type="dxa"/>
              <w:right w:w="57" w:type="dxa"/>
            </w:tcMar>
          </w:tcPr>
          <w:p w:rsidR="007018E8" w:rsidRPr="004668F6" w:rsidP="00A50C7B" w14:paraId="2601AC43" w14:textId="1ED53A7D">
            <w:pPr>
              <w:pStyle w:val="naisnod"/>
              <w:spacing w:before="0" w:after="0"/>
              <w:ind w:right="57"/>
              <w:jc w:val="both"/>
              <w:rPr>
                <w:b w:val="0"/>
              </w:rPr>
            </w:pPr>
            <w:r>
              <w:rPr>
                <w:b w:val="0"/>
              </w:rPr>
              <w:t>Projekts šo jomu neskar</w:t>
            </w:r>
          </w:p>
        </w:tc>
      </w:tr>
      <w:tr w14:paraId="4FC05980" w14:textId="77777777" w:rsidTr="00882641">
        <w:tblPrEx>
          <w:tblW w:w="10056" w:type="dxa"/>
          <w:tblInd w:w="-369" w:type="dxa"/>
          <w:tblCellMar>
            <w:top w:w="28" w:type="dxa"/>
            <w:left w:w="28" w:type="dxa"/>
            <w:bottom w:w="28" w:type="dxa"/>
            <w:right w:w="28" w:type="dxa"/>
          </w:tblCellMar>
          <w:tblLook w:val="0000"/>
        </w:tblPrEx>
        <w:trPr>
          <w:trHeight w:val="476"/>
        </w:trPr>
        <w:tc>
          <w:tcPr>
            <w:tcW w:w="680" w:type="dxa"/>
            <w:tcMar>
              <w:top w:w="57" w:type="dxa"/>
              <w:left w:w="57" w:type="dxa"/>
              <w:bottom w:w="57" w:type="dxa"/>
              <w:right w:w="57" w:type="dxa"/>
            </w:tcMar>
          </w:tcPr>
          <w:p w:rsidR="007018E8" w:rsidRPr="004668F6" w:rsidP="00257808" w14:paraId="3D32B148" w14:textId="77777777">
            <w:pPr>
              <w:pStyle w:val="naiskr"/>
              <w:spacing w:before="0" w:after="0"/>
              <w:ind w:left="57" w:right="57"/>
            </w:pPr>
            <w:r w:rsidRPr="004668F6">
              <w:t>3.</w:t>
            </w:r>
          </w:p>
        </w:tc>
        <w:tc>
          <w:tcPr>
            <w:tcW w:w="4376" w:type="dxa"/>
            <w:tcMar>
              <w:top w:w="57" w:type="dxa"/>
              <w:left w:w="57" w:type="dxa"/>
              <w:bottom w:w="57" w:type="dxa"/>
              <w:right w:w="57" w:type="dxa"/>
            </w:tcMar>
          </w:tcPr>
          <w:p w:rsidR="007018E8" w:rsidRPr="004668F6" w:rsidP="00257808" w14:paraId="5CC7FDBB" w14:textId="77777777">
            <w:pPr>
              <w:pStyle w:val="naiskr"/>
              <w:spacing w:before="0" w:after="0"/>
              <w:ind w:left="57" w:right="57"/>
            </w:pPr>
            <w:r w:rsidRPr="004668F6">
              <w:t>Cita informācija</w:t>
            </w:r>
          </w:p>
        </w:tc>
        <w:tc>
          <w:tcPr>
            <w:tcW w:w="5000" w:type="dxa"/>
            <w:tcMar>
              <w:top w:w="57" w:type="dxa"/>
              <w:left w:w="57" w:type="dxa"/>
              <w:bottom w:w="57" w:type="dxa"/>
              <w:right w:w="57" w:type="dxa"/>
            </w:tcMar>
          </w:tcPr>
          <w:p w:rsidR="007018E8" w:rsidRPr="004668F6" w:rsidP="00257808" w14:paraId="7F5DE252" w14:textId="77777777">
            <w:pPr>
              <w:pStyle w:val="naiskr"/>
              <w:spacing w:before="0" w:after="0"/>
              <w:ind w:left="57" w:right="57"/>
            </w:pPr>
            <w:r w:rsidRPr="004668F6">
              <w:t>Nav</w:t>
            </w:r>
          </w:p>
        </w:tc>
      </w:tr>
    </w:tbl>
    <w:p w:rsidR="00155FC4" w:rsidRPr="004668F6" w:rsidP="00B51894" w14:paraId="21366B21" w14:textId="77777777">
      <w:pPr>
        <w:ind w:left="-426"/>
        <w:jc w:val="both"/>
      </w:pPr>
    </w:p>
    <w:p w:rsidR="002635DD" w:rsidRPr="004668F6" w:rsidP="00B51894" w14:paraId="3FB88C7B" w14:textId="77777777">
      <w:pPr>
        <w:ind w:left="-426"/>
        <w:jc w:val="both"/>
      </w:pPr>
      <w:r w:rsidRPr="004668F6">
        <w:t xml:space="preserve">Vides aizsardzības un </w:t>
      </w:r>
    </w:p>
    <w:p w:rsidR="00155FC4" w:rsidP="00112326" w14:paraId="25F22D11" w14:textId="77777777">
      <w:pPr>
        <w:ind w:left="-426"/>
        <w:jc w:val="both"/>
      </w:pPr>
      <w:r w:rsidRPr="004668F6">
        <w:t>r</w:t>
      </w:r>
      <w:r w:rsidRPr="004668F6" w:rsidR="000A5900">
        <w:t>eģ</w:t>
      </w:r>
      <w:r w:rsidRPr="004668F6" w:rsidR="006932BB">
        <w:t>ionālās attīstības ministrs</w:t>
      </w:r>
      <w:r w:rsidRPr="004668F6" w:rsidR="000A5900">
        <w:tab/>
      </w:r>
      <w:r w:rsidRPr="004668F6" w:rsidR="008D6DBC">
        <w:tab/>
      </w:r>
      <w:r w:rsidRPr="004668F6" w:rsidR="008D6DBC">
        <w:tab/>
      </w:r>
      <w:r w:rsidRPr="004668F6" w:rsidR="008D6DBC">
        <w:tab/>
      </w:r>
      <w:r w:rsidRPr="004668F6" w:rsidR="008D6DBC">
        <w:tab/>
      </w:r>
      <w:r w:rsidRPr="004668F6" w:rsidR="008D6DBC">
        <w:tab/>
      </w:r>
      <w:r w:rsidRPr="004668F6" w:rsidR="008D6DBC">
        <w:tab/>
      </w:r>
      <w:r w:rsidR="00112326">
        <w:t>K.Gerhards</w:t>
      </w:r>
    </w:p>
    <w:p w:rsidR="00112326" w:rsidRPr="004668F6" w:rsidP="00B51894" w14:paraId="56B7AB9B" w14:textId="77777777">
      <w:pPr>
        <w:ind w:left="-426"/>
      </w:pPr>
    </w:p>
    <w:p w:rsidR="00A565E8" w:rsidRPr="004668F6" w:rsidP="00B51894" w14:paraId="5F3F4F9E" w14:textId="77777777">
      <w:pPr>
        <w:ind w:left="-426"/>
      </w:pPr>
      <w:r w:rsidRPr="004668F6">
        <w:t>Vīza:</w:t>
      </w:r>
    </w:p>
    <w:p w:rsidR="00813888" w:rsidP="00813888" w14:paraId="1ADE5956" w14:textId="77777777">
      <w:pPr>
        <w:ind w:left="-426"/>
      </w:pPr>
      <w:r w:rsidRPr="004668F6">
        <w:t>valsts sekretār</w:t>
      </w:r>
      <w:r w:rsidR="00D976D6">
        <w:t>s</w:t>
      </w:r>
      <w:r w:rsidR="004C28CE">
        <w:t xml:space="preserve"> </w:t>
      </w:r>
      <w:r w:rsidRPr="004668F6">
        <w:tab/>
      </w:r>
      <w:r w:rsidRPr="004668F6">
        <w:tab/>
      </w:r>
      <w:r w:rsidRPr="004668F6">
        <w:tab/>
      </w:r>
      <w:r w:rsidRPr="004668F6">
        <w:tab/>
      </w:r>
      <w:r w:rsidRPr="004668F6">
        <w:tab/>
      </w:r>
      <w:r w:rsidRPr="004668F6">
        <w:tab/>
      </w:r>
      <w:r w:rsidRPr="004668F6">
        <w:tab/>
      </w:r>
      <w:r w:rsidRPr="004668F6">
        <w:tab/>
      </w:r>
      <w:r w:rsidR="00DF18BB">
        <w:t xml:space="preserve">            </w:t>
      </w:r>
      <w:r w:rsidR="00D976D6">
        <w:t>R</w:t>
      </w:r>
      <w:r w:rsidR="004C28CE">
        <w:t>.</w:t>
      </w:r>
      <w:r w:rsidR="00D976D6">
        <w:t>Muciņš</w:t>
      </w:r>
    </w:p>
    <w:p w:rsidR="005806F0" w:rsidP="00813888" w14:paraId="5F15F229" w14:textId="77777777">
      <w:pPr>
        <w:ind w:left="-426"/>
      </w:pPr>
    </w:p>
    <w:p w:rsidR="005806F0" w:rsidRPr="004668F6" w:rsidP="00813888" w14:paraId="67F7F864" w14:textId="77777777">
      <w:pPr>
        <w:ind w:left="-426"/>
      </w:pPr>
    </w:p>
    <w:p w:rsidR="00385B2E" w:rsidRPr="004668F6" w:rsidP="00B51894" w14:paraId="2F010AF1" w14:textId="77777777">
      <w:pPr>
        <w:ind w:left="-426"/>
      </w:pPr>
      <w:r w:rsidRPr="004668F6">
        <w:tab/>
      </w:r>
      <w:r w:rsidRPr="004668F6">
        <w:tab/>
      </w:r>
      <w:r w:rsidRPr="004668F6">
        <w:tab/>
      </w:r>
      <w:r w:rsidRPr="004668F6">
        <w:tab/>
      </w:r>
      <w:r w:rsidRPr="004668F6" w:rsidR="00B51894">
        <w:tab/>
      </w:r>
      <w:r w:rsidRPr="004668F6" w:rsidR="00B51894">
        <w:tab/>
      </w:r>
      <w:r w:rsidRPr="004668F6">
        <w:tab/>
      </w:r>
      <w:r w:rsidRPr="004668F6" w:rsidR="008D6DBC">
        <w:tab/>
      </w:r>
    </w:p>
    <w:p w:rsidR="002C2A27" w:rsidRPr="004668F6" w:rsidP="002C2A27" w14:paraId="560D87A1" w14:textId="77777777">
      <w:pPr>
        <w:rPr>
          <w:sz w:val="20"/>
          <w:szCs w:val="20"/>
        </w:rPr>
      </w:pPr>
      <w:r w:rsidRPr="004668F6">
        <w:rPr>
          <w:sz w:val="20"/>
          <w:szCs w:val="20"/>
        </w:rPr>
        <w:fldChar w:fldCharType="begin"/>
      </w:r>
      <w:r w:rsidRPr="004668F6">
        <w:rPr>
          <w:sz w:val="20"/>
          <w:szCs w:val="20"/>
        </w:rPr>
        <w:instrText xml:space="preserve"> DATE  \@ "dd.MM.yyyy H:mm"  \* MERGEFORMAT </w:instrText>
      </w:r>
      <w:r w:rsidRPr="004668F6">
        <w:rPr>
          <w:sz w:val="20"/>
          <w:szCs w:val="20"/>
        </w:rPr>
        <w:fldChar w:fldCharType="separate"/>
      </w:r>
      <w:r w:rsidR="000E51B5">
        <w:rPr>
          <w:noProof/>
          <w:sz w:val="20"/>
          <w:szCs w:val="20"/>
        </w:rPr>
        <w:t>22.08.2017 10:05</w:t>
      </w:r>
      <w:r w:rsidRPr="004668F6">
        <w:rPr>
          <w:sz w:val="20"/>
          <w:szCs w:val="20"/>
        </w:rPr>
        <w:fldChar w:fldCharType="end"/>
      </w:r>
    </w:p>
    <w:p w:rsidR="00141470" w:rsidRPr="004668F6" w:rsidP="00A56BA2" w14:paraId="601921A6" w14:textId="06E8391D">
      <w:pPr>
        <w:jc w:val="both"/>
        <w:rPr>
          <w:sz w:val="20"/>
          <w:szCs w:val="20"/>
        </w:rPr>
      </w:pPr>
      <w:r w:rsidRPr="004668F6">
        <w:rPr>
          <w:sz w:val="20"/>
          <w:szCs w:val="20"/>
        </w:rPr>
        <w:fldChar w:fldCharType="begin"/>
      </w:r>
      <w:r w:rsidRPr="004668F6">
        <w:rPr>
          <w:sz w:val="20"/>
          <w:szCs w:val="20"/>
        </w:rPr>
        <w:instrText xml:space="preserve"> NUMWORDS   \* MERGEFORMAT </w:instrText>
      </w:r>
      <w:r w:rsidRPr="004668F6">
        <w:rPr>
          <w:sz w:val="20"/>
          <w:szCs w:val="20"/>
        </w:rPr>
        <w:fldChar w:fldCharType="separate"/>
      </w:r>
      <w:r w:rsidR="00DE6DB9">
        <w:rPr>
          <w:noProof/>
          <w:sz w:val="20"/>
          <w:szCs w:val="20"/>
        </w:rPr>
        <w:t>17950</w:t>
      </w:r>
      <w:r w:rsidRPr="004668F6">
        <w:rPr>
          <w:sz w:val="20"/>
          <w:szCs w:val="20"/>
        </w:rPr>
        <w:fldChar w:fldCharType="end"/>
      </w:r>
      <w:r w:rsidR="001821CB">
        <w:rPr>
          <w:sz w:val="20"/>
          <w:szCs w:val="20"/>
        </w:rPr>
        <w:t>433</w:t>
      </w:r>
      <w:bookmarkStart w:id="0" w:name="_GoBack"/>
      <w:bookmarkEnd w:id="0"/>
    </w:p>
    <w:p w:rsidR="00497E79" w:rsidRPr="004668F6" w:rsidP="00A56BA2" w14:paraId="3F2CC84D" w14:textId="77777777">
      <w:pPr>
        <w:jc w:val="both"/>
        <w:rPr>
          <w:sz w:val="16"/>
          <w:szCs w:val="16"/>
        </w:rPr>
      </w:pPr>
    </w:p>
    <w:p w:rsidR="00112326" w:rsidP="00497E79" w14:paraId="340D1A80" w14:textId="77777777">
      <w:pPr>
        <w:rPr>
          <w:rStyle w:val="Hyperlink"/>
          <w:color w:val="auto"/>
          <w:sz w:val="16"/>
          <w:szCs w:val="16"/>
        </w:rPr>
      </w:pPr>
    </w:p>
    <w:p w:rsidR="00E25C0C" w:rsidP="00497E79" w14:paraId="75BE62E2" w14:textId="77777777">
      <w:pPr>
        <w:rPr>
          <w:rStyle w:val="Hyperlink"/>
          <w:color w:val="auto"/>
          <w:sz w:val="16"/>
          <w:szCs w:val="16"/>
        </w:rPr>
      </w:pPr>
    </w:p>
    <w:p w:rsidR="00112326" w:rsidRPr="00112326" w:rsidP="00112326" w14:paraId="23E475C2" w14:textId="77777777">
      <w:pPr>
        <w:spacing w:line="259" w:lineRule="auto"/>
        <w:rPr>
          <w:sz w:val="16"/>
          <w:szCs w:val="16"/>
        </w:rPr>
      </w:pPr>
      <w:r w:rsidRPr="00112326">
        <w:rPr>
          <w:sz w:val="16"/>
          <w:szCs w:val="16"/>
        </w:rPr>
        <w:t>Pintele</w:t>
      </w:r>
    </w:p>
    <w:p w:rsidR="00112326" w:rsidRPr="00112326" w:rsidP="00112326" w14:paraId="0E865E7C" w14:textId="77777777">
      <w:pPr>
        <w:spacing w:line="259" w:lineRule="auto"/>
        <w:rPr>
          <w:sz w:val="16"/>
          <w:szCs w:val="16"/>
        </w:rPr>
      </w:pPr>
      <w:r w:rsidRPr="00112326">
        <w:rPr>
          <w:sz w:val="16"/>
          <w:szCs w:val="16"/>
        </w:rPr>
        <w:t>67026494,</w:t>
      </w:r>
    </w:p>
    <w:p w:rsidR="00112326" w:rsidRPr="00112326" w:rsidP="00112326" w14:paraId="53E367B4" w14:textId="77777777">
      <w:pPr>
        <w:spacing w:line="259" w:lineRule="auto"/>
        <w:rPr>
          <w:sz w:val="16"/>
          <w:szCs w:val="16"/>
        </w:rPr>
      </w:pPr>
      <w:r>
        <w:fldChar w:fldCharType="begin"/>
      </w:r>
      <w:r>
        <w:instrText xml:space="preserve"> HYPERLINK "mailto:Maija.pintele@varam.gov.lv" </w:instrText>
      </w:r>
      <w:r>
        <w:fldChar w:fldCharType="separate"/>
      </w:r>
      <w:r w:rsidRPr="00112326">
        <w:rPr>
          <w:rStyle w:val="Hyperlink"/>
          <w:sz w:val="16"/>
          <w:szCs w:val="16"/>
        </w:rPr>
        <w:t>Maija.pintele@varam.gov.lv</w:t>
      </w:r>
      <w:r>
        <w:fldChar w:fldCharType="end"/>
      </w:r>
      <w:r w:rsidRPr="00112326">
        <w:rPr>
          <w:sz w:val="16"/>
          <w:szCs w:val="16"/>
        </w:rPr>
        <w:t xml:space="preserve"> </w:t>
      </w:r>
    </w:p>
    <w:p w:rsidR="00D83959" w:rsidP="00112326" w14:paraId="560E481F" w14:textId="77777777">
      <w:pPr>
        <w:rPr>
          <w:bCs/>
          <w:sz w:val="16"/>
          <w:szCs w:val="16"/>
        </w:rPr>
      </w:pPr>
    </w:p>
    <w:p w:rsidR="00112326" w:rsidRPr="00112326" w:rsidP="00112326" w14:paraId="7CF19E08" w14:textId="77777777">
      <w:pPr>
        <w:rPr>
          <w:bCs/>
          <w:sz w:val="16"/>
          <w:szCs w:val="16"/>
        </w:rPr>
      </w:pPr>
      <w:r w:rsidRPr="00112326">
        <w:rPr>
          <w:bCs/>
          <w:sz w:val="16"/>
          <w:szCs w:val="16"/>
        </w:rPr>
        <w:t>Putniņš</w:t>
      </w:r>
      <w:r w:rsidR="00DC096C">
        <w:rPr>
          <w:bCs/>
          <w:sz w:val="16"/>
          <w:szCs w:val="16"/>
        </w:rPr>
        <w:t xml:space="preserve">, </w:t>
      </w:r>
      <w:r w:rsidRPr="00112326">
        <w:rPr>
          <w:bCs/>
          <w:sz w:val="16"/>
          <w:szCs w:val="16"/>
        </w:rPr>
        <w:t>66164659,</w:t>
      </w:r>
    </w:p>
    <w:p w:rsidR="00601A76" w:rsidRPr="004668F6" w:rsidP="00112326" w14:paraId="5C4891C4" w14:textId="77777777">
      <w:r>
        <w:fldChar w:fldCharType="begin"/>
      </w:r>
      <w:r>
        <w:instrText xml:space="preserve"> HYPERLINK "mailto:andris.putnins@vraa.gov.lv" </w:instrText>
      </w:r>
      <w:r>
        <w:fldChar w:fldCharType="separate"/>
      </w:r>
      <w:r w:rsidRPr="00112326" w:rsidR="00112326">
        <w:rPr>
          <w:rStyle w:val="Hyperlink"/>
          <w:bCs/>
          <w:sz w:val="16"/>
          <w:szCs w:val="16"/>
        </w:rPr>
        <w:t>andris.putnins@vraa.gov.lv</w:t>
      </w:r>
      <w:r>
        <w:fldChar w:fldCharType="end"/>
      </w:r>
      <w:r w:rsidRPr="00112326" w:rsidR="00112326">
        <w:rPr>
          <w:bCs/>
          <w:sz w:val="16"/>
          <w:szCs w:val="16"/>
        </w:rPr>
        <w:t xml:space="preserve"> </w:t>
      </w:r>
    </w:p>
    <w:sectPr w:rsidSect="000A38C1">
      <w:headerReference w:type="default" r:id="rId5"/>
      <w:footerReference w:type="default" r:id="rId6"/>
      <w:footerReference w:type="first" r:id="rId7"/>
      <w:pgSz w:w="11907" w:h="16839" w:code="9"/>
      <w:pgMar w:top="1276" w:right="1275" w:bottom="1134" w:left="1701"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entury Schoolbook">
    <w:altName w:val="Century"/>
    <w:panose1 w:val="0204060405050502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1CB" w:rsidRPr="002D1FC2" w:rsidP="002D1FC2" w14:paraId="7D1D7827" w14:textId="3D0AE1FE">
    <w:pPr>
      <w:pStyle w:val="Footer"/>
      <w:jc w:val="both"/>
    </w:pPr>
    <w:r w:rsidRPr="00202B4A">
      <w:rPr>
        <w:sz w:val="20"/>
        <w:szCs w:val="20"/>
      </w:rPr>
      <w:t>VARAMAnotac_</w:t>
    </w:r>
    <w:r>
      <w:rPr>
        <w:sz w:val="20"/>
        <w:szCs w:val="20"/>
      </w:rPr>
      <w:t>2108</w:t>
    </w:r>
    <w:r w:rsidRPr="00202B4A">
      <w:rPr>
        <w:sz w:val="20"/>
        <w:szCs w:val="20"/>
      </w:rPr>
      <w:t>1</w:t>
    </w:r>
    <w:r>
      <w:rPr>
        <w:sz w:val="20"/>
        <w:szCs w:val="20"/>
      </w:rPr>
      <w:t>7</w:t>
    </w:r>
    <w:r w:rsidRPr="00202B4A">
      <w:rPr>
        <w:sz w:val="20"/>
        <w:szCs w:val="20"/>
      </w:rPr>
      <w:t>_</w:t>
    </w:r>
    <w:r>
      <w:rPr>
        <w:sz w:val="20"/>
        <w:szCs w:val="20"/>
      </w:rPr>
      <w:t>MA 15.0_VRAA TAPIS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1CB" w:rsidRPr="0021712F" w:rsidP="00281452" w14:paraId="4132101B" w14:textId="3C5B69D2">
    <w:pPr>
      <w:jc w:val="both"/>
    </w:pPr>
    <w:r w:rsidRPr="00202B4A">
      <w:rPr>
        <w:sz w:val="20"/>
        <w:szCs w:val="20"/>
      </w:rPr>
      <w:t>VARAMAnotac_</w:t>
    </w:r>
    <w:r>
      <w:rPr>
        <w:sz w:val="20"/>
        <w:szCs w:val="20"/>
      </w:rPr>
      <w:t>2108</w:t>
    </w:r>
    <w:r w:rsidRPr="00202B4A">
      <w:rPr>
        <w:sz w:val="20"/>
        <w:szCs w:val="20"/>
      </w:rPr>
      <w:t>1</w:t>
    </w:r>
    <w:r>
      <w:rPr>
        <w:sz w:val="20"/>
        <w:szCs w:val="20"/>
      </w:rPr>
      <w:t>7</w:t>
    </w:r>
    <w:r w:rsidRPr="00202B4A">
      <w:rPr>
        <w:sz w:val="20"/>
        <w:szCs w:val="20"/>
      </w:rPr>
      <w:t>_</w:t>
    </w:r>
    <w:r>
      <w:rPr>
        <w:sz w:val="20"/>
        <w:szCs w:val="20"/>
      </w:rPr>
      <w:t>MA 15.0_VRAA TAPIS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1CB" w14:paraId="1F5F810C" w14:textId="77777777">
    <w:pPr>
      <w:pStyle w:val="Header"/>
      <w:jc w:val="center"/>
    </w:pPr>
    <w:r>
      <w:fldChar w:fldCharType="begin"/>
    </w:r>
    <w:r>
      <w:instrText xml:space="preserve"> PAGE   \* MERGEFORMAT </w:instrText>
    </w:r>
    <w:r>
      <w:fldChar w:fldCharType="separate"/>
    </w:r>
    <w:r w:rsidR="000E51B5">
      <w:rPr>
        <w:noProof/>
      </w:rPr>
      <w:t>12</w:t>
    </w:r>
    <w:r>
      <w:fldChar w:fldCharType="end"/>
    </w:r>
  </w:p>
  <w:p w:rsidR="001821CB" w14:paraId="2DE66C6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DF104D"/>
    <w:multiLevelType w:val="hybridMultilevel"/>
    <w:tmpl w:val="FD181E4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AF62930"/>
    <w:multiLevelType w:val="hybridMultilevel"/>
    <w:tmpl w:val="851E6E1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B556A82"/>
    <w:multiLevelType w:val="hybridMultilevel"/>
    <w:tmpl w:val="B790A226"/>
    <w:lvl w:ilvl="0">
      <w:start w:val="1"/>
      <w:numFmt w:val="decimal"/>
      <w:lvlText w:val="%1."/>
      <w:lvlJc w:val="left"/>
      <w:pPr>
        <w:ind w:left="360" w:hanging="360"/>
      </w:p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E5B6A3D"/>
    <w:multiLevelType w:val="hybridMultilevel"/>
    <w:tmpl w:val="D57A2116"/>
    <w:lvl w:ilvl="0">
      <w:start w:val="1"/>
      <w:numFmt w:val="bullet"/>
      <w:lvlText w:val=""/>
      <w:lvlJc w:val="left"/>
      <w:pPr>
        <w:ind w:left="720" w:hanging="360"/>
      </w:pPr>
      <w:rPr>
        <w:rFonts w:ascii="Wingdings" w:hAnsi="Wingdings" w:cs="Wingdings" w:hint="default"/>
        <w:color w:val="C00000"/>
        <w:sz w:val="32"/>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63C3725"/>
    <w:multiLevelType w:val="hybridMultilevel"/>
    <w:tmpl w:val="7450B5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1B97E19"/>
    <w:multiLevelType w:val="hybridMultilevel"/>
    <w:tmpl w:val="C826F7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8C53829"/>
    <w:multiLevelType w:val="hybridMultilevel"/>
    <w:tmpl w:val="78F4B824"/>
    <w:lvl w:ilvl="0">
      <w:start w:val="1"/>
      <w:numFmt w:val="decimal"/>
      <w:pStyle w:val="Style1"/>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0">
    <w:nsid w:val="2B2605FF"/>
    <w:multiLevelType w:val="hybridMultilevel"/>
    <w:tmpl w:val="A69C61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CAF6D9C"/>
    <w:multiLevelType w:val="hybridMultilevel"/>
    <w:tmpl w:val="E35251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D217459"/>
    <w:multiLevelType w:val="hybridMultilevel"/>
    <w:tmpl w:val="479A6E82"/>
    <w:lvl w:ilvl="0">
      <w:start w:val="1"/>
      <w:numFmt w:val="decimal"/>
      <w:lvlText w:val="%1."/>
      <w:lvlJc w:val="left"/>
      <w:pPr>
        <w:ind w:left="360" w:hanging="360"/>
      </w:p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30D80358"/>
    <w:multiLevelType w:val="hybridMultilevel"/>
    <w:tmpl w:val="EA660C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38772ED"/>
    <w:multiLevelType w:val="hybridMultilevel"/>
    <w:tmpl w:val="AB544708"/>
    <w:lvl w:ilvl="0">
      <w:start w:val="1"/>
      <w:numFmt w:val="bullet"/>
      <w:lvlText w:val=""/>
      <w:lvlJc w:val="left"/>
      <w:pPr>
        <w:ind w:left="720" w:hanging="360"/>
      </w:pPr>
      <w:rPr>
        <w:rFonts w:ascii="Wingdings" w:hAnsi="Wingdings" w:cs="Wingdings" w:hint="default"/>
        <w:color w:val="C00000"/>
        <w:sz w:val="32"/>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4097873"/>
    <w:multiLevelType w:val="hybridMultilevel"/>
    <w:tmpl w:val="637E2EC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60472BC"/>
    <w:multiLevelType w:val="hybridMultilevel"/>
    <w:tmpl w:val="B0E27A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8990149"/>
    <w:multiLevelType w:val="hybridMultilevel"/>
    <w:tmpl w:val="0AB4EC3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3995526B"/>
    <w:multiLevelType w:val="hybridMultilevel"/>
    <w:tmpl w:val="2948F98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3B6F62BE"/>
    <w:multiLevelType w:val="hybridMultilevel"/>
    <w:tmpl w:val="7C8EF27E"/>
    <w:lvl w:ilvl="0">
      <w:start w:val="1"/>
      <w:numFmt w:val="decimal"/>
      <w:lvlText w:val="%1."/>
      <w:lvlJc w:val="left"/>
      <w:pPr>
        <w:ind w:left="720" w:hanging="360"/>
      </w:pPr>
      <w:rPr>
        <w:rFonts w:hint="default"/>
        <w:color w:val="auto"/>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F3E7136"/>
    <w:multiLevelType w:val="hybridMultilevel"/>
    <w:tmpl w:val="12127D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1F21C65"/>
    <w:multiLevelType w:val="hybridMultilevel"/>
    <w:tmpl w:val="0C1289D6"/>
    <w:lvl w:ilvl="0">
      <w:start w:val="1"/>
      <w:numFmt w:val="bullet"/>
      <w:lvlText w:val=""/>
      <w:lvlJc w:val="left"/>
      <w:pPr>
        <w:ind w:left="720" w:hanging="360"/>
      </w:pPr>
      <w:rPr>
        <w:rFonts w:ascii="Wingdings" w:hAnsi="Wingdings" w:hint="default"/>
        <w:color w:val="C00000"/>
        <w:sz w:val="32"/>
        <w:szCs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2185FCB"/>
    <w:multiLevelType w:val="hybridMultilevel"/>
    <w:tmpl w:val="639E0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36B6753"/>
    <w:multiLevelType w:val="hybridMultilevel"/>
    <w:tmpl w:val="CFAEF4F4"/>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BE2311B"/>
    <w:multiLevelType w:val="hybridMultilevel"/>
    <w:tmpl w:val="6C1A95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19F5C4A"/>
    <w:multiLevelType w:val="hybridMultilevel"/>
    <w:tmpl w:val="72C0C9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2022AAE"/>
    <w:multiLevelType w:val="hybridMultilevel"/>
    <w:tmpl w:val="52D8C1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64240EBE"/>
    <w:multiLevelType w:val="hybridMultilevel"/>
    <w:tmpl w:val="1F9624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5CE5F26"/>
    <w:multiLevelType w:val="hybridMultilevel"/>
    <w:tmpl w:val="E110CFEC"/>
    <w:lvl w:ilvl="0">
      <w:start w:val="1"/>
      <w:numFmt w:val="bullet"/>
      <w:lvlText w:val=""/>
      <w:lvlJc w:val="left"/>
      <w:pPr>
        <w:ind w:left="720" w:hanging="360"/>
      </w:pPr>
      <w:rPr>
        <w:rFonts w:ascii="Wingdings" w:hAnsi="Wingdings" w:cs="Wingdings" w:hint="default"/>
        <w:color w:val="C00000"/>
        <w:sz w:val="32"/>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80431DC"/>
    <w:multiLevelType w:val="hybridMultilevel"/>
    <w:tmpl w:val="275EA0C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6B7544A5"/>
    <w:multiLevelType w:val="hybridMultilevel"/>
    <w:tmpl w:val="DD22EC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07B6EDA"/>
    <w:multiLevelType w:val="hybridMultilevel"/>
    <w:tmpl w:val="E5162326"/>
    <w:lvl w:ilvl="0">
      <w:start w:val="1"/>
      <w:numFmt w:val="bullet"/>
      <w:lvlText w:val=""/>
      <w:lvlJc w:val="left"/>
      <w:pPr>
        <w:ind w:left="720" w:hanging="360"/>
      </w:pPr>
      <w:rPr>
        <w:rFonts w:ascii="Wingdings" w:hAnsi="Wingdings" w:cs="Wingdings" w:hint="default"/>
        <w:color w:val="C00000"/>
        <w:sz w:val="32"/>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3">
    <w:nsid w:val="7ACD6441"/>
    <w:multiLevelType w:val="hybridMultilevel"/>
    <w:tmpl w:val="AA3A0654"/>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9"/>
  </w:num>
  <w:num w:numId="3">
    <w:abstractNumId w:val="8"/>
  </w:num>
  <w:num w:numId="4">
    <w:abstractNumId w:val="26"/>
  </w:num>
  <w:num w:numId="5">
    <w:abstractNumId w:val="32"/>
  </w:num>
  <w:num w:numId="6">
    <w:abstractNumId w:val="15"/>
  </w:num>
  <w:num w:numId="7">
    <w:abstractNumId w:val="2"/>
  </w:num>
  <w:num w:numId="8">
    <w:abstractNumId w:val="16"/>
  </w:num>
  <w:num w:numId="9">
    <w:abstractNumId w:val="2"/>
  </w:num>
  <w:num w:numId="10">
    <w:abstractNumId w:val="13"/>
  </w:num>
  <w:num w:numId="11">
    <w:abstractNumId w:val="17"/>
  </w:num>
  <w:num w:numId="12">
    <w:abstractNumId w:val="3"/>
  </w:num>
  <w:num w:numId="13">
    <w:abstractNumId w:val="0"/>
  </w:num>
  <w:num w:numId="14">
    <w:abstractNumId w:val="14"/>
  </w:num>
  <w:num w:numId="15">
    <w:abstractNumId w:val="21"/>
  </w:num>
  <w:num w:numId="16">
    <w:abstractNumId w:val="29"/>
  </w:num>
  <w:num w:numId="17">
    <w:abstractNumId w:val="31"/>
  </w:num>
  <w:num w:numId="18">
    <w:abstractNumId w:val="28"/>
  </w:num>
  <w:num w:numId="19">
    <w:abstractNumId w:val="5"/>
  </w:num>
  <w:num w:numId="20">
    <w:abstractNumId w:val="18"/>
  </w:num>
  <w:num w:numId="21">
    <w:abstractNumId w:val="7"/>
  </w:num>
  <w:num w:numId="22">
    <w:abstractNumId w:val="27"/>
  </w:num>
  <w:num w:numId="23">
    <w:abstractNumId w:val="4"/>
  </w:num>
  <w:num w:numId="24">
    <w:abstractNumId w:val="12"/>
  </w:num>
  <w:num w:numId="25">
    <w:abstractNumId w:val="23"/>
  </w:num>
  <w:num w:numId="26">
    <w:abstractNumId w:val="24"/>
  </w:num>
  <w:num w:numId="27">
    <w:abstractNumId w:val="20"/>
  </w:num>
  <w:num w:numId="28">
    <w:abstractNumId w:val="10"/>
  </w:num>
  <w:num w:numId="29">
    <w:abstractNumId w:val="30"/>
  </w:num>
  <w:num w:numId="30">
    <w:abstractNumId w:val="2"/>
  </w:num>
  <w:num w:numId="31">
    <w:abstractNumId w:val="31"/>
  </w:num>
  <w:num w:numId="32">
    <w:abstractNumId w:val="28"/>
  </w:num>
  <w:num w:numId="33">
    <w:abstractNumId w:val="5"/>
  </w:num>
  <w:num w:numId="34">
    <w:abstractNumId w:val="11"/>
  </w:num>
  <w:num w:numId="35">
    <w:abstractNumId w:val="33"/>
  </w:num>
  <w:num w:numId="36">
    <w:abstractNumId w:val="25"/>
  </w:num>
  <w:num w:numId="37">
    <w:abstractNumId w:val="6"/>
  </w:num>
  <w:num w:numId="38">
    <w:abstractNumId w:val="22"/>
  </w:num>
  <w:num w:numId="3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comments="1" w:formatting="1" w:inkAnnotations="0" w:insDel="1" w:markup="1"/>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E8"/>
    <w:rsid w:val="00000121"/>
    <w:rsid w:val="00002470"/>
    <w:rsid w:val="0000279E"/>
    <w:rsid w:val="00005D22"/>
    <w:rsid w:val="00006D90"/>
    <w:rsid w:val="000115B5"/>
    <w:rsid w:val="00016EB1"/>
    <w:rsid w:val="00017486"/>
    <w:rsid w:val="00020DC3"/>
    <w:rsid w:val="0002284A"/>
    <w:rsid w:val="00023A03"/>
    <w:rsid w:val="00024124"/>
    <w:rsid w:val="00024BB4"/>
    <w:rsid w:val="00025AD8"/>
    <w:rsid w:val="00027571"/>
    <w:rsid w:val="0002781D"/>
    <w:rsid w:val="00031459"/>
    <w:rsid w:val="00031F4F"/>
    <w:rsid w:val="00033EF5"/>
    <w:rsid w:val="0003612E"/>
    <w:rsid w:val="00036F50"/>
    <w:rsid w:val="000403ED"/>
    <w:rsid w:val="00041C07"/>
    <w:rsid w:val="000437EE"/>
    <w:rsid w:val="00043B9C"/>
    <w:rsid w:val="0004545A"/>
    <w:rsid w:val="00045571"/>
    <w:rsid w:val="00046613"/>
    <w:rsid w:val="00047BD8"/>
    <w:rsid w:val="00050DCB"/>
    <w:rsid w:val="00051170"/>
    <w:rsid w:val="000523FB"/>
    <w:rsid w:val="00052BB2"/>
    <w:rsid w:val="000533F3"/>
    <w:rsid w:val="000539DF"/>
    <w:rsid w:val="00054EAA"/>
    <w:rsid w:val="00054FDC"/>
    <w:rsid w:val="00060326"/>
    <w:rsid w:val="000612AA"/>
    <w:rsid w:val="0006361C"/>
    <w:rsid w:val="00063C53"/>
    <w:rsid w:val="00064EFD"/>
    <w:rsid w:val="00067812"/>
    <w:rsid w:val="00071474"/>
    <w:rsid w:val="0007149C"/>
    <w:rsid w:val="00074328"/>
    <w:rsid w:val="0007470E"/>
    <w:rsid w:val="00074A22"/>
    <w:rsid w:val="00075B36"/>
    <w:rsid w:val="00077021"/>
    <w:rsid w:val="000772E5"/>
    <w:rsid w:val="00084862"/>
    <w:rsid w:val="00090216"/>
    <w:rsid w:val="00092118"/>
    <w:rsid w:val="00092240"/>
    <w:rsid w:val="00092D55"/>
    <w:rsid w:val="000935C0"/>
    <w:rsid w:val="00094F92"/>
    <w:rsid w:val="000978F2"/>
    <w:rsid w:val="0009794A"/>
    <w:rsid w:val="000979EB"/>
    <w:rsid w:val="000A089B"/>
    <w:rsid w:val="000A0C78"/>
    <w:rsid w:val="000A15FF"/>
    <w:rsid w:val="000A2606"/>
    <w:rsid w:val="000A2CB4"/>
    <w:rsid w:val="000A38C1"/>
    <w:rsid w:val="000A5900"/>
    <w:rsid w:val="000A6E89"/>
    <w:rsid w:val="000A7D2D"/>
    <w:rsid w:val="000B0CAA"/>
    <w:rsid w:val="000B21FF"/>
    <w:rsid w:val="000B22EF"/>
    <w:rsid w:val="000B5BD8"/>
    <w:rsid w:val="000B7E0A"/>
    <w:rsid w:val="000C085F"/>
    <w:rsid w:val="000C10FB"/>
    <w:rsid w:val="000C1D83"/>
    <w:rsid w:val="000C2D68"/>
    <w:rsid w:val="000C2E55"/>
    <w:rsid w:val="000C2FEF"/>
    <w:rsid w:val="000C325B"/>
    <w:rsid w:val="000C3D86"/>
    <w:rsid w:val="000C4027"/>
    <w:rsid w:val="000C4562"/>
    <w:rsid w:val="000C4D86"/>
    <w:rsid w:val="000D0F56"/>
    <w:rsid w:val="000D17C5"/>
    <w:rsid w:val="000D1B61"/>
    <w:rsid w:val="000D2EF6"/>
    <w:rsid w:val="000D45A2"/>
    <w:rsid w:val="000D5525"/>
    <w:rsid w:val="000D6DA6"/>
    <w:rsid w:val="000E2EB6"/>
    <w:rsid w:val="000E3C2D"/>
    <w:rsid w:val="000E4DC9"/>
    <w:rsid w:val="000E51B5"/>
    <w:rsid w:val="000E68EE"/>
    <w:rsid w:val="000E7240"/>
    <w:rsid w:val="000E7F98"/>
    <w:rsid w:val="000F02F6"/>
    <w:rsid w:val="000F03AC"/>
    <w:rsid w:val="000F0672"/>
    <w:rsid w:val="000F1634"/>
    <w:rsid w:val="000F1A94"/>
    <w:rsid w:val="000F4451"/>
    <w:rsid w:val="000F5956"/>
    <w:rsid w:val="000F5C7E"/>
    <w:rsid w:val="000F64E1"/>
    <w:rsid w:val="000F7F4F"/>
    <w:rsid w:val="00101D63"/>
    <w:rsid w:val="00105459"/>
    <w:rsid w:val="00107AEF"/>
    <w:rsid w:val="00112326"/>
    <w:rsid w:val="00112A34"/>
    <w:rsid w:val="0011372A"/>
    <w:rsid w:val="00113E67"/>
    <w:rsid w:val="00115304"/>
    <w:rsid w:val="001161CF"/>
    <w:rsid w:val="00124A21"/>
    <w:rsid w:val="001265A2"/>
    <w:rsid w:val="00126E45"/>
    <w:rsid w:val="00133BBF"/>
    <w:rsid w:val="001349DD"/>
    <w:rsid w:val="00134B00"/>
    <w:rsid w:val="00135B3A"/>
    <w:rsid w:val="00136164"/>
    <w:rsid w:val="00137314"/>
    <w:rsid w:val="00141470"/>
    <w:rsid w:val="001423B7"/>
    <w:rsid w:val="001429CA"/>
    <w:rsid w:val="00143EE5"/>
    <w:rsid w:val="001456B5"/>
    <w:rsid w:val="00146079"/>
    <w:rsid w:val="00146F46"/>
    <w:rsid w:val="00147976"/>
    <w:rsid w:val="0015215D"/>
    <w:rsid w:val="00152253"/>
    <w:rsid w:val="001526E2"/>
    <w:rsid w:val="001528BF"/>
    <w:rsid w:val="00153E62"/>
    <w:rsid w:val="00154B1B"/>
    <w:rsid w:val="00155FAF"/>
    <w:rsid w:val="00155FC4"/>
    <w:rsid w:val="0015679D"/>
    <w:rsid w:val="00157CF5"/>
    <w:rsid w:val="001605CE"/>
    <w:rsid w:val="00160A8D"/>
    <w:rsid w:val="00160B0E"/>
    <w:rsid w:val="00161B5D"/>
    <w:rsid w:val="0016259D"/>
    <w:rsid w:val="0016287C"/>
    <w:rsid w:val="0016560B"/>
    <w:rsid w:val="00167BEA"/>
    <w:rsid w:val="00167FF9"/>
    <w:rsid w:val="0017092D"/>
    <w:rsid w:val="001715EC"/>
    <w:rsid w:val="00172186"/>
    <w:rsid w:val="001729DB"/>
    <w:rsid w:val="001730DF"/>
    <w:rsid w:val="00173237"/>
    <w:rsid w:val="001744E1"/>
    <w:rsid w:val="001774F8"/>
    <w:rsid w:val="00177D39"/>
    <w:rsid w:val="00180511"/>
    <w:rsid w:val="001821CB"/>
    <w:rsid w:val="001875B7"/>
    <w:rsid w:val="001912E4"/>
    <w:rsid w:val="001915B0"/>
    <w:rsid w:val="00191A4B"/>
    <w:rsid w:val="00192746"/>
    <w:rsid w:val="00193CAA"/>
    <w:rsid w:val="00193ED7"/>
    <w:rsid w:val="001A1418"/>
    <w:rsid w:val="001A1468"/>
    <w:rsid w:val="001A14AF"/>
    <w:rsid w:val="001A163E"/>
    <w:rsid w:val="001A1F58"/>
    <w:rsid w:val="001A1F84"/>
    <w:rsid w:val="001A4B81"/>
    <w:rsid w:val="001A4CB4"/>
    <w:rsid w:val="001A6A19"/>
    <w:rsid w:val="001A728F"/>
    <w:rsid w:val="001A7D46"/>
    <w:rsid w:val="001A7E70"/>
    <w:rsid w:val="001B1193"/>
    <w:rsid w:val="001B64B1"/>
    <w:rsid w:val="001C2319"/>
    <w:rsid w:val="001C2594"/>
    <w:rsid w:val="001C3EC6"/>
    <w:rsid w:val="001C57F1"/>
    <w:rsid w:val="001C7616"/>
    <w:rsid w:val="001D17AB"/>
    <w:rsid w:val="001D19C2"/>
    <w:rsid w:val="001D26C0"/>
    <w:rsid w:val="001D73C8"/>
    <w:rsid w:val="001D7407"/>
    <w:rsid w:val="001E09C2"/>
    <w:rsid w:val="001E1731"/>
    <w:rsid w:val="001E1FA4"/>
    <w:rsid w:val="001E28D1"/>
    <w:rsid w:val="001E311E"/>
    <w:rsid w:val="001E4DF6"/>
    <w:rsid w:val="001E6828"/>
    <w:rsid w:val="001E6D75"/>
    <w:rsid w:val="001F0508"/>
    <w:rsid w:val="001F0D69"/>
    <w:rsid w:val="001F1969"/>
    <w:rsid w:val="001F24B1"/>
    <w:rsid w:val="001F3A04"/>
    <w:rsid w:val="001F5F63"/>
    <w:rsid w:val="001F746B"/>
    <w:rsid w:val="00200C4C"/>
    <w:rsid w:val="0020106F"/>
    <w:rsid w:val="002018AC"/>
    <w:rsid w:val="002019DC"/>
    <w:rsid w:val="00202B4A"/>
    <w:rsid w:val="002030B7"/>
    <w:rsid w:val="002032A5"/>
    <w:rsid w:val="00204E41"/>
    <w:rsid w:val="002059EB"/>
    <w:rsid w:val="00205EE7"/>
    <w:rsid w:val="00207EE6"/>
    <w:rsid w:val="00210BD4"/>
    <w:rsid w:val="002135D4"/>
    <w:rsid w:val="00213AD8"/>
    <w:rsid w:val="00213B97"/>
    <w:rsid w:val="002140B6"/>
    <w:rsid w:val="00214593"/>
    <w:rsid w:val="002157A4"/>
    <w:rsid w:val="00216776"/>
    <w:rsid w:val="0021712F"/>
    <w:rsid w:val="00220CDE"/>
    <w:rsid w:val="0022151E"/>
    <w:rsid w:val="00221684"/>
    <w:rsid w:val="00221D7B"/>
    <w:rsid w:val="00222785"/>
    <w:rsid w:val="00226E8D"/>
    <w:rsid w:val="0022726E"/>
    <w:rsid w:val="00232632"/>
    <w:rsid w:val="00234E4D"/>
    <w:rsid w:val="00235C14"/>
    <w:rsid w:val="00236F52"/>
    <w:rsid w:val="0023720F"/>
    <w:rsid w:val="002425DD"/>
    <w:rsid w:val="002438DE"/>
    <w:rsid w:val="002456F7"/>
    <w:rsid w:val="00245E84"/>
    <w:rsid w:val="00246565"/>
    <w:rsid w:val="0024678F"/>
    <w:rsid w:val="00246BEE"/>
    <w:rsid w:val="00247CE0"/>
    <w:rsid w:val="002504B4"/>
    <w:rsid w:val="00251A6C"/>
    <w:rsid w:val="00254343"/>
    <w:rsid w:val="00254371"/>
    <w:rsid w:val="002549A8"/>
    <w:rsid w:val="00256916"/>
    <w:rsid w:val="00257785"/>
    <w:rsid w:val="00257808"/>
    <w:rsid w:val="00260A4B"/>
    <w:rsid w:val="00261807"/>
    <w:rsid w:val="00262035"/>
    <w:rsid w:val="00262046"/>
    <w:rsid w:val="002626CB"/>
    <w:rsid w:val="002635DD"/>
    <w:rsid w:val="0026395B"/>
    <w:rsid w:val="00265132"/>
    <w:rsid w:val="002658A9"/>
    <w:rsid w:val="002671B5"/>
    <w:rsid w:val="00267422"/>
    <w:rsid w:val="00271D04"/>
    <w:rsid w:val="002725CA"/>
    <w:rsid w:val="00273AE2"/>
    <w:rsid w:val="00274C16"/>
    <w:rsid w:val="00276CE7"/>
    <w:rsid w:val="00277B6E"/>
    <w:rsid w:val="0028133E"/>
    <w:rsid w:val="00281452"/>
    <w:rsid w:val="002814AE"/>
    <w:rsid w:val="00281DB4"/>
    <w:rsid w:val="00282259"/>
    <w:rsid w:val="0028505A"/>
    <w:rsid w:val="00286D65"/>
    <w:rsid w:val="00290785"/>
    <w:rsid w:val="0029087F"/>
    <w:rsid w:val="00290AA7"/>
    <w:rsid w:val="00290D13"/>
    <w:rsid w:val="00293105"/>
    <w:rsid w:val="002941DA"/>
    <w:rsid w:val="00294E2D"/>
    <w:rsid w:val="00295A90"/>
    <w:rsid w:val="00295AD3"/>
    <w:rsid w:val="00295BEF"/>
    <w:rsid w:val="0029696A"/>
    <w:rsid w:val="00297101"/>
    <w:rsid w:val="002A38EB"/>
    <w:rsid w:val="002A4B27"/>
    <w:rsid w:val="002A56AC"/>
    <w:rsid w:val="002A6279"/>
    <w:rsid w:val="002A69ED"/>
    <w:rsid w:val="002B20FD"/>
    <w:rsid w:val="002B261A"/>
    <w:rsid w:val="002B275D"/>
    <w:rsid w:val="002B2A5E"/>
    <w:rsid w:val="002B3E99"/>
    <w:rsid w:val="002B3EF2"/>
    <w:rsid w:val="002B3FA2"/>
    <w:rsid w:val="002B5CDF"/>
    <w:rsid w:val="002B6524"/>
    <w:rsid w:val="002B7C68"/>
    <w:rsid w:val="002C1CD7"/>
    <w:rsid w:val="002C284E"/>
    <w:rsid w:val="002C2A27"/>
    <w:rsid w:val="002C2BDB"/>
    <w:rsid w:val="002C2BF8"/>
    <w:rsid w:val="002C57B6"/>
    <w:rsid w:val="002C6489"/>
    <w:rsid w:val="002D1083"/>
    <w:rsid w:val="002D1FC2"/>
    <w:rsid w:val="002D35FA"/>
    <w:rsid w:val="002D3E42"/>
    <w:rsid w:val="002D4D2A"/>
    <w:rsid w:val="002D5805"/>
    <w:rsid w:val="002D68F9"/>
    <w:rsid w:val="002E5EEF"/>
    <w:rsid w:val="002E6035"/>
    <w:rsid w:val="002E77D9"/>
    <w:rsid w:val="002E7AAE"/>
    <w:rsid w:val="002E7ECA"/>
    <w:rsid w:val="002F0FE6"/>
    <w:rsid w:val="002F171B"/>
    <w:rsid w:val="002F460D"/>
    <w:rsid w:val="002F5B1C"/>
    <w:rsid w:val="002F60B3"/>
    <w:rsid w:val="002F613E"/>
    <w:rsid w:val="002F6A3A"/>
    <w:rsid w:val="002F6AFE"/>
    <w:rsid w:val="0030033B"/>
    <w:rsid w:val="00300348"/>
    <w:rsid w:val="00302432"/>
    <w:rsid w:val="003048BE"/>
    <w:rsid w:val="003078D5"/>
    <w:rsid w:val="00307925"/>
    <w:rsid w:val="00307CC4"/>
    <w:rsid w:val="00307CF7"/>
    <w:rsid w:val="00310814"/>
    <w:rsid w:val="00311D6F"/>
    <w:rsid w:val="003147B6"/>
    <w:rsid w:val="00314AF6"/>
    <w:rsid w:val="00314C42"/>
    <w:rsid w:val="00315227"/>
    <w:rsid w:val="003170E6"/>
    <w:rsid w:val="00317991"/>
    <w:rsid w:val="00320D21"/>
    <w:rsid w:val="00321F7F"/>
    <w:rsid w:val="003224F9"/>
    <w:rsid w:val="00322573"/>
    <w:rsid w:val="00324213"/>
    <w:rsid w:val="0032453C"/>
    <w:rsid w:val="00325007"/>
    <w:rsid w:val="00327C0A"/>
    <w:rsid w:val="003317D0"/>
    <w:rsid w:val="00332078"/>
    <w:rsid w:val="00335FCF"/>
    <w:rsid w:val="00337A32"/>
    <w:rsid w:val="003402CD"/>
    <w:rsid w:val="00340C1B"/>
    <w:rsid w:val="003428C3"/>
    <w:rsid w:val="00345703"/>
    <w:rsid w:val="00345A9E"/>
    <w:rsid w:val="003470D9"/>
    <w:rsid w:val="00347579"/>
    <w:rsid w:val="00350515"/>
    <w:rsid w:val="00350620"/>
    <w:rsid w:val="0035099C"/>
    <w:rsid w:val="00350D84"/>
    <w:rsid w:val="00352457"/>
    <w:rsid w:val="00352C77"/>
    <w:rsid w:val="00353E1D"/>
    <w:rsid w:val="0035494D"/>
    <w:rsid w:val="0035581C"/>
    <w:rsid w:val="00360612"/>
    <w:rsid w:val="00362C2C"/>
    <w:rsid w:val="003679A1"/>
    <w:rsid w:val="0037545F"/>
    <w:rsid w:val="0037556E"/>
    <w:rsid w:val="00377DA7"/>
    <w:rsid w:val="00383F77"/>
    <w:rsid w:val="003849C4"/>
    <w:rsid w:val="00385B2E"/>
    <w:rsid w:val="00386237"/>
    <w:rsid w:val="0038766A"/>
    <w:rsid w:val="00392AAB"/>
    <w:rsid w:val="00393C88"/>
    <w:rsid w:val="00394B3A"/>
    <w:rsid w:val="00395A24"/>
    <w:rsid w:val="003A010B"/>
    <w:rsid w:val="003A018D"/>
    <w:rsid w:val="003A4191"/>
    <w:rsid w:val="003A4D40"/>
    <w:rsid w:val="003A6552"/>
    <w:rsid w:val="003A7305"/>
    <w:rsid w:val="003B199B"/>
    <w:rsid w:val="003B36C4"/>
    <w:rsid w:val="003B3EE6"/>
    <w:rsid w:val="003B5B79"/>
    <w:rsid w:val="003B6B18"/>
    <w:rsid w:val="003B6B29"/>
    <w:rsid w:val="003B7028"/>
    <w:rsid w:val="003B7BE5"/>
    <w:rsid w:val="003C07EF"/>
    <w:rsid w:val="003C0AE0"/>
    <w:rsid w:val="003C0C6F"/>
    <w:rsid w:val="003C111A"/>
    <w:rsid w:val="003C20E7"/>
    <w:rsid w:val="003C21DE"/>
    <w:rsid w:val="003C6EEB"/>
    <w:rsid w:val="003D2037"/>
    <w:rsid w:val="003D4041"/>
    <w:rsid w:val="003D435A"/>
    <w:rsid w:val="003D5B57"/>
    <w:rsid w:val="003D732B"/>
    <w:rsid w:val="003E01A6"/>
    <w:rsid w:val="003E1E9C"/>
    <w:rsid w:val="003E1F15"/>
    <w:rsid w:val="003E3EAD"/>
    <w:rsid w:val="003E4CBC"/>
    <w:rsid w:val="003E5C0E"/>
    <w:rsid w:val="003F0881"/>
    <w:rsid w:val="003F0A52"/>
    <w:rsid w:val="003F1792"/>
    <w:rsid w:val="003F4581"/>
    <w:rsid w:val="003F4DFC"/>
    <w:rsid w:val="003F68C5"/>
    <w:rsid w:val="003F7206"/>
    <w:rsid w:val="00403750"/>
    <w:rsid w:val="004049B6"/>
    <w:rsid w:val="00405914"/>
    <w:rsid w:val="00405DDD"/>
    <w:rsid w:val="004067DB"/>
    <w:rsid w:val="0040687A"/>
    <w:rsid w:val="00406AB0"/>
    <w:rsid w:val="00410BB0"/>
    <w:rsid w:val="00411CEA"/>
    <w:rsid w:val="00413303"/>
    <w:rsid w:val="00413353"/>
    <w:rsid w:val="0041441B"/>
    <w:rsid w:val="00414AF0"/>
    <w:rsid w:val="00415AD8"/>
    <w:rsid w:val="0041753B"/>
    <w:rsid w:val="00417AAC"/>
    <w:rsid w:val="00421E99"/>
    <w:rsid w:val="004225F6"/>
    <w:rsid w:val="00422A1E"/>
    <w:rsid w:val="00423CD2"/>
    <w:rsid w:val="00426235"/>
    <w:rsid w:val="004264C9"/>
    <w:rsid w:val="00426EE1"/>
    <w:rsid w:val="00432745"/>
    <w:rsid w:val="0043321D"/>
    <w:rsid w:val="00434D3E"/>
    <w:rsid w:val="0043701A"/>
    <w:rsid w:val="00440812"/>
    <w:rsid w:val="00440838"/>
    <w:rsid w:val="00440947"/>
    <w:rsid w:val="00441BB7"/>
    <w:rsid w:val="00442BD8"/>
    <w:rsid w:val="00443261"/>
    <w:rsid w:val="00445306"/>
    <w:rsid w:val="00445388"/>
    <w:rsid w:val="004454C2"/>
    <w:rsid w:val="00446111"/>
    <w:rsid w:val="00446376"/>
    <w:rsid w:val="004465F8"/>
    <w:rsid w:val="0044740E"/>
    <w:rsid w:val="00447791"/>
    <w:rsid w:val="0045034C"/>
    <w:rsid w:val="0045135B"/>
    <w:rsid w:val="004525DA"/>
    <w:rsid w:val="00452652"/>
    <w:rsid w:val="00453300"/>
    <w:rsid w:val="00453BC5"/>
    <w:rsid w:val="00454AE2"/>
    <w:rsid w:val="00454EDB"/>
    <w:rsid w:val="004558D6"/>
    <w:rsid w:val="0045625F"/>
    <w:rsid w:val="00457794"/>
    <w:rsid w:val="004633A5"/>
    <w:rsid w:val="00463D23"/>
    <w:rsid w:val="004668F6"/>
    <w:rsid w:val="004669CA"/>
    <w:rsid w:val="0047218D"/>
    <w:rsid w:val="004741E9"/>
    <w:rsid w:val="00474ED1"/>
    <w:rsid w:val="00475D36"/>
    <w:rsid w:val="0047693C"/>
    <w:rsid w:val="00484680"/>
    <w:rsid w:val="00485248"/>
    <w:rsid w:val="00486032"/>
    <w:rsid w:val="004873B1"/>
    <w:rsid w:val="00487A5F"/>
    <w:rsid w:val="00487F79"/>
    <w:rsid w:val="00492AAD"/>
    <w:rsid w:val="0049524F"/>
    <w:rsid w:val="0049667E"/>
    <w:rsid w:val="00496A73"/>
    <w:rsid w:val="00496ECB"/>
    <w:rsid w:val="00497E79"/>
    <w:rsid w:val="00497EC5"/>
    <w:rsid w:val="004A0179"/>
    <w:rsid w:val="004A39DB"/>
    <w:rsid w:val="004A4C66"/>
    <w:rsid w:val="004A717D"/>
    <w:rsid w:val="004A7478"/>
    <w:rsid w:val="004A7C26"/>
    <w:rsid w:val="004B00AB"/>
    <w:rsid w:val="004B28A2"/>
    <w:rsid w:val="004B45CE"/>
    <w:rsid w:val="004B7000"/>
    <w:rsid w:val="004C28CE"/>
    <w:rsid w:val="004C2C83"/>
    <w:rsid w:val="004C31DA"/>
    <w:rsid w:val="004C3383"/>
    <w:rsid w:val="004C3708"/>
    <w:rsid w:val="004C50ED"/>
    <w:rsid w:val="004C642D"/>
    <w:rsid w:val="004C6F07"/>
    <w:rsid w:val="004D0754"/>
    <w:rsid w:val="004D0CAA"/>
    <w:rsid w:val="004D4604"/>
    <w:rsid w:val="004D59C0"/>
    <w:rsid w:val="004D7532"/>
    <w:rsid w:val="004D7537"/>
    <w:rsid w:val="004D7678"/>
    <w:rsid w:val="004E0148"/>
    <w:rsid w:val="004E1B27"/>
    <w:rsid w:val="004E1B81"/>
    <w:rsid w:val="004E201C"/>
    <w:rsid w:val="004E4C99"/>
    <w:rsid w:val="004E580C"/>
    <w:rsid w:val="004E70C7"/>
    <w:rsid w:val="004E7DEB"/>
    <w:rsid w:val="004F055A"/>
    <w:rsid w:val="004F1725"/>
    <w:rsid w:val="004F3904"/>
    <w:rsid w:val="004F55B4"/>
    <w:rsid w:val="004F5DCB"/>
    <w:rsid w:val="004F5E7D"/>
    <w:rsid w:val="004F626E"/>
    <w:rsid w:val="004F7A55"/>
    <w:rsid w:val="005013A3"/>
    <w:rsid w:val="0050534F"/>
    <w:rsid w:val="00505DE9"/>
    <w:rsid w:val="005065DD"/>
    <w:rsid w:val="00511455"/>
    <w:rsid w:val="00512219"/>
    <w:rsid w:val="00512BB4"/>
    <w:rsid w:val="00513362"/>
    <w:rsid w:val="005148E7"/>
    <w:rsid w:val="00515433"/>
    <w:rsid w:val="00515CBA"/>
    <w:rsid w:val="00517451"/>
    <w:rsid w:val="005202FE"/>
    <w:rsid w:val="005208F8"/>
    <w:rsid w:val="005227BD"/>
    <w:rsid w:val="00523D9B"/>
    <w:rsid w:val="00523F44"/>
    <w:rsid w:val="00524DA5"/>
    <w:rsid w:val="005270ED"/>
    <w:rsid w:val="00527CFB"/>
    <w:rsid w:val="00527FB1"/>
    <w:rsid w:val="00530CFE"/>
    <w:rsid w:val="00531AD4"/>
    <w:rsid w:val="0053214C"/>
    <w:rsid w:val="00534B9F"/>
    <w:rsid w:val="00534DDA"/>
    <w:rsid w:val="005355C3"/>
    <w:rsid w:val="005363A5"/>
    <w:rsid w:val="00536C0F"/>
    <w:rsid w:val="00536FF1"/>
    <w:rsid w:val="005407FE"/>
    <w:rsid w:val="00542935"/>
    <w:rsid w:val="00543571"/>
    <w:rsid w:val="00544DBF"/>
    <w:rsid w:val="00544E80"/>
    <w:rsid w:val="00545D8D"/>
    <w:rsid w:val="005502DB"/>
    <w:rsid w:val="0055284C"/>
    <w:rsid w:val="005537AF"/>
    <w:rsid w:val="0055423C"/>
    <w:rsid w:val="005544E8"/>
    <w:rsid w:val="00554673"/>
    <w:rsid w:val="005549A1"/>
    <w:rsid w:val="005554AA"/>
    <w:rsid w:val="005570BE"/>
    <w:rsid w:val="00560D43"/>
    <w:rsid w:val="00562744"/>
    <w:rsid w:val="00567B84"/>
    <w:rsid w:val="005707F3"/>
    <w:rsid w:val="0057121A"/>
    <w:rsid w:val="00572BD5"/>
    <w:rsid w:val="00572EEA"/>
    <w:rsid w:val="005806F0"/>
    <w:rsid w:val="00580DEC"/>
    <w:rsid w:val="00581E3B"/>
    <w:rsid w:val="00582BBE"/>
    <w:rsid w:val="0058368D"/>
    <w:rsid w:val="00583FFD"/>
    <w:rsid w:val="0058470B"/>
    <w:rsid w:val="00584847"/>
    <w:rsid w:val="00585804"/>
    <w:rsid w:val="005943EB"/>
    <w:rsid w:val="00594BA2"/>
    <w:rsid w:val="005953B6"/>
    <w:rsid w:val="0059632E"/>
    <w:rsid w:val="00596F7A"/>
    <w:rsid w:val="00597FBA"/>
    <w:rsid w:val="005A0028"/>
    <w:rsid w:val="005A095E"/>
    <w:rsid w:val="005A39B7"/>
    <w:rsid w:val="005A73FB"/>
    <w:rsid w:val="005B07BC"/>
    <w:rsid w:val="005B1461"/>
    <w:rsid w:val="005B1599"/>
    <w:rsid w:val="005B1748"/>
    <w:rsid w:val="005B208D"/>
    <w:rsid w:val="005B23B1"/>
    <w:rsid w:val="005B263A"/>
    <w:rsid w:val="005B2658"/>
    <w:rsid w:val="005B36FA"/>
    <w:rsid w:val="005B3EEB"/>
    <w:rsid w:val="005B431E"/>
    <w:rsid w:val="005B477E"/>
    <w:rsid w:val="005B53D7"/>
    <w:rsid w:val="005B5412"/>
    <w:rsid w:val="005B7C8E"/>
    <w:rsid w:val="005C0DAC"/>
    <w:rsid w:val="005C2490"/>
    <w:rsid w:val="005C3B68"/>
    <w:rsid w:val="005C41E9"/>
    <w:rsid w:val="005C43AD"/>
    <w:rsid w:val="005C4564"/>
    <w:rsid w:val="005C500C"/>
    <w:rsid w:val="005C573B"/>
    <w:rsid w:val="005C6BDF"/>
    <w:rsid w:val="005C722E"/>
    <w:rsid w:val="005C72A4"/>
    <w:rsid w:val="005C72F4"/>
    <w:rsid w:val="005D02D3"/>
    <w:rsid w:val="005D0BF1"/>
    <w:rsid w:val="005D279F"/>
    <w:rsid w:val="005D286C"/>
    <w:rsid w:val="005D3235"/>
    <w:rsid w:val="005D44AE"/>
    <w:rsid w:val="005D56FB"/>
    <w:rsid w:val="005D7904"/>
    <w:rsid w:val="005E0196"/>
    <w:rsid w:val="005E022D"/>
    <w:rsid w:val="005E3B28"/>
    <w:rsid w:val="005E42FA"/>
    <w:rsid w:val="005E5B4B"/>
    <w:rsid w:val="005E64FC"/>
    <w:rsid w:val="005F05FD"/>
    <w:rsid w:val="005F1E97"/>
    <w:rsid w:val="005F246D"/>
    <w:rsid w:val="005F2FFC"/>
    <w:rsid w:val="005F40CB"/>
    <w:rsid w:val="005F4448"/>
    <w:rsid w:val="005F4EC2"/>
    <w:rsid w:val="006003E3"/>
    <w:rsid w:val="0060080C"/>
    <w:rsid w:val="00601082"/>
    <w:rsid w:val="00601437"/>
    <w:rsid w:val="00601A76"/>
    <w:rsid w:val="00604E95"/>
    <w:rsid w:val="00612EDD"/>
    <w:rsid w:val="0061538B"/>
    <w:rsid w:val="00615982"/>
    <w:rsid w:val="00616536"/>
    <w:rsid w:val="006174D6"/>
    <w:rsid w:val="006178BF"/>
    <w:rsid w:val="006221C9"/>
    <w:rsid w:val="006233AC"/>
    <w:rsid w:val="0062376A"/>
    <w:rsid w:val="00625258"/>
    <w:rsid w:val="006256E1"/>
    <w:rsid w:val="00625B35"/>
    <w:rsid w:val="0062665E"/>
    <w:rsid w:val="00627968"/>
    <w:rsid w:val="00631617"/>
    <w:rsid w:val="00631D12"/>
    <w:rsid w:val="00632560"/>
    <w:rsid w:val="00634C0A"/>
    <w:rsid w:val="00634D84"/>
    <w:rsid w:val="0063568F"/>
    <w:rsid w:val="00635E8C"/>
    <w:rsid w:val="00636068"/>
    <w:rsid w:val="006372D0"/>
    <w:rsid w:val="0063748D"/>
    <w:rsid w:val="00637BE3"/>
    <w:rsid w:val="00640F79"/>
    <w:rsid w:val="0064116B"/>
    <w:rsid w:val="006413A3"/>
    <w:rsid w:val="00641802"/>
    <w:rsid w:val="00641CD4"/>
    <w:rsid w:val="00644401"/>
    <w:rsid w:val="00644AB9"/>
    <w:rsid w:val="00646D14"/>
    <w:rsid w:val="0064740F"/>
    <w:rsid w:val="0065081B"/>
    <w:rsid w:val="00652136"/>
    <w:rsid w:val="00652F11"/>
    <w:rsid w:val="00654CC4"/>
    <w:rsid w:val="006553EE"/>
    <w:rsid w:val="00655571"/>
    <w:rsid w:val="006565DE"/>
    <w:rsid w:val="00657E6E"/>
    <w:rsid w:val="006603BF"/>
    <w:rsid w:val="00665F75"/>
    <w:rsid w:val="00671CD1"/>
    <w:rsid w:val="006727C0"/>
    <w:rsid w:val="00672B88"/>
    <w:rsid w:val="00672D54"/>
    <w:rsid w:val="00675791"/>
    <w:rsid w:val="006778EB"/>
    <w:rsid w:val="00677BCD"/>
    <w:rsid w:val="0068111B"/>
    <w:rsid w:val="00681198"/>
    <w:rsid w:val="0068122D"/>
    <w:rsid w:val="00681869"/>
    <w:rsid w:val="00683805"/>
    <w:rsid w:val="006870EC"/>
    <w:rsid w:val="0069022B"/>
    <w:rsid w:val="00690964"/>
    <w:rsid w:val="006932BB"/>
    <w:rsid w:val="0069455B"/>
    <w:rsid w:val="006950C6"/>
    <w:rsid w:val="006A0431"/>
    <w:rsid w:val="006A108B"/>
    <w:rsid w:val="006A1765"/>
    <w:rsid w:val="006A31A6"/>
    <w:rsid w:val="006A3C3D"/>
    <w:rsid w:val="006A4A48"/>
    <w:rsid w:val="006A5F25"/>
    <w:rsid w:val="006B1FF3"/>
    <w:rsid w:val="006B2E7B"/>
    <w:rsid w:val="006B44EE"/>
    <w:rsid w:val="006B55BA"/>
    <w:rsid w:val="006B6520"/>
    <w:rsid w:val="006B6EC3"/>
    <w:rsid w:val="006B7CFE"/>
    <w:rsid w:val="006C012F"/>
    <w:rsid w:val="006C1E5F"/>
    <w:rsid w:val="006C2091"/>
    <w:rsid w:val="006C3A8F"/>
    <w:rsid w:val="006C55D8"/>
    <w:rsid w:val="006D04F1"/>
    <w:rsid w:val="006D10D5"/>
    <w:rsid w:val="006D1FC2"/>
    <w:rsid w:val="006D2597"/>
    <w:rsid w:val="006D3796"/>
    <w:rsid w:val="006D39CB"/>
    <w:rsid w:val="006D4F51"/>
    <w:rsid w:val="006D5192"/>
    <w:rsid w:val="006D5E1D"/>
    <w:rsid w:val="006D61F3"/>
    <w:rsid w:val="006E3873"/>
    <w:rsid w:val="006E41D2"/>
    <w:rsid w:val="006E68F7"/>
    <w:rsid w:val="006E71FF"/>
    <w:rsid w:val="006E7626"/>
    <w:rsid w:val="006F10C0"/>
    <w:rsid w:val="006F120A"/>
    <w:rsid w:val="006F1385"/>
    <w:rsid w:val="006F1D0C"/>
    <w:rsid w:val="006F74E6"/>
    <w:rsid w:val="00700728"/>
    <w:rsid w:val="007018E8"/>
    <w:rsid w:val="00701D6F"/>
    <w:rsid w:val="0070276B"/>
    <w:rsid w:val="00703571"/>
    <w:rsid w:val="00704467"/>
    <w:rsid w:val="00705B95"/>
    <w:rsid w:val="00706259"/>
    <w:rsid w:val="007074F6"/>
    <w:rsid w:val="00707C6D"/>
    <w:rsid w:val="007109EF"/>
    <w:rsid w:val="00712923"/>
    <w:rsid w:val="00714D53"/>
    <w:rsid w:val="007160E1"/>
    <w:rsid w:val="0071760C"/>
    <w:rsid w:val="0072024B"/>
    <w:rsid w:val="00720505"/>
    <w:rsid w:val="0072057C"/>
    <w:rsid w:val="007206A0"/>
    <w:rsid w:val="00721957"/>
    <w:rsid w:val="0072218F"/>
    <w:rsid w:val="0072225F"/>
    <w:rsid w:val="00722702"/>
    <w:rsid w:val="00726707"/>
    <w:rsid w:val="00727705"/>
    <w:rsid w:val="007303E9"/>
    <w:rsid w:val="007314BD"/>
    <w:rsid w:val="00731E24"/>
    <w:rsid w:val="00733530"/>
    <w:rsid w:val="00734B9C"/>
    <w:rsid w:val="00734C7E"/>
    <w:rsid w:val="0073531F"/>
    <w:rsid w:val="00737290"/>
    <w:rsid w:val="0073749B"/>
    <w:rsid w:val="007408FA"/>
    <w:rsid w:val="00740DF6"/>
    <w:rsid w:val="007430A7"/>
    <w:rsid w:val="007437AA"/>
    <w:rsid w:val="007446A6"/>
    <w:rsid w:val="0074488A"/>
    <w:rsid w:val="00744EB2"/>
    <w:rsid w:val="007459A3"/>
    <w:rsid w:val="00745A91"/>
    <w:rsid w:val="00746180"/>
    <w:rsid w:val="00750390"/>
    <w:rsid w:val="00750C71"/>
    <w:rsid w:val="0075157F"/>
    <w:rsid w:val="007516D1"/>
    <w:rsid w:val="0075553E"/>
    <w:rsid w:val="00757381"/>
    <w:rsid w:val="00760B26"/>
    <w:rsid w:val="00761F37"/>
    <w:rsid w:val="00761F67"/>
    <w:rsid w:val="007627D4"/>
    <w:rsid w:val="0076519B"/>
    <w:rsid w:val="00765925"/>
    <w:rsid w:val="00765E16"/>
    <w:rsid w:val="0076782E"/>
    <w:rsid w:val="0077019B"/>
    <w:rsid w:val="00773A02"/>
    <w:rsid w:val="00774C6B"/>
    <w:rsid w:val="0077536D"/>
    <w:rsid w:val="007754C6"/>
    <w:rsid w:val="00775B2A"/>
    <w:rsid w:val="00776898"/>
    <w:rsid w:val="007824D3"/>
    <w:rsid w:val="007835D7"/>
    <w:rsid w:val="007840D8"/>
    <w:rsid w:val="00784C08"/>
    <w:rsid w:val="00784FD4"/>
    <w:rsid w:val="00785AE6"/>
    <w:rsid w:val="007877FB"/>
    <w:rsid w:val="00792B1C"/>
    <w:rsid w:val="00792E21"/>
    <w:rsid w:val="007936F9"/>
    <w:rsid w:val="00795117"/>
    <w:rsid w:val="007964BF"/>
    <w:rsid w:val="00796CB5"/>
    <w:rsid w:val="007974E7"/>
    <w:rsid w:val="007A123B"/>
    <w:rsid w:val="007A25B7"/>
    <w:rsid w:val="007A30B5"/>
    <w:rsid w:val="007A3840"/>
    <w:rsid w:val="007A4E1E"/>
    <w:rsid w:val="007A5436"/>
    <w:rsid w:val="007B090B"/>
    <w:rsid w:val="007B0A67"/>
    <w:rsid w:val="007B0D3B"/>
    <w:rsid w:val="007B138F"/>
    <w:rsid w:val="007B1EAC"/>
    <w:rsid w:val="007B3D26"/>
    <w:rsid w:val="007B5156"/>
    <w:rsid w:val="007B5191"/>
    <w:rsid w:val="007B622E"/>
    <w:rsid w:val="007B626B"/>
    <w:rsid w:val="007B62C9"/>
    <w:rsid w:val="007B6B22"/>
    <w:rsid w:val="007C08E5"/>
    <w:rsid w:val="007C0D7E"/>
    <w:rsid w:val="007C1338"/>
    <w:rsid w:val="007C29BB"/>
    <w:rsid w:val="007C2B33"/>
    <w:rsid w:val="007C48F2"/>
    <w:rsid w:val="007C6387"/>
    <w:rsid w:val="007C7B5B"/>
    <w:rsid w:val="007D01EC"/>
    <w:rsid w:val="007D0363"/>
    <w:rsid w:val="007D431E"/>
    <w:rsid w:val="007D4E7D"/>
    <w:rsid w:val="007D5F46"/>
    <w:rsid w:val="007D6C5A"/>
    <w:rsid w:val="007D73A0"/>
    <w:rsid w:val="007D76EE"/>
    <w:rsid w:val="007D7D89"/>
    <w:rsid w:val="007E1178"/>
    <w:rsid w:val="007E199A"/>
    <w:rsid w:val="007E2192"/>
    <w:rsid w:val="007E50E0"/>
    <w:rsid w:val="007E743C"/>
    <w:rsid w:val="007E74AE"/>
    <w:rsid w:val="007E75FF"/>
    <w:rsid w:val="007F0E6C"/>
    <w:rsid w:val="007F19DD"/>
    <w:rsid w:val="007F3ADC"/>
    <w:rsid w:val="007F4D2C"/>
    <w:rsid w:val="007F5364"/>
    <w:rsid w:val="007F6359"/>
    <w:rsid w:val="00800A81"/>
    <w:rsid w:val="00802607"/>
    <w:rsid w:val="00802EA4"/>
    <w:rsid w:val="00802FB8"/>
    <w:rsid w:val="0080320A"/>
    <w:rsid w:val="00804183"/>
    <w:rsid w:val="0080473F"/>
    <w:rsid w:val="00807AF7"/>
    <w:rsid w:val="008119DA"/>
    <w:rsid w:val="008120EB"/>
    <w:rsid w:val="008120F5"/>
    <w:rsid w:val="008124BF"/>
    <w:rsid w:val="00812CD9"/>
    <w:rsid w:val="00812D19"/>
    <w:rsid w:val="00813888"/>
    <w:rsid w:val="00814EC1"/>
    <w:rsid w:val="00816DAB"/>
    <w:rsid w:val="00817252"/>
    <w:rsid w:val="0081780A"/>
    <w:rsid w:val="00817ED0"/>
    <w:rsid w:val="008201F4"/>
    <w:rsid w:val="0082151F"/>
    <w:rsid w:val="00821F5E"/>
    <w:rsid w:val="00823C0C"/>
    <w:rsid w:val="00824C8E"/>
    <w:rsid w:val="0083012A"/>
    <w:rsid w:val="00830A94"/>
    <w:rsid w:val="00837128"/>
    <w:rsid w:val="0083781E"/>
    <w:rsid w:val="00840E4A"/>
    <w:rsid w:val="00841284"/>
    <w:rsid w:val="00841A14"/>
    <w:rsid w:val="00842207"/>
    <w:rsid w:val="00843847"/>
    <w:rsid w:val="0084450E"/>
    <w:rsid w:val="00845AD2"/>
    <w:rsid w:val="008468CA"/>
    <w:rsid w:val="00850907"/>
    <w:rsid w:val="008516BF"/>
    <w:rsid w:val="0085465B"/>
    <w:rsid w:val="00854D8A"/>
    <w:rsid w:val="00855199"/>
    <w:rsid w:val="008553A0"/>
    <w:rsid w:val="00857BC2"/>
    <w:rsid w:val="008602A2"/>
    <w:rsid w:val="00860C02"/>
    <w:rsid w:val="00860CAA"/>
    <w:rsid w:val="008621CB"/>
    <w:rsid w:val="00862634"/>
    <w:rsid w:val="0086473C"/>
    <w:rsid w:val="0086555C"/>
    <w:rsid w:val="00870910"/>
    <w:rsid w:val="0087275B"/>
    <w:rsid w:val="008749DB"/>
    <w:rsid w:val="00874C63"/>
    <w:rsid w:val="00876C5D"/>
    <w:rsid w:val="00882641"/>
    <w:rsid w:val="00882EA3"/>
    <w:rsid w:val="00883055"/>
    <w:rsid w:val="008837DB"/>
    <w:rsid w:val="00883D0B"/>
    <w:rsid w:val="00884ED5"/>
    <w:rsid w:val="00885342"/>
    <w:rsid w:val="00885BF4"/>
    <w:rsid w:val="00887078"/>
    <w:rsid w:val="00887486"/>
    <w:rsid w:val="008874C9"/>
    <w:rsid w:val="008875DE"/>
    <w:rsid w:val="008932CB"/>
    <w:rsid w:val="008939E7"/>
    <w:rsid w:val="00893F6C"/>
    <w:rsid w:val="008945E2"/>
    <w:rsid w:val="00894AB8"/>
    <w:rsid w:val="0089613D"/>
    <w:rsid w:val="008A13CB"/>
    <w:rsid w:val="008A1D10"/>
    <w:rsid w:val="008A1E72"/>
    <w:rsid w:val="008A2707"/>
    <w:rsid w:val="008A3C85"/>
    <w:rsid w:val="008A45D2"/>
    <w:rsid w:val="008A713E"/>
    <w:rsid w:val="008B09F0"/>
    <w:rsid w:val="008B0C45"/>
    <w:rsid w:val="008B2086"/>
    <w:rsid w:val="008B23EA"/>
    <w:rsid w:val="008B2CA9"/>
    <w:rsid w:val="008B3A34"/>
    <w:rsid w:val="008B483C"/>
    <w:rsid w:val="008B737F"/>
    <w:rsid w:val="008B77FF"/>
    <w:rsid w:val="008C10DD"/>
    <w:rsid w:val="008C1C00"/>
    <w:rsid w:val="008C265D"/>
    <w:rsid w:val="008C4ADB"/>
    <w:rsid w:val="008C4BA2"/>
    <w:rsid w:val="008C5852"/>
    <w:rsid w:val="008C7B24"/>
    <w:rsid w:val="008C7E26"/>
    <w:rsid w:val="008D1465"/>
    <w:rsid w:val="008D22B6"/>
    <w:rsid w:val="008D2587"/>
    <w:rsid w:val="008D2D19"/>
    <w:rsid w:val="008D35F7"/>
    <w:rsid w:val="008D38C8"/>
    <w:rsid w:val="008D4581"/>
    <w:rsid w:val="008D6DBC"/>
    <w:rsid w:val="008D718B"/>
    <w:rsid w:val="008D7791"/>
    <w:rsid w:val="008E0B4B"/>
    <w:rsid w:val="008E1797"/>
    <w:rsid w:val="008E31D4"/>
    <w:rsid w:val="008E4399"/>
    <w:rsid w:val="008E43A6"/>
    <w:rsid w:val="008E468F"/>
    <w:rsid w:val="008E6EE3"/>
    <w:rsid w:val="008E7E14"/>
    <w:rsid w:val="008F146D"/>
    <w:rsid w:val="008F15F0"/>
    <w:rsid w:val="008F18AF"/>
    <w:rsid w:val="008F34AE"/>
    <w:rsid w:val="008F3849"/>
    <w:rsid w:val="008F3AA2"/>
    <w:rsid w:val="008F3C8F"/>
    <w:rsid w:val="008F5BE1"/>
    <w:rsid w:val="008F6852"/>
    <w:rsid w:val="008F6872"/>
    <w:rsid w:val="008F6AEE"/>
    <w:rsid w:val="00900F92"/>
    <w:rsid w:val="009021B2"/>
    <w:rsid w:val="0090245A"/>
    <w:rsid w:val="009036AB"/>
    <w:rsid w:val="00904EEA"/>
    <w:rsid w:val="009058F9"/>
    <w:rsid w:val="00905F9D"/>
    <w:rsid w:val="00906FF6"/>
    <w:rsid w:val="00910EDB"/>
    <w:rsid w:val="00911FC6"/>
    <w:rsid w:val="00913A49"/>
    <w:rsid w:val="009141DF"/>
    <w:rsid w:val="00914314"/>
    <w:rsid w:val="00914DA6"/>
    <w:rsid w:val="009157C1"/>
    <w:rsid w:val="009163E1"/>
    <w:rsid w:val="00916E61"/>
    <w:rsid w:val="0091778F"/>
    <w:rsid w:val="009219D3"/>
    <w:rsid w:val="009227C0"/>
    <w:rsid w:val="0092522F"/>
    <w:rsid w:val="009256AE"/>
    <w:rsid w:val="00926DAD"/>
    <w:rsid w:val="00926EF0"/>
    <w:rsid w:val="00927358"/>
    <w:rsid w:val="00931393"/>
    <w:rsid w:val="00932D44"/>
    <w:rsid w:val="0093451A"/>
    <w:rsid w:val="00934B88"/>
    <w:rsid w:val="00935D63"/>
    <w:rsid w:val="00935F07"/>
    <w:rsid w:val="00936694"/>
    <w:rsid w:val="00936E5D"/>
    <w:rsid w:val="009379E6"/>
    <w:rsid w:val="00937F4A"/>
    <w:rsid w:val="00940E46"/>
    <w:rsid w:val="009439C3"/>
    <w:rsid w:val="009439CE"/>
    <w:rsid w:val="00944C1A"/>
    <w:rsid w:val="00944CA5"/>
    <w:rsid w:val="009463C8"/>
    <w:rsid w:val="009470C5"/>
    <w:rsid w:val="00947DF1"/>
    <w:rsid w:val="00951B49"/>
    <w:rsid w:val="009526B2"/>
    <w:rsid w:val="009529CF"/>
    <w:rsid w:val="00953636"/>
    <w:rsid w:val="009538EA"/>
    <w:rsid w:val="00954B32"/>
    <w:rsid w:val="00955F28"/>
    <w:rsid w:val="00956276"/>
    <w:rsid w:val="00957BCA"/>
    <w:rsid w:val="00960AD8"/>
    <w:rsid w:val="009611F4"/>
    <w:rsid w:val="00961AF7"/>
    <w:rsid w:val="00961F21"/>
    <w:rsid w:val="009622D2"/>
    <w:rsid w:val="00962A3C"/>
    <w:rsid w:val="00963654"/>
    <w:rsid w:val="009637DD"/>
    <w:rsid w:val="00964061"/>
    <w:rsid w:val="009704CF"/>
    <w:rsid w:val="00971CA1"/>
    <w:rsid w:val="00976493"/>
    <w:rsid w:val="0097687D"/>
    <w:rsid w:val="00977FC5"/>
    <w:rsid w:val="009844C8"/>
    <w:rsid w:val="00984B9B"/>
    <w:rsid w:val="00984DA4"/>
    <w:rsid w:val="00986478"/>
    <w:rsid w:val="00991243"/>
    <w:rsid w:val="00992B65"/>
    <w:rsid w:val="009948DC"/>
    <w:rsid w:val="00995E92"/>
    <w:rsid w:val="00995E99"/>
    <w:rsid w:val="0099720B"/>
    <w:rsid w:val="009A00F0"/>
    <w:rsid w:val="009A1D5E"/>
    <w:rsid w:val="009A2496"/>
    <w:rsid w:val="009A334F"/>
    <w:rsid w:val="009A3AA4"/>
    <w:rsid w:val="009A4B3A"/>
    <w:rsid w:val="009B0E4D"/>
    <w:rsid w:val="009B3650"/>
    <w:rsid w:val="009B3BC2"/>
    <w:rsid w:val="009B3D86"/>
    <w:rsid w:val="009B4056"/>
    <w:rsid w:val="009B6381"/>
    <w:rsid w:val="009B6544"/>
    <w:rsid w:val="009B6E41"/>
    <w:rsid w:val="009B6F69"/>
    <w:rsid w:val="009B751C"/>
    <w:rsid w:val="009C261E"/>
    <w:rsid w:val="009C3BA8"/>
    <w:rsid w:val="009C4C6C"/>
    <w:rsid w:val="009C6602"/>
    <w:rsid w:val="009D0CD6"/>
    <w:rsid w:val="009D1D6F"/>
    <w:rsid w:val="009D3FF7"/>
    <w:rsid w:val="009D6817"/>
    <w:rsid w:val="009D7A24"/>
    <w:rsid w:val="009E0AD3"/>
    <w:rsid w:val="009E3325"/>
    <w:rsid w:val="009E48E0"/>
    <w:rsid w:val="009E7471"/>
    <w:rsid w:val="009F1065"/>
    <w:rsid w:val="009F13E1"/>
    <w:rsid w:val="009F3AAA"/>
    <w:rsid w:val="009F4105"/>
    <w:rsid w:val="009F4794"/>
    <w:rsid w:val="009F519B"/>
    <w:rsid w:val="009F67B1"/>
    <w:rsid w:val="009F687F"/>
    <w:rsid w:val="00A01CBF"/>
    <w:rsid w:val="00A030F7"/>
    <w:rsid w:val="00A05F69"/>
    <w:rsid w:val="00A06C24"/>
    <w:rsid w:val="00A07482"/>
    <w:rsid w:val="00A11860"/>
    <w:rsid w:val="00A12267"/>
    <w:rsid w:val="00A1295B"/>
    <w:rsid w:val="00A133DC"/>
    <w:rsid w:val="00A17736"/>
    <w:rsid w:val="00A25A48"/>
    <w:rsid w:val="00A26216"/>
    <w:rsid w:val="00A262BB"/>
    <w:rsid w:val="00A27E50"/>
    <w:rsid w:val="00A30878"/>
    <w:rsid w:val="00A315D9"/>
    <w:rsid w:val="00A320CE"/>
    <w:rsid w:val="00A32469"/>
    <w:rsid w:val="00A338F4"/>
    <w:rsid w:val="00A347FE"/>
    <w:rsid w:val="00A3699D"/>
    <w:rsid w:val="00A37B95"/>
    <w:rsid w:val="00A37CEE"/>
    <w:rsid w:val="00A4135F"/>
    <w:rsid w:val="00A44D6E"/>
    <w:rsid w:val="00A45FFF"/>
    <w:rsid w:val="00A472F7"/>
    <w:rsid w:val="00A50C7B"/>
    <w:rsid w:val="00A517BB"/>
    <w:rsid w:val="00A517DF"/>
    <w:rsid w:val="00A53A33"/>
    <w:rsid w:val="00A565E8"/>
    <w:rsid w:val="00A56BA2"/>
    <w:rsid w:val="00A56EA3"/>
    <w:rsid w:val="00A60352"/>
    <w:rsid w:val="00A603E8"/>
    <w:rsid w:val="00A60857"/>
    <w:rsid w:val="00A6101A"/>
    <w:rsid w:val="00A61675"/>
    <w:rsid w:val="00A6443D"/>
    <w:rsid w:val="00A724D6"/>
    <w:rsid w:val="00A7458D"/>
    <w:rsid w:val="00A7466E"/>
    <w:rsid w:val="00A76A35"/>
    <w:rsid w:val="00A77D03"/>
    <w:rsid w:val="00A77D45"/>
    <w:rsid w:val="00A8087B"/>
    <w:rsid w:val="00A81E43"/>
    <w:rsid w:val="00A833C0"/>
    <w:rsid w:val="00A8371D"/>
    <w:rsid w:val="00A86EDE"/>
    <w:rsid w:val="00A9246D"/>
    <w:rsid w:val="00A925BD"/>
    <w:rsid w:val="00A929A9"/>
    <w:rsid w:val="00A95421"/>
    <w:rsid w:val="00A960DF"/>
    <w:rsid w:val="00A96424"/>
    <w:rsid w:val="00AA0628"/>
    <w:rsid w:val="00AA07E4"/>
    <w:rsid w:val="00AA094E"/>
    <w:rsid w:val="00AA1C60"/>
    <w:rsid w:val="00AA43FE"/>
    <w:rsid w:val="00AA4703"/>
    <w:rsid w:val="00AA5A1F"/>
    <w:rsid w:val="00AA6645"/>
    <w:rsid w:val="00AA6DEF"/>
    <w:rsid w:val="00AA703D"/>
    <w:rsid w:val="00AA7656"/>
    <w:rsid w:val="00AB040F"/>
    <w:rsid w:val="00AB0FB1"/>
    <w:rsid w:val="00AB40E7"/>
    <w:rsid w:val="00AC0210"/>
    <w:rsid w:val="00AC0632"/>
    <w:rsid w:val="00AC2994"/>
    <w:rsid w:val="00AC4C27"/>
    <w:rsid w:val="00AC5E2B"/>
    <w:rsid w:val="00AC723D"/>
    <w:rsid w:val="00AC75F2"/>
    <w:rsid w:val="00AD01D2"/>
    <w:rsid w:val="00AD0452"/>
    <w:rsid w:val="00AD3B82"/>
    <w:rsid w:val="00AD4107"/>
    <w:rsid w:val="00AD447B"/>
    <w:rsid w:val="00AD5C98"/>
    <w:rsid w:val="00AD6D82"/>
    <w:rsid w:val="00AD6D84"/>
    <w:rsid w:val="00AE0440"/>
    <w:rsid w:val="00AE1467"/>
    <w:rsid w:val="00AE189F"/>
    <w:rsid w:val="00AE467F"/>
    <w:rsid w:val="00AE4833"/>
    <w:rsid w:val="00AE4EF6"/>
    <w:rsid w:val="00AE6052"/>
    <w:rsid w:val="00AE6CF2"/>
    <w:rsid w:val="00AE75D0"/>
    <w:rsid w:val="00AE7D6D"/>
    <w:rsid w:val="00AF018C"/>
    <w:rsid w:val="00AF0607"/>
    <w:rsid w:val="00AF072D"/>
    <w:rsid w:val="00AF1545"/>
    <w:rsid w:val="00AF24F2"/>
    <w:rsid w:val="00AF3004"/>
    <w:rsid w:val="00AF4C81"/>
    <w:rsid w:val="00AF51BA"/>
    <w:rsid w:val="00AF5A9B"/>
    <w:rsid w:val="00AF654F"/>
    <w:rsid w:val="00AF6D9E"/>
    <w:rsid w:val="00AF6F82"/>
    <w:rsid w:val="00AF773F"/>
    <w:rsid w:val="00B0137F"/>
    <w:rsid w:val="00B01FAF"/>
    <w:rsid w:val="00B02F7C"/>
    <w:rsid w:val="00B03DF1"/>
    <w:rsid w:val="00B0413C"/>
    <w:rsid w:val="00B041D8"/>
    <w:rsid w:val="00B0472B"/>
    <w:rsid w:val="00B06856"/>
    <w:rsid w:val="00B06DBD"/>
    <w:rsid w:val="00B06EB7"/>
    <w:rsid w:val="00B10EA2"/>
    <w:rsid w:val="00B11017"/>
    <w:rsid w:val="00B11C03"/>
    <w:rsid w:val="00B1269F"/>
    <w:rsid w:val="00B13903"/>
    <w:rsid w:val="00B15093"/>
    <w:rsid w:val="00B2276C"/>
    <w:rsid w:val="00B22BC5"/>
    <w:rsid w:val="00B25DFF"/>
    <w:rsid w:val="00B26F08"/>
    <w:rsid w:val="00B2711C"/>
    <w:rsid w:val="00B27178"/>
    <w:rsid w:val="00B3127D"/>
    <w:rsid w:val="00B330AD"/>
    <w:rsid w:val="00B334DA"/>
    <w:rsid w:val="00B33EE7"/>
    <w:rsid w:val="00B3681A"/>
    <w:rsid w:val="00B36EBE"/>
    <w:rsid w:val="00B37315"/>
    <w:rsid w:val="00B4222E"/>
    <w:rsid w:val="00B427C6"/>
    <w:rsid w:val="00B42A94"/>
    <w:rsid w:val="00B434BF"/>
    <w:rsid w:val="00B51894"/>
    <w:rsid w:val="00B53687"/>
    <w:rsid w:val="00B53D59"/>
    <w:rsid w:val="00B609E8"/>
    <w:rsid w:val="00B662D9"/>
    <w:rsid w:val="00B66909"/>
    <w:rsid w:val="00B7028B"/>
    <w:rsid w:val="00B71192"/>
    <w:rsid w:val="00B71929"/>
    <w:rsid w:val="00B73DA2"/>
    <w:rsid w:val="00B748B0"/>
    <w:rsid w:val="00B750D9"/>
    <w:rsid w:val="00B75E99"/>
    <w:rsid w:val="00B7705E"/>
    <w:rsid w:val="00B77391"/>
    <w:rsid w:val="00B77EF6"/>
    <w:rsid w:val="00B80057"/>
    <w:rsid w:val="00B801EB"/>
    <w:rsid w:val="00B8124C"/>
    <w:rsid w:val="00B836EF"/>
    <w:rsid w:val="00B84928"/>
    <w:rsid w:val="00B90896"/>
    <w:rsid w:val="00B90F38"/>
    <w:rsid w:val="00B90FBB"/>
    <w:rsid w:val="00B913DC"/>
    <w:rsid w:val="00B92A7C"/>
    <w:rsid w:val="00B92EFD"/>
    <w:rsid w:val="00B9388D"/>
    <w:rsid w:val="00B95C55"/>
    <w:rsid w:val="00BA1CE6"/>
    <w:rsid w:val="00BA3D37"/>
    <w:rsid w:val="00BA51CF"/>
    <w:rsid w:val="00BA5C38"/>
    <w:rsid w:val="00BA6374"/>
    <w:rsid w:val="00BA6420"/>
    <w:rsid w:val="00BA79B4"/>
    <w:rsid w:val="00BB1303"/>
    <w:rsid w:val="00BB3CAD"/>
    <w:rsid w:val="00BB4947"/>
    <w:rsid w:val="00BB64CA"/>
    <w:rsid w:val="00BC15B9"/>
    <w:rsid w:val="00BC2876"/>
    <w:rsid w:val="00BC47B1"/>
    <w:rsid w:val="00BC4925"/>
    <w:rsid w:val="00BC4C73"/>
    <w:rsid w:val="00BC5167"/>
    <w:rsid w:val="00BC6F8A"/>
    <w:rsid w:val="00BC7DB2"/>
    <w:rsid w:val="00BD2C99"/>
    <w:rsid w:val="00BD2CEF"/>
    <w:rsid w:val="00BD3183"/>
    <w:rsid w:val="00BD4DEF"/>
    <w:rsid w:val="00BD67BC"/>
    <w:rsid w:val="00BD6944"/>
    <w:rsid w:val="00BE16E7"/>
    <w:rsid w:val="00BE1C8F"/>
    <w:rsid w:val="00BE2297"/>
    <w:rsid w:val="00BE31A6"/>
    <w:rsid w:val="00BE4409"/>
    <w:rsid w:val="00BE75BC"/>
    <w:rsid w:val="00BF0451"/>
    <w:rsid w:val="00BF07B4"/>
    <w:rsid w:val="00BF14EB"/>
    <w:rsid w:val="00BF214E"/>
    <w:rsid w:val="00BF4CA1"/>
    <w:rsid w:val="00BF6535"/>
    <w:rsid w:val="00C00707"/>
    <w:rsid w:val="00C0101D"/>
    <w:rsid w:val="00C045E5"/>
    <w:rsid w:val="00C047B3"/>
    <w:rsid w:val="00C05DD4"/>
    <w:rsid w:val="00C12827"/>
    <w:rsid w:val="00C16138"/>
    <w:rsid w:val="00C16317"/>
    <w:rsid w:val="00C1736E"/>
    <w:rsid w:val="00C17657"/>
    <w:rsid w:val="00C17A08"/>
    <w:rsid w:val="00C20D23"/>
    <w:rsid w:val="00C22045"/>
    <w:rsid w:val="00C23DA9"/>
    <w:rsid w:val="00C25AA9"/>
    <w:rsid w:val="00C25B40"/>
    <w:rsid w:val="00C3012B"/>
    <w:rsid w:val="00C30153"/>
    <w:rsid w:val="00C31147"/>
    <w:rsid w:val="00C3148C"/>
    <w:rsid w:val="00C34D61"/>
    <w:rsid w:val="00C35175"/>
    <w:rsid w:val="00C361E8"/>
    <w:rsid w:val="00C36474"/>
    <w:rsid w:val="00C400DD"/>
    <w:rsid w:val="00C41449"/>
    <w:rsid w:val="00C41901"/>
    <w:rsid w:val="00C430AB"/>
    <w:rsid w:val="00C43C2C"/>
    <w:rsid w:val="00C45C5B"/>
    <w:rsid w:val="00C466CB"/>
    <w:rsid w:val="00C47358"/>
    <w:rsid w:val="00C47D54"/>
    <w:rsid w:val="00C530BB"/>
    <w:rsid w:val="00C542E2"/>
    <w:rsid w:val="00C5475A"/>
    <w:rsid w:val="00C54E0D"/>
    <w:rsid w:val="00C55AD9"/>
    <w:rsid w:val="00C566D6"/>
    <w:rsid w:val="00C567D2"/>
    <w:rsid w:val="00C602C9"/>
    <w:rsid w:val="00C60673"/>
    <w:rsid w:val="00C60B6B"/>
    <w:rsid w:val="00C60EAF"/>
    <w:rsid w:val="00C64292"/>
    <w:rsid w:val="00C66C11"/>
    <w:rsid w:val="00C73478"/>
    <w:rsid w:val="00C73552"/>
    <w:rsid w:val="00C73BCC"/>
    <w:rsid w:val="00C7552F"/>
    <w:rsid w:val="00C779C4"/>
    <w:rsid w:val="00C77B0A"/>
    <w:rsid w:val="00C77F19"/>
    <w:rsid w:val="00C80501"/>
    <w:rsid w:val="00C80775"/>
    <w:rsid w:val="00C81117"/>
    <w:rsid w:val="00C82C55"/>
    <w:rsid w:val="00C84901"/>
    <w:rsid w:val="00C849B0"/>
    <w:rsid w:val="00C90EC8"/>
    <w:rsid w:val="00C912EC"/>
    <w:rsid w:val="00C93888"/>
    <w:rsid w:val="00C93FA0"/>
    <w:rsid w:val="00C94A76"/>
    <w:rsid w:val="00C9531C"/>
    <w:rsid w:val="00C96209"/>
    <w:rsid w:val="00C96A94"/>
    <w:rsid w:val="00CA192A"/>
    <w:rsid w:val="00CA1B2E"/>
    <w:rsid w:val="00CA3A35"/>
    <w:rsid w:val="00CA3BDC"/>
    <w:rsid w:val="00CA4974"/>
    <w:rsid w:val="00CA6015"/>
    <w:rsid w:val="00CA6177"/>
    <w:rsid w:val="00CA65C6"/>
    <w:rsid w:val="00CA74EC"/>
    <w:rsid w:val="00CB0F76"/>
    <w:rsid w:val="00CB1E4D"/>
    <w:rsid w:val="00CB1FCF"/>
    <w:rsid w:val="00CB4E62"/>
    <w:rsid w:val="00CB4FDA"/>
    <w:rsid w:val="00CB759F"/>
    <w:rsid w:val="00CB795C"/>
    <w:rsid w:val="00CB7B2E"/>
    <w:rsid w:val="00CC08F0"/>
    <w:rsid w:val="00CC0931"/>
    <w:rsid w:val="00CC0DD5"/>
    <w:rsid w:val="00CC0E15"/>
    <w:rsid w:val="00CC0F93"/>
    <w:rsid w:val="00CC1640"/>
    <w:rsid w:val="00CC17A2"/>
    <w:rsid w:val="00CC2DC7"/>
    <w:rsid w:val="00CC3A98"/>
    <w:rsid w:val="00CC4226"/>
    <w:rsid w:val="00CC5241"/>
    <w:rsid w:val="00CC5998"/>
    <w:rsid w:val="00CC6817"/>
    <w:rsid w:val="00CC72D2"/>
    <w:rsid w:val="00CD0725"/>
    <w:rsid w:val="00CD3CDD"/>
    <w:rsid w:val="00CD40E4"/>
    <w:rsid w:val="00CD4717"/>
    <w:rsid w:val="00CE0872"/>
    <w:rsid w:val="00CE219A"/>
    <w:rsid w:val="00CE3906"/>
    <w:rsid w:val="00CE5D13"/>
    <w:rsid w:val="00CE7608"/>
    <w:rsid w:val="00CF3023"/>
    <w:rsid w:val="00CF32FB"/>
    <w:rsid w:val="00CF4957"/>
    <w:rsid w:val="00CF6089"/>
    <w:rsid w:val="00CF6D31"/>
    <w:rsid w:val="00D01BEA"/>
    <w:rsid w:val="00D01C0A"/>
    <w:rsid w:val="00D048F4"/>
    <w:rsid w:val="00D05760"/>
    <w:rsid w:val="00D05834"/>
    <w:rsid w:val="00D05B0B"/>
    <w:rsid w:val="00D062C1"/>
    <w:rsid w:val="00D07A39"/>
    <w:rsid w:val="00D11645"/>
    <w:rsid w:val="00D13048"/>
    <w:rsid w:val="00D147C4"/>
    <w:rsid w:val="00D163D4"/>
    <w:rsid w:val="00D21AD5"/>
    <w:rsid w:val="00D21FAE"/>
    <w:rsid w:val="00D22DD1"/>
    <w:rsid w:val="00D234C6"/>
    <w:rsid w:val="00D23D08"/>
    <w:rsid w:val="00D244BB"/>
    <w:rsid w:val="00D246A9"/>
    <w:rsid w:val="00D277F9"/>
    <w:rsid w:val="00D27B6F"/>
    <w:rsid w:val="00D30FCD"/>
    <w:rsid w:val="00D31A9E"/>
    <w:rsid w:val="00D32676"/>
    <w:rsid w:val="00D3666C"/>
    <w:rsid w:val="00D4106B"/>
    <w:rsid w:val="00D42046"/>
    <w:rsid w:val="00D4316B"/>
    <w:rsid w:val="00D434CC"/>
    <w:rsid w:val="00D439B5"/>
    <w:rsid w:val="00D44086"/>
    <w:rsid w:val="00D460ED"/>
    <w:rsid w:val="00D47667"/>
    <w:rsid w:val="00D47EFD"/>
    <w:rsid w:val="00D50AF4"/>
    <w:rsid w:val="00D50AF6"/>
    <w:rsid w:val="00D5182A"/>
    <w:rsid w:val="00D55377"/>
    <w:rsid w:val="00D55AB8"/>
    <w:rsid w:val="00D624F9"/>
    <w:rsid w:val="00D626F4"/>
    <w:rsid w:val="00D6276F"/>
    <w:rsid w:val="00D63109"/>
    <w:rsid w:val="00D634CA"/>
    <w:rsid w:val="00D635CA"/>
    <w:rsid w:val="00D63A53"/>
    <w:rsid w:val="00D64D51"/>
    <w:rsid w:val="00D64FD4"/>
    <w:rsid w:val="00D6751B"/>
    <w:rsid w:val="00D67767"/>
    <w:rsid w:val="00D67D18"/>
    <w:rsid w:val="00D700CA"/>
    <w:rsid w:val="00D733A8"/>
    <w:rsid w:val="00D743BC"/>
    <w:rsid w:val="00D75241"/>
    <w:rsid w:val="00D76F2C"/>
    <w:rsid w:val="00D77070"/>
    <w:rsid w:val="00D771AF"/>
    <w:rsid w:val="00D83959"/>
    <w:rsid w:val="00D85278"/>
    <w:rsid w:val="00D8558E"/>
    <w:rsid w:val="00D85721"/>
    <w:rsid w:val="00D87F01"/>
    <w:rsid w:val="00D92D6A"/>
    <w:rsid w:val="00D947A4"/>
    <w:rsid w:val="00D94E94"/>
    <w:rsid w:val="00D95C8C"/>
    <w:rsid w:val="00D962BA"/>
    <w:rsid w:val="00D965AC"/>
    <w:rsid w:val="00D96BD3"/>
    <w:rsid w:val="00D976D6"/>
    <w:rsid w:val="00D97877"/>
    <w:rsid w:val="00DA13C1"/>
    <w:rsid w:val="00DA1FFF"/>
    <w:rsid w:val="00DA2525"/>
    <w:rsid w:val="00DA2F56"/>
    <w:rsid w:val="00DA353D"/>
    <w:rsid w:val="00DA3916"/>
    <w:rsid w:val="00DA3E22"/>
    <w:rsid w:val="00DA41E9"/>
    <w:rsid w:val="00DA4BEF"/>
    <w:rsid w:val="00DA4CD7"/>
    <w:rsid w:val="00DA5BE2"/>
    <w:rsid w:val="00DA5DA7"/>
    <w:rsid w:val="00DA63D7"/>
    <w:rsid w:val="00DA63F3"/>
    <w:rsid w:val="00DB0226"/>
    <w:rsid w:val="00DB548C"/>
    <w:rsid w:val="00DB5FFD"/>
    <w:rsid w:val="00DB68C1"/>
    <w:rsid w:val="00DB7DA5"/>
    <w:rsid w:val="00DC03CA"/>
    <w:rsid w:val="00DC056D"/>
    <w:rsid w:val="00DC096C"/>
    <w:rsid w:val="00DC2910"/>
    <w:rsid w:val="00DC4A60"/>
    <w:rsid w:val="00DC5053"/>
    <w:rsid w:val="00DC50B8"/>
    <w:rsid w:val="00DC5EA2"/>
    <w:rsid w:val="00DC655A"/>
    <w:rsid w:val="00DD1B7D"/>
    <w:rsid w:val="00DD2139"/>
    <w:rsid w:val="00DD22FA"/>
    <w:rsid w:val="00DD2684"/>
    <w:rsid w:val="00DD3CF8"/>
    <w:rsid w:val="00DD3ED0"/>
    <w:rsid w:val="00DD7EB7"/>
    <w:rsid w:val="00DE351D"/>
    <w:rsid w:val="00DE4AD5"/>
    <w:rsid w:val="00DE618A"/>
    <w:rsid w:val="00DE6DB9"/>
    <w:rsid w:val="00DF0CBD"/>
    <w:rsid w:val="00DF1076"/>
    <w:rsid w:val="00DF18BB"/>
    <w:rsid w:val="00DF1D6C"/>
    <w:rsid w:val="00DF260E"/>
    <w:rsid w:val="00DF2A98"/>
    <w:rsid w:val="00DF3CEC"/>
    <w:rsid w:val="00DF3E41"/>
    <w:rsid w:val="00DF4F66"/>
    <w:rsid w:val="00DF51AE"/>
    <w:rsid w:val="00DF57D6"/>
    <w:rsid w:val="00DF612F"/>
    <w:rsid w:val="00DF6762"/>
    <w:rsid w:val="00DF6B0F"/>
    <w:rsid w:val="00E00D9F"/>
    <w:rsid w:val="00E014E6"/>
    <w:rsid w:val="00E05632"/>
    <w:rsid w:val="00E0774B"/>
    <w:rsid w:val="00E1008B"/>
    <w:rsid w:val="00E10CA0"/>
    <w:rsid w:val="00E11DEE"/>
    <w:rsid w:val="00E122C9"/>
    <w:rsid w:val="00E13636"/>
    <w:rsid w:val="00E15D6C"/>
    <w:rsid w:val="00E16B63"/>
    <w:rsid w:val="00E16D5D"/>
    <w:rsid w:val="00E17639"/>
    <w:rsid w:val="00E179FC"/>
    <w:rsid w:val="00E17E83"/>
    <w:rsid w:val="00E20982"/>
    <w:rsid w:val="00E211A8"/>
    <w:rsid w:val="00E21548"/>
    <w:rsid w:val="00E21681"/>
    <w:rsid w:val="00E243FC"/>
    <w:rsid w:val="00E24B6D"/>
    <w:rsid w:val="00E2566B"/>
    <w:rsid w:val="00E2585F"/>
    <w:rsid w:val="00E25C0C"/>
    <w:rsid w:val="00E25DE5"/>
    <w:rsid w:val="00E3090F"/>
    <w:rsid w:val="00E316C0"/>
    <w:rsid w:val="00E32A3A"/>
    <w:rsid w:val="00E33BEA"/>
    <w:rsid w:val="00E3462B"/>
    <w:rsid w:val="00E3531E"/>
    <w:rsid w:val="00E40762"/>
    <w:rsid w:val="00E40A83"/>
    <w:rsid w:val="00E41283"/>
    <w:rsid w:val="00E42DD2"/>
    <w:rsid w:val="00E43D1D"/>
    <w:rsid w:val="00E44B6B"/>
    <w:rsid w:val="00E44CB1"/>
    <w:rsid w:val="00E46643"/>
    <w:rsid w:val="00E50B2E"/>
    <w:rsid w:val="00E5105F"/>
    <w:rsid w:val="00E51DA0"/>
    <w:rsid w:val="00E523DB"/>
    <w:rsid w:val="00E547BD"/>
    <w:rsid w:val="00E54D90"/>
    <w:rsid w:val="00E551D6"/>
    <w:rsid w:val="00E56B08"/>
    <w:rsid w:val="00E6076B"/>
    <w:rsid w:val="00E61CFC"/>
    <w:rsid w:val="00E62478"/>
    <w:rsid w:val="00E636EE"/>
    <w:rsid w:val="00E652B8"/>
    <w:rsid w:val="00E666CE"/>
    <w:rsid w:val="00E67541"/>
    <w:rsid w:val="00E7198F"/>
    <w:rsid w:val="00E7224B"/>
    <w:rsid w:val="00E73488"/>
    <w:rsid w:val="00E73DF5"/>
    <w:rsid w:val="00E74555"/>
    <w:rsid w:val="00E775C5"/>
    <w:rsid w:val="00E80585"/>
    <w:rsid w:val="00E81770"/>
    <w:rsid w:val="00E81E6A"/>
    <w:rsid w:val="00E85061"/>
    <w:rsid w:val="00E8601B"/>
    <w:rsid w:val="00E86C99"/>
    <w:rsid w:val="00E94C3A"/>
    <w:rsid w:val="00E96A93"/>
    <w:rsid w:val="00E96D86"/>
    <w:rsid w:val="00E97221"/>
    <w:rsid w:val="00E97237"/>
    <w:rsid w:val="00E974EF"/>
    <w:rsid w:val="00E97698"/>
    <w:rsid w:val="00EA3D4A"/>
    <w:rsid w:val="00EA503E"/>
    <w:rsid w:val="00EA5122"/>
    <w:rsid w:val="00EA737E"/>
    <w:rsid w:val="00EA76F0"/>
    <w:rsid w:val="00EB1003"/>
    <w:rsid w:val="00EB1178"/>
    <w:rsid w:val="00EB2229"/>
    <w:rsid w:val="00EB25C8"/>
    <w:rsid w:val="00EB3E8A"/>
    <w:rsid w:val="00EB42FA"/>
    <w:rsid w:val="00EB454D"/>
    <w:rsid w:val="00EB529E"/>
    <w:rsid w:val="00EB5556"/>
    <w:rsid w:val="00EB5C14"/>
    <w:rsid w:val="00EB6741"/>
    <w:rsid w:val="00EB7137"/>
    <w:rsid w:val="00EB748E"/>
    <w:rsid w:val="00EC0CA6"/>
    <w:rsid w:val="00EC1527"/>
    <w:rsid w:val="00EC21D9"/>
    <w:rsid w:val="00EC2E60"/>
    <w:rsid w:val="00EC59E4"/>
    <w:rsid w:val="00EC5FBE"/>
    <w:rsid w:val="00ED1259"/>
    <w:rsid w:val="00ED315A"/>
    <w:rsid w:val="00ED368B"/>
    <w:rsid w:val="00ED36FF"/>
    <w:rsid w:val="00ED3789"/>
    <w:rsid w:val="00ED66F3"/>
    <w:rsid w:val="00EE15DB"/>
    <w:rsid w:val="00EE22BF"/>
    <w:rsid w:val="00EE2393"/>
    <w:rsid w:val="00EE4622"/>
    <w:rsid w:val="00EE48CB"/>
    <w:rsid w:val="00EE48E4"/>
    <w:rsid w:val="00EE4AFD"/>
    <w:rsid w:val="00EE63C6"/>
    <w:rsid w:val="00EE6493"/>
    <w:rsid w:val="00EE7534"/>
    <w:rsid w:val="00EE7E33"/>
    <w:rsid w:val="00EF0054"/>
    <w:rsid w:val="00EF0316"/>
    <w:rsid w:val="00EF0415"/>
    <w:rsid w:val="00EF207D"/>
    <w:rsid w:val="00EF5BFE"/>
    <w:rsid w:val="00EF6D32"/>
    <w:rsid w:val="00EF7C52"/>
    <w:rsid w:val="00F00AC0"/>
    <w:rsid w:val="00F02D38"/>
    <w:rsid w:val="00F03ABA"/>
    <w:rsid w:val="00F04FD7"/>
    <w:rsid w:val="00F063BD"/>
    <w:rsid w:val="00F06970"/>
    <w:rsid w:val="00F06CA8"/>
    <w:rsid w:val="00F06E88"/>
    <w:rsid w:val="00F0736F"/>
    <w:rsid w:val="00F07B1B"/>
    <w:rsid w:val="00F118AE"/>
    <w:rsid w:val="00F11EEC"/>
    <w:rsid w:val="00F13566"/>
    <w:rsid w:val="00F14A52"/>
    <w:rsid w:val="00F14DDC"/>
    <w:rsid w:val="00F158C5"/>
    <w:rsid w:val="00F15CEC"/>
    <w:rsid w:val="00F2129C"/>
    <w:rsid w:val="00F216DC"/>
    <w:rsid w:val="00F232DF"/>
    <w:rsid w:val="00F2592C"/>
    <w:rsid w:val="00F26F16"/>
    <w:rsid w:val="00F30669"/>
    <w:rsid w:val="00F31906"/>
    <w:rsid w:val="00F31EC8"/>
    <w:rsid w:val="00F321C0"/>
    <w:rsid w:val="00F32333"/>
    <w:rsid w:val="00F348A0"/>
    <w:rsid w:val="00F35F1C"/>
    <w:rsid w:val="00F36628"/>
    <w:rsid w:val="00F376DE"/>
    <w:rsid w:val="00F41327"/>
    <w:rsid w:val="00F41E2A"/>
    <w:rsid w:val="00F430EC"/>
    <w:rsid w:val="00F44668"/>
    <w:rsid w:val="00F44BAF"/>
    <w:rsid w:val="00F459AC"/>
    <w:rsid w:val="00F46894"/>
    <w:rsid w:val="00F46AA8"/>
    <w:rsid w:val="00F4742D"/>
    <w:rsid w:val="00F51DA6"/>
    <w:rsid w:val="00F534F0"/>
    <w:rsid w:val="00F53AEC"/>
    <w:rsid w:val="00F550FA"/>
    <w:rsid w:val="00F5682E"/>
    <w:rsid w:val="00F568F9"/>
    <w:rsid w:val="00F5723C"/>
    <w:rsid w:val="00F61A17"/>
    <w:rsid w:val="00F62EC6"/>
    <w:rsid w:val="00F672AF"/>
    <w:rsid w:val="00F70AE3"/>
    <w:rsid w:val="00F71188"/>
    <w:rsid w:val="00F71A9C"/>
    <w:rsid w:val="00F72BD5"/>
    <w:rsid w:val="00F732D9"/>
    <w:rsid w:val="00F73584"/>
    <w:rsid w:val="00F74DC4"/>
    <w:rsid w:val="00F7563B"/>
    <w:rsid w:val="00F77AC8"/>
    <w:rsid w:val="00F81519"/>
    <w:rsid w:val="00F82C7F"/>
    <w:rsid w:val="00F83314"/>
    <w:rsid w:val="00F8616F"/>
    <w:rsid w:val="00F904A9"/>
    <w:rsid w:val="00F90603"/>
    <w:rsid w:val="00F90926"/>
    <w:rsid w:val="00F93097"/>
    <w:rsid w:val="00F930E5"/>
    <w:rsid w:val="00F95016"/>
    <w:rsid w:val="00F97CB1"/>
    <w:rsid w:val="00FA11CC"/>
    <w:rsid w:val="00FA1AC6"/>
    <w:rsid w:val="00FA36C2"/>
    <w:rsid w:val="00FA3BB1"/>
    <w:rsid w:val="00FA3BB7"/>
    <w:rsid w:val="00FA52D1"/>
    <w:rsid w:val="00FA5395"/>
    <w:rsid w:val="00FA67C0"/>
    <w:rsid w:val="00FA7902"/>
    <w:rsid w:val="00FB5E0C"/>
    <w:rsid w:val="00FB62EC"/>
    <w:rsid w:val="00FC01D2"/>
    <w:rsid w:val="00FC07AB"/>
    <w:rsid w:val="00FC222D"/>
    <w:rsid w:val="00FC6261"/>
    <w:rsid w:val="00FC6B78"/>
    <w:rsid w:val="00FC765D"/>
    <w:rsid w:val="00FD19CA"/>
    <w:rsid w:val="00FD2D17"/>
    <w:rsid w:val="00FD4D02"/>
    <w:rsid w:val="00FD4FC8"/>
    <w:rsid w:val="00FD59E8"/>
    <w:rsid w:val="00FE0260"/>
    <w:rsid w:val="00FE0FD0"/>
    <w:rsid w:val="00FE195E"/>
    <w:rsid w:val="00FE1C4F"/>
    <w:rsid w:val="00FE25AC"/>
    <w:rsid w:val="00FE3089"/>
    <w:rsid w:val="00FE35B5"/>
    <w:rsid w:val="00FE4058"/>
    <w:rsid w:val="00FE46B5"/>
    <w:rsid w:val="00FE491A"/>
    <w:rsid w:val="00FE770E"/>
    <w:rsid w:val="00FF1D7A"/>
    <w:rsid w:val="00FF1F46"/>
    <w:rsid w:val="00FF2E48"/>
    <w:rsid w:val="00FF30A0"/>
    <w:rsid w:val="00FF3768"/>
    <w:rsid w:val="00FF3E8F"/>
    <w:rsid w:val="00FF56B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6C0278A-6436-45F7-A826-ED9B139C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041C07"/>
    <w:pPr>
      <w:keepNext/>
      <w:numPr>
        <w:numId w:val="1"/>
      </w:numPr>
      <w:spacing w:before="240" w:after="60" w:line="360" w:lineRule="auto"/>
      <w:outlineLvl w:val="0"/>
    </w:pPr>
    <w:rPr>
      <w:rFonts w:ascii="Century Schoolbook" w:hAnsi="Century Schoolbook"/>
      <w:b/>
      <w:bCs/>
      <w:kern w:val="32"/>
      <w:sz w:val="28"/>
      <w:szCs w:val="32"/>
      <w:lang w:val="x-none" w:eastAsia="x-none"/>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lang w:val="x-none" w:eastAsia="x-none"/>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lang w:val="x-none" w:eastAsia="x-none"/>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lang w:val="x-none" w:eastAsia="x-none"/>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lang w:val="x-none" w:eastAsia="x-none"/>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lang w:val="x-none" w:eastAsia="x-none"/>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lang w:val="x-none" w:eastAsia="x-none"/>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lang w:val="x-none" w:eastAsia="x-none"/>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val="x-none"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lang w:val="x-none" w:eastAsia="x-none"/>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val="x-none"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Strip"/>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lang w:val="x-none" w:eastAsia="x-none"/>
    </w:rPr>
  </w:style>
  <w:style w:type="character" w:customStyle="1" w:styleId="Heading2Char">
    <w:name w:val="Heading 2 Char"/>
    <w:link w:val="Heading2"/>
    <w:rsid w:val="00340C1B"/>
    <w:rPr>
      <w:rFonts w:ascii="Century Schoolbook" w:eastAsia="Times New Roman" w:hAnsi="Century Schoolbook"/>
      <w:b/>
      <w:bCs/>
      <w:iCs/>
      <w:sz w:val="28"/>
      <w:szCs w:val="28"/>
      <w:lang w:val="x-none" w:eastAsia="x-none"/>
    </w:rPr>
  </w:style>
  <w:style w:type="character" w:customStyle="1" w:styleId="Heading3Char">
    <w:name w:val="Heading 3 Char"/>
    <w:link w:val="Heading3"/>
    <w:rsid w:val="00340C1B"/>
    <w:rPr>
      <w:rFonts w:ascii="Century Schoolbook" w:eastAsia="Times New Roman" w:hAnsi="Century Schoolbook"/>
      <w:b/>
      <w:bCs/>
      <w:sz w:val="24"/>
      <w:szCs w:val="26"/>
      <w:lang w:val="x-none" w:eastAsia="x-none"/>
    </w:rPr>
  </w:style>
  <w:style w:type="character" w:customStyle="1" w:styleId="Heading4Char">
    <w:name w:val="Heading 4 Char"/>
    <w:link w:val="Heading4"/>
    <w:rsid w:val="00340C1B"/>
    <w:rPr>
      <w:rFonts w:ascii="Century Schoolbook" w:eastAsia="Times New Roman" w:hAnsi="Century Schoolbook"/>
      <w:b/>
      <w:bCs/>
      <w:szCs w:val="28"/>
      <w:lang w:val="x-none" w:eastAsia="x-none"/>
    </w:rPr>
  </w:style>
  <w:style w:type="character" w:customStyle="1" w:styleId="Heading5Char">
    <w:name w:val="Heading 5 Char"/>
    <w:link w:val="Heading5"/>
    <w:rsid w:val="00340C1B"/>
    <w:rPr>
      <w:rFonts w:ascii="Century Schoolbook" w:eastAsia="Times New Roman" w:hAnsi="Century Schoolbook"/>
      <w:b/>
      <w:bCs/>
      <w:iCs/>
      <w:sz w:val="26"/>
      <w:szCs w:val="26"/>
      <w:lang w:val="x-none" w:eastAsia="x-none"/>
    </w:rPr>
  </w:style>
  <w:style w:type="character" w:customStyle="1" w:styleId="Heading6Char">
    <w:name w:val="Heading 6 Char"/>
    <w:link w:val="Heading6"/>
    <w:rsid w:val="00340C1B"/>
    <w:rPr>
      <w:rFonts w:ascii="Century Schoolbook" w:eastAsia="Times New Roman" w:hAnsi="Century Schoolbook"/>
      <w:b/>
      <w:bCs/>
      <w:szCs w:val="22"/>
      <w:lang w:val="x-none" w:eastAsia="x-none"/>
    </w:rPr>
  </w:style>
  <w:style w:type="character" w:customStyle="1" w:styleId="Heading7Char">
    <w:name w:val="Heading 7 Char"/>
    <w:link w:val="Heading7"/>
    <w:rsid w:val="00340C1B"/>
    <w:rPr>
      <w:rFonts w:ascii="Century Schoolbook" w:eastAsia="Times New Roman" w:hAnsi="Century Schoolbook"/>
      <w:b/>
      <w:lang w:val="x-none" w:eastAsia="x-none"/>
    </w:rPr>
  </w:style>
  <w:style w:type="character" w:customStyle="1" w:styleId="Heading8Char">
    <w:name w:val="Heading 8 Char"/>
    <w:link w:val="Heading8"/>
    <w:rsid w:val="00340C1B"/>
    <w:rPr>
      <w:rFonts w:ascii="Century Schoolbook" w:eastAsia="Times New Roman" w:hAnsi="Century Schoolbook"/>
      <w:b/>
      <w:iCs/>
      <w:lang w:val="x-none" w:eastAsia="x-none"/>
    </w:rPr>
  </w:style>
  <w:style w:type="character" w:customStyle="1" w:styleId="Heading9Char">
    <w:name w:val="Heading 9 Char"/>
    <w:link w:val="Heading9"/>
    <w:rsid w:val="00340C1B"/>
    <w:rPr>
      <w:rFonts w:ascii="Century Schoolbook" w:eastAsia="Times New Roman" w:hAnsi="Century Schoolbook"/>
      <w:szCs w:val="22"/>
      <w:lang w:val="x-none" w:eastAsia="x-none"/>
    </w:rPr>
  </w:style>
  <w:style w:type="character" w:styleId="Emphasis">
    <w:name w:val="Emphasis"/>
    <w:uiPriority w:val="20"/>
    <w:qFormat/>
    <w:rsid w:val="00105459"/>
    <w:rPr>
      <w:i/>
      <w:iCs/>
    </w:rPr>
  </w:style>
  <w:style w:type="paragraph" w:customStyle="1" w:styleId="Style1">
    <w:name w:val="Style1"/>
    <w:basedOn w:val="BalloonText"/>
    <w:next w:val="Normal"/>
    <w:qFormat/>
    <w:rsid w:val="00041C0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lang w:val="x-none" w:eastAsia="x-none"/>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 Char Char Char,Fußnotentext Char Char Char Char Char Char Char Char1,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uiPriority w:val="99"/>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Strip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1C07"/>
    <w:pPr>
      <w:pageBreakBefore/>
      <w:numPr>
        <w:numId w:val="5"/>
      </w:numPr>
      <w:tabs>
        <w:tab w:val="num" w:pos="360"/>
        <w:tab w:val="clear" w:pos="851"/>
      </w:tabs>
      <w:spacing w:before="0" w:after="120" w:line="240" w:lineRule="auto"/>
      <w:ind w:left="0" w:right="176" w:firstLine="0"/>
    </w:pPr>
    <w:rPr>
      <w:rFonts w:ascii="Segoe UI" w:hAnsi="Segoe UI" w:cs="Arial"/>
      <w:kern w:val="0"/>
      <w:sz w:val="40"/>
      <w:szCs w:val="40"/>
      <w:lang w:val="lv-LV" w:eastAsia="en-US"/>
    </w:rPr>
  </w:style>
  <w:style w:type="paragraph" w:customStyle="1" w:styleId="ISHeading2">
    <w:name w:val="IS Heading 2"/>
    <w:basedOn w:val="Heading2"/>
    <w:next w:val="ISBodyText"/>
    <w:uiPriority w:val="99"/>
    <w:qFormat/>
    <w:rsid w:val="00041C07"/>
    <w:pPr>
      <w:numPr>
        <w:numId w:val="5"/>
      </w:numPr>
      <w:spacing w:before="480" w:after="160" w:line="240" w:lineRule="auto"/>
    </w:pPr>
    <w:rPr>
      <w:rFonts w:ascii="Segoe UI" w:hAnsi="Segoe UI" w:cs="Arial"/>
      <w:bCs w:val="0"/>
      <w:iCs w:val="0"/>
      <w:sz w:val="32"/>
      <w:szCs w:val="32"/>
      <w:lang w:val="lv-LV" w:eastAsia="lv-LV"/>
    </w:rPr>
  </w:style>
  <w:style w:type="paragraph" w:customStyle="1" w:styleId="ISHeading3">
    <w:name w:val="IS Heading 3"/>
    <w:basedOn w:val="ISHeading2"/>
    <w:next w:val="ISBodyText"/>
    <w:link w:val="ISHeading3Char"/>
    <w:uiPriority w:val="99"/>
    <w:qFormat/>
    <w:rsid w:val="00041C07"/>
    <w:pPr>
      <w:numPr>
        <w:ilvl w:val="2"/>
      </w:numPr>
      <w:spacing w:after="120"/>
      <w:outlineLvl w:val="2"/>
    </w:pPr>
    <w:rPr>
      <w:rFonts w:cs="Times New Roman"/>
      <w:sz w:val="24"/>
      <w:szCs w:val="24"/>
      <w:lang w:val="x-none" w:eastAsia="x-none"/>
    </w:rPr>
  </w:style>
  <w:style w:type="table" w:styleId="TableGrid">
    <w:name w:val="Table Grid"/>
    <w:basedOn w:val="TableNormal"/>
    <w:uiPriority w:val="3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b/>
      <w:sz w:val="24"/>
      <w:szCs w:val="24"/>
      <w:lang w:val="x-none" w:eastAsia="x-none"/>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041C07"/>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lang w:val="x-none" w:eastAsia="x-none"/>
    </w:rPr>
  </w:style>
  <w:style w:type="character" w:customStyle="1" w:styleId="header3">
    <w:name w:val="header3"/>
    <w:basedOn w:val="DefaultParagraphFont"/>
    <w:rsid w:val="00654CC4"/>
  </w:style>
  <w:style w:type="character" w:customStyle="1" w:styleId="italic">
    <w:name w:val="italic"/>
    <w:basedOn w:val="DefaultParagraphFont"/>
    <w:rsid w:val="00646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9265C-A227-4331-87B1-63EDBD12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17950</Words>
  <Characters>10232</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Mk rīkojuma projekts</vt:lpstr>
    </vt:vector>
  </TitlesOfParts>
  <Company>Vides aizsardzības un reģionālās attīstības ministrija</Company>
  <LinksUpToDate>false</LinksUpToDate>
  <CharactersWithSpaces>28126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dc:title>
  <dc:subject>MK rīkojuma projekts</dc:subject>
  <dc:creator>Lelda Kalniņa</dc:creator>
  <dc:description>67026576; lelda.kalnina@varam.gov.lv</dc:description>
  <cp:lastModifiedBy>Dainis Špeļs</cp:lastModifiedBy>
  <cp:revision>9</cp:revision>
  <cp:lastPrinted>2017-07-26T10:35:00Z</cp:lastPrinted>
  <dcterms:created xsi:type="dcterms:W3CDTF">2017-08-21T10:01:00Z</dcterms:created>
  <dcterms:modified xsi:type="dcterms:W3CDTF">2017-08-21T13:41:00Z</dcterms:modified>
</cp:coreProperties>
</file>