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CC52C8" w:rsidRPr="00B74080" w:rsidP="00CC52C8">
      <w:pPr>
        <w:spacing w:after="0" w:line="240" w:lineRule="auto"/>
        <w:ind w:right="-1"/>
        <w:jc w:val="center"/>
        <w:rPr>
          <w:rFonts w:ascii="Times New Roman" w:hAnsi="Times New Roman"/>
          <w:b/>
          <w:sz w:val="28"/>
          <w:szCs w:val="28"/>
          <w:lang w:val="lv-LV"/>
        </w:rPr>
      </w:pPr>
      <w:bookmarkStart w:id="0" w:name="OLE_LINK9"/>
      <w:bookmarkStart w:id="1" w:name="OLE_LINK10"/>
      <w:bookmarkStart w:id="2" w:name="OLE_LINK7"/>
      <w:bookmarkStart w:id="3" w:name="OLE_LINK8"/>
      <w:bookmarkStart w:id="4" w:name="OLE_LINK1"/>
      <w:bookmarkStart w:id="5" w:name="OLE_LINK2"/>
      <w:bookmarkStart w:id="6" w:name="OLE_LINK11"/>
      <w:bookmarkStart w:id="7" w:name="OLE_LINK12"/>
      <w:r w:rsidRPr="00A92ABE">
        <w:rPr>
          <w:rFonts w:ascii="Times New Roman" w:eastAsia="Times New Roman" w:hAnsi="Times New Roman" w:cs="Times New Roman"/>
          <w:b/>
          <w:bCs/>
          <w:sz w:val="28"/>
          <w:szCs w:val="28"/>
          <w:lang w:val="lv-LV" w:eastAsia="lv-LV"/>
        </w:rPr>
        <w:t xml:space="preserve">Ministru kabineta noteikumu projekta </w:t>
      </w:r>
      <w:r>
        <w:rPr>
          <w:rFonts w:ascii="Times New Roman" w:hAnsi="Times New Roman"/>
          <w:b/>
          <w:sz w:val="28"/>
          <w:szCs w:val="28"/>
          <w:lang w:val="lv-LV"/>
        </w:rPr>
        <w:t>„</w:t>
      </w:r>
      <w:r w:rsidR="00A0798B">
        <w:rPr>
          <w:rFonts w:ascii="Times New Roman" w:hAnsi="Times New Roman"/>
          <w:b/>
          <w:sz w:val="28"/>
          <w:szCs w:val="28"/>
          <w:lang w:val="lv-LV"/>
        </w:rPr>
        <w:t>Grozījumi</w:t>
      </w:r>
      <w:r w:rsidRPr="00CC52C8">
        <w:rPr>
          <w:rFonts w:ascii="Times New Roman" w:hAnsi="Times New Roman"/>
          <w:b/>
          <w:sz w:val="28"/>
          <w:szCs w:val="28"/>
          <w:lang w:val="lv-LV"/>
        </w:rPr>
        <w:t xml:space="preserve"> Ministru kabineta 2001.</w:t>
      </w:r>
      <w:r w:rsidR="00DE29C6">
        <w:rPr>
          <w:rFonts w:ascii="Times New Roman" w:hAnsi="Times New Roman"/>
          <w:b/>
          <w:sz w:val="28"/>
          <w:szCs w:val="28"/>
          <w:lang w:val="lv-LV"/>
        </w:rPr>
        <w:t xml:space="preserve"> </w:t>
      </w:r>
      <w:r>
        <w:rPr>
          <w:rFonts w:ascii="Times New Roman" w:hAnsi="Times New Roman"/>
          <w:b/>
          <w:sz w:val="28"/>
          <w:szCs w:val="28"/>
          <w:lang w:val="lv-LV"/>
        </w:rPr>
        <w:t>gada 3.</w:t>
      </w:r>
      <w:r w:rsidR="00DE29C6">
        <w:rPr>
          <w:rFonts w:ascii="Times New Roman" w:hAnsi="Times New Roman"/>
          <w:b/>
          <w:sz w:val="28"/>
          <w:szCs w:val="28"/>
          <w:lang w:val="lv-LV"/>
        </w:rPr>
        <w:t xml:space="preserve"> </w:t>
      </w:r>
      <w:r w:rsidRPr="00CC52C8">
        <w:rPr>
          <w:rFonts w:ascii="Times New Roman" w:hAnsi="Times New Roman"/>
          <w:b/>
          <w:sz w:val="28"/>
          <w:szCs w:val="28"/>
          <w:lang w:val="lv-LV"/>
        </w:rPr>
        <w:t>aprīļa noteikumos Nr.152 „Darbnespējas lapu izsniegšanas kārtība”</w:t>
      </w:r>
      <w:r>
        <w:rPr>
          <w:rFonts w:ascii="Times New Roman" w:hAnsi="Times New Roman"/>
          <w:b/>
          <w:sz w:val="28"/>
          <w:szCs w:val="28"/>
          <w:lang w:val="lv-LV"/>
        </w:rPr>
        <w:t xml:space="preserve">” </w:t>
      </w:r>
      <w:r w:rsidRPr="00A92ABE">
        <w:rPr>
          <w:rFonts w:ascii="Times New Roman" w:eastAsia="Times New Roman" w:hAnsi="Times New Roman" w:cs="Times New Roman"/>
          <w:b/>
          <w:bCs/>
          <w:sz w:val="28"/>
          <w:szCs w:val="28"/>
          <w:lang w:val="lv-LV" w:eastAsia="lv-LV"/>
        </w:rPr>
        <w:t>sākotnējās ietekmes novērtējuma ziņojums (anotācija)</w:t>
      </w:r>
      <w:bookmarkEnd w:id="0"/>
      <w:bookmarkEnd w:id="1"/>
    </w:p>
    <w:p w:rsidR="00CC52C8" w:rsidRPr="00A92ABE" w:rsidP="00CC52C8">
      <w:pPr>
        <w:pStyle w:val="NoSpacing"/>
        <w:rPr>
          <w:b/>
          <w:lang w:val="lv-LV"/>
        </w:rPr>
      </w:pPr>
      <w:bookmarkEnd w:id="2"/>
      <w:bookmarkEnd w:id="3"/>
      <w:bookmarkEnd w:id="4"/>
      <w:bookmarkEnd w:id="5"/>
    </w:p>
    <w:tbl>
      <w:tblPr>
        <w:tblW w:w="5000"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423"/>
        <w:gridCol w:w="2397"/>
        <w:gridCol w:w="6311"/>
      </w:tblGrid>
      <w:tr w:rsidTr="00CC52C8">
        <w:tblPrEx>
          <w:tblW w:w="5000"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40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C52C8" w:rsidRPr="00A92ABE" w:rsidP="00CC52C8">
            <w:pPr>
              <w:pStyle w:val="NoSpacing"/>
              <w:jc w:val="center"/>
              <w:rPr>
                <w:b/>
                <w:lang w:val="lv-LV"/>
              </w:rPr>
            </w:pPr>
            <w:bookmarkEnd w:id="6"/>
            <w:bookmarkEnd w:id="7"/>
            <w:r w:rsidRPr="00A92ABE">
              <w:rPr>
                <w:b/>
                <w:lang w:val="lv-LV"/>
              </w:rPr>
              <w:t>I. Tiesību akta projekta izstrādes nepieciešamība</w:t>
            </w:r>
          </w:p>
        </w:tc>
      </w:tr>
      <w:tr w:rsidTr="00CC52C8">
        <w:tblPrEx>
          <w:tblW w:w="5000" w:type="pct"/>
          <w:tblInd w:w="30" w:type="dxa"/>
          <w:shd w:val="clear" w:color="auto" w:fill="FFFFFF"/>
          <w:tblLayout w:type="fixed"/>
          <w:tblCellMar>
            <w:top w:w="30" w:type="dxa"/>
            <w:left w:w="30" w:type="dxa"/>
            <w:bottom w:w="30" w:type="dxa"/>
            <w:right w:w="30" w:type="dxa"/>
          </w:tblCellMar>
          <w:tblLook w:val="04A0"/>
        </w:tblPrEx>
        <w:trPr>
          <w:trHeight w:val="405"/>
        </w:trPr>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1.</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Pamatojums</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CC52C8" w:rsidRPr="008178E1" w:rsidP="002743C4">
            <w:pPr>
              <w:spacing w:after="0" w:line="240" w:lineRule="auto"/>
              <w:jc w:val="both"/>
              <w:rPr>
                <w:rFonts w:ascii="Times New Roman" w:hAnsi="Times New Roman" w:cs="Times New Roman"/>
                <w:sz w:val="24"/>
                <w:szCs w:val="24"/>
                <w:lang w:val="lv-LV"/>
              </w:rPr>
            </w:pPr>
            <w:r w:rsidRPr="008178E1">
              <w:rPr>
                <w:rFonts w:ascii="Times New Roman" w:hAnsi="Times New Roman" w:cs="Times New Roman"/>
                <w:sz w:val="24"/>
                <w:szCs w:val="24"/>
                <w:lang w:val="lv-LV"/>
              </w:rPr>
              <w:t>Mini</w:t>
            </w:r>
            <w:r w:rsidRPr="008178E1" w:rsidR="006346B4">
              <w:rPr>
                <w:rFonts w:ascii="Times New Roman" w:hAnsi="Times New Roman" w:cs="Times New Roman"/>
                <w:sz w:val="24"/>
                <w:szCs w:val="24"/>
                <w:lang w:val="lv-LV"/>
              </w:rPr>
              <w:t>stru kabineta noteikumu projekts</w:t>
            </w:r>
            <w:r w:rsidRPr="008178E1">
              <w:rPr>
                <w:rFonts w:ascii="Times New Roman" w:hAnsi="Times New Roman" w:cs="Times New Roman"/>
                <w:sz w:val="24"/>
                <w:szCs w:val="24"/>
                <w:lang w:val="lv-LV"/>
              </w:rPr>
              <w:t xml:space="preserve"> „Grozījum</w:t>
            </w:r>
            <w:r w:rsidRPr="008178E1" w:rsidR="00A0798B">
              <w:rPr>
                <w:rFonts w:ascii="Times New Roman" w:hAnsi="Times New Roman" w:cs="Times New Roman"/>
                <w:sz w:val="24"/>
                <w:szCs w:val="24"/>
                <w:lang w:val="lv-LV"/>
              </w:rPr>
              <w:t>i</w:t>
            </w:r>
            <w:r w:rsidRPr="008178E1">
              <w:rPr>
                <w:rFonts w:ascii="Times New Roman" w:hAnsi="Times New Roman" w:cs="Times New Roman"/>
                <w:sz w:val="24"/>
                <w:szCs w:val="24"/>
                <w:lang w:val="lv-LV"/>
              </w:rPr>
              <w:t xml:space="preserve"> Ministru kabineta 2001.</w:t>
            </w:r>
            <w:r w:rsidRPr="008178E1" w:rsidR="00DE29C6">
              <w:rPr>
                <w:rFonts w:ascii="Times New Roman" w:hAnsi="Times New Roman" w:cs="Times New Roman"/>
                <w:sz w:val="24"/>
                <w:szCs w:val="24"/>
                <w:lang w:val="lv-LV"/>
              </w:rPr>
              <w:t xml:space="preserve"> </w:t>
            </w:r>
            <w:r w:rsidRPr="008178E1">
              <w:rPr>
                <w:rFonts w:ascii="Times New Roman" w:hAnsi="Times New Roman" w:cs="Times New Roman"/>
                <w:sz w:val="24"/>
                <w:szCs w:val="24"/>
                <w:lang w:val="lv-LV"/>
              </w:rPr>
              <w:t>gada 3.</w:t>
            </w:r>
            <w:r w:rsidRPr="008178E1" w:rsidR="00DE29C6">
              <w:rPr>
                <w:rFonts w:ascii="Times New Roman" w:hAnsi="Times New Roman" w:cs="Times New Roman"/>
                <w:sz w:val="24"/>
                <w:szCs w:val="24"/>
                <w:lang w:val="lv-LV"/>
              </w:rPr>
              <w:t xml:space="preserve"> </w:t>
            </w:r>
            <w:r w:rsidRPr="008178E1">
              <w:rPr>
                <w:rFonts w:ascii="Times New Roman" w:hAnsi="Times New Roman" w:cs="Times New Roman"/>
                <w:sz w:val="24"/>
                <w:szCs w:val="24"/>
                <w:lang w:val="lv-LV"/>
              </w:rPr>
              <w:t>aprīļa noteikumos Nr.152 „Darbnespējas lapu izsniegšanas kārtība”” (turpmāk – Noteikumu projekts</w:t>
            </w:r>
            <w:r w:rsidRPr="008178E1" w:rsidR="00345DB9">
              <w:rPr>
                <w:rFonts w:ascii="Times New Roman" w:hAnsi="Times New Roman" w:cs="Times New Roman"/>
                <w:sz w:val="24"/>
                <w:szCs w:val="24"/>
                <w:lang w:val="lv-LV"/>
              </w:rPr>
              <w:t>)</w:t>
            </w:r>
            <w:r w:rsidRPr="008178E1">
              <w:rPr>
                <w:rFonts w:ascii="Times New Roman" w:hAnsi="Times New Roman" w:cs="Times New Roman"/>
                <w:sz w:val="24"/>
                <w:szCs w:val="24"/>
                <w:lang w:val="lv-LV"/>
              </w:rPr>
              <w:t xml:space="preserve"> </w:t>
            </w:r>
            <w:r w:rsidRPr="008178E1" w:rsidR="00345DB9">
              <w:rPr>
                <w:rFonts w:ascii="Times New Roman" w:hAnsi="Times New Roman" w:cs="Times New Roman"/>
                <w:sz w:val="24"/>
                <w:szCs w:val="24"/>
                <w:lang w:val="lv-LV"/>
              </w:rPr>
              <w:t>izstrādāts, pamatojoties uz l</w:t>
            </w:r>
            <w:r w:rsidRPr="008178E1">
              <w:rPr>
                <w:rFonts w:ascii="Times New Roman" w:hAnsi="Times New Roman" w:cs="Times New Roman"/>
                <w:sz w:val="24"/>
                <w:szCs w:val="24"/>
                <w:lang w:val="lv-LV"/>
              </w:rPr>
              <w:t>ikuma “Par maternitātes un slimības apdrošināšanu” 9. un 12.pant</w:t>
            </w:r>
            <w:r w:rsidRPr="008178E1" w:rsidR="00345DB9">
              <w:rPr>
                <w:rFonts w:ascii="Times New Roman" w:hAnsi="Times New Roman" w:cs="Times New Roman"/>
                <w:sz w:val="24"/>
                <w:szCs w:val="24"/>
                <w:lang w:val="lv-LV"/>
              </w:rPr>
              <w:t>u, l</w:t>
            </w:r>
            <w:r w:rsidRPr="008178E1">
              <w:rPr>
                <w:rFonts w:ascii="Times New Roman" w:hAnsi="Times New Roman" w:cs="Times New Roman"/>
                <w:sz w:val="24"/>
                <w:szCs w:val="24"/>
                <w:lang w:val="lv-LV"/>
              </w:rPr>
              <w:t xml:space="preserve">ikuma “Par obligāto sociālo apdrošināšanu pret nelaimes gadījumiem darbā un </w:t>
            </w:r>
            <w:r w:rsidRPr="008178E1" w:rsidR="00345DB9">
              <w:rPr>
                <w:rFonts w:ascii="Times New Roman" w:hAnsi="Times New Roman" w:cs="Times New Roman"/>
                <w:sz w:val="24"/>
                <w:szCs w:val="24"/>
                <w:lang w:val="lv-LV"/>
              </w:rPr>
              <w:t>arodslimībām” 19.panta pirmo</w:t>
            </w:r>
            <w:r w:rsidRPr="008178E1">
              <w:rPr>
                <w:rFonts w:ascii="Times New Roman" w:hAnsi="Times New Roman" w:cs="Times New Roman"/>
                <w:sz w:val="24"/>
                <w:szCs w:val="24"/>
                <w:lang w:val="lv-LV"/>
              </w:rPr>
              <w:t xml:space="preserve"> daļ</w:t>
            </w:r>
            <w:r w:rsidRPr="008178E1" w:rsidR="00345DB9">
              <w:rPr>
                <w:rFonts w:ascii="Times New Roman" w:hAnsi="Times New Roman" w:cs="Times New Roman"/>
                <w:sz w:val="24"/>
                <w:szCs w:val="24"/>
                <w:lang w:val="lv-LV"/>
              </w:rPr>
              <w:t xml:space="preserve">u un </w:t>
            </w:r>
            <w:r w:rsidRPr="008178E1">
              <w:rPr>
                <w:rFonts w:ascii="Times New Roman" w:hAnsi="Times New Roman" w:cs="Times New Roman"/>
                <w:sz w:val="24"/>
                <w:szCs w:val="24"/>
                <w:lang w:val="lv-LV"/>
              </w:rPr>
              <w:t>Ārstniecības likuma 53.pant</w:t>
            </w:r>
            <w:r w:rsidRPr="008178E1" w:rsidR="00345DB9">
              <w:rPr>
                <w:rFonts w:ascii="Times New Roman" w:hAnsi="Times New Roman" w:cs="Times New Roman"/>
                <w:sz w:val="24"/>
                <w:szCs w:val="24"/>
                <w:lang w:val="lv-LV"/>
              </w:rPr>
              <w:t>u</w:t>
            </w:r>
            <w:r w:rsidRPr="008178E1" w:rsidR="002743C4">
              <w:rPr>
                <w:rFonts w:ascii="Times New Roman" w:hAnsi="Times New Roman" w:cs="Times New Roman"/>
                <w:sz w:val="24"/>
                <w:szCs w:val="24"/>
                <w:lang w:val="lv-LV"/>
              </w:rPr>
              <w:t>, kā arī uz Ministru prezidenta 2017.gada 4.janvāra rezolūciju Nr.12/2016-JUR-237.</w:t>
            </w:r>
          </w:p>
        </w:tc>
      </w:tr>
      <w:tr w:rsidTr="00CC52C8">
        <w:tblPrEx>
          <w:tblW w:w="5000" w:type="pct"/>
          <w:tblInd w:w="30" w:type="dxa"/>
          <w:shd w:val="clear" w:color="auto" w:fill="FFFFFF"/>
          <w:tblLayout w:type="fixed"/>
          <w:tblCellMar>
            <w:top w:w="30" w:type="dxa"/>
            <w:left w:w="30" w:type="dxa"/>
            <w:bottom w:w="30" w:type="dxa"/>
            <w:right w:w="30" w:type="dxa"/>
          </w:tblCellMar>
          <w:tblLook w:val="04A0"/>
        </w:tblPrEx>
        <w:trPr>
          <w:trHeight w:val="465"/>
        </w:trPr>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2.</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8178E1" w:rsidP="00CC52C8">
            <w:pPr>
              <w:pStyle w:val="NoSpacing"/>
              <w:jc w:val="both"/>
              <w:rPr>
                <w:lang w:val="lv-LV"/>
              </w:rPr>
            </w:pPr>
            <w:r w:rsidRPr="00A92ABE">
              <w:rPr>
                <w:lang w:val="lv-LV"/>
              </w:rPr>
              <w:t>Pašreizējā situācija un problēmas, kuru risināšanai tiesību akta projekts izstrādāts, tiesiskā regulējuma mērķis un būtība</w:t>
            </w:r>
          </w:p>
          <w:p w:rsidR="008178E1" w:rsidRPr="008178E1" w:rsidP="008178E1">
            <w:pPr>
              <w:rPr>
                <w:lang w:val="lv-LV" w:eastAsia="lv-LV"/>
              </w:rPr>
            </w:pPr>
          </w:p>
          <w:p w:rsidR="008178E1" w:rsidRPr="008178E1" w:rsidP="008178E1">
            <w:pPr>
              <w:rPr>
                <w:lang w:val="lv-LV" w:eastAsia="lv-LV"/>
              </w:rPr>
            </w:pPr>
          </w:p>
          <w:p w:rsidR="008178E1" w:rsidRPr="008178E1" w:rsidP="008178E1">
            <w:pPr>
              <w:rPr>
                <w:lang w:val="lv-LV" w:eastAsia="lv-LV"/>
              </w:rPr>
            </w:pPr>
          </w:p>
          <w:p w:rsidR="008178E1" w:rsidRPr="008178E1" w:rsidP="008178E1">
            <w:pPr>
              <w:rPr>
                <w:lang w:val="lv-LV" w:eastAsia="lv-LV"/>
              </w:rPr>
            </w:pPr>
          </w:p>
          <w:p w:rsidR="008178E1" w:rsidRPr="008178E1" w:rsidP="008178E1">
            <w:pPr>
              <w:rPr>
                <w:lang w:val="lv-LV" w:eastAsia="lv-LV"/>
              </w:rPr>
            </w:pPr>
          </w:p>
          <w:p w:rsidR="008178E1" w:rsidRPr="008178E1" w:rsidP="008178E1">
            <w:pPr>
              <w:rPr>
                <w:lang w:val="lv-LV" w:eastAsia="lv-LV"/>
              </w:rPr>
            </w:pPr>
          </w:p>
          <w:p w:rsidR="008178E1" w:rsidRPr="008178E1" w:rsidP="008178E1">
            <w:pPr>
              <w:rPr>
                <w:lang w:val="lv-LV" w:eastAsia="lv-LV"/>
              </w:rPr>
            </w:pPr>
          </w:p>
          <w:p w:rsidR="008178E1" w:rsidRPr="008178E1" w:rsidP="008178E1">
            <w:pPr>
              <w:rPr>
                <w:lang w:val="lv-LV" w:eastAsia="lv-LV"/>
              </w:rPr>
            </w:pPr>
          </w:p>
          <w:p w:rsidR="008178E1" w:rsidRPr="008178E1" w:rsidP="008178E1">
            <w:pPr>
              <w:rPr>
                <w:lang w:val="lv-LV" w:eastAsia="lv-LV"/>
              </w:rPr>
            </w:pPr>
          </w:p>
          <w:p w:rsidR="008178E1" w:rsidRPr="008178E1" w:rsidP="008178E1">
            <w:pPr>
              <w:rPr>
                <w:lang w:val="lv-LV" w:eastAsia="lv-LV"/>
              </w:rPr>
            </w:pPr>
          </w:p>
          <w:p w:rsidR="008178E1" w:rsidRPr="008178E1" w:rsidP="008178E1">
            <w:pPr>
              <w:rPr>
                <w:lang w:val="lv-LV" w:eastAsia="lv-LV"/>
              </w:rPr>
            </w:pPr>
          </w:p>
          <w:p w:rsidR="008178E1" w:rsidRPr="008178E1" w:rsidP="008178E1">
            <w:pPr>
              <w:rPr>
                <w:lang w:val="lv-LV" w:eastAsia="lv-LV"/>
              </w:rPr>
            </w:pPr>
          </w:p>
          <w:p w:rsidR="008178E1" w:rsidRPr="008178E1" w:rsidP="008178E1">
            <w:pPr>
              <w:rPr>
                <w:lang w:val="lv-LV" w:eastAsia="lv-LV"/>
              </w:rPr>
            </w:pPr>
          </w:p>
          <w:p w:rsidR="008178E1" w:rsidRPr="008178E1" w:rsidP="008178E1">
            <w:pPr>
              <w:rPr>
                <w:lang w:val="lv-LV" w:eastAsia="lv-LV"/>
              </w:rPr>
            </w:pPr>
          </w:p>
          <w:p w:rsidR="008178E1" w:rsidRPr="008178E1" w:rsidP="008178E1">
            <w:pPr>
              <w:rPr>
                <w:lang w:val="lv-LV" w:eastAsia="lv-LV"/>
              </w:rPr>
            </w:pPr>
          </w:p>
          <w:p w:rsidR="00CC52C8" w:rsidRPr="008178E1" w:rsidP="008178E1">
            <w:pPr>
              <w:ind w:firstLine="720"/>
              <w:rPr>
                <w:lang w:val="lv-LV" w:eastAsia="lv-LV"/>
              </w:rPr>
            </w:pP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2743C4" w:rsidRPr="008178E1" w:rsidP="002743C4">
            <w:pPr>
              <w:spacing w:after="0" w:line="240" w:lineRule="auto"/>
              <w:jc w:val="both"/>
              <w:rPr>
                <w:rFonts w:ascii="Times New Roman" w:eastAsia="Batang" w:hAnsi="Times New Roman" w:cs="Times New Roman"/>
                <w:sz w:val="24"/>
                <w:szCs w:val="24"/>
                <w:lang w:val="lv-LV" w:eastAsia="ko-KR"/>
              </w:rPr>
            </w:pPr>
            <w:r w:rsidRPr="008178E1">
              <w:rPr>
                <w:rFonts w:ascii="Times New Roman" w:eastAsia="Batang" w:hAnsi="Times New Roman" w:cs="Times New Roman"/>
                <w:sz w:val="24"/>
                <w:szCs w:val="24"/>
                <w:lang w:val="lv-LV" w:eastAsia="ko-KR"/>
              </w:rPr>
              <w:t>Ārstniecības likuma (turpmāk - Likums) 53.pants nosaka, ka personas pārejošu darbnespēju konstatē</w:t>
            </w:r>
            <w:bookmarkStart w:id="8" w:name="_GoBack"/>
            <w:bookmarkEnd w:id="8"/>
            <w:r w:rsidRPr="008178E1">
              <w:rPr>
                <w:rFonts w:ascii="Times New Roman" w:eastAsia="Batang" w:hAnsi="Times New Roman" w:cs="Times New Roman"/>
                <w:sz w:val="24"/>
                <w:szCs w:val="24"/>
                <w:lang w:val="lv-LV" w:eastAsia="ko-KR"/>
              </w:rPr>
              <w:t xml:space="preserve"> ārsts vai ārsta palīgs, kā arī to, ka pārejošu darbnespēju apliecinošo dokumentu izsniegšanas un anulēšanas kārtību nosaka Ministru kabinets.</w:t>
            </w:r>
          </w:p>
          <w:p w:rsidR="002743C4" w:rsidRPr="008178E1" w:rsidP="002743C4">
            <w:pPr>
              <w:spacing w:after="0" w:line="240" w:lineRule="auto"/>
              <w:jc w:val="both"/>
              <w:rPr>
                <w:rFonts w:ascii="Times New Roman" w:eastAsia="Batang" w:hAnsi="Times New Roman" w:cs="Times New Roman"/>
                <w:sz w:val="24"/>
                <w:szCs w:val="24"/>
                <w:lang w:val="lv-LV" w:eastAsia="ko-KR"/>
              </w:rPr>
            </w:pPr>
            <w:r w:rsidRPr="008178E1">
              <w:rPr>
                <w:rFonts w:ascii="Times New Roman" w:eastAsia="Batang" w:hAnsi="Times New Roman" w:cs="Times New Roman"/>
                <w:sz w:val="24"/>
                <w:szCs w:val="24"/>
                <w:lang w:val="lv-LV" w:eastAsia="ko-KR"/>
              </w:rPr>
              <w:t>Deleģējums Ministru kabinetam attiecībā uz darbnespēju apliecinošo dokumentu anulēšanas kārtību ir spēkā ar 2016.gada 22.decembri, kad stājās spēkā 2016.gada 1.decembra grozījumi Likumā, kuros ietverts arī 53.panta grozījums.</w:t>
            </w:r>
          </w:p>
          <w:p w:rsidR="002743C4" w:rsidRPr="008178E1" w:rsidP="002743C4">
            <w:pPr>
              <w:spacing w:after="0" w:line="240" w:lineRule="auto"/>
              <w:jc w:val="both"/>
              <w:rPr>
                <w:rFonts w:ascii="Times New Roman" w:eastAsia="Batang" w:hAnsi="Times New Roman" w:cs="Times New Roman"/>
                <w:sz w:val="24"/>
                <w:szCs w:val="24"/>
                <w:lang w:val="lv-LV" w:eastAsia="ko-KR"/>
              </w:rPr>
            </w:pPr>
            <w:r w:rsidRPr="008178E1">
              <w:rPr>
                <w:rFonts w:ascii="Times New Roman" w:eastAsia="Batang" w:hAnsi="Times New Roman" w:cs="Times New Roman"/>
                <w:sz w:val="24"/>
                <w:szCs w:val="24"/>
                <w:lang w:val="lv-LV" w:eastAsia="ko-KR"/>
              </w:rPr>
              <w:t>Ministru kabineta noteikumu projekta “Grozījumi Ministru kabineta 2001.gada 3.aprīļa noteikumos Nr.152 “Darbnespējas lapu izsniegšanas kārtība”” (turpmāk – Noteikumu projekts) 1. un 2.punkta mērķis ir veikt tehniskus grozījumus Ministru kabineta 2001.gada 3.aprīļa noteikumos Nr.152 “Darbnespējas lapu izsniegšanas kārtība”” (turpmāk – Noteikumi).</w:t>
            </w:r>
          </w:p>
          <w:p w:rsidR="002743C4" w:rsidRPr="008178E1" w:rsidP="002743C4">
            <w:pPr>
              <w:spacing w:after="0" w:line="240" w:lineRule="auto"/>
              <w:jc w:val="both"/>
              <w:rPr>
                <w:rFonts w:ascii="Times New Roman" w:eastAsia="Batang" w:hAnsi="Times New Roman" w:cs="Times New Roman"/>
                <w:sz w:val="24"/>
                <w:szCs w:val="24"/>
                <w:lang w:val="lv-LV" w:eastAsia="ko-KR"/>
              </w:rPr>
            </w:pPr>
            <w:r w:rsidRPr="008178E1">
              <w:rPr>
                <w:rFonts w:ascii="Times New Roman" w:eastAsia="Batang" w:hAnsi="Times New Roman" w:cs="Times New Roman"/>
                <w:sz w:val="24"/>
                <w:szCs w:val="24"/>
                <w:lang w:val="lv-LV" w:eastAsia="ko-KR"/>
              </w:rPr>
              <w:t>Pamatojoties uz minēto, Noteikumu projekta 1.punktā ietverts Likuma 53.panta deleģējums ne tikai par darbnespējas lapas izsniegšanas kārtību, bet arī tās anulēšanas kārtību, jo Noteikumu III.nodaļa ietver tiesību normas, kuras attiecas arī uz darbnespējas lapas anulēšanu, līdz ar to noteikumos jāprecizē nosaukums  un noteikumu 1.punkta norma, kurā tiek noteikts, ka noteikumi nosaka kārtību, kādā tiek apliecināta personas pārejoša darbnespēja, un attiecīgo dokumentu izsniegšanas un anulēšanas kārtība.</w:t>
            </w:r>
            <w:r w:rsidRPr="008178E1" w:rsidR="00CC52C8">
              <w:rPr>
                <w:rFonts w:ascii="Times New Roman" w:eastAsia="Batang" w:hAnsi="Times New Roman" w:cs="Times New Roman"/>
                <w:sz w:val="24"/>
                <w:szCs w:val="24"/>
                <w:lang w:val="lv-LV" w:eastAsia="ko-KR"/>
              </w:rPr>
              <w:t xml:space="preserve"> </w:t>
            </w:r>
          </w:p>
          <w:p w:rsidR="00CC52C8" w:rsidRPr="008178E1" w:rsidP="00CC52C8">
            <w:pPr>
              <w:spacing w:after="0" w:line="240" w:lineRule="auto"/>
              <w:jc w:val="both"/>
              <w:rPr>
                <w:rFonts w:ascii="Times New Roman" w:eastAsia="Batang" w:hAnsi="Times New Roman" w:cs="Times New Roman"/>
                <w:sz w:val="24"/>
                <w:szCs w:val="24"/>
                <w:lang w:val="lv-LV" w:eastAsia="ko-KR"/>
              </w:rPr>
            </w:pPr>
            <w:r w:rsidRPr="008178E1">
              <w:rPr>
                <w:rFonts w:ascii="Times New Roman" w:eastAsia="Batang" w:hAnsi="Times New Roman" w:cs="Times New Roman"/>
                <w:sz w:val="24"/>
                <w:szCs w:val="24"/>
                <w:lang w:val="lv-LV" w:eastAsia="ko-KR"/>
              </w:rPr>
              <w:t xml:space="preserve">Šobrīd </w:t>
            </w:r>
            <w:r w:rsidRPr="008178E1" w:rsidR="002743C4">
              <w:rPr>
                <w:rFonts w:ascii="Times New Roman" w:eastAsia="Batang" w:hAnsi="Times New Roman" w:cs="Times New Roman"/>
                <w:sz w:val="24"/>
                <w:szCs w:val="24"/>
                <w:lang w:val="lv-LV" w:eastAsia="ko-KR"/>
              </w:rPr>
              <w:t>Noteikumu</w:t>
            </w:r>
            <w:r w:rsidRPr="008178E1">
              <w:rPr>
                <w:rFonts w:ascii="Times New Roman" w:eastAsia="Batang" w:hAnsi="Times New Roman" w:cs="Times New Roman"/>
                <w:sz w:val="24"/>
                <w:szCs w:val="24"/>
                <w:lang w:val="lv-LV" w:eastAsia="ko-KR"/>
              </w:rPr>
              <w:t xml:space="preserve"> 18.3.apakšpunkts paredz, ka grūtniecības un dzemdību atvaļinājuma gadījumā pēcdzemdību perioda sarežģījumu dēļ darbnespējas lapā iekļauj</w:t>
            </w:r>
            <w:r w:rsidRPr="008178E1" w:rsidR="00704371">
              <w:rPr>
                <w:rFonts w:ascii="Times New Roman" w:eastAsia="Batang" w:hAnsi="Times New Roman" w:cs="Times New Roman"/>
                <w:sz w:val="24"/>
                <w:szCs w:val="24"/>
                <w:lang w:val="lv-LV" w:eastAsia="ko-KR"/>
              </w:rPr>
              <w:t xml:space="preserve"> 14 kalendāra dienas papildus dzemdību atvaļinājumam</w:t>
            </w:r>
            <w:r w:rsidRPr="008178E1" w:rsidR="00241E43">
              <w:rPr>
                <w:rFonts w:ascii="Times New Roman" w:eastAsia="Batang" w:hAnsi="Times New Roman" w:cs="Times New Roman"/>
                <w:sz w:val="24"/>
                <w:szCs w:val="24"/>
                <w:lang w:val="lv-LV" w:eastAsia="ko-KR"/>
              </w:rPr>
              <w:t>, (..) izdarot darbnespējas lapas ailē „Pārejošas darbnespējas cēlonis” atzīmi „dzemdības”.</w:t>
            </w:r>
          </w:p>
          <w:p w:rsidR="00241E43" w:rsidRPr="008178E1" w:rsidP="00992A24">
            <w:pPr>
              <w:spacing w:after="0" w:line="240" w:lineRule="auto"/>
              <w:jc w:val="both"/>
              <w:rPr>
                <w:rFonts w:ascii="Times New Roman" w:eastAsia="Batang" w:hAnsi="Times New Roman" w:cs="Times New Roman"/>
                <w:sz w:val="24"/>
                <w:szCs w:val="24"/>
                <w:lang w:val="lv-LV" w:eastAsia="ko-KR"/>
              </w:rPr>
            </w:pPr>
            <w:r w:rsidRPr="008178E1">
              <w:rPr>
                <w:rFonts w:ascii="Times New Roman" w:eastAsia="Batang" w:hAnsi="Times New Roman" w:cs="Times New Roman"/>
                <w:sz w:val="24"/>
                <w:szCs w:val="24"/>
                <w:lang w:val="lv-LV" w:eastAsia="ko-KR"/>
              </w:rPr>
              <w:t>Noteikumu projekta</w:t>
            </w:r>
            <w:r w:rsidRPr="008178E1">
              <w:rPr>
                <w:rFonts w:ascii="Times New Roman" w:eastAsia="Batang" w:hAnsi="Times New Roman" w:cs="Times New Roman"/>
                <w:sz w:val="24"/>
                <w:szCs w:val="24"/>
                <w:lang w:val="lv-LV" w:eastAsia="ko-KR"/>
              </w:rPr>
              <w:t xml:space="preserve"> </w:t>
            </w:r>
            <w:r w:rsidRPr="008178E1" w:rsidR="00AC34FE">
              <w:rPr>
                <w:rFonts w:ascii="Times New Roman" w:eastAsia="Batang" w:hAnsi="Times New Roman" w:cs="Times New Roman"/>
                <w:sz w:val="24"/>
                <w:szCs w:val="24"/>
                <w:lang w:val="lv-LV" w:eastAsia="ko-KR"/>
              </w:rPr>
              <w:t>3</w:t>
            </w:r>
            <w:r w:rsidRPr="008178E1">
              <w:rPr>
                <w:rFonts w:ascii="Times New Roman" w:eastAsia="Batang" w:hAnsi="Times New Roman" w:cs="Times New Roman"/>
                <w:sz w:val="24"/>
                <w:szCs w:val="24"/>
                <w:lang w:val="lv-LV" w:eastAsia="ko-KR"/>
              </w:rPr>
              <w:t xml:space="preserve">.punkts </w:t>
            </w:r>
            <w:r w:rsidRPr="008178E1">
              <w:rPr>
                <w:rFonts w:ascii="Times New Roman" w:eastAsia="Batang" w:hAnsi="Times New Roman" w:cs="Times New Roman"/>
                <w:sz w:val="24"/>
                <w:szCs w:val="24"/>
                <w:lang w:val="lv-LV" w:eastAsia="ko-KR"/>
              </w:rPr>
              <w:t>paredz kā pārejošas darbnespējas cēloni aizstāt atzīmi „dzemdības” ar atzīmi „pēcdzemdību periods”, kas pēc būtības ir tehnisks grozījums un paredz termina precizēšanu atbilstoši faktiskajai situācijai.</w:t>
            </w:r>
            <w:r w:rsidRPr="008178E1" w:rsidR="00992A24">
              <w:rPr>
                <w:rFonts w:ascii="Times New Roman" w:eastAsia="Batang" w:hAnsi="Times New Roman" w:cs="Times New Roman"/>
                <w:sz w:val="24"/>
                <w:szCs w:val="24"/>
                <w:lang w:val="lv-LV" w:eastAsia="ko-KR"/>
              </w:rPr>
              <w:t xml:space="preserve"> Termins „dzemdības” atspoguļo faktu, savukārt darbnespējas lapa tiek izsniegta, lai pamatotu personas darba nespēju un dotu tiesības saņemt sociālo pabalstu, līdz ar to tā tiek izsniegta uz konkrētu </w:t>
            </w:r>
            <w:r w:rsidRPr="008178E1" w:rsidR="00992A24">
              <w:rPr>
                <w:rFonts w:ascii="Times New Roman" w:eastAsia="Batang" w:hAnsi="Times New Roman" w:cs="Times New Roman"/>
                <w:sz w:val="24"/>
                <w:szCs w:val="24"/>
                <w:lang w:val="lv-LV" w:eastAsia="ko-KR"/>
              </w:rPr>
              <w:t>darbnespējas periodu un tādēļ</w:t>
            </w:r>
            <w:r w:rsidRPr="008178E1">
              <w:rPr>
                <w:rFonts w:ascii="Times New Roman" w:eastAsia="Batang" w:hAnsi="Times New Roman" w:cs="Times New Roman"/>
                <w:sz w:val="24"/>
                <w:szCs w:val="24"/>
                <w:lang w:val="lv-LV" w:eastAsia="ko-KR"/>
              </w:rPr>
              <w:t xml:space="preserve"> </w:t>
            </w:r>
            <w:r w:rsidRPr="008178E1" w:rsidR="00992A24">
              <w:rPr>
                <w:rFonts w:ascii="Times New Roman" w:eastAsia="Batang" w:hAnsi="Times New Roman" w:cs="Times New Roman"/>
                <w:sz w:val="24"/>
                <w:szCs w:val="24"/>
                <w:lang w:val="lv-LV" w:eastAsia="ko-KR"/>
              </w:rPr>
              <w:t>t</w:t>
            </w:r>
            <w:r w:rsidRPr="008178E1">
              <w:rPr>
                <w:rFonts w:ascii="Times New Roman" w:eastAsia="Batang" w:hAnsi="Times New Roman" w:cs="Times New Roman"/>
                <w:sz w:val="24"/>
                <w:szCs w:val="24"/>
                <w:lang w:val="lv-LV" w:eastAsia="ko-KR"/>
              </w:rPr>
              <w:t xml:space="preserve">ermins „pēcdzemdību periods” ir saturiski precīzāks, kā arī vienlaikus mazāk </w:t>
            </w:r>
            <w:r w:rsidRPr="008178E1" w:rsidR="00992A24">
              <w:rPr>
                <w:rFonts w:ascii="Times New Roman" w:eastAsia="Batang" w:hAnsi="Times New Roman" w:cs="Times New Roman"/>
                <w:sz w:val="24"/>
                <w:szCs w:val="24"/>
                <w:lang w:val="lv-LV" w:eastAsia="ko-KR"/>
              </w:rPr>
              <w:t>aizskar sievietes privāto dzīvi</w:t>
            </w:r>
            <w:r w:rsidRPr="008178E1" w:rsidR="00A8383C">
              <w:rPr>
                <w:rFonts w:ascii="Times New Roman" w:eastAsia="Batang" w:hAnsi="Times New Roman" w:cs="Times New Roman"/>
                <w:sz w:val="24"/>
                <w:szCs w:val="24"/>
                <w:lang w:val="lv-LV" w:eastAsia="ko-KR"/>
              </w:rPr>
              <w:t>.</w:t>
            </w:r>
          </w:p>
          <w:p w:rsidR="00B90827" w:rsidRPr="008178E1" w:rsidP="00992A24">
            <w:pPr>
              <w:spacing w:after="0" w:line="240" w:lineRule="auto"/>
              <w:jc w:val="both"/>
              <w:rPr>
                <w:rFonts w:ascii="Times New Roman" w:eastAsia="Batang" w:hAnsi="Times New Roman" w:cs="Times New Roman"/>
                <w:sz w:val="24"/>
                <w:szCs w:val="24"/>
                <w:lang w:val="lv-LV" w:eastAsia="ko-KR"/>
              </w:rPr>
            </w:pPr>
            <w:r w:rsidRPr="008178E1">
              <w:rPr>
                <w:rFonts w:ascii="Times New Roman" w:eastAsia="Batang" w:hAnsi="Times New Roman" w:cs="Times New Roman"/>
                <w:sz w:val="24"/>
                <w:szCs w:val="24"/>
                <w:lang w:val="lv-LV" w:eastAsia="ko-KR"/>
              </w:rPr>
              <w:t xml:space="preserve">Noteikumu projekta </w:t>
            </w:r>
            <w:r w:rsidRPr="008178E1" w:rsidR="00AC34FE">
              <w:rPr>
                <w:rFonts w:ascii="Times New Roman" w:eastAsia="Batang" w:hAnsi="Times New Roman" w:cs="Times New Roman"/>
                <w:sz w:val="24"/>
                <w:szCs w:val="24"/>
                <w:lang w:val="lv-LV" w:eastAsia="ko-KR"/>
              </w:rPr>
              <w:t>4</w:t>
            </w:r>
            <w:r w:rsidRPr="008178E1">
              <w:rPr>
                <w:rFonts w:ascii="Times New Roman" w:eastAsia="Batang" w:hAnsi="Times New Roman" w:cs="Times New Roman"/>
                <w:sz w:val="24"/>
                <w:szCs w:val="24"/>
                <w:lang w:val="lv-LV" w:eastAsia="ko-KR"/>
              </w:rPr>
              <w:t xml:space="preserve">.punkts paredz precizēt prasību darbnespējas lapu </w:t>
            </w:r>
            <w:r w:rsidRPr="008178E1">
              <w:rPr>
                <w:rFonts w:ascii="Times New Roman" w:eastAsia="Batang" w:hAnsi="Times New Roman" w:cs="Times New Roman"/>
                <w:sz w:val="24"/>
                <w:szCs w:val="24"/>
                <w:lang w:val="lv-LV" w:eastAsia="ko-KR"/>
              </w:rPr>
              <w:t xml:space="preserve">veselības informācijas sistēmā reģistrēt </w:t>
            </w:r>
            <w:r w:rsidRPr="008178E1">
              <w:rPr>
                <w:rFonts w:ascii="Times New Roman" w:eastAsia="Batang" w:hAnsi="Times New Roman" w:cs="Times New Roman"/>
                <w:sz w:val="24"/>
                <w:szCs w:val="24"/>
                <w:lang w:val="lv-LV" w:eastAsia="ko-KR"/>
              </w:rPr>
              <w:t xml:space="preserve">ne vēlāk kā piecu </w:t>
            </w:r>
            <w:r w:rsidRPr="008178E1">
              <w:rPr>
                <w:rFonts w:ascii="Times New Roman" w:eastAsia="Batang" w:hAnsi="Times New Roman" w:cs="Times New Roman"/>
                <w:sz w:val="24"/>
                <w:szCs w:val="24"/>
                <w:lang w:val="lv-LV" w:eastAsia="ko-KR"/>
              </w:rPr>
              <w:t>darb</w:t>
            </w:r>
            <w:r w:rsidRPr="008178E1">
              <w:rPr>
                <w:rFonts w:ascii="Times New Roman" w:eastAsia="Batang" w:hAnsi="Times New Roman" w:cs="Times New Roman"/>
                <w:sz w:val="24"/>
                <w:szCs w:val="24"/>
                <w:lang w:val="lv-LV" w:eastAsia="ko-KR"/>
              </w:rPr>
              <w:t xml:space="preserve">dienu laikā vienīgi tad, ja </w:t>
            </w:r>
            <w:r w:rsidRPr="008178E1">
              <w:rPr>
                <w:rFonts w:ascii="Times New Roman" w:eastAsia="Batang" w:hAnsi="Times New Roman" w:cs="Times New Roman"/>
                <w:sz w:val="24"/>
                <w:szCs w:val="24"/>
                <w:lang w:val="lv-LV" w:eastAsia="ko-KR"/>
              </w:rPr>
              <w:t xml:space="preserve">to nav iespējams reģistrēt darbnespējas perioda pirmajā dienā tehnisku iemeslu dēļ. Visos citos gadījumos </w:t>
            </w:r>
            <w:r w:rsidRPr="008178E1" w:rsidR="00CF404A">
              <w:rPr>
                <w:rFonts w:ascii="Times New Roman" w:eastAsia="Batang" w:hAnsi="Times New Roman" w:cs="Times New Roman"/>
                <w:sz w:val="24"/>
                <w:szCs w:val="24"/>
                <w:lang w:val="lv-LV" w:eastAsia="ko-KR"/>
              </w:rPr>
              <w:t>šis periods netiek ierobežots</w:t>
            </w:r>
            <w:r w:rsidRPr="008178E1" w:rsidR="00D43CC2">
              <w:rPr>
                <w:rFonts w:ascii="Times New Roman" w:eastAsia="Batang" w:hAnsi="Times New Roman" w:cs="Times New Roman"/>
                <w:sz w:val="24"/>
                <w:szCs w:val="24"/>
                <w:lang w:val="lv-LV" w:eastAsia="ko-KR"/>
              </w:rPr>
              <w:t xml:space="preserve"> ar termiņu un darbnespējas lapa reģistrējama atbilstoši apstākļiem, brīdī, kad tas iespējams, vienlaikus veselības informācijas sistēmā norādot pamatojumu, kādēļ darbnespējas lapā norādītā darbnespējas perioda pirmā diena nesakrīt ar tās reģistrēšanas datumu</w:t>
            </w:r>
            <w:r w:rsidRPr="008178E1" w:rsidR="00CF404A">
              <w:rPr>
                <w:rFonts w:ascii="Times New Roman" w:eastAsia="Batang" w:hAnsi="Times New Roman" w:cs="Times New Roman"/>
                <w:sz w:val="24"/>
                <w:szCs w:val="24"/>
                <w:lang w:val="lv-LV" w:eastAsia="ko-KR"/>
              </w:rPr>
              <w:t>.</w:t>
            </w:r>
          </w:p>
          <w:p w:rsidR="00CA3CFA" w:rsidRPr="008178E1" w:rsidP="00AC34FE">
            <w:pPr>
              <w:spacing w:after="0" w:line="240" w:lineRule="auto"/>
              <w:jc w:val="both"/>
              <w:rPr>
                <w:rFonts w:ascii="Times New Roman" w:eastAsia="Batang" w:hAnsi="Times New Roman" w:cs="Times New Roman"/>
                <w:sz w:val="24"/>
                <w:szCs w:val="24"/>
                <w:lang w:val="lv-LV" w:eastAsia="ko-KR"/>
              </w:rPr>
            </w:pPr>
            <w:r w:rsidRPr="008178E1">
              <w:rPr>
                <w:rFonts w:ascii="Times New Roman" w:eastAsia="Batang" w:hAnsi="Times New Roman" w:cs="Times New Roman"/>
                <w:sz w:val="24"/>
                <w:szCs w:val="24"/>
                <w:lang w:val="lv-LV" w:eastAsia="ko-KR"/>
              </w:rPr>
              <w:t xml:space="preserve">Noteikumu projekta </w:t>
            </w:r>
            <w:r w:rsidRPr="008178E1" w:rsidR="00AC34FE">
              <w:rPr>
                <w:rFonts w:ascii="Times New Roman" w:eastAsia="Batang" w:hAnsi="Times New Roman" w:cs="Times New Roman"/>
                <w:sz w:val="24"/>
                <w:szCs w:val="24"/>
                <w:lang w:val="lv-LV" w:eastAsia="ko-KR"/>
              </w:rPr>
              <w:t>5</w:t>
            </w:r>
            <w:r w:rsidRPr="008178E1">
              <w:rPr>
                <w:rFonts w:ascii="Times New Roman" w:eastAsia="Batang" w:hAnsi="Times New Roman" w:cs="Times New Roman"/>
                <w:sz w:val="24"/>
                <w:szCs w:val="24"/>
                <w:lang w:val="lv-LV" w:eastAsia="ko-KR"/>
              </w:rPr>
              <w:t>.punkts paredz papildināt Noteikumus ar jaunu punktu, kas nosaka, ka gadījumos, kad pacients lūdz, ārsts vai ārsta palīgs veselības informācijas sistēmā sagatavoto darbnespējas lapu nosūta personas norādītajam adresātam</w:t>
            </w:r>
            <w:r w:rsidRPr="008178E1" w:rsidR="009E75D1">
              <w:rPr>
                <w:rFonts w:ascii="Times New Roman" w:eastAsia="Batang" w:hAnsi="Times New Roman" w:cs="Times New Roman"/>
                <w:sz w:val="24"/>
                <w:szCs w:val="24"/>
                <w:lang w:val="lv-LV" w:eastAsia="ko-KR"/>
              </w:rPr>
              <w:t xml:space="preserve">. Minētais grozījums nepieciešams, lai pacientam būtu iespēja sniegt informāciju </w:t>
            </w:r>
            <w:r w:rsidRPr="008178E1" w:rsidR="003D4BF8">
              <w:rPr>
                <w:rFonts w:ascii="Times New Roman" w:eastAsia="Batang" w:hAnsi="Times New Roman" w:cs="Times New Roman"/>
                <w:sz w:val="24"/>
                <w:szCs w:val="24"/>
                <w:lang w:val="lv-LV" w:eastAsia="ko-KR"/>
              </w:rPr>
              <w:t xml:space="preserve">darba devējam </w:t>
            </w:r>
            <w:r w:rsidRPr="008178E1" w:rsidR="009E75D1">
              <w:rPr>
                <w:rFonts w:ascii="Times New Roman" w:eastAsia="Batang" w:hAnsi="Times New Roman" w:cs="Times New Roman"/>
                <w:sz w:val="24"/>
                <w:szCs w:val="24"/>
                <w:lang w:val="lv-LV" w:eastAsia="ko-KR"/>
              </w:rPr>
              <w:t>par viņa darbnespēju arī tajos gadījumos, kad pacientam nav iespējas pašam to nosūtīt</w:t>
            </w:r>
            <w:r w:rsidRPr="008178E1" w:rsidR="00CF404A">
              <w:rPr>
                <w:rFonts w:ascii="Times New Roman" w:eastAsia="Batang" w:hAnsi="Times New Roman" w:cs="Times New Roman"/>
                <w:sz w:val="24"/>
                <w:szCs w:val="24"/>
                <w:lang w:val="lv-LV" w:eastAsia="ko-KR"/>
              </w:rPr>
              <w:t>, līdz ar to pacients var to lūgt izdarīt ārstam veselības informācijas sistēmā.</w:t>
            </w:r>
            <w:r w:rsidRPr="008178E1">
              <w:rPr>
                <w:rFonts w:ascii="Times New Roman" w:eastAsia="Batang" w:hAnsi="Times New Roman" w:cs="Times New Roman"/>
                <w:sz w:val="24"/>
                <w:szCs w:val="24"/>
                <w:lang w:val="lv-LV" w:eastAsia="ko-KR"/>
              </w:rPr>
              <w:t xml:space="preserve"> </w:t>
            </w:r>
          </w:p>
        </w:tc>
      </w:tr>
      <w:tr w:rsidTr="00CC52C8">
        <w:tblPrEx>
          <w:tblW w:w="5000" w:type="pct"/>
          <w:tblInd w:w="30" w:type="dxa"/>
          <w:shd w:val="clear" w:color="auto" w:fill="FFFFFF"/>
          <w:tblLayout w:type="fixed"/>
          <w:tblCellMar>
            <w:top w:w="30" w:type="dxa"/>
            <w:left w:w="30" w:type="dxa"/>
            <w:bottom w:w="30" w:type="dxa"/>
            <w:right w:w="30" w:type="dxa"/>
          </w:tblCellMar>
          <w:tblLook w:val="04A0"/>
        </w:tblPrEx>
        <w:trPr>
          <w:trHeight w:val="465"/>
        </w:trPr>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3.</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Projekta izstrādē iesaistītās institūcijas</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241E43">
            <w:pPr>
              <w:pStyle w:val="NoSpacing"/>
              <w:jc w:val="both"/>
              <w:rPr>
                <w:lang w:val="lv-LV"/>
              </w:rPr>
            </w:pPr>
            <w:r w:rsidRPr="00A92ABE">
              <w:rPr>
                <w:lang w:val="lv-LV"/>
              </w:rPr>
              <w:t>Veselības ministrija</w:t>
            </w:r>
            <w:r>
              <w:rPr>
                <w:lang w:val="lv-LV"/>
              </w:rPr>
              <w:t xml:space="preserve">, </w:t>
            </w:r>
            <w:r w:rsidR="00241E43">
              <w:rPr>
                <w:lang w:val="lv-LV"/>
              </w:rPr>
              <w:t>Labklājības ministrija</w:t>
            </w:r>
            <w:r>
              <w:rPr>
                <w:lang w:val="lv-LV"/>
              </w:rPr>
              <w:t>,</w:t>
            </w:r>
            <w:r w:rsidR="00241E43">
              <w:rPr>
                <w:lang w:val="lv-LV"/>
              </w:rPr>
              <w:t xml:space="preserve"> Valsts sociālās apdroši</w:t>
            </w:r>
            <w:r w:rsidR="00782C19">
              <w:rPr>
                <w:lang w:val="lv-LV"/>
              </w:rPr>
              <w:t>nāšanas aģentūra</w:t>
            </w:r>
            <w:r>
              <w:rPr>
                <w:lang w:val="lv-LV"/>
              </w:rPr>
              <w:t xml:space="preserve"> </w:t>
            </w:r>
          </w:p>
        </w:tc>
      </w:tr>
      <w:tr w:rsidTr="00CC52C8">
        <w:tblPrEx>
          <w:tblW w:w="5000" w:type="pct"/>
          <w:tblInd w:w="30" w:type="dxa"/>
          <w:shd w:val="clear" w:color="auto" w:fill="FFFFFF"/>
          <w:tblLayout w:type="fixed"/>
          <w:tblCellMar>
            <w:top w:w="30" w:type="dxa"/>
            <w:left w:w="30" w:type="dxa"/>
            <w:bottom w:w="30" w:type="dxa"/>
            <w:right w:w="30" w:type="dxa"/>
          </w:tblCellMar>
          <w:tblLook w:val="04A0"/>
        </w:tblPrEx>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4.</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Cita informācija</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rFonts w:eastAsia="Meiryo"/>
                <w:lang w:val="lv-LV"/>
              </w:rPr>
            </w:pPr>
            <w:r w:rsidRPr="00A92ABE">
              <w:rPr>
                <w:rFonts w:eastAsia="Meiryo"/>
                <w:lang w:val="lv-LV"/>
              </w:rPr>
              <w:t>Nav</w:t>
            </w:r>
          </w:p>
        </w:tc>
      </w:tr>
    </w:tbl>
    <w:p w:rsidR="00CC52C8" w:rsidRPr="00A92ABE" w:rsidP="00CC52C8">
      <w:pPr>
        <w:pStyle w:val="NoSpacing"/>
        <w:jc w:val="both"/>
        <w:rPr>
          <w:lang w:val="lv-LV"/>
        </w:rPr>
      </w:pPr>
    </w:p>
    <w:tbl>
      <w:tblPr>
        <w:tblW w:w="4943" w:type="pct"/>
        <w:tblInd w:w="11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113" w:type="dxa"/>
          <w:bottom w:w="30" w:type="dxa"/>
          <w:right w:w="113" w:type="dxa"/>
        </w:tblCellMar>
        <w:tblLook w:val="04A0"/>
      </w:tblPr>
      <w:tblGrid>
        <w:gridCol w:w="418"/>
        <w:gridCol w:w="2369"/>
        <w:gridCol w:w="6404"/>
      </w:tblGrid>
      <w:tr w:rsidTr="00CC52C8">
        <w:tblPrEx>
          <w:tblW w:w="4943" w:type="pct"/>
          <w:tblInd w:w="11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113" w:type="dxa"/>
            <w:bottom w:w="30" w:type="dxa"/>
            <w:right w:w="113"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C52C8" w:rsidRPr="00F350E4" w:rsidP="00CC52C8">
            <w:pPr>
              <w:pStyle w:val="NoSpacing"/>
              <w:jc w:val="center"/>
              <w:rPr>
                <w:b/>
                <w:lang w:val="lv-LV"/>
              </w:rPr>
            </w:pPr>
            <w:r w:rsidRPr="00F350E4">
              <w:rPr>
                <w:b/>
                <w:lang w:val="lv-LV"/>
              </w:rPr>
              <w:t>II. Tiesību akta projekta ietekme uz sabiedrību, tautsaimniecības attīstību un administratīvo slogu</w:t>
            </w:r>
          </w:p>
        </w:tc>
      </w:tr>
      <w:tr w:rsidTr="00CC52C8">
        <w:tblPrEx>
          <w:tblW w:w="4943" w:type="pct"/>
          <w:tblInd w:w="113" w:type="dxa"/>
          <w:shd w:val="clear" w:color="auto" w:fill="FFFFFF"/>
          <w:tblCellMar>
            <w:top w:w="30" w:type="dxa"/>
            <w:left w:w="113" w:type="dxa"/>
            <w:bottom w:w="30" w:type="dxa"/>
            <w:right w:w="113" w:type="dxa"/>
          </w:tblCellMar>
          <w:tblLook w:val="04A0"/>
        </w:tblPrEx>
        <w:trPr>
          <w:trHeight w:val="465"/>
        </w:trPr>
        <w:tc>
          <w:tcPr>
            <w:tcW w:w="227" w:type="pct"/>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1.</w:t>
            </w:r>
          </w:p>
        </w:tc>
        <w:tc>
          <w:tcPr>
            <w:tcW w:w="1289" w:type="pct"/>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Sabiedrības mērķgrupas, kuras tiesiskais regulējums ietekmē vai varētu ietekmēt</w:t>
            </w:r>
          </w:p>
        </w:tc>
        <w:tc>
          <w:tcPr>
            <w:tcW w:w="3484" w:type="pct"/>
            <w:tcBorders>
              <w:top w:val="outset" w:sz="6" w:space="0" w:color="414142"/>
              <w:left w:val="outset" w:sz="6" w:space="0" w:color="414142"/>
              <w:bottom w:val="outset" w:sz="6" w:space="0" w:color="414142"/>
              <w:right w:val="outset" w:sz="6" w:space="0" w:color="414142"/>
            </w:tcBorders>
            <w:shd w:val="clear" w:color="auto" w:fill="FFFFFF"/>
            <w:hideMark/>
          </w:tcPr>
          <w:p w:rsidR="002743C4" w:rsidRPr="00A92ABE" w:rsidP="002743C4">
            <w:pPr>
              <w:pStyle w:val="NoSpacing"/>
              <w:jc w:val="both"/>
              <w:rPr>
                <w:lang w:val="lv-LV"/>
              </w:rPr>
            </w:pPr>
            <w:r>
              <w:rPr>
                <w:lang w:val="lv-LV"/>
              </w:rPr>
              <w:t>Sievietes pēcdzemdību periodā, ārstniecības personas</w:t>
            </w:r>
            <w:r>
              <w:rPr>
                <w:lang w:val="lv-LV"/>
              </w:rPr>
              <w:t xml:space="preserve">, </w:t>
            </w:r>
            <w:r w:rsidRPr="008178E1">
              <w:rPr>
                <w:lang w:val="lv-LV"/>
              </w:rPr>
              <w:t>ārstniecības iestādes, veselības aprūpes pakalpojumu saņēmēji, Valsts sociālās apdrošināšanas aģentūrā nodarbinātie, kuru darba pienākumos ietilpst ar darbnespējas lapu administrēšanu saistīto funkciju izpilde</w:t>
            </w:r>
          </w:p>
        </w:tc>
      </w:tr>
      <w:tr w:rsidTr="00CC52C8">
        <w:tblPrEx>
          <w:tblW w:w="4943" w:type="pct"/>
          <w:tblInd w:w="113" w:type="dxa"/>
          <w:shd w:val="clear" w:color="auto" w:fill="FFFFFF"/>
          <w:tblCellMar>
            <w:top w:w="30" w:type="dxa"/>
            <w:left w:w="113" w:type="dxa"/>
            <w:bottom w:w="30" w:type="dxa"/>
            <w:right w:w="113" w:type="dxa"/>
          </w:tblCellMar>
          <w:tblLook w:val="04A0"/>
        </w:tblPrEx>
        <w:trPr>
          <w:trHeight w:val="510"/>
        </w:trPr>
        <w:tc>
          <w:tcPr>
            <w:tcW w:w="227" w:type="pct"/>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2.</w:t>
            </w:r>
          </w:p>
        </w:tc>
        <w:tc>
          <w:tcPr>
            <w:tcW w:w="1289" w:type="pct"/>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Tiesiskā regulējuma ietekme uz tautsaimniecību un administratīvo slogu</w:t>
            </w:r>
          </w:p>
        </w:tc>
        <w:tc>
          <w:tcPr>
            <w:tcW w:w="3484" w:type="pct"/>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tvhtml"/>
              <w:shd w:val="clear" w:color="auto" w:fill="FFFFFF"/>
              <w:spacing w:before="0" w:beforeAutospacing="0" w:after="0" w:afterAutospacing="0"/>
              <w:jc w:val="both"/>
            </w:pPr>
            <w:r>
              <w:t>Projekts šo jomu neskar</w:t>
            </w:r>
          </w:p>
        </w:tc>
      </w:tr>
      <w:tr w:rsidTr="00CC52C8">
        <w:tblPrEx>
          <w:tblW w:w="4943" w:type="pct"/>
          <w:tblInd w:w="113" w:type="dxa"/>
          <w:shd w:val="clear" w:color="auto" w:fill="FFFFFF"/>
          <w:tblCellMar>
            <w:top w:w="30" w:type="dxa"/>
            <w:left w:w="113" w:type="dxa"/>
            <w:bottom w:w="30" w:type="dxa"/>
            <w:right w:w="113" w:type="dxa"/>
          </w:tblCellMar>
          <w:tblLook w:val="04A0"/>
        </w:tblPrEx>
        <w:trPr>
          <w:trHeight w:val="510"/>
        </w:trPr>
        <w:tc>
          <w:tcPr>
            <w:tcW w:w="227" w:type="pct"/>
            <w:tcBorders>
              <w:top w:val="outset" w:sz="6" w:space="0" w:color="414142"/>
              <w:left w:val="outset" w:sz="6" w:space="0" w:color="414142"/>
              <w:bottom w:val="single" w:sz="4" w:space="0" w:color="auto"/>
              <w:right w:val="outset" w:sz="6" w:space="0" w:color="414142"/>
            </w:tcBorders>
            <w:shd w:val="clear" w:color="auto" w:fill="FFFFFF"/>
            <w:hideMark/>
          </w:tcPr>
          <w:p w:rsidR="00CC52C8" w:rsidRPr="00A92ABE" w:rsidP="00CC52C8">
            <w:pPr>
              <w:pStyle w:val="NoSpacing"/>
              <w:jc w:val="both"/>
              <w:rPr>
                <w:lang w:val="lv-LV"/>
              </w:rPr>
            </w:pPr>
            <w:r w:rsidRPr="00A92ABE">
              <w:rPr>
                <w:lang w:val="lv-LV"/>
              </w:rPr>
              <w:t>3.</w:t>
            </w:r>
          </w:p>
        </w:tc>
        <w:tc>
          <w:tcPr>
            <w:tcW w:w="1289" w:type="pct"/>
            <w:tcBorders>
              <w:top w:val="outset" w:sz="6" w:space="0" w:color="414142"/>
              <w:left w:val="outset" w:sz="6" w:space="0" w:color="414142"/>
              <w:bottom w:val="single" w:sz="4" w:space="0" w:color="auto"/>
              <w:right w:val="outset" w:sz="6" w:space="0" w:color="414142"/>
            </w:tcBorders>
            <w:shd w:val="clear" w:color="auto" w:fill="FFFFFF"/>
            <w:hideMark/>
          </w:tcPr>
          <w:p w:rsidR="00CC52C8" w:rsidRPr="00A92ABE" w:rsidP="00CC52C8">
            <w:pPr>
              <w:pStyle w:val="NoSpacing"/>
              <w:jc w:val="both"/>
              <w:rPr>
                <w:lang w:val="lv-LV"/>
              </w:rPr>
            </w:pPr>
            <w:r w:rsidRPr="00A92ABE">
              <w:rPr>
                <w:lang w:val="lv-LV"/>
              </w:rPr>
              <w:t>Administratīvo izmaksu monetārs novērtējums</w:t>
            </w:r>
          </w:p>
        </w:tc>
        <w:tc>
          <w:tcPr>
            <w:tcW w:w="3484" w:type="pct"/>
            <w:tcBorders>
              <w:top w:val="outset" w:sz="6" w:space="0" w:color="414142"/>
              <w:left w:val="outset" w:sz="6" w:space="0" w:color="414142"/>
              <w:bottom w:val="single" w:sz="4" w:space="0" w:color="auto"/>
              <w:right w:val="outset" w:sz="6" w:space="0" w:color="414142"/>
            </w:tcBorders>
            <w:shd w:val="clear" w:color="auto" w:fill="FFFFFF"/>
            <w:hideMark/>
          </w:tcPr>
          <w:p w:rsidR="00CC52C8" w:rsidRPr="00A92ABE" w:rsidP="00CC52C8">
            <w:pPr>
              <w:pStyle w:val="BodyText1"/>
              <w:shd w:val="clear" w:color="auto" w:fill="auto"/>
              <w:spacing w:before="0" w:after="0" w:line="240" w:lineRule="auto"/>
              <w:jc w:val="both"/>
              <w:rPr>
                <w:sz w:val="24"/>
                <w:szCs w:val="24"/>
                <w:shd w:val="clear" w:color="auto" w:fill="FFFFFF"/>
              </w:rPr>
            </w:pPr>
            <w:r>
              <w:t>Projekts šo jomu neskar.</w:t>
            </w:r>
          </w:p>
        </w:tc>
      </w:tr>
      <w:tr w:rsidTr="00CC52C8">
        <w:tblPrEx>
          <w:tblW w:w="4943" w:type="pct"/>
          <w:tblInd w:w="113" w:type="dxa"/>
          <w:shd w:val="clear" w:color="auto" w:fill="FFFFFF"/>
          <w:tblCellMar>
            <w:top w:w="30" w:type="dxa"/>
            <w:left w:w="113" w:type="dxa"/>
            <w:bottom w:w="30" w:type="dxa"/>
            <w:right w:w="113" w:type="dxa"/>
          </w:tblCellMar>
          <w:tblLook w:val="04A0"/>
        </w:tblPrEx>
        <w:trPr>
          <w:trHeight w:val="277"/>
        </w:trPr>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CC52C8" w:rsidRPr="00A92ABE" w:rsidP="00CC52C8">
            <w:pPr>
              <w:pStyle w:val="NoSpacing"/>
              <w:jc w:val="both"/>
              <w:rPr>
                <w:lang w:val="lv-LV"/>
              </w:rPr>
            </w:pPr>
            <w:r w:rsidRPr="00A92ABE">
              <w:rPr>
                <w:lang w:val="lv-LV"/>
              </w:rPr>
              <w:t>4.</w:t>
            </w:r>
          </w:p>
        </w:tc>
        <w:tc>
          <w:tcPr>
            <w:tcW w:w="1289" w:type="pct"/>
            <w:tcBorders>
              <w:top w:val="single" w:sz="4" w:space="0" w:color="auto"/>
              <w:left w:val="single" w:sz="4" w:space="0" w:color="auto"/>
              <w:bottom w:val="single" w:sz="4" w:space="0" w:color="auto"/>
              <w:right w:val="single" w:sz="4" w:space="0" w:color="auto"/>
            </w:tcBorders>
            <w:shd w:val="clear" w:color="auto" w:fill="FFFFFF"/>
            <w:hideMark/>
          </w:tcPr>
          <w:p w:rsidR="00CC52C8" w:rsidRPr="00A92ABE" w:rsidP="00CC52C8">
            <w:pPr>
              <w:pStyle w:val="NoSpacing"/>
              <w:jc w:val="both"/>
              <w:rPr>
                <w:lang w:val="lv-LV"/>
              </w:rPr>
            </w:pPr>
            <w:r w:rsidRPr="00A92ABE">
              <w:rPr>
                <w:lang w:val="lv-LV"/>
              </w:rPr>
              <w:t>Cita informācija</w:t>
            </w:r>
          </w:p>
        </w:tc>
        <w:tc>
          <w:tcPr>
            <w:tcW w:w="3484" w:type="pct"/>
            <w:tcBorders>
              <w:top w:val="single" w:sz="4" w:space="0" w:color="auto"/>
              <w:left w:val="single" w:sz="4" w:space="0" w:color="auto"/>
              <w:bottom w:val="single" w:sz="4" w:space="0" w:color="auto"/>
              <w:right w:val="single" w:sz="4" w:space="0" w:color="auto"/>
            </w:tcBorders>
            <w:shd w:val="clear" w:color="auto" w:fill="FFFFFF"/>
            <w:hideMark/>
          </w:tcPr>
          <w:p w:rsidR="00CC52C8" w:rsidRPr="00A92ABE" w:rsidP="00CC52C8">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r w:rsidRPr="00A92ABE">
              <w:rPr>
                <w:rFonts w:ascii="Times New Roman" w:hAnsi="Times New Roman" w:cs="Times New Roman"/>
                <w:sz w:val="24"/>
                <w:szCs w:val="24"/>
                <w:lang w:val="lv-LV"/>
              </w:rPr>
              <w:t xml:space="preserve"> </w:t>
            </w:r>
          </w:p>
        </w:tc>
      </w:tr>
    </w:tbl>
    <w:p w:rsidR="00CC52C8" w:rsidRPr="00A92ABE" w:rsidP="00CC52C8">
      <w:pPr>
        <w:pStyle w:val="NoSpacing"/>
        <w:jc w:val="both"/>
        <w:rPr>
          <w:lang w:val="lv-LV"/>
        </w:rPr>
      </w:pPr>
    </w:p>
    <w:p w:rsidR="00CC52C8" w:rsidP="00CC52C8">
      <w:pPr>
        <w:pStyle w:val="NoSpacing"/>
        <w:jc w:val="both"/>
        <w:rPr>
          <w:i/>
          <w:lang w:val="lv-LV"/>
        </w:rPr>
      </w:pPr>
    </w:p>
    <w:tbl>
      <w:tblPr>
        <w:tblW w:w="510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9"/>
        <w:gridCol w:w="343"/>
        <w:gridCol w:w="2636"/>
        <w:gridCol w:w="125"/>
        <w:gridCol w:w="6039"/>
        <w:gridCol w:w="86"/>
      </w:tblGrid>
      <w:tr w:rsidTr="002779B2">
        <w:tblPrEx>
          <w:tblW w:w="510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gridBefore w:val="1"/>
          <w:wBefore w:w="99" w:type="dxa"/>
          <w:trHeight w:val="450"/>
          <w:jc w:val="center"/>
        </w:trPr>
        <w:tc>
          <w:tcPr>
            <w:tcW w:w="4947" w:type="pct"/>
            <w:gridSpan w:val="5"/>
            <w:tcBorders>
              <w:top w:val="outset" w:sz="6" w:space="0" w:color="414142"/>
              <w:left w:val="outset" w:sz="6" w:space="0" w:color="414142"/>
              <w:bottom w:val="outset" w:sz="6" w:space="0" w:color="414142"/>
              <w:right w:val="outset" w:sz="6" w:space="0" w:color="414142"/>
            </w:tcBorders>
            <w:vAlign w:val="center"/>
            <w:hideMark/>
          </w:tcPr>
          <w:p w:rsidR="00CC52C8" w:rsidRPr="00A505B8" w:rsidP="00CC52C8">
            <w:pPr>
              <w:spacing w:before="100" w:beforeAutospacing="1" w:after="100" w:afterAutospacing="1" w:line="293" w:lineRule="atLeast"/>
              <w:jc w:val="center"/>
              <w:rPr>
                <w:rFonts w:ascii="Times New Roman" w:eastAsia="Times New Roman" w:hAnsi="Times New Roman" w:cs="Times New Roman"/>
                <w:b/>
                <w:bCs/>
                <w:color w:val="414142"/>
                <w:sz w:val="24"/>
                <w:szCs w:val="24"/>
                <w:lang w:val="lv-LV" w:eastAsia="lv-LV"/>
              </w:rPr>
            </w:pPr>
            <w:r w:rsidRPr="00A505B8">
              <w:rPr>
                <w:rFonts w:ascii="Times New Roman" w:eastAsia="Times New Roman" w:hAnsi="Times New Roman" w:cs="Times New Roman"/>
                <w:b/>
                <w:bCs/>
                <w:color w:val="414142"/>
                <w:sz w:val="24"/>
                <w:szCs w:val="24"/>
                <w:lang w:val="lv-LV" w:eastAsia="lv-LV"/>
              </w:rPr>
              <w:t>IV. Tiesību akta projekta ietekme uz spēkā esošo tiesību normu sistēmu</w:t>
            </w:r>
          </w:p>
        </w:tc>
      </w:tr>
      <w:tr w:rsidTr="002779B2">
        <w:tblPrEx>
          <w:tblW w:w="5108" w:type="pct"/>
          <w:jc w:val="center"/>
          <w:tblCellMar>
            <w:top w:w="30" w:type="dxa"/>
            <w:left w:w="30" w:type="dxa"/>
            <w:bottom w:w="30" w:type="dxa"/>
            <w:right w:w="30" w:type="dxa"/>
          </w:tblCellMar>
          <w:tblLook w:val="04A0"/>
        </w:tblPrEx>
        <w:trPr>
          <w:gridBefore w:val="1"/>
          <w:wBefore w:w="99" w:type="dxa"/>
          <w:jc w:val="center"/>
        </w:trPr>
        <w:tc>
          <w:tcPr>
            <w:tcW w:w="184" w:type="pct"/>
            <w:tcBorders>
              <w:top w:val="outset" w:sz="6" w:space="0" w:color="414142"/>
              <w:left w:val="outset" w:sz="6" w:space="0" w:color="414142"/>
              <w:bottom w:val="outset" w:sz="6" w:space="0" w:color="414142"/>
              <w:right w:val="outset" w:sz="6" w:space="0" w:color="414142"/>
            </w:tcBorders>
            <w:hideMark/>
          </w:tcPr>
          <w:p w:rsidR="00CC52C8" w:rsidRPr="00A505B8" w:rsidP="00CC52C8">
            <w:pPr>
              <w:pStyle w:val="NoSpacing"/>
              <w:rPr>
                <w:lang w:val="lv-LV"/>
              </w:rPr>
            </w:pPr>
            <w:r w:rsidRPr="00A505B8">
              <w:rPr>
                <w:lang w:val="lv-LV"/>
              </w:rPr>
              <w:t>1.</w:t>
            </w:r>
          </w:p>
        </w:tc>
        <w:tc>
          <w:tcPr>
            <w:tcW w:w="1413" w:type="pct"/>
            <w:tcBorders>
              <w:top w:val="outset" w:sz="6" w:space="0" w:color="414142"/>
              <w:left w:val="outset" w:sz="6" w:space="0" w:color="414142"/>
              <w:bottom w:val="outset" w:sz="6" w:space="0" w:color="414142"/>
              <w:right w:val="outset" w:sz="6" w:space="0" w:color="414142"/>
            </w:tcBorders>
            <w:hideMark/>
          </w:tcPr>
          <w:p w:rsidR="00CC52C8" w:rsidRPr="00A505B8" w:rsidP="00CC52C8">
            <w:pPr>
              <w:pStyle w:val="NoSpacing"/>
              <w:jc w:val="both"/>
              <w:rPr>
                <w:lang w:val="lv-LV"/>
              </w:rPr>
            </w:pPr>
            <w:r w:rsidRPr="00A505B8">
              <w:rPr>
                <w:lang w:val="lv-LV"/>
              </w:rPr>
              <w:t>Nepieciešamie saistītie tiesību aktu projekti</w:t>
            </w:r>
          </w:p>
        </w:tc>
        <w:tc>
          <w:tcPr>
            <w:tcW w:w="3350" w:type="pct"/>
            <w:gridSpan w:val="3"/>
            <w:tcBorders>
              <w:top w:val="outset" w:sz="6" w:space="0" w:color="414142"/>
              <w:left w:val="outset" w:sz="6" w:space="0" w:color="414142"/>
              <w:bottom w:val="outset" w:sz="6" w:space="0" w:color="414142"/>
              <w:right w:val="outset" w:sz="6" w:space="0" w:color="414142"/>
            </w:tcBorders>
            <w:hideMark/>
          </w:tcPr>
          <w:p w:rsidR="00CC52C8" w:rsidRPr="00A505B8" w:rsidP="00CC52C8">
            <w:pPr>
              <w:pStyle w:val="NoSpacing"/>
              <w:jc w:val="both"/>
              <w:rPr>
                <w:lang w:val="lv-LV"/>
              </w:rPr>
            </w:pPr>
            <w:r w:rsidRPr="00992A24">
              <w:rPr>
                <w:lang w:val="lv-LV"/>
              </w:rPr>
              <w:t>Grozījumi Ministru kabineta 2014.gada 11.marta noteikumos Nr.134 „Noteikumi par vienoto veselības nozares elektronisko informācijas sistēmu”</w:t>
            </w:r>
          </w:p>
        </w:tc>
      </w:tr>
      <w:tr w:rsidTr="002779B2">
        <w:tblPrEx>
          <w:tblW w:w="5108" w:type="pct"/>
          <w:jc w:val="center"/>
          <w:tblCellMar>
            <w:top w:w="30" w:type="dxa"/>
            <w:left w:w="30" w:type="dxa"/>
            <w:bottom w:w="30" w:type="dxa"/>
            <w:right w:w="30" w:type="dxa"/>
          </w:tblCellMar>
          <w:tblLook w:val="04A0"/>
        </w:tblPrEx>
        <w:trPr>
          <w:gridBefore w:val="1"/>
          <w:wBefore w:w="99" w:type="dxa"/>
          <w:jc w:val="center"/>
        </w:trPr>
        <w:tc>
          <w:tcPr>
            <w:tcW w:w="184" w:type="pct"/>
            <w:tcBorders>
              <w:top w:val="outset" w:sz="6" w:space="0" w:color="414142"/>
              <w:left w:val="outset" w:sz="6" w:space="0" w:color="414142"/>
              <w:bottom w:val="outset" w:sz="6" w:space="0" w:color="414142"/>
              <w:right w:val="outset" w:sz="6" w:space="0" w:color="414142"/>
            </w:tcBorders>
            <w:hideMark/>
          </w:tcPr>
          <w:p w:rsidR="00CC52C8" w:rsidRPr="00A505B8" w:rsidP="00CC52C8">
            <w:pPr>
              <w:pStyle w:val="NoSpacing"/>
              <w:rPr>
                <w:lang w:val="lv-LV"/>
              </w:rPr>
            </w:pPr>
            <w:r w:rsidRPr="00A505B8">
              <w:rPr>
                <w:lang w:val="lv-LV"/>
              </w:rPr>
              <w:t>2.</w:t>
            </w:r>
          </w:p>
        </w:tc>
        <w:tc>
          <w:tcPr>
            <w:tcW w:w="1413" w:type="pct"/>
            <w:tcBorders>
              <w:top w:val="outset" w:sz="6" w:space="0" w:color="414142"/>
              <w:left w:val="outset" w:sz="6" w:space="0" w:color="414142"/>
              <w:bottom w:val="outset" w:sz="6" w:space="0" w:color="414142"/>
              <w:right w:val="outset" w:sz="6" w:space="0" w:color="414142"/>
            </w:tcBorders>
            <w:hideMark/>
          </w:tcPr>
          <w:p w:rsidR="00CC52C8" w:rsidRPr="00A505B8" w:rsidP="00CC52C8">
            <w:pPr>
              <w:pStyle w:val="NoSpacing"/>
              <w:jc w:val="both"/>
              <w:rPr>
                <w:lang w:val="lv-LV"/>
              </w:rPr>
            </w:pPr>
            <w:r w:rsidRPr="00A505B8">
              <w:rPr>
                <w:lang w:val="lv-LV"/>
              </w:rPr>
              <w:t>Atbildīgā institūcija</w:t>
            </w:r>
          </w:p>
        </w:tc>
        <w:tc>
          <w:tcPr>
            <w:tcW w:w="3350" w:type="pct"/>
            <w:gridSpan w:val="3"/>
            <w:tcBorders>
              <w:top w:val="outset" w:sz="6" w:space="0" w:color="414142"/>
              <w:left w:val="outset" w:sz="6" w:space="0" w:color="414142"/>
              <w:bottom w:val="outset" w:sz="6" w:space="0" w:color="414142"/>
              <w:right w:val="outset" w:sz="6" w:space="0" w:color="414142"/>
            </w:tcBorders>
            <w:hideMark/>
          </w:tcPr>
          <w:p w:rsidR="00CC52C8" w:rsidRPr="00A505B8" w:rsidP="00CC52C8">
            <w:pPr>
              <w:pStyle w:val="NoSpacing"/>
              <w:jc w:val="both"/>
              <w:rPr>
                <w:lang w:val="lv-LV"/>
              </w:rPr>
            </w:pPr>
            <w:r>
              <w:rPr>
                <w:lang w:val="lv-LV"/>
              </w:rPr>
              <w:t>Veselības ministrija</w:t>
            </w:r>
          </w:p>
        </w:tc>
      </w:tr>
      <w:tr w:rsidTr="002779B2">
        <w:tblPrEx>
          <w:tblW w:w="5108" w:type="pct"/>
          <w:jc w:val="center"/>
          <w:tblCellMar>
            <w:top w:w="30" w:type="dxa"/>
            <w:left w:w="30" w:type="dxa"/>
            <w:bottom w:w="30" w:type="dxa"/>
            <w:right w:w="30" w:type="dxa"/>
          </w:tblCellMar>
          <w:tblLook w:val="04A0"/>
        </w:tblPrEx>
        <w:trPr>
          <w:gridBefore w:val="1"/>
          <w:wBefore w:w="99" w:type="dxa"/>
          <w:jc w:val="center"/>
        </w:trPr>
        <w:tc>
          <w:tcPr>
            <w:tcW w:w="184" w:type="pct"/>
            <w:tcBorders>
              <w:top w:val="outset" w:sz="6" w:space="0" w:color="414142"/>
              <w:left w:val="outset" w:sz="6" w:space="0" w:color="414142"/>
              <w:bottom w:val="outset" w:sz="6" w:space="0" w:color="414142"/>
              <w:right w:val="outset" w:sz="6" w:space="0" w:color="414142"/>
            </w:tcBorders>
            <w:hideMark/>
          </w:tcPr>
          <w:p w:rsidR="00CC52C8" w:rsidRPr="00A505B8" w:rsidP="00CC52C8">
            <w:pPr>
              <w:pStyle w:val="NoSpacing"/>
              <w:rPr>
                <w:lang w:val="lv-LV"/>
              </w:rPr>
            </w:pPr>
            <w:r w:rsidRPr="00A505B8">
              <w:rPr>
                <w:lang w:val="lv-LV"/>
              </w:rPr>
              <w:t>3.</w:t>
            </w:r>
          </w:p>
        </w:tc>
        <w:tc>
          <w:tcPr>
            <w:tcW w:w="1413" w:type="pct"/>
            <w:tcBorders>
              <w:top w:val="outset" w:sz="6" w:space="0" w:color="414142"/>
              <w:left w:val="outset" w:sz="6" w:space="0" w:color="414142"/>
              <w:bottom w:val="outset" w:sz="6" w:space="0" w:color="414142"/>
              <w:right w:val="outset" w:sz="6" w:space="0" w:color="414142"/>
            </w:tcBorders>
            <w:hideMark/>
          </w:tcPr>
          <w:p w:rsidR="00CC52C8" w:rsidRPr="00A505B8" w:rsidP="00CC52C8">
            <w:pPr>
              <w:pStyle w:val="NoSpacing"/>
              <w:jc w:val="both"/>
              <w:rPr>
                <w:lang w:val="lv-LV"/>
              </w:rPr>
            </w:pPr>
            <w:r w:rsidRPr="00A505B8">
              <w:rPr>
                <w:lang w:val="lv-LV"/>
              </w:rPr>
              <w:t>Cita informācija</w:t>
            </w:r>
          </w:p>
        </w:tc>
        <w:tc>
          <w:tcPr>
            <w:tcW w:w="3350" w:type="pct"/>
            <w:gridSpan w:val="3"/>
            <w:tcBorders>
              <w:top w:val="outset" w:sz="6" w:space="0" w:color="414142"/>
              <w:left w:val="outset" w:sz="6" w:space="0" w:color="414142"/>
              <w:bottom w:val="outset" w:sz="6" w:space="0" w:color="414142"/>
              <w:right w:val="outset" w:sz="6" w:space="0" w:color="414142"/>
            </w:tcBorders>
            <w:hideMark/>
          </w:tcPr>
          <w:p w:rsidR="00CC52C8" w:rsidRPr="00A505B8" w:rsidP="00CC52C8">
            <w:pPr>
              <w:pStyle w:val="NoSpacing"/>
              <w:jc w:val="both"/>
              <w:rPr>
                <w:lang w:val="lv-LV"/>
              </w:rPr>
            </w:pPr>
            <w:r>
              <w:rPr>
                <w:lang w:val="lv-LV"/>
              </w:rPr>
              <w:t xml:space="preserve">Nav </w:t>
            </w:r>
          </w:p>
        </w:tc>
      </w:tr>
      <w:tr w:rsidTr="002779B2">
        <w:tblPrEx>
          <w:tblW w:w="5108" w:type="pct"/>
          <w:jc w:val="left"/>
          <w:shd w:val="clear" w:color="auto" w:fill="FFFFFF"/>
          <w:tblCellMar>
            <w:top w:w="30" w:type="dxa"/>
            <w:left w:w="30" w:type="dxa"/>
            <w:bottom w:w="30" w:type="dxa"/>
            <w:right w:w="30" w:type="dxa"/>
          </w:tblCellMar>
          <w:tblLook w:val="04A0"/>
        </w:tblPrEx>
        <w:trPr>
          <w:gridAfter w:val="1"/>
          <w:wAfter w:w="46" w:type="dxa"/>
          <w:trHeight w:val="420"/>
          <w:jc w:val="left"/>
        </w:trPr>
        <w:tc>
          <w:tcPr>
            <w:tcW w:w="495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C52C8" w:rsidRPr="00A92ABE" w:rsidP="00CC52C8">
            <w:pPr>
              <w:pStyle w:val="NoSpacing"/>
              <w:jc w:val="center"/>
              <w:rPr>
                <w:b/>
                <w:lang w:val="lv-LV"/>
              </w:rPr>
            </w:pPr>
            <w:r w:rsidRPr="00A92ABE">
              <w:rPr>
                <w:b/>
                <w:lang w:val="lv-LV"/>
              </w:rPr>
              <w:t>VI. Sabiedrības līdzdalība un komunikācijas aktivitātes</w:t>
            </w:r>
          </w:p>
        </w:tc>
      </w:tr>
      <w:tr w:rsidTr="002779B2">
        <w:tblPrEx>
          <w:tblW w:w="5108" w:type="pct"/>
          <w:jc w:val="left"/>
          <w:shd w:val="clear" w:color="auto" w:fill="FFFFFF"/>
          <w:tblCellMar>
            <w:top w:w="30" w:type="dxa"/>
            <w:left w:w="30" w:type="dxa"/>
            <w:bottom w:w="30" w:type="dxa"/>
            <w:right w:w="30" w:type="dxa"/>
          </w:tblCellMar>
          <w:tblLook w:val="04A0"/>
        </w:tblPrEx>
        <w:trPr>
          <w:gridAfter w:val="1"/>
          <w:wAfter w:w="46" w:type="dxa"/>
          <w:trHeight w:val="540"/>
          <w:jc w:val="left"/>
        </w:trPr>
        <w:tc>
          <w:tcPr>
            <w:tcW w:w="23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1.</w:t>
            </w:r>
          </w:p>
        </w:tc>
        <w:tc>
          <w:tcPr>
            <w:tcW w:w="148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Plānotās sabiedrības līdzdalības un komunikācijas aktivitātes saistībā ar projektu</w:t>
            </w:r>
          </w:p>
        </w:tc>
        <w:tc>
          <w:tcPr>
            <w:tcW w:w="3237" w:type="pct"/>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D43CC2">
            <w:pPr>
              <w:pStyle w:val="NoSpacing"/>
              <w:jc w:val="both"/>
              <w:rPr>
                <w:lang w:val="lv-LV"/>
              </w:rPr>
            </w:pPr>
            <w:r>
              <w:rPr>
                <w:lang w:val="lv-LV"/>
              </w:rPr>
              <w:t>Noteikumu projekt</w:t>
            </w:r>
            <w:r w:rsidR="00D43CC2">
              <w:rPr>
                <w:lang w:val="lv-LV"/>
              </w:rPr>
              <w:t>s</w:t>
            </w:r>
            <w:r w:rsidR="00A03FEC">
              <w:rPr>
                <w:lang w:val="lv-LV"/>
              </w:rPr>
              <w:t xml:space="preserve"> no 2017.gada 2,jūnija</w:t>
            </w:r>
            <w:r w:rsidR="00D43CC2">
              <w:rPr>
                <w:lang w:val="lv-LV"/>
              </w:rPr>
              <w:t xml:space="preserve"> bija ievietots</w:t>
            </w:r>
            <w:r>
              <w:rPr>
                <w:lang w:val="lv-LV"/>
              </w:rPr>
              <w:t xml:space="preserve"> Veselības ministrijas mājas lapā</w:t>
            </w:r>
            <w:r w:rsidR="00D43CC2">
              <w:rPr>
                <w:lang w:val="lv-LV"/>
              </w:rPr>
              <w:t xml:space="preserve"> un 2017.gada 19.jūnijā notika tā sabiedriskā apspriede</w:t>
            </w:r>
            <w:r>
              <w:rPr>
                <w:lang w:val="lv-LV"/>
              </w:rPr>
              <w:t>.</w:t>
            </w:r>
          </w:p>
        </w:tc>
      </w:tr>
      <w:tr w:rsidTr="002779B2">
        <w:tblPrEx>
          <w:tblW w:w="5108" w:type="pct"/>
          <w:jc w:val="left"/>
          <w:shd w:val="clear" w:color="auto" w:fill="FFFFFF"/>
          <w:tblCellMar>
            <w:top w:w="30" w:type="dxa"/>
            <w:left w:w="30" w:type="dxa"/>
            <w:bottom w:w="30" w:type="dxa"/>
            <w:right w:w="30" w:type="dxa"/>
          </w:tblCellMar>
          <w:tblLook w:val="04A0"/>
        </w:tblPrEx>
        <w:trPr>
          <w:gridAfter w:val="1"/>
          <w:wAfter w:w="46" w:type="dxa"/>
          <w:trHeight w:val="330"/>
          <w:jc w:val="left"/>
        </w:trPr>
        <w:tc>
          <w:tcPr>
            <w:tcW w:w="23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2.</w:t>
            </w:r>
          </w:p>
        </w:tc>
        <w:tc>
          <w:tcPr>
            <w:tcW w:w="148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Sabiedrības līdzdalība projekta izstrādē</w:t>
            </w:r>
          </w:p>
        </w:tc>
        <w:tc>
          <w:tcPr>
            <w:tcW w:w="3237" w:type="pct"/>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spacing w:after="0" w:line="240" w:lineRule="auto"/>
              <w:jc w:val="both"/>
              <w:rPr>
                <w:rFonts w:ascii="Times New Roman" w:eastAsia="Times New Roman" w:hAnsi="Times New Roman" w:cs="Times New Roman"/>
                <w:color w:val="000000"/>
                <w:sz w:val="24"/>
                <w:szCs w:val="24"/>
                <w:lang w:val="lv-LV"/>
              </w:rPr>
            </w:pPr>
            <w:r>
              <w:rPr>
                <w:rFonts w:ascii="Times New Roman" w:hAnsi="Times New Roman" w:cs="Times New Roman"/>
                <w:sz w:val="24"/>
                <w:szCs w:val="24"/>
                <w:lang w:val="lv-LV"/>
              </w:rPr>
              <w:t>Sabiedriskajā apspriedē piedalījās Latvijas Ģimenes ārstu asociācijas, Aptieku attīstības biedrības un Starptautisko inovatīvo farmaceitisko firmu asociācijas pārstāvji.</w:t>
            </w:r>
          </w:p>
        </w:tc>
      </w:tr>
      <w:tr w:rsidTr="002779B2">
        <w:tblPrEx>
          <w:tblW w:w="5108" w:type="pct"/>
          <w:jc w:val="left"/>
          <w:shd w:val="clear" w:color="auto" w:fill="FFFFFF"/>
          <w:tblCellMar>
            <w:top w:w="30" w:type="dxa"/>
            <w:left w:w="30" w:type="dxa"/>
            <w:bottom w:w="30" w:type="dxa"/>
            <w:right w:w="30" w:type="dxa"/>
          </w:tblCellMar>
          <w:tblLook w:val="04A0"/>
        </w:tblPrEx>
        <w:trPr>
          <w:gridAfter w:val="1"/>
          <w:wAfter w:w="46" w:type="dxa"/>
          <w:trHeight w:val="465"/>
          <w:jc w:val="left"/>
        </w:trPr>
        <w:tc>
          <w:tcPr>
            <w:tcW w:w="23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3.</w:t>
            </w:r>
          </w:p>
        </w:tc>
        <w:tc>
          <w:tcPr>
            <w:tcW w:w="148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Sabiedrības līdzdalības rezultāti</w:t>
            </w:r>
          </w:p>
        </w:tc>
        <w:tc>
          <w:tcPr>
            <w:tcW w:w="3237" w:type="pct"/>
            <w:tcBorders>
              <w:top w:val="outset" w:sz="6" w:space="0" w:color="414142"/>
              <w:left w:val="outset" w:sz="6" w:space="0" w:color="414142"/>
              <w:bottom w:val="outset" w:sz="6" w:space="0" w:color="414142"/>
              <w:right w:val="outset" w:sz="6" w:space="0" w:color="414142"/>
            </w:tcBorders>
            <w:shd w:val="clear" w:color="auto" w:fill="auto"/>
            <w:hideMark/>
          </w:tcPr>
          <w:p w:rsidR="00CC52C8" w:rsidRPr="00A92ABE" w:rsidP="006216A9">
            <w:pPr>
              <w:pStyle w:val="NoSpacing"/>
              <w:jc w:val="both"/>
              <w:rPr>
                <w:lang w:val="lv-LV"/>
              </w:rPr>
            </w:pPr>
            <w:r>
              <w:rPr>
                <w:lang w:val="lv-LV"/>
              </w:rPr>
              <w:t>Par Noteikumu projektu saņemti Latvijas Ģimenes ārstu asociācijas iebildumi, kuri ņemti vērā, papildinot Noteikumu 20.</w:t>
            </w:r>
            <w:r w:rsidRPr="00CE393A" w:rsidR="00CE393A">
              <w:rPr>
                <w:vertAlign w:val="superscript"/>
                <w:lang w:val="lv-LV"/>
              </w:rPr>
              <w:t>3</w:t>
            </w:r>
            <w:r>
              <w:rPr>
                <w:lang w:val="lv-LV"/>
              </w:rPr>
              <w:t xml:space="preserve"> punktu ar norādi, ka pēc personas pieprasījuma ārsts vai ārsta palīgs veselības informācijas sistēmā sagatavoto darbnespējas lapu nosūta personas norādītajam adresātam tādā gadījumā, ja persona pati to nevar izdarīt. Vienlaikus atbilstoši Latvijas Ģimenes ārstu asociācijas lūgumam un sabiedriskajā apspriedē panāktajai vienošanai papildināts Noteikumu projekta anotācijā ietvertais paskaidrojums attiecībā uz prasību reģistrēt darbnespējas lapu </w:t>
            </w:r>
            <w:r w:rsidR="00A22F81">
              <w:rPr>
                <w:lang w:val="lv-LV"/>
              </w:rPr>
              <w:t>veselības informācijas sistēmā piecu darbdienu laikā vienīgi tajos gadījumos, ja to nav iespējams reģistrēt darbnespējas perioda pirmajā dienā tehnisku iemeslu dēļ.</w:t>
            </w:r>
            <w:r>
              <w:rPr>
                <w:lang w:val="lv-LV"/>
              </w:rPr>
              <w:t xml:space="preserve"> </w:t>
            </w:r>
          </w:p>
        </w:tc>
      </w:tr>
      <w:tr w:rsidTr="002779B2">
        <w:tblPrEx>
          <w:tblW w:w="5108" w:type="pct"/>
          <w:jc w:val="left"/>
          <w:shd w:val="clear" w:color="auto" w:fill="FFFFFF"/>
          <w:tblCellMar>
            <w:top w:w="30" w:type="dxa"/>
            <w:left w:w="30" w:type="dxa"/>
            <w:bottom w:w="30" w:type="dxa"/>
            <w:right w:w="30" w:type="dxa"/>
          </w:tblCellMar>
          <w:tblLook w:val="04A0"/>
        </w:tblPrEx>
        <w:trPr>
          <w:gridAfter w:val="1"/>
          <w:wAfter w:w="46" w:type="dxa"/>
          <w:trHeight w:val="218"/>
          <w:jc w:val="left"/>
        </w:trPr>
        <w:tc>
          <w:tcPr>
            <w:tcW w:w="23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4.</w:t>
            </w:r>
          </w:p>
        </w:tc>
        <w:tc>
          <w:tcPr>
            <w:tcW w:w="148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Cita informācija</w:t>
            </w:r>
          </w:p>
        </w:tc>
        <w:tc>
          <w:tcPr>
            <w:tcW w:w="3237" w:type="pct"/>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Nav</w:t>
            </w:r>
          </w:p>
        </w:tc>
      </w:tr>
    </w:tbl>
    <w:p w:rsidR="00CC52C8" w:rsidRPr="00A92ABE" w:rsidP="00CC52C8">
      <w:pPr>
        <w:pStyle w:val="NoSpacing"/>
        <w:jc w:val="both"/>
        <w:rPr>
          <w:b/>
          <w:lang w:val="lv-LV"/>
        </w:rPr>
      </w:pPr>
    </w:p>
    <w:tbl>
      <w:tblPr>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2823"/>
        <w:gridCol w:w="5964"/>
      </w:tblGrid>
      <w:tr w:rsidTr="00CC52C8">
        <w:tblPrEx>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7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C52C8" w:rsidRPr="00A92ABE" w:rsidP="00CC52C8">
            <w:pPr>
              <w:pStyle w:val="NoSpacing"/>
              <w:jc w:val="center"/>
              <w:rPr>
                <w:b/>
                <w:lang w:val="lv-LV"/>
              </w:rPr>
            </w:pPr>
            <w:r w:rsidRPr="00A92ABE">
              <w:rPr>
                <w:b/>
                <w:lang w:val="lv-LV"/>
              </w:rPr>
              <w:t>VII. Tiesību akta projekta izpildes nodrošināšana un tās ietekme uz institūcijām</w:t>
            </w:r>
          </w:p>
        </w:tc>
      </w:tr>
      <w:tr w:rsidTr="00CC52C8">
        <w:tblPrEx>
          <w:tblW w:w="5062" w:type="pct"/>
          <w:shd w:val="clear" w:color="auto" w:fill="FFFFFF"/>
          <w:tblCellMar>
            <w:top w:w="30" w:type="dxa"/>
            <w:left w:w="30" w:type="dxa"/>
            <w:bottom w:w="30" w:type="dxa"/>
            <w:right w:w="30" w:type="dxa"/>
          </w:tblCellMar>
          <w:tblLook w:val="04A0"/>
        </w:tblPrEx>
        <w:trPr>
          <w:trHeight w:val="4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1.</w:t>
            </w: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Projekta izpildē iesaistītās institūcijas</w:t>
            </w:r>
          </w:p>
        </w:tc>
        <w:tc>
          <w:tcPr>
            <w:tcW w:w="3226" w:type="pct"/>
            <w:tcBorders>
              <w:top w:val="outset" w:sz="6" w:space="0" w:color="414142"/>
              <w:left w:val="outset" w:sz="6" w:space="0" w:color="414142"/>
              <w:bottom w:val="outset" w:sz="6" w:space="0" w:color="414142"/>
              <w:right w:val="outset" w:sz="6" w:space="0" w:color="414142"/>
            </w:tcBorders>
            <w:shd w:val="clear" w:color="auto" w:fill="auto"/>
            <w:hideMark/>
          </w:tcPr>
          <w:p w:rsidR="00CC52C8" w:rsidRPr="008178E1" w:rsidP="00CC52C8">
            <w:pPr>
              <w:pStyle w:val="NoSpacing"/>
              <w:jc w:val="both"/>
              <w:rPr>
                <w:lang w:val="lv-LV"/>
              </w:rPr>
            </w:pPr>
            <w:r w:rsidRPr="008178E1">
              <w:rPr>
                <w:lang w:val="lv-LV"/>
              </w:rPr>
              <w:t>Labklājības ministrija, Valsts sociālās apdrošināšanas aģentūra</w:t>
            </w:r>
            <w:r w:rsidRPr="008178E1" w:rsidR="002743C4">
              <w:rPr>
                <w:lang w:val="lv-LV"/>
              </w:rPr>
              <w:t>, Veselības inspekcija</w:t>
            </w:r>
          </w:p>
        </w:tc>
      </w:tr>
      <w:tr w:rsidTr="00CC52C8">
        <w:tblPrEx>
          <w:tblW w:w="5062" w:type="pct"/>
          <w:shd w:val="clear" w:color="auto" w:fill="FFFFFF"/>
          <w:tblCellMar>
            <w:top w:w="30" w:type="dxa"/>
            <w:left w:w="30" w:type="dxa"/>
            <w:bottom w:w="30" w:type="dxa"/>
            <w:right w:w="30" w:type="dxa"/>
          </w:tblCellMar>
          <w:tblLook w:val="04A0"/>
        </w:tblPrEx>
        <w:trPr>
          <w:trHeight w:val="45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2.</w:t>
            </w: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Projekta izpildes ietekme uz pārvaldes funkcijām un institucionālo struktūru.</w:t>
            </w:r>
          </w:p>
          <w:p w:rsidR="00CC52C8" w:rsidRPr="00A92ABE" w:rsidP="00CC52C8">
            <w:pPr>
              <w:pStyle w:val="NoSpacing"/>
              <w:jc w:val="both"/>
              <w:rPr>
                <w:lang w:val="lv-LV"/>
              </w:rPr>
            </w:pPr>
            <w:r w:rsidRPr="00A92ABE">
              <w:rPr>
                <w:lang w:val="lv-LV"/>
              </w:rPr>
              <w:t>Jaunu institūciju izveide, esošu institūciju likvidācija vai reorganizācija, to ietekme uz institūcijas cilvēkresursiem</w:t>
            </w:r>
          </w:p>
        </w:tc>
        <w:tc>
          <w:tcPr>
            <w:tcW w:w="3226" w:type="pct"/>
            <w:tcBorders>
              <w:top w:val="outset" w:sz="6" w:space="0" w:color="414142"/>
              <w:left w:val="outset" w:sz="6" w:space="0" w:color="414142"/>
              <w:bottom w:val="outset" w:sz="6" w:space="0" w:color="414142"/>
              <w:right w:val="outset" w:sz="6" w:space="0" w:color="414142"/>
            </w:tcBorders>
            <w:shd w:val="clear" w:color="auto" w:fill="auto"/>
            <w:hideMark/>
          </w:tcPr>
          <w:p w:rsidR="00CC52C8" w:rsidRPr="00A92ABE" w:rsidP="00CC52C8">
            <w:pPr>
              <w:pStyle w:val="NoSpacing"/>
              <w:jc w:val="both"/>
              <w:rPr>
                <w:lang w:val="lv-LV"/>
              </w:rPr>
            </w:pPr>
            <w:r>
              <w:rPr>
                <w:lang w:val="lv-LV"/>
              </w:rPr>
              <w:t>Nav</w:t>
            </w:r>
          </w:p>
        </w:tc>
      </w:tr>
      <w:tr w:rsidTr="00CC52C8">
        <w:tblPrEx>
          <w:tblW w:w="5062" w:type="pct"/>
          <w:shd w:val="clear" w:color="auto" w:fill="FFFFFF"/>
          <w:tblCellMar>
            <w:top w:w="30" w:type="dxa"/>
            <w:left w:w="30" w:type="dxa"/>
            <w:bottom w:w="30" w:type="dxa"/>
            <w:right w:w="30" w:type="dxa"/>
          </w:tblCellMar>
          <w:tblLook w:val="04A0"/>
        </w:tblPrEx>
        <w:trPr>
          <w:trHeight w:val="39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CC52C8" w:rsidRPr="00A92ABE" w:rsidP="00CC52C8">
            <w:pPr>
              <w:pStyle w:val="NoSpacing"/>
              <w:jc w:val="both"/>
              <w:rPr>
                <w:lang w:val="lv-LV"/>
              </w:rPr>
            </w:pPr>
            <w:r w:rsidRPr="00A92ABE">
              <w:rPr>
                <w:lang w:val="lv-LV"/>
              </w:rPr>
              <w:t>Cita informācija</w:t>
            </w:r>
          </w:p>
        </w:tc>
        <w:tc>
          <w:tcPr>
            <w:tcW w:w="3226" w:type="pct"/>
            <w:tcBorders>
              <w:top w:val="outset" w:sz="6" w:space="0" w:color="414142"/>
              <w:left w:val="outset" w:sz="6" w:space="0" w:color="414142"/>
              <w:bottom w:val="outset" w:sz="6" w:space="0" w:color="414142"/>
              <w:right w:val="outset" w:sz="6" w:space="0" w:color="414142"/>
            </w:tcBorders>
            <w:shd w:val="clear" w:color="auto" w:fill="auto"/>
            <w:hideMark/>
          </w:tcPr>
          <w:p w:rsidR="00CC52C8" w:rsidRPr="00A92ABE" w:rsidP="00CC52C8">
            <w:pPr>
              <w:pStyle w:val="NoSpacing"/>
              <w:jc w:val="both"/>
              <w:rPr>
                <w:lang w:val="lv-LV"/>
              </w:rPr>
            </w:pPr>
            <w:r>
              <w:rPr>
                <w:lang w:val="lv-LV"/>
              </w:rPr>
              <w:t>Nav</w:t>
            </w:r>
          </w:p>
        </w:tc>
      </w:tr>
    </w:tbl>
    <w:p w:rsidR="00F24479" w:rsidP="00CC52C8">
      <w:pPr>
        <w:pStyle w:val="NoSpacing"/>
        <w:rPr>
          <w:i/>
          <w:iCs/>
          <w:color w:val="414142"/>
          <w:shd w:val="clear" w:color="auto" w:fill="FFFFFF"/>
        </w:rPr>
      </w:pPr>
    </w:p>
    <w:p w:rsidR="00CC52C8" w:rsidRPr="002779B2" w:rsidP="00CC52C8">
      <w:pPr>
        <w:pStyle w:val="NoSpacing"/>
        <w:rPr>
          <w:bCs/>
          <w:lang w:val="lv-LV"/>
        </w:rPr>
      </w:pPr>
      <w:r w:rsidRPr="002779B2">
        <w:rPr>
          <w:i/>
          <w:iCs/>
          <w:color w:val="414142"/>
          <w:shd w:val="clear" w:color="auto" w:fill="FFFFFF"/>
          <w:lang w:val="lv-LV"/>
        </w:rPr>
        <w:t>Anotācijas III un V sadaļa – projekts šīs jomas neskar</w:t>
      </w:r>
    </w:p>
    <w:p w:rsidR="00F24479" w:rsidP="00CC52C8">
      <w:pPr>
        <w:pStyle w:val="NoSpacing"/>
        <w:rPr>
          <w:bCs/>
          <w:sz w:val="28"/>
          <w:szCs w:val="28"/>
          <w:lang w:val="lv-LV"/>
        </w:rPr>
      </w:pPr>
    </w:p>
    <w:p w:rsidR="00CC52C8" w:rsidP="00CC52C8">
      <w:pPr>
        <w:pStyle w:val="NoSpacing"/>
        <w:rPr>
          <w:bCs/>
          <w:sz w:val="28"/>
          <w:szCs w:val="28"/>
          <w:lang w:val="lv-LV"/>
        </w:rPr>
      </w:pPr>
      <w:r w:rsidRPr="00A92ABE">
        <w:rPr>
          <w:bCs/>
          <w:sz w:val="28"/>
          <w:szCs w:val="28"/>
          <w:lang w:val="lv-LV"/>
        </w:rPr>
        <w:t>Veselības ministre</w:t>
      </w:r>
      <w:r w:rsidRPr="00A92ABE">
        <w:rPr>
          <w:bCs/>
          <w:sz w:val="28"/>
          <w:szCs w:val="28"/>
          <w:lang w:val="lv-LV"/>
        </w:rPr>
        <w:tab/>
      </w:r>
      <w:r w:rsidRPr="00A92ABE">
        <w:rPr>
          <w:bCs/>
          <w:sz w:val="28"/>
          <w:szCs w:val="28"/>
          <w:lang w:val="lv-LV"/>
        </w:rPr>
        <w:tab/>
      </w:r>
      <w:r w:rsidRPr="00A92ABE">
        <w:rPr>
          <w:bCs/>
          <w:sz w:val="28"/>
          <w:szCs w:val="28"/>
          <w:lang w:val="lv-LV"/>
        </w:rPr>
        <w:tab/>
      </w:r>
      <w:r w:rsidRPr="00A92ABE">
        <w:rPr>
          <w:bCs/>
          <w:sz w:val="28"/>
          <w:szCs w:val="28"/>
          <w:lang w:val="lv-LV"/>
        </w:rPr>
        <w:tab/>
      </w:r>
      <w:r w:rsidRPr="00A92ABE">
        <w:rPr>
          <w:bCs/>
          <w:sz w:val="28"/>
          <w:szCs w:val="28"/>
          <w:lang w:val="lv-LV"/>
        </w:rPr>
        <w:tab/>
      </w:r>
      <w:r>
        <w:rPr>
          <w:bCs/>
          <w:sz w:val="28"/>
          <w:szCs w:val="28"/>
          <w:lang w:val="lv-LV"/>
        </w:rPr>
        <w:tab/>
      </w:r>
      <w:r>
        <w:rPr>
          <w:bCs/>
          <w:sz w:val="28"/>
          <w:szCs w:val="28"/>
          <w:lang w:val="lv-LV"/>
        </w:rPr>
        <w:tab/>
      </w:r>
      <w:r>
        <w:rPr>
          <w:bCs/>
          <w:sz w:val="28"/>
          <w:szCs w:val="28"/>
          <w:lang w:val="lv-LV"/>
        </w:rPr>
        <w:tab/>
      </w:r>
      <w:r w:rsidR="002779B2">
        <w:rPr>
          <w:bCs/>
          <w:sz w:val="28"/>
          <w:szCs w:val="28"/>
          <w:lang w:val="lv-LV"/>
        </w:rPr>
        <w:t xml:space="preserve"> </w:t>
      </w:r>
      <w:r>
        <w:rPr>
          <w:bCs/>
          <w:sz w:val="28"/>
          <w:szCs w:val="28"/>
          <w:lang w:val="lv-LV"/>
        </w:rPr>
        <w:t xml:space="preserve"> </w:t>
      </w:r>
      <w:r w:rsidRPr="00A92ABE">
        <w:rPr>
          <w:bCs/>
          <w:sz w:val="28"/>
          <w:szCs w:val="28"/>
          <w:lang w:val="lv-LV"/>
        </w:rPr>
        <w:t>A</w:t>
      </w:r>
      <w:r>
        <w:rPr>
          <w:bCs/>
          <w:sz w:val="28"/>
          <w:szCs w:val="28"/>
          <w:lang w:val="lv-LV"/>
        </w:rPr>
        <w:t>nda</w:t>
      </w:r>
      <w:r w:rsidRPr="00A92ABE">
        <w:rPr>
          <w:bCs/>
          <w:sz w:val="28"/>
          <w:szCs w:val="28"/>
          <w:lang w:val="lv-LV"/>
        </w:rPr>
        <w:t xml:space="preserve"> Čakša</w:t>
      </w:r>
    </w:p>
    <w:p w:rsidR="002779B2" w:rsidP="00CC52C8">
      <w:pPr>
        <w:pStyle w:val="NoSpacing"/>
        <w:rPr>
          <w:bCs/>
          <w:sz w:val="28"/>
          <w:szCs w:val="28"/>
          <w:lang w:val="lv-LV"/>
        </w:rPr>
      </w:pPr>
    </w:p>
    <w:p w:rsidR="00CC52C8" w:rsidRPr="00A92ABE" w:rsidP="00CC52C8">
      <w:pPr>
        <w:tabs>
          <w:tab w:val="left" w:pos="2955"/>
        </w:tabs>
        <w:spacing w:after="0" w:line="240" w:lineRule="auto"/>
        <w:jc w:val="both"/>
        <w:rPr>
          <w:rFonts w:ascii="Times New Roman" w:hAnsi="Times New Roman" w:cs="Times New Roman"/>
          <w:sz w:val="28"/>
          <w:szCs w:val="28"/>
          <w:lang w:val="lv-LV"/>
        </w:rPr>
      </w:pPr>
    </w:p>
    <w:p w:rsidR="00CC52C8" w:rsidP="00CC52C8">
      <w:pPr>
        <w:tabs>
          <w:tab w:val="left" w:pos="2955"/>
        </w:tabs>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Vīza: Valsts sekretārs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sidR="00992A24">
        <w:rPr>
          <w:rFonts w:ascii="Times New Roman" w:hAnsi="Times New Roman" w:cs="Times New Roman"/>
          <w:sz w:val="28"/>
          <w:szCs w:val="28"/>
          <w:lang w:val="lv-LV"/>
        </w:rPr>
        <w:tab/>
      </w:r>
      <w:r w:rsidR="00992A24">
        <w:rPr>
          <w:rFonts w:ascii="Times New Roman" w:hAnsi="Times New Roman" w:cs="Times New Roman"/>
          <w:sz w:val="28"/>
          <w:szCs w:val="28"/>
          <w:lang w:val="lv-LV"/>
        </w:rPr>
        <w:tab/>
      </w:r>
      <w:r>
        <w:rPr>
          <w:rFonts w:ascii="Times New Roman" w:hAnsi="Times New Roman" w:cs="Times New Roman"/>
          <w:sz w:val="28"/>
          <w:szCs w:val="28"/>
          <w:lang w:val="lv-LV"/>
        </w:rPr>
        <w:t xml:space="preserve">     </w:t>
      </w:r>
      <w:r w:rsidR="002779B2">
        <w:rPr>
          <w:rFonts w:ascii="Times New Roman" w:hAnsi="Times New Roman" w:cs="Times New Roman"/>
          <w:sz w:val="28"/>
          <w:szCs w:val="28"/>
          <w:lang w:val="lv-LV"/>
        </w:rPr>
        <w:t xml:space="preserve">        </w:t>
      </w:r>
      <w:r>
        <w:rPr>
          <w:rFonts w:ascii="Times New Roman" w:hAnsi="Times New Roman" w:cs="Times New Roman"/>
          <w:sz w:val="28"/>
          <w:szCs w:val="28"/>
          <w:lang w:val="lv-LV"/>
        </w:rPr>
        <w:t>Kārlis</w:t>
      </w:r>
      <w:r w:rsidRPr="00A92ABE">
        <w:rPr>
          <w:rFonts w:ascii="Times New Roman" w:hAnsi="Times New Roman" w:cs="Times New Roman"/>
          <w:sz w:val="28"/>
          <w:szCs w:val="28"/>
          <w:lang w:val="lv-LV"/>
        </w:rPr>
        <w:t xml:space="preserve"> Ketners </w:t>
      </w:r>
    </w:p>
    <w:p w:rsidR="00992A24" w:rsidP="00CC52C8">
      <w:pPr>
        <w:tabs>
          <w:tab w:val="left" w:pos="2955"/>
        </w:tabs>
        <w:spacing w:after="0" w:line="240" w:lineRule="auto"/>
        <w:jc w:val="both"/>
        <w:rPr>
          <w:rFonts w:ascii="Times New Roman" w:hAnsi="Times New Roman" w:cs="Times New Roman"/>
          <w:sz w:val="28"/>
          <w:szCs w:val="28"/>
          <w:lang w:val="lv-LV"/>
        </w:rPr>
      </w:pPr>
    </w:p>
    <w:p w:rsidR="00CC52C8" w:rsidRPr="002779B2" w:rsidP="00992A24">
      <w:pPr>
        <w:pStyle w:val="ListParagraph"/>
        <w:tabs>
          <w:tab w:val="left" w:pos="3735"/>
        </w:tabs>
        <w:ind w:left="0"/>
        <w:jc w:val="both"/>
        <w:rPr>
          <w:lang w:val="lv-LV"/>
        </w:rPr>
      </w:pPr>
      <w:bookmarkStart w:id="9" w:name="OLE_LINK5"/>
      <w:bookmarkStart w:id="10" w:name="OLE_LINK6"/>
      <w:r w:rsidRPr="002779B2">
        <w:rPr>
          <w:lang w:val="lv-LV"/>
        </w:rPr>
        <w:t xml:space="preserve">Šķiņķe 67876177 </w:t>
      </w:r>
    </w:p>
    <w:p w:rsidR="00CC52C8" w:rsidRPr="002779B2" w:rsidP="00345DB9">
      <w:pPr>
        <w:pStyle w:val="ListParagraph"/>
        <w:ind w:left="0"/>
        <w:jc w:val="both"/>
      </w:pPr>
      <w:r>
        <w:fldChar w:fldCharType="begin"/>
      </w:r>
      <w:r>
        <w:instrText xml:space="preserve"> HYPERLINK "mailto:Ilze.Skinke@vm.gov.lv" </w:instrText>
      </w:r>
      <w:r>
        <w:fldChar w:fldCharType="separate"/>
      </w:r>
      <w:r w:rsidRPr="002779B2">
        <w:rPr>
          <w:rStyle w:val="Hyperlink"/>
          <w:color w:val="auto"/>
          <w:u w:val="none"/>
          <w:lang w:val="lv-LV"/>
        </w:rPr>
        <w:t>Ilze.Skinke@vm.gov.lv</w:t>
      </w:r>
      <w:r>
        <w:fldChar w:fldCharType="end"/>
      </w:r>
      <w:r w:rsidRPr="002779B2">
        <w:rPr>
          <w:lang w:val="lv-LV"/>
        </w:rPr>
        <w:t xml:space="preserve"> </w:t>
      </w:r>
      <w:r>
        <w:fldChar w:fldCharType="begin"/>
      </w:r>
      <w:r>
        <w:instrText xml:space="preserve"> HYPERLINK "mailto:" </w:instrText>
      </w:r>
      <w:r>
        <w:fldChar w:fldCharType="separate"/>
      </w:r>
      <w:r>
        <w:rPr>
          <w:rStyle w:val="Hyperlink"/>
        </w:rPr>
        <w:t>mailto:</w:t>
      </w:r>
      <w:r>
        <w:fldChar w:fldCharType="end"/>
      </w:r>
      <w:r w:rsidRPr="002779B2">
        <w:rPr>
          <w:lang w:val="lv-LV"/>
        </w:rPr>
        <w:t xml:space="preserve"> </w:t>
      </w:r>
      <w:bookmarkEnd w:id="9"/>
      <w:bookmarkEnd w:id="10"/>
    </w:p>
    <w:sectPr w:rsidSect="002779B2">
      <w:headerReference w:type="default" r:id="rId5"/>
      <w:footerReference w:type="default" r:id="rId6"/>
      <w:headerReference w:type="first" r:id="rId7"/>
      <w:footerReference w:type="first" r:id="rId8"/>
      <w:pgSz w:w="11906" w:h="16838"/>
      <w:pgMar w:top="1418" w:right="1134"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eiryo">
    <w:charset w:val="80"/>
    <w:family w:val="swiss"/>
    <w:pitch w:val="variable"/>
    <w:sig w:usb0="E10102FF" w:usb1="EAC7FFFF" w:usb2="0001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6A9" w:rsidRPr="004D2CCF" w:rsidP="002779B2">
    <w:pPr>
      <w:shd w:val="clear" w:color="auto" w:fill="FFFFFF"/>
      <w:spacing w:after="0" w:line="240" w:lineRule="auto"/>
      <w:jc w:val="both"/>
      <w:rPr>
        <w:szCs w:val="20"/>
      </w:rPr>
    </w:pPr>
    <w:r>
      <w:rPr>
        <w:rFonts w:ascii="Times New Roman" w:hAnsi="Times New Roman" w:cs="Times New Roman"/>
        <w:sz w:val="20"/>
        <w:szCs w:val="20"/>
        <w:lang w:val="lv-LV"/>
      </w:rPr>
      <w:t>VMa</w:t>
    </w:r>
    <w:r w:rsidRPr="00B118A9">
      <w:rPr>
        <w:rFonts w:ascii="Times New Roman" w:hAnsi="Times New Roman" w:cs="Times New Roman"/>
        <w:sz w:val="20"/>
        <w:szCs w:val="20"/>
        <w:lang w:val="lv-LV"/>
      </w:rPr>
      <w:t>not_</w:t>
    </w:r>
    <w:r w:rsidR="002743C4">
      <w:rPr>
        <w:rFonts w:ascii="Times New Roman" w:hAnsi="Times New Roman" w:cs="Times New Roman"/>
        <w:sz w:val="20"/>
        <w:szCs w:val="20"/>
        <w:lang w:val="lv-LV"/>
      </w:rPr>
      <w:t>1</w:t>
    </w:r>
    <w:r w:rsidR="008178E1">
      <w:rPr>
        <w:rFonts w:ascii="Times New Roman" w:hAnsi="Times New Roman" w:cs="Times New Roman"/>
        <w:sz w:val="20"/>
        <w:szCs w:val="20"/>
        <w:lang w:val="lv-LV"/>
      </w:rPr>
      <w:t>708</w:t>
    </w:r>
    <w:r>
      <w:rPr>
        <w:rFonts w:ascii="Times New Roman" w:hAnsi="Times New Roman" w:cs="Times New Roman"/>
        <w:sz w:val="20"/>
        <w:szCs w:val="20"/>
        <w:lang w:val="lv-LV"/>
      </w:rPr>
      <w:t>17_152_DNL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6A9" w:rsidRPr="00625F32" w:rsidP="00CC52C8">
    <w:pPr>
      <w:shd w:val="clear" w:color="auto" w:fill="FFFFFF"/>
      <w:spacing w:after="0" w:line="240" w:lineRule="auto"/>
      <w:jc w:val="both"/>
      <w:rPr>
        <w:rFonts w:ascii="Times New Roman" w:eastAsia="Meiryo" w:hAnsi="Times New Roman"/>
        <w:sz w:val="20"/>
        <w:szCs w:val="20"/>
        <w:lang w:val="lv-LV"/>
      </w:rPr>
    </w:pPr>
    <w:bookmarkStart w:id="11" w:name="OLE_LINK3"/>
    <w:bookmarkStart w:id="12" w:name="OLE_LINK4"/>
    <w:r>
      <w:rPr>
        <w:rFonts w:ascii="Times New Roman" w:hAnsi="Times New Roman" w:cs="Times New Roman"/>
        <w:sz w:val="20"/>
        <w:szCs w:val="20"/>
        <w:lang w:val="lv-LV"/>
      </w:rPr>
      <w:t>VMa</w:t>
    </w:r>
    <w:r w:rsidRPr="00B118A9">
      <w:rPr>
        <w:rFonts w:ascii="Times New Roman" w:hAnsi="Times New Roman" w:cs="Times New Roman"/>
        <w:sz w:val="20"/>
        <w:szCs w:val="20"/>
        <w:lang w:val="lv-LV"/>
      </w:rPr>
      <w:t>not_</w:t>
    </w:r>
    <w:bookmarkEnd w:id="11"/>
    <w:bookmarkEnd w:id="12"/>
    <w:r w:rsidR="002743C4">
      <w:rPr>
        <w:rFonts w:ascii="Times New Roman" w:hAnsi="Times New Roman" w:cs="Times New Roman"/>
        <w:sz w:val="20"/>
        <w:szCs w:val="20"/>
        <w:lang w:val="lv-LV"/>
      </w:rPr>
      <w:t>1</w:t>
    </w:r>
    <w:r w:rsidR="008178E1">
      <w:rPr>
        <w:rFonts w:ascii="Times New Roman" w:hAnsi="Times New Roman" w:cs="Times New Roman"/>
        <w:sz w:val="20"/>
        <w:szCs w:val="20"/>
        <w:lang w:val="lv-LV"/>
      </w:rPr>
      <w:t>708</w:t>
    </w:r>
    <w:r>
      <w:rPr>
        <w:rFonts w:ascii="Times New Roman" w:hAnsi="Times New Roman" w:cs="Times New Roman"/>
        <w:sz w:val="20"/>
        <w:szCs w:val="20"/>
        <w:lang w:val="lv-LV"/>
      </w:rPr>
      <w:t>17_152_DNL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9718480"/>
      <w:docPartObj>
        <w:docPartGallery w:val="Page Numbers (Top of Page)"/>
        <w:docPartUnique/>
      </w:docPartObj>
    </w:sdtPr>
    <w:sdtEndPr>
      <w:rPr>
        <w:rFonts w:ascii="Times New Roman" w:hAnsi="Times New Roman" w:cs="Times New Roman"/>
        <w:sz w:val="24"/>
        <w:szCs w:val="24"/>
      </w:rPr>
    </w:sdtEndPr>
    <w:sdtContent>
      <w:p w:rsidR="006216A9" w:rsidRPr="008B54F5">
        <w:pPr>
          <w:pStyle w:val="Header"/>
          <w:jc w:val="center"/>
          <w:rPr>
            <w:rFonts w:ascii="Times New Roman" w:hAnsi="Times New Roman" w:cs="Times New Roman"/>
            <w:sz w:val="24"/>
            <w:szCs w:val="24"/>
          </w:rPr>
        </w:pPr>
        <w:r w:rsidRPr="008B54F5">
          <w:rPr>
            <w:rFonts w:ascii="Times New Roman" w:hAnsi="Times New Roman" w:cs="Times New Roman"/>
            <w:sz w:val="24"/>
            <w:szCs w:val="24"/>
          </w:rPr>
          <w:fldChar w:fldCharType="begin"/>
        </w:r>
        <w:r w:rsidRPr="008B54F5">
          <w:rPr>
            <w:rFonts w:ascii="Times New Roman" w:hAnsi="Times New Roman" w:cs="Times New Roman"/>
            <w:sz w:val="24"/>
            <w:szCs w:val="24"/>
          </w:rPr>
          <w:instrText xml:space="preserve"> PAGE   \* MERGEFORMAT </w:instrText>
        </w:r>
        <w:r w:rsidRPr="008B54F5">
          <w:rPr>
            <w:rFonts w:ascii="Times New Roman" w:hAnsi="Times New Roman" w:cs="Times New Roman"/>
            <w:sz w:val="24"/>
            <w:szCs w:val="24"/>
          </w:rPr>
          <w:fldChar w:fldCharType="separate"/>
        </w:r>
        <w:r w:rsidR="008178E1">
          <w:rPr>
            <w:rFonts w:ascii="Times New Roman" w:hAnsi="Times New Roman" w:cs="Times New Roman"/>
            <w:noProof/>
            <w:sz w:val="24"/>
            <w:szCs w:val="24"/>
          </w:rPr>
          <w:t>3</w:t>
        </w:r>
        <w:r w:rsidRPr="008B54F5">
          <w:rPr>
            <w:rFonts w:ascii="Times New Roman" w:hAnsi="Times New Roman" w:cs="Times New Roman"/>
            <w:sz w:val="24"/>
            <w:szCs w:val="24"/>
          </w:rPr>
          <w:fldChar w:fldCharType="end"/>
        </w:r>
      </w:p>
    </w:sdtContent>
  </w:sdt>
  <w:p w:rsidR="00621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6A9">
    <w:pPr>
      <w:pStyle w:val="Header"/>
      <w:jc w:val="center"/>
    </w:pPr>
  </w:p>
  <w:p w:rsidR="00621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C8"/>
    <w:rsid w:val="000045EC"/>
    <w:rsid w:val="00011165"/>
    <w:rsid w:val="000F3AEA"/>
    <w:rsid w:val="00147E94"/>
    <w:rsid w:val="001619A5"/>
    <w:rsid w:val="00241E43"/>
    <w:rsid w:val="002743C4"/>
    <w:rsid w:val="002779B2"/>
    <w:rsid w:val="002E336F"/>
    <w:rsid w:val="00345DB9"/>
    <w:rsid w:val="00346905"/>
    <w:rsid w:val="00347387"/>
    <w:rsid w:val="003A7DE1"/>
    <w:rsid w:val="003D4BF8"/>
    <w:rsid w:val="004748B0"/>
    <w:rsid w:val="0049680D"/>
    <w:rsid w:val="004D2CCF"/>
    <w:rsid w:val="005062D4"/>
    <w:rsid w:val="005D56C2"/>
    <w:rsid w:val="006216A9"/>
    <w:rsid w:val="00625F32"/>
    <w:rsid w:val="006346B4"/>
    <w:rsid w:val="00704371"/>
    <w:rsid w:val="00782C19"/>
    <w:rsid w:val="007F5199"/>
    <w:rsid w:val="00805871"/>
    <w:rsid w:val="008178E1"/>
    <w:rsid w:val="00823405"/>
    <w:rsid w:val="00881079"/>
    <w:rsid w:val="008B0526"/>
    <w:rsid w:val="008B54F5"/>
    <w:rsid w:val="008C2654"/>
    <w:rsid w:val="00911823"/>
    <w:rsid w:val="00924457"/>
    <w:rsid w:val="00992A24"/>
    <w:rsid w:val="009E75D1"/>
    <w:rsid w:val="00A03FEC"/>
    <w:rsid w:val="00A0798B"/>
    <w:rsid w:val="00A16801"/>
    <w:rsid w:val="00A22F81"/>
    <w:rsid w:val="00A4153B"/>
    <w:rsid w:val="00A505B8"/>
    <w:rsid w:val="00A54814"/>
    <w:rsid w:val="00A8383C"/>
    <w:rsid w:val="00A92ABE"/>
    <w:rsid w:val="00AC34FE"/>
    <w:rsid w:val="00AF5FA8"/>
    <w:rsid w:val="00AF7089"/>
    <w:rsid w:val="00B118A9"/>
    <w:rsid w:val="00B74080"/>
    <w:rsid w:val="00B90827"/>
    <w:rsid w:val="00B947D3"/>
    <w:rsid w:val="00C400F2"/>
    <w:rsid w:val="00C753DD"/>
    <w:rsid w:val="00CA3CFA"/>
    <w:rsid w:val="00CC3302"/>
    <w:rsid w:val="00CC52C8"/>
    <w:rsid w:val="00CE393A"/>
    <w:rsid w:val="00CF404A"/>
    <w:rsid w:val="00D43CC2"/>
    <w:rsid w:val="00DB5D89"/>
    <w:rsid w:val="00DE29C6"/>
    <w:rsid w:val="00DF31D9"/>
    <w:rsid w:val="00EE313A"/>
    <w:rsid w:val="00EE6054"/>
    <w:rsid w:val="00F24479"/>
    <w:rsid w:val="00F350E4"/>
    <w:rsid w:val="00F428E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78E72269-50D3-4721-B160-E4FF4D6B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C8"/>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52C8"/>
    <w:pPr>
      <w:spacing w:after="0" w:line="240" w:lineRule="auto"/>
    </w:pPr>
    <w:rPr>
      <w:rFonts w:ascii="Times New Roman" w:eastAsia="Times New Roman" w:hAnsi="Times New Roman" w:cs="Times New Roman"/>
      <w:sz w:val="24"/>
      <w:szCs w:val="24"/>
      <w:lang w:val="en-US" w:eastAsia="lv-LV"/>
    </w:rPr>
  </w:style>
  <w:style w:type="paragraph" w:styleId="Header">
    <w:name w:val="header"/>
    <w:basedOn w:val="Normal"/>
    <w:link w:val="HeaderChar"/>
    <w:uiPriority w:val="99"/>
    <w:unhideWhenUsed/>
    <w:rsid w:val="00CC52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52C8"/>
    <w:rPr>
      <w:rFonts w:eastAsiaTheme="minorEastAsia"/>
      <w:lang w:val="en-US" w:eastAsia="zh-CN"/>
    </w:rPr>
  </w:style>
  <w:style w:type="paragraph" w:styleId="Footer">
    <w:name w:val="footer"/>
    <w:basedOn w:val="Normal"/>
    <w:link w:val="FooterChar"/>
    <w:uiPriority w:val="99"/>
    <w:unhideWhenUsed/>
    <w:rsid w:val="00CC52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52C8"/>
    <w:rPr>
      <w:rFonts w:eastAsiaTheme="minorEastAsia"/>
      <w:lang w:val="en-US" w:eastAsia="zh-CN"/>
    </w:rPr>
  </w:style>
  <w:style w:type="character" w:styleId="Hyperlink">
    <w:name w:val="Hyperlink"/>
    <w:basedOn w:val="DefaultParagraphFont"/>
    <w:rsid w:val="00CC52C8"/>
    <w:rPr>
      <w:color w:val="0000FF"/>
      <w:u w:val="single"/>
    </w:rPr>
  </w:style>
  <w:style w:type="paragraph" w:styleId="ListParagraph">
    <w:name w:val="List Paragraph"/>
    <w:basedOn w:val="Normal"/>
    <w:uiPriority w:val="99"/>
    <w:qFormat/>
    <w:rsid w:val="00CC52C8"/>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Bodytext">
    <w:name w:val="Body text_"/>
    <w:basedOn w:val="DefaultParagraphFont"/>
    <w:link w:val="BodyText1"/>
    <w:rsid w:val="00CC52C8"/>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CC52C8"/>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paragraph" w:customStyle="1" w:styleId="tvhtml">
    <w:name w:val="tv_html"/>
    <w:basedOn w:val="Normal"/>
    <w:rsid w:val="00CC52C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SpacingChar">
    <w:name w:val="No Spacing Char"/>
    <w:basedOn w:val="DefaultParagraphFont"/>
    <w:link w:val="NoSpacing"/>
    <w:uiPriority w:val="1"/>
    <w:rsid w:val="00CC52C8"/>
    <w:rPr>
      <w:rFonts w:ascii="Times New Roman" w:eastAsia="Times New Roman" w:hAnsi="Times New Roman" w:cs="Times New Roman"/>
      <w:sz w:val="24"/>
      <w:szCs w:val="24"/>
      <w:lang w:val="en-US" w:eastAsia="lv-LV"/>
    </w:rPr>
  </w:style>
  <w:style w:type="paragraph" w:styleId="BalloonText">
    <w:name w:val="Balloon Text"/>
    <w:basedOn w:val="Normal"/>
    <w:link w:val="BalloonTextChar"/>
    <w:uiPriority w:val="99"/>
    <w:semiHidden/>
    <w:unhideWhenUsed/>
    <w:rsid w:val="00D4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C2"/>
    <w:rPr>
      <w:rFonts w:ascii="Tahoma" w:hAnsi="Tahoma" w:eastAsiaTheme="minorEastAsi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FE6B-E41A-4825-870E-2C4CD84C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4656</Words>
  <Characters>2654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2001.gada 3.aprīļa noteikumos Nr.152 „Darbnespējas lapu izsniegšanas kārtība”” sākotnējās ietekmes novērtējuma ziņojums (anotācija)</vt:lpstr>
    </vt:vector>
  </TitlesOfParts>
  <Company>Veselības ministrija</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2001.gada 3.aprīļa noteikumos Nr.152 „Darbnespējas lapu izsniegšanas kārtība”” sākotnējās ietekmes novērtējuma ziņojums (anotācija)</dc:title>
  <dc:subject>Anotācija</dc:subject>
  <dc:creator>Ilze Šķiņķe</dc:creator>
  <dc:description>Ilze Šķiņķe, tel.67876177, ilze.skinke@vm.gov.lv</dc:description>
  <cp:lastModifiedBy>Anita Jurševica</cp:lastModifiedBy>
  <cp:revision>15</cp:revision>
  <cp:lastPrinted>2017-06-01T07:56:00Z</cp:lastPrinted>
  <dcterms:created xsi:type="dcterms:W3CDTF">2017-06-02T07:42:00Z</dcterms:created>
  <dcterms:modified xsi:type="dcterms:W3CDTF">2017-08-17T06:06:00Z</dcterms:modified>
</cp:coreProperties>
</file>