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40E0" w14:textId="77777777" w:rsidR="00CD135A" w:rsidRPr="00ED20F0" w:rsidRDefault="00CD135A" w:rsidP="00CD135A">
      <w:pPr>
        <w:jc w:val="center"/>
        <w:rPr>
          <w:rFonts w:cs="Times New Roman"/>
          <w:b/>
          <w:sz w:val="24"/>
          <w:szCs w:val="24"/>
          <w:lang w:eastAsia="lv-LV" w:bidi="ar-SA"/>
        </w:rPr>
      </w:pPr>
      <w:bookmarkStart w:id="0" w:name="468683"/>
      <w:bookmarkEnd w:id="0"/>
      <w:r w:rsidRPr="00ED20F0">
        <w:rPr>
          <w:rFonts w:cs="Times New Roman"/>
          <w:b/>
          <w:sz w:val="24"/>
          <w:szCs w:val="24"/>
          <w:lang w:eastAsia="lv-LV" w:bidi="ar-SA"/>
        </w:rPr>
        <w:t>Ministru kabineta noteikumu</w:t>
      </w:r>
      <w:r w:rsidRPr="00ED20F0">
        <w:rPr>
          <w:rFonts w:cs="Times New Roman"/>
          <w:b/>
          <w:bCs/>
          <w:sz w:val="24"/>
          <w:szCs w:val="24"/>
        </w:rPr>
        <w:t xml:space="preserve"> projekta</w:t>
      </w:r>
    </w:p>
    <w:p w14:paraId="1BBDBA21" w14:textId="3BF94A73" w:rsidR="00226001" w:rsidRPr="00ED20F0" w:rsidRDefault="00CD135A" w:rsidP="00CD135A">
      <w:pPr>
        <w:jc w:val="center"/>
        <w:rPr>
          <w:rFonts w:cs="Times New Roman"/>
          <w:b/>
          <w:sz w:val="24"/>
          <w:szCs w:val="24"/>
          <w:lang w:eastAsia="lv-LV" w:bidi="ar-SA"/>
        </w:rPr>
      </w:pPr>
      <w:r w:rsidRPr="00ED20F0">
        <w:rPr>
          <w:rFonts w:cs="Times New Roman"/>
          <w:b/>
          <w:sz w:val="24"/>
          <w:szCs w:val="24"/>
          <w:lang w:eastAsia="lv-LV" w:bidi="ar-SA"/>
        </w:rPr>
        <w:t>„</w:t>
      </w:r>
      <w:r w:rsidR="00B712E2" w:rsidRPr="00ED20F0">
        <w:rPr>
          <w:rFonts w:cs="Times New Roman"/>
          <w:b/>
          <w:sz w:val="24"/>
          <w:szCs w:val="24"/>
          <w:lang w:eastAsia="lv-LV" w:bidi="ar-SA"/>
        </w:rPr>
        <w:t>Grozījums</w:t>
      </w:r>
      <w:r w:rsidR="005F5249" w:rsidRPr="00ED20F0">
        <w:rPr>
          <w:rFonts w:cs="Times New Roman"/>
          <w:b/>
          <w:sz w:val="24"/>
          <w:szCs w:val="24"/>
          <w:lang w:eastAsia="lv-LV" w:bidi="ar-SA"/>
        </w:rPr>
        <w:t xml:space="preserve"> Ministru kabineta 2014.</w:t>
      </w:r>
      <w:r w:rsidR="00230186" w:rsidRPr="00ED20F0">
        <w:rPr>
          <w:rFonts w:cs="Times New Roman"/>
          <w:b/>
          <w:sz w:val="24"/>
          <w:szCs w:val="24"/>
          <w:lang w:eastAsia="lv-LV" w:bidi="ar-SA"/>
        </w:rPr>
        <w:t> </w:t>
      </w:r>
      <w:r w:rsidR="005F5249" w:rsidRPr="00ED20F0">
        <w:rPr>
          <w:rFonts w:cs="Times New Roman"/>
          <w:b/>
          <w:sz w:val="24"/>
          <w:szCs w:val="24"/>
          <w:lang w:eastAsia="lv-LV" w:bidi="ar-SA"/>
        </w:rPr>
        <w:t>gada 26.</w:t>
      </w:r>
      <w:r w:rsidR="00230186" w:rsidRPr="00ED20F0">
        <w:rPr>
          <w:rFonts w:cs="Times New Roman"/>
          <w:b/>
          <w:sz w:val="24"/>
          <w:szCs w:val="24"/>
          <w:lang w:eastAsia="lv-LV" w:bidi="ar-SA"/>
        </w:rPr>
        <w:t> </w:t>
      </w:r>
      <w:r w:rsidR="005F5249" w:rsidRPr="00ED20F0">
        <w:rPr>
          <w:rFonts w:cs="Times New Roman"/>
          <w:b/>
          <w:sz w:val="24"/>
          <w:szCs w:val="24"/>
          <w:lang w:eastAsia="lv-LV" w:bidi="ar-SA"/>
        </w:rPr>
        <w:t>augusta noteikumos Nr.</w:t>
      </w:r>
      <w:r w:rsidR="00230186" w:rsidRPr="00ED20F0">
        <w:rPr>
          <w:rFonts w:cs="Times New Roman"/>
          <w:b/>
          <w:sz w:val="24"/>
          <w:szCs w:val="24"/>
          <w:lang w:eastAsia="lv-LV" w:bidi="ar-SA"/>
        </w:rPr>
        <w:t> </w:t>
      </w:r>
      <w:r w:rsidR="005F5249" w:rsidRPr="00ED20F0">
        <w:rPr>
          <w:rFonts w:cs="Times New Roman"/>
          <w:b/>
          <w:sz w:val="24"/>
          <w:szCs w:val="24"/>
          <w:lang w:eastAsia="lv-LV" w:bidi="ar-SA"/>
        </w:rPr>
        <w:t>509 „Noteikumi par karavīra mēnešalgas un speciālo piemaksu noteikšanas kārtību un to apmēru”</w:t>
      </w:r>
      <w:r w:rsidRPr="00ED20F0">
        <w:rPr>
          <w:rFonts w:cs="Times New Roman"/>
          <w:b/>
          <w:bCs/>
          <w:sz w:val="24"/>
          <w:szCs w:val="24"/>
        </w:rPr>
        <w:t xml:space="preserve"> </w:t>
      </w:r>
      <w:r w:rsidR="00226001" w:rsidRPr="00ED20F0">
        <w:rPr>
          <w:rFonts w:cs="Times New Roman"/>
          <w:b/>
          <w:bCs/>
          <w:sz w:val="24"/>
          <w:szCs w:val="24"/>
        </w:rPr>
        <w:t>sākotnējās ietekmes novērtējuma ziņojums (anotācija)</w:t>
      </w:r>
    </w:p>
    <w:p w14:paraId="5A38766E" w14:textId="77777777" w:rsidR="00ED20F0" w:rsidRDefault="00ED20F0" w:rsidP="00226001">
      <w:pPr>
        <w:rPr>
          <w:rFonts w:cs="Times New Roman"/>
          <w:iCs/>
          <w:color w:val="FF0000"/>
          <w:sz w:val="24"/>
          <w:szCs w:val="24"/>
        </w:rPr>
      </w:pPr>
    </w:p>
    <w:p w14:paraId="6D117646" w14:textId="77777777" w:rsidR="00500588" w:rsidRPr="00ED20F0" w:rsidRDefault="00500588" w:rsidP="00226001">
      <w:pPr>
        <w:rPr>
          <w:rFonts w:cs="Times New Roman"/>
          <w:iCs/>
          <w:color w:val="FF0000"/>
          <w:sz w:val="24"/>
          <w:szCs w:val="24"/>
        </w:rPr>
      </w:pPr>
    </w:p>
    <w:tbl>
      <w:tblPr>
        <w:tblW w:w="5365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"/>
        <w:gridCol w:w="2446"/>
        <w:gridCol w:w="5886"/>
      </w:tblGrid>
      <w:tr w:rsidR="007C1053" w:rsidRPr="00ED20F0" w14:paraId="2DD8B7CF" w14:textId="77777777" w:rsidTr="00715107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A60B" w14:textId="77777777" w:rsidR="00226001" w:rsidRPr="00ED20F0" w:rsidRDefault="00226001" w:rsidP="0022600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D20F0">
              <w:rPr>
                <w:rFonts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7C1053" w:rsidRPr="00ED20F0" w14:paraId="0C854B06" w14:textId="77777777" w:rsidTr="00715107">
        <w:trPr>
          <w:trHeight w:val="405"/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0426F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18C0C" w14:textId="77777777" w:rsidR="00055AF4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Pamatojums</w:t>
            </w:r>
          </w:p>
          <w:p w14:paraId="01F6553F" w14:textId="77777777" w:rsidR="00226001" w:rsidRPr="00ED20F0" w:rsidRDefault="00226001" w:rsidP="00055A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FDCB" w14:textId="21C4E36C" w:rsidR="00122B95" w:rsidRPr="00ED20F0" w:rsidRDefault="00A375B5" w:rsidP="00BC4E6A">
            <w:pPr>
              <w:jc w:val="both"/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  <w:lang w:eastAsia="lv-LV" w:bidi="ar-SA"/>
              </w:rPr>
              <w:t>Ministru kabine</w:t>
            </w:r>
            <w:r w:rsidR="00B712E2" w:rsidRPr="00ED20F0">
              <w:rPr>
                <w:rFonts w:cs="Times New Roman"/>
                <w:sz w:val="24"/>
                <w:szCs w:val="24"/>
                <w:lang w:eastAsia="lv-LV" w:bidi="ar-SA"/>
              </w:rPr>
              <w:t>ta noteikumu projekts „Grozījums</w:t>
            </w:r>
            <w:r w:rsidRPr="00ED20F0">
              <w:rPr>
                <w:rFonts w:cs="Times New Roman"/>
                <w:sz w:val="24"/>
                <w:szCs w:val="24"/>
                <w:lang w:eastAsia="lv-LV" w:bidi="ar-SA"/>
              </w:rPr>
              <w:t xml:space="preserve"> Ministru kabineta 2014.</w:t>
            </w:r>
            <w:r w:rsidR="005D51D3" w:rsidRPr="00ED20F0">
              <w:rPr>
                <w:rFonts w:cs="Times New Roman"/>
                <w:sz w:val="24"/>
                <w:szCs w:val="24"/>
                <w:lang w:eastAsia="lv-LV" w:bidi="ar-SA"/>
              </w:rPr>
              <w:t> </w:t>
            </w:r>
            <w:r w:rsidRPr="00ED20F0">
              <w:rPr>
                <w:rFonts w:cs="Times New Roman"/>
                <w:sz w:val="24"/>
                <w:szCs w:val="24"/>
                <w:lang w:eastAsia="lv-LV" w:bidi="ar-SA"/>
              </w:rPr>
              <w:t>gada 26.</w:t>
            </w:r>
            <w:r w:rsidR="005D51D3" w:rsidRPr="00ED20F0">
              <w:rPr>
                <w:rFonts w:cs="Times New Roman"/>
                <w:sz w:val="24"/>
                <w:szCs w:val="24"/>
                <w:lang w:eastAsia="lv-LV" w:bidi="ar-SA"/>
              </w:rPr>
              <w:t> </w:t>
            </w:r>
            <w:r w:rsidRPr="00ED20F0">
              <w:rPr>
                <w:rFonts w:cs="Times New Roman"/>
                <w:sz w:val="24"/>
                <w:szCs w:val="24"/>
                <w:lang w:eastAsia="lv-LV" w:bidi="ar-SA"/>
              </w:rPr>
              <w:t>augusta noteikumos Nr.</w:t>
            </w:r>
            <w:r w:rsidR="005D51D3" w:rsidRPr="00ED20F0">
              <w:rPr>
                <w:rFonts w:cs="Times New Roman"/>
                <w:sz w:val="24"/>
                <w:szCs w:val="24"/>
                <w:lang w:eastAsia="lv-LV" w:bidi="ar-SA"/>
              </w:rPr>
              <w:t> </w:t>
            </w:r>
            <w:r w:rsidRPr="00ED20F0">
              <w:rPr>
                <w:rFonts w:cs="Times New Roman"/>
                <w:sz w:val="24"/>
                <w:szCs w:val="24"/>
                <w:lang w:eastAsia="lv-LV" w:bidi="ar-SA"/>
              </w:rPr>
              <w:t>509 „Noteikumi par karavīra mēnešalgas un speciālo piemaksu noteikšanas kārtību un to apmēru”</w:t>
            </w:r>
            <w:r w:rsidR="00CD135A" w:rsidRPr="00ED20F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D135A" w:rsidRPr="00ED20F0">
              <w:rPr>
                <w:rFonts w:cs="Times New Roman"/>
                <w:sz w:val="24"/>
                <w:szCs w:val="24"/>
              </w:rPr>
              <w:t xml:space="preserve">izstrādāts </w:t>
            </w:r>
            <w:r w:rsidR="005D51D3" w:rsidRPr="00ED20F0">
              <w:rPr>
                <w:rFonts w:cs="Times New Roman"/>
                <w:sz w:val="24"/>
                <w:szCs w:val="24"/>
              </w:rPr>
              <w:t xml:space="preserve">saskaņā ar </w:t>
            </w:r>
            <w:r w:rsidR="00122B95" w:rsidRPr="00ED20F0">
              <w:rPr>
                <w:rFonts w:cs="Times New Roman"/>
                <w:sz w:val="24"/>
                <w:szCs w:val="24"/>
              </w:rPr>
              <w:t xml:space="preserve">Valsts aizsardzības koncepcijas </w:t>
            </w:r>
            <w:r w:rsidR="00137257" w:rsidRPr="00ED20F0">
              <w:rPr>
                <w:rFonts w:cs="Times New Roman"/>
                <w:sz w:val="24"/>
                <w:szCs w:val="24"/>
              </w:rPr>
              <w:t>1</w:t>
            </w:r>
            <w:r w:rsidR="00122B95" w:rsidRPr="00ED20F0">
              <w:rPr>
                <w:rFonts w:cs="Times New Roman"/>
                <w:sz w:val="24"/>
                <w:szCs w:val="24"/>
              </w:rPr>
              <w:t>0</w:t>
            </w:r>
            <w:r w:rsidR="00137257" w:rsidRPr="00ED20F0">
              <w:rPr>
                <w:rFonts w:cs="Times New Roman"/>
                <w:sz w:val="24"/>
                <w:szCs w:val="24"/>
              </w:rPr>
              <w:t>7</w:t>
            </w:r>
            <w:r w:rsidR="000356BC" w:rsidRPr="00ED20F0">
              <w:rPr>
                <w:rFonts w:cs="Times New Roman"/>
                <w:sz w:val="24"/>
                <w:szCs w:val="24"/>
              </w:rPr>
              <w:t>.</w:t>
            </w:r>
            <w:r w:rsidR="005D51D3" w:rsidRPr="00ED20F0">
              <w:rPr>
                <w:rFonts w:cs="Times New Roman"/>
                <w:sz w:val="24"/>
                <w:szCs w:val="24"/>
              </w:rPr>
              <w:t> </w:t>
            </w:r>
            <w:r w:rsidR="000356BC" w:rsidRPr="00ED20F0">
              <w:rPr>
                <w:rFonts w:cs="Times New Roman"/>
                <w:sz w:val="24"/>
                <w:szCs w:val="24"/>
              </w:rPr>
              <w:t>punkt</w:t>
            </w:r>
            <w:r w:rsidR="00122B95" w:rsidRPr="00ED20F0">
              <w:rPr>
                <w:rFonts w:cs="Times New Roman"/>
                <w:sz w:val="24"/>
                <w:szCs w:val="24"/>
              </w:rPr>
              <w:t>u</w:t>
            </w:r>
            <w:r w:rsidR="000356BC" w:rsidRPr="00ED20F0">
              <w:rPr>
                <w:rFonts w:cs="Times New Roman"/>
                <w:sz w:val="24"/>
                <w:szCs w:val="24"/>
              </w:rPr>
              <w:t xml:space="preserve">, </w:t>
            </w:r>
            <w:r w:rsidR="005D51D3" w:rsidRPr="00ED20F0">
              <w:rPr>
                <w:rFonts w:cs="Times New Roman"/>
                <w:sz w:val="24"/>
                <w:szCs w:val="24"/>
              </w:rPr>
              <w:t xml:space="preserve">kas nosaka </w:t>
            </w:r>
            <w:r w:rsidR="00E7142C" w:rsidRPr="00ED20F0">
              <w:rPr>
                <w:rFonts w:cs="Times New Roman"/>
                <w:sz w:val="24"/>
                <w:szCs w:val="24"/>
              </w:rPr>
              <w:t xml:space="preserve">profesionālā dienesta </w:t>
            </w:r>
            <w:r w:rsidR="00E14E15" w:rsidRPr="00ED20F0">
              <w:rPr>
                <w:rFonts w:cs="Times New Roman"/>
                <w:sz w:val="24"/>
                <w:szCs w:val="24"/>
              </w:rPr>
              <w:t xml:space="preserve">karavīru </w:t>
            </w:r>
            <w:r w:rsidR="00122B95" w:rsidRPr="00ED20F0">
              <w:rPr>
                <w:rFonts w:cs="Times New Roman"/>
                <w:sz w:val="24"/>
                <w:szCs w:val="24"/>
              </w:rPr>
              <w:t xml:space="preserve">sociālo garantiju sistēmas paplašināšanu, </w:t>
            </w:r>
            <w:r w:rsidR="00D551C3" w:rsidRPr="00ED20F0">
              <w:rPr>
                <w:rFonts w:cs="Times New Roman"/>
                <w:sz w:val="24"/>
                <w:szCs w:val="24"/>
              </w:rPr>
              <w:t xml:space="preserve">pamatojoties uz </w:t>
            </w:r>
            <w:r w:rsidR="005669FA" w:rsidRPr="00ED20F0">
              <w:rPr>
                <w:rFonts w:cs="Times New Roman"/>
                <w:sz w:val="24"/>
                <w:szCs w:val="24"/>
              </w:rPr>
              <w:t>karjeras un profesionālās izaugsmes kritērij</w:t>
            </w:r>
            <w:r w:rsidR="00D551C3" w:rsidRPr="00ED20F0">
              <w:rPr>
                <w:rFonts w:cs="Times New Roman"/>
                <w:sz w:val="24"/>
                <w:szCs w:val="24"/>
              </w:rPr>
              <w:t>iem</w:t>
            </w:r>
            <w:r w:rsidR="003A2432" w:rsidRPr="00ED20F0">
              <w:rPr>
                <w:rFonts w:cs="Times New Roman"/>
                <w:sz w:val="24"/>
                <w:szCs w:val="24"/>
              </w:rPr>
              <w:t xml:space="preserve"> –</w:t>
            </w:r>
            <w:r w:rsidR="00310068">
              <w:rPr>
                <w:rFonts w:cs="Times New Roman"/>
                <w:sz w:val="24"/>
                <w:szCs w:val="24"/>
              </w:rPr>
              <w:t xml:space="preserve"> </w:t>
            </w:r>
            <w:r w:rsidR="005669FA" w:rsidRPr="00ED20F0">
              <w:rPr>
                <w:rFonts w:cs="Times New Roman"/>
                <w:sz w:val="24"/>
                <w:szCs w:val="24"/>
              </w:rPr>
              <w:t>militārajam dienestam nepieciešam</w:t>
            </w:r>
            <w:r w:rsidR="003A2432" w:rsidRPr="00ED20F0">
              <w:rPr>
                <w:rFonts w:cs="Times New Roman"/>
                <w:sz w:val="24"/>
                <w:szCs w:val="24"/>
              </w:rPr>
              <w:t xml:space="preserve">ajām </w:t>
            </w:r>
            <w:r w:rsidR="005669FA" w:rsidRPr="00ED20F0">
              <w:rPr>
                <w:rFonts w:cs="Times New Roman"/>
                <w:sz w:val="24"/>
                <w:szCs w:val="24"/>
              </w:rPr>
              <w:t>zināšan</w:t>
            </w:r>
            <w:r w:rsidR="003A2432" w:rsidRPr="00ED20F0">
              <w:rPr>
                <w:rFonts w:cs="Times New Roman"/>
                <w:sz w:val="24"/>
                <w:szCs w:val="24"/>
              </w:rPr>
              <w:t>ām</w:t>
            </w:r>
            <w:r w:rsidR="005669FA" w:rsidRPr="00ED20F0">
              <w:rPr>
                <w:rFonts w:cs="Times New Roman"/>
                <w:sz w:val="24"/>
                <w:szCs w:val="24"/>
              </w:rPr>
              <w:t xml:space="preserve"> un kvalifikācijas līmeni,</w:t>
            </w:r>
            <w:r w:rsidR="00122B95" w:rsidRPr="00ED20F0">
              <w:rPr>
                <w:rFonts w:cs="Times New Roman"/>
                <w:sz w:val="24"/>
                <w:szCs w:val="24"/>
              </w:rPr>
              <w:t xml:space="preserve"> </w:t>
            </w:r>
            <w:r w:rsidR="00AC4E6C" w:rsidRPr="00ED20F0">
              <w:rPr>
                <w:rFonts w:cs="Times New Roman"/>
                <w:sz w:val="24"/>
                <w:szCs w:val="24"/>
              </w:rPr>
              <w:t>s</w:t>
            </w:r>
            <w:r w:rsidR="005D51D3" w:rsidRPr="00ED20F0">
              <w:rPr>
                <w:rFonts w:cs="Times New Roman"/>
                <w:sz w:val="24"/>
                <w:szCs w:val="24"/>
              </w:rPr>
              <w:t>aglabājot</w:t>
            </w:r>
            <w:r w:rsidR="00AC4E6C" w:rsidRPr="00ED20F0">
              <w:rPr>
                <w:rFonts w:cs="Times New Roman"/>
                <w:sz w:val="24"/>
                <w:szCs w:val="24"/>
              </w:rPr>
              <w:t xml:space="preserve"> kvalificētu un pieredzējušu speciālistu motivāciju dienest</w:t>
            </w:r>
            <w:r w:rsidR="005D51D3" w:rsidRPr="00ED20F0">
              <w:rPr>
                <w:rFonts w:cs="Times New Roman"/>
                <w:sz w:val="24"/>
                <w:szCs w:val="24"/>
              </w:rPr>
              <w:t>am</w:t>
            </w:r>
            <w:r w:rsidR="00AC4E6C" w:rsidRPr="00ED20F0">
              <w:rPr>
                <w:rFonts w:cs="Times New Roman"/>
                <w:sz w:val="24"/>
                <w:szCs w:val="24"/>
              </w:rPr>
              <w:t xml:space="preserve"> N</w:t>
            </w:r>
            <w:r w:rsidR="00E7142C" w:rsidRPr="00ED20F0">
              <w:rPr>
                <w:rFonts w:cs="Times New Roman"/>
                <w:sz w:val="24"/>
                <w:szCs w:val="24"/>
              </w:rPr>
              <w:t>acionālajos bruņotajos spēkos</w:t>
            </w:r>
            <w:r w:rsidR="00AF6104">
              <w:rPr>
                <w:rFonts w:cs="Times New Roman"/>
                <w:sz w:val="24"/>
                <w:szCs w:val="24"/>
              </w:rPr>
              <w:t>,</w:t>
            </w:r>
            <w:r w:rsidR="00310068">
              <w:rPr>
                <w:rFonts w:cs="Times New Roman"/>
                <w:sz w:val="24"/>
                <w:szCs w:val="24"/>
              </w:rPr>
              <w:t xml:space="preserve"> </w:t>
            </w:r>
            <w:r w:rsidR="00310068" w:rsidRPr="00ED20F0">
              <w:rPr>
                <w:rFonts w:cs="Times New Roman"/>
                <w:sz w:val="24"/>
                <w:szCs w:val="24"/>
                <w:lang w:bidi="ar-SA"/>
              </w:rPr>
              <w:t>Valsts kontroles 2017. gada 20. aprīļa ziņojumā Nr.2.4.1-34/2016 par finanšu revīziju</w:t>
            </w:r>
            <w:r w:rsidR="00BC4E6A">
              <w:rPr>
                <w:rFonts w:cs="Times New Roman"/>
                <w:sz w:val="24"/>
                <w:szCs w:val="24"/>
                <w:lang w:bidi="ar-SA"/>
              </w:rPr>
              <w:t xml:space="preserve"> Aizsardzības ministrijā minētajiem</w:t>
            </w:r>
            <w:r w:rsidR="00310068" w:rsidRPr="00ED20F0">
              <w:rPr>
                <w:rFonts w:cs="Times New Roman"/>
                <w:sz w:val="24"/>
                <w:szCs w:val="24"/>
                <w:lang w:bidi="ar-SA"/>
              </w:rPr>
              <w:t xml:space="preserve"> ieteikum</w:t>
            </w:r>
            <w:r w:rsidR="00BC4E6A">
              <w:rPr>
                <w:rFonts w:cs="Times New Roman"/>
                <w:sz w:val="24"/>
                <w:szCs w:val="24"/>
                <w:lang w:bidi="ar-SA"/>
              </w:rPr>
              <w:t>iem</w:t>
            </w:r>
            <w:r w:rsidR="00AF6104">
              <w:rPr>
                <w:rFonts w:cs="Times New Roman"/>
                <w:sz w:val="24"/>
                <w:szCs w:val="24"/>
                <w:lang w:bidi="ar-SA"/>
              </w:rPr>
              <w:t xml:space="preserve"> un </w:t>
            </w:r>
            <w:r w:rsidR="00BC4E6A" w:rsidRPr="00BC4E6A">
              <w:rPr>
                <w:rFonts w:cs="Times New Roman"/>
                <w:sz w:val="24"/>
                <w:szCs w:val="24"/>
                <w:lang w:bidi="ar-SA"/>
              </w:rPr>
              <w:t>2017.gada 9.maijā Ministru kabineta sēdē pieņemt</w:t>
            </w:r>
            <w:r w:rsidR="00BC4E6A">
              <w:rPr>
                <w:rFonts w:cs="Times New Roman"/>
                <w:sz w:val="24"/>
                <w:szCs w:val="24"/>
                <w:lang w:bidi="ar-SA"/>
              </w:rPr>
              <w:t>ajām</w:t>
            </w:r>
            <w:r w:rsidR="00BC4E6A" w:rsidRPr="00BC4E6A">
              <w:rPr>
                <w:rFonts w:cs="Times New Roman"/>
                <w:sz w:val="24"/>
                <w:szCs w:val="24"/>
                <w:lang w:bidi="ar-SA"/>
              </w:rPr>
              <w:t xml:space="preserve"> Valsts nodokļu politikas pamatnostādn</w:t>
            </w:r>
            <w:r w:rsidR="00BC4E6A">
              <w:rPr>
                <w:rFonts w:cs="Times New Roman"/>
                <w:sz w:val="24"/>
                <w:szCs w:val="24"/>
                <w:lang w:bidi="ar-SA"/>
              </w:rPr>
              <w:t>ēm</w:t>
            </w:r>
            <w:r w:rsidR="00BC4E6A" w:rsidRPr="00BC4E6A">
              <w:rPr>
                <w:rFonts w:cs="Times New Roman"/>
                <w:sz w:val="24"/>
                <w:szCs w:val="24"/>
                <w:lang w:bidi="ar-SA"/>
              </w:rPr>
              <w:t xml:space="preserve"> 2018. – 2021.gadam</w:t>
            </w:r>
            <w:r w:rsidR="00AF6104">
              <w:rPr>
                <w:rFonts w:cs="Times New Roman"/>
                <w:sz w:val="24"/>
                <w:szCs w:val="24"/>
                <w:lang w:bidi="ar-SA"/>
              </w:rPr>
              <w:t>, kas paredz palielināt minimālo algu par 50 EUR mēnesī</w:t>
            </w:r>
            <w:r w:rsidR="00AF610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C1053" w:rsidRPr="00ED20F0" w14:paraId="08B3C01C" w14:textId="77777777" w:rsidTr="00715107">
        <w:trPr>
          <w:trHeight w:val="465"/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BCA1E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5CFCB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171FE" w14:textId="626CE0E6" w:rsidR="009B1F8D" w:rsidRPr="00ED20F0" w:rsidRDefault="00E7142C" w:rsidP="009C2F78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ED20F0">
              <w:rPr>
                <w:rFonts w:cs="Times New Roman"/>
                <w:bCs/>
                <w:sz w:val="24"/>
                <w:szCs w:val="24"/>
                <w:lang w:eastAsia="lv-LV" w:bidi="ar-SA"/>
              </w:rPr>
              <w:t>P</w:t>
            </w:r>
            <w:r w:rsidR="009C2F78" w:rsidRPr="00ED20F0">
              <w:rPr>
                <w:rFonts w:cs="Times New Roman"/>
                <w:bCs/>
                <w:sz w:val="24"/>
                <w:szCs w:val="24"/>
                <w:lang w:eastAsia="lv-LV" w:bidi="ar-SA"/>
              </w:rPr>
              <w:t xml:space="preserve">rofesionālā dienesta karavīri </w:t>
            </w:r>
            <w:r w:rsidRPr="00ED20F0">
              <w:rPr>
                <w:rFonts w:cs="Times New Roman"/>
                <w:bCs/>
                <w:sz w:val="24"/>
                <w:szCs w:val="24"/>
                <w:lang w:eastAsia="lv-LV" w:bidi="ar-SA"/>
              </w:rPr>
              <w:t>(turpmāk – karavīri)</w:t>
            </w:r>
            <w:r w:rsidRPr="00ED20F0">
              <w:rPr>
                <w:rFonts w:cs="Times New Roman"/>
                <w:b/>
                <w:bCs/>
                <w:sz w:val="24"/>
                <w:szCs w:val="24"/>
                <w:lang w:eastAsia="lv-LV" w:bidi="ar-SA"/>
              </w:rPr>
              <w:t xml:space="preserve"> </w:t>
            </w:r>
            <w:r w:rsidR="009C2F78" w:rsidRPr="00ED20F0">
              <w:rPr>
                <w:rFonts w:cs="Times New Roman"/>
                <w:bCs/>
                <w:sz w:val="24"/>
                <w:szCs w:val="24"/>
                <w:lang w:eastAsia="lv-LV" w:bidi="ar-SA"/>
              </w:rPr>
              <w:t>saņem mēnešalgu s</w:t>
            </w:r>
            <w:r w:rsidR="002F4AF9" w:rsidRPr="00ED20F0">
              <w:rPr>
                <w:rFonts w:cs="Times New Roman"/>
                <w:bCs/>
                <w:sz w:val="24"/>
                <w:szCs w:val="24"/>
                <w:lang w:eastAsia="lv-LV" w:bidi="ar-SA"/>
              </w:rPr>
              <w:t xml:space="preserve">askaņā ar </w:t>
            </w:r>
            <w:r w:rsidR="009C5B57" w:rsidRPr="00ED20F0">
              <w:rPr>
                <w:rFonts w:cs="Times New Roman"/>
                <w:bCs/>
                <w:sz w:val="24"/>
                <w:szCs w:val="24"/>
                <w:lang w:eastAsia="lv-LV" w:bidi="ar-SA"/>
              </w:rPr>
              <w:t xml:space="preserve">spēkā esošo </w:t>
            </w:r>
            <w:r w:rsidR="002F4AF9" w:rsidRPr="00ED20F0">
              <w:rPr>
                <w:rFonts w:cs="Times New Roman"/>
                <w:bCs/>
                <w:sz w:val="24"/>
                <w:szCs w:val="24"/>
                <w:lang w:eastAsia="lv-LV" w:bidi="ar-SA"/>
              </w:rPr>
              <w:t xml:space="preserve">Ministru kabineta </w:t>
            </w:r>
            <w:r w:rsidR="002F4AF9" w:rsidRPr="00ED20F0">
              <w:rPr>
                <w:rFonts w:cs="Times New Roman"/>
                <w:sz w:val="24"/>
                <w:szCs w:val="24"/>
                <w:lang w:bidi="ar-SA"/>
              </w:rPr>
              <w:t>201</w:t>
            </w:r>
            <w:r w:rsidR="00B1791B" w:rsidRPr="00ED20F0">
              <w:rPr>
                <w:rFonts w:cs="Times New Roman"/>
                <w:sz w:val="24"/>
                <w:szCs w:val="24"/>
                <w:lang w:bidi="ar-SA"/>
              </w:rPr>
              <w:t>4</w:t>
            </w:r>
            <w:r w:rsidR="002F4AF9" w:rsidRPr="00ED20F0">
              <w:rPr>
                <w:rFonts w:cs="Times New Roman"/>
                <w:sz w:val="24"/>
                <w:szCs w:val="24"/>
                <w:lang w:bidi="ar-SA"/>
              </w:rPr>
              <w:t>.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="002F4AF9" w:rsidRPr="00ED20F0">
              <w:rPr>
                <w:rFonts w:cs="Times New Roman"/>
                <w:sz w:val="24"/>
                <w:szCs w:val="24"/>
                <w:lang w:bidi="ar-SA"/>
              </w:rPr>
              <w:t xml:space="preserve">gada </w:t>
            </w:r>
            <w:r w:rsidR="00B1791B" w:rsidRPr="00ED20F0">
              <w:rPr>
                <w:rFonts w:cs="Times New Roman"/>
                <w:sz w:val="24"/>
                <w:szCs w:val="24"/>
                <w:lang w:bidi="ar-SA"/>
              </w:rPr>
              <w:t>26.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="00B1791B" w:rsidRPr="00ED20F0">
              <w:rPr>
                <w:rFonts w:cs="Times New Roman"/>
                <w:sz w:val="24"/>
                <w:szCs w:val="24"/>
                <w:lang w:bidi="ar-SA"/>
              </w:rPr>
              <w:t xml:space="preserve">augusta </w:t>
            </w:r>
            <w:r w:rsidR="002F4AF9" w:rsidRPr="00ED20F0">
              <w:rPr>
                <w:rFonts w:cs="Times New Roman"/>
                <w:sz w:val="24"/>
                <w:szCs w:val="24"/>
                <w:lang w:bidi="ar-SA"/>
              </w:rPr>
              <w:t>noteikumu Nr.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="00B1791B" w:rsidRPr="00ED20F0">
              <w:rPr>
                <w:rFonts w:cs="Times New Roman"/>
                <w:sz w:val="24"/>
                <w:szCs w:val="24"/>
                <w:lang w:bidi="ar-SA"/>
              </w:rPr>
              <w:t>509</w:t>
            </w:r>
            <w:r w:rsidR="002F4AF9" w:rsidRPr="00ED20F0">
              <w:rPr>
                <w:rFonts w:cs="Times New Roman"/>
                <w:sz w:val="24"/>
                <w:szCs w:val="24"/>
                <w:lang w:bidi="ar-SA"/>
              </w:rPr>
              <w:t xml:space="preserve"> „</w:t>
            </w:r>
            <w:r w:rsidR="002F4AF9" w:rsidRPr="00ED20F0">
              <w:rPr>
                <w:rFonts w:cs="Times New Roman"/>
                <w:bCs/>
                <w:sz w:val="24"/>
                <w:szCs w:val="24"/>
                <w:lang w:eastAsia="lv-LV" w:bidi="ar-SA"/>
              </w:rPr>
              <w:t>Noteikumi par karavīra mēnešalgas un speciālo piemaksu noteikšanas kārtību un to apmēru”</w:t>
            </w:r>
            <w:r w:rsidR="009005C4" w:rsidRPr="00ED20F0">
              <w:rPr>
                <w:rFonts w:cs="Times New Roman"/>
                <w:bCs/>
                <w:sz w:val="24"/>
                <w:szCs w:val="24"/>
                <w:lang w:eastAsia="lv-LV" w:bidi="ar-SA"/>
              </w:rPr>
              <w:t xml:space="preserve"> (turpmāk – noteikumi)</w:t>
            </w:r>
            <w:r w:rsidR="002F4AF9" w:rsidRPr="00ED20F0">
              <w:rPr>
                <w:rFonts w:cs="Times New Roman"/>
                <w:b/>
                <w:bCs/>
                <w:sz w:val="24"/>
                <w:szCs w:val="24"/>
                <w:lang w:eastAsia="lv-LV" w:bidi="ar-SA"/>
              </w:rPr>
              <w:t xml:space="preserve"> </w:t>
            </w:r>
            <w:r w:rsidR="009C2F78" w:rsidRPr="00ED20F0">
              <w:rPr>
                <w:rFonts w:cs="Times New Roman"/>
                <w:sz w:val="24"/>
                <w:szCs w:val="24"/>
                <w:lang w:bidi="ar-SA"/>
              </w:rPr>
              <w:t>1</w:t>
            </w:r>
            <w:r w:rsidR="002F4AF9" w:rsidRPr="00ED20F0">
              <w:rPr>
                <w:rFonts w:cs="Times New Roman"/>
                <w:sz w:val="24"/>
                <w:szCs w:val="24"/>
                <w:lang w:bidi="ar-SA"/>
              </w:rPr>
              <w:t>.</w:t>
            </w:r>
            <w:r w:rsidR="005D51D3"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="002F4AF9" w:rsidRPr="00ED20F0">
              <w:rPr>
                <w:rFonts w:cs="Times New Roman"/>
                <w:sz w:val="24"/>
                <w:szCs w:val="24"/>
                <w:lang w:bidi="ar-SA"/>
              </w:rPr>
              <w:t>pielikum</w:t>
            </w:r>
            <w:r w:rsidR="00FB516A" w:rsidRPr="00ED20F0">
              <w:rPr>
                <w:rFonts w:cs="Times New Roman"/>
                <w:sz w:val="24"/>
                <w:szCs w:val="24"/>
                <w:lang w:bidi="ar-SA"/>
              </w:rPr>
              <w:t>u</w:t>
            </w:r>
            <w:r w:rsidR="00690A12" w:rsidRPr="00ED20F0">
              <w:rPr>
                <w:rFonts w:cs="Times New Roman"/>
                <w:sz w:val="24"/>
                <w:szCs w:val="24"/>
                <w:lang w:bidi="ar-SA"/>
              </w:rPr>
              <w:t xml:space="preserve">, kurā kopš </w:t>
            </w:r>
            <w:r w:rsidR="009C2F78" w:rsidRPr="00ED20F0">
              <w:rPr>
                <w:rFonts w:cs="Times New Roman"/>
                <w:sz w:val="24"/>
                <w:szCs w:val="24"/>
                <w:lang w:bidi="ar-SA"/>
              </w:rPr>
              <w:t>2016.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="00690A12" w:rsidRPr="00ED20F0">
              <w:rPr>
                <w:rFonts w:cs="Times New Roman"/>
                <w:sz w:val="24"/>
                <w:szCs w:val="24"/>
                <w:lang w:bidi="ar-SA"/>
              </w:rPr>
              <w:t>gada 1.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="00690A12" w:rsidRPr="00ED20F0">
              <w:rPr>
                <w:rFonts w:cs="Times New Roman"/>
                <w:sz w:val="24"/>
                <w:szCs w:val="24"/>
                <w:lang w:bidi="ar-SA"/>
              </w:rPr>
              <w:t xml:space="preserve">janvāra </w:t>
            </w:r>
            <w:r w:rsidR="009C2F78" w:rsidRPr="00ED20F0">
              <w:rPr>
                <w:rFonts w:cs="Times New Roman"/>
                <w:sz w:val="24"/>
                <w:szCs w:val="24"/>
                <w:lang w:bidi="ar-SA"/>
              </w:rPr>
              <w:t xml:space="preserve">papildu dienesta pakāpei (kvalifikācijas līmenis) un izdienai 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 xml:space="preserve">noteikts </w:t>
            </w:r>
            <w:r w:rsidR="009C2F78" w:rsidRPr="00ED20F0">
              <w:rPr>
                <w:rFonts w:cs="Times New Roman"/>
                <w:sz w:val="24"/>
                <w:szCs w:val="24"/>
                <w:lang w:bidi="ar-SA"/>
              </w:rPr>
              <w:t xml:space="preserve">kritērijs – militārajam dienestam nepieciešamo zināšanu apguve (I un II kategorija). </w:t>
            </w:r>
          </w:p>
          <w:p w14:paraId="66D89244" w14:textId="725F7E58" w:rsidR="00115366" w:rsidRPr="00ED20F0" w:rsidRDefault="009B1F8D" w:rsidP="009C2F78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ED20F0">
              <w:rPr>
                <w:rFonts w:cs="Times New Roman"/>
                <w:sz w:val="24"/>
                <w:szCs w:val="24"/>
                <w:lang w:bidi="ar-SA"/>
              </w:rPr>
              <w:t>Karavīru atlīdzības reforma</w:t>
            </w:r>
            <w:r w:rsidR="00403F45" w:rsidRPr="00ED20F0">
              <w:rPr>
                <w:rFonts w:cs="Times New Roman"/>
                <w:sz w:val="24"/>
                <w:szCs w:val="24"/>
                <w:lang w:bidi="ar-SA"/>
              </w:rPr>
              <w:t>, kuras mērķis ir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 xml:space="preserve"> panākt karavīru atlīdzības konkurētspēju darba tirgū un samazināt atvaļināšanās tendenci, tika uzsākta </w:t>
            </w:r>
            <w:r w:rsidR="00547658" w:rsidRPr="00ED20F0">
              <w:rPr>
                <w:rFonts w:cs="Times New Roman"/>
                <w:sz w:val="24"/>
                <w:szCs w:val="24"/>
                <w:lang w:bidi="ar-SA"/>
              </w:rPr>
              <w:t>2014.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>ga</w:t>
            </w:r>
            <w:r w:rsidR="00547658" w:rsidRPr="00ED20F0">
              <w:rPr>
                <w:rFonts w:cs="Times New Roman"/>
                <w:sz w:val="24"/>
                <w:szCs w:val="24"/>
                <w:lang w:bidi="ar-SA"/>
              </w:rPr>
              <w:t>d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 xml:space="preserve">ā, veicot karavīru mēnešalgas 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>palielināšanu</w:t>
            </w:r>
            <w:r w:rsidR="00667ACF" w:rsidRPr="00ED20F0">
              <w:rPr>
                <w:rFonts w:cs="Times New Roman"/>
                <w:sz w:val="24"/>
                <w:szCs w:val="24"/>
                <w:lang w:bidi="ar-SA"/>
              </w:rPr>
              <w:t xml:space="preserve"> un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 xml:space="preserve"> nosakot 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>jaunu</w:t>
            </w:r>
            <w:r w:rsidR="00667ACF" w:rsidRPr="00ED20F0">
              <w:rPr>
                <w:rFonts w:cs="Times New Roman"/>
                <w:sz w:val="24"/>
                <w:szCs w:val="24"/>
                <w:lang w:bidi="ar-SA"/>
              </w:rPr>
              <w:t>s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 xml:space="preserve"> izdienas periodu</w:t>
            </w:r>
            <w:r w:rsidR="00667ACF" w:rsidRPr="00ED20F0">
              <w:rPr>
                <w:rFonts w:cs="Times New Roman"/>
                <w:sz w:val="24"/>
                <w:szCs w:val="24"/>
                <w:lang w:bidi="ar-SA"/>
              </w:rPr>
              <w:t>s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>.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 xml:space="preserve"> 2016.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Pr="00ED20F0">
              <w:rPr>
                <w:rFonts w:cs="Times New Roman"/>
                <w:sz w:val="24"/>
                <w:szCs w:val="24"/>
                <w:lang w:bidi="ar-SA"/>
              </w:rPr>
              <w:t xml:space="preserve">gadā 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 xml:space="preserve">tika veikts 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 xml:space="preserve">atlīdzības 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 xml:space="preserve">reformas 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>otrais posms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 xml:space="preserve">, </w:t>
            </w:r>
            <w:r w:rsidR="00403F45" w:rsidRPr="00ED20F0">
              <w:rPr>
                <w:rFonts w:cs="Times New Roman"/>
                <w:sz w:val="24"/>
                <w:szCs w:val="24"/>
                <w:lang w:bidi="ar-SA"/>
              </w:rPr>
              <w:t xml:space="preserve">iekļaujot mēnešalgas aprēķinā 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>jaun</w:t>
            </w:r>
            <w:r w:rsidR="00403F45" w:rsidRPr="00ED20F0">
              <w:rPr>
                <w:rFonts w:cs="Times New Roman"/>
                <w:sz w:val="24"/>
                <w:szCs w:val="24"/>
                <w:lang w:bidi="ar-SA"/>
              </w:rPr>
              <w:t>u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 xml:space="preserve"> kritērij</w:t>
            </w:r>
            <w:r w:rsidR="00403F45" w:rsidRPr="00ED20F0">
              <w:rPr>
                <w:rFonts w:cs="Times New Roman"/>
                <w:sz w:val="24"/>
                <w:szCs w:val="24"/>
                <w:lang w:bidi="ar-SA"/>
              </w:rPr>
              <w:t>u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 xml:space="preserve"> – militārajam dienesta</w:t>
            </w:r>
            <w:r w:rsidR="00667ACF" w:rsidRPr="00ED20F0">
              <w:rPr>
                <w:rFonts w:cs="Times New Roman"/>
                <w:sz w:val="24"/>
                <w:szCs w:val="24"/>
                <w:lang w:bidi="ar-SA"/>
              </w:rPr>
              <w:t>m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 xml:space="preserve"> nepieciešamo zināšanu apguv</w:t>
            </w:r>
            <w:r w:rsidR="00403F45" w:rsidRPr="00ED20F0">
              <w:rPr>
                <w:rFonts w:cs="Times New Roman"/>
                <w:sz w:val="24"/>
                <w:szCs w:val="24"/>
                <w:lang w:bidi="ar-SA"/>
              </w:rPr>
              <w:t xml:space="preserve">i un 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 xml:space="preserve">nodrošinot būtiskāku atlīdzības atšķirību atkarībā no 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 xml:space="preserve">karavīra iegūtās 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>profesionālās kvalifikācijas.</w:t>
            </w:r>
            <w:r w:rsidR="007323F0" w:rsidRPr="00ED20F0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="007B4E5A" w:rsidRPr="00ED20F0">
              <w:rPr>
                <w:rFonts w:cs="Times New Roman"/>
                <w:sz w:val="24"/>
                <w:szCs w:val="24"/>
                <w:lang w:bidi="ar-SA"/>
              </w:rPr>
              <w:t>Kaut arī ir</w:t>
            </w:r>
            <w:proofErr w:type="gramStart"/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 xml:space="preserve">  </w:t>
            </w:r>
            <w:proofErr w:type="gramEnd"/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>veikt</w:t>
            </w:r>
            <w:r w:rsidR="007B4E5A" w:rsidRPr="00ED20F0">
              <w:rPr>
                <w:rFonts w:cs="Times New Roman"/>
                <w:sz w:val="24"/>
                <w:szCs w:val="24"/>
                <w:lang w:bidi="ar-SA"/>
              </w:rPr>
              <w:t>i</w:t>
            </w:r>
            <w:r w:rsidR="00115366" w:rsidRPr="00ED20F0">
              <w:rPr>
                <w:rFonts w:cs="Times New Roman"/>
                <w:sz w:val="24"/>
                <w:szCs w:val="24"/>
                <w:lang w:bidi="ar-SA"/>
              </w:rPr>
              <w:t xml:space="preserve"> pasākumi, pilnā mērā nav izdevies </w:t>
            </w:r>
            <w:r w:rsidR="00310EA5" w:rsidRPr="00ED20F0">
              <w:rPr>
                <w:rFonts w:cs="Times New Roman"/>
                <w:sz w:val="24"/>
                <w:szCs w:val="24"/>
                <w:lang w:bidi="ar-SA"/>
              </w:rPr>
              <w:t>panākt karavīru mēnešalgas konkurētspēju darba tirgū</w:t>
            </w:r>
            <w:r w:rsidR="007B4E5A" w:rsidRPr="00ED20F0">
              <w:rPr>
                <w:rFonts w:cs="Times New Roman"/>
                <w:sz w:val="24"/>
                <w:szCs w:val="24"/>
                <w:lang w:bidi="ar-SA"/>
              </w:rPr>
              <w:t>.</w:t>
            </w:r>
            <w:r w:rsidR="00310EA5" w:rsidRPr="00ED20F0">
              <w:rPr>
                <w:rFonts w:cs="Times New Roman"/>
                <w:sz w:val="24"/>
                <w:szCs w:val="24"/>
                <w:lang w:bidi="ar-SA"/>
              </w:rPr>
              <w:t xml:space="preserve">  </w:t>
            </w:r>
            <w:r w:rsidR="007B4E5A" w:rsidRPr="00ED20F0">
              <w:rPr>
                <w:rFonts w:cs="Times New Roman"/>
                <w:sz w:val="24"/>
                <w:szCs w:val="24"/>
                <w:lang w:bidi="ar-SA"/>
              </w:rPr>
              <w:t>L</w:t>
            </w:r>
            <w:r w:rsidR="00310EA5" w:rsidRPr="00ED20F0">
              <w:rPr>
                <w:rFonts w:cs="Times New Roman"/>
                <w:sz w:val="24"/>
                <w:szCs w:val="24"/>
                <w:lang w:bidi="ar-SA"/>
              </w:rPr>
              <w:t xml:space="preserve">ai gan ir apturēta karavīru atvaļināšanās no profesionālā dienesta, tomēr nav izdevies nepieciešamajā apjomā nodrošināt kandidātu </w:t>
            </w:r>
            <w:proofErr w:type="spellStart"/>
            <w:r w:rsidR="00310EA5" w:rsidRPr="00ED20F0">
              <w:rPr>
                <w:rFonts w:cs="Times New Roman"/>
                <w:sz w:val="24"/>
                <w:szCs w:val="24"/>
                <w:lang w:bidi="ar-SA"/>
              </w:rPr>
              <w:t>rekrutēšanu</w:t>
            </w:r>
            <w:proofErr w:type="spellEnd"/>
            <w:r w:rsidR="00310EA5" w:rsidRPr="00ED20F0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>profesionālajam dienestam</w:t>
            </w:r>
            <w:r w:rsidR="00310EA5" w:rsidRPr="00ED20F0">
              <w:rPr>
                <w:rFonts w:cs="Times New Roman"/>
                <w:sz w:val="24"/>
                <w:szCs w:val="24"/>
                <w:lang w:bidi="ar-SA"/>
              </w:rPr>
              <w:t>, jo kopš 2014.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="00310EA5" w:rsidRPr="00ED20F0">
              <w:rPr>
                <w:rFonts w:cs="Times New Roman"/>
                <w:sz w:val="24"/>
                <w:szCs w:val="24"/>
                <w:lang w:bidi="ar-SA"/>
              </w:rPr>
              <w:t>gada paralēli veiktajiem atlīdzības pilnveidošanas pasākumiem</w:t>
            </w:r>
            <w:r w:rsidR="00690A12" w:rsidRPr="00ED20F0">
              <w:rPr>
                <w:rFonts w:cs="Times New Roman"/>
                <w:sz w:val="24"/>
                <w:szCs w:val="24"/>
                <w:lang w:bidi="ar-SA"/>
              </w:rPr>
              <w:t>,</w:t>
            </w:r>
            <w:r w:rsidR="00310EA5" w:rsidRPr="00ED20F0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="00310EA5" w:rsidRPr="00ED20F0">
              <w:rPr>
                <w:rFonts w:cs="Times New Roman"/>
                <w:sz w:val="24"/>
                <w:szCs w:val="24"/>
                <w:lang w:bidi="ar-SA"/>
              </w:rPr>
              <w:lastRenderedPageBreak/>
              <w:t xml:space="preserve">ir notikušas arī izmaiņas valsts darba tirgū, kuru rezultātā ir pieaugusi </w:t>
            </w:r>
            <w:r w:rsidR="000871FA" w:rsidRPr="00ED20F0">
              <w:rPr>
                <w:rFonts w:cs="Times New Roman"/>
                <w:sz w:val="24"/>
                <w:szCs w:val="24"/>
                <w:lang w:bidi="ar-SA"/>
              </w:rPr>
              <w:t>gan minimālā mēnešalga, gan vidējā darba samaksa valstī</w:t>
            </w:r>
            <w:r w:rsidR="00AF6104">
              <w:rPr>
                <w:rFonts w:cs="Times New Roman"/>
                <w:sz w:val="24"/>
                <w:szCs w:val="24"/>
                <w:lang w:bidi="ar-SA"/>
              </w:rPr>
              <w:t xml:space="preserve">. Sevišķi situāciju saasina </w:t>
            </w:r>
            <w:r w:rsidR="00BC4E6A" w:rsidRPr="00BC4E6A">
              <w:rPr>
                <w:rFonts w:cs="Times New Roman"/>
                <w:sz w:val="24"/>
                <w:szCs w:val="24"/>
                <w:lang w:bidi="ar-SA"/>
              </w:rPr>
              <w:t>2017.gada 9.maijā Ministru kabineta sēdē pieņemtās Valsts nodokļu politikas pamatnostādn</w:t>
            </w:r>
            <w:r w:rsidR="00BC4E6A">
              <w:rPr>
                <w:rFonts w:cs="Times New Roman"/>
                <w:sz w:val="24"/>
                <w:szCs w:val="24"/>
                <w:lang w:bidi="ar-SA"/>
              </w:rPr>
              <w:t>e</w:t>
            </w:r>
            <w:r w:rsidR="00BC4E6A" w:rsidRPr="00BC4E6A">
              <w:rPr>
                <w:rFonts w:cs="Times New Roman"/>
                <w:sz w:val="24"/>
                <w:szCs w:val="24"/>
                <w:lang w:bidi="ar-SA"/>
              </w:rPr>
              <w:t xml:space="preserve">s 2018. – 2021.gadam, </w:t>
            </w:r>
            <w:r w:rsidR="00AF6104">
              <w:rPr>
                <w:rFonts w:cs="Times New Roman"/>
                <w:sz w:val="24"/>
                <w:szCs w:val="24"/>
                <w:lang w:bidi="ar-SA"/>
              </w:rPr>
              <w:t>kas paredz minimālās algas paaugstināšanu par 50 EUR mēnesī, attiecīgi padarot karavīru atalgojumu nekonkurētspējīgu, tam pārsniedzot minimālo algu tikai par 40 EUR.</w:t>
            </w:r>
            <w:r w:rsidR="00264C12" w:rsidRPr="00ED20F0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</w:p>
          <w:p w14:paraId="1D7034B0" w14:textId="762401CD" w:rsidR="00910940" w:rsidRPr="00ED20F0" w:rsidRDefault="00E9544C" w:rsidP="00690A12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ED20F0">
              <w:rPr>
                <w:rFonts w:cs="Times New Roman"/>
                <w:sz w:val="24"/>
                <w:szCs w:val="24"/>
                <w:lang w:bidi="ar-SA"/>
              </w:rPr>
              <w:t>Ņemot vērā iepriekš minēto</w:t>
            </w:r>
            <w:r w:rsidR="00D036E1" w:rsidRPr="00ED20F0">
              <w:rPr>
                <w:rFonts w:cs="Times New Roman"/>
                <w:sz w:val="24"/>
                <w:szCs w:val="24"/>
                <w:lang w:bidi="ar-SA"/>
              </w:rPr>
              <w:t xml:space="preserve">, </w:t>
            </w:r>
            <w:r w:rsidR="00437AC5" w:rsidRPr="00ED20F0">
              <w:rPr>
                <w:rFonts w:cs="Times New Roman"/>
                <w:sz w:val="24"/>
                <w:szCs w:val="24"/>
                <w:lang w:bidi="ar-SA"/>
              </w:rPr>
              <w:t>lai</w:t>
            </w:r>
            <w:r w:rsidR="00AD50C7" w:rsidRPr="00ED20F0">
              <w:rPr>
                <w:rFonts w:cs="Times New Roman"/>
                <w:sz w:val="24"/>
                <w:szCs w:val="24"/>
                <w:lang w:bidi="ar-SA"/>
              </w:rPr>
              <w:t xml:space="preserve"> nodrošinātu profesionāl</w:t>
            </w:r>
            <w:r w:rsidR="00F4259B" w:rsidRPr="00ED20F0">
              <w:rPr>
                <w:rFonts w:cs="Times New Roman"/>
                <w:sz w:val="24"/>
                <w:szCs w:val="24"/>
                <w:lang w:bidi="ar-SA"/>
              </w:rPr>
              <w:t>i</w:t>
            </w:r>
            <w:r w:rsidR="00AD50C7" w:rsidRPr="00ED20F0">
              <w:rPr>
                <w:rFonts w:cs="Times New Roman"/>
                <w:sz w:val="24"/>
                <w:szCs w:val="24"/>
                <w:lang w:bidi="ar-SA"/>
              </w:rPr>
              <w:t xml:space="preserve"> sagatavotu speciālistu saglabāšanu dienestā un aizsardzības spēju attīstībai nepieciešamā papildu personāla piesaistīšanu, nepieciešams turpināt karavīru atlīdzības sistēmas </w:t>
            </w:r>
            <w:r w:rsidR="00690A12" w:rsidRPr="00ED20F0">
              <w:rPr>
                <w:rFonts w:cs="Times New Roman"/>
                <w:sz w:val="24"/>
                <w:szCs w:val="24"/>
                <w:lang w:bidi="ar-SA"/>
              </w:rPr>
              <w:t>p</w:t>
            </w:r>
            <w:r w:rsidR="00AD50C7" w:rsidRPr="00ED20F0">
              <w:rPr>
                <w:rFonts w:cs="Times New Roman"/>
                <w:sz w:val="24"/>
                <w:szCs w:val="24"/>
                <w:lang w:bidi="ar-SA"/>
              </w:rPr>
              <w:t>ilnveidošanu atbilstoši situācijas attīstībai valsts darba tirgū</w:t>
            </w:r>
            <w:r w:rsidR="00690A12" w:rsidRPr="00ED20F0">
              <w:rPr>
                <w:rFonts w:cs="Times New Roman"/>
                <w:sz w:val="24"/>
                <w:szCs w:val="24"/>
                <w:lang w:bidi="ar-SA"/>
              </w:rPr>
              <w:t xml:space="preserve"> un Valsts aizsardzības koncepcijas 107.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="00690A12" w:rsidRPr="00ED20F0">
              <w:rPr>
                <w:rFonts w:cs="Times New Roman"/>
                <w:sz w:val="24"/>
                <w:szCs w:val="24"/>
                <w:lang w:bidi="ar-SA"/>
              </w:rPr>
              <w:t>punktā noteiktajam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 xml:space="preserve">, </w:t>
            </w:r>
            <w:r w:rsidR="00C67C28" w:rsidRPr="00ED20F0">
              <w:rPr>
                <w:rFonts w:cs="Times New Roman"/>
                <w:sz w:val="24"/>
                <w:szCs w:val="24"/>
                <w:lang w:bidi="ar-SA"/>
              </w:rPr>
              <w:t xml:space="preserve">vienlaikus īstenojot arī </w:t>
            </w:r>
            <w:r w:rsidR="007C4235" w:rsidRPr="00ED20F0">
              <w:rPr>
                <w:rFonts w:cs="Times New Roman"/>
                <w:sz w:val="24"/>
                <w:szCs w:val="24"/>
                <w:lang w:bidi="ar-SA"/>
              </w:rPr>
              <w:t xml:space="preserve">Valsts kontroles </w:t>
            </w:r>
            <w:r w:rsidR="004D5F2A" w:rsidRPr="00ED20F0">
              <w:rPr>
                <w:rFonts w:cs="Times New Roman"/>
                <w:sz w:val="24"/>
                <w:szCs w:val="24"/>
                <w:lang w:bidi="ar-SA"/>
              </w:rPr>
              <w:t>2017.</w:t>
            </w:r>
            <w:r w:rsidR="00C70317">
              <w:rPr>
                <w:rFonts w:cs="Times New Roman"/>
                <w:sz w:val="24"/>
                <w:szCs w:val="24"/>
                <w:lang w:bidi="ar-SA"/>
              </w:rPr>
              <w:t> </w:t>
            </w:r>
            <w:r w:rsidR="004D5F2A" w:rsidRPr="00ED20F0">
              <w:rPr>
                <w:rFonts w:cs="Times New Roman"/>
                <w:sz w:val="24"/>
                <w:szCs w:val="24"/>
                <w:lang w:bidi="ar-SA"/>
              </w:rPr>
              <w:t xml:space="preserve">gada 20. aprīļa </w:t>
            </w:r>
            <w:r w:rsidR="007C4235" w:rsidRPr="00ED20F0">
              <w:rPr>
                <w:rFonts w:cs="Times New Roman"/>
                <w:sz w:val="24"/>
                <w:szCs w:val="24"/>
                <w:lang w:bidi="ar-SA"/>
              </w:rPr>
              <w:t xml:space="preserve">ziņojumā </w:t>
            </w:r>
            <w:r w:rsidR="004D5F2A" w:rsidRPr="00ED20F0">
              <w:rPr>
                <w:rFonts w:cs="Times New Roman"/>
                <w:sz w:val="24"/>
                <w:szCs w:val="24"/>
                <w:lang w:bidi="ar-SA"/>
              </w:rPr>
              <w:t>Nr.</w:t>
            </w:r>
            <w:r w:rsidR="00C70317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="004D5F2A" w:rsidRPr="00ED20F0">
              <w:rPr>
                <w:rFonts w:cs="Times New Roman"/>
                <w:sz w:val="24"/>
                <w:szCs w:val="24"/>
                <w:lang w:bidi="ar-SA"/>
              </w:rPr>
              <w:t xml:space="preserve">2.4.1-34/2016 </w:t>
            </w:r>
            <w:r w:rsidR="007C4235" w:rsidRPr="00ED20F0">
              <w:rPr>
                <w:rFonts w:cs="Times New Roman"/>
                <w:sz w:val="24"/>
                <w:szCs w:val="24"/>
                <w:lang w:bidi="ar-SA"/>
              </w:rPr>
              <w:t>par finanšu revīziju Aizsardzības ministrijā</w:t>
            </w:r>
            <w:r w:rsidR="00E7142C" w:rsidRPr="00ED20F0">
              <w:rPr>
                <w:rFonts w:cs="Times New Roman"/>
                <w:sz w:val="24"/>
                <w:szCs w:val="24"/>
                <w:lang w:bidi="ar-SA"/>
              </w:rPr>
              <w:t xml:space="preserve"> minētos </w:t>
            </w:r>
            <w:r w:rsidR="004D5F2A" w:rsidRPr="00ED20F0">
              <w:rPr>
                <w:rFonts w:cs="Times New Roman"/>
                <w:sz w:val="24"/>
                <w:szCs w:val="24"/>
                <w:lang w:bidi="ar-SA"/>
              </w:rPr>
              <w:t>ieteikumus</w:t>
            </w:r>
            <w:r w:rsidR="007C4235" w:rsidRPr="00ED20F0">
              <w:rPr>
                <w:rFonts w:cs="Times New Roman"/>
                <w:sz w:val="24"/>
                <w:szCs w:val="24"/>
                <w:lang w:bidi="ar-SA"/>
              </w:rPr>
              <w:t>.</w:t>
            </w:r>
            <w:r w:rsidR="00355642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="00AF6104">
              <w:rPr>
                <w:rFonts w:cs="Times New Roman"/>
                <w:sz w:val="24"/>
                <w:szCs w:val="24"/>
                <w:lang w:bidi="ar-SA"/>
              </w:rPr>
              <w:t xml:space="preserve">Attiecīgi ir pieņemts lēmums </w:t>
            </w:r>
            <w:r w:rsidR="00C70317">
              <w:rPr>
                <w:rFonts w:cs="Times New Roman"/>
                <w:sz w:val="24"/>
                <w:szCs w:val="24"/>
                <w:lang w:bidi="ar-SA"/>
              </w:rPr>
              <w:t xml:space="preserve">no 2017.gada 1.oktobra </w:t>
            </w:r>
            <w:r w:rsidR="00AF6104">
              <w:rPr>
                <w:rFonts w:cs="Times New Roman"/>
                <w:sz w:val="24"/>
                <w:szCs w:val="24"/>
                <w:lang w:bidi="ar-SA"/>
              </w:rPr>
              <w:t>visu karavīru un virsnieku atlīdzības skalu paaugstināt par 50 EUR, atbilstoši minimālās algas paaugstināšanas apjomam, lai saglabātu potenciālo karavīru interesi par iespēju dienēt Nacionālajos bruņotajos spēkos.</w:t>
            </w:r>
          </w:p>
          <w:p w14:paraId="74A212AF" w14:textId="0320F2B0" w:rsidR="007C4235" w:rsidRPr="00ED20F0" w:rsidRDefault="00AF6104" w:rsidP="00AF6104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A</w:t>
            </w:r>
            <w:r w:rsidR="000B17D3" w:rsidRPr="00ED20F0">
              <w:rPr>
                <w:rFonts w:cs="Times New Roman"/>
                <w:sz w:val="24"/>
                <w:szCs w:val="24"/>
                <w:lang w:bidi="ar-SA"/>
              </w:rPr>
              <w:t>tlīdzības sistēm</w:t>
            </w:r>
            <w:r>
              <w:rPr>
                <w:rFonts w:cs="Times New Roman"/>
                <w:sz w:val="24"/>
                <w:szCs w:val="24"/>
                <w:lang w:bidi="ar-SA"/>
              </w:rPr>
              <w:t>as izmaiņas</w:t>
            </w:r>
            <w:r w:rsidR="000B17D3" w:rsidRPr="00ED20F0">
              <w:rPr>
                <w:rFonts w:cs="Times New Roman"/>
                <w:sz w:val="24"/>
                <w:szCs w:val="24"/>
                <w:lang w:bidi="ar-SA"/>
              </w:rPr>
              <w:t xml:space="preserve"> ir plānot</w:t>
            </w:r>
            <w:r>
              <w:rPr>
                <w:rFonts w:cs="Times New Roman"/>
                <w:sz w:val="24"/>
                <w:szCs w:val="24"/>
                <w:lang w:bidi="ar-SA"/>
              </w:rPr>
              <w:t>a</w:t>
            </w:r>
            <w:r w:rsidR="000B17D3" w:rsidRPr="00ED20F0">
              <w:rPr>
                <w:rFonts w:cs="Times New Roman"/>
                <w:sz w:val="24"/>
                <w:szCs w:val="24"/>
                <w:lang w:bidi="ar-SA"/>
              </w:rPr>
              <w:t>s pakāpenisk</w:t>
            </w:r>
            <w:r>
              <w:rPr>
                <w:rFonts w:cs="Times New Roman"/>
                <w:sz w:val="24"/>
                <w:szCs w:val="24"/>
                <w:lang w:bidi="ar-SA"/>
              </w:rPr>
              <w:t>as</w:t>
            </w:r>
            <w:r w:rsidR="000B17D3" w:rsidRPr="00ED20F0">
              <w:rPr>
                <w:rFonts w:cs="Times New Roman"/>
                <w:sz w:val="24"/>
                <w:szCs w:val="24"/>
                <w:lang w:bidi="ar-SA"/>
              </w:rPr>
              <w:t>,</w:t>
            </w:r>
            <w:r>
              <w:rPr>
                <w:rFonts w:cs="Times New Roman"/>
                <w:sz w:val="24"/>
                <w:szCs w:val="24"/>
                <w:lang w:bidi="ar-SA"/>
              </w:rPr>
              <w:t xml:space="preserve"> atbilstoši</w:t>
            </w:r>
            <w:r w:rsidR="000B17D3" w:rsidRPr="00ED20F0">
              <w:rPr>
                <w:rFonts w:cs="Times New Roman"/>
                <w:sz w:val="24"/>
                <w:szCs w:val="24"/>
                <w:lang w:bidi="ar-SA"/>
              </w:rPr>
              <w:t xml:space="preserve"> valsts finansiālajai situācijai </w:t>
            </w:r>
            <w:r>
              <w:rPr>
                <w:rFonts w:cs="Times New Roman"/>
                <w:sz w:val="24"/>
                <w:szCs w:val="24"/>
                <w:lang w:bidi="ar-SA"/>
              </w:rPr>
              <w:t xml:space="preserve">un </w:t>
            </w:r>
            <w:r w:rsidR="000B17D3" w:rsidRPr="00ED20F0">
              <w:rPr>
                <w:rFonts w:cs="Times New Roman"/>
                <w:sz w:val="24"/>
                <w:szCs w:val="24"/>
                <w:lang w:bidi="ar-SA"/>
              </w:rPr>
              <w:t>A</w:t>
            </w:r>
            <w:r w:rsidR="00114DF4" w:rsidRPr="00ED20F0">
              <w:rPr>
                <w:rFonts w:cs="Times New Roman"/>
                <w:sz w:val="24"/>
                <w:szCs w:val="24"/>
                <w:lang w:bidi="ar-SA"/>
              </w:rPr>
              <w:t>izsardzības ministrijai</w:t>
            </w:r>
            <w:r>
              <w:rPr>
                <w:rFonts w:cs="Times New Roman"/>
                <w:sz w:val="24"/>
                <w:szCs w:val="24"/>
                <w:lang w:bidi="ar-SA"/>
              </w:rPr>
              <w:t xml:space="preserve"> iepriekš</w:t>
            </w:r>
            <w:r w:rsidR="00114DF4" w:rsidRPr="00ED20F0">
              <w:rPr>
                <w:rFonts w:cs="Times New Roman"/>
                <w:sz w:val="24"/>
                <w:szCs w:val="24"/>
                <w:lang w:bidi="ar-SA"/>
              </w:rPr>
              <w:t xml:space="preserve"> piešķirtā</w:t>
            </w:r>
            <w:r w:rsidR="000B17D3" w:rsidRPr="00ED20F0">
              <w:rPr>
                <w:rFonts w:cs="Times New Roman"/>
                <w:sz w:val="24"/>
                <w:szCs w:val="24"/>
                <w:lang w:bidi="ar-SA"/>
              </w:rPr>
              <w:t xml:space="preserve"> budžeta ietvaros.</w:t>
            </w:r>
            <w:r>
              <w:rPr>
                <w:rFonts w:cs="Times New Roman"/>
                <w:sz w:val="24"/>
                <w:szCs w:val="24"/>
                <w:lang w:bidi="ar-SA"/>
              </w:rPr>
              <w:t xml:space="preserve"> Pēc noteikumu izmaiņu veikšanas zemākais atalgojuma līmenis palielināsies par </w:t>
            </w:r>
            <w:r w:rsidR="001A602A">
              <w:rPr>
                <w:rFonts w:cs="Times New Roman"/>
                <w:sz w:val="24"/>
                <w:szCs w:val="24"/>
                <w:lang w:bidi="ar-SA"/>
              </w:rPr>
              <w:t>aptuveni 10 procentiem, bet au</w:t>
            </w:r>
            <w:r w:rsidR="004C2CA6">
              <w:rPr>
                <w:rFonts w:cs="Times New Roman"/>
                <w:sz w:val="24"/>
                <w:szCs w:val="24"/>
                <w:lang w:bidi="ar-SA"/>
              </w:rPr>
              <w:t>g</w:t>
            </w:r>
            <w:r w:rsidR="001A602A">
              <w:rPr>
                <w:rFonts w:cs="Times New Roman"/>
                <w:sz w:val="24"/>
                <w:szCs w:val="24"/>
                <w:lang w:bidi="ar-SA"/>
              </w:rPr>
              <w:t>stākais atalgojuma līmenis palielināsies tikai par 2 procentiem, tādejādi tiks saglabāts arī nodokļu reformā paustais uzstādījumus – palielināt tieši zemāko atlīdzības līmeni</w:t>
            </w:r>
            <w:r w:rsidR="002D6E02" w:rsidRPr="00ED20F0">
              <w:rPr>
                <w:rFonts w:cs="Times New Roman"/>
                <w:sz w:val="24"/>
                <w:szCs w:val="24"/>
                <w:lang w:bidi="ar-SA"/>
              </w:rPr>
              <w:t>.</w:t>
            </w:r>
          </w:p>
        </w:tc>
      </w:tr>
      <w:tr w:rsidR="007C1053" w:rsidRPr="00ED20F0" w14:paraId="55115C3A" w14:textId="77777777" w:rsidTr="00715107">
        <w:trPr>
          <w:trHeight w:val="465"/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A173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7AA38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A007B" w14:textId="77777777" w:rsidR="00226001" w:rsidRPr="00ED20F0" w:rsidRDefault="00910940" w:rsidP="00A04B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Noteikumu projekt</w:t>
            </w:r>
            <w:r w:rsidR="00A04B18" w:rsidRPr="00ED20F0">
              <w:rPr>
                <w:rFonts w:cs="Times New Roman"/>
                <w:sz w:val="24"/>
                <w:szCs w:val="24"/>
              </w:rPr>
              <w:t xml:space="preserve">u </w:t>
            </w:r>
            <w:r w:rsidRPr="00ED20F0">
              <w:rPr>
                <w:rFonts w:cs="Times New Roman"/>
                <w:sz w:val="24"/>
                <w:szCs w:val="24"/>
              </w:rPr>
              <w:t>izstrād</w:t>
            </w:r>
            <w:r w:rsidR="00C23B02" w:rsidRPr="00ED20F0">
              <w:rPr>
                <w:rFonts w:cs="Times New Roman"/>
                <w:sz w:val="24"/>
                <w:szCs w:val="24"/>
              </w:rPr>
              <w:t>ājusi Aizsardzības ministrija</w:t>
            </w:r>
            <w:r w:rsidRPr="00ED20F0">
              <w:rPr>
                <w:rFonts w:cs="Times New Roman"/>
                <w:sz w:val="24"/>
                <w:szCs w:val="24"/>
              </w:rPr>
              <w:t xml:space="preserve"> sadarbībā ar Nacionālajiem bruņotajiem spēkiem</w:t>
            </w:r>
            <w:r w:rsidR="00114DF4" w:rsidRPr="00ED20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C1053" w:rsidRPr="00ED20F0" w14:paraId="3A9BB025" w14:textId="77777777" w:rsidTr="00715107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C0C57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23554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4BB8B" w14:textId="5FEC1AD7" w:rsidR="003336F6" w:rsidRPr="00ED20F0" w:rsidRDefault="007A2BEC" w:rsidP="00124086">
            <w:pPr>
              <w:jc w:val="both"/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Aizsardzības minis</w:t>
            </w:r>
            <w:r w:rsidR="00ED20F0">
              <w:rPr>
                <w:rFonts w:cs="Times New Roman"/>
                <w:sz w:val="24"/>
                <w:szCs w:val="24"/>
              </w:rPr>
              <w:t xml:space="preserve">trija normatīvā akta izpildi </w:t>
            </w:r>
            <w:r w:rsidRPr="00355642">
              <w:rPr>
                <w:rFonts w:cs="Times New Roman"/>
                <w:sz w:val="24"/>
                <w:szCs w:val="24"/>
              </w:rPr>
              <w:t>īstenos atbilstoši tai piešķirtajiem valsts budžeta līdzekļiem</w:t>
            </w:r>
            <w:r w:rsidR="001A602A" w:rsidRPr="00E733BF">
              <w:rPr>
                <w:rFonts w:cs="Times New Roman"/>
                <w:sz w:val="24"/>
                <w:szCs w:val="24"/>
              </w:rPr>
              <w:t>.</w:t>
            </w:r>
            <w:r w:rsidR="00641D67" w:rsidRPr="00E733B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1B449584" w14:textId="77777777" w:rsidR="00715107" w:rsidRDefault="00715107">
      <w:pPr>
        <w:rPr>
          <w:rFonts w:cs="Times New Roman"/>
          <w:sz w:val="24"/>
          <w:szCs w:val="24"/>
        </w:rPr>
      </w:pPr>
    </w:p>
    <w:p w14:paraId="51F34321" w14:textId="77777777" w:rsidR="00500588" w:rsidRPr="00ED20F0" w:rsidRDefault="00500588">
      <w:pPr>
        <w:rPr>
          <w:rFonts w:cs="Times New Roman"/>
          <w:sz w:val="24"/>
          <w:szCs w:val="24"/>
        </w:rPr>
      </w:pPr>
    </w:p>
    <w:tbl>
      <w:tblPr>
        <w:tblW w:w="5365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565"/>
        <w:gridCol w:w="5927"/>
      </w:tblGrid>
      <w:tr w:rsidR="00226001" w:rsidRPr="00ED20F0" w14:paraId="5C63F4F5" w14:textId="77777777" w:rsidTr="00715107">
        <w:trPr>
          <w:trHeight w:val="55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25B1" w14:textId="77777777" w:rsidR="00226001" w:rsidRPr="00ED20F0" w:rsidRDefault="00226001" w:rsidP="0022600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D20F0">
              <w:rPr>
                <w:rFonts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7A2BEC" w:rsidRPr="00ED20F0" w14:paraId="224DF0B9" w14:textId="77777777" w:rsidTr="00124086">
        <w:trPr>
          <w:trHeight w:val="46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93CF0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3862D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 xml:space="preserve">Sabiedrības </w:t>
            </w:r>
            <w:proofErr w:type="spellStart"/>
            <w:r w:rsidRPr="00ED20F0">
              <w:rPr>
                <w:rFonts w:cs="Times New Roman"/>
                <w:sz w:val="24"/>
                <w:szCs w:val="24"/>
              </w:rPr>
              <w:t>mērķgrupas</w:t>
            </w:r>
            <w:proofErr w:type="spellEnd"/>
            <w:r w:rsidRPr="00ED20F0">
              <w:rPr>
                <w:rFonts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F2EAA" w14:textId="13C0CB54" w:rsidR="00910940" w:rsidRPr="00ED20F0" w:rsidRDefault="00910940" w:rsidP="00114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 xml:space="preserve">Noteikumu projekts attiecināms uz </w:t>
            </w:r>
            <w:r w:rsidR="00C95EA2" w:rsidRPr="00ED20F0">
              <w:rPr>
                <w:rFonts w:cs="Times New Roman"/>
                <w:sz w:val="24"/>
                <w:szCs w:val="24"/>
              </w:rPr>
              <w:t xml:space="preserve">visiem </w:t>
            </w:r>
            <w:r w:rsidR="00114DF4" w:rsidRPr="00ED20F0">
              <w:rPr>
                <w:rFonts w:cs="Times New Roman"/>
                <w:sz w:val="24"/>
                <w:szCs w:val="24"/>
              </w:rPr>
              <w:t xml:space="preserve">profesionālā dienesta </w:t>
            </w:r>
            <w:r w:rsidR="00DD7579" w:rsidRPr="00ED20F0">
              <w:rPr>
                <w:rFonts w:cs="Times New Roman"/>
                <w:sz w:val="24"/>
                <w:szCs w:val="24"/>
              </w:rPr>
              <w:t>karavīri</w:t>
            </w:r>
            <w:r w:rsidRPr="00ED20F0">
              <w:rPr>
                <w:rFonts w:cs="Times New Roman"/>
                <w:sz w:val="24"/>
                <w:szCs w:val="24"/>
              </w:rPr>
              <w:t>em</w:t>
            </w:r>
            <w:r w:rsidR="00114DF4" w:rsidRPr="00ED20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A2BEC" w:rsidRPr="00ED20F0" w14:paraId="46EF651A" w14:textId="77777777" w:rsidTr="00124086">
        <w:trPr>
          <w:trHeight w:val="51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AF31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5B74E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5F045" w14:textId="77777777" w:rsidR="00226001" w:rsidRPr="00ED20F0" w:rsidRDefault="00910940" w:rsidP="00712AA9">
            <w:pPr>
              <w:jc w:val="both"/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Noteikumu projekts nemaina tiesības un pienākumus, kā arī veicamās darbības</w:t>
            </w:r>
          </w:p>
        </w:tc>
      </w:tr>
      <w:tr w:rsidR="007A2BEC" w:rsidRPr="00ED20F0" w14:paraId="1DEEE0C5" w14:textId="77777777" w:rsidTr="00124086">
        <w:trPr>
          <w:trHeight w:val="51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66EB5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214E8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8EB7D" w14:textId="77777777" w:rsidR="00226001" w:rsidRPr="00ED20F0" w:rsidRDefault="009235D7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Projekts šo jomu neskar</w:t>
            </w:r>
          </w:p>
        </w:tc>
      </w:tr>
      <w:tr w:rsidR="007A2BEC" w:rsidRPr="00ED20F0" w14:paraId="21579AE2" w14:textId="77777777" w:rsidTr="00124086">
        <w:trPr>
          <w:trHeight w:val="456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1AE8B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078D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Cita informācija</w:t>
            </w:r>
          </w:p>
        </w:tc>
        <w:tc>
          <w:tcPr>
            <w:tcW w:w="3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88C35" w14:textId="77777777" w:rsidR="00226001" w:rsidRPr="00ED20F0" w:rsidRDefault="00226001" w:rsidP="00226001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Na</w:t>
            </w:r>
            <w:r w:rsidR="009235D7" w:rsidRPr="00ED20F0">
              <w:rPr>
                <w:rFonts w:cs="Times New Roman"/>
                <w:sz w:val="24"/>
                <w:szCs w:val="24"/>
              </w:rPr>
              <w:t>v</w:t>
            </w:r>
          </w:p>
        </w:tc>
      </w:tr>
    </w:tbl>
    <w:p w14:paraId="3128B54E" w14:textId="77777777" w:rsidR="00715107" w:rsidRDefault="00715107">
      <w:pPr>
        <w:rPr>
          <w:rFonts w:cs="Times New Roman"/>
          <w:sz w:val="24"/>
          <w:szCs w:val="24"/>
        </w:rPr>
      </w:pPr>
    </w:p>
    <w:p w14:paraId="562F3BAE" w14:textId="77777777" w:rsidR="00500588" w:rsidRDefault="00500588">
      <w:pPr>
        <w:rPr>
          <w:rFonts w:cs="Times New Roman"/>
          <w:sz w:val="24"/>
          <w:szCs w:val="24"/>
        </w:rPr>
      </w:pPr>
    </w:p>
    <w:tbl>
      <w:tblPr>
        <w:tblW w:w="548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"/>
        <w:gridCol w:w="582"/>
        <w:gridCol w:w="2243"/>
        <w:gridCol w:w="321"/>
        <w:gridCol w:w="1043"/>
        <w:gridCol w:w="1134"/>
        <w:gridCol w:w="1131"/>
        <w:gridCol w:w="1134"/>
        <w:gridCol w:w="1301"/>
        <w:gridCol w:w="184"/>
      </w:tblGrid>
      <w:tr w:rsidR="00A70A25" w:rsidRPr="008814B7" w14:paraId="002D9A97" w14:textId="77777777" w:rsidTr="003F7B80">
        <w:trPr>
          <w:gridAfter w:val="1"/>
          <w:wAfter w:w="100" w:type="pct"/>
          <w:cantSplit/>
          <w:trHeight w:val="360"/>
        </w:trPr>
        <w:tc>
          <w:tcPr>
            <w:tcW w:w="49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F62D1D" w14:textId="77777777" w:rsidR="00A70A25" w:rsidRPr="00DB04E0" w:rsidRDefault="00A70A25" w:rsidP="00076812">
            <w:pPr>
              <w:ind w:firstLine="300"/>
              <w:jc w:val="center"/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  <w:r w:rsidRPr="00DF6BF8">
              <w:rPr>
                <w:rFonts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70A25" w:rsidRPr="001602AC" w14:paraId="7EE2078D" w14:textId="77777777" w:rsidTr="00124086">
        <w:trPr>
          <w:gridAfter w:val="1"/>
          <w:wAfter w:w="100" w:type="pct"/>
          <w:cantSplit/>
        </w:trPr>
        <w:tc>
          <w:tcPr>
            <w:tcW w:w="1596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903971" w14:textId="77777777" w:rsidR="00A70A25" w:rsidRPr="00DB04E0" w:rsidRDefault="00A70A25" w:rsidP="00076812">
            <w:pPr>
              <w:ind w:firstLine="300"/>
              <w:jc w:val="center"/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b/>
                <w:bCs/>
                <w:sz w:val="24"/>
                <w:szCs w:val="24"/>
              </w:rPr>
              <w:t>Rādītāji</w:t>
            </w:r>
          </w:p>
        </w:tc>
        <w:tc>
          <w:tcPr>
            <w:tcW w:w="1361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F892CB" w14:textId="77777777" w:rsidR="00A70A25" w:rsidRPr="00DB04E0" w:rsidRDefault="00A70A25" w:rsidP="00076812">
            <w:pPr>
              <w:ind w:firstLine="300"/>
              <w:jc w:val="center"/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b/>
                <w:bCs/>
                <w:sz w:val="24"/>
                <w:szCs w:val="24"/>
              </w:rPr>
              <w:t>2017.gads</w:t>
            </w:r>
          </w:p>
        </w:tc>
        <w:tc>
          <w:tcPr>
            <w:tcW w:w="194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246FCE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B53881">
              <w:rPr>
                <w:rFonts w:cs="Times New Roman"/>
                <w:sz w:val="24"/>
                <w:szCs w:val="24"/>
              </w:rPr>
              <w:t>Turpmākie trīs gadi (</w:t>
            </w:r>
            <w:proofErr w:type="spellStart"/>
            <w:r w:rsidRPr="00B53881">
              <w:rPr>
                <w:rFonts w:cs="Times New Roman"/>
                <w:i/>
                <w:sz w:val="24"/>
                <w:szCs w:val="24"/>
              </w:rPr>
              <w:t>euro</w:t>
            </w:r>
            <w:proofErr w:type="spellEnd"/>
            <w:r w:rsidRPr="00B5388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24086" w:rsidRPr="00DB04E0" w14:paraId="3B722AE3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48A4A2" w14:textId="77777777" w:rsidR="00A70A25" w:rsidRPr="00DB04E0" w:rsidRDefault="00A70A25" w:rsidP="00076812">
            <w:pPr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61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E0B0CB" w14:textId="77777777" w:rsidR="00A70A25" w:rsidRPr="00DB04E0" w:rsidRDefault="00A70A25" w:rsidP="00076812">
            <w:pPr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B42B2" w14:textId="77777777" w:rsidR="00A70A25" w:rsidRPr="00DB04E0" w:rsidRDefault="00A70A25" w:rsidP="0007681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6A9689" w14:textId="77777777" w:rsidR="00A70A25" w:rsidRPr="00DB04E0" w:rsidRDefault="00A70A25" w:rsidP="0007681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1DC097" w14:textId="77777777" w:rsidR="00A70A25" w:rsidRPr="00DB04E0" w:rsidRDefault="00A70A25" w:rsidP="0007681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124086" w:rsidRPr="00DB04E0" w14:paraId="7780653B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40BA0" w14:textId="77777777" w:rsidR="00A70A25" w:rsidRPr="00DB04E0" w:rsidRDefault="00A70A25" w:rsidP="00076812">
            <w:pPr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9EC5B4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13564B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F6BF8">
              <w:rPr>
                <w:rFonts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E2552A" w14:textId="297BD852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izmaiņas, salīdzinot ar kārtējo 2017.</w:t>
            </w:r>
            <w:r w:rsidR="00124086">
              <w:rPr>
                <w:rFonts w:cs="Times New Roman"/>
                <w:sz w:val="24"/>
                <w:szCs w:val="24"/>
              </w:rPr>
              <w:t xml:space="preserve"> </w:t>
            </w:r>
            <w:r w:rsidRPr="00DB04E0">
              <w:rPr>
                <w:rFonts w:cs="Times New Roman"/>
                <w:sz w:val="24"/>
                <w:szCs w:val="24"/>
              </w:rPr>
              <w:t>gadu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E9DE89" w14:textId="77777777" w:rsidR="00A70A25" w:rsidRPr="00DB04E0" w:rsidRDefault="00A70A25" w:rsidP="00076812">
            <w:pPr>
              <w:ind w:firstLine="6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izmaiņas, salīdzinot ar kārtējo 2017.gadu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0B030A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izmaiņas, salīdzinot ar kārtējo 2017.gadu</w:t>
            </w:r>
          </w:p>
        </w:tc>
      </w:tr>
      <w:tr w:rsidR="00124086" w:rsidRPr="00DB04E0" w14:paraId="5AC5D5C1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B87708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BB2548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91F78C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D29F23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2FBD23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779CC3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24086" w:rsidRPr="00DB04E0" w14:paraId="617F4F17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6431F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1. Budžeta ieņēmumi: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9FFAF" w14:textId="6B92CF96" w:rsidR="00124086" w:rsidRPr="00DB04E0" w:rsidRDefault="00124086" w:rsidP="00124086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</w:rPr>
              <w:t>126 155 056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82CD7E" w14:textId="0F268B12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122A6C" w14:textId="61C44114" w:rsidR="00124086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24E4B" w14:textId="41018398" w:rsidR="00124086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B28403" w14:textId="72222433" w:rsidR="00124086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24086" w:rsidRPr="00DB04E0" w14:paraId="41F7CF0C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0A03B0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3C6B13" w14:textId="3AC763D3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126 155 056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DCD37C" w14:textId="54B1FDBD" w:rsidR="00124086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  <w:p w14:paraId="73AA1270" w14:textId="77777777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923D16" w14:textId="22D3AB65" w:rsidR="00124086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3E4C23" w14:textId="2D6306B4" w:rsidR="00124086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FB97B6" w14:textId="4B04E608" w:rsidR="00124086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24086" w:rsidRPr="00DB04E0" w14:paraId="2F578991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CEE676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6C144F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53F391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3C57C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C0EA6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ABFA8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124086" w:rsidRPr="00DB04E0" w14:paraId="5957F61E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454B21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00775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ADE83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06F440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4F89E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2962B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124086" w:rsidRPr="00DB04E0" w14:paraId="21E27469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9B88A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2. Budžeta izdevumi: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93F3B" w14:textId="2B0777E1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126 155 056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7B7DA5" w14:textId="4B603172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FFA28" w14:textId="2986F014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CBADC" w14:textId="7A9142B8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933BB" w14:textId="5F45B4B2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</w:tr>
      <w:tr w:rsidR="00124086" w:rsidRPr="00DB04E0" w14:paraId="755EA5A6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8B411" w14:textId="77777777" w:rsidR="00124086" w:rsidRPr="00DB04E0" w:rsidRDefault="00124086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0B470" w14:textId="4AAB5229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</w:rPr>
              <w:t>126 155 056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56F25F" w14:textId="4455D0EF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9CFD80" w14:textId="41CE170D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61349" w14:textId="33683982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0E8DB2" w14:textId="69AA1E3E" w:rsidR="00124086" w:rsidRPr="00DB04E0" w:rsidRDefault="00124086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</w:tr>
      <w:tr w:rsidR="00124086" w:rsidRPr="00DB04E0" w14:paraId="4194EA80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05D627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571F5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218B0A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DFB99A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E020E8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B6DEE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124086" w:rsidRPr="00DB04E0" w14:paraId="6F325DDB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F4FC55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0F576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558CA1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00D162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6D6EB9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3D8C0B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3F7B80" w:rsidRPr="00DB04E0" w14:paraId="6E171728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78EEB" w14:textId="77777777" w:rsidR="003F7B80" w:rsidRPr="00DB04E0" w:rsidRDefault="003F7B80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42D106" w14:textId="77777777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598C33" w14:textId="2F8DDC35" w:rsidR="003F7B80" w:rsidRPr="00D56176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646322" w14:textId="4A8529C7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-</w:t>
            </w: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BEAB1" w14:textId="39BE4213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-</w:t>
            </w: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74BE3" w14:textId="4D03621D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-</w:t>
            </w: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</w:tr>
      <w:tr w:rsidR="003F7B80" w:rsidRPr="00DB04E0" w14:paraId="1DDB431D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0559E" w14:textId="77777777" w:rsidR="003F7B80" w:rsidRPr="00DB04E0" w:rsidRDefault="003F7B80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13A14" w14:textId="77777777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5E0D7F" w14:textId="29CDE07C" w:rsidR="003F7B80" w:rsidRPr="00D56176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38A11F" w14:textId="71A09D45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-</w:t>
            </w: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9EFE3" w14:textId="52F99CDB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-</w:t>
            </w: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4B833" w14:textId="15D7C33C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-</w:t>
            </w: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</w:tr>
      <w:tr w:rsidR="00124086" w:rsidRPr="00DB04E0" w14:paraId="5ED8ABE1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A670E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074C7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CD754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6D6D9B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2C712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BEFBC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124086" w:rsidRPr="00DB04E0" w14:paraId="0E86369E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6B380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7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610A64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D896CF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E8666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16D2FF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92F3D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3F7B80" w:rsidRPr="00DB04E0" w14:paraId="160069F6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9FDD3" w14:textId="77777777" w:rsidR="003F7B80" w:rsidRPr="00DB04E0" w:rsidRDefault="003F7B80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743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BB6ADC" w14:textId="77777777" w:rsidR="003F7B80" w:rsidRPr="00DB04E0" w:rsidRDefault="003F7B80" w:rsidP="00076812">
            <w:pPr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FF4048" w14:textId="77777777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1D324" w14:textId="0FC354BD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DBC68" w14:textId="4FD402AE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D1C1B0" w14:textId="7352CCBB" w:rsidR="003F7B80" w:rsidRPr="00DB04E0" w:rsidRDefault="003F7B80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124086">
              <w:rPr>
                <w:rFonts w:cs="Times New Roman"/>
                <w:sz w:val="24"/>
                <w:szCs w:val="24"/>
                <w:lang w:eastAsia="lv-LV"/>
              </w:rPr>
              <w:t>3 911 647</w:t>
            </w:r>
          </w:p>
        </w:tc>
      </w:tr>
      <w:tr w:rsidR="00124086" w:rsidRPr="00DB04E0" w14:paraId="10006134" w14:textId="77777777" w:rsidTr="003F7B80">
        <w:trPr>
          <w:gridAfter w:val="1"/>
          <w:wAfter w:w="100" w:type="pct"/>
          <w:cantSplit/>
          <w:trHeight w:val="241"/>
        </w:trPr>
        <w:tc>
          <w:tcPr>
            <w:tcW w:w="1596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EDC0EF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3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0F5E00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96034A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8E6D4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8C2EA7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69C21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124086" w:rsidRPr="00DB04E0" w14:paraId="27174664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9DB8BE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3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C53B59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29594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13D36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6106A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09D82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124086" w:rsidRPr="00DB04E0" w14:paraId="5F08B019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F42CB7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743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643FC6" w14:textId="77777777" w:rsidR="00A70A25" w:rsidRPr="00DB04E0" w:rsidRDefault="00A70A25" w:rsidP="00076812">
            <w:pPr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EF59DC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718FA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5F04F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0D718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4086" w:rsidRPr="00DB04E0" w14:paraId="3051DF4C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589D00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743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8BF4BF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92505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DFE4A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1560A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EB2E6" w14:textId="77777777" w:rsidR="00A70A25" w:rsidRPr="00DB04E0" w:rsidRDefault="00A70A25" w:rsidP="00076812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4086" w:rsidRPr="00DB04E0" w14:paraId="08CA8967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F033DC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743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02632D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A39088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CB3C7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9DB98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A2B43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124086" w:rsidRPr="00DB04E0" w14:paraId="5C1D32CC" w14:textId="77777777" w:rsidTr="003F7B80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5E2A6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743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4D6EB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45BC55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56BCE1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8DFD4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F848F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A70A25" w:rsidRPr="008814B7" w14:paraId="19B14A3E" w14:textId="77777777" w:rsidTr="00124086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29592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lastRenderedPageBreak/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304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E53054" w14:textId="270556BD" w:rsidR="00A70A25" w:rsidRPr="00A70A25" w:rsidRDefault="00A70A25" w:rsidP="00A70A25">
            <w:pPr>
              <w:jc w:val="both"/>
              <w:rPr>
                <w:rFonts w:cs="Times New Roman"/>
                <w:sz w:val="24"/>
                <w:szCs w:val="24"/>
              </w:rPr>
            </w:pPr>
            <w:r w:rsidRPr="00A70A25">
              <w:rPr>
                <w:rFonts w:cs="Times New Roman"/>
                <w:sz w:val="24"/>
                <w:szCs w:val="24"/>
              </w:rPr>
              <w:t>Atlīdzības palielinājums 201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A70A25">
              <w:rPr>
                <w:rFonts w:cs="Times New Roman"/>
                <w:sz w:val="24"/>
                <w:szCs w:val="24"/>
              </w:rPr>
              <w:t>.gad</w:t>
            </w:r>
            <w:r>
              <w:rPr>
                <w:rFonts w:cs="Times New Roman"/>
                <w:sz w:val="24"/>
                <w:szCs w:val="24"/>
              </w:rPr>
              <w:t>am</w:t>
            </w:r>
            <w:r w:rsidRPr="00A70A25">
              <w:rPr>
                <w:rFonts w:cs="Times New Roman"/>
                <w:sz w:val="24"/>
                <w:szCs w:val="24"/>
              </w:rPr>
              <w:t xml:space="preserve"> ir 3 911 647 EUR, ievērojot šādus aprēķinus:</w:t>
            </w:r>
          </w:p>
          <w:p w14:paraId="417BD916" w14:textId="79C6352F" w:rsidR="00A70A25" w:rsidRPr="00A70A25" w:rsidRDefault="00A70A25" w:rsidP="00C97B1C">
            <w:pPr>
              <w:tabs>
                <w:tab w:val="left" w:pos="17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70A25">
              <w:rPr>
                <w:rFonts w:cs="Times New Roman"/>
                <w:sz w:val="24"/>
                <w:szCs w:val="24"/>
              </w:rPr>
              <w:t>-</w:t>
            </w:r>
            <w:r w:rsidRPr="00A70A25">
              <w:rPr>
                <w:rFonts w:cs="Times New Roman"/>
                <w:sz w:val="24"/>
                <w:szCs w:val="24"/>
              </w:rPr>
              <w:tab/>
              <w:t xml:space="preserve">mēnešalgas palielinājumam par 50 EUR </w:t>
            </w:r>
            <w:r w:rsidR="00C97B1C">
              <w:rPr>
                <w:rFonts w:cs="Times New Roman"/>
                <w:sz w:val="24"/>
                <w:szCs w:val="24"/>
              </w:rPr>
              <w:t>–</w:t>
            </w:r>
            <w:r w:rsidRPr="00A70A25">
              <w:rPr>
                <w:rFonts w:cs="Times New Roman"/>
                <w:sz w:val="24"/>
                <w:szCs w:val="24"/>
              </w:rPr>
              <w:t xml:space="preserve"> </w:t>
            </w:r>
            <w:r w:rsidR="00C97B1C">
              <w:rPr>
                <w:rFonts w:cs="Times New Roman"/>
                <w:sz w:val="24"/>
                <w:szCs w:val="24"/>
              </w:rPr>
              <w:t>875 000</w:t>
            </w:r>
            <w:r w:rsidRPr="00A70A25">
              <w:rPr>
                <w:rFonts w:cs="Times New Roman"/>
                <w:sz w:val="24"/>
                <w:szCs w:val="24"/>
              </w:rPr>
              <w:t xml:space="preserve"> EUR (aprēķins: 5 834 karavīri * 50 EUR * 12 mēneši);</w:t>
            </w:r>
          </w:p>
          <w:p w14:paraId="16F1C3EE" w14:textId="539B85EB" w:rsidR="00A70A25" w:rsidRPr="00A70A25" w:rsidRDefault="00A70A25" w:rsidP="00C97B1C">
            <w:pPr>
              <w:tabs>
                <w:tab w:val="left" w:pos="20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70A25">
              <w:rPr>
                <w:rFonts w:cs="Times New Roman"/>
                <w:sz w:val="24"/>
                <w:szCs w:val="24"/>
              </w:rPr>
              <w:t>-</w:t>
            </w:r>
            <w:r w:rsidRPr="00A70A25">
              <w:rPr>
                <w:rFonts w:cs="Times New Roman"/>
                <w:sz w:val="24"/>
                <w:szCs w:val="24"/>
              </w:rPr>
              <w:tab/>
              <w:t xml:space="preserve">darba devēja VSAOI palielinājumam </w:t>
            </w:r>
            <w:r w:rsidR="00C97B1C">
              <w:rPr>
                <w:rFonts w:cs="Times New Roman"/>
                <w:sz w:val="24"/>
                <w:szCs w:val="24"/>
              </w:rPr>
              <w:t>210 788</w:t>
            </w:r>
            <w:r w:rsidRPr="00A70A25">
              <w:rPr>
                <w:rFonts w:cs="Times New Roman"/>
                <w:sz w:val="24"/>
                <w:szCs w:val="24"/>
              </w:rPr>
              <w:t xml:space="preserve"> EUR (aprēķins: </w:t>
            </w:r>
            <w:r w:rsidR="00C97B1C">
              <w:rPr>
                <w:rFonts w:cs="Times New Roman"/>
                <w:sz w:val="24"/>
                <w:szCs w:val="24"/>
              </w:rPr>
              <w:t>875 000</w:t>
            </w:r>
            <w:r w:rsidRPr="00A70A25">
              <w:rPr>
                <w:rFonts w:cs="Times New Roman"/>
                <w:sz w:val="24"/>
                <w:szCs w:val="24"/>
              </w:rPr>
              <w:t xml:space="preserve"> EUR * 24,09%).</w:t>
            </w:r>
          </w:p>
          <w:p w14:paraId="0448E996" w14:textId="3C036ED5" w:rsidR="00A70A25" w:rsidRDefault="00A70A25" w:rsidP="00A70A25">
            <w:pPr>
              <w:jc w:val="both"/>
              <w:rPr>
                <w:rFonts w:cs="Times New Roman"/>
                <w:sz w:val="24"/>
                <w:szCs w:val="24"/>
              </w:rPr>
            </w:pPr>
            <w:r w:rsidRPr="00A70A25">
              <w:rPr>
                <w:rFonts w:cs="Times New Roman"/>
                <w:sz w:val="24"/>
                <w:szCs w:val="24"/>
              </w:rPr>
              <w:t xml:space="preserve">Kopējā nepieciešamā summa </w:t>
            </w:r>
            <w:r w:rsidR="00C97B1C">
              <w:rPr>
                <w:rFonts w:cs="Times New Roman"/>
                <w:sz w:val="24"/>
                <w:szCs w:val="24"/>
              </w:rPr>
              <w:t>1 085</w:t>
            </w:r>
            <w:r w:rsidR="00124086">
              <w:rPr>
                <w:rFonts w:cs="Times New Roman"/>
                <w:sz w:val="24"/>
                <w:szCs w:val="24"/>
              </w:rPr>
              <w:t> </w:t>
            </w:r>
            <w:r w:rsidR="00C97B1C">
              <w:rPr>
                <w:rFonts w:cs="Times New Roman"/>
                <w:sz w:val="24"/>
                <w:szCs w:val="24"/>
              </w:rPr>
              <w:t>788</w:t>
            </w:r>
            <w:r w:rsidR="00124086">
              <w:rPr>
                <w:rFonts w:cs="Times New Roman"/>
                <w:sz w:val="24"/>
                <w:szCs w:val="24"/>
              </w:rPr>
              <w:t xml:space="preserve">, kas </w:t>
            </w:r>
            <w:r w:rsidRPr="00A70A25">
              <w:rPr>
                <w:rFonts w:cs="Times New Roman"/>
                <w:sz w:val="24"/>
                <w:szCs w:val="24"/>
              </w:rPr>
              <w:t xml:space="preserve">tiks segti </w:t>
            </w:r>
            <w:r w:rsidR="00124086">
              <w:rPr>
                <w:rFonts w:cs="Times New Roman"/>
                <w:sz w:val="24"/>
                <w:szCs w:val="24"/>
              </w:rPr>
              <w:t>no</w:t>
            </w:r>
            <w:r w:rsidRPr="00A70A25">
              <w:rPr>
                <w:rFonts w:cs="Times New Roman"/>
                <w:sz w:val="24"/>
                <w:szCs w:val="24"/>
              </w:rPr>
              <w:t xml:space="preserve"> vakantajam</w:t>
            </w:r>
            <w:r w:rsidR="00124086">
              <w:rPr>
                <w:rFonts w:cs="Times New Roman"/>
                <w:sz w:val="24"/>
                <w:szCs w:val="24"/>
              </w:rPr>
              <w:t xml:space="preserve"> amata</w:t>
            </w:r>
            <w:r w:rsidRPr="00A70A25">
              <w:rPr>
                <w:rFonts w:cs="Times New Roman"/>
                <w:sz w:val="24"/>
                <w:szCs w:val="24"/>
              </w:rPr>
              <w:t xml:space="preserve"> vietām pieejam</w:t>
            </w:r>
            <w:r w:rsidR="00124086">
              <w:rPr>
                <w:rFonts w:cs="Times New Roman"/>
                <w:sz w:val="24"/>
                <w:szCs w:val="24"/>
              </w:rPr>
              <w:t>ā</w:t>
            </w:r>
            <w:r w:rsidRPr="00A70A25">
              <w:rPr>
                <w:rFonts w:cs="Times New Roman"/>
                <w:sz w:val="24"/>
                <w:szCs w:val="24"/>
              </w:rPr>
              <w:t xml:space="preserve"> finansējum</w:t>
            </w:r>
            <w:r w:rsidR="00124086">
              <w:rPr>
                <w:rFonts w:cs="Times New Roman"/>
                <w:sz w:val="24"/>
                <w:szCs w:val="24"/>
              </w:rPr>
              <w:t>a</w:t>
            </w:r>
            <w:r w:rsidRPr="00A70A25">
              <w:rPr>
                <w:rFonts w:cs="Times New Roman"/>
                <w:sz w:val="24"/>
                <w:szCs w:val="24"/>
              </w:rPr>
              <w:t>.</w:t>
            </w:r>
          </w:p>
          <w:p w14:paraId="6ABFA2A4" w14:textId="77777777" w:rsidR="00124086" w:rsidRDefault="00124086" w:rsidP="00A70A2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29A22EE" w14:textId="77777777" w:rsidR="00A70A25" w:rsidRPr="00E733BF" w:rsidRDefault="00A70A25" w:rsidP="00A70A25">
            <w:pPr>
              <w:jc w:val="both"/>
              <w:rPr>
                <w:rFonts w:cs="Times New Roman"/>
                <w:sz w:val="24"/>
                <w:szCs w:val="24"/>
              </w:rPr>
            </w:pPr>
            <w:r w:rsidRPr="00E733BF">
              <w:rPr>
                <w:rFonts w:cs="Times New Roman"/>
                <w:sz w:val="24"/>
                <w:szCs w:val="24"/>
              </w:rPr>
              <w:t>Atlīdzības palielinājums 2018. un turpmākajos gados (ik gadu) ir 3 911 647 EUR, ievērojot šādus aprēķinus:</w:t>
            </w:r>
          </w:p>
          <w:p w14:paraId="3E3AB7F0" w14:textId="77777777" w:rsidR="00A70A25" w:rsidRPr="00E733BF" w:rsidRDefault="00A70A25" w:rsidP="00A70A25">
            <w:pPr>
              <w:pStyle w:val="ListParagraph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E733BF">
              <w:rPr>
                <w:rFonts w:cs="Times New Roman"/>
                <w:sz w:val="24"/>
                <w:szCs w:val="24"/>
              </w:rPr>
              <w:t>mēnešalgas palielinājumam par 50 EUR - 3 500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E733BF">
              <w:rPr>
                <w:rFonts w:cs="Times New Roman"/>
                <w:sz w:val="24"/>
                <w:szCs w:val="24"/>
              </w:rPr>
              <w:t>400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E733BF">
              <w:rPr>
                <w:rFonts w:cs="Times New Roman"/>
                <w:sz w:val="24"/>
                <w:szCs w:val="24"/>
              </w:rPr>
              <w:t>EUR (aprēķins: 5 834 karavīri * 50 EUR * 12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E733BF">
              <w:rPr>
                <w:rFonts w:cs="Times New Roman"/>
                <w:sz w:val="24"/>
                <w:szCs w:val="24"/>
              </w:rPr>
              <w:t>mēneši)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6DAF43DB" w14:textId="77777777" w:rsidR="00A70A25" w:rsidRPr="00E733BF" w:rsidRDefault="00A70A25" w:rsidP="00A70A25">
            <w:pPr>
              <w:pStyle w:val="ListParagraph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E733BF">
              <w:rPr>
                <w:rFonts w:cs="Times New Roman"/>
                <w:sz w:val="24"/>
                <w:szCs w:val="24"/>
              </w:rPr>
              <w:t>atvaļinājuma pabalsta pieaugumam 50% no atalgojuma - 145 850 EUR (aprēķins: 5 834 karavīri * 50</w:t>
            </w:r>
            <w:r>
              <w:rPr>
                <w:rFonts w:cs="Times New Roman"/>
                <w:sz w:val="24"/>
                <w:szCs w:val="24"/>
              </w:rPr>
              <w:t> EUR * 50%</w:t>
            </w:r>
            <w:r w:rsidRPr="00E733BF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7CB284F" w14:textId="77777777" w:rsidR="00A70A25" w:rsidRPr="00E733BF" w:rsidRDefault="00A70A25" w:rsidP="00A70A25">
            <w:pPr>
              <w:pStyle w:val="ListParagraph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E733BF">
              <w:rPr>
                <w:rFonts w:cs="Times New Roman"/>
                <w:sz w:val="24"/>
                <w:szCs w:val="24"/>
              </w:rPr>
              <w:t>darba devēja VSAOI palielinājumam 878 382 EUR (aprēķins: (3 500 400 EUR + 145 850 EUR) * 24,09%</w:t>
            </w:r>
            <w:r>
              <w:rPr>
                <w:rFonts w:cs="Times New Roman"/>
                <w:sz w:val="24"/>
                <w:szCs w:val="24"/>
              </w:rPr>
              <w:t>).</w:t>
            </w:r>
          </w:p>
          <w:p w14:paraId="4A1B7055" w14:textId="47D6535D" w:rsidR="00A70A25" w:rsidRPr="00DF6BF8" w:rsidRDefault="00A70A25" w:rsidP="00A70A25">
            <w:pPr>
              <w:ind w:firstLine="200"/>
              <w:jc w:val="both"/>
              <w:rPr>
                <w:rFonts w:cs="Times New Roman"/>
                <w:sz w:val="24"/>
                <w:szCs w:val="24"/>
                <w:lang w:eastAsia="lv-LV"/>
              </w:rPr>
            </w:pPr>
            <w:r w:rsidRPr="00E733BF">
              <w:rPr>
                <w:rFonts w:cs="Times New Roman"/>
                <w:sz w:val="24"/>
                <w:szCs w:val="24"/>
              </w:rPr>
              <w:t>Kopējā nepieciešamā summa 4 524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E733BF">
              <w:rPr>
                <w:rFonts w:cs="Times New Roman"/>
                <w:sz w:val="24"/>
                <w:szCs w:val="24"/>
              </w:rPr>
              <w:t>632</w:t>
            </w:r>
            <w:r>
              <w:rPr>
                <w:rFonts w:cs="Times New Roman"/>
                <w:sz w:val="24"/>
                <w:szCs w:val="24"/>
              </w:rPr>
              <w:t xml:space="preserve"> EUR</w:t>
            </w:r>
            <w:r w:rsidRPr="00E733BF">
              <w:rPr>
                <w:rFonts w:cs="Times New Roman"/>
                <w:sz w:val="24"/>
                <w:szCs w:val="24"/>
              </w:rPr>
              <w:t>, no tās 612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E733BF">
              <w:rPr>
                <w:rFonts w:cs="Times New Roman"/>
                <w:sz w:val="24"/>
                <w:szCs w:val="24"/>
              </w:rPr>
              <w:t>985</w:t>
            </w:r>
            <w:r>
              <w:rPr>
                <w:rFonts w:cs="Times New Roman"/>
                <w:sz w:val="24"/>
                <w:szCs w:val="24"/>
              </w:rPr>
              <w:t xml:space="preserve"> EUR</w:t>
            </w:r>
            <w:r w:rsidRPr="00E733BF">
              <w:rPr>
                <w:rFonts w:cs="Times New Roman"/>
                <w:sz w:val="24"/>
                <w:szCs w:val="24"/>
              </w:rPr>
              <w:t xml:space="preserve"> tiks segti samazinot piemaksām un vakantajam vietām pieejamo finansējumu 2018.gadā un turpmākajos gados.</w:t>
            </w:r>
          </w:p>
        </w:tc>
      </w:tr>
      <w:tr w:rsidR="00A70A25" w:rsidRPr="00DB04E0" w14:paraId="5A8E16B9" w14:textId="77777777" w:rsidTr="00124086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79EC70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3304" w:type="pct"/>
            <w:gridSpan w:val="6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05C33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A70A25" w:rsidRPr="00DB04E0" w14:paraId="1C46215E" w14:textId="77777777" w:rsidTr="00124086">
        <w:trPr>
          <w:gridAfter w:val="1"/>
          <w:wAfter w:w="100" w:type="pct"/>
          <w:cantSplit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0A9D56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DB04E0">
              <w:rPr>
                <w:rFonts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304" w:type="pct"/>
            <w:gridSpan w:val="6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42B5D2" w14:textId="77777777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3A39A8" w:rsidRPr="008814B7" w14:paraId="160D4C2F" w14:textId="77777777" w:rsidTr="00124086">
        <w:trPr>
          <w:gridAfter w:val="1"/>
          <w:wAfter w:w="100" w:type="pct"/>
          <w:cantSplit/>
          <w:trHeight w:val="555"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EFCC61" w14:textId="610F21E0" w:rsidR="003A39A8" w:rsidRPr="00DB04E0" w:rsidRDefault="003A39A8" w:rsidP="00076812">
            <w:pPr>
              <w:rPr>
                <w:rFonts w:cs="Times New Roman"/>
                <w:sz w:val="24"/>
                <w:szCs w:val="24"/>
              </w:rPr>
            </w:pPr>
            <w:r w:rsidRPr="00DB04E0">
              <w:rPr>
                <w:rFonts w:cs="Times New Roman"/>
                <w:sz w:val="24"/>
                <w:szCs w:val="24"/>
              </w:rPr>
              <w:t>7. Cita informācija</w:t>
            </w:r>
          </w:p>
        </w:tc>
        <w:tc>
          <w:tcPr>
            <w:tcW w:w="33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65104D" w14:textId="77777777" w:rsidR="003A39A8" w:rsidRPr="00355642" w:rsidRDefault="003A39A8" w:rsidP="003A39A8">
            <w:pPr>
              <w:jc w:val="both"/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Aizsardzības minis</w:t>
            </w:r>
            <w:r>
              <w:rPr>
                <w:rFonts w:cs="Times New Roman"/>
                <w:sz w:val="24"/>
                <w:szCs w:val="24"/>
              </w:rPr>
              <w:t xml:space="preserve">trija normatīvā akta projekta izpildi </w:t>
            </w:r>
            <w:r w:rsidRPr="00E733BF">
              <w:rPr>
                <w:rFonts w:cs="Times New Roman"/>
                <w:sz w:val="24"/>
                <w:szCs w:val="24"/>
              </w:rPr>
              <w:t>2017. gadā</w:t>
            </w:r>
            <w:r w:rsidRPr="00355642">
              <w:rPr>
                <w:rFonts w:cs="Times New Roman"/>
                <w:sz w:val="24"/>
                <w:szCs w:val="24"/>
              </w:rPr>
              <w:t xml:space="preserve"> īstenos atbilstoši tai piešķirtajiem valsts budžeta līdzekļiem no budžeta programmas 22.00.00 „Nacionālie bruņotie spēki” apakšprogramm</w:t>
            </w:r>
            <w:r w:rsidRPr="00E733BF">
              <w:rPr>
                <w:rFonts w:cs="Times New Roman"/>
                <w:sz w:val="24"/>
                <w:szCs w:val="24"/>
              </w:rPr>
              <w:t xml:space="preserve">ā 22.10.00 „Starptautisko operāciju un Nacionālo bruņoto spēku </w:t>
            </w:r>
            <w:r w:rsidRPr="00355642">
              <w:rPr>
                <w:rFonts w:cs="Times New Roman"/>
                <w:sz w:val="24"/>
                <w:szCs w:val="24"/>
              </w:rPr>
              <w:t xml:space="preserve">personālsastāva centralizētais atalgojums” paredzētā atlīdzības fonda ietvaros. </w:t>
            </w:r>
            <w:r w:rsidRPr="00E733BF">
              <w:rPr>
                <w:rFonts w:cs="Times New Roman"/>
                <w:sz w:val="24"/>
                <w:szCs w:val="24"/>
              </w:rPr>
              <w:t>Ņemot vērā 2017.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33BF">
              <w:rPr>
                <w:rFonts w:cs="Times New Roman"/>
                <w:sz w:val="24"/>
                <w:szCs w:val="24"/>
              </w:rPr>
              <w:t xml:space="preserve">gadā faktiski profesionālajam dienestam </w:t>
            </w:r>
            <w:proofErr w:type="spellStart"/>
            <w:r w:rsidRPr="00E733BF">
              <w:rPr>
                <w:rFonts w:cs="Times New Roman"/>
                <w:sz w:val="24"/>
                <w:szCs w:val="24"/>
              </w:rPr>
              <w:t>rekrutēto</w:t>
            </w:r>
            <w:proofErr w:type="spellEnd"/>
            <w:r w:rsidRPr="00E733BF">
              <w:rPr>
                <w:rFonts w:cs="Times New Roman"/>
                <w:sz w:val="24"/>
                <w:szCs w:val="24"/>
              </w:rPr>
              <w:t xml:space="preserve"> personu skaitu, un, salīdzinot to ar plānoto </w:t>
            </w:r>
            <w:proofErr w:type="spellStart"/>
            <w:r w:rsidRPr="00E733BF">
              <w:rPr>
                <w:rFonts w:cs="Times New Roman"/>
                <w:sz w:val="24"/>
                <w:szCs w:val="24"/>
              </w:rPr>
              <w:t>rekrutējamo</w:t>
            </w:r>
            <w:proofErr w:type="spellEnd"/>
            <w:r w:rsidRPr="00E733BF">
              <w:rPr>
                <w:rFonts w:cs="Times New Roman"/>
                <w:sz w:val="24"/>
                <w:szCs w:val="24"/>
              </w:rPr>
              <w:t xml:space="preserve"> skaitu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E733BF">
              <w:rPr>
                <w:rFonts w:cs="Times New Roman"/>
                <w:sz w:val="24"/>
                <w:szCs w:val="24"/>
              </w:rPr>
              <w:t xml:space="preserve"> </w:t>
            </w:r>
            <w:r w:rsidRPr="00C70317">
              <w:rPr>
                <w:rFonts w:cs="Times New Roman"/>
                <w:sz w:val="24"/>
                <w:szCs w:val="24"/>
              </w:rPr>
              <w:t xml:space="preserve">ir izveidojusies atlīdzības fonda līdzekļu ekonomija, kuru ir iespējams pārplānot </w:t>
            </w:r>
            <w:r w:rsidRPr="00E733BF">
              <w:rPr>
                <w:rFonts w:cs="Times New Roman"/>
                <w:sz w:val="24"/>
                <w:szCs w:val="24"/>
              </w:rPr>
              <w:t>dienestā esošo karavīru mēnešalgu paaugstināšanai, lai nodrošinātu adekvātu un konkurētspējīgu samaksu par aizvien pieaugošo darba apjomu un veicinātu interesi par dienestu Na</w:t>
            </w:r>
            <w:r>
              <w:rPr>
                <w:rFonts w:cs="Times New Roman"/>
                <w:sz w:val="24"/>
                <w:szCs w:val="24"/>
              </w:rPr>
              <w:t>cionālajos bruņotajos spēkos</w:t>
            </w:r>
            <w:r w:rsidRPr="00E733BF">
              <w:rPr>
                <w:rFonts w:cs="Times New Roman"/>
                <w:sz w:val="24"/>
                <w:szCs w:val="24"/>
              </w:rPr>
              <w:t>. Vienlaikus mēnešalgu izmaksai tiks novirzīti piemaksām plānotie līdzekļi, tādējādi izpildot Valsts kontroles ieteikumus un pabeidzot karavīru atlīdzības reformu.</w:t>
            </w:r>
          </w:p>
          <w:p w14:paraId="2E809628" w14:textId="21DA2A96" w:rsidR="003A39A8" w:rsidRPr="00ED20F0" w:rsidRDefault="003A39A8" w:rsidP="00A70A25">
            <w:pPr>
              <w:jc w:val="both"/>
              <w:rPr>
                <w:rFonts w:cs="Times New Roman"/>
                <w:sz w:val="24"/>
                <w:szCs w:val="24"/>
              </w:rPr>
            </w:pPr>
            <w:r w:rsidRPr="00E733BF">
              <w:rPr>
                <w:rFonts w:cs="Times New Roman"/>
                <w:sz w:val="24"/>
                <w:szCs w:val="24"/>
              </w:rPr>
              <w:t xml:space="preserve">2018. un turpmākajos gados </w:t>
            </w:r>
            <w:r w:rsidRPr="003F7B80">
              <w:rPr>
                <w:rFonts w:cs="Times New Roman"/>
                <w:sz w:val="24"/>
                <w:szCs w:val="24"/>
              </w:rPr>
              <w:t xml:space="preserve">normatīvā akta </w:t>
            </w:r>
            <w:r w:rsidRPr="00E733BF">
              <w:rPr>
                <w:rFonts w:cs="Times New Roman"/>
                <w:sz w:val="24"/>
                <w:szCs w:val="24"/>
              </w:rPr>
              <w:t>projekta īstenošanai nepieciešams veikt līdzekļu pārdali no Aizsardzības ministrijas budžeta apakšprogrammas 22.12.00 “Nacionālo bruņoto spēku uzturēšana” uz 22.10.00 “Starptautisko operāciju un Nacionālo bruņoto spēku personālsastāva centralizētais atalgojums”, par ko</w:t>
            </w:r>
            <w:r w:rsidRPr="00E733BF">
              <w:rPr>
                <w:rFonts w:cs="Times New Roman"/>
                <w:sz w:val="24"/>
                <w:szCs w:val="24"/>
              </w:rPr>
              <w:t xml:space="preserve"> </w:t>
            </w:r>
            <w:r w:rsidRPr="00E733BF">
              <w:rPr>
                <w:rFonts w:cs="Times New Roman"/>
                <w:sz w:val="24"/>
                <w:szCs w:val="24"/>
              </w:rPr>
              <w:t>Aizsardzības ministrija sagatavos un iesniegs Finanšu ministrijā attiecīgus priekšlikumus 2018. un turpmāko gadu budžetu bāzes precizēšanai.</w:t>
            </w:r>
          </w:p>
        </w:tc>
      </w:tr>
      <w:tr w:rsidR="00A70A25" w:rsidRPr="008814B7" w14:paraId="6553E9C5" w14:textId="77777777" w:rsidTr="00124086">
        <w:trPr>
          <w:gridAfter w:val="1"/>
          <w:wAfter w:w="100" w:type="pct"/>
          <w:cantSplit/>
          <w:trHeight w:val="555"/>
        </w:trPr>
        <w:tc>
          <w:tcPr>
            <w:tcW w:w="15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7AD217" w14:textId="6005FEDC" w:rsidR="00A70A25" w:rsidRPr="00DB04E0" w:rsidRDefault="00A70A25" w:rsidP="00076812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D4C0F" w14:textId="7432A67D" w:rsidR="00A70A25" w:rsidRPr="00355642" w:rsidRDefault="00A70A25" w:rsidP="00A70A25">
            <w:pPr>
              <w:jc w:val="both"/>
              <w:rPr>
                <w:rFonts w:cs="Times New Roman"/>
                <w:sz w:val="24"/>
                <w:szCs w:val="24"/>
              </w:rPr>
            </w:pPr>
            <w:r w:rsidRPr="00355642">
              <w:rPr>
                <w:rFonts w:cs="Times New Roman"/>
                <w:sz w:val="24"/>
                <w:szCs w:val="24"/>
              </w:rPr>
              <w:t xml:space="preserve">Šo </w:t>
            </w:r>
            <w:r w:rsidRPr="00E733BF">
              <w:rPr>
                <w:rFonts w:cs="Times New Roman"/>
                <w:sz w:val="24"/>
                <w:szCs w:val="24"/>
              </w:rPr>
              <w:t>vajadzību nodrošināšanai netiks piepras</w:t>
            </w:r>
            <w:r w:rsidRPr="00355642">
              <w:rPr>
                <w:rFonts w:cs="Times New Roman"/>
                <w:sz w:val="24"/>
                <w:szCs w:val="24"/>
              </w:rPr>
              <w:t>īti papildus finanšu resursi, bet veikta iekšējā finanšu resursu pārplānošana</w:t>
            </w:r>
            <w:r w:rsidR="00124086">
              <w:rPr>
                <w:rFonts w:cs="Times New Roman"/>
                <w:sz w:val="24"/>
                <w:szCs w:val="24"/>
              </w:rPr>
              <w:t>, pakāpeniskāk, nekā sākotnēji plānots, realizējot NBS spēju “Netiešā uguns atbalsta un operacionālā un taktiskā līmeņa izlūkošanas spēja”, kas saistīts ar sarežģīto iepirkumu dokumentācijas tulkošanu un apmācību nodrošināšanu spējas ietvaros</w:t>
            </w:r>
            <w:r w:rsidRPr="00355642">
              <w:rPr>
                <w:rFonts w:cs="Times New Roman"/>
                <w:sz w:val="24"/>
                <w:szCs w:val="24"/>
              </w:rPr>
              <w:t>.</w:t>
            </w:r>
          </w:p>
          <w:p w14:paraId="07DA8604" w14:textId="4C7E03A8" w:rsidR="00A70A25" w:rsidRPr="00DB04E0" w:rsidRDefault="00A70A25" w:rsidP="00A70A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25" w:rsidRPr="008814B7" w14:paraId="1D9B8EC8" w14:textId="77777777" w:rsidTr="003F7B80">
        <w:trPr>
          <w:gridAfter w:val="1"/>
          <w:wAfter w:w="100" w:type="pct"/>
          <w:cantSplit/>
          <w:trHeight w:val="101"/>
        </w:trPr>
        <w:tc>
          <w:tcPr>
            <w:tcW w:w="49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C0BBF" w14:textId="77777777" w:rsidR="00A70A25" w:rsidRPr="00DB04E0" w:rsidRDefault="00A70A25" w:rsidP="00076812">
            <w:pPr>
              <w:tabs>
                <w:tab w:val="left" w:pos="990"/>
              </w:tabs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124086" w:rsidRPr="00ED20F0" w14:paraId="435E3717" w14:textId="77777777" w:rsidTr="00124086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7" w:type="pct"/>
          <w:trHeight w:val="375"/>
          <w:tblCellSpacing w:w="15" w:type="dxa"/>
          <w:jc w:val="center"/>
        </w:trPr>
        <w:tc>
          <w:tcPr>
            <w:tcW w:w="49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D5FBA" w14:textId="77777777" w:rsidR="00124086" w:rsidRPr="00ED20F0" w:rsidRDefault="00124086" w:rsidP="0007681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D20F0">
              <w:rPr>
                <w:rFonts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124086" w:rsidRPr="00ED20F0" w14:paraId="4D962439" w14:textId="77777777" w:rsidTr="00124086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7" w:type="pct"/>
          <w:trHeight w:val="420"/>
          <w:tblCellSpacing w:w="15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44300" w14:textId="77777777" w:rsidR="00124086" w:rsidRPr="00ED20F0" w:rsidRDefault="00124086" w:rsidP="00076812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B2214" w14:textId="77777777" w:rsidR="00124086" w:rsidRPr="00ED20F0" w:rsidRDefault="00124086" w:rsidP="00076812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73342" w14:textId="77777777" w:rsidR="00124086" w:rsidRPr="00ED20F0" w:rsidRDefault="00124086" w:rsidP="00076812">
            <w:pPr>
              <w:jc w:val="both"/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Projekta izpildi nodrošinās Aizsardzības ministrija un Nacionālie bruņotie spēki normatīvajos aktos noteiktajā kārtībā</w:t>
            </w:r>
          </w:p>
        </w:tc>
      </w:tr>
      <w:tr w:rsidR="00124086" w:rsidRPr="00ED20F0" w14:paraId="5D4D7631" w14:textId="77777777" w:rsidTr="00124086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7" w:type="pct"/>
          <w:trHeight w:val="450"/>
          <w:tblCellSpacing w:w="15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86FDB" w14:textId="77777777" w:rsidR="00124086" w:rsidRPr="00ED20F0" w:rsidRDefault="00124086" w:rsidP="00076812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7F389" w14:textId="77777777" w:rsidR="00124086" w:rsidRPr="00ED20F0" w:rsidRDefault="00124086" w:rsidP="00076812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14:paraId="2976937B" w14:textId="77777777" w:rsidR="00124086" w:rsidRPr="00ED20F0" w:rsidRDefault="00124086" w:rsidP="00076812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32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49ED0" w14:textId="77777777" w:rsidR="00124086" w:rsidRPr="00ED20F0" w:rsidRDefault="00124086" w:rsidP="00076812">
            <w:pPr>
              <w:jc w:val="both"/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 xml:space="preserve">Projekta izpilde notiks esošo pārvaldes funkciju ietvaros. Veicamās funkcijas un uzdevumi netiek paplašināti vai sašaurināti </w:t>
            </w:r>
          </w:p>
        </w:tc>
      </w:tr>
      <w:tr w:rsidR="00124086" w:rsidRPr="00ED20F0" w14:paraId="759B73DE" w14:textId="77777777" w:rsidTr="00124086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57" w:type="pct"/>
          <w:trHeight w:val="390"/>
          <w:tblCellSpacing w:w="15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C0D77" w14:textId="77777777" w:rsidR="00124086" w:rsidRPr="00ED20F0" w:rsidRDefault="00124086" w:rsidP="00076812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D7BFF" w14:textId="77777777" w:rsidR="00124086" w:rsidRPr="00ED20F0" w:rsidRDefault="00124086" w:rsidP="00076812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Cita informācija</w:t>
            </w:r>
          </w:p>
        </w:tc>
        <w:tc>
          <w:tcPr>
            <w:tcW w:w="32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AE9E2" w14:textId="77777777" w:rsidR="00124086" w:rsidRPr="00ED20F0" w:rsidRDefault="00124086" w:rsidP="00076812">
            <w:pPr>
              <w:rPr>
                <w:rFonts w:cs="Times New Roman"/>
                <w:sz w:val="24"/>
                <w:szCs w:val="24"/>
              </w:rPr>
            </w:pPr>
            <w:r w:rsidRPr="00ED20F0">
              <w:rPr>
                <w:rFonts w:cs="Times New Roman"/>
                <w:sz w:val="24"/>
                <w:szCs w:val="24"/>
              </w:rPr>
              <w:t>Nav</w:t>
            </w:r>
          </w:p>
        </w:tc>
      </w:tr>
    </w:tbl>
    <w:p w14:paraId="135D9FD2" w14:textId="77777777" w:rsidR="00A70A25" w:rsidRDefault="00A70A25" w:rsidP="00403F45">
      <w:pPr>
        <w:rPr>
          <w:rFonts w:cs="Times New Roman"/>
          <w:i/>
          <w:sz w:val="24"/>
          <w:szCs w:val="24"/>
          <w:lang w:eastAsia="lv-LV" w:bidi="ar-SA"/>
        </w:rPr>
      </w:pPr>
    </w:p>
    <w:p w14:paraId="4E6530CE" w14:textId="4D76C9E1" w:rsidR="00364681" w:rsidRPr="00ED20F0" w:rsidRDefault="00790A41" w:rsidP="00403F45">
      <w:pPr>
        <w:rPr>
          <w:rFonts w:cs="Times New Roman"/>
          <w:sz w:val="24"/>
          <w:szCs w:val="24"/>
          <w:lang w:eastAsia="lv-LV" w:bidi="ar-SA"/>
        </w:rPr>
      </w:pPr>
      <w:r w:rsidRPr="00ED20F0">
        <w:rPr>
          <w:rFonts w:cs="Times New Roman"/>
          <w:i/>
          <w:sz w:val="24"/>
          <w:szCs w:val="24"/>
          <w:lang w:eastAsia="lv-LV" w:bidi="ar-SA"/>
        </w:rPr>
        <w:t>An</w:t>
      </w:r>
      <w:r w:rsidR="00D41263" w:rsidRPr="00ED20F0">
        <w:rPr>
          <w:rFonts w:cs="Times New Roman"/>
          <w:i/>
          <w:sz w:val="24"/>
          <w:szCs w:val="24"/>
          <w:lang w:eastAsia="lv-LV" w:bidi="ar-SA"/>
        </w:rPr>
        <w:t>otācijas</w:t>
      </w:r>
      <w:proofErr w:type="gramStart"/>
      <w:r w:rsidRPr="00ED20F0">
        <w:rPr>
          <w:rFonts w:cs="Times New Roman"/>
          <w:i/>
          <w:sz w:val="24"/>
          <w:szCs w:val="24"/>
          <w:lang w:eastAsia="lv-LV" w:bidi="ar-SA"/>
        </w:rPr>
        <w:t xml:space="preserve"> </w:t>
      </w:r>
      <w:r w:rsidR="00712AA9" w:rsidRPr="00ED20F0">
        <w:rPr>
          <w:rFonts w:cs="Times New Roman"/>
          <w:i/>
          <w:sz w:val="24"/>
          <w:szCs w:val="24"/>
          <w:lang w:eastAsia="lv-LV" w:bidi="ar-SA"/>
        </w:rPr>
        <w:t xml:space="preserve"> </w:t>
      </w:r>
      <w:proofErr w:type="gramEnd"/>
      <w:r w:rsidR="00715107" w:rsidRPr="00ED20F0">
        <w:rPr>
          <w:rFonts w:cs="Times New Roman"/>
          <w:i/>
          <w:sz w:val="24"/>
          <w:szCs w:val="24"/>
          <w:lang w:eastAsia="lv-LV" w:bidi="ar-SA"/>
        </w:rPr>
        <w:t xml:space="preserve">IV, </w:t>
      </w:r>
      <w:r w:rsidR="001E7CA9" w:rsidRPr="00ED20F0">
        <w:rPr>
          <w:rFonts w:cs="Times New Roman"/>
          <w:i/>
          <w:sz w:val="24"/>
          <w:szCs w:val="24"/>
          <w:lang w:eastAsia="lv-LV" w:bidi="ar-SA"/>
        </w:rPr>
        <w:t>V un VI sadaļa – projekts šīs jomas</w:t>
      </w:r>
      <w:r w:rsidR="00FD1311" w:rsidRPr="00ED20F0">
        <w:rPr>
          <w:rFonts w:cs="Times New Roman"/>
          <w:i/>
          <w:sz w:val="24"/>
          <w:szCs w:val="24"/>
          <w:lang w:eastAsia="lv-LV" w:bidi="ar-SA"/>
        </w:rPr>
        <w:t xml:space="preserve"> neskar</w:t>
      </w:r>
      <w:r w:rsidR="00D07F2B" w:rsidRPr="00ED20F0">
        <w:rPr>
          <w:rFonts w:cs="Times New Roman"/>
          <w:i/>
          <w:sz w:val="24"/>
          <w:szCs w:val="24"/>
          <w:lang w:eastAsia="lv-LV" w:bidi="ar-SA"/>
        </w:rPr>
        <w:t>.</w:t>
      </w:r>
    </w:p>
    <w:p w14:paraId="56C64A61" w14:textId="77777777" w:rsidR="007A2BEC" w:rsidRPr="00ED20F0" w:rsidRDefault="007A2BEC" w:rsidP="007A2BEC">
      <w:pPr>
        <w:tabs>
          <w:tab w:val="left" w:pos="3090"/>
        </w:tabs>
        <w:rPr>
          <w:rFonts w:cs="Times New Roman"/>
          <w:sz w:val="24"/>
          <w:szCs w:val="24"/>
          <w:lang w:eastAsia="lv-LV" w:bidi="ar-SA"/>
        </w:rPr>
      </w:pPr>
    </w:p>
    <w:p w14:paraId="1C23D8B0" w14:textId="77777777" w:rsidR="007A2BEC" w:rsidRPr="00ED20F0" w:rsidRDefault="007A2BEC" w:rsidP="007A2BEC">
      <w:pPr>
        <w:tabs>
          <w:tab w:val="left" w:pos="3090"/>
        </w:tabs>
        <w:rPr>
          <w:rFonts w:cs="Times New Roman"/>
          <w:sz w:val="24"/>
          <w:szCs w:val="24"/>
          <w:lang w:eastAsia="lv-LV" w:bidi="ar-SA"/>
        </w:rPr>
      </w:pPr>
    </w:p>
    <w:p w14:paraId="383161FC" w14:textId="34E8B82A" w:rsidR="00790A41" w:rsidRPr="00ED20F0" w:rsidRDefault="00790A41" w:rsidP="007A2BEC">
      <w:pPr>
        <w:tabs>
          <w:tab w:val="left" w:pos="3090"/>
        </w:tabs>
        <w:rPr>
          <w:rFonts w:cs="Times New Roman"/>
          <w:sz w:val="24"/>
          <w:szCs w:val="24"/>
          <w:lang w:eastAsia="lv-LV" w:bidi="ar-SA"/>
        </w:rPr>
      </w:pPr>
      <w:r w:rsidRPr="00ED20F0">
        <w:rPr>
          <w:rFonts w:cs="Times New Roman"/>
          <w:sz w:val="24"/>
          <w:szCs w:val="24"/>
          <w:lang w:eastAsia="lv-LV" w:bidi="ar-SA"/>
        </w:rPr>
        <w:t>Aizsardzības ministrs</w:t>
      </w:r>
      <w:r w:rsidR="00C67C28" w:rsidRPr="00ED20F0">
        <w:rPr>
          <w:rFonts w:cs="Times New Roman"/>
          <w:sz w:val="24"/>
          <w:szCs w:val="24"/>
          <w:lang w:eastAsia="lv-LV" w:bidi="ar-SA"/>
        </w:rPr>
        <w:tab/>
      </w:r>
      <w:r w:rsidR="00C67C28" w:rsidRPr="00ED20F0">
        <w:rPr>
          <w:rFonts w:cs="Times New Roman"/>
          <w:sz w:val="24"/>
          <w:szCs w:val="24"/>
          <w:lang w:eastAsia="lv-LV" w:bidi="ar-SA"/>
        </w:rPr>
        <w:tab/>
      </w:r>
      <w:r w:rsidR="00C67C28" w:rsidRPr="00ED20F0">
        <w:rPr>
          <w:rFonts w:cs="Times New Roman"/>
          <w:sz w:val="24"/>
          <w:szCs w:val="24"/>
          <w:lang w:eastAsia="lv-LV" w:bidi="ar-SA"/>
        </w:rPr>
        <w:tab/>
      </w:r>
      <w:r w:rsidR="005D51D3" w:rsidRPr="00ED20F0">
        <w:rPr>
          <w:rFonts w:cs="Times New Roman"/>
          <w:sz w:val="24"/>
          <w:szCs w:val="24"/>
          <w:lang w:eastAsia="lv-LV" w:bidi="ar-SA"/>
        </w:rPr>
        <w:tab/>
      </w:r>
      <w:r w:rsidR="005D51D3" w:rsidRPr="00ED20F0">
        <w:rPr>
          <w:rFonts w:cs="Times New Roman"/>
          <w:sz w:val="24"/>
          <w:szCs w:val="24"/>
          <w:lang w:eastAsia="lv-LV" w:bidi="ar-SA"/>
        </w:rPr>
        <w:tab/>
      </w:r>
      <w:r w:rsidR="00ED20F0">
        <w:rPr>
          <w:rFonts w:cs="Times New Roman"/>
          <w:sz w:val="24"/>
          <w:szCs w:val="24"/>
          <w:lang w:eastAsia="lv-LV" w:bidi="ar-SA"/>
        </w:rPr>
        <w:tab/>
      </w:r>
      <w:r w:rsidR="00B54D76" w:rsidRPr="00ED20F0">
        <w:rPr>
          <w:rFonts w:cs="Times New Roman"/>
          <w:sz w:val="24"/>
          <w:szCs w:val="24"/>
          <w:lang w:eastAsia="lv-LV" w:bidi="ar-SA"/>
        </w:rPr>
        <w:t>R.Bergma</w:t>
      </w:r>
      <w:r w:rsidRPr="00ED20F0">
        <w:rPr>
          <w:rFonts w:cs="Times New Roman"/>
          <w:sz w:val="24"/>
          <w:szCs w:val="24"/>
          <w:lang w:eastAsia="lv-LV" w:bidi="ar-SA"/>
        </w:rPr>
        <w:t xml:space="preserve">nis </w:t>
      </w:r>
    </w:p>
    <w:p w14:paraId="70CD498B" w14:textId="77777777" w:rsidR="007568C6" w:rsidRDefault="00055AF4" w:rsidP="007568C6">
      <w:pPr>
        <w:ind w:left="-709"/>
        <w:rPr>
          <w:rFonts w:cs="Times New Roman"/>
          <w:sz w:val="24"/>
          <w:szCs w:val="24"/>
          <w:lang w:eastAsia="lv-LV" w:bidi="ar-SA"/>
        </w:rPr>
      </w:pPr>
      <w:r w:rsidRPr="00ED20F0">
        <w:rPr>
          <w:rFonts w:cs="Times New Roman"/>
          <w:sz w:val="24"/>
          <w:szCs w:val="24"/>
          <w:lang w:eastAsia="lv-LV" w:bidi="ar-SA"/>
        </w:rPr>
        <w:t xml:space="preserve">     </w:t>
      </w:r>
    </w:p>
    <w:p w14:paraId="1A1E9191" w14:textId="77777777" w:rsidR="00110CF7" w:rsidRDefault="00110CF7" w:rsidP="007568C6">
      <w:pPr>
        <w:ind w:left="-709"/>
        <w:rPr>
          <w:rFonts w:cs="Times New Roman"/>
          <w:sz w:val="24"/>
          <w:szCs w:val="24"/>
          <w:lang w:eastAsia="lv-LV" w:bidi="ar-SA"/>
        </w:rPr>
      </w:pPr>
    </w:p>
    <w:p w14:paraId="21C33275" w14:textId="77777777" w:rsidR="00110CF7" w:rsidRPr="00ED20F0" w:rsidRDefault="00110CF7" w:rsidP="007568C6">
      <w:pPr>
        <w:ind w:left="-709"/>
        <w:rPr>
          <w:rFonts w:cs="Times New Roman"/>
          <w:sz w:val="24"/>
          <w:szCs w:val="24"/>
          <w:lang w:eastAsia="lv-LV" w:bidi="ar-SA"/>
        </w:rPr>
      </w:pPr>
    </w:p>
    <w:p w14:paraId="0E8B3B0E" w14:textId="5EEE01E4" w:rsidR="00790A41" w:rsidRPr="00ED20F0" w:rsidRDefault="007568C6" w:rsidP="00403F45">
      <w:pPr>
        <w:ind w:left="-284"/>
        <w:rPr>
          <w:rFonts w:cs="Times New Roman"/>
          <w:sz w:val="24"/>
          <w:szCs w:val="24"/>
          <w:lang w:eastAsia="lv-LV" w:bidi="ar-SA"/>
        </w:rPr>
      </w:pPr>
      <w:r w:rsidRPr="00ED20F0">
        <w:rPr>
          <w:rFonts w:cs="Times New Roman"/>
          <w:sz w:val="24"/>
          <w:szCs w:val="24"/>
          <w:lang w:eastAsia="lv-LV" w:bidi="ar-SA"/>
        </w:rPr>
        <w:t xml:space="preserve">    </w:t>
      </w:r>
      <w:r w:rsidR="00790A41" w:rsidRPr="00ED20F0">
        <w:rPr>
          <w:rFonts w:cs="Times New Roman"/>
          <w:sz w:val="24"/>
          <w:szCs w:val="24"/>
          <w:lang w:eastAsia="lv-LV" w:bidi="ar-SA"/>
        </w:rPr>
        <w:t xml:space="preserve">Vīza: Valsts </w:t>
      </w:r>
      <w:r w:rsidR="00976F58" w:rsidRPr="00ED20F0">
        <w:rPr>
          <w:rFonts w:cs="Times New Roman"/>
          <w:sz w:val="24"/>
          <w:szCs w:val="24"/>
          <w:lang w:eastAsia="lv-LV" w:bidi="ar-SA"/>
        </w:rPr>
        <w:t>sekretārs</w:t>
      </w:r>
      <w:r w:rsidR="00C67C28" w:rsidRPr="00ED20F0">
        <w:rPr>
          <w:rFonts w:cs="Times New Roman"/>
          <w:sz w:val="24"/>
          <w:szCs w:val="24"/>
          <w:lang w:eastAsia="lv-LV" w:bidi="ar-SA"/>
        </w:rPr>
        <w:tab/>
      </w:r>
      <w:r w:rsidR="00C67C28" w:rsidRPr="00ED20F0">
        <w:rPr>
          <w:rFonts w:cs="Times New Roman"/>
          <w:sz w:val="24"/>
          <w:szCs w:val="24"/>
          <w:lang w:eastAsia="lv-LV" w:bidi="ar-SA"/>
        </w:rPr>
        <w:tab/>
      </w:r>
      <w:r w:rsidR="00C67C28" w:rsidRPr="00ED20F0">
        <w:rPr>
          <w:rFonts w:cs="Times New Roman"/>
          <w:sz w:val="24"/>
          <w:szCs w:val="24"/>
          <w:lang w:eastAsia="lv-LV" w:bidi="ar-SA"/>
        </w:rPr>
        <w:tab/>
      </w:r>
      <w:r w:rsidR="00C67C28" w:rsidRPr="00ED20F0">
        <w:rPr>
          <w:rFonts w:cs="Times New Roman"/>
          <w:sz w:val="24"/>
          <w:szCs w:val="24"/>
          <w:lang w:eastAsia="lv-LV" w:bidi="ar-SA"/>
        </w:rPr>
        <w:tab/>
      </w:r>
      <w:r w:rsidR="00C67C28" w:rsidRPr="00ED20F0">
        <w:rPr>
          <w:rFonts w:cs="Times New Roman"/>
          <w:sz w:val="24"/>
          <w:szCs w:val="24"/>
          <w:lang w:eastAsia="lv-LV" w:bidi="ar-SA"/>
        </w:rPr>
        <w:tab/>
      </w:r>
      <w:r w:rsidR="00ED20F0">
        <w:rPr>
          <w:rFonts w:cs="Times New Roman"/>
          <w:sz w:val="24"/>
          <w:szCs w:val="24"/>
          <w:lang w:eastAsia="lv-LV" w:bidi="ar-SA"/>
        </w:rPr>
        <w:tab/>
      </w:r>
      <w:r w:rsidR="00ED20F0">
        <w:rPr>
          <w:rFonts w:cs="Times New Roman"/>
          <w:sz w:val="24"/>
          <w:szCs w:val="24"/>
          <w:lang w:eastAsia="lv-LV" w:bidi="ar-SA"/>
        </w:rPr>
        <w:tab/>
      </w:r>
      <w:r w:rsidR="00B54D76" w:rsidRPr="00ED20F0">
        <w:rPr>
          <w:rFonts w:cs="Times New Roman"/>
          <w:sz w:val="24"/>
          <w:szCs w:val="24"/>
          <w:lang w:eastAsia="lv-LV" w:bidi="ar-SA"/>
        </w:rPr>
        <w:t>J.Garisons</w:t>
      </w:r>
    </w:p>
    <w:p w14:paraId="02EDCD92" w14:textId="77777777" w:rsidR="00D07515" w:rsidRDefault="00D07515" w:rsidP="00D07515">
      <w:pPr>
        <w:rPr>
          <w:rFonts w:cs="Times New Roman"/>
          <w:lang w:eastAsia="lv-LV" w:bidi="ar-SA"/>
        </w:rPr>
      </w:pPr>
    </w:p>
    <w:p w14:paraId="536A6BB9" w14:textId="77777777" w:rsidR="007A2BEC" w:rsidRDefault="007A2BEC" w:rsidP="00D07515">
      <w:pPr>
        <w:rPr>
          <w:rFonts w:cs="Times New Roman"/>
          <w:lang w:eastAsia="lv-LV" w:bidi="ar-SA"/>
        </w:rPr>
      </w:pPr>
    </w:p>
    <w:p w14:paraId="5DE71C86" w14:textId="77777777" w:rsidR="00ED20F0" w:rsidRDefault="00ED20F0" w:rsidP="00D07515">
      <w:pPr>
        <w:rPr>
          <w:rFonts w:cs="Times New Roman"/>
          <w:lang w:eastAsia="lv-LV" w:bidi="ar-SA"/>
        </w:rPr>
      </w:pPr>
    </w:p>
    <w:p w14:paraId="063E2B75" w14:textId="77777777" w:rsidR="00ED20F0" w:rsidRDefault="00ED20F0" w:rsidP="00D07515">
      <w:pPr>
        <w:rPr>
          <w:rFonts w:cs="Times New Roman"/>
          <w:lang w:eastAsia="lv-LV" w:bidi="ar-SA"/>
        </w:rPr>
      </w:pPr>
    </w:p>
    <w:p w14:paraId="1A15D4C3" w14:textId="77777777" w:rsidR="00ED20F0" w:rsidRDefault="00ED20F0" w:rsidP="00D07515">
      <w:pPr>
        <w:rPr>
          <w:rFonts w:cs="Times New Roman"/>
          <w:lang w:eastAsia="lv-LV" w:bidi="ar-SA"/>
        </w:rPr>
      </w:pPr>
    </w:p>
    <w:p w14:paraId="52900B97" w14:textId="77777777" w:rsidR="00ED20F0" w:rsidRDefault="00ED20F0" w:rsidP="00D07515">
      <w:pPr>
        <w:rPr>
          <w:rFonts w:cs="Times New Roman"/>
          <w:lang w:eastAsia="lv-LV" w:bidi="ar-SA"/>
        </w:rPr>
      </w:pPr>
    </w:p>
    <w:p w14:paraId="1AD199AD" w14:textId="77777777" w:rsidR="00ED20F0" w:rsidRDefault="00ED20F0" w:rsidP="00D07515">
      <w:pPr>
        <w:rPr>
          <w:rFonts w:cs="Times New Roman"/>
          <w:lang w:eastAsia="lv-LV" w:bidi="ar-SA"/>
        </w:rPr>
      </w:pPr>
      <w:bookmarkStart w:id="1" w:name="_GoBack"/>
      <w:bookmarkEnd w:id="1"/>
    </w:p>
    <w:p w14:paraId="76013F10" w14:textId="77777777" w:rsidR="00ED20F0" w:rsidRDefault="00ED20F0" w:rsidP="00D07515">
      <w:pPr>
        <w:rPr>
          <w:rFonts w:cs="Times New Roman"/>
          <w:lang w:eastAsia="lv-LV" w:bidi="ar-SA"/>
        </w:rPr>
      </w:pPr>
    </w:p>
    <w:p w14:paraId="1A9B3C10" w14:textId="58CF5AFE" w:rsidR="007A2BEC" w:rsidRPr="00D07515" w:rsidRDefault="00ED20F0" w:rsidP="00ED20F0">
      <w:pPr>
        <w:tabs>
          <w:tab w:val="left" w:pos="6030"/>
        </w:tabs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tab/>
      </w:r>
    </w:p>
    <w:p w14:paraId="4A978C2C" w14:textId="77777777" w:rsidR="00500588" w:rsidRDefault="00500588" w:rsidP="00D07515">
      <w:pPr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fldChar w:fldCharType="begin"/>
      </w:r>
      <w:r>
        <w:rPr>
          <w:rFonts w:cs="Times New Roman"/>
          <w:lang w:eastAsia="lv-LV" w:bidi="ar-SA"/>
        </w:rPr>
        <w:instrText xml:space="preserve"> TIME \@ "dd.MM.yyyy H:mm" </w:instrText>
      </w:r>
      <w:r>
        <w:rPr>
          <w:rFonts w:cs="Times New Roman"/>
          <w:lang w:eastAsia="lv-LV" w:bidi="ar-SA"/>
        </w:rPr>
        <w:fldChar w:fldCharType="separate"/>
      </w:r>
      <w:r w:rsidR="003A39A8">
        <w:rPr>
          <w:rFonts w:cs="Times New Roman"/>
          <w:noProof/>
          <w:lang w:eastAsia="lv-LV" w:bidi="ar-SA"/>
        </w:rPr>
        <w:t>15.08.2017 15:43</w:t>
      </w:r>
      <w:r>
        <w:rPr>
          <w:rFonts w:cs="Times New Roman"/>
          <w:lang w:eastAsia="lv-LV" w:bidi="ar-SA"/>
        </w:rPr>
        <w:fldChar w:fldCharType="end"/>
      </w:r>
    </w:p>
    <w:p w14:paraId="56226350" w14:textId="77777777" w:rsidR="00500588" w:rsidRDefault="00500588" w:rsidP="00D07515">
      <w:pPr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fldChar w:fldCharType="begin"/>
      </w:r>
      <w:r>
        <w:rPr>
          <w:rFonts w:cs="Times New Roman"/>
          <w:lang w:eastAsia="lv-LV" w:bidi="ar-SA"/>
        </w:rPr>
        <w:instrText xml:space="preserve"> NUMWORDS   \* MERGEFORMAT </w:instrText>
      </w:r>
      <w:r>
        <w:rPr>
          <w:rFonts w:cs="Times New Roman"/>
          <w:lang w:eastAsia="lv-LV" w:bidi="ar-SA"/>
        </w:rPr>
        <w:fldChar w:fldCharType="separate"/>
      </w:r>
      <w:r w:rsidR="000D4B45">
        <w:rPr>
          <w:rFonts w:cs="Times New Roman"/>
          <w:noProof/>
          <w:lang w:eastAsia="lv-LV" w:bidi="ar-SA"/>
        </w:rPr>
        <w:t>1304</w:t>
      </w:r>
      <w:r>
        <w:rPr>
          <w:rFonts w:cs="Times New Roman"/>
          <w:lang w:eastAsia="lv-LV" w:bidi="ar-SA"/>
        </w:rPr>
        <w:fldChar w:fldCharType="end"/>
      </w:r>
    </w:p>
    <w:p w14:paraId="299A81F5" w14:textId="0048E296" w:rsidR="00C67C28" w:rsidRDefault="00C67C28" w:rsidP="00D07515">
      <w:pPr>
        <w:rPr>
          <w:rFonts w:cs="Times New Roman"/>
          <w:lang w:eastAsia="lv-LV" w:bidi="ar-SA"/>
        </w:rPr>
      </w:pPr>
      <w:proofErr w:type="spellStart"/>
      <w:r>
        <w:rPr>
          <w:rFonts w:cs="Times New Roman"/>
          <w:lang w:eastAsia="lv-LV" w:bidi="ar-SA"/>
        </w:rPr>
        <w:t>I.Jursiņa-Videmane</w:t>
      </w:r>
      <w:proofErr w:type="spellEnd"/>
    </w:p>
    <w:p w14:paraId="522EE83C" w14:textId="199B05F8" w:rsidR="00C67C28" w:rsidRDefault="00C67C28" w:rsidP="00D07515">
      <w:pPr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t>6733516</w:t>
      </w:r>
      <w:r w:rsidR="00A0446E">
        <w:rPr>
          <w:rFonts w:cs="Times New Roman"/>
          <w:lang w:eastAsia="lv-LV" w:bidi="ar-SA"/>
        </w:rPr>
        <w:t>2</w:t>
      </w:r>
    </w:p>
    <w:p w14:paraId="0E33F286" w14:textId="5D8FA204" w:rsidR="00636B85" w:rsidRPr="00D07515" w:rsidRDefault="00636B85" w:rsidP="00D07515">
      <w:pPr>
        <w:rPr>
          <w:rFonts w:cs="Times New Roman"/>
          <w:lang w:eastAsia="lv-LV" w:bidi="ar-SA"/>
        </w:rPr>
      </w:pPr>
      <w:r w:rsidRPr="00636B85">
        <w:rPr>
          <w:rFonts w:cs="Times New Roman"/>
        </w:rPr>
        <w:t xml:space="preserve">e-pasta adrese: </w:t>
      </w:r>
      <w:r w:rsidR="00C67C28">
        <w:rPr>
          <w:rFonts w:cs="Times New Roman"/>
        </w:rPr>
        <w:t>ineta.jursina@mod.gov.lv</w:t>
      </w:r>
    </w:p>
    <w:sectPr w:rsidR="00636B85" w:rsidRPr="00D07515" w:rsidSect="0056171E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680" w:footer="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14CAA8" w15:done="0"/>
  <w15:commentEx w15:paraId="6FAD2C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0788B" w14:textId="77777777" w:rsidR="00EF6AF3" w:rsidRDefault="00EF6AF3" w:rsidP="00721C60">
      <w:r>
        <w:separator/>
      </w:r>
    </w:p>
  </w:endnote>
  <w:endnote w:type="continuationSeparator" w:id="0">
    <w:p w14:paraId="6C94B3FC" w14:textId="77777777" w:rsidR="00EF6AF3" w:rsidRDefault="00EF6AF3" w:rsidP="007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C801" w14:textId="7C8DD733" w:rsidR="00D036E1" w:rsidRPr="00F72CEF" w:rsidRDefault="0056171E" w:rsidP="00F72CEF">
    <w:pPr>
      <w:ind w:left="-284" w:right="-341"/>
      <w:jc w:val="both"/>
      <w:rPr>
        <w:rFonts w:cs="Times New Roman"/>
        <w:lang w:eastAsia="lv-LV" w:bidi="ar-SA"/>
      </w:rPr>
    </w:pPr>
    <w:r>
      <w:rPr>
        <w:rFonts w:cs="Times New Roman"/>
        <w:lang w:eastAsia="lv-LV" w:bidi="ar-SA"/>
      </w:rPr>
      <w:fldChar w:fldCharType="begin"/>
    </w:r>
    <w:r>
      <w:rPr>
        <w:rFonts w:cs="Times New Roman"/>
        <w:lang w:eastAsia="lv-LV" w:bidi="ar-SA"/>
      </w:rPr>
      <w:instrText xml:space="preserve"> FILENAME   \* MERGEFORMAT </w:instrText>
    </w:r>
    <w:r>
      <w:rPr>
        <w:rFonts w:cs="Times New Roman"/>
        <w:lang w:eastAsia="lv-LV" w:bidi="ar-SA"/>
      </w:rPr>
      <w:fldChar w:fldCharType="separate"/>
    </w:r>
    <w:r w:rsidR="003A39A8">
      <w:rPr>
        <w:rFonts w:cs="Times New Roman"/>
        <w:noProof/>
        <w:lang w:eastAsia="lv-LV" w:bidi="ar-SA"/>
      </w:rPr>
      <w:t>AIMAnot_150817.docx</w:t>
    </w:r>
    <w:r>
      <w:rPr>
        <w:rFonts w:cs="Times New Roman"/>
        <w:lang w:eastAsia="lv-LV" w:bidi="ar-SA"/>
      </w:rPr>
      <w:fldChar w:fldCharType="end"/>
    </w:r>
    <w:r w:rsidR="00D036E1" w:rsidRPr="00055AF4">
      <w:rPr>
        <w:rFonts w:cs="Times New Roman"/>
        <w:lang w:eastAsia="lv-LV" w:bidi="ar-SA"/>
      </w:rPr>
      <w:t xml:space="preserve">; </w:t>
    </w:r>
    <w:r w:rsidR="00F72CEF" w:rsidRPr="00F72CEF">
      <w:rPr>
        <w:rFonts w:cs="Times New Roman"/>
        <w:lang w:eastAsia="lv-LV" w:bidi="ar-SA"/>
      </w:rPr>
      <w:t>Ministru kabineta noteikumu projekta</w:t>
    </w:r>
    <w:r w:rsidR="00F72CEF">
      <w:rPr>
        <w:rFonts w:cs="Times New Roman"/>
        <w:lang w:eastAsia="lv-LV" w:bidi="ar-SA"/>
      </w:rPr>
      <w:t xml:space="preserve"> </w:t>
    </w:r>
    <w:r w:rsidR="00636B85">
      <w:rPr>
        <w:rFonts w:cs="Times New Roman"/>
        <w:lang w:eastAsia="lv-LV" w:bidi="ar-SA"/>
      </w:rPr>
      <w:t>„Grozījums</w:t>
    </w:r>
    <w:r w:rsidR="00F72CEF" w:rsidRPr="00F72CEF">
      <w:rPr>
        <w:rFonts w:cs="Times New Roman"/>
        <w:lang w:eastAsia="lv-LV" w:bidi="ar-SA"/>
      </w:rPr>
      <w:t xml:space="preserve"> Ministru kabineta 2014.</w:t>
    </w:r>
    <w:r w:rsidR="001E07B4">
      <w:rPr>
        <w:rFonts w:cs="Times New Roman"/>
        <w:lang w:eastAsia="lv-LV" w:bidi="ar-SA"/>
      </w:rPr>
      <w:t xml:space="preserve"> </w:t>
    </w:r>
    <w:r w:rsidR="00F72CEF" w:rsidRPr="00F72CEF">
      <w:rPr>
        <w:rFonts w:cs="Times New Roman"/>
        <w:lang w:eastAsia="lv-LV" w:bidi="ar-SA"/>
      </w:rPr>
      <w:t>gada</w:t>
    </w:r>
    <w:r w:rsidR="00723FED">
      <w:rPr>
        <w:rFonts w:cs="Times New Roman"/>
        <w:lang w:eastAsia="lv-LV" w:bidi="ar-SA"/>
      </w:rPr>
      <w:t xml:space="preserve"> </w:t>
    </w:r>
    <w:r w:rsidR="00F72CEF" w:rsidRPr="00F72CEF">
      <w:rPr>
        <w:rFonts w:cs="Times New Roman"/>
        <w:lang w:eastAsia="lv-LV" w:bidi="ar-SA"/>
      </w:rPr>
      <w:t>26.</w:t>
    </w:r>
    <w:r w:rsidR="001E07B4">
      <w:rPr>
        <w:rFonts w:cs="Times New Roman"/>
        <w:lang w:eastAsia="lv-LV" w:bidi="ar-SA"/>
      </w:rPr>
      <w:t xml:space="preserve"> </w:t>
    </w:r>
    <w:r w:rsidR="00F72CEF" w:rsidRPr="00F72CEF">
      <w:rPr>
        <w:rFonts w:cs="Times New Roman"/>
        <w:lang w:eastAsia="lv-LV" w:bidi="ar-SA"/>
      </w:rPr>
      <w:t>augusta noteikumos Nr.509 „Noteikumi par karavīra mēnešalgas un speciālo piemaksu noteikšanas kārtību un to apmēru” sākotnējās ietekmes novērtējuma ziņojums (anotācija)</w:t>
    </w:r>
    <w:r w:rsidR="007E5ADE">
      <w:rPr>
        <w:rFonts w:cs="Times New Roman"/>
        <w:lang w:eastAsia="lv-LV" w:bidi="ar-SA"/>
      </w:rPr>
      <w:t xml:space="preserve"> </w:t>
    </w:r>
  </w:p>
  <w:p w14:paraId="7DB0C07A" w14:textId="77777777" w:rsidR="00D036E1" w:rsidRPr="00055AF4" w:rsidRDefault="00D036E1" w:rsidP="00055AF4">
    <w:pPr>
      <w:jc w:val="both"/>
      <w:rPr>
        <w:rFonts w:cs="Times New Roman"/>
        <w:lang w:eastAsia="lv-LV" w:bidi="ar-SA"/>
      </w:rPr>
    </w:pPr>
  </w:p>
  <w:p w14:paraId="00D4FAAA" w14:textId="77777777" w:rsidR="00D036E1" w:rsidRDefault="00D03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6334" w14:textId="77777777" w:rsidR="0056171E" w:rsidRDefault="0056171E" w:rsidP="0056171E">
    <w:pPr>
      <w:ind w:left="-284" w:right="-341"/>
      <w:jc w:val="both"/>
      <w:rPr>
        <w:rFonts w:cs="Times New Roman"/>
        <w:lang w:eastAsia="lv-LV" w:bidi="ar-SA"/>
      </w:rPr>
    </w:pPr>
    <w:r>
      <w:rPr>
        <w:rFonts w:cs="Times New Roman"/>
        <w:lang w:eastAsia="lv-LV" w:bidi="ar-SA"/>
      </w:rPr>
      <w:fldChar w:fldCharType="begin"/>
    </w:r>
    <w:r>
      <w:rPr>
        <w:rFonts w:cs="Times New Roman"/>
        <w:lang w:eastAsia="lv-LV" w:bidi="ar-SA"/>
      </w:rPr>
      <w:instrText xml:space="preserve"> FILENAME   \* MERGEFORMAT </w:instrText>
    </w:r>
    <w:r>
      <w:rPr>
        <w:rFonts w:cs="Times New Roman"/>
        <w:lang w:eastAsia="lv-LV" w:bidi="ar-SA"/>
      </w:rPr>
      <w:fldChar w:fldCharType="separate"/>
    </w:r>
    <w:r w:rsidR="003A39A8">
      <w:rPr>
        <w:rFonts w:cs="Times New Roman"/>
        <w:noProof/>
        <w:lang w:eastAsia="lv-LV" w:bidi="ar-SA"/>
      </w:rPr>
      <w:t>AIMAnot_150817.docx</w:t>
    </w:r>
    <w:r>
      <w:rPr>
        <w:rFonts w:cs="Times New Roman"/>
        <w:lang w:eastAsia="lv-LV" w:bidi="ar-SA"/>
      </w:rPr>
      <w:fldChar w:fldCharType="end"/>
    </w:r>
    <w:r w:rsidRPr="00055AF4">
      <w:rPr>
        <w:rFonts w:cs="Times New Roman"/>
        <w:lang w:eastAsia="lv-LV" w:bidi="ar-SA"/>
      </w:rPr>
      <w:t xml:space="preserve">; </w:t>
    </w:r>
    <w:r w:rsidRPr="00F72CEF">
      <w:rPr>
        <w:rFonts w:cs="Times New Roman"/>
        <w:lang w:eastAsia="lv-LV" w:bidi="ar-SA"/>
      </w:rPr>
      <w:t>Ministru kabineta noteikumu projekta</w:t>
    </w:r>
    <w:r>
      <w:rPr>
        <w:rFonts w:cs="Times New Roman"/>
        <w:lang w:eastAsia="lv-LV" w:bidi="ar-SA"/>
      </w:rPr>
      <w:t xml:space="preserve"> „Grozījums</w:t>
    </w:r>
    <w:r w:rsidRPr="00F72CEF">
      <w:rPr>
        <w:rFonts w:cs="Times New Roman"/>
        <w:lang w:eastAsia="lv-LV" w:bidi="ar-SA"/>
      </w:rPr>
      <w:t xml:space="preserve"> Ministru kabineta 2014.</w:t>
    </w:r>
    <w:r>
      <w:rPr>
        <w:rFonts w:cs="Times New Roman"/>
        <w:lang w:eastAsia="lv-LV" w:bidi="ar-SA"/>
      </w:rPr>
      <w:t xml:space="preserve"> </w:t>
    </w:r>
    <w:r w:rsidRPr="00F72CEF">
      <w:rPr>
        <w:rFonts w:cs="Times New Roman"/>
        <w:lang w:eastAsia="lv-LV" w:bidi="ar-SA"/>
      </w:rPr>
      <w:t>gada</w:t>
    </w:r>
    <w:r>
      <w:rPr>
        <w:rFonts w:cs="Times New Roman"/>
        <w:lang w:eastAsia="lv-LV" w:bidi="ar-SA"/>
      </w:rPr>
      <w:t xml:space="preserve"> </w:t>
    </w:r>
    <w:r w:rsidRPr="00F72CEF">
      <w:rPr>
        <w:rFonts w:cs="Times New Roman"/>
        <w:lang w:eastAsia="lv-LV" w:bidi="ar-SA"/>
      </w:rPr>
      <w:t>26.</w:t>
    </w:r>
    <w:r>
      <w:rPr>
        <w:rFonts w:cs="Times New Roman"/>
        <w:lang w:eastAsia="lv-LV" w:bidi="ar-SA"/>
      </w:rPr>
      <w:t xml:space="preserve"> </w:t>
    </w:r>
    <w:r w:rsidRPr="00F72CEF">
      <w:rPr>
        <w:rFonts w:cs="Times New Roman"/>
        <w:lang w:eastAsia="lv-LV" w:bidi="ar-SA"/>
      </w:rPr>
      <w:t>augusta noteikumos Nr.509 „Noteikumi par karavīra mēnešalgas un speciālo piemaksu noteikšanas kārtību un to apmēru” sākotnējās ietekmes novērtējuma ziņojums (anotācija)</w:t>
    </w:r>
    <w:r>
      <w:rPr>
        <w:rFonts w:cs="Times New Roman"/>
        <w:lang w:eastAsia="lv-LV" w:bidi="ar-SA"/>
      </w:rPr>
      <w:t xml:space="preserve"> </w:t>
    </w:r>
  </w:p>
  <w:p w14:paraId="5DA27761" w14:textId="77777777" w:rsidR="0056171E" w:rsidRPr="00F72CEF" w:rsidRDefault="0056171E" w:rsidP="0056171E">
    <w:pPr>
      <w:ind w:left="-284" w:right="-341"/>
      <w:jc w:val="both"/>
      <w:rPr>
        <w:rFonts w:cs="Times New Roman"/>
        <w:lang w:eastAsia="lv-LV" w:bidi="ar-SA"/>
      </w:rPr>
    </w:pPr>
  </w:p>
  <w:p w14:paraId="088E5569" w14:textId="77777777" w:rsidR="0056171E" w:rsidRDefault="00561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32EEF" w14:textId="77777777" w:rsidR="00EF6AF3" w:rsidRDefault="00EF6AF3" w:rsidP="00721C60">
      <w:r>
        <w:separator/>
      </w:r>
    </w:p>
  </w:footnote>
  <w:footnote w:type="continuationSeparator" w:id="0">
    <w:p w14:paraId="1C7CA286" w14:textId="77777777" w:rsidR="00EF6AF3" w:rsidRDefault="00EF6AF3" w:rsidP="0072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34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E9133C" w14:textId="2F7896FB" w:rsidR="0056171E" w:rsidRDefault="005617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C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69FC7CF" w14:textId="77777777" w:rsidR="0056171E" w:rsidRDefault="00561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628"/>
    <w:multiLevelType w:val="hybridMultilevel"/>
    <w:tmpl w:val="9CCA68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588F"/>
    <w:multiLevelType w:val="hybridMultilevel"/>
    <w:tmpl w:val="8A8A69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4D63"/>
    <w:multiLevelType w:val="hybridMultilevel"/>
    <w:tmpl w:val="C1660324"/>
    <w:lvl w:ilvl="0" w:tplc="7390F3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2C9B"/>
    <w:multiLevelType w:val="hybridMultilevel"/>
    <w:tmpl w:val="9CCA68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5400"/>
    <w:multiLevelType w:val="hybridMultilevel"/>
    <w:tmpl w:val="9CCA68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a Lietiņa">
    <w15:presenceInfo w15:providerId="None" w15:userId="Inga Lietiņ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7"/>
    <w:rsid w:val="00034D90"/>
    <w:rsid w:val="000356BC"/>
    <w:rsid w:val="00042181"/>
    <w:rsid w:val="00042F0F"/>
    <w:rsid w:val="00045145"/>
    <w:rsid w:val="00055AF4"/>
    <w:rsid w:val="00077503"/>
    <w:rsid w:val="00085CA6"/>
    <w:rsid w:val="000871FA"/>
    <w:rsid w:val="000A2455"/>
    <w:rsid w:val="000B17D3"/>
    <w:rsid w:val="000B465F"/>
    <w:rsid w:val="000D0727"/>
    <w:rsid w:val="000D4B45"/>
    <w:rsid w:val="000F493B"/>
    <w:rsid w:val="00110CF7"/>
    <w:rsid w:val="00114DF4"/>
    <w:rsid w:val="00115366"/>
    <w:rsid w:val="00122B95"/>
    <w:rsid w:val="00124086"/>
    <w:rsid w:val="00131927"/>
    <w:rsid w:val="00135EE7"/>
    <w:rsid w:val="0013670B"/>
    <w:rsid w:val="00137257"/>
    <w:rsid w:val="00146413"/>
    <w:rsid w:val="0015005A"/>
    <w:rsid w:val="00150778"/>
    <w:rsid w:val="001A16AF"/>
    <w:rsid w:val="001A5282"/>
    <w:rsid w:val="001A602A"/>
    <w:rsid w:val="001B2B3C"/>
    <w:rsid w:val="001B42A7"/>
    <w:rsid w:val="001C0FC5"/>
    <w:rsid w:val="001C25DB"/>
    <w:rsid w:val="001C3BD5"/>
    <w:rsid w:val="001C6616"/>
    <w:rsid w:val="001D5C7A"/>
    <w:rsid w:val="001E07B4"/>
    <w:rsid w:val="001E7CA9"/>
    <w:rsid w:val="001F6099"/>
    <w:rsid w:val="00204FD2"/>
    <w:rsid w:val="00211CAA"/>
    <w:rsid w:val="00214049"/>
    <w:rsid w:val="00217186"/>
    <w:rsid w:val="00221928"/>
    <w:rsid w:val="00226001"/>
    <w:rsid w:val="002276DA"/>
    <w:rsid w:val="00230186"/>
    <w:rsid w:val="00230D1E"/>
    <w:rsid w:val="002437FE"/>
    <w:rsid w:val="0026236D"/>
    <w:rsid w:val="00264C12"/>
    <w:rsid w:val="002657D6"/>
    <w:rsid w:val="00276ACB"/>
    <w:rsid w:val="00281AF8"/>
    <w:rsid w:val="00285737"/>
    <w:rsid w:val="0029183A"/>
    <w:rsid w:val="002A05A7"/>
    <w:rsid w:val="002A5FAE"/>
    <w:rsid w:val="002C2201"/>
    <w:rsid w:val="002D6E02"/>
    <w:rsid w:val="002E7BE1"/>
    <w:rsid w:val="002F4AF9"/>
    <w:rsid w:val="00302CB0"/>
    <w:rsid w:val="00304507"/>
    <w:rsid w:val="00310068"/>
    <w:rsid w:val="003103CD"/>
    <w:rsid w:val="00310EA5"/>
    <w:rsid w:val="00332D02"/>
    <w:rsid w:val="003336F6"/>
    <w:rsid w:val="00340B8D"/>
    <w:rsid w:val="00344B42"/>
    <w:rsid w:val="00355642"/>
    <w:rsid w:val="00364681"/>
    <w:rsid w:val="003909C9"/>
    <w:rsid w:val="00392774"/>
    <w:rsid w:val="00396F6B"/>
    <w:rsid w:val="003A10A1"/>
    <w:rsid w:val="003A2194"/>
    <w:rsid w:val="003A2432"/>
    <w:rsid w:val="003A39A8"/>
    <w:rsid w:val="003A56E4"/>
    <w:rsid w:val="003B135F"/>
    <w:rsid w:val="003C497E"/>
    <w:rsid w:val="003C5875"/>
    <w:rsid w:val="003E1882"/>
    <w:rsid w:val="003E53AB"/>
    <w:rsid w:val="003F7B80"/>
    <w:rsid w:val="00401CD0"/>
    <w:rsid w:val="00403F45"/>
    <w:rsid w:val="0041677F"/>
    <w:rsid w:val="00424B4B"/>
    <w:rsid w:val="00437AC5"/>
    <w:rsid w:val="00457A2D"/>
    <w:rsid w:val="0048236C"/>
    <w:rsid w:val="004B2601"/>
    <w:rsid w:val="004C2B6A"/>
    <w:rsid w:val="004C2CA6"/>
    <w:rsid w:val="004D3C20"/>
    <w:rsid w:val="004D5F2A"/>
    <w:rsid w:val="004D6CBB"/>
    <w:rsid w:val="004F77DB"/>
    <w:rsid w:val="004F7C38"/>
    <w:rsid w:val="00500588"/>
    <w:rsid w:val="00511A3D"/>
    <w:rsid w:val="00521500"/>
    <w:rsid w:val="005304F3"/>
    <w:rsid w:val="00547658"/>
    <w:rsid w:val="0056171E"/>
    <w:rsid w:val="00564858"/>
    <w:rsid w:val="005669FA"/>
    <w:rsid w:val="005864ED"/>
    <w:rsid w:val="0059118B"/>
    <w:rsid w:val="00594E03"/>
    <w:rsid w:val="005A6830"/>
    <w:rsid w:val="005A6B38"/>
    <w:rsid w:val="005B3197"/>
    <w:rsid w:val="005B4C6F"/>
    <w:rsid w:val="005B6A53"/>
    <w:rsid w:val="005D51D3"/>
    <w:rsid w:val="005F520F"/>
    <w:rsid w:val="005F5249"/>
    <w:rsid w:val="00627937"/>
    <w:rsid w:val="00636B85"/>
    <w:rsid w:val="00641D67"/>
    <w:rsid w:val="00647166"/>
    <w:rsid w:val="00667ACF"/>
    <w:rsid w:val="00683762"/>
    <w:rsid w:val="00686C54"/>
    <w:rsid w:val="00690A12"/>
    <w:rsid w:val="006951DE"/>
    <w:rsid w:val="006B24B8"/>
    <w:rsid w:val="006B3862"/>
    <w:rsid w:val="006B4918"/>
    <w:rsid w:val="006D079F"/>
    <w:rsid w:val="006D1E8B"/>
    <w:rsid w:val="006D2226"/>
    <w:rsid w:val="006D358B"/>
    <w:rsid w:val="006E57B1"/>
    <w:rsid w:val="006E64F5"/>
    <w:rsid w:val="007027FC"/>
    <w:rsid w:val="00712AA9"/>
    <w:rsid w:val="00715107"/>
    <w:rsid w:val="00721C60"/>
    <w:rsid w:val="00723FED"/>
    <w:rsid w:val="007323F0"/>
    <w:rsid w:val="00745C55"/>
    <w:rsid w:val="007568C6"/>
    <w:rsid w:val="0076163E"/>
    <w:rsid w:val="007635F3"/>
    <w:rsid w:val="00780963"/>
    <w:rsid w:val="00782F9D"/>
    <w:rsid w:val="00790815"/>
    <w:rsid w:val="00790A41"/>
    <w:rsid w:val="007942C7"/>
    <w:rsid w:val="007961BE"/>
    <w:rsid w:val="007A0562"/>
    <w:rsid w:val="007A1516"/>
    <w:rsid w:val="007A2BEC"/>
    <w:rsid w:val="007A5830"/>
    <w:rsid w:val="007B4E5A"/>
    <w:rsid w:val="007C1053"/>
    <w:rsid w:val="007C4235"/>
    <w:rsid w:val="007D21DE"/>
    <w:rsid w:val="007D40A7"/>
    <w:rsid w:val="007E5ADE"/>
    <w:rsid w:val="007F4377"/>
    <w:rsid w:val="00802F61"/>
    <w:rsid w:val="008171F7"/>
    <w:rsid w:val="0083688D"/>
    <w:rsid w:val="008444EF"/>
    <w:rsid w:val="00844558"/>
    <w:rsid w:val="00854C82"/>
    <w:rsid w:val="0085598F"/>
    <w:rsid w:val="00856AAF"/>
    <w:rsid w:val="00856F83"/>
    <w:rsid w:val="0088025F"/>
    <w:rsid w:val="008804EF"/>
    <w:rsid w:val="00886FE4"/>
    <w:rsid w:val="00892928"/>
    <w:rsid w:val="008944AB"/>
    <w:rsid w:val="008A6D6A"/>
    <w:rsid w:val="008B0935"/>
    <w:rsid w:val="008B3CF4"/>
    <w:rsid w:val="008C0949"/>
    <w:rsid w:val="008C1C39"/>
    <w:rsid w:val="008C2F87"/>
    <w:rsid w:val="008E6D94"/>
    <w:rsid w:val="008F0A5B"/>
    <w:rsid w:val="008F0C02"/>
    <w:rsid w:val="008F6DE2"/>
    <w:rsid w:val="009005C4"/>
    <w:rsid w:val="00910940"/>
    <w:rsid w:val="009235D7"/>
    <w:rsid w:val="009247C8"/>
    <w:rsid w:val="00941B44"/>
    <w:rsid w:val="0095145F"/>
    <w:rsid w:val="00961EAA"/>
    <w:rsid w:val="0096447E"/>
    <w:rsid w:val="00965A5E"/>
    <w:rsid w:val="0096701F"/>
    <w:rsid w:val="00976F58"/>
    <w:rsid w:val="00997028"/>
    <w:rsid w:val="009A48D6"/>
    <w:rsid w:val="009B1F8D"/>
    <w:rsid w:val="009B70FB"/>
    <w:rsid w:val="009C2F78"/>
    <w:rsid w:val="009C5B57"/>
    <w:rsid w:val="009D1A1A"/>
    <w:rsid w:val="009E0770"/>
    <w:rsid w:val="009E3130"/>
    <w:rsid w:val="009E6583"/>
    <w:rsid w:val="009F337A"/>
    <w:rsid w:val="009F339D"/>
    <w:rsid w:val="00A0446E"/>
    <w:rsid w:val="00A04B18"/>
    <w:rsid w:val="00A04DD0"/>
    <w:rsid w:val="00A14FF3"/>
    <w:rsid w:val="00A16D9F"/>
    <w:rsid w:val="00A23FBF"/>
    <w:rsid w:val="00A30EF1"/>
    <w:rsid w:val="00A32227"/>
    <w:rsid w:val="00A32467"/>
    <w:rsid w:val="00A375B5"/>
    <w:rsid w:val="00A53AE5"/>
    <w:rsid w:val="00A70580"/>
    <w:rsid w:val="00A70A25"/>
    <w:rsid w:val="00A822E2"/>
    <w:rsid w:val="00A937F1"/>
    <w:rsid w:val="00AC4E6C"/>
    <w:rsid w:val="00AD208D"/>
    <w:rsid w:val="00AD4150"/>
    <w:rsid w:val="00AD50C7"/>
    <w:rsid w:val="00AE64E3"/>
    <w:rsid w:val="00AF3AC3"/>
    <w:rsid w:val="00AF6104"/>
    <w:rsid w:val="00B070ED"/>
    <w:rsid w:val="00B12015"/>
    <w:rsid w:val="00B1791B"/>
    <w:rsid w:val="00B30FA4"/>
    <w:rsid w:val="00B371D1"/>
    <w:rsid w:val="00B44769"/>
    <w:rsid w:val="00B540A1"/>
    <w:rsid w:val="00B54D76"/>
    <w:rsid w:val="00B712E2"/>
    <w:rsid w:val="00BA657C"/>
    <w:rsid w:val="00BC4E6A"/>
    <w:rsid w:val="00BC63E4"/>
    <w:rsid w:val="00BD065A"/>
    <w:rsid w:val="00BD3CC6"/>
    <w:rsid w:val="00BD4391"/>
    <w:rsid w:val="00BD4489"/>
    <w:rsid w:val="00BF6C2C"/>
    <w:rsid w:val="00C01B5F"/>
    <w:rsid w:val="00C02BED"/>
    <w:rsid w:val="00C16194"/>
    <w:rsid w:val="00C23B02"/>
    <w:rsid w:val="00C25CDC"/>
    <w:rsid w:val="00C27BB0"/>
    <w:rsid w:val="00C30F99"/>
    <w:rsid w:val="00C3237D"/>
    <w:rsid w:val="00C3358A"/>
    <w:rsid w:val="00C47459"/>
    <w:rsid w:val="00C67C28"/>
    <w:rsid w:val="00C70317"/>
    <w:rsid w:val="00C704AC"/>
    <w:rsid w:val="00C729FB"/>
    <w:rsid w:val="00C81C18"/>
    <w:rsid w:val="00C95EA2"/>
    <w:rsid w:val="00C978D5"/>
    <w:rsid w:val="00C97B1C"/>
    <w:rsid w:val="00CA15E6"/>
    <w:rsid w:val="00CB08E1"/>
    <w:rsid w:val="00CB1BBD"/>
    <w:rsid w:val="00CB7567"/>
    <w:rsid w:val="00CD135A"/>
    <w:rsid w:val="00CD33D9"/>
    <w:rsid w:val="00CD58B7"/>
    <w:rsid w:val="00CF2177"/>
    <w:rsid w:val="00CF5CF2"/>
    <w:rsid w:val="00CF6861"/>
    <w:rsid w:val="00D036E1"/>
    <w:rsid w:val="00D07280"/>
    <w:rsid w:val="00D07515"/>
    <w:rsid w:val="00D07F2B"/>
    <w:rsid w:val="00D16953"/>
    <w:rsid w:val="00D36ED9"/>
    <w:rsid w:val="00D41263"/>
    <w:rsid w:val="00D51502"/>
    <w:rsid w:val="00D51782"/>
    <w:rsid w:val="00D551C3"/>
    <w:rsid w:val="00D8501E"/>
    <w:rsid w:val="00D960F6"/>
    <w:rsid w:val="00DD1759"/>
    <w:rsid w:val="00DD4D52"/>
    <w:rsid w:val="00DD56D6"/>
    <w:rsid w:val="00DD7579"/>
    <w:rsid w:val="00DE3821"/>
    <w:rsid w:val="00E14E15"/>
    <w:rsid w:val="00E37E70"/>
    <w:rsid w:val="00E439B6"/>
    <w:rsid w:val="00E4593B"/>
    <w:rsid w:val="00E45DFB"/>
    <w:rsid w:val="00E7142C"/>
    <w:rsid w:val="00E733BF"/>
    <w:rsid w:val="00E737A6"/>
    <w:rsid w:val="00E74E30"/>
    <w:rsid w:val="00E759E1"/>
    <w:rsid w:val="00E924F1"/>
    <w:rsid w:val="00E9544C"/>
    <w:rsid w:val="00EC1681"/>
    <w:rsid w:val="00ED20F0"/>
    <w:rsid w:val="00EE0DF1"/>
    <w:rsid w:val="00EF6AF3"/>
    <w:rsid w:val="00F00E6A"/>
    <w:rsid w:val="00F126D5"/>
    <w:rsid w:val="00F12A5A"/>
    <w:rsid w:val="00F154E6"/>
    <w:rsid w:val="00F22346"/>
    <w:rsid w:val="00F24779"/>
    <w:rsid w:val="00F25F8B"/>
    <w:rsid w:val="00F4179A"/>
    <w:rsid w:val="00F4259B"/>
    <w:rsid w:val="00F56727"/>
    <w:rsid w:val="00F663BE"/>
    <w:rsid w:val="00F665C1"/>
    <w:rsid w:val="00F72CEF"/>
    <w:rsid w:val="00F9208B"/>
    <w:rsid w:val="00FB516A"/>
    <w:rsid w:val="00FD1311"/>
    <w:rsid w:val="00FE0FC0"/>
    <w:rsid w:val="00FE56DE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399AD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60"/>
    <w:rPr>
      <w:rFonts w:cs="Arial Unicode MS"/>
      <w:lang w:eastAsia="en-US" w:bidi="lo-LA"/>
    </w:rPr>
  </w:style>
  <w:style w:type="paragraph" w:styleId="ListParagraph">
    <w:name w:val="List Paragraph"/>
    <w:basedOn w:val="Normal"/>
    <w:uiPriority w:val="34"/>
    <w:qFormat/>
    <w:rsid w:val="0091094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07F2B"/>
    <w:rPr>
      <w:rFonts w:cs="Arial Unicode MS"/>
      <w:b/>
      <w:bCs/>
      <w:lang w:eastAsia="en-US" w:bidi="lo-LA"/>
    </w:rPr>
  </w:style>
  <w:style w:type="character" w:customStyle="1" w:styleId="CommentSubjectChar">
    <w:name w:val="Comment Subject Char"/>
    <w:basedOn w:val="CommentTextChar"/>
    <w:link w:val="CommentSubject"/>
    <w:rsid w:val="00D07F2B"/>
    <w:rPr>
      <w:rFonts w:cs="Arial Unicode MS"/>
      <w:b/>
      <w:bCs/>
      <w:lang w:eastAsia="en-US" w:bidi="lo-LA"/>
    </w:rPr>
  </w:style>
  <w:style w:type="paragraph" w:customStyle="1" w:styleId="naisf">
    <w:name w:val="naisf"/>
    <w:basedOn w:val="Normal"/>
    <w:rsid w:val="00A70580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paragraph" w:customStyle="1" w:styleId="naisnod">
    <w:name w:val="naisnod"/>
    <w:basedOn w:val="Normal"/>
    <w:rsid w:val="00A70580"/>
    <w:pPr>
      <w:spacing w:before="150" w:after="150"/>
      <w:jc w:val="center"/>
    </w:pPr>
    <w:rPr>
      <w:rFonts w:cs="Times New Roman"/>
      <w:b/>
      <w:bCs/>
      <w:sz w:val="24"/>
      <w:szCs w:val="24"/>
      <w:lang w:eastAsia="lv-LV" w:bidi="ar-SA"/>
    </w:rPr>
  </w:style>
  <w:style w:type="paragraph" w:styleId="Revision">
    <w:name w:val="Revision"/>
    <w:hidden/>
    <w:uiPriority w:val="99"/>
    <w:semiHidden/>
    <w:rsid w:val="00E7142C"/>
    <w:rPr>
      <w:rFonts w:cs="Arial Unicode MS"/>
      <w:lang w:eastAsia="en-US" w:bidi="lo-LA"/>
    </w:rPr>
  </w:style>
  <w:style w:type="paragraph" w:styleId="NoSpacing">
    <w:name w:val="No Spacing"/>
    <w:uiPriority w:val="1"/>
    <w:qFormat/>
    <w:rsid w:val="00A70A2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60"/>
    <w:rPr>
      <w:rFonts w:cs="Arial Unicode MS"/>
      <w:lang w:eastAsia="en-US" w:bidi="lo-LA"/>
    </w:rPr>
  </w:style>
  <w:style w:type="paragraph" w:styleId="ListParagraph">
    <w:name w:val="List Paragraph"/>
    <w:basedOn w:val="Normal"/>
    <w:uiPriority w:val="34"/>
    <w:qFormat/>
    <w:rsid w:val="0091094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07F2B"/>
    <w:rPr>
      <w:rFonts w:cs="Arial Unicode MS"/>
      <w:b/>
      <w:bCs/>
      <w:lang w:eastAsia="en-US" w:bidi="lo-LA"/>
    </w:rPr>
  </w:style>
  <w:style w:type="character" w:customStyle="1" w:styleId="CommentSubjectChar">
    <w:name w:val="Comment Subject Char"/>
    <w:basedOn w:val="CommentTextChar"/>
    <w:link w:val="CommentSubject"/>
    <w:rsid w:val="00D07F2B"/>
    <w:rPr>
      <w:rFonts w:cs="Arial Unicode MS"/>
      <w:b/>
      <w:bCs/>
      <w:lang w:eastAsia="en-US" w:bidi="lo-LA"/>
    </w:rPr>
  </w:style>
  <w:style w:type="paragraph" w:customStyle="1" w:styleId="naisf">
    <w:name w:val="naisf"/>
    <w:basedOn w:val="Normal"/>
    <w:rsid w:val="00A70580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paragraph" w:customStyle="1" w:styleId="naisnod">
    <w:name w:val="naisnod"/>
    <w:basedOn w:val="Normal"/>
    <w:rsid w:val="00A70580"/>
    <w:pPr>
      <w:spacing w:before="150" w:after="150"/>
      <w:jc w:val="center"/>
    </w:pPr>
    <w:rPr>
      <w:rFonts w:cs="Times New Roman"/>
      <w:b/>
      <w:bCs/>
      <w:sz w:val="24"/>
      <w:szCs w:val="24"/>
      <w:lang w:eastAsia="lv-LV" w:bidi="ar-SA"/>
    </w:rPr>
  </w:style>
  <w:style w:type="paragraph" w:styleId="Revision">
    <w:name w:val="Revision"/>
    <w:hidden/>
    <w:uiPriority w:val="99"/>
    <w:semiHidden/>
    <w:rsid w:val="00E7142C"/>
    <w:rPr>
      <w:rFonts w:cs="Arial Unicode MS"/>
      <w:lang w:eastAsia="en-US" w:bidi="lo-LA"/>
    </w:rPr>
  </w:style>
  <w:style w:type="paragraph" w:styleId="NoSpacing">
    <w:name w:val="No Spacing"/>
    <w:uiPriority w:val="1"/>
    <w:qFormat/>
    <w:rsid w:val="00A70A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51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8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3706-A903-452D-B376-7125ADEB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1304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projeks</vt:lpstr>
    </vt:vector>
  </TitlesOfParts>
  <Manager>RPD</Manager>
  <Company>AIM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projeks</dc:title>
  <dc:subject>Grozījumi Ministru kabineta 2014.gada 26.augusta noteikumos Nr.509 "Noteikumi par karavīra mēnešalgas un speciālo piemaksu noteikšanas kārtību un apmēru"</dc:subject>
  <dc:creator>I.Jursiņa-Videmane</dc:creator>
  <dc:description>67335162_x000d_
ineta.jursina@mod.gov.lv</dc:description>
  <cp:lastModifiedBy>Ineta Jursina</cp:lastModifiedBy>
  <cp:revision>5</cp:revision>
  <cp:lastPrinted>2017-07-24T09:40:00Z</cp:lastPrinted>
  <dcterms:created xsi:type="dcterms:W3CDTF">2017-08-15T12:40:00Z</dcterms:created>
  <dcterms:modified xsi:type="dcterms:W3CDTF">2017-08-15T12:44:00Z</dcterms:modified>
</cp:coreProperties>
</file>