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43"/>
        <w:gridCol w:w="1785"/>
        <w:gridCol w:w="708"/>
        <w:gridCol w:w="2127"/>
      </w:tblGrid>
      <w:tr w:rsidR="00C105DB" w:rsidRPr="004B35C3" w:rsidTr="00837BED">
        <w:tc>
          <w:tcPr>
            <w:tcW w:w="450" w:type="dxa"/>
            <w:tcBorders>
              <w:top w:val="nil"/>
              <w:left w:val="nil"/>
              <w:bottom w:val="nil"/>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bookmarkStart w:id="0" w:name="_GoBack"/>
            <w:bookmarkEnd w:id="0"/>
          </w:p>
        </w:tc>
        <w:bookmarkStart w:id="1" w:name="reg_dat"/>
        <w:tc>
          <w:tcPr>
            <w:tcW w:w="1785" w:type="dxa"/>
            <w:tcBorders>
              <w:top w:val="nil"/>
              <w:left w:val="nil"/>
              <w:bottom w:val="single" w:sz="4" w:space="0" w:color="auto"/>
              <w:right w:val="nil"/>
            </w:tcBorders>
          </w:tcPr>
          <w:p w:rsidR="00C105DB" w:rsidRPr="004B35C3" w:rsidRDefault="00C105DB" w:rsidP="00837BED">
            <w:pPr>
              <w:widowControl/>
              <w:tabs>
                <w:tab w:val="left" w:pos="3960"/>
              </w:tabs>
              <w:spacing w:before="0" w:after="0" w:line="240" w:lineRule="auto"/>
              <w:ind w:firstLine="0"/>
              <w:rPr>
                <w:sz w:val="28"/>
                <w:szCs w:val="28"/>
              </w:rPr>
            </w:pPr>
            <w:r w:rsidRPr="004B35C3">
              <w:rPr>
                <w:sz w:val="28"/>
                <w:szCs w:val="28"/>
              </w:rPr>
              <w:fldChar w:fldCharType="begin">
                <w:ffData>
                  <w:name w:val="reg_dat"/>
                  <w:enabled/>
                  <w:calcOnExit w:val="0"/>
                  <w:textInput>
                    <w:default w:val="                      "/>
                  </w:textInput>
                </w:ffData>
              </w:fldChar>
            </w:r>
            <w:r w:rsidRPr="004B35C3">
              <w:rPr>
                <w:sz w:val="28"/>
                <w:szCs w:val="28"/>
              </w:rPr>
              <w:instrText xml:space="preserve"> FORMTEXT </w:instrText>
            </w:r>
            <w:r w:rsidR="00DA70AF" w:rsidRPr="004B35C3">
              <w:rPr>
                <w:sz w:val="28"/>
                <w:szCs w:val="28"/>
              </w:rPr>
            </w:r>
            <w:r w:rsidRPr="004B35C3">
              <w:rPr>
                <w:sz w:val="28"/>
                <w:szCs w:val="28"/>
              </w:rPr>
              <w:fldChar w:fldCharType="separate"/>
            </w:r>
            <w:r w:rsidR="00DA70AF">
              <w:rPr>
                <w:sz w:val="28"/>
                <w:szCs w:val="28"/>
              </w:rPr>
              <w:t>08.08.2017</w:t>
            </w:r>
            <w:r w:rsidRPr="004B35C3">
              <w:rPr>
                <w:sz w:val="28"/>
                <w:szCs w:val="28"/>
              </w:rPr>
              <w:fldChar w:fldCharType="end"/>
            </w:r>
            <w:bookmarkEnd w:id="1"/>
          </w:p>
        </w:tc>
        <w:tc>
          <w:tcPr>
            <w:tcW w:w="708" w:type="dxa"/>
            <w:tcBorders>
              <w:top w:val="nil"/>
              <w:left w:val="nil"/>
              <w:bottom w:val="nil"/>
              <w:right w:val="nil"/>
            </w:tcBorders>
          </w:tcPr>
          <w:p w:rsidR="00C105DB" w:rsidRPr="004B35C3" w:rsidRDefault="00C105DB" w:rsidP="00837BED">
            <w:pPr>
              <w:widowControl/>
              <w:tabs>
                <w:tab w:val="left" w:pos="360"/>
                <w:tab w:val="left" w:pos="3960"/>
              </w:tabs>
              <w:spacing w:before="0" w:after="0" w:line="240" w:lineRule="auto"/>
              <w:ind w:firstLine="0"/>
              <w:jc w:val="center"/>
              <w:rPr>
                <w:sz w:val="28"/>
                <w:szCs w:val="28"/>
              </w:rPr>
            </w:pPr>
            <w:r w:rsidRPr="004B35C3">
              <w:rPr>
                <w:sz w:val="28"/>
                <w:szCs w:val="28"/>
              </w:rPr>
              <w:t>Nr.</w:t>
            </w:r>
          </w:p>
        </w:tc>
        <w:bookmarkStart w:id="2" w:name="lietas_nr"/>
        <w:tc>
          <w:tcPr>
            <w:tcW w:w="2127" w:type="dxa"/>
            <w:tcBorders>
              <w:top w:val="nil"/>
              <w:left w:val="nil"/>
              <w:bottom w:val="single" w:sz="4" w:space="0" w:color="auto"/>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r w:rsidRPr="004B35C3">
              <w:rPr>
                <w:sz w:val="28"/>
                <w:szCs w:val="28"/>
              </w:rPr>
              <w:fldChar w:fldCharType="begin">
                <w:ffData>
                  <w:name w:val="lietas_nr"/>
                  <w:enabled/>
                  <w:calcOnExit w:val="0"/>
                  <w:textInput>
                    <w:default w:val="                "/>
                  </w:textInput>
                </w:ffData>
              </w:fldChar>
            </w:r>
            <w:r w:rsidRPr="004B35C3">
              <w:rPr>
                <w:sz w:val="28"/>
                <w:szCs w:val="28"/>
              </w:rPr>
              <w:instrText xml:space="preserve"> FORMTEXT </w:instrText>
            </w:r>
            <w:r w:rsidRPr="004B35C3">
              <w:rPr>
                <w:sz w:val="28"/>
                <w:szCs w:val="28"/>
              </w:rPr>
            </w:r>
            <w:r w:rsidRPr="004B35C3">
              <w:rPr>
                <w:sz w:val="28"/>
                <w:szCs w:val="28"/>
              </w:rPr>
              <w:fldChar w:fldCharType="separate"/>
            </w:r>
            <w:r w:rsidRPr="004B35C3">
              <w:rPr>
                <w:sz w:val="28"/>
                <w:szCs w:val="28"/>
              </w:rPr>
              <w:t>1-1</w:t>
            </w:r>
            <w:r w:rsidRPr="004B35C3">
              <w:rPr>
                <w:sz w:val="28"/>
                <w:szCs w:val="28"/>
              </w:rPr>
              <w:fldChar w:fldCharType="end"/>
            </w:r>
            <w:bookmarkEnd w:id="2"/>
            <w:r w:rsidRPr="004B35C3">
              <w:rPr>
                <w:sz w:val="28"/>
                <w:szCs w:val="28"/>
              </w:rPr>
              <w:t>-</w:t>
            </w:r>
            <w:r w:rsidRPr="004B35C3">
              <w:rPr>
                <w:sz w:val="28"/>
                <w:szCs w:val="28"/>
              </w:rPr>
              <w:fldChar w:fldCharType="begin">
                <w:ffData>
                  <w:name w:val="reg_num"/>
                  <w:enabled/>
                  <w:calcOnExit w:val="0"/>
                  <w:textInput>
                    <w:default w:val="            "/>
                  </w:textInput>
                </w:ffData>
              </w:fldChar>
            </w:r>
            <w:bookmarkStart w:id="3" w:name="reg_num"/>
            <w:r w:rsidRPr="004B35C3">
              <w:rPr>
                <w:sz w:val="28"/>
                <w:szCs w:val="28"/>
              </w:rPr>
              <w:instrText xml:space="preserve"> FORMTEXT </w:instrText>
            </w:r>
            <w:r w:rsidR="00DA70AF" w:rsidRPr="004B35C3">
              <w:rPr>
                <w:sz w:val="28"/>
                <w:szCs w:val="28"/>
              </w:rPr>
            </w:r>
            <w:r w:rsidRPr="004B35C3">
              <w:rPr>
                <w:sz w:val="28"/>
                <w:szCs w:val="28"/>
              </w:rPr>
              <w:fldChar w:fldCharType="separate"/>
            </w:r>
            <w:r w:rsidR="00DA70AF">
              <w:rPr>
                <w:sz w:val="28"/>
                <w:szCs w:val="28"/>
              </w:rPr>
              <w:t>5724</w:t>
            </w:r>
            <w:r w:rsidRPr="004B35C3">
              <w:rPr>
                <w:sz w:val="28"/>
                <w:szCs w:val="28"/>
              </w:rPr>
              <w:fldChar w:fldCharType="end"/>
            </w:r>
            <w:bookmarkEnd w:id="3"/>
          </w:p>
        </w:tc>
      </w:tr>
      <w:tr w:rsidR="00C105DB" w:rsidRPr="004B35C3" w:rsidTr="00837BED">
        <w:trPr>
          <w:trHeight w:val="188"/>
        </w:trPr>
        <w:tc>
          <w:tcPr>
            <w:tcW w:w="450" w:type="dxa"/>
            <w:tcBorders>
              <w:top w:val="nil"/>
              <w:left w:val="nil"/>
              <w:bottom w:val="nil"/>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p>
        </w:tc>
        <w:tc>
          <w:tcPr>
            <w:tcW w:w="1785" w:type="dxa"/>
            <w:tcBorders>
              <w:top w:val="single" w:sz="4" w:space="0" w:color="auto"/>
              <w:left w:val="nil"/>
              <w:bottom w:val="nil"/>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p>
        </w:tc>
        <w:tc>
          <w:tcPr>
            <w:tcW w:w="708" w:type="dxa"/>
            <w:tcBorders>
              <w:top w:val="nil"/>
              <w:left w:val="nil"/>
              <w:bottom w:val="nil"/>
              <w:right w:val="nil"/>
            </w:tcBorders>
          </w:tcPr>
          <w:p w:rsidR="00C105DB" w:rsidRPr="004B35C3" w:rsidRDefault="00C105DB" w:rsidP="00837BED">
            <w:pPr>
              <w:widowControl/>
              <w:tabs>
                <w:tab w:val="left" w:pos="360"/>
                <w:tab w:val="left" w:pos="3960"/>
              </w:tabs>
              <w:spacing w:before="0" w:after="0" w:line="240" w:lineRule="auto"/>
              <w:ind w:firstLine="0"/>
              <w:jc w:val="center"/>
              <w:rPr>
                <w:sz w:val="28"/>
                <w:szCs w:val="28"/>
              </w:rPr>
            </w:pPr>
          </w:p>
        </w:tc>
        <w:tc>
          <w:tcPr>
            <w:tcW w:w="2127" w:type="dxa"/>
            <w:tcBorders>
              <w:top w:val="single" w:sz="4" w:space="0" w:color="auto"/>
              <w:left w:val="nil"/>
              <w:bottom w:val="nil"/>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p>
        </w:tc>
      </w:tr>
      <w:tr w:rsidR="00C105DB" w:rsidRPr="004B35C3" w:rsidTr="00837BED">
        <w:tc>
          <w:tcPr>
            <w:tcW w:w="450" w:type="dxa"/>
            <w:tcBorders>
              <w:top w:val="nil"/>
              <w:left w:val="nil"/>
              <w:bottom w:val="nil"/>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r w:rsidRPr="004B35C3">
              <w:rPr>
                <w:sz w:val="28"/>
                <w:szCs w:val="28"/>
              </w:rPr>
              <w:t>Uz</w:t>
            </w:r>
          </w:p>
        </w:tc>
        <w:bookmarkStart w:id="4" w:name="san_dat"/>
        <w:tc>
          <w:tcPr>
            <w:tcW w:w="1785" w:type="dxa"/>
            <w:tcBorders>
              <w:top w:val="nil"/>
              <w:left w:val="nil"/>
              <w:bottom w:val="single" w:sz="4" w:space="0" w:color="auto"/>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r w:rsidRPr="004B35C3">
              <w:rPr>
                <w:sz w:val="28"/>
                <w:szCs w:val="28"/>
              </w:rPr>
              <w:fldChar w:fldCharType="begin">
                <w:ffData>
                  <w:name w:val="san_dat"/>
                  <w:enabled/>
                  <w:calcOnExit w:val="0"/>
                  <w:textInput>
                    <w:default w:val="                      "/>
                  </w:textInput>
                </w:ffData>
              </w:fldChar>
            </w:r>
            <w:r w:rsidRPr="004B35C3">
              <w:rPr>
                <w:sz w:val="28"/>
                <w:szCs w:val="28"/>
              </w:rPr>
              <w:instrText xml:space="preserve"> FORMTEXT </w:instrText>
            </w:r>
            <w:r w:rsidRPr="004B35C3">
              <w:rPr>
                <w:sz w:val="28"/>
                <w:szCs w:val="28"/>
              </w:rPr>
            </w:r>
            <w:r w:rsidRPr="004B35C3">
              <w:rPr>
                <w:sz w:val="28"/>
                <w:szCs w:val="28"/>
              </w:rPr>
              <w:fldChar w:fldCharType="separate"/>
            </w:r>
            <w:r w:rsidRPr="004B35C3">
              <w:rPr>
                <w:sz w:val="28"/>
                <w:szCs w:val="28"/>
              </w:rPr>
              <w:t>19.08.2014</w:t>
            </w:r>
            <w:r w:rsidRPr="004B35C3">
              <w:rPr>
                <w:sz w:val="28"/>
                <w:szCs w:val="28"/>
              </w:rPr>
              <w:fldChar w:fldCharType="end"/>
            </w:r>
            <w:bookmarkEnd w:id="4"/>
          </w:p>
        </w:tc>
        <w:tc>
          <w:tcPr>
            <w:tcW w:w="708" w:type="dxa"/>
            <w:tcBorders>
              <w:top w:val="nil"/>
              <w:left w:val="nil"/>
              <w:bottom w:val="nil"/>
              <w:right w:val="nil"/>
            </w:tcBorders>
          </w:tcPr>
          <w:p w:rsidR="00C105DB" w:rsidRPr="004B35C3" w:rsidRDefault="00C105DB" w:rsidP="00837BED">
            <w:pPr>
              <w:widowControl/>
              <w:tabs>
                <w:tab w:val="left" w:pos="360"/>
                <w:tab w:val="left" w:pos="3960"/>
              </w:tabs>
              <w:spacing w:before="0" w:after="0" w:line="240" w:lineRule="auto"/>
              <w:ind w:firstLine="0"/>
              <w:jc w:val="center"/>
              <w:rPr>
                <w:sz w:val="28"/>
                <w:szCs w:val="28"/>
              </w:rPr>
            </w:pPr>
            <w:r w:rsidRPr="004B35C3">
              <w:rPr>
                <w:sz w:val="28"/>
                <w:szCs w:val="28"/>
              </w:rPr>
              <w:t>Nr.</w:t>
            </w:r>
          </w:p>
        </w:tc>
        <w:bookmarkStart w:id="5" w:name="san_num"/>
        <w:tc>
          <w:tcPr>
            <w:tcW w:w="2127" w:type="dxa"/>
            <w:tcBorders>
              <w:top w:val="nil"/>
              <w:left w:val="nil"/>
              <w:bottom w:val="single" w:sz="4" w:space="0" w:color="auto"/>
              <w:right w:val="nil"/>
            </w:tcBorders>
          </w:tcPr>
          <w:p w:rsidR="00C105DB" w:rsidRPr="004B35C3" w:rsidRDefault="00C105DB" w:rsidP="00837BED">
            <w:pPr>
              <w:widowControl/>
              <w:tabs>
                <w:tab w:val="left" w:pos="360"/>
                <w:tab w:val="left" w:pos="3960"/>
              </w:tabs>
              <w:spacing w:before="0" w:after="0" w:line="240" w:lineRule="auto"/>
              <w:ind w:firstLine="0"/>
              <w:rPr>
                <w:sz w:val="28"/>
                <w:szCs w:val="28"/>
              </w:rPr>
            </w:pPr>
            <w:r w:rsidRPr="004B35C3">
              <w:rPr>
                <w:sz w:val="28"/>
                <w:szCs w:val="28"/>
              </w:rPr>
              <w:fldChar w:fldCharType="begin">
                <w:ffData>
                  <w:name w:val="san_num"/>
                  <w:enabled/>
                  <w:calcOnExit w:val="0"/>
                  <w:textInput>
                    <w:default w:val="                             "/>
                  </w:textInput>
                </w:ffData>
              </w:fldChar>
            </w:r>
            <w:r w:rsidRPr="004B35C3">
              <w:rPr>
                <w:sz w:val="28"/>
                <w:szCs w:val="28"/>
              </w:rPr>
              <w:instrText xml:space="preserve"> FORMTEXT </w:instrText>
            </w:r>
            <w:r w:rsidRPr="004B35C3">
              <w:rPr>
                <w:sz w:val="28"/>
                <w:szCs w:val="28"/>
              </w:rPr>
            </w:r>
            <w:r w:rsidRPr="004B35C3">
              <w:rPr>
                <w:sz w:val="28"/>
                <w:szCs w:val="28"/>
              </w:rPr>
              <w:fldChar w:fldCharType="separate"/>
            </w:r>
            <w:r w:rsidRPr="004B35C3">
              <w:rPr>
                <w:sz w:val="28"/>
                <w:szCs w:val="28"/>
              </w:rPr>
              <w:t>44, 54.§ MK</w:t>
            </w:r>
            <w:r w:rsidRPr="004B35C3">
              <w:rPr>
                <w:sz w:val="28"/>
                <w:szCs w:val="28"/>
              </w:rPr>
              <w:fldChar w:fldCharType="end"/>
            </w:r>
            <w:bookmarkEnd w:id="5"/>
          </w:p>
        </w:tc>
      </w:tr>
    </w:tbl>
    <w:p w:rsidR="00C105DB" w:rsidRDefault="00C105DB" w:rsidP="00747107">
      <w:pPr>
        <w:widowControl/>
        <w:tabs>
          <w:tab w:val="left" w:pos="4820"/>
        </w:tabs>
        <w:spacing w:before="0" w:after="0" w:line="240" w:lineRule="auto"/>
        <w:ind w:firstLine="0"/>
        <w:contextualSpacing/>
        <w:jc w:val="right"/>
        <w:rPr>
          <w:b/>
          <w:sz w:val="28"/>
          <w:szCs w:val="28"/>
        </w:rPr>
      </w:pPr>
    </w:p>
    <w:p w:rsidR="00747107" w:rsidRPr="004B35C3" w:rsidRDefault="00747107" w:rsidP="00747107">
      <w:pPr>
        <w:widowControl/>
        <w:tabs>
          <w:tab w:val="left" w:pos="4820"/>
        </w:tabs>
        <w:spacing w:before="0" w:after="0" w:line="240" w:lineRule="auto"/>
        <w:ind w:firstLine="0"/>
        <w:contextualSpacing/>
        <w:jc w:val="right"/>
        <w:rPr>
          <w:b/>
          <w:sz w:val="28"/>
          <w:szCs w:val="28"/>
        </w:rPr>
      </w:pPr>
      <w:r w:rsidRPr="004B35C3">
        <w:rPr>
          <w:b/>
          <w:sz w:val="28"/>
          <w:szCs w:val="28"/>
        </w:rPr>
        <w:t>Valsts kancelejai</w:t>
      </w:r>
    </w:p>
    <w:p w:rsidR="00747107" w:rsidRPr="004B35C3" w:rsidRDefault="00747107" w:rsidP="00747107">
      <w:pPr>
        <w:widowControl/>
        <w:tabs>
          <w:tab w:val="left" w:pos="4820"/>
        </w:tabs>
        <w:spacing w:before="0" w:after="0" w:line="240" w:lineRule="auto"/>
        <w:ind w:firstLine="0"/>
        <w:contextualSpacing/>
        <w:jc w:val="right"/>
        <w:rPr>
          <w:b/>
          <w:sz w:val="28"/>
          <w:szCs w:val="28"/>
        </w:rPr>
      </w:pPr>
    </w:p>
    <w:p w:rsidR="00747107" w:rsidRPr="004B35C3" w:rsidRDefault="00747107" w:rsidP="00747107">
      <w:pPr>
        <w:spacing w:before="0" w:after="0" w:line="240" w:lineRule="auto"/>
        <w:ind w:right="4110" w:firstLine="0"/>
        <w:contextualSpacing/>
        <w:rPr>
          <w:sz w:val="28"/>
          <w:szCs w:val="28"/>
        </w:rPr>
      </w:pPr>
      <w:r w:rsidRPr="004B35C3">
        <w:rPr>
          <w:sz w:val="28"/>
          <w:szCs w:val="28"/>
        </w:rPr>
        <w:t>Ministru kabineta sēdes protokollēmuma projekts „Par Ministru kabineta 2014. gada 19. augusta sēdes protokollēmuma (prot. Nr.44 54.§) „Noteikumu projekts „Noteikumi par būvdarbu veicēju un būvspeciālistu civiltiesiskās atbildības obligāto apdrošināšanu”” 2. punktā dotā uzdevuma atzīšanu par aktualitāti zaudējušu”</w:t>
      </w:r>
      <w:r>
        <w:rPr>
          <w:sz w:val="28"/>
          <w:szCs w:val="28"/>
        </w:rPr>
        <w:t xml:space="preserve"> </w:t>
      </w:r>
    </w:p>
    <w:p w:rsidR="00747107" w:rsidRPr="004B35C3" w:rsidRDefault="00747107" w:rsidP="00747107">
      <w:pPr>
        <w:spacing w:before="0" w:after="0" w:line="240" w:lineRule="auto"/>
        <w:ind w:firstLine="0"/>
        <w:contextualSpacing/>
        <w:rPr>
          <w:sz w:val="28"/>
          <w:szCs w:val="28"/>
        </w:rPr>
      </w:pPr>
    </w:p>
    <w:p w:rsidR="00747107" w:rsidRPr="004B35C3" w:rsidRDefault="00747107" w:rsidP="00747107">
      <w:pPr>
        <w:spacing w:before="0" w:after="0" w:line="240" w:lineRule="auto"/>
        <w:contextualSpacing/>
        <w:rPr>
          <w:sz w:val="28"/>
          <w:szCs w:val="28"/>
        </w:rPr>
      </w:pPr>
      <w:r w:rsidRPr="004B35C3">
        <w:rPr>
          <w:sz w:val="28"/>
          <w:szCs w:val="28"/>
        </w:rPr>
        <w:t>Saskaņā ar Ministru kabineta 2009. gada 7. aprīļa noteikumu Nr.300 „Ministru kabineta kārtības rullis” 244. punktu, Ekonomikas ministrija iesniedz izskatīšanai Ministru kabineta sēdē protokollēmuma projektu „</w:t>
      </w:r>
      <w:r w:rsidRPr="004B35C3">
        <w:rPr>
          <w:b/>
          <w:sz w:val="28"/>
          <w:szCs w:val="28"/>
        </w:rPr>
        <w:t>Par Ministru kabineta 2014. gada 19. augusta sēdes protokollēmuma (prot. Nr.44 54.§) „Noteikumu projekts „Noteikumi par būvdarbu veicēju un būvspeciālistu civiltiesiskās atbildības obligāto apdrošināšanu</w:t>
      </w:r>
      <w:r w:rsidRPr="004B35C3">
        <w:rPr>
          <w:sz w:val="28"/>
          <w:szCs w:val="28"/>
        </w:rPr>
        <w:t>”” 2. punktā dotā uzdevuma atzīšanu par aktualitāti zaudējušu.</w:t>
      </w:r>
    </w:p>
    <w:p w:rsidR="00747107" w:rsidRPr="004B35C3" w:rsidRDefault="00747107" w:rsidP="00747107">
      <w:pPr>
        <w:spacing w:before="0" w:after="0" w:line="24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661"/>
        <w:gridCol w:w="5953"/>
      </w:tblGrid>
      <w:tr w:rsidR="00747107" w:rsidRPr="004B35C3" w:rsidTr="00603A00">
        <w:tc>
          <w:tcPr>
            <w:tcW w:w="566" w:type="dxa"/>
            <w:tcBorders>
              <w:top w:val="single" w:sz="4" w:space="0" w:color="auto"/>
            </w:tcBorders>
          </w:tcPr>
          <w:p w:rsidR="00747107" w:rsidRPr="004B35C3" w:rsidRDefault="00747107" w:rsidP="00603A00">
            <w:pPr>
              <w:spacing w:before="0" w:after="0" w:line="240" w:lineRule="auto"/>
              <w:ind w:firstLine="0"/>
              <w:contextualSpacing/>
              <w:jc w:val="left"/>
              <w:rPr>
                <w:sz w:val="28"/>
                <w:szCs w:val="28"/>
              </w:rPr>
            </w:pPr>
            <w:r w:rsidRPr="004B35C3">
              <w:rPr>
                <w:sz w:val="28"/>
                <w:szCs w:val="28"/>
              </w:rPr>
              <w:t>1.</w:t>
            </w:r>
          </w:p>
        </w:tc>
        <w:tc>
          <w:tcPr>
            <w:tcW w:w="2661" w:type="dxa"/>
            <w:tcBorders>
              <w:top w:val="single" w:sz="4" w:space="0" w:color="auto"/>
            </w:tcBorders>
          </w:tcPr>
          <w:p w:rsidR="00747107" w:rsidRPr="004B35C3" w:rsidRDefault="00747107" w:rsidP="00603A00">
            <w:pPr>
              <w:spacing w:before="0" w:after="0" w:line="240" w:lineRule="auto"/>
              <w:ind w:firstLine="0"/>
              <w:contextualSpacing/>
              <w:jc w:val="left"/>
              <w:rPr>
                <w:sz w:val="28"/>
                <w:szCs w:val="28"/>
              </w:rPr>
            </w:pPr>
            <w:r w:rsidRPr="004B35C3">
              <w:rPr>
                <w:sz w:val="28"/>
                <w:szCs w:val="28"/>
              </w:rPr>
              <w:t>Iesniegšanas pamatojums</w:t>
            </w:r>
          </w:p>
        </w:tc>
        <w:tc>
          <w:tcPr>
            <w:tcW w:w="5953" w:type="dxa"/>
            <w:tcBorders>
              <w:top w:val="single" w:sz="4" w:space="0" w:color="auto"/>
            </w:tcBorders>
          </w:tcPr>
          <w:p w:rsidR="00747107" w:rsidRPr="004B35C3" w:rsidRDefault="00747107" w:rsidP="00603A00">
            <w:pPr>
              <w:spacing w:before="0" w:after="0" w:line="240" w:lineRule="auto"/>
              <w:ind w:firstLine="51"/>
              <w:contextualSpacing/>
              <w:rPr>
                <w:sz w:val="28"/>
                <w:szCs w:val="28"/>
              </w:rPr>
            </w:pPr>
            <w:r w:rsidRPr="004B35C3">
              <w:rPr>
                <w:sz w:val="28"/>
                <w:szCs w:val="28"/>
              </w:rPr>
              <w:t xml:space="preserve">Ar Ministru kabineta 2014. gada 19. augusta sēdes protokollēmuma (prot. Nr.44 54.§) 2. punktu Ekonomikas ministrijai tika dots uzdevums sešu mēnešu laikā sagatavot un noteiktā kārtībā iesniegt izskatīšanai Ministru kabinetā likumprojektu “Grozījumi Būvniecības likumā”, paredzot deleģējumu Ministru kabinetam izdot Ministru kabineta noteikumus par būvspeciālistu profesionālās civiltiesiskās atbildības obligātās apdrošināšanas un būvuzņēmēju civiltiesiskās atbildības obligātās apdrošināšanas garantijas fonda izveidošanas, uzturēšanas un administrēšanas </w:t>
            </w:r>
            <w:r w:rsidRPr="004B35C3">
              <w:rPr>
                <w:sz w:val="28"/>
                <w:szCs w:val="28"/>
              </w:rPr>
              <w:lastRenderedPageBreak/>
              <w:t>kārtību. Garantijas fonda mērķis ir līdzekļu uzkrāšana, lai nodrošinātu apdrošināšanas atlīdzību izmaksas gadījumos, kad būvspeciālistu profesionālās civiltiesiskās atbildības obligātās apdrošināšanas vai būvuzņēmēju civiltiesiskās atbildības obligātās apdrošināšana nesedz visus zaudējumus, kas radušies, iestājoties apdrošināšanas gadījumam. Attiecīgā protokollēmuma 2. punktā noteiktā uzdevuma izpildes termiņš ar Ministru kabineta 2015. gada 7. aprīļa protokollēmumu (prot. Nr.18 9.§) “Par Ministru kabineta 2014. gada 19. augusta sēdes protokollēmuma (prot. Nr.44 54.§) “Noteikumu projekts “Noteikumi par būvdarbu veicēju un būvspeciālistu civiltiesiskās atbildības obligāto apdrošināšanu”” 2. punktā dotā uzdevuma izpildi”, Ministru kabineta 2015. gada 28. jūlija protokollēmumu (prot. Nr.36 12.§) “Par Ministru kabineta 2014. gada 19. augusta sēdes protokollēmuma (prot. Nr.44 54.§) “Noteikumu projekts “Noteikumi par būvdarbu veicēju un būvspeciālistu civiltiesiskās atbildības obligāto apdrošināšanu”” 2. punktā dotā uzdevuma izpildi”, Ministru kabineta 2016. gada 19. janvāra protokollēmumu (prot. Nr.3 3.§) “Par Ministru kabineta 2014. gada 19. augusta sēdes protokollēmuma (prot. Nr.44 54.§) “Noteikumu projekts “Noteikumi par būvdarbu veicēju un būvspeciālistu civiltiesiskās atbildības obligāto apdrošināšanu”” 2. punktā dotā uzdevuma izpildi”  un Ministru kabineta 2016. gada 8. novembra protokollēmumu (prot. Nr.60 10.§)</w:t>
            </w:r>
            <w:r w:rsidRPr="004B35C3">
              <w:t xml:space="preserve"> “</w:t>
            </w:r>
            <w:r w:rsidRPr="004B35C3">
              <w:rPr>
                <w:sz w:val="28"/>
                <w:szCs w:val="28"/>
              </w:rPr>
              <w:t>Par Ministru kabineta 2014. gada 19. augusta sēdes protokollēmuma (prot. Nr.44 54.§) "Noteikumu projekts "Noteikumi par būvdarbu veicēju un būvspeciālistu civiltiesiskās atbildības obligāto apdrošināšanu"" 2. punktā dotā uzdevuma izpildi  tika pagarināts līdz 2017. gada 1. jūlijam.</w:t>
            </w:r>
          </w:p>
          <w:p w:rsidR="00747107" w:rsidRPr="004B35C3" w:rsidRDefault="00747107" w:rsidP="00603A00">
            <w:pPr>
              <w:spacing w:before="0" w:after="0" w:line="240" w:lineRule="auto"/>
              <w:ind w:firstLine="51"/>
              <w:contextualSpacing/>
              <w:rPr>
                <w:sz w:val="28"/>
                <w:szCs w:val="28"/>
              </w:rPr>
            </w:pPr>
          </w:p>
          <w:p w:rsidR="00747107" w:rsidRDefault="00747107" w:rsidP="00603A00">
            <w:pPr>
              <w:spacing w:before="0" w:after="0" w:line="240" w:lineRule="auto"/>
              <w:ind w:firstLine="0"/>
              <w:contextualSpacing/>
              <w:rPr>
                <w:sz w:val="28"/>
                <w:szCs w:val="28"/>
              </w:rPr>
            </w:pPr>
            <w:r>
              <w:rPr>
                <w:sz w:val="28"/>
                <w:szCs w:val="28"/>
              </w:rPr>
              <w:t>Novērtējot Būvniecības likuma un Ministru kabineta 2014. 19.augusta noteikumu Nr. 502 “</w:t>
            </w:r>
            <w:r w:rsidRPr="003007A3">
              <w:rPr>
                <w:sz w:val="28"/>
                <w:szCs w:val="28"/>
              </w:rPr>
              <w:t>Noteikumi par būvspeciālistu un būvdarbu veicēju civiltiesiskās atbildības obligāto apdrošināšanu</w:t>
            </w:r>
            <w:r>
              <w:rPr>
                <w:sz w:val="28"/>
                <w:szCs w:val="28"/>
              </w:rPr>
              <w:t xml:space="preserve">” </w:t>
            </w:r>
            <w:r>
              <w:rPr>
                <w:sz w:val="28"/>
                <w:szCs w:val="28"/>
              </w:rPr>
              <w:lastRenderedPageBreak/>
              <w:t xml:space="preserve">regulējuma darbību un efektivitāti, Ekonomikas ministrija secināja, ka tajā ir vairāki būtiski trūkumi, kā rezultātā pieņemtais regulējums nav sasniedzis savu mērķi attiecībā uz trešo personu interešu efektīvu aizsardzību būvniecības procesā. Apdrošināšanas regulējuma trūkumi pamatā ir saistīti ar trūkumiem būvniecības procesa dalībnieku atbildības sadalījumā un atbildības regulējumā. Tāpat tika secināts, ka pieņemtais regulējums attiecībā uz civiltiesiskās atbildības apdrošināšanu paredz ārkārtīgi sarežģītu un ilgu zaudējumu pierādīšanas pienākumu cietušajam, ka tas praksē nav uzskatāms par instrumentu trešo personu interešu aizsardzībai. Saskaņā ar Ekonomikas ministrijas rīcībā esošo informāciju būvniecības procesa dalībnieki apdrošināšanas prēmijās ir samaksājuši </w:t>
            </w:r>
            <w:r w:rsidRPr="00E56B0B">
              <w:rPr>
                <w:sz w:val="28"/>
                <w:szCs w:val="28"/>
              </w:rPr>
              <w:t>ap 6 milj. eiro, savukārt apdrošināšanas atlīdzības ir izmaksātas ap 850 000 eiro.</w:t>
            </w:r>
            <w:r>
              <w:rPr>
                <w:sz w:val="28"/>
                <w:szCs w:val="28"/>
              </w:rPr>
              <w:t xml:space="preserve"> Turklāt prakse liecina, ka atlīdzība tiek izmaksāta tikai pēc tam, kad tiesas ceļā ir pierādīta atbildīgas personas vaina. Ņemot vērā garos tiesvedības procesus, atlīdzība tiek izmaksāta 5 – 6 gadu laikā.</w:t>
            </w:r>
          </w:p>
          <w:p w:rsidR="00747107" w:rsidRDefault="00747107" w:rsidP="00603A00">
            <w:pPr>
              <w:spacing w:before="0" w:after="0" w:line="240" w:lineRule="auto"/>
              <w:ind w:firstLine="0"/>
              <w:contextualSpacing/>
              <w:rPr>
                <w:sz w:val="28"/>
                <w:szCs w:val="28"/>
              </w:rPr>
            </w:pPr>
          </w:p>
          <w:p w:rsidR="00747107" w:rsidRDefault="00747107" w:rsidP="00603A00">
            <w:pPr>
              <w:spacing w:before="0" w:after="0" w:line="240" w:lineRule="auto"/>
              <w:ind w:firstLine="0"/>
              <w:contextualSpacing/>
              <w:rPr>
                <w:sz w:val="28"/>
                <w:szCs w:val="28"/>
              </w:rPr>
            </w:pPr>
            <w:r>
              <w:rPr>
                <w:sz w:val="28"/>
                <w:szCs w:val="28"/>
              </w:rPr>
              <w:t xml:space="preserve">Pastāvot sarežģītam un neefektīvam regulējumam attiecībā uz apdrošināšanas atlīdzības saņemšanu par dzīvei, veselībai vai mantai nodarītajiem zaudējumiem, nav lietderīgi izstrādāt un virzīt apstiprināšanai regulējumu par garantijas fonda izveidi, uzkrājot tajā līdzekļus. </w:t>
            </w:r>
          </w:p>
          <w:p w:rsidR="00747107" w:rsidRDefault="00747107" w:rsidP="00603A00">
            <w:pPr>
              <w:spacing w:before="0" w:after="0" w:line="240" w:lineRule="auto"/>
              <w:ind w:firstLine="0"/>
              <w:contextualSpacing/>
              <w:rPr>
                <w:sz w:val="28"/>
                <w:szCs w:val="28"/>
              </w:rPr>
            </w:pPr>
          </w:p>
          <w:p w:rsidR="00747107" w:rsidRDefault="00747107" w:rsidP="00603A00">
            <w:pPr>
              <w:spacing w:before="0" w:after="0" w:line="240" w:lineRule="auto"/>
              <w:ind w:firstLine="0"/>
              <w:contextualSpacing/>
              <w:rPr>
                <w:sz w:val="28"/>
                <w:szCs w:val="28"/>
              </w:rPr>
            </w:pPr>
            <w:r>
              <w:rPr>
                <w:sz w:val="28"/>
                <w:szCs w:val="28"/>
              </w:rPr>
              <w:t xml:space="preserve">Lai veicinātu efektīvā 3.personu interešu aizsardzības mehānisma ieviešanu ir jāveic grozījumi Būvniecības likumā attiecībā uz būvniecības procesa dalībnieku atbildības regulējumu un atbildības apdrošināšanu. </w:t>
            </w:r>
          </w:p>
          <w:p w:rsidR="00747107" w:rsidRDefault="00747107" w:rsidP="00603A00">
            <w:pPr>
              <w:spacing w:before="0" w:after="0" w:line="240" w:lineRule="auto"/>
              <w:ind w:firstLine="0"/>
              <w:contextualSpacing/>
              <w:rPr>
                <w:sz w:val="28"/>
                <w:szCs w:val="28"/>
              </w:rPr>
            </w:pPr>
          </w:p>
          <w:p w:rsidR="00747107" w:rsidRPr="00844D5C" w:rsidRDefault="00747107" w:rsidP="00603A00">
            <w:pPr>
              <w:spacing w:before="0" w:after="0" w:line="240" w:lineRule="auto"/>
              <w:ind w:firstLine="0"/>
              <w:contextualSpacing/>
              <w:rPr>
                <w:sz w:val="28"/>
                <w:szCs w:val="28"/>
              </w:rPr>
            </w:pPr>
            <w:r w:rsidRPr="004B35C3">
              <w:rPr>
                <w:sz w:val="28"/>
                <w:szCs w:val="28"/>
              </w:rPr>
              <w:t xml:space="preserve">Ar Ekonomikas ministra 2017. gada 21. februāra rīkojumu Nr. 44 tika izveidota darba grupa, </w:t>
            </w:r>
            <w:r>
              <w:rPr>
                <w:sz w:val="28"/>
                <w:szCs w:val="28"/>
              </w:rPr>
              <w:t xml:space="preserve">kas aktīvi strādā pie Būvniecības likuma regulējuma pilnveidošanas. 2017. gada 22.jūnijā Saeima ir pieņēmusi steidzamos grozījumus Būvniecības likumā, kas primāri ir vērsti uz būvniecības procesa </w:t>
            </w:r>
            <w:r>
              <w:rPr>
                <w:sz w:val="28"/>
                <w:szCs w:val="28"/>
              </w:rPr>
              <w:lastRenderedPageBreak/>
              <w:t xml:space="preserve">vienkāršošanu. Vienlaicīgi darba grupa turpina darbu pie grozījumu izstrādes Būvniecības likumā attiecībā uz atbildības sadalījumu būvniecības dalībnieku starpā, vietējās pašvaldības būvvaldes un Būvniecības valsts kontroles biroja kompetenci, </w:t>
            </w:r>
            <w:r w:rsidRPr="004B35C3">
              <w:rPr>
                <w:sz w:val="28"/>
                <w:szCs w:val="28"/>
              </w:rPr>
              <w:t xml:space="preserve">kā arī </w:t>
            </w:r>
            <w:r>
              <w:rPr>
                <w:sz w:val="28"/>
                <w:szCs w:val="28"/>
              </w:rPr>
              <w:t>būvniecības ierosinātāja un 3.personu</w:t>
            </w:r>
            <w:r w:rsidRPr="004B35C3">
              <w:rPr>
                <w:sz w:val="28"/>
                <w:szCs w:val="28"/>
              </w:rPr>
              <w:t xml:space="preserve"> int</w:t>
            </w:r>
            <w:r>
              <w:rPr>
                <w:sz w:val="28"/>
                <w:szCs w:val="28"/>
              </w:rPr>
              <w:t>erešu aizsardzības pilnveidošanu</w:t>
            </w:r>
            <w:r w:rsidRPr="004B35C3">
              <w:rPr>
                <w:sz w:val="28"/>
                <w:szCs w:val="28"/>
              </w:rPr>
              <w:t xml:space="preserve"> caur efektīvu apdrošināšanas mehānismu. Darba grupā ti</w:t>
            </w:r>
            <w:r>
              <w:rPr>
                <w:sz w:val="28"/>
                <w:szCs w:val="28"/>
              </w:rPr>
              <w:t>ek</w:t>
            </w:r>
            <w:r w:rsidRPr="004B35C3">
              <w:rPr>
                <w:sz w:val="28"/>
                <w:szCs w:val="28"/>
              </w:rPr>
              <w:t xml:space="preserve"> izskatīti </w:t>
            </w:r>
            <w:r>
              <w:rPr>
                <w:sz w:val="28"/>
                <w:szCs w:val="28"/>
              </w:rPr>
              <w:t>vairāki</w:t>
            </w:r>
            <w:r w:rsidRPr="004B35C3">
              <w:rPr>
                <w:sz w:val="28"/>
                <w:szCs w:val="28"/>
              </w:rPr>
              <w:t xml:space="preserve"> iespējamie apd</w:t>
            </w:r>
            <w:r>
              <w:rPr>
                <w:sz w:val="28"/>
                <w:szCs w:val="28"/>
              </w:rPr>
              <w:t>rošināšanas regulējuma varianti.</w:t>
            </w:r>
          </w:p>
          <w:p w:rsidR="00747107" w:rsidRPr="004B35C3" w:rsidRDefault="00747107" w:rsidP="00603A00">
            <w:pPr>
              <w:spacing w:before="0" w:after="0" w:line="240" w:lineRule="auto"/>
              <w:ind w:firstLine="0"/>
              <w:contextualSpacing/>
              <w:rPr>
                <w:sz w:val="28"/>
                <w:szCs w:val="28"/>
              </w:rPr>
            </w:pPr>
          </w:p>
          <w:p w:rsidR="00747107" w:rsidRPr="004B35C3" w:rsidRDefault="00747107" w:rsidP="00603A00">
            <w:pPr>
              <w:spacing w:before="0" w:after="0" w:line="240" w:lineRule="auto"/>
              <w:ind w:firstLine="0"/>
              <w:contextualSpacing/>
              <w:rPr>
                <w:sz w:val="28"/>
                <w:szCs w:val="28"/>
              </w:rPr>
            </w:pPr>
            <w:r w:rsidRPr="004B35C3">
              <w:rPr>
                <w:sz w:val="28"/>
                <w:szCs w:val="28"/>
              </w:rPr>
              <w:t>2017. gada nogalē Ekonomikas ministrijas un būvniecības nozares pārstāvji klātienē iepazinās ar Francijas būvniecības apdrošināšanas modeli, kas varētu kalpot par paraugu Latvijas apdrošināšanas sistēmas pilnveidošanai. Francijas apdrošināšanas modelis tika iekļauts starp labākajiem piemēriem Pasaules bankas 2013. gada ziņojumā par labāko būvniecības regulējumu. Tas pierāda, ka kvalitatīvu un drošu būvniecību var panākt ar pārdomātas apdrošināšanas sistēmas ieviešanu un ar ļoti minimālu valsts un pašvaldību iesaistīšanos būvniecības procesa uzraudzībā un kontrolē.</w:t>
            </w:r>
          </w:p>
          <w:p w:rsidR="00747107" w:rsidRPr="004B35C3" w:rsidRDefault="00747107" w:rsidP="00603A00">
            <w:pPr>
              <w:spacing w:before="0" w:after="0" w:line="240" w:lineRule="auto"/>
              <w:ind w:firstLine="0"/>
              <w:contextualSpacing/>
              <w:rPr>
                <w:sz w:val="28"/>
                <w:szCs w:val="28"/>
              </w:rPr>
            </w:pPr>
          </w:p>
          <w:p w:rsidR="00747107" w:rsidRDefault="00747107" w:rsidP="00603A00">
            <w:pPr>
              <w:spacing w:before="0" w:after="0" w:line="240" w:lineRule="auto"/>
              <w:ind w:firstLine="0"/>
              <w:contextualSpacing/>
              <w:rPr>
                <w:sz w:val="28"/>
                <w:szCs w:val="28"/>
              </w:rPr>
            </w:pPr>
            <w:r w:rsidRPr="004B35C3">
              <w:rPr>
                <w:sz w:val="28"/>
                <w:szCs w:val="28"/>
              </w:rPr>
              <w:t xml:space="preserve">Līdzīgi, kā tas bija Francijā pirms jaunā apdrošināšanas regulējuma ieviešanas, arī Latvijā apdrošināšanas regulējums ir neefektīvs un neveicina kvalitatīvu un drošu būvniecību. </w:t>
            </w:r>
          </w:p>
          <w:p w:rsidR="00747107" w:rsidRPr="004B35C3" w:rsidRDefault="00747107" w:rsidP="00603A00">
            <w:pPr>
              <w:spacing w:before="0" w:after="0" w:line="240" w:lineRule="auto"/>
              <w:ind w:firstLine="0"/>
              <w:contextualSpacing/>
              <w:rPr>
                <w:sz w:val="28"/>
                <w:szCs w:val="28"/>
              </w:rPr>
            </w:pPr>
          </w:p>
          <w:p w:rsidR="00747107" w:rsidRPr="004B35C3" w:rsidRDefault="00747107" w:rsidP="00603A00">
            <w:pPr>
              <w:spacing w:before="0" w:after="0" w:line="240" w:lineRule="auto"/>
              <w:ind w:firstLine="51"/>
              <w:contextualSpacing/>
              <w:rPr>
                <w:sz w:val="28"/>
                <w:szCs w:val="28"/>
              </w:rPr>
            </w:pPr>
            <w:r w:rsidRPr="004B35C3">
              <w:rPr>
                <w:sz w:val="28"/>
                <w:szCs w:val="28"/>
              </w:rPr>
              <w:t>Ņemot vērā iepriekšminēto, Ekonomikas ministrija lūdz atzīt Ministru kabineta 2014. gada 19. augusta sēdes protokollēmuma (prot. Nr.44 54.§) „Noteikumu projekts „Noteikumi par būvdarbu veicēju un būvspeciālistu civiltiesiskās atbildības obligāto apdrošināšanu”” 2. punktā doto uzdevumu par aktualitāti zaudējušu.</w:t>
            </w:r>
          </w:p>
        </w:tc>
      </w:tr>
      <w:tr w:rsidR="00747107" w:rsidRPr="004B35C3" w:rsidTr="00603A00">
        <w:tc>
          <w:tcPr>
            <w:tcW w:w="566" w:type="dxa"/>
            <w:tcBorders>
              <w:top w:val="single" w:sz="4" w:space="0" w:color="auto"/>
            </w:tcBorders>
          </w:tcPr>
          <w:p w:rsidR="00747107" w:rsidRPr="004B35C3" w:rsidRDefault="00747107" w:rsidP="00603A00">
            <w:pPr>
              <w:spacing w:before="0" w:after="0" w:line="240" w:lineRule="auto"/>
              <w:ind w:firstLine="0"/>
              <w:contextualSpacing/>
              <w:jc w:val="left"/>
              <w:rPr>
                <w:sz w:val="28"/>
                <w:szCs w:val="28"/>
              </w:rPr>
            </w:pPr>
            <w:r w:rsidRPr="004B35C3">
              <w:rPr>
                <w:sz w:val="28"/>
                <w:szCs w:val="28"/>
              </w:rPr>
              <w:lastRenderedPageBreak/>
              <w:t>2.</w:t>
            </w:r>
          </w:p>
        </w:tc>
        <w:tc>
          <w:tcPr>
            <w:tcW w:w="2661" w:type="dxa"/>
            <w:tcBorders>
              <w:top w:val="single" w:sz="4" w:space="0" w:color="auto"/>
            </w:tcBorders>
          </w:tcPr>
          <w:p w:rsidR="00747107" w:rsidRPr="004B35C3" w:rsidRDefault="00747107" w:rsidP="00603A00">
            <w:pPr>
              <w:spacing w:before="0" w:after="0" w:line="240" w:lineRule="auto"/>
              <w:ind w:firstLine="0"/>
              <w:contextualSpacing/>
              <w:jc w:val="left"/>
              <w:rPr>
                <w:sz w:val="28"/>
                <w:szCs w:val="28"/>
              </w:rPr>
            </w:pPr>
            <w:r w:rsidRPr="004B35C3">
              <w:rPr>
                <w:sz w:val="28"/>
                <w:szCs w:val="28"/>
              </w:rPr>
              <w:t>Valsts sekretāru sanāksmes datums un numurs</w:t>
            </w:r>
          </w:p>
        </w:tc>
        <w:tc>
          <w:tcPr>
            <w:tcW w:w="5953" w:type="dxa"/>
            <w:tcBorders>
              <w:top w:val="single" w:sz="4" w:space="0" w:color="auto"/>
            </w:tcBorders>
          </w:tcPr>
          <w:p w:rsidR="00747107" w:rsidRPr="004B35C3" w:rsidRDefault="00747107" w:rsidP="00603A00">
            <w:pPr>
              <w:spacing w:before="0" w:after="0" w:line="240" w:lineRule="auto"/>
              <w:ind w:firstLine="0"/>
              <w:contextualSpacing/>
              <w:rPr>
                <w:sz w:val="28"/>
                <w:szCs w:val="28"/>
              </w:rPr>
            </w:pPr>
            <w:r w:rsidRPr="004B35C3">
              <w:rPr>
                <w:sz w:val="28"/>
                <w:szCs w:val="28"/>
              </w:rPr>
              <w:t>Saskaņā ar Ministru kabineta 2009. gada 7. aprīļa noteikumiem Nr.300 „Ministru kabineta kārtības rullis”  73.1. apakšpunktu projekts nav izsludināms Valsts sekretāru sanāksmē.</w:t>
            </w:r>
          </w:p>
        </w:tc>
      </w:tr>
      <w:tr w:rsidR="00747107" w:rsidRPr="004B35C3" w:rsidTr="00603A00">
        <w:tc>
          <w:tcPr>
            <w:tcW w:w="566"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3.</w:t>
            </w:r>
          </w:p>
        </w:tc>
        <w:tc>
          <w:tcPr>
            <w:tcW w:w="2661"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Informācija par saskaņojumiem</w:t>
            </w:r>
          </w:p>
        </w:tc>
        <w:tc>
          <w:tcPr>
            <w:tcW w:w="5953" w:type="dxa"/>
          </w:tcPr>
          <w:p w:rsidR="00747107" w:rsidRPr="004B35C3" w:rsidRDefault="00747107" w:rsidP="00603A00">
            <w:pPr>
              <w:spacing w:before="0" w:after="0" w:line="240" w:lineRule="auto"/>
              <w:ind w:firstLine="0"/>
              <w:contextualSpacing/>
              <w:rPr>
                <w:sz w:val="28"/>
                <w:szCs w:val="28"/>
              </w:rPr>
            </w:pPr>
            <w:r w:rsidRPr="004B35C3">
              <w:rPr>
                <w:sz w:val="28"/>
                <w:szCs w:val="28"/>
              </w:rPr>
              <w:t>Nav attiecināms.</w:t>
            </w:r>
          </w:p>
        </w:tc>
      </w:tr>
      <w:tr w:rsidR="00747107" w:rsidRPr="004B35C3" w:rsidTr="00603A00">
        <w:tc>
          <w:tcPr>
            <w:tcW w:w="566"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4.</w:t>
            </w:r>
          </w:p>
        </w:tc>
        <w:tc>
          <w:tcPr>
            <w:tcW w:w="2661"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 xml:space="preserve">Informācija par </w:t>
            </w:r>
            <w:r w:rsidRPr="004B35C3">
              <w:rPr>
                <w:sz w:val="28"/>
                <w:szCs w:val="28"/>
              </w:rPr>
              <w:lastRenderedPageBreak/>
              <w:t>saskaņojumu ar Eiropas Savienības institūcijām</w:t>
            </w:r>
          </w:p>
        </w:tc>
        <w:tc>
          <w:tcPr>
            <w:tcW w:w="5953" w:type="dxa"/>
          </w:tcPr>
          <w:p w:rsidR="00747107" w:rsidRPr="004B35C3" w:rsidRDefault="00747107" w:rsidP="00603A00">
            <w:pPr>
              <w:widowControl/>
              <w:spacing w:before="0" w:after="0" w:line="240" w:lineRule="auto"/>
              <w:ind w:firstLine="0"/>
              <w:contextualSpacing/>
              <w:rPr>
                <w:sz w:val="28"/>
                <w:szCs w:val="28"/>
                <w:lang w:eastAsia="lv-LV"/>
              </w:rPr>
            </w:pPr>
            <w:r w:rsidRPr="004B35C3">
              <w:rPr>
                <w:sz w:val="28"/>
                <w:szCs w:val="28"/>
                <w:lang w:eastAsia="lv-LV"/>
              </w:rPr>
              <w:lastRenderedPageBreak/>
              <w:t>Nav attiecināms.</w:t>
            </w:r>
          </w:p>
        </w:tc>
      </w:tr>
      <w:tr w:rsidR="00747107" w:rsidRPr="004B35C3" w:rsidTr="00603A00">
        <w:tc>
          <w:tcPr>
            <w:tcW w:w="566"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5.</w:t>
            </w:r>
          </w:p>
        </w:tc>
        <w:tc>
          <w:tcPr>
            <w:tcW w:w="2661"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Politikas joma</w:t>
            </w:r>
          </w:p>
        </w:tc>
        <w:tc>
          <w:tcPr>
            <w:tcW w:w="5953" w:type="dxa"/>
          </w:tcPr>
          <w:p w:rsidR="00747107" w:rsidRPr="004B35C3" w:rsidRDefault="00747107" w:rsidP="00603A00">
            <w:pPr>
              <w:spacing w:before="0" w:after="0" w:line="240" w:lineRule="auto"/>
              <w:ind w:firstLine="0"/>
              <w:contextualSpacing/>
              <w:rPr>
                <w:sz w:val="28"/>
                <w:szCs w:val="28"/>
              </w:rPr>
            </w:pPr>
            <w:r w:rsidRPr="004B35C3">
              <w:rPr>
                <w:sz w:val="28"/>
                <w:szCs w:val="28"/>
              </w:rPr>
              <w:t>5. industrijas un pakalpojumu politika – 5.2. Būvniecības politika.</w:t>
            </w:r>
          </w:p>
        </w:tc>
      </w:tr>
      <w:tr w:rsidR="00747107" w:rsidRPr="004B35C3" w:rsidTr="00603A00">
        <w:tc>
          <w:tcPr>
            <w:tcW w:w="566"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6.</w:t>
            </w:r>
          </w:p>
        </w:tc>
        <w:tc>
          <w:tcPr>
            <w:tcW w:w="2661"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Atbildīgā amatpersona</w:t>
            </w:r>
          </w:p>
        </w:tc>
        <w:tc>
          <w:tcPr>
            <w:tcW w:w="5953" w:type="dxa"/>
          </w:tcPr>
          <w:p w:rsidR="00747107" w:rsidRPr="004B35C3" w:rsidRDefault="00747107" w:rsidP="00603A00">
            <w:pPr>
              <w:spacing w:before="0" w:after="0" w:line="240" w:lineRule="auto"/>
              <w:ind w:firstLine="0"/>
              <w:contextualSpacing/>
              <w:rPr>
                <w:sz w:val="28"/>
                <w:szCs w:val="28"/>
              </w:rPr>
            </w:pPr>
            <w:r w:rsidRPr="004B35C3">
              <w:rPr>
                <w:sz w:val="28"/>
                <w:szCs w:val="28"/>
              </w:rPr>
              <w:t>Ekonomikas ministrijas Būvniecības politikas departamenta vecākais referents Andris Mālnieks.</w:t>
            </w:r>
          </w:p>
        </w:tc>
      </w:tr>
      <w:tr w:rsidR="00747107" w:rsidRPr="004B35C3" w:rsidTr="00603A00">
        <w:tc>
          <w:tcPr>
            <w:tcW w:w="566"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7.</w:t>
            </w:r>
          </w:p>
        </w:tc>
        <w:tc>
          <w:tcPr>
            <w:tcW w:w="2661"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Uzaicināmās personas</w:t>
            </w:r>
          </w:p>
        </w:tc>
        <w:tc>
          <w:tcPr>
            <w:tcW w:w="5953" w:type="dxa"/>
          </w:tcPr>
          <w:p w:rsidR="00747107" w:rsidRPr="004B35C3" w:rsidRDefault="00747107" w:rsidP="00603A00">
            <w:pPr>
              <w:spacing w:before="0" w:after="0" w:line="240" w:lineRule="auto"/>
              <w:ind w:firstLine="0"/>
              <w:contextualSpacing/>
              <w:rPr>
                <w:sz w:val="28"/>
                <w:szCs w:val="28"/>
              </w:rPr>
            </w:pPr>
            <w:r w:rsidRPr="004B35C3">
              <w:rPr>
                <w:sz w:val="28"/>
                <w:szCs w:val="28"/>
              </w:rPr>
              <w:t>Ekonomikas ministrijas Būvniecības politikas departamenta direktore Olga Geitus-Eitvina.</w:t>
            </w:r>
          </w:p>
        </w:tc>
      </w:tr>
      <w:tr w:rsidR="00747107" w:rsidRPr="004B35C3" w:rsidTr="00603A00">
        <w:tc>
          <w:tcPr>
            <w:tcW w:w="566"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8.</w:t>
            </w:r>
          </w:p>
        </w:tc>
        <w:tc>
          <w:tcPr>
            <w:tcW w:w="2661" w:type="dxa"/>
          </w:tcPr>
          <w:p w:rsidR="00747107" w:rsidRPr="004B35C3" w:rsidRDefault="00747107" w:rsidP="00603A00">
            <w:pPr>
              <w:spacing w:before="0" w:after="0" w:line="240" w:lineRule="auto"/>
              <w:ind w:firstLine="0"/>
              <w:contextualSpacing/>
              <w:jc w:val="left"/>
              <w:rPr>
                <w:sz w:val="28"/>
                <w:szCs w:val="28"/>
              </w:rPr>
            </w:pPr>
            <w:r w:rsidRPr="004B35C3">
              <w:rPr>
                <w:sz w:val="28"/>
                <w:szCs w:val="28"/>
              </w:rPr>
              <w:t>Projekta ierobežotas pieejamības statuss</w:t>
            </w:r>
          </w:p>
        </w:tc>
        <w:tc>
          <w:tcPr>
            <w:tcW w:w="5953" w:type="dxa"/>
          </w:tcPr>
          <w:p w:rsidR="00747107" w:rsidRPr="004B35C3" w:rsidRDefault="00747107" w:rsidP="00603A00">
            <w:pPr>
              <w:widowControl/>
              <w:spacing w:before="0" w:after="0" w:line="240" w:lineRule="auto"/>
              <w:ind w:firstLine="0"/>
              <w:contextualSpacing/>
              <w:rPr>
                <w:sz w:val="28"/>
                <w:szCs w:val="28"/>
                <w:lang w:eastAsia="lv-LV"/>
              </w:rPr>
            </w:pPr>
            <w:r w:rsidRPr="004B35C3">
              <w:rPr>
                <w:sz w:val="28"/>
                <w:szCs w:val="28"/>
                <w:lang w:eastAsia="lv-LV"/>
              </w:rPr>
              <w:t>Nav attiecināms.</w:t>
            </w:r>
          </w:p>
        </w:tc>
      </w:tr>
      <w:tr w:rsidR="00747107" w:rsidRPr="004B35C3" w:rsidTr="00603A00">
        <w:tc>
          <w:tcPr>
            <w:tcW w:w="566" w:type="dxa"/>
            <w:tcBorders>
              <w:bottom w:val="single" w:sz="4" w:space="0" w:color="auto"/>
            </w:tcBorders>
          </w:tcPr>
          <w:p w:rsidR="00747107" w:rsidRPr="004B35C3" w:rsidRDefault="00747107" w:rsidP="00603A00">
            <w:pPr>
              <w:spacing w:before="0" w:after="0" w:line="240" w:lineRule="auto"/>
              <w:ind w:firstLine="0"/>
              <w:contextualSpacing/>
              <w:jc w:val="left"/>
              <w:rPr>
                <w:sz w:val="28"/>
                <w:szCs w:val="28"/>
              </w:rPr>
            </w:pPr>
            <w:r w:rsidRPr="004B35C3">
              <w:rPr>
                <w:sz w:val="28"/>
                <w:szCs w:val="28"/>
              </w:rPr>
              <w:t xml:space="preserve">9. </w:t>
            </w:r>
          </w:p>
        </w:tc>
        <w:tc>
          <w:tcPr>
            <w:tcW w:w="2661" w:type="dxa"/>
            <w:tcBorders>
              <w:bottom w:val="single" w:sz="4" w:space="0" w:color="auto"/>
            </w:tcBorders>
          </w:tcPr>
          <w:p w:rsidR="00747107" w:rsidRPr="004B35C3" w:rsidRDefault="00747107" w:rsidP="00603A00">
            <w:pPr>
              <w:spacing w:before="0" w:after="0" w:line="240" w:lineRule="auto"/>
              <w:ind w:firstLine="0"/>
              <w:contextualSpacing/>
              <w:jc w:val="left"/>
              <w:rPr>
                <w:sz w:val="28"/>
                <w:szCs w:val="28"/>
              </w:rPr>
            </w:pPr>
            <w:r w:rsidRPr="004B35C3">
              <w:rPr>
                <w:sz w:val="28"/>
                <w:szCs w:val="28"/>
              </w:rPr>
              <w:t>Cita informācija</w:t>
            </w:r>
          </w:p>
        </w:tc>
        <w:tc>
          <w:tcPr>
            <w:tcW w:w="5953" w:type="dxa"/>
            <w:tcBorders>
              <w:bottom w:val="single" w:sz="4" w:space="0" w:color="auto"/>
            </w:tcBorders>
          </w:tcPr>
          <w:p w:rsidR="00747107" w:rsidRPr="004B35C3" w:rsidRDefault="00747107" w:rsidP="00603A00">
            <w:pPr>
              <w:spacing w:before="0" w:after="0" w:line="240" w:lineRule="auto"/>
              <w:ind w:firstLine="0"/>
              <w:contextualSpacing/>
              <w:rPr>
                <w:iCs/>
                <w:sz w:val="28"/>
                <w:szCs w:val="28"/>
              </w:rPr>
            </w:pPr>
            <w:r w:rsidRPr="004B35C3">
              <w:rPr>
                <w:iCs/>
                <w:sz w:val="28"/>
                <w:szCs w:val="28"/>
              </w:rPr>
              <w:t>Nav.</w:t>
            </w:r>
          </w:p>
        </w:tc>
      </w:tr>
    </w:tbl>
    <w:p w:rsidR="00747107" w:rsidRPr="004B35C3" w:rsidRDefault="00747107" w:rsidP="00747107">
      <w:pPr>
        <w:spacing w:before="0" w:after="0" w:line="240" w:lineRule="auto"/>
        <w:contextualSpacing/>
        <w:rPr>
          <w:sz w:val="28"/>
          <w:szCs w:val="28"/>
        </w:rPr>
      </w:pPr>
    </w:p>
    <w:p w:rsidR="00747107" w:rsidRPr="004B35C3" w:rsidRDefault="00747107" w:rsidP="00747107">
      <w:pPr>
        <w:spacing w:before="0" w:after="0" w:line="240" w:lineRule="auto"/>
        <w:contextualSpacing/>
        <w:rPr>
          <w:sz w:val="28"/>
          <w:szCs w:val="28"/>
        </w:rPr>
      </w:pPr>
      <w:r w:rsidRPr="004B35C3">
        <w:rPr>
          <w:sz w:val="28"/>
          <w:szCs w:val="28"/>
        </w:rPr>
        <w:t>Pielikumā: Ministru kabineta sēdes protokollēmuma projekts „Par Ministru kabineta 2014. gada 19. augusta sēdes protokollēmuma (prot. Nr.44 54.§) „Noteikumu projekts „Noteikumi par būvdarbu veicēju un būvspeciālistu civiltiesiskās atbildības obligāto apdrošināšanu”” 2. punkt</w:t>
      </w:r>
      <w:r w:rsidR="00621A9C">
        <w:rPr>
          <w:sz w:val="28"/>
          <w:szCs w:val="28"/>
        </w:rPr>
        <w:t>ā dotā uzdevuma atzīšanu par aktualitāti zaudējušu</w:t>
      </w:r>
      <w:r w:rsidRPr="004B35C3">
        <w:rPr>
          <w:sz w:val="28"/>
          <w:szCs w:val="28"/>
        </w:rPr>
        <w:t>” uz 1 lappuses (datne: EMprot_050717_apdrnot).</w:t>
      </w:r>
    </w:p>
    <w:p w:rsidR="00747107" w:rsidRPr="004B35C3" w:rsidRDefault="00747107" w:rsidP="00747107">
      <w:pPr>
        <w:spacing w:before="0" w:after="0" w:line="240" w:lineRule="auto"/>
        <w:contextualSpacing/>
        <w:rPr>
          <w:sz w:val="28"/>
          <w:szCs w:val="28"/>
        </w:rPr>
      </w:pPr>
    </w:p>
    <w:p w:rsidR="00747107" w:rsidRPr="004B35C3" w:rsidRDefault="00747107" w:rsidP="00747107">
      <w:pPr>
        <w:widowControl/>
        <w:tabs>
          <w:tab w:val="right" w:pos="9072"/>
        </w:tabs>
        <w:spacing w:before="0" w:after="0" w:line="240" w:lineRule="auto"/>
        <w:ind w:firstLine="0"/>
        <w:contextualSpacing/>
        <w:jc w:val="left"/>
        <w:rPr>
          <w:sz w:val="28"/>
          <w:szCs w:val="28"/>
        </w:rPr>
      </w:pPr>
    </w:p>
    <w:p w:rsidR="00747107" w:rsidRPr="004B35C3" w:rsidRDefault="00747107" w:rsidP="00747107">
      <w:pPr>
        <w:widowControl/>
        <w:tabs>
          <w:tab w:val="right" w:pos="9072"/>
        </w:tabs>
        <w:spacing w:before="0" w:after="0" w:line="240" w:lineRule="auto"/>
        <w:ind w:firstLine="0"/>
        <w:jc w:val="left"/>
        <w:rPr>
          <w:sz w:val="28"/>
          <w:szCs w:val="28"/>
        </w:rPr>
      </w:pPr>
      <w:r w:rsidRPr="004B35C3">
        <w:rPr>
          <w:sz w:val="28"/>
          <w:szCs w:val="28"/>
        </w:rPr>
        <w:t>Ministru prezidenta biedrs,</w:t>
      </w:r>
    </w:p>
    <w:p w:rsidR="00747107" w:rsidRPr="004B35C3" w:rsidRDefault="00747107" w:rsidP="00747107">
      <w:pPr>
        <w:spacing w:line="240" w:lineRule="auto"/>
        <w:ind w:firstLine="0"/>
      </w:pPr>
      <w:r w:rsidRPr="004B35C3">
        <w:rPr>
          <w:sz w:val="28"/>
          <w:szCs w:val="28"/>
        </w:rPr>
        <w:t>ekonomikas ministrs</w:t>
      </w:r>
      <w:r w:rsidRPr="004B35C3">
        <w:rPr>
          <w:sz w:val="28"/>
          <w:szCs w:val="28"/>
        </w:rPr>
        <w:tab/>
      </w:r>
      <w:r w:rsidRPr="004B35C3">
        <w:rPr>
          <w:sz w:val="28"/>
          <w:szCs w:val="28"/>
        </w:rPr>
        <w:tab/>
      </w:r>
      <w:r w:rsidRPr="004B35C3">
        <w:rPr>
          <w:sz w:val="28"/>
          <w:szCs w:val="28"/>
        </w:rPr>
        <w:tab/>
      </w:r>
      <w:r w:rsidRPr="004B35C3">
        <w:rPr>
          <w:sz w:val="28"/>
          <w:szCs w:val="28"/>
        </w:rPr>
        <w:tab/>
      </w:r>
      <w:r w:rsidRPr="004B35C3">
        <w:rPr>
          <w:sz w:val="28"/>
          <w:szCs w:val="28"/>
        </w:rPr>
        <w:tab/>
      </w:r>
      <w:r w:rsidRPr="004B35C3">
        <w:rPr>
          <w:sz w:val="28"/>
          <w:szCs w:val="28"/>
        </w:rPr>
        <w:tab/>
      </w:r>
      <w:r w:rsidRPr="004B35C3">
        <w:rPr>
          <w:sz w:val="28"/>
          <w:szCs w:val="28"/>
        </w:rPr>
        <w:tab/>
        <w:t>A. Ašeradens</w:t>
      </w:r>
    </w:p>
    <w:p w:rsidR="00747107" w:rsidRPr="004B35C3" w:rsidRDefault="00747107" w:rsidP="00747107"/>
    <w:tbl>
      <w:tblPr>
        <w:tblW w:w="0" w:type="auto"/>
        <w:tblInd w:w="108" w:type="dxa"/>
        <w:tblLook w:val="04A0" w:firstRow="1" w:lastRow="0" w:firstColumn="1" w:lastColumn="0" w:noHBand="0" w:noVBand="1"/>
      </w:tblPr>
      <w:tblGrid>
        <w:gridCol w:w="8222"/>
      </w:tblGrid>
      <w:tr w:rsidR="00747107" w:rsidRPr="004B35C3" w:rsidTr="00603A00">
        <w:trPr>
          <w:cantSplit/>
          <w:trHeight w:val="579"/>
        </w:trPr>
        <w:tc>
          <w:tcPr>
            <w:tcW w:w="8222" w:type="dxa"/>
          </w:tcPr>
          <w:p w:rsidR="00747107" w:rsidRPr="004B35C3" w:rsidRDefault="00747107" w:rsidP="00603A00">
            <w:pPr>
              <w:pStyle w:val="BodyTextIndent"/>
              <w:ind w:left="0"/>
            </w:pPr>
            <w:bookmarkStart w:id="6" w:name="edoc_info" w:colFirst="0" w:colLast="0"/>
            <w:r w:rsidRPr="004B35C3">
              <w:t>ŠIS DOKUMENTS IR ELEKTRONISKI PARAKSTĪTS AR DROŠU ELEKTRONISKO PARAKSTU UN SATUR LAIKA ZĪMOGU</w:t>
            </w:r>
          </w:p>
        </w:tc>
      </w:tr>
      <w:bookmarkEnd w:id="6"/>
    </w:tbl>
    <w:p w:rsidR="00747107" w:rsidRPr="004B35C3" w:rsidRDefault="00747107" w:rsidP="00747107">
      <w:pPr>
        <w:pStyle w:val="BodyText"/>
        <w:spacing w:before="0" w:after="0" w:line="240" w:lineRule="auto"/>
        <w:ind w:firstLine="0"/>
        <w:jc w:val="left"/>
        <w:rPr>
          <w:sz w:val="20"/>
        </w:rPr>
      </w:pPr>
    </w:p>
    <w:p w:rsidR="00747107" w:rsidRPr="004B35C3" w:rsidRDefault="00747107" w:rsidP="00747107">
      <w:pPr>
        <w:pStyle w:val="BodyText"/>
        <w:spacing w:before="0" w:after="0" w:line="240" w:lineRule="auto"/>
        <w:ind w:firstLine="0"/>
        <w:jc w:val="left"/>
        <w:rPr>
          <w:sz w:val="20"/>
        </w:rPr>
      </w:pPr>
      <w:r w:rsidRPr="004B35C3">
        <w:rPr>
          <w:sz w:val="20"/>
        </w:rPr>
        <w:t>Mālnieks, 67013086</w:t>
      </w:r>
      <w:r w:rsidRPr="004B35C3">
        <w:rPr>
          <w:sz w:val="20"/>
        </w:rPr>
        <w:br/>
        <w:t>Andris.Malnieks@em.gov.lv</w:t>
      </w:r>
    </w:p>
    <w:p w:rsidR="00747107" w:rsidRDefault="00747107" w:rsidP="00747107"/>
    <w:p w:rsidR="00C50FDA" w:rsidRPr="00747107" w:rsidRDefault="00C50FDA" w:rsidP="00747107"/>
    <w:sectPr w:rsidR="00C50FDA" w:rsidRPr="00747107" w:rsidSect="00666B0A">
      <w:headerReference w:type="even" r:id="rId7"/>
      <w:headerReference w:type="default" r:id="rId8"/>
      <w:headerReference w:type="first" r:id="rId9"/>
      <w:footerReference w:type="first" r:id="rId10"/>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8C1" w:rsidRDefault="00CF08C1">
      <w:r>
        <w:separator/>
      </w:r>
    </w:p>
  </w:endnote>
  <w:endnote w:type="continuationSeparator" w:id="0">
    <w:p w:rsidR="00CF08C1" w:rsidRDefault="00CF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Pr="00666B0A" w:rsidRDefault="00944EB5">
    <w:pPr>
      <w:pStyle w:val="Footer"/>
      <w:widowControl/>
      <w:tabs>
        <w:tab w:val="clear" w:pos="4153"/>
        <w:tab w:val="clear" w:pos="8306"/>
        <w:tab w:val="center" w:pos="2835"/>
        <w:tab w:val="center" w:pos="4536"/>
        <w:tab w:val="right" w:pos="8789"/>
      </w:tabs>
      <w:spacing w:before="240" w:line="240" w:lineRule="auto"/>
      <w:ind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8C1" w:rsidRDefault="00CF08C1">
      <w:r>
        <w:separator/>
      </w:r>
    </w:p>
  </w:footnote>
  <w:footnote w:type="continuationSeparator" w:id="0">
    <w:p w:rsidR="00CF08C1" w:rsidRDefault="00CF0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DA70AF">
      <w:rPr>
        <w:rStyle w:val="PageNumber"/>
        <w:noProof/>
        <w:sz w:val="24"/>
      </w:rPr>
      <w:t>5</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16" w:rsidRDefault="00332916">
    <w:pPr>
      <w:pStyle w:val="Header"/>
      <w:widowControl/>
      <w:tabs>
        <w:tab w:val="clear" w:pos="4153"/>
        <w:tab w:val="center" w:pos="4536"/>
      </w:tabs>
      <w:spacing w:before="0" w:after="0" w:line="240" w:lineRule="auto"/>
      <w:ind w:firstLine="0"/>
      <w:jc w:val="center"/>
    </w:pPr>
  </w:p>
  <w:p w:rsidR="00332916" w:rsidRDefault="00336FED">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9776" behindDoc="1" locked="0" layoutInCell="1" allowOverlap="1" wp14:anchorId="6A9B14DB" wp14:editId="5A7BFA90">
          <wp:simplePos x="0" y="0"/>
          <wp:positionH relativeFrom="column">
            <wp:posOffset>0</wp:posOffset>
          </wp:positionH>
          <wp:positionV relativeFrom="paragraph">
            <wp:posOffset>57785</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g">
          <w:drawing>
            <wp:anchor distT="0" distB="0" distL="114300" distR="114300" simplePos="0" relativeHeight="251660288" behindDoc="1" locked="0" layoutInCell="1" allowOverlap="1">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EBA53" id="Group 41" o:spid="_x0000_s1026" style="position:absolute;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332916" w:rsidRDefault="00332916">
    <w:pPr>
      <w:pStyle w:val="Header"/>
      <w:widowControl/>
      <w:tabs>
        <w:tab w:val="clear" w:pos="4153"/>
        <w:tab w:val="center" w:pos="4536"/>
      </w:tabs>
      <w:spacing w:before="0" w:after="0" w:line="240" w:lineRule="auto"/>
      <w:ind w:firstLine="0"/>
      <w:jc w:val="center"/>
    </w:pPr>
  </w:p>
  <w:p w:rsidR="00944EB5"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1080135</wp:posOffset>
              </wp:positionH>
              <wp:positionV relativeFrom="page">
                <wp:posOffset>2030730</wp:posOffset>
              </wp:positionV>
              <wp:extent cx="593026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1026" type="#_x0000_t202" style="position:absolute;left:0;text-align:left;margin-left:85.05pt;margin-top:159.9pt;width:466.9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fwrg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" filled="f" stroked="f">
              <v:textbox inset="0,0,0,0">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p>
  <w:p w:rsidR="00332916" w:rsidRPr="00332916" w:rsidRDefault="00332916" w:rsidP="00332916">
    <w:pPr>
      <w:pStyle w:val="Header"/>
      <w:widowControl/>
      <w:tabs>
        <w:tab w:val="clear" w:pos="4153"/>
        <w:tab w:val="center" w:pos="4536"/>
      </w:tabs>
      <w:spacing w:before="240" w:after="240" w:line="240" w:lineRule="auto"/>
      <w:ind w:firstLine="0"/>
      <w:jc w:val="center"/>
      <w:rPr>
        <w:sz w:val="24"/>
      </w:rPr>
    </w:pPr>
    <w:r>
      <w:rPr>
        <w:sz w:val="24"/>
      </w:rPr>
      <w:t>Rīgā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B"/>
    <w:rsid w:val="00084DE0"/>
    <w:rsid w:val="0008627C"/>
    <w:rsid w:val="000B779F"/>
    <w:rsid w:val="00117951"/>
    <w:rsid w:val="00124F93"/>
    <w:rsid w:val="00153F75"/>
    <w:rsid w:val="0019563F"/>
    <w:rsid w:val="00276B3B"/>
    <w:rsid w:val="002A43BF"/>
    <w:rsid w:val="00321535"/>
    <w:rsid w:val="0032212B"/>
    <w:rsid w:val="00332916"/>
    <w:rsid w:val="00336FED"/>
    <w:rsid w:val="0034211B"/>
    <w:rsid w:val="003541FC"/>
    <w:rsid w:val="00376BCB"/>
    <w:rsid w:val="00421538"/>
    <w:rsid w:val="00463C79"/>
    <w:rsid w:val="004831B1"/>
    <w:rsid w:val="00486307"/>
    <w:rsid w:val="004B35C3"/>
    <w:rsid w:val="004B4A0E"/>
    <w:rsid w:val="00510703"/>
    <w:rsid w:val="00527F02"/>
    <w:rsid w:val="005E2AB7"/>
    <w:rsid w:val="006071D9"/>
    <w:rsid w:val="00614C26"/>
    <w:rsid w:val="00621A9C"/>
    <w:rsid w:val="0065032B"/>
    <w:rsid w:val="00666B0A"/>
    <w:rsid w:val="006956F2"/>
    <w:rsid w:val="006D654D"/>
    <w:rsid w:val="007412BD"/>
    <w:rsid w:val="00744444"/>
    <w:rsid w:val="00747107"/>
    <w:rsid w:val="00755954"/>
    <w:rsid w:val="00783EF2"/>
    <w:rsid w:val="0085283D"/>
    <w:rsid w:val="0089520F"/>
    <w:rsid w:val="009237AE"/>
    <w:rsid w:val="00944EB5"/>
    <w:rsid w:val="009C7B8B"/>
    <w:rsid w:val="00A061AF"/>
    <w:rsid w:val="00AA152A"/>
    <w:rsid w:val="00AB6AE3"/>
    <w:rsid w:val="00AC4AC4"/>
    <w:rsid w:val="00AF2B0C"/>
    <w:rsid w:val="00B40CE9"/>
    <w:rsid w:val="00B60691"/>
    <w:rsid w:val="00B9369A"/>
    <w:rsid w:val="00BE47F4"/>
    <w:rsid w:val="00C105DB"/>
    <w:rsid w:val="00C3704D"/>
    <w:rsid w:val="00C50FDA"/>
    <w:rsid w:val="00C94296"/>
    <w:rsid w:val="00CF08C1"/>
    <w:rsid w:val="00D03489"/>
    <w:rsid w:val="00D32C9F"/>
    <w:rsid w:val="00D6505A"/>
    <w:rsid w:val="00DA70AF"/>
    <w:rsid w:val="00DB704F"/>
    <w:rsid w:val="00DE099D"/>
    <w:rsid w:val="00DF6300"/>
    <w:rsid w:val="00E05D1D"/>
    <w:rsid w:val="00E40AA6"/>
    <w:rsid w:val="00E719D8"/>
    <w:rsid w:val="00F151AE"/>
    <w:rsid w:val="00F2341F"/>
    <w:rsid w:val="00F24B61"/>
    <w:rsid w:val="00FB3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7B6EE8-E35E-4854-966C-4BD3F27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2B"/>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rsid w:val="0032212B"/>
    <w:pPr>
      <w:tabs>
        <w:tab w:val="center" w:pos="4153"/>
        <w:tab w:val="right" w:pos="8306"/>
      </w:tabs>
    </w:pPr>
  </w:style>
  <w:style w:type="paragraph" w:styleId="Subtitle">
    <w:name w:val="Subtitle"/>
    <w:basedOn w:val="Normal"/>
    <w:next w:val="Normal"/>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6D729-C50C-4A8C-85FF-EB158665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5185</Words>
  <Characters>2957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2014. gada 19. augusta sēdes</dc:subject>
  <dc:creator>Mālnieks A.</dc:creator>
  <dc:description>Sagatavots ALS E-aprites vidē.</dc:description>
  <cp:lastModifiedBy>Arvils Ašeradens</cp:lastModifiedBy>
  <cp:revision>11</cp:revision>
  <cp:lastPrinted>1998-02-25T09:00:00Z</cp:lastPrinted>
  <dcterms:created xsi:type="dcterms:W3CDTF">2017-07-05T13:02:00Z</dcterms:created>
  <dcterms:modified xsi:type="dcterms:W3CDTF">2017-08-08T07:36:00Z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