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1EF" w:rsidRPr="00F06E2C" w:rsidRDefault="00C051EF" w:rsidP="000C0BD0">
      <w:pPr>
        <w:spacing w:after="120" w:line="276" w:lineRule="auto"/>
        <w:jc w:val="center"/>
        <w:rPr>
          <w:rFonts w:cs="Times New Roman"/>
          <w:b/>
          <w:sz w:val="28"/>
          <w:szCs w:val="28"/>
        </w:rPr>
      </w:pPr>
      <w:bookmarkStart w:id="0" w:name="_GoBack"/>
      <w:bookmarkEnd w:id="0"/>
      <w:r w:rsidRPr="00F06E2C">
        <w:rPr>
          <w:rFonts w:cs="Times New Roman"/>
          <w:b/>
          <w:sz w:val="28"/>
          <w:szCs w:val="28"/>
        </w:rPr>
        <w:t>INFORMATĪVAIS ZIŅOJUMS</w:t>
      </w:r>
    </w:p>
    <w:p w:rsidR="00C051EF" w:rsidRPr="008809A4" w:rsidRDefault="00C051EF" w:rsidP="000C0BD0">
      <w:pPr>
        <w:spacing w:after="120" w:line="276" w:lineRule="auto"/>
        <w:jc w:val="center"/>
        <w:rPr>
          <w:rFonts w:cs="Times New Roman"/>
          <w:b/>
          <w:sz w:val="28"/>
          <w:szCs w:val="28"/>
        </w:rPr>
      </w:pPr>
      <w:r w:rsidRPr="00366BD3">
        <w:rPr>
          <w:rFonts w:cs="Times New Roman"/>
          <w:b/>
          <w:sz w:val="28"/>
          <w:szCs w:val="28"/>
        </w:rPr>
        <w:t>par</w:t>
      </w:r>
      <w:r w:rsidR="00366BD3">
        <w:rPr>
          <w:rFonts w:cs="Times New Roman"/>
          <w:b/>
          <w:sz w:val="28"/>
          <w:szCs w:val="28"/>
        </w:rPr>
        <w:t xml:space="preserve"> </w:t>
      </w:r>
      <w:r w:rsidRPr="00366BD3">
        <w:rPr>
          <w:rFonts w:cs="Times New Roman"/>
          <w:b/>
          <w:sz w:val="28"/>
          <w:szCs w:val="28"/>
        </w:rPr>
        <w:t xml:space="preserve"> 2017. </w:t>
      </w:r>
      <w:r w:rsidR="000148ED" w:rsidRPr="00366BD3">
        <w:rPr>
          <w:rFonts w:cs="Times New Roman"/>
          <w:b/>
          <w:sz w:val="28"/>
          <w:szCs w:val="28"/>
        </w:rPr>
        <w:t>gada 20</w:t>
      </w:r>
      <w:r w:rsidR="0073393B" w:rsidRPr="00366BD3">
        <w:rPr>
          <w:rFonts w:cs="Times New Roman"/>
          <w:b/>
          <w:sz w:val="28"/>
          <w:szCs w:val="28"/>
        </w:rPr>
        <w:t xml:space="preserve">. </w:t>
      </w:r>
      <w:r w:rsidR="000148ED" w:rsidRPr="00366BD3">
        <w:rPr>
          <w:rFonts w:cs="Times New Roman"/>
          <w:b/>
          <w:sz w:val="28"/>
          <w:szCs w:val="28"/>
        </w:rPr>
        <w:t>septembra</w:t>
      </w:r>
      <w:r w:rsidRPr="00366BD3">
        <w:rPr>
          <w:rFonts w:cs="Times New Roman"/>
          <w:b/>
          <w:sz w:val="28"/>
          <w:szCs w:val="28"/>
        </w:rPr>
        <w:t xml:space="preserve"> neformālajā Eiropas Savienības </w:t>
      </w:r>
      <w:r w:rsidR="000148ED" w:rsidRPr="00366BD3">
        <w:rPr>
          <w:rFonts w:cs="Times New Roman"/>
          <w:b/>
          <w:sz w:val="28"/>
          <w:szCs w:val="28"/>
        </w:rPr>
        <w:t>transporta</w:t>
      </w:r>
      <w:r w:rsidR="00BA75AF" w:rsidRPr="00366BD3">
        <w:rPr>
          <w:rFonts w:cs="Times New Roman"/>
          <w:b/>
          <w:sz w:val="28"/>
          <w:szCs w:val="28"/>
        </w:rPr>
        <w:t xml:space="preserve"> un </w:t>
      </w:r>
      <w:r w:rsidRPr="00366BD3">
        <w:rPr>
          <w:rFonts w:cs="Times New Roman"/>
          <w:b/>
          <w:sz w:val="28"/>
          <w:szCs w:val="28"/>
        </w:rPr>
        <w:t xml:space="preserve">enerģētikas ministru sanāksmē izskatāmajiem </w:t>
      </w:r>
      <w:r w:rsidR="008809A4" w:rsidRPr="001D5AFA">
        <w:rPr>
          <w:b/>
          <w:sz w:val="28"/>
          <w:szCs w:val="28"/>
        </w:rPr>
        <w:t>Ekonomikas ministrijas kompetences jautājum</w:t>
      </w:r>
      <w:r w:rsidR="00366BD3">
        <w:rPr>
          <w:b/>
          <w:sz w:val="28"/>
          <w:szCs w:val="28"/>
        </w:rPr>
        <w:t>iem</w:t>
      </w:r>
    </w:p>
    <w:p w:rsidR="00646D92" w:rsidRPr="000C0BD0" w:rsidRDefault="00646D92" w:rsidP="000C0BD0">
      <w:pPr>
        <w:spacing w:line="276" w:lineRule="auto"/>
        <w:rPr>
          <w:sz w:val="28"/>
          <w:szCs w:val="28"/>
        </w:rPr>
      </w:pPr>
    </w:p>
    <w:p w:rsidR="00C051EF" w:rsidRPr="000C0BD0" w:rsidRDefault="00C051EF" w:rsidP="000C0BD0">
      <w:pPr>
        <w:shd w:val="clear" w:color="auto" w:fill="F2F2F2" w:themeFill="background1" w:themeFillShade="F2"/>
        <w:spacing w:after="120" w:line="276" w:lineRule="auto"/>
        <w:ind w:left="567" w:hanging="567"/>
        <w:rPr>
          <w:rFonts w:cs="Times New Roman"/>
          <w:b/>
          <w:sz w:val="28"/>
          <w:szCs w:val="28"/>
        </w:rPr>
      </w:pPr>
      <w:r w:rsidRPr="000C0BD0">
        <w:rPr>
          <w:rFonts w:cs="Times New Roman"/>
          <w:b/>
          <w:sz w:val="28"/>
          <w:szCs w:val="28"/>
        </w:rPr>
        <w:t>1</w:t>
      </w:r>
      <w:r w:rsidRPr="00F06E2C">
        <w:rPr>
          <w:rFonts w:cs="Times New Roman"/>
          <w:b/>
          <w:sz w:val="28"/>
          <w:szCs w:val="28"/>
        </w:rPr>
        <w:t>.</w:t>
      </w:r>
      <w:r w:rsidRPr="00F06E2C">
        <w:rPr>
          <w:rFonts w:cs="Times New Roman"/>
          <w:b/>
          <w:sz w:val="28"/>
          <w:szCs w:val="28"/>
        </w:rPr>
        <w:tab/>
      </w:r>
      <w:r w:rsidRPr="000C0BD0">
        <w:rPr>
          <w:rFonts w:cs="Times New Roman"/>
          <w:b/>
          <w:sz w:val="28"/>
          <w:szCs w:val="28"/>
        </w:rPr>
        <w:t>Neformālās enerģētikas ministru sanāksmes darba kārtības jautājumi</w:t>
      </w:r>
    </w:p>
    <w:p w:rsidR="00624911" w:rsidRPr="000C0BD0" w:rsidRDefault="000148ED" w:rsidP="000C0BD0">
      <w:pPr>
        <w:pStyle w:val="NoSpacing"/>
        <w:spacing w:after="120" w:line="276" w:lineRule="auto"/>
        <w:ind w:firstLine="567"/>
        <w:rPr>
          <w:sz w:val="28"/>
          <w:szCs w:val="28"/>
        </w:rPr>
      </w:pPr>
      <w:r w:rsidRPr="000C0BD0">
        <w:rPr>
          <w:sz w:val="28"/>
          <w:szCs w:val="28"/>
        </w:rPr>
        <w:t xml:space="preserve">Igaunijas prezidentūra </w:t>
      </w:r>
      <w:r w:rsidR="00C051EF" w:rsidRPr="000C0BD0">
        <w:rPr>
          <w:sz w:val="28"/>
          <w:szCs w:val="28"/>
        </w:rPr>
        <w:t xml:space="preserve">2017. gada </w:t>
      </w:r>
      <w:r w:rsidRPr="000C0BD0">
        <w:rPr>
          <w:sz w:val="28"/>
          <w:szCs w:val="28"/>
        </w:rPr>
        <w:t>20</w:t>
      </w:r>
      <w:r w:rsidR="00C051EF" w:rsidRPr="000C0BD0">
        <w:rPr>
          <w:sz w:val="28"/>
          <w:szCs w:val="28"/>
        </w:rPr>
        <w:t>.</w:t>
      </w:r>
      <w:r w:rsidR="0073393B" w:rsidRPr="000C0BD0">
        <w:rPr>
          <w:sz w:val="28"/>
          <w:szCs w:val="28"/>
        </w:rPr>
        <w:t xml:space="preserve"> </w:t>
      </w:r>
      <w:r w:rsidRPr="000C0BD0">
        <w:rPr>
          <w:sz w:val="28"/>
          <w:szCs w:val="28"/>
        </w:rPr>
        <w:t>septembrī</w:t>
      </w:r>
      <w:r w:rsidR="00C051EF" w:rsidRPr="000C0BD0">
        <w:rPr>
          <w:sz w:val="28"/>
          <w:szCs w:val="28"/>
        </w:rPr>
        <w:t xml:space="preserve"> </w:t>
      </w:r>
      <w:r w:rsidRPr="000C0BD0">
        <w:rPr>
          <w:sz w:val="28"/>
          <w:szCs w:val="28"/>
        </w:rPr>
        <w:t>Tallinā</w:t>
      </w:r>
      <w:r w:rsidR="00C051EF" w:rsidRPr="000C0BD0">
        <w:rPr>
          <w:sz w:val="28"/>
          <w:szCs w:val="28"/>
        </w:rPr>
        <w:t xml:space="preserve">, </w:t>
      </w:r>
      <w:r w:rsidRPr="000C0BD0">
        <w:rPr>
          <w:sz w:val="28"/>
          <w:szCs w:val="28"/>
        </w:rPr>
        <w:t>Igaunijā</w:t>
      </w:r>
      <w:r w:rsidR="00C051EF" w:rsidRPr="000C0BD0">
        <w:rPr>
          <w:sz w:val="28"/>
          <w:szCs w:val="28"/>
        </w:rPr>
        <w:t>, organizē neformālo Eiropas Savienības (turpmāk – ES) enerģētikas ministru sanāksmi</w:t>
      </w:r>
      <w:r w:rsidRPr="000C0BD0">
        <w:rPr>
          <w:sz w:val="28"/>
          <w:szCs w:val="28"/>
        </w:rPr>
        <w:t xml:space="preserve">, kuras galvenais temats būs </w:t>
      </w:r>
      <w:r w:rsidR="001B39AA" w:rsidRPr="000C0BD0">
        <w:rPr>
          <w:sz w:val="28"/>
          <w:szCs w:val="28"/>
        </w:rPr>
        <w:t xml:space="preserve">jaunais </w:t>
      </w:r>
      <w:r w:rsidRPr="000C0BD0">
        <w:rPr>
          <w:sz w:val="28"/>
          <w:szCs w:val="28"/>
        </w:rPr>
        <w:t>elektroenerģijas tirgus dizains</w:t>
      </w:r>
      <w:r w:rsidR="00F06E2C" w:rsidRPr="000C0BD0">
        <w:rPr>
          <w:sz w:val="28"/>
          <w:szCs w:val="28"/>
        </w:rPr>
        <w:t xml:space="preserve">, īpašu uzmanību pievēršot ietekmei uz patērētājiem un to lomai tirgū, kā arī </w:t>
      </w:r>
      <w:r w:rsidR="00923A5B" w:rsidRPr="000C0BD0">
        <w:rPr>
          <w:sz w:val="28"/>
          <w:szCs w:val="28"/>
        </w:rPr>
        <w:t>pārrobežu sadarbība</w:t>
      </w:r>
      <w:r w:rsidR="00F06E2C" w:rsidRPr="000C0BD0">
        <w:rPr>
          <w:sz w:val="28"/>
          <w:szCs w:val="28"/>
        </w:rPr>
        <w:t>i</w:t>
      </w:r>
      <w:r w:rsidR="00923A5B" w:rsidRPr="000C0BD0">
        <w:rPr>
          <w:sz w:val="28"/>
          <w:szCs w:val="28"/>
        </w:rPr>
        <w:t>.</w:t>
      </w:r>
      <w:r w:rsidR="00F06E2C" w:rsidRPr="000C0BD0">
        <w:rPr>
          <w:sz w:val="28"/>
          <w:szCs w:val="28"/>
        </w:rPr>
        <w:t xml:space="preserve"> Darba sesijas pamatā būs Igaunijas prezidentūras sagatavotais diskusiju dokuments par augstāk minētajām tēmām. Informatīvajā ziņojumā ir apkopota informācija par plānotajām diskusiju tēmām, kā arī atbildes uz prezidentvalsts jautājumiem.</w:t>
      </w:r>
    </w:p>
    <w:p w:rsidR="000148ED" w:rsidRPr="000C0BD0" w:rsidRDefault="00923A5B" w:rsidP="000C0BD0">
      <w:pPr>
        <w:pStyle w:val="NoSpacing"/>
        <w:spacing w:after="120" w:line="276" w:lineRule="auto"/>
        <w:ind w:firstLine="567"/>
        <w:rPr>
          <w:sz w:val="28"/>
          <w:szCs w:val="28"/>
        </w:rPr>
      </w:pPr>
      <w:r w:rsidRPr="000C0BD0">
        <w:rPr>
          <w:sz w:val="28"/>
          <w:szCs w:val="28"/>
        </w:rPr>
        <w:t xml:space="preserve"> Neformālā sanāksme noslēgsies ar enerģētikas un transporta ministru kopīgo sesiju. Ministri tiks aicināti dalīties ar </w:t>
      </w:r>
      <w:r w:rsidR="00624911" w:rsidRPr="000C0BD0">
        <w:rPr>
          <w:sz w:val="28"/>
          <w:szCs w:val="28"/>
        </w:rPr>
        <w:t>savu</w:t>
      </w:r>
      <w:r w:rsidRPr="000C0BD0">
        <w:rPr>
          <w:sz w:val="28"/>
          <w:szCs w:val="28"/>
        </w:rPr>
        <w:t xml:space="preserve"> redzējumu par infrastruktūras attīstību </w:t>
      </w:r>
      <w:r w:rsidR="00624911" w:rsidRPr="000C0BD0">
        <w:rPr>
          <w:sz w:val="28"/>
          <w:szCs w:val="28"/>
        </w:rPr>
        <w:t>līdz 2020. gadam un pēc tā, balstoties uz līdzšinējo pieredzi Eiropas savienošanas instrumenta jeb CEF (</w:t>
      </w:r>
      <w:r w:rsidR="00624911" w:rsidRPr="000C0BD0">
        <w:rPr>
          <w:i/>
          <w:sz w:val="28"/>
          <w:szCs w:val="28"/>
        </w:rPr>
        <w:t>Connecting Europe Falicity</w:t>
      </w:r>
      <w:r w:rsidR="00624911" w:rsidRPr="000C0BD0">
        <w:rPr>
          <w:sz w:val="28"/>
          <w:szCs w:val="28"/>
        </w:rPr>
        <w:t>) izmantošanā.</w:t>
      </w:r>
      <w:r w:rsidR="00F06E2C" w:rsidRPr="000C0BD0">
        <w:rPr>
          <w:sz w:val="28"/>
          <w:szCs w:val="28"/>
        </w:rPr>
        <w:t xml:space="preserve"> Informācija tiks iekļauta </w:t>
      </w:r>
      <w:r w:rsidR="008809A4">
        <w:rPr>
          <w:sz w:val="28"/>
          <w:szCs w:val="28"/>
        </w:rPr>
        <w:t xml:space="preserve">atsevišķā </w:t>
      </w:r>
      <w:r w:rsidR="00F06E2C" w:rsidRPr="000C0BD0">
        <w:rPr>
          <w:sz w:val="28"/>
          <w:szCs w:val="28"/>
        </w:rPr>
        <w:t>Satiksmes ministrijas sagatavotajā informatīvajā ziņojumā</w:t>
      </w:r>
      <w:r w:rsidR="00CD0B6D">
        <w:rPr>
          <w:sz w:val="28"/>
          <w:szCs w:val="28"/>
        </w:rPr>
        <w:t>.</w:t>
      </w:r>
    </w:p>
    <w:p w:rsidR="00624911" w:rsidRPr="000C0BD0" w:rsidRDefault="00901111" w:rsidP="000C0BD0">
      <w:pPr>
        <w:pStyle w:val="NoSpacing"/>
        <w:spacing w:after="120" w:line="276" w:lineRule="auto"/>
        <w:ind w:firstLine="567"/>
        <w:rPr>
          <w:sz w:val="28"/>
          <w:szCs w:val="28"/>
        </w:rPr>
      </w:pPr>
      <w:r w:rsidRPr="000C0BD0">
        <w:rPr>
          <w:sz w:val="28"/>
          <w:szCs w:val="28"/>
        </w:rPr>
        <w:t>Papildus</w:t>
      </w:r>
      <w:r w:rsidR="007B1CA0" w:rsidRPr="000C0BD0">
        <w:rPr>
          <w:sz w:val="28"/>
          <w:szCs w:val="28"/>
        </w:rPr>
        <w:t xml:space="preserve"> d</w:t>
      </w:r>
      <w:r w:rsidR="00624911" w:rsidRPr="000C0BD0">
        <w:rPr>
          <w:sz w:val="28"/>
          <w:szCs w:val="28"/>
        </w:rPr>
        <w:t xml:space="preserve">alībvalstis tiks aicinātas parakstīt </w:t>
      </w:r>
      <w:r w:rsidR="003302B3" w:rsidRPr="000C0BD0">
        <w:rPr>
          <w:sz w:val="28"/>
          <w:szCs w:val="28"/>
        </w:rPr>
        <w:t xml:space="preserve">Igaunijas prezidentūras sagatavoto </w:t>
      </w:r>
      <w:r w:rsidR="00624911" w:rsidRPr="000C0BD0">
        <w:rPr>
          <w:sz w:val="28"/>
          <w:szCs w:val="28"/>
        </w:rPr>
        <w:t xml:space="preserve">deklarāciju par digitalizāciju enerģētikas sektorā. </w:t>
      </w:r>
      <w:r w:rsidR="00500236" w:rsidRPr="000C0BD0">
        <w:rPr>
          <w:sz w:val="28"/>
          <w:szCs w:val="28"/>
        </w:rPr>
        <w:t xml:space="preserve">Deklarācijā ir pausts aicinājums uzsākt digitālās enerģētikas stratēģiju un iesaistīt gan valsts, gan privāto sektoru šajā procesā. </w:t>
      </w:r>
    </w:p>
    <w:p w:rsidR="003302B3" w:rsidRPr="000C0BD0" w:rsidRDefault="003302B3" w:rsidP="003302B3">
      <w:pPr>
        <w:pStyle w:val="NoSpacing"/>
        <w:spacing w:after="120" w:line="276" w:lineRule="auto"/>
        <w:ind w:firstLine="567"/>
        <w:rPr>
          <w:sz w:val="28"/>
          <w:szCs w:val="28"/>
        </w:rPr>
      </w:pPr>
    </w:p>
    <w:p w:rsidR="00366BD3" w:rsidRDefault="001658A8" w:rsidP="000C0BD0">
      <w:pPr>
        <w:pStyle w:val="NoSpacing"/>
        <w:numPr>
          <w:ilvl w:val="0"/>
          <w:numId w:val="10"/>
        </w:numPr>
        <w:spacing w:after="240" w:line="276" w:lineRule="auto"/>
        <w:ind w:left="567" w:hanging="357"/>
        <w:rPr>
          <w:b/>
          <w:sz w:val="28"/>
          <w:szCs w:val="28"/>
        </w:rPr>
      </w:pPr>
      <w:r w:rsidRPr="000C0BD0">
        <w:rPr>
          <w:b/>
          <w:sz w:val="28"/>
          <w:szCs w:val="28"/>
        </w:rPr>
        <w:t>Elektroenerģijas t</w:t>
      </w:r>
      <w:r w:rsidR="001B39AA" w:rsidRPr="000C0BD0">
        <w:rPr>
          <w:b/>
          <w:sz w:val="28"/>
          <w:szCs w:val="28"/>
        </w:rPr>
        <w:t xml:space="preserve">irgus dizaina galvenie aspekti. </w:t>
      </w:r>
    </w:p>
    <w:p w:rsidR="001079E5" w:rsidRPr="000C0BD0" w:rsidRDefault="001079E5" w:rsidP="000C0BD0">
      <w:pPr>
        <w:pStyle w:val="NoSpacing"/>
        <w:spacing w:after="240" w:line="276" w:lineRule="auto"/>
        <w:ind w:left="210"/>
        <w:rPr>
          <w:b/>
          <w:sz w:val="28"/>
          <w:szCs w:val="28"/>
        </w:rPr>
      </w:pPr>
      <w:r w:rsidRPr="000C0BD0">
        <w:rPr>
          <w:sz w:val="28"/>
          <w:szCs w:val="28"/>
        </w:rPr>
        <w:t xml:space="preserve">Pirmā darba sesija tiks veltīta </w:t>
      </w:r>
      <w:r w:rsidR="00B8743F" w:rsidRPr="000C0BD0">
        <w:rPr>
          <w:sz w:val="28"/>
          <w:szCs w:val="28"/>
        </w:rPr>
        <w:t>diskusijām par to</w:t>
      </w:r>
      <w:r w:rsidR="00CD0B6D">
        <w:rPr>
          <w:sz w:val="28"/>
          <w:szCs w:val="28"/>
        </w:rPr>
        <w:t>,</w:t>
      </w:r>
      <w:r w:rsidR="00B8743F" w:rsidRPr="000C0BD0">
        <w:rPr>
          <w:sz w:val="28"/>
          <w:szCs w:val="28"/>
        </w:rPr>
        <w:t xml:space="preserve"> </w:t>
      </w:r>
      <w:r w:rsidR="00B8743F" w:rsidRPr="000C0BD0">
        <w:rPr>
          <w:sz w:val="28"/>
          <w:szCs w:val="28"/>
          <w:u w:val="single"/>
        </w:rPr>
        <w:t>kā nodrošināt labi funkcionējošu</w:t>
      </w:r>
      <w:r w:rsidRPr="000C0BD0">
        <w:rPr>
          <w:sz w:val="28"/>
          <w:szCs w:val="28"/>
          <w:u w:val="single"/>
        </w:rPr>
        <w:t xml:space="preserve"> elektroenerģijas </w:t>
      </w:r>
      <w:r w:rsidR="00FD724A" w:rsidRPr="000C0BD0">
        <w:rPr>
          <w:sz w:val="28"/>
          <w:szCs w:val="28"/>
          <w:u w:val="single"/>
        </w:rPr>
        <w:t>tirgu</w:t>
      </w:r>
      <w:r w:rsidRPr="000C0BD0">
        <w:rPr>
          <w:sz w:val="28"/>
          <w:szCs w:val="28"/>
        </w:rPr>
        <w:t xml:space="preserve"> bez </w:t>
      </w:r>
      <w:r w:rsidR="007D0DF4" w:rsidRPr="000C0BD0">
        <w:rPr>
          <w:sz w:val="28"/>
          <w:szCs w:val="28"/>
        </w:rPr>
        <w:t>kropļojošiem</w:t>
      </w:r>
      <w:r w:rsidRPr="000C0BD0">
        <w:rPr>
          <w:sz w:val="28"/>
          <w:szCs w:val="28"/>
        </w:rPr>
        <w:t xml:space="preserve"> pasākumiem, </w:t>
      </w:r>
      <w:r w:rsidR="00C16ED6" w:rsidRPr="000C0BD0">
        <w:rPr>
          <w:sz w:val="28"/>
          <w:szCs w:val="28"/>
        </w:rPr>
        <w:t xml:space="preserve">īpašu uzmanību pievēršot </w:t>
      </w:r>
      <w:r w:rsidR="00C16ED6" w:rsidRPr="000C0BD0">
        <w:rPr>
          <w:sz w:val="28"/>
          <w:szCs w:val="28"/>
          <w:u w:val="single"/>
        </w:rPr>
        <w:t>patērētāju tiesībām</w:t>
      </w:r>
      <w:r w:rsidR="00366BD3">
        <w:rPr>
          <w:sz w:val="28"/>
          <w:szCs w:val="28"/>
          <w:u w:val="single"/>
        </w:rPr>
        <w:t xml:space="preserve"> un to aktivitātēm</w:t>
      </w:r>
      <w:r w:rsidRPr="000C0BD0">
        <w:rPr>
          <w:sz w:val="28"/>
          <w:szCs w:val="28"/>
        </w:rPr>
        <w:t xml:space="preserve">, kā arī </w:t>
      </w:r>
      <w:r w:rsidR="003302B3" w:rsidRPr="000C0BD0">
        <w:rPr>
          <w:sz w:val="28"/>
          <w:szCs w:val="28"/>
        </w:rPr>
        <w:t>tiks pārrunātas</w:t>
      </w:r>
      <w:r w:rsidR="00FD724A" w:rsidRPr="000C0BD0">
        <w:rPr>
          <w:sz w:val="28"/>
          <w:szCs w:val="28"/>
        </w:rPr>
        <w:t xml:space="preserve"> </w:t>
      </w:r>
      <w:r w:rsidRPr="000C0BD0">
        <w:rPr>
          <w:sz w:val="28"/>
          <w:szCs w:val="28"/>
          <w:u w:val="single"/>
        </w:rPr>
        <w:t xml:space="preserve">pārrobežu sadarbības </w:t>
      </w:r>
      <w:r w:rsidR="00FD724A" w:rsidRPr="000C0BD0">
        <w:rPr>
          <w:sz w:val="28"/>
          <w:szCs w:val="28"/>
          <w:u w:val="single"/>
        </w:rPr>
        <w:t>veicināšanas iespējas</w:t>
      </w:r>
      <w:r w:rsidR="00FD724A" w:rsidRPr="000C0BD0">
        <w:rPr>
          <w:sz w:val="28"/>
          <w:szCs w:val="28"/>
        </w:rPr>
        <w:t>.</w:t>
      </w:r>
    </w:p>
    <w:p w:rsidR="00BB2380" w:rsidRPr="000C0BD0" w:rsidRDefault="00BB2380" w:rsidP="000C0BD0">
      <w:pPr>
        <w:tabs>
          <w:tab w:val="left" w:pos="601"/>
        </w:tabs>
        <w:spacing w:after="120" w:line="276" w:lineRule="auto"/>
        <w:ind w:firstLine="567"/>
        <w:rPr>
          <w:sz w:val="28"/>
          <w:szCs w:val="28"/>
        </w:rPr>
      </w:pPr>
      <w:r w:rsidRPr="000C0BD0">
        <w:rPr>
          <w:sz w:val="28"/>
          <w:szCs w:val="28"/>
        </w:rPr>
        <w:t xml:space="preserve">Lai turpinātu Enerģētikas Savienības ieviešanu praksē, 2016. gada 30. novembrī Eiropas Komisijas (turpmāk – Komisija) nāca klajā ar dokumentu pakotni, kas </w:t>
      </w:r>
      <w:r w:rsidR="00C16ED6" w:rsidRPr="000C0BD0">
        <w:rPr>
          <w:sz w:val="28"/>
          <w:szCs w:val="28"/>
        </w:rPr>
        <w:t xml:space="preserve">tostarp </w:t>
      </w:r>
      <w:r w:rsidRPr="000C0BD0">
        <w:rPr>
          <w:sz w:val="28"/>
          <w:szCs w:val="28"/>
        </w:rPr>
        <w:t xml:space="preserve">ietvēra </w:t>
      </w:r>
      <w:r w:rsidR="00DC16C5" w:rsidRPr="000C0BD0">
        <w:rPr>
          <w:sz w:val="28"/>
          <w:szCs w:val="28"/>
        </w:rPr>
        <w:t>četrus</w:t>
      </w:r>
      <w:r w:rsidRPr="000C0BD0">
        <w:rPr>
          <w:sz w:val="28"/>
          <w:szCs w:val="28"/>
        </w:rPr>
        <w:t xml:space="preserve"> likumdošanas priekšlikumus attiecībā uz jaunu pieeju elektroenerģijas tirgus dizainam:</w:t>
      </w:r>
    </w:p>
    <w:p w:rsidR="00BB2380" w:rsidRPr="000C0BD0" w:rsidRDefault="00BB2380" w:rsidP="000C0BD0">
      <w:pPr>
        <w:pStyle w:val="ListParagraph"/>
        <w:numPr>
          <w:ilvl w:val="0"/>
          <w:numId w:val="13"/>
        </w:numPr>
        <w:tabs>
          <w:tab w:val="left" w:pos="885"/>
        </w:tabs>
        <w:spacing w:after="120" w:line="276" w:lineRule="auto"/>
        <w:contextualSpacing w:val="0"/>
        <w:rPr>
          <w:sz w:val="28"/>
          <w:szCs w:val="28"/>
        </w:rPr>
      </w:pPr>
      <w:r w:rsidRPr="000C0BD0">
        <w:rPr>
          <w:sz w:val="28"/>
          <w:szCs w:val="28"/>
        </w:rPr>
        <w:lastRenderedPageBreak/>
        <w:t>Priekšlikums regulai par elektroenerģijas iekšējo tirgu (pārstrādāta redakcija), kurš pārsvarā ietver jaunus noteikumus attiecībā uz elektroenerģijas vairumtirdzniecību;</w:t>
      </w:r>
    </w:p>
    <w:p w:rsidR="00BB2380" w:rsidRPr="000C0BD0" w:rsidRDefault="00BB2380" w:rsidP="000C0BD0">
      <w:pPr>
        <w:pStyle w:val="ListParagraph"/>
        <w:numPr>
          <w:ilvl w:val="0"/>
          <w:numId w:val="13"/>
        </w:numPr>
        <w:tabs>
          <w:tab w:val="left" w:pos="743"/>
        </w:tabs>
        <w:spacing w:after="120" w:line="276" w:lineRule="auto"/>
        <w:contextualSpacing w:val="0"/>
        <w:rPr>
          <w:sz w:val="28"/>
          <w:szCs w:val="28"/>
        </w:rPr>
      </w:pPr>
      <w:r w:rsidRPr="000C0BD0">
        <w:rPr>
          <w:sz w:val="28"/>
          <w:szCs w:val="28"/>
        </w:rPr>
        <w:t>Priekšlikums direktīvai par kopīgiem noteikumiem attiecībā uz elektroenerģijas iekšējo tirgu (pārstrādāta redakcija), kurš lielākoties ietver jaunus noteikumus attiecībā uz elektroenerģijas mazumtirdzniecību;</w:t>
      </w:r>
    </w:p>
    <w:p w:rsidR="00BB2380" w:rsidRPr="000C0BD0" w:rsidRDefault="00BB2380" w:rsidP="000C0BD0">
      <w:pPr>
        <w:pStyle w:val="ListParagraph"/>
        <w:numPr>
          <w:ilvl w:val="0"/>
          <w:numId w:val="13"/>
        </w:numPr>
        <w:tabs>
          <w:tab w:val="left" w:pos="459"/>
          <w:tab w:val="left" w:pos="743"/>
        </w:tabs>
        <w:spacing w:after="120" w:line="276" w:lineRule="auto"/>
        <w:contextualSpacing w:val="0"/>
        <w:rPr>
          <w:sz w:val="28"/>
          <w:szCs w:val="28"/>
        </w:rPr>
      </w:pPr>
      <w:r w:rsidRPr="000C0BD0">
        <w:rPr>
          <w:sz w:val="28"/>
          <w:szCs w:val="28"/>
        </w:rPr>
        <w:t>Priekšlikums regulai, ar ko izveido Eiropas Savienības Energoregulatoru sadarbības aģentūru (pārstrādāta redakcija), kurā tiek precizēti Eiropas Savienības Energoregulatora (turpmāk – ACER) pienākumi un kārtība;</w:t>
      </w:r>
    </w:p>
    <w:p w:rsidR="00A22D90" w:rsidRPr="000C0BD0" w:rsidRDefault="00BB2380" w:rsidP="000C0BD0">
      <w:pPr>
        <w:pStyle w:val="ListParagraph"/>
        <w:tabs>
          <w:tab w:val="left" w:pos="459"/>
        </w:tabs>
        <w:spacing w:after="120" w:line="276" w:lineRule="auto"/>
        <w:contextualSpacing w:val="0"/>
        <w:rPr>
          <w:sz w:val="28"/>
          <w:szCs w:val="28"/>
        </w:rPr>
      </w:pPr>
      <w:r w:rsidRPr="000C0BD0">
        <w:rPr>
          <w:sz w:val="28"/>
          <w:szCs w:val="28"/>
        </w:rPr>
        <w:t>Priekšlikums regulai par gatavību riskiem elektroenerģijas sektorā un ar ko atceļ Direktīvu 2005/89/EK, kurā tiek noteikti instrumenti, kas dalībvalstīm jāizmanto, lai novērstu un sagatavotos elektroenerģijas krīzes situācijām.</w:t>
      </w:r>
    </w:p>
    <w:p w:rsidR="00BE05F3" w:rsidRPr="000C0BD0" w:rsidRDefault="00A34F57" w:rsidP="000C0BD0">
      <w:pPr>
        <w:pStyle w:val="NoSpacing"/>
        <w:spacing w:after="120" w:line="276" w:lineRule="auto"/>
        <w:ind w:firstLine="567"/>
        <w:rPr>
          <w:sz w:val="28"/>
          <w:szCs w:val="28"/>
        </w:rPr>
      </w:pPr>
      <w:r w:rsidRPr="000C0BD0">
        <w:rPr>
          <w:sz w:val="28"/>
          <w:szCs w:val="28"/>
        </w:rPr>
        <w:t>Ņemot vērā sanāksmē plānoto diskusiju jautājumu lo</w:t>
      </w:r>
      <w:r w:rsidR="00F242E4">
        <w:rPr>
          <w:sz w:val="28"/>
          <w:szCs w:val="28"/>
        </w:rPr>
        <w:t>ku, īpaša vērība tiks pievērsta</w:t>
      </w:r>
      <w:r w:rsidRPr="000C0BD0">
        <w:rPr>
          <w:sz w:val="28"/>
          <w:szCs w:val="28"/>
        </w:rPr>
        <w:t xml:space="preserve"> </w:t>
      </w:r>
      <w:r w:rsidRPr="000C0BD0">
        <w:rPr>
          <w:sz w:val="28"/>
          <w:szCs w:val="28"/>
          <w:u w:val="single"/>
        </w:rPr>
        <w:t>Priekšlikumam</w:t>
      </w:r>
      <w:r w:rsidR="001B39AA" w:rsidRPr="000C0BD0">
        <w:rPr>
          <w:sz w:val="28"/>
          <w:szCs w:val="28"/>
          <w:u w:val="single"/>
        </w:rPr>
        <w:t xml:space="preserve"> regulai par elektroenerģijas iekšējo tirgu</w:t>
      </w:r>
      <w:r w:rsidR="00BE05F3" w:rsidRPr="000C0BD0">
        <w:rPr>
          <w:sz w:val="28"/>
          <w:szCs w:val="28"/>
          <w:u w:val="single"/>
        </w:rPr>
        <w:t xml:space="preserve"> </w:t>
      </w:r>
      <w:r w:rsidR="00FD724A" w:rsidRPr="000C0BD0">
        <w:rPr>
          <w:sz w:val="28"/>
          <w:szCs w:val="28"/>
          <w:u w:val="single"/>
        </w:rPr>
        <w:t xml:space="preserve">(turpmāk – regula) </w:t>
      </w:r>
      <w:r w:rsidRPr="000C0BD0">
        <w:rPr>
          <w:sz w:val="28"/>
          <w:szCs w:val="28"/>
          <w:u w:val="single"/>
        </w:rPr>
        <w:t>un priekšlikumam</w:t>
      </w:r>
      <w:r w:rsidR="00BE05F3" w:rsidRPr="000C0BD0">
        <w:rPr>
          <w:sz w:val="28"/>
          <w:szCs w:val="28"/>
          <w:u w:val="single"/>
        </w:rPr>
        <w:t xml:space="preserve"> direktīvai par kopīgiem noteikumiem attiecībā uz elektroenerģijas iekšējo tirgu</w:t>
      </w:r>
      <w:r w:rsidR="00FD724A" w:rsidRPr="000C0BD0">
        <w:rPr>
          <w:sz w:val="28"/>
          <w:szCs w:val="28"/>
          <w:u w:val="single"/>
        </w:rPr>
        <w:t xml:space="preserve"> ( turpmāk – direktīva)</w:t>
      </w:r>
      <w:r w:rsidRPr="000C0BD0">
        <w:rPr>
          <w:sz w:val="28"/>
          <w:szCs w:val="28"/>
        </w:rPr>
        <w:t>, kuri</w:t>
      </w:r>
      <w:r w:rsidR="00FD724A" w:rsidRPr="000C0BD0">
        <w:rPr>
          <w:sz w:val="28"/>
          <w:szCs w:val="28"/>
        </w:rPr>
        <w:t xml:space="preserve"> ir </w:t>
      </w:r>
      <w:r w:rsidR="00BB2380" w:rsidRPr="000C0BD0">
        <w:rPr>
          <w:sz w:val="28"/>
          <w:szCs w:val="28"/>
        </w:rPr>
        <w:t>savā starpā cieši saistīti. To primārais mērķis ir</w:t>
      </w:r>
      <w:r w:rsidR="00883A90" w:rsidRPr="000C0BD0">
        <w:rPr>
          <w:sz w:val="28"/>
          <w:szCs w:val="28"/>
        </w:rPr>
        <w:t>,</w:t>
      </w:r>
      <w:r w:rsidR="00BB2380" w:rsidRPr="000C0BD0">
        <w:rPr>
          <w:sz w:val="28"/>
          <w:szCs w:val="28"/>
        </w:rPr>
        <w:t xml:space="preserve"> palielinot elastīgumu</w:t>
      </w:r>
      <w:r w:rsidR="00883A90" w:rsidRPr="000C0BD0">
        <w:rPr>
          <w:sz w:val="28"/>
          <w:szCs w:val="28"/>
        </w:rPr>
        <w:t>,</w:t>
      </w:r>
      <w:r w:rsidR="00BB2380" w:rsidRPr="000C0BD0">
        <w:rPr>
          <w:sz w:val="28"/>
          <w:szCs w:val="28"/>
        </w:rPr>
        <w:t xml:space="preserve"> pielāgot pašreizējos tirgus noteikumus jaunajiem tirgus apstākļiem, ļaujot elektroenerģijai brīvi pārvietoties uz vietām, kur un kad tā ir visvairāk nepieciešama, izmantojot nekropļotus cenu signālus un vienlaicīgi sniedzot lielākas iespējas patērētājam, gūstot maksimālu labumu sabiedrībai no pārrobežu konkurences un nodrošinot pareizos signālus un stimulus, lai virzītu investīcijas un padarītu Eiropas enerģijas sistēmu konkurētspējīgāku un ar zemām oglekļa emisijām.</w:t>
      </w:r>
    </w:p>
    <w:p w:rsidR="000261FE" w:rsidRPr="000C0BD0" w:rsidRDefault="000261FE" w:rsidP="000C0BD0">
      <w:pPr>
        <w:pStyle w:val="NoSpacing"/>
        <w:spacing w:after="120" w:line="276" w:lineRule="auto"/>
        <w:ind w:firstLine="567"/>
        <w:rPr>
          <w:b/>
          <w:sz w:val="28"/>
          <w:szCs w:val="28"/>
        </w:rPr>
      </w:pPr>
    </w:p>
    <w:p w:rsidR="00DC16C5" w:rsidRPr="000C0BD0" w:rsidRDefault="00A34F57" w:rsidP="003302B3">
      <w:pPr>
        <w:pStyle w:val="ListParagraph"/>
        <w:tabs>
          <w:tab w:val="left" w:pos="459"/>
        </w:tabs>
        <w:spacing w:after="120" w:line="276" w:lineRule="auto"/>
        <w:ind w:left="34"/>
        <w:contextualSpacing w:val="0"/>
        <w:rPr>
          <w:sz w:val="28"/>
          <w:szCs w:val="28"/>
        </w:rPr>
      </w:pPr>
      <w:r w:rsidRPr="000C0BD0">
        <w:rPr>
          <w:sz w:val="28"/>
          <w:szCs w:val="28"/>
        </w:rPr>
        <w:tab/>
      </w:r>
      <w:r w:rsidRPr="000C0BD0">
        <w:rPr>
          <w:sz w:val="28"/>
          <w:szCs w:val="28"/>
        </w:rPr>
        <w:tab/>
        <w:t>Sanāksmē</w:t>
      </w:r>
      <w:r w:rsidR="00DC16C5" w:rsidRPr="000C0BD0">
        <w:rPr>
          <w:sz w:val="28"/>
          <w:szCs w:val="28"/>
        </w:rPr>
        <w:t xml:space="preserve"> plānoto diskusiju </w:t>
      </w:r>
      <w:r w:rsidR="00FD724A" w:rsidRPr="000C0BD0">
        <w:rPr>
          <w:sz w:val="28"/>
          <w:szCs w:val="28"/>
        </w:rPr>
        <w:t xml:space="preserve">kontekstā </w:t>
      </w:r>
      <w:r w:rsidR="00DC16C5" w:rsidRPr="000C0BD0">
        <w:rPr>
          <w:sz w:val="28"/>
          <w:szCs w:val="28"/>
        </w:rPr>
        <w:t xml:space="preserve">par </w:t>
      </w:r>
      <w:r w:rsidR="000E0F02">
        <w:rPr>
          <w:b/>
          <w:sz w:val="28"/>
          <w:szCs w:val="28"/>
          <w:u w:val="single"/>
        </w:rPr>
        <w:t>patērētāju lomu ti</w:t>
      </w:r>
      <w:r w:rsidR="00F242E4">
        <w:rPr>
          <w:b/>
          <w:sz w:val="28"/>
          <w:szCs w:val="28"/>
          <w:u w:val="single"/>
        </w:rPr>
        <w:t>r</w:t>
      </w:r>
      <w:r w:rsidR="000E0F02">
        <w:rPr>
          <w:b/>
          <w:sz w:val="28"/>
          <w:szCs w:val="28"/>
          <w:u w:val="single"/>
        </w:rPr>
        <w:t>gū</w:t>
      </w:r>
      <w:r w:rsidR="00DC16C5" w:rsidRPr="000C0BD0">
        <w:rPr>
          <w:sz w:val="28"/>
          <w:szCs w:val="28"/>
        </w:rPr>
        <w:t xml:space="preserve"> jāuzsver, ka viens no direktīvas priekšlikuma mērķiem ir virzība uz sistēmu, kurā pastāv uz tirgu pamatota cenu veidošana (virzība uz cenu deregulāciju) ar valsts iespēju iejaukties tikai nepieciešamības gadījumā. Tai pat laikā tiktu atļauta pārejas perioda cenu regulēšana </w:t>
      </w:r>
      <w:r w:rsidR="000E0F02">
        <w:rPr>
          <w:sz w:val="28"/>
          <w:szCs w:val="28"/>
        </w:rPr>
        <w:t>maz</w:t>
      </w:r>
      <w:r w:rsidR="00DC16C5" w:rsidRPr="000C0BD0">
        <w:rPr>
          <w:sz w:val="28"/>
          <w:szCs w:val="28"/>
        </w:rPr>
        <w:t xml:space="preserve">aizsargātiem </w:t>
      </w:r>
      <w:r w:rsidR="000E0F02">
        <w:rPr>
          <w:sz w:val="28"/>
          <w:szCs w:val="28"/>
        </w:rPr>
        <w:t>patērētājiem</w:t>
      </w:r>
      <w:r w:rsidR="00DC16C5" w:rsidRPr="000C0BD0">
        <w:rPr>
          <w:sz w:val="28"/>
          <w:szCs w:val="28"/>
        </w:rPr>
        <w:t xml:space="preserve">. </w:t>
      </w:r>
    </w:p>
    <w:p w:rsidR="00FD724A" w:rsidRPr="000C0BD0" w:rsidRDefault="00A34F57" w:rsidP="003302B3">
      <w:pPr>
        <w:pStyle w:val="ListParagraph"/>
        <w:spacing w:after="120" w:line="276" w:lineRule="auto"/>
        <w:ind w:left="34"/>
        <w:rPr>
          <w:sz w:val="28"/>
          <w:szCs w:val="28"/>
        </w:rPr>
      </w:pPr>
      <w:r w:rsidRPr="000C0BD0">
        <w:rPr>
          <w:sz w:val="28"/>
          <w:szCs w:val="28"/>
        </w:rPr>
        <w:tab/>
      </w:r>
      <w:r w:rsidR="00FD724A" w:rsidRPr="000C0BD0">
        <w:rPr>
          <w:sz w:val="28"/>
          <w:szCs w:val="28"/>
        </w:rPr>
        <w:t xml:space="preserve">Direktīva arī plaši atspoguļo mērķi stiprināt un paplašināt patērētāju tiesības. Līdz ar jaunajiem noteikumiem, patērētāji: </w:t>
      </w:r>
    </w:p>
    <w:p w:rsidR="00FD724A" w:rsidRPr="000C0BD0" w:rsidRDefault="00FD724A" w:rsidP="003302B3">
      <w:pPr>
        <w:pStyle w:val="ListParagraph"/>
        <w:numPr>
          <w:ilvl w:val="0"/>
          <w:numId w:val="15"/>
        </w:numPr>
        <w:spacing w:after="120" w:line="276" w:lineRule="auto"/>
        <w:ind w:left="743"/>
        <w:rPr>
          <w:sz w:val="28"/>
          <w:szCs w:val="28"/>
        </w:rPr>
      </w:pPr>
      <w:r w:rsidRPr="000C0BD0">
        <w:rPr>
          <w:sz w:val="28"/>
          <w:szCs w:val="28"/>
        </w:rPr>
        <w:t>būs tiesīgi noslēgt dinamiskas elektroenerģijas cenas līgumus, kas atspoguļo faktisko cenu un ierobežo līguma pārtraukšanas maksu;</w:t>
      </w:r>
    </w:p>
    <w:p w:rsidR="00FD724A" w:rsidRPr="000C0BD0" w:rsidRDefault="00FD724A" w:rsidP="003302B3">
      <w:pPr>
        <w:pStyle w:val="ListParagraph"/>
        <w:numPr>
          <w:ilvl w:val="0"/>
          <w:numId w:val="15"/>
        </w:numPr>
        <w:spacing w:after="120" w:line="276" w:lineRule="auto"/>
        <w:ind w:left="743"/>
        <w:rPr>
          <w:sz w:val="28"/>
          <w:szCs w:val="28"/>
        </w:rPr>
      </w:pPr>
      <w:r w:rsidRPr="000C0BD0">
        <w:rPr>
          <w:sz w:val="28"/>
          <w:szCs w:val="28"/>
        </w:rPr>
        <w:t>bez gala piegādātāja piekrišanas varēs noslēgt līgumu ar pieprasījuma reakcijas nodrošinātājiem un agregatoriem;</w:t>
      </w:r>
    </w:p>
    <w:p w:rsidR="00FD724A" w:rsidRPr="000C0BD0" w:rsidRDefault="00FD724A" w:rsidP="003302B3">
      <w:pPr>
        <w:pStyle w:val="ListParagraph"/>
        <w:numPr>
          <w:ilvl w:val="0"/>
          <w:numId w:val="15"/>
        </w:numPr>
        <w:spacing w:after="120" w:line="276" w:lineRule="auto"/>
        <w:ind w:left="743"/>
        <w:rPr>
          <w:sz w:val="28"/>
          <w:szCs w:val="28"/>
        </w:rPr>
      </w:pPr>
      <w:r w:rsidRPr="000C0BD0">
        <w:rPr>
          <w:sz w:val="28"/>
          <w:szCs w:val="28"/>
        </w:rPr>
        <w:lastRenderedPageBreak/>
        <w:t>varēs bez maksas izmantot salīdzināšanas tīmekļa vietnes un viņiem būs pieejami viedie skaitītāji (balstoties uz izmaksu-ieguvumu analīzi), kuri būs aprīkoti vismaz ar minimālajām definētajām funkcijām;</w:t>
      </w:r>
    </w:p>
    <w:p w:rsidR="00FD724A" w:rsidRPr="000C0BD0" w:rsidRDefault="00FD724A" w:rsidP="003302B3">
      <w:pPr>
        <w:pStyle w:val="ListParagraph"/>
        <w:numPr>
          <w:ilvl w:val="0"/>
          <w:numId w:val="15"/>
        </w:numPr>
        <w:spacing w:after="120" w:line="276" w:lineRule="auto"/>
        <w:ind w:left="743"/>
        <w:rPr>
          <w:sz w:val="28"/>
          <w:szCs w:val="28"/>
        </w:rPr>
      </w:pPr>
      <w:r w:rsidRPr="000C0BD0">
        <w:rPr>
          <w:sz w:val="28"/>
          <w:szCs w:val="28"/>
        </w:rPr>
        <w:t xml:space="preserve">varēs saņemt detalizētu informāciju par rēķiniem. Elektroenerģijas rēķiniem būs jābūt skaidriem un viegli saprotamiem; </w:t>
      </w:r>
    </w:p>
    <w:p w:rsidR="00FD1575" w:rsidRDefault="00FD724A" w:rsidP="000C0BD0">
      <w:pPr>
        <w:pStyle w:val="ListParagraph"/>
        <w:numPr>
          <w:ilvl w:val="0"/>
          <w:numId w:val="15"/>
        </w:numPr>
        <w:spacing w:after="120" w:line="276" w:lineRule="auto"/>
        <w:ind w:left="743"/>
        <w:rPr>
          <w:sz w:val="28"/>
          <w:szCs w:val="28"/>
        </w:rPr>
      </w:pPr>
      <w:r w:rsidRPr="000C0BD0">
        <w:rPr>
          <w:sz w:val="28"/>
          <w:szCs w:val="28"/>
        </w:rPr>
        <w:t>varēs ražot, uzglabāt, patērēt un pārdot pašu ražoto elektroenerģiju visos organizētajos tirgos individuāli vai ar agregatoru</w:t>
      </w:r>
      <w:r w:rsidRPr="000C0BD0">
        <w:rPr>
          <w:rStyle w:val="FootnoteReference"/>
          <w:sz w:val="28"/>
          <w:szCs w:val="28"/>
        </w:rPr>
        <w:footnoteReference w:id="2"/>
      </w:r>
      <w:r w:rsidRPr="000C0BD0">
        <w:rPr>
          <w:sz w:val="28"/>
          <w:szCs w:val="28"/>
        </w:rPr>
        <w:t xml:space="preserve"> palīdzību.</w:t>
      </w:r>
    </w:p>
    <w:p w:rsidR="00FD1575" w:rsidRDefault="00FD1575" w:rsidP="00654F5C">
      <w:pPr>
        <w:spacing w:after="120" w:line="276" w:lineRule="auto"/>
        <w:ind w:firstLine="383"/>
        <w:rPr>
          <w:sz w:val="28"/>
          <w:szCs w:val="28"/>
        </w:rPr>
      </w:pPr>
      <w:r w:rsidRPr="000C0BD0">
        <w:rPr>
          <w:rFonts w:eastAsia="TTA20CB868t00"/>
          <w:sz w:val="28"/>
          <w:szCs w:val="28"/>
          <w:lang w:eastAsia="lv-LV"/>
        </w:rPr>
        <w:t xml:space="preserve">Prezidentvalsts pirms sanāksmes ir izplatījusi </w:t>
      </w:r>
      <w:r w:rsidRPr="000C0BD0">
        <w:rPr>
          <w:rFonts w:eastAsia="TTA20CB868t00"/>
          <w:b/>
          <w:sz w:val="28"/>
          <w:szCs w:val="28"/>
          <w:lang w:eastAsia="lv-LV"/>
        </w:rPr>
        <w:t>jautājumus</w:t>
      </w:r>
      <w:r w:rsidRPr="000C0BD0">
        <w:rPr>
          <w:rFonts w:eastAsia="TTA20CB868t00"/>
          <w:sz w:val="28"/>
          <w:szCs w:val="28"/>
          <w:lang w:eastAsia="lv-LV"/>
        </w:rPr>
        <w:t>, kas kalpos par diskusiju pamatu:</w:t>
      </w:r>
      <w:r w:rsidR="00654F5C">
        <w:rPr>
          <w:rFonts w:eastAsia="TTA20CB868t00"/>
          <w:sz w:val="28"/>
          <w:szCs w:val="28"/>
          <w:lang w:eastAsia="lv-LV"/>
        </w:rPr>
        <w:t xml:space="preserve"> </w:t>
      </w:r>
      <w:r>
        <w:rPr>
          <w:sz w:val="28"/>
          <w:szCs w:val="28"/>
        </w:rPr>
        <w:t>Kā var stiprināt patērētāju lomu un sniegt viņiem iespēju būt elektroenerģijas tirgus centrā? Kādi pasākumi būtu jāveic, lai aizsargātu mazaizsargātos patērētājus</w:t>
      </w:r>
      <w:r w:rsidR="00F242E4">
        <w:rPr>
          <w:sz w:val="28"/>
          <w:szCs w:val="28"/>
        </w:rPr>
        <w:t>,</w:t>
      </w:r>
      <w:r>
        <w:rPr>
          <w:sz w:val="28"/>
          <w:szCs w:val="28"/>
        </w:rPr>
        <w:t xml:space="preserve"> nesamazinot stimulus aktīvai dalībai tirgū un neierobežojot inovācijas potenciālu?</w:t>
      </w:r>
    </w:p>
    <w:p w:rsidR="00FD1575" w:rsidRDefault="00FD1575" w:rsidP="000C0BD0">
      <w:pPr>
        <w:spacing w:after="120" w:line="276" w:lineRule="auto"/>
        <w:rPr>
          <w:b/>
          <w:sz w:val="28"/>
          <w:szCs w:val="28"/>
        </w:rPr>
      </w:pPr>
      <w:r w:rsidRPr="000C0BD0">
        <w:rPr>
          <w:b/>
          <w:sz w:val="28"/>
          <w:szCs w:val="28"/>
        </w:rPr>
        <w:t>Latvijas nostāja:</w:t>
      </w:r>
    </w:p>
    <w:p w:rsidR="00FD1575" w:rsidRPr="0030207D" w:rsidRDefault="00FD1575" w:rsidP="00FD1575">
      <w:pPr>
        <w:spacing w:before="120" w:after="120" w:line="276" w:lineRule="auto"/>
        <w:ind w:left="34" w:firstLine="34"/>
        <w:rPr>
          <w:sz w:val="28"/>
          <w:szCs w:val="28"/>
        </w:rPr>
      </w:pPr>
      <w:r w:rsidRPr="0030207D">
        <w:rPr>
          <w:sz w:val="28"/>
          <w:szCs w:val="28"/>
        </w:rPr>
        <w:tab/>
        <w:t>Latvija uzskata, ka būtisks jaunā elektroenerģijas tirgus modeļa elements ir kā vairumtirdzniecības, tā mazumtirdzniecības nosacījumu uzlabošana. Jaunajiem elektroenerģijas tirgus modeļa priekšlikumiem ir jānodrošina, lai tirgus sniedz skaidrus cenu signālus gan investoriem, gan patērētājiem. Latvija atbalsta pēc iespējas ātrāku virzību uz sistēmu, kurā pastāvētu</w:t>
      </w:r>
      <w:r w:rsidRPr="0030207D">
        <w:rPr>
          <w:sz w:val="28"/>
          <w:szCs w:val="28"/>
          <w:u w:val="single"/>
        </w:rPr>
        <w:t xml:space="preserve"> uz tirgu pamatota cenu veidošana (cenu deregulācija).</w:t>
      </w:r>
    </w:p>
    <w:p w:rsidR="00FD1575" w:rsidRPr="0030207D" w:rsidRDefault="00FD1575" w:rsidP="00FD1575">
      <w:pPr>
        <w:spacing w:before="120" w:after="120" w:line="276" w:lineRule="auto"/>
        <w:ind w:left="34" w:firstLine="567"/>
        <w:rPr>
          <w:sz w:val="28"/>
          <w:szCs w:val="28"/>
        </w:rPr>
      </w:pPr>
      <w:r w:rsidRPr="0030207D">
        <w:rPr>
          <w:sz w:val="28"/>
          <w:szCs w:val="28"/>
        </w:rPr>
        <w:t xml:space="preserve">Latvija atzinīgi vērtē </w:t>
      </w:r>
      <w:r w:rsidRPr="0030207D">
        <w:rPr>
          <w:sz w:val="28"/>
          <w:szCs w:val="28"/>
          <w:u w:val="single"/>
        </w:rPr>
        <w:t>patērētāju interešu aizsardzības stiprināšanu</w:t>
      </w:r>
      <w:r w:rsidRPr="0030207D">
        <w:rPr>
          <w:sz w:val="28"/>
          <w:szCs w:val="28"/>
        </w:rPr>
        <w:t xml:space="preserve"> jaunajos priekšlikumos.</w:t>
      </w:r>
    </w:p>
    <w:p w:rsidR="00FD1575" w:rsidRPr="0030207D" w:rsidRDefault="00FD1575" w:rsidP="00FD1575">
      <w:pPr>
        <w:spacing w:before="120" w:after="120" w:line="276" w:lineRule="auto"/>
        <w:ind w:left="34" w:firstLine="34"/>
        <w:rPr>
          <w:sz w:val="28"/>
          <w:szCs w:val="28"/>
        </w:rPr>
      </w:pPr>
      <w:r w:rsidRPr="0030207D">
        <w:rPr>
          <w:sz w:val="28"/>
          <w:szCs w:val="28"/>
        </w:rPr>
        <w:tab/>
        <w:t xml:space="preserve">Latvija atbalsta </w:t>
      </w:r>
      <w:r w:rsidRPr="0030207D">
        <w:rPr>
          <w:sz w:val="28"/>
          <w:szCs w:val="28"/>
          <w:u w:val="single"/>
        </w:rPr>
        <w:t>informācijas sniegšanas patērētājiem</w:t>
      </w:r>
      <w:r w:rsidRPr="0030207D">
        <w:rPr>
          <w:sz w:val="28"/>
          <w:szCs w:val="28"/>
        </w:rPr>
        <w:t xml:space="preserve"> nepieciešamību tādā veidā, lai tie varētu izvērtēt savu patēriņu, efektīvi salīdzināt cenas, kā arī balstīt savu izvēli uz informāciju par enerģijas ražošanā izmantotajiem resursiem (AER vai fosilajiem) kā arī cietiem parametriem, kas ļautu spriest par izdevīgāko piedāvājumu. Vienlaikus Latvija uzskata, ka papildus ir svarīgi rūpīgi izvērtēt</w:t>
      </w:r>
      <w:r w:rsidR="00F242E4">
        <w:rPr>
          <w:sz w:val="28"/>
          <w:szCs w:val="28"/>
        </w:rPr>
        <w:t>,</w:t>
      </w:r>
      <w:r w:rsidRPr="0030207D">
        <w:rPr>
          <w:sz w:val="28"/>
          <w:szCs w:val="28"/>
          <w:u w:val="single"/>
        </w:rPr>
        <w:t xml:space="preserve"> kā praktiski nodrošināt šo priekšlikumu realizēšanu</w:t>
      </w:r>
      <w:r w:rsidRPr="0030207D">
        <w:rPr>
          <w:sz w:val="28"/>
          <w:szCs w:val="28"/>
        </w:rPr>
        <w:t>.</w:t>
      </w:r>
    </w:p>
    <w:p w:rsidR="00FD1575" w:rsidRDefault="00FD1575" w:rsidP="00FD1575">
      <w:pPr>
        <w:spacing w:before="120" w:after="120" w:line="276" w:lineRule="auto"/>
        <w:ind w:left="34" w:firstLine="567"/>
        <w:rPr>
          <w:sz w:val="28"/>
          <w:szCs w:val="28"/>
          <w:u w:val="single"/>
        </w:rPr>
      </w:pPr>
      <w:r>
        <w:rPr>
          <w:sz w:val="28"/>
          <w:szCs w:val="28"/>
        </w:rPr>
        <w:t>Latvija pozitīvi skatās uz inovatīvo risinājumu attīstību, kas stiprināt</w:t>
      </w:r>
      <w:r w:rsidR="00F242E4">
        <w:rPr>
          <w:sz w:val="28"/>
          <w:szCs w:val="28"/>
        </w:rPr>
        <w:t>u</w:t>
      </w:r>
      <w:r>
        <w:rPr>
          <w:sz w:val="28"/>
          <w:szCs w:val="28"/>
        </w:rPr>
        <w:t xml:space="preserve"> patērētāju lomu tirgū. </w:t>
      </w:r>
      <w:r w:rsidRPr="00FD1575">
        <w:rPr>
          <w:sz w:val="28"/>
          <w:szCs w:val="28"/>
        </w:rPr>
        <w:t>Atti</w:t>
      </w:r>
      <w:r>
        <w:rPr>
          <w:sz w:val="28"/>
          <w:szCs w:val="28"/>
        </w:rPr>
        <w:t>ecībā uz viedajiem skaitītājiem</w:t>
      </w:r>
      <w:r w:rsidRPr="00FD1575">
        <w:rPr>
          <w:sz w:val="28"/>
          <w:szCs w:val="28"/>
        </w:rPr>
        <w:t>, Latvijas skatījumā, tā kā dažādās ES valstīs ir atšķirīgs normatīvais regulējums  un dažāds jau uzstādīto viedo skaitītāju apjoms, uzskatām, ka rūpīgi jāizvērtē iecere ieviest minimālās prasības vai aizliegumus viedo skaitītāju funkcionalitātei, lai šādu noteikumu ieviešana neradītu Latvijai lielus finansiālos izdevumus.</w:t>
      </w:r>
      <w:r>
        <w:rPr>
          <w:sz w:val="28"/>
          <w:szCs w:val="28"/>
        </w:rPr>
        <w:t xml:space="preserve"> Papildus, </w:t>
      </w:r>
      <w:r>
        <w:rPr>
          <w:sz w:val="28"/>
          <w:szCs w:val="28"/>
        </w:rPr>
        <w:lastRenderedPageBreak/>
        <w:t>p</w:t>
      </w:r>
      <w:r w:rsidRPr="0030207D">
        <w:rPr>
          <w:sz w:val="28"/>
          <w:szCs w:val="28"/>
        </w:rPr>
        <w:t xml:space="preserve">ar būtisku jautājumu Latvija uzskata priekšlikumos ietvertos noteikumus par elektroenerģijas gala lietotāju </w:t>
      </w:r>
      <w:r w:rsidRPr="0030207D">
        <w:rPr>
          <w:sz w:val="28"/>
          <w:szCs w:val="28"/>
          <w:u w:val="single"/>
        </w:rPr>
        <w:t>datu aizsardzību.</w:t>
      </w:r>
    </w:p>
    <w:p w:rsidR="00FD1575" w:rsidRDefault="00FD1575" w:rsidP="00FD1575">
      <w:pPr>
        <w:spacing w:before="120" w:after="120" w:line="276" w:lineRule="auto"/>
        <w:ind w:left="34" w:firstLine="567"/>
        <w:rPr>
          <w:sz w:val="28"/>
          <w:szCs w:val="28"/>
        </w:rPr>
      </w:pPr>
      <w:r w:rsidRPr="0030207D">
        <w:rPr>
          <w:sz w:val="28"/>
          <w:szCs w:val="28"/>
        </w:rPr>
        <w:t xml:space="preserve">Latvija piesardzīgi vērtē priekšlikumos noteiktos apgrūtinājumus </w:t>
      </w:r>
      <w:r w:rsidRPr="0030207D">
        <w:rPr>
          <w:sz w:val="28"/>
          <w:szCs w:val="28"/>
          <w:u w:val="single"/>
        </w:rPr>
        <w:t>līguma laušanas maksas</w:t>
      </w:r>
      <w:r w:rsidRPr="0030207D">
        <w:rPr>
          <w:sz w:val="28"/>
          <w:szCs w:val="28"/>
        </w:rPr>
        <w:t xml:space="preserve"> piemērošanai, kuri šķietami var nodrošināt patērētājam lielāku elastību tirgotāja izvēlē un maiņā, tomēr vienlaikus var tikt radīts arī produktu klāsta sašaurināšanas risks, kas savukārt radītu negatīvas sekas patērētājam.</w:t>
      </w:r>
    </w:p>
    <w:p w:rsidR="000E0F02" w:rsidRDefault="000E0F02" w:rsidP="000E0F02">
      <w:pPr>
        <w:spacing w:before="120" w:after="120" w:line="276" w:lineRule="auto"/>
        <w:ind w:left="34" w:firstLine="567"/>
        <w:rPr>
          <w:sz w:val="28"/>
          <w:szCs w:val="28"/>
        </w:rPr>
      </w:pPr>
      <w:r>
        <w:rPr>
          <w:sz w:val="28"/>
          <w:szCs w:val="28"/>
        </w:rPr>
        <w:t xml:space="preserve">Attiecībā uz </w:t>
      </w:r>
      <w:r w:rsidR="00F242E4">
        <w:rPr>
          <w:sz w:val="28"/>
          <w:szCs w:val="28"/>
        </w:rPr>
        <w:t>mazaizsargātajiem</w:t>
      </w:r>
      <w:r>
        <w:rPr>
          <w:sz w:val="28"/>
          <w:szCs w:val="28"/>
        </w:rPr>
        <w:t xml:space="preserve"> patērētājiem, Latvija uzskata, ka pasākumu izvēle ir jāveic dalībvalsts līmenī atbilstoši enerģētikas un labklājības politikas virzieniem. Šādi pasākumi var ietvert gan atbalstu aizsargātiem lietotājiem, gan papildus aizsardzības pasākumus, gan energoefektivitātes pasākumus un patērētāju informēšanu. Latvija atzinīgi novērtē </w:t>
      </w:r>
      <w:r w:rsidR="00A60F17">
        <w:rPr>
          <w:sz w:val="28"/>
          <w:szCs w:val="28"/>
        </w:rPr>
        <w:t>Eiropas Komisijas centienus uzsvērt regulā un direktīvā enerģētiskās nabadzības riskus. Vienlaikus, Latvija uzskata, ka šis ja</w:t>
      </w:r>
      <w:r w:rsidR="00F242E4">
        <w:rPr>
          <w:sz w:val="28"/>
          <w:szCs w:val="28"/>
        </w:rPr>
        <w:t>utājums ir vērtējams nacionālā</w:t>
      </w:r>
      <w:r w:rsidR="00A60F17">
        <w:rPr>
          <w:sz w:val="28"/>
          <w:szCs w:val="28"/>
        </w:rPr>
        <w:t xml:space="preserve"> līmenī.</w:t>
      </w:r>
    </w:p>
    <w:p w:rsidR="00FD1575" w:rsidRPr="000C0BD0" w:rsidRDefault="00FD1575" w:rsidP="000C0BD0">
      <w:pPr>
        <w:spacing w:after="120" w:line="276" w:lineRule="auto"/>
        <w:rPr>
          <w:b/>
          <w:sz w:val="28"/>
          <w:szCs w:val="28"/>
        </w:rPr>
      </w:pPr>
    </w:p>
    <w:p w:rsidR="00FD724A" w:rsidRPr="000C0BD0" w:rsidRDefault="003302B3" w:rsidP="006663E0">
      <w:pPr>
        <w:spacing w:after="120" w:line="276" w:lineRule="auto"/>
        <w:rPr>
          <w:sz w:val="28"/>
          <w:szCs w:val="28"/>
        </w:rPr>
      </w:pPr>
      <w:r w:rsidRPr="000C0BD0">
        <w:rPr>
          <w:sz w:val="28"/>
          <w:szCs w:val="28"/>
        </w:rPr>
        <w:tab/>
        <w:t xml:space="preserve">Attiecībā uz </w:t>
      </w:r>
      <w:r w:rsidRPr="000C0BD0">
        <w:rPr>
          <w:b/>
          <w:sz w:val="28"/>
          <w:szCs w:val="28"/>
          <w:u w:val="single"/>
        </w:rPr>
        <w:t>pārrobežu sadarbību</w:t>
      </w:r>
      <w:r w:rsidRPr="000C0BD0">
        <w:rPr>
          <w:sz w:val="28"/>
          <w:szCs w:val="28"/>
        </w:rPr>
        <w:t xml:space="preserve">, </w:t>
      </w:r>
      <w:r w:rsidR="006663E0" w:rsidRPr="000C0BD0">
        <w:rPr>
          <w:sz w:val="28"/>
          <w:szCs w:val="28"/>
        </w:rPr>
        <w:t xml:space="preserve">Igaunijas prezidentūras aktuālo jautājumu lokā ir regulatīvo iestāžu, pārvades sistēmas operatoru, kā arī pašu dalībvalstu pārrobežu sadarbība. Šajā kontekstā </w:t>
      </w:r>
      <w:r w:rsidR="00EF632B" w:rsidRPr="000C0BD0">
        <w:rPr>
          <w:sz w:val="28"/>
          <w:szCs w:val="28"/>
        </w:rPr>
        <w:t xml:space="preserve">direktīva paredz </w:t>
      </w:r>
      <w:r w:rsidR="006663E0" w:rsidRPr="000C0BD0">
        <w:rPr>
          <w:sz w:val="28"/>
          <w:szCs w:val="28"/>
        </w:rPr>
        <w:t>reģionālo operatīvo centru izveidi pārvades sistēmas operatoru pārrobežu sadarbībai, kā arī nacionālo regulatīvo iestāžu pienākumu un kompetenču palielinā</w:t>
      </w:r>
      <w:r w:rsidR="00702DA0" w:rsidRPr="000C0BD0">
        <w:rPr>
          <w:sz w:val="28"/>
          <w:szCs w:val="28"/>
        </w:rPr>
        <w:t>šanu</w:t>
      </w:r>
      <w:r w:rsidR="006663E0" w:rsidRPr="000C0BD0">
        <w:rPr>
          <w:sz w:val="28"/>
          <w:szCs w:val="28"/>
        </w:rPr>
        <w:t xml:space="preserve">, īpaši, kas skar reģionālo operatīvo centru izveidi un darbību. Nacionālajām regulatīvajām iestādēm plānots piešķirt papildus pilnvaras, lai izsniegtu saistošus lēmumus par elektroenerģijas uzņēmumiem un reģionālajiem operatīvajiem centriem. </w:t>
      </w:r>
    </w:p>
    <w:p w:rsidR="000E0F02" w:rsidRPr="000E0F02" w:rsidRDefault="000E0F02" w:rsidP="000E0F02">
      <w:pPr>
        <w:spacing w:after="120" w:line="276" w:lineRule="auto"/>
        <w:ind w:firstLine="383"/>
        <w:rPr>
          <w:sz w:val="28"/>
          <w:szCs w:val="28"/>
        </w:rPr>
      </w:pPr>
      <w:r w:rsidRPr="0030207D">
        <w:rPr>
          <w:rFonts w:eastAsia="TTA20CB868t00"/>
          <w:sz w:val="28"/>
          <w:szCs w:val="28"/>
          <w:lang w:eastAsia="lv-LV"/>
        </w:rPr>
        <w:t xml:space="preserve">Prezidentvalsts pirms sanāksmes ir izplatījusi </w:t>
      </w:r>
      <w:r w:rsidRPr="0030207D">
        <w:rPr>
          <w:rFonts w:eastAsia="TTA20CB868t00"/>
          <w:b/>
          <w:sz w:val="28"/>
          <w:szCs w:val="28"/>
          <w:lang w:eastAsia="lv-LV"/>
        </w:rPr>
        <w:t>jautājumus</w:t>
      </w:r>
      <w:r w:rsidRPr="0030207D">
        <w:rPr>
          <w:rFonts w:eastAsia="TTA20CB868t00"/>
          <w:sz w:val="28"/>
          <w:szCs w:val="28"/>
          <w:lang w:eastAsia="lv-LV"/>
        </w:rPr>
        <w:t>, kas kalpos par diskusiju pamatu:</w:t>
      </w:r>
      <w:r w:rsidR="00654F5C">
        <w:rPr>
          <w:rFonts w:eastAsia="TTA20CB868t00"/>
          <w:sz w:val="28"/>
          <w:szCs w:val="28"/>
          <w:lang w:eastAsia="lv-LV"/>
        </w:rPr>
        <w:t xml:space="preserve"> </w:t>
      </w:r>
      <w:r>
        <w:rPr>
          <w:rFonts w:eastAsia="TTA20CB868t00"/>
          <w:sz w:val="28"/>
          <w:szCs w:val="28"/>
          <w:lang w:eastAsia="lv-LV"/>
        </w:rPr>
        <w:t xml:space="preserve">Vai ir nepieciešama pastiprinātā reģionālā sadarbība tirgus dalībniekiem attiecībā uz pakalpojumiem, pārvades sistēmas darbību vai pastiprināto regulatoru uzraudzību? Vai reģionālai sadarbībai jāpaliek </w:t>
      </w:r>
      <w:r w:rsidRPr="000C0BD0">
        <w:rPr>
          <w:rFonts w:eastAsia="TTA20CB868t00"/>
          <w:i/>
          <w:sz w:val="28"/>
          <w:szCs w:val="28"/>
          <w:lang w:eastAsia="lv-LV"/>
        </w:rPr>
        <w:t>bottom-up</w:t>
      </w:r>
      <w:r>
        <w:rPr>
          <w:rFonts w:eastAsia="TTA20CB868t00"/>
          <w:sz w:val="28"/>
          <w:szCs w:val="28"/>
          <w:lang w:eastAsia="lv-LV"/>
        </w:rPr>
        <w:t xml:space="preserve"> vai tomēr ir </w:t>
      </w:r>
      <w:r w:rsidR="00A60F17">
        <w:rPr>
          <w:rFonts w:eastAsia="TTA20CB868t00"/>
          <w:sz w:val="28"/>
          <w:szCs w:val="28"/>
          <w:lang w:eastAsia="lv-LV"/>
        </w:rPr>
        <w:t>jāsniedz</w:t>
      </w:r>
      <w:r>
        <w:rPr>
          <w:rFonts w:eastAsia="TTA20CB868t00"/>
          <w:sz w:val="28"/>
          <w:szCs w:val="28"/>
          <w:lang w:eastAsia="lv-LV"/>
        </w:rPr>
        <w:t xml:space="preserve"> politiskās vadlīnijas attiecībā uz sistēmu integrāciju reģionālajā lī</w:t>
      </w:r>
      <w:r w:rsidR="00F242E4">
        <w:rPr>
          <w:rFonts w:eastAsia="TTA20CB868t00"/>
          <w:sz w:val="28"/>
          <w:szCs w:val="28"/>
          <w:lang w:eastAsia="lv-LV"/>
        </w:rPr>
        <w:t>menī? Kādus aspektus jāatstāj dalībvalstu</w:t>
      </w:r>
      <w:r>
        <w:rPr>
          <w:rFonts w:eastAsia="TTA20CB868t00"/>
          <w:sz w:val="28"/>
          <w:szCs w:val="28"/>
          <w:lang w:eastAsia="lv-LV"/>
        </w:rPr>
        <w:t xml:space="preserve"> pārziņā?</w:t>
      </w:r>
    </w:p>
    <w:p w:rsidR="000E0F02" w:rsidRPr="000C0BD0" w:rsidRDefault="000E0F02" w:rsidP="000C0BD0">
      <w:pPr>
        <w:spacing w:before="120" w:after="120" w:line="276" w:lineRule="auto"/>
        <w:rPr>
          <w:b/>
          <w:sz w:val="28"/>
          <w:szCs w:val="28"/>
        </w:rPr>
      </w:pPr>
      <w:r>
        <w:rPr>
          <w:b/>
          <w:sz w:val="28"/>
          <w:szCs w:val="28"/>
        </w:rPr>
        <w:t>Latvijas nostāja:</w:t>
      </w:r>
    </w:p>
    <w:p w:rsidR="00FD1575" w:rsidRDefault="00FD1575" w:rsidP="00FD1575">
      <w:pPr>
        <w:spacing w:before="120" w:after="120" w:line="276" w:lineRule="auto"/>
        <w:ind w:left="34" w:firstLine="567"/>
        <w:rPr>
          <w:sz w:val="28"/>
          <w:szCs w:val="28"/>
        </w:rPr>
      </w:pPr>
      <w:r w:rsidRPr="0030207D">
        <w:rPr>
          <w:sz w:val="28"/>
          <w:szCs w:val="28"/>
        </w:rPr>
        <w:t xml:space="preserve">Latvija atzīst, ka </w:t>
      </w:r>
      <w:r w:rsidRPr="0030207D">
        <w:rPr>
          <w:sz w:val="28"/>
          <w:szCs w:val="28"/>
          <w:u w:val="single"/>
        </w:rPr>
        <w:t>reģionālās koordinācijas pasākumi</w:t>
      </w:r>
      <w:r w:rsidRPr="0030207D">
        <w:rPr>
          <w:sz w:val="28"/>
          <w:szCs w:val="28"/>
        </w:rPr>
        <w:t xml:space="preserve"> un to tālāka attīstība ar citām Baltijas valstīm Latvijai ir ļoti nozīmīga. Reģionālā koordinācija veicinātu energoapgādes drošības uzlabošanu gan visā reģionā, gan atsevišķās dalībvalstīs. Vienlaikus Latvija šaubās, vai reģionālie operatīvie centri būtu pareizākais risinājums. Pastāv bažas, ka tie var novest pie savstarpēji konfliktējošām atbildībām, radot politiskas un juridiskas sekas, kā arī tie var ierobežot pārvades sistēmas operatoru </w:t>
      </w:r>
      <w:r w:rsidR="007B6C4A">
        <w:rPr>
          <w:sz w:val="28"/>
          <w:szCs w:val="28"/>
        </w:rPr>
        <w:t xml:space="preserve">(PSO) </w:t>
      </w:r>
      <w:r w:rsidRPr="0030207D">
        <w:rPr>
          <w:sz w:val="28"/>
          <w:szCs w:val="28"/>
        </w:rPr>
        <w:t xml:space="preserve">rīcībspēju. Papildus, Latvijas </w:t>
      </w:r>
      <w:r w:rsidRPr="0030207D">
        <w:rPr>
          <w:sz w:val="28"/>
          <w:szCs w:val="28"/>
        </w:rPr>
        <w:lastRenderedPageBreak/>
        <w:t xml:space="preserve">skatījumā regulatīvo iestāžu iesaiste reģionālo operatīvo centru vadībā radītu nevajadzīgu papildus administratīvo slogu. </w:t>
      </w:r>
    </w:p>
    <w:p w:rsidR="00A60F17" w:rsidRPr="0030207D" w:rsidRDefault="00A60F17" w:rsidP="00FD1575">
      <w:pPr>
        <w:spacing w:before="120" w:after="120" w:line="276" w:lineRule="auto"/>
        <w:ind w:left="34" w:firstLine="567"/>
        <w:rPr>
          <w:sz w:val="28"/>
          <w:szCs w:val="28"/>
        </w:rPr>
      </w:pPr>
      <w:r>
        <w:rPr>
          <w:sz w:val="28"/>
          <w:szCs w:val="28"/>
        </w:rPr>
        <w:t>Latvija atzīst vairāku līmeņu reģionālās sadarbības pozitīvo ietekmi uz tirgus integrāciju reģionālajā l</w:t>
      </w:r>
      <w:r w:rsidR="001700D5">
        <w:rPr>
          <w:sz w:val="28"/>
          <w:szCs w:val="28"/>
        </w:rPr>
        <w:t>īmenī. Baltijas valstu gadījumā</w:t>
      </w:r>
      <w:r>
        <w:rPr>
          <w:sz w:val="28"/>
          <w:szCs w:val="28"/>
        </w:rPr>
        <w:t xml:space="preserve"> šī sadarbība ir ļoti labi attīstīta gan PSO, gan ministriju līmeņos. Dažos jautājumos, kuros tirgus dalībnieku iniciatīva izrādās nepietiekama, </w:t>
      </w:r>
      <w:r>
        <w:rPr>
          <w:rFonts w:eastAsia="TTA20CB868t00"/>
          <w:sz w:val="28"/>
          <w:szCs w:val="28"/>
          <w:lang w:eastAsia="lv-LV"/>
        </w:rPr>
        <w:t>politiskās vadlīnijas spēj paātrināt procesu un rast kompromisu.</w:t>
      </w:r>
    </w:p>
    <w:p w:rsidR="00FD1575" w:rsidRPr="0030207D" w:rsidRDefault="00FD1575" w:rsidP="00FD1575">
      <w:pPr>
        <w:spacing w:line="276" w:lineRule="auto"/>
        <w:rPr>
          <w:sz w:val="28"/>
          <w:szCs w:val="28"/>
        </w:rPr>
      </w:pPr>
    </w:p>
    <w:p w:rsidR="001079E5" w:rsidRDefault="00577BB0" w:rsidP="001700D5">
      <w:pPr>
        <w:pStyle w:val="NoSpacing"/>
        <w:numPr>
          <w:ilvl w:val="0"/>
          <w:numId w:val="10"/>
        </w:numPr>
        <w:spacing w:after="120" w:line="276" w:lineRule="auto"/>
        <w:rPr>
          <w:sz w:val="28"/>
          <w:szCs w:val="28"/>
        </w:rPr>
      </w:pPr>
      <w:r w:rsidRPr="000C0BD0">
        <w:rPr>
          <w:b/>
          <w:sz w:val="28"/>
          <w:szCs w:val="28"/>
        </w:rPr>
        <w:t xml:space="preserve">Enerģētikas un transporta ministru kopīgā sesija, </w:t>
      </w:r>
      <w:r w:rsidR="00BE05F3" w:rsidRPr="000C0BD0">
        <w:rPr>
          <w:sz w:val="28"/>
          <w:szCs w:val="28"/>
        </w:rPr>
        <w:t xml:space="preserve">kurā ministri paudīs savu redzējumu par infrastruktūras attīstību līdz 2020. gadam un pēc tā, balstoties uz līdzšinējo pieredzi CEF īstenošanā. </w:t>
      </w:r>
      <w:r w:rsidR="00A60F17">
        <w:rPr>
          <w:sz w:val="28"/>
          <w:szCs w:val="28"/>
        </w:rPr>
        <w:t xml:space="preserve">Jautājums tiks atspoguļots </w:t>
      </w:r>
      <w:r w:rsidR="00BE05F3" w:rsidRPr="000C0BD0">
        <w:rPr>
          <w:sz w:val="28"/>
          <w:szCs w:val="28"/>
        </w:rPr>
        <w:t>Satiksmes ministrijas informatīvajā ziņojumā</w:t>
      </w:r>
      <w:r w:rsidR="00A60F17">
        <w:rPr>
          <w:sz w:val="28"/>
          <w:szCs w:val="28"/>
        </w:rPr>
        <w:t>, kurā tiks</w:t>
      </w:r>
      <w:r w:rsidR="003E5EE9">
        <w:rPr>
          <w:sz w:val="28"/>
          <w:szCs w:val="28"/>
        </w:rPr>
        <w:t xml:space="preserve"> </w:t>
      </w:r>
      <w:r w:rsidR="00BE05F3" w:rsidRPr="000C0BD0">
        <w:rPr>
          <w:sz w:val="28"/>
          <w:szCs w:val="28"/>
        </w:rPr>
        <w:t>iekļauta Ekonomikas ministrijas nostāja par CEF enerģētikas kontekstā</w:t>
      </w:r>
      <w:r w:rsidR="00A60F17">
        <w:rPr>
          <w:sz w:val="28"/>
          <w:szCs w:val="28"/>
        </w:rPr>
        <w:t>.</w:t>
      </w:r>
      <w:r w:rsidR="00BE05F3" w:rsidRPr="000C0BD0">
        <w:rPr>
          <w:sz w:val="28"/>
          <w:szCs w:val="28"/>
        </w:rPr>
        <w:t xml:space="preserve"> </w:t>
      </w:r>
    </w:p>
    <w:p w:rsidR="001700D5" w:rsidRDefault="001700D5" w:rsidP="001700D5">
      <w:pPr>
        <w:pStyle w:val="NoSpacing"/>
        <w:spacing w:after="120" w:line="276" w:lineRule="auto"/>
        <w:ind w:left="927"/>
        <w:rPr>
          <w:sz w:val="28"/>
          <w:szCs w:val="28"/>
        </w:rPr>
      </w:pPr>
    </w:p>
    <w:p w:rsidR="00385315" w:rsidRPr="008931FC" w:rsidRDefault="001700D5" w:rsidP="008931FC">
      <w:pPr>
        <w:pStyle w:val="NoSpacing"/>
        <w:numPr>
          <w:ilvl w:val="0"/>
          <w:numId w:val="10"/>
        </w:numPr>
        <w:spacing w:after="120" w:line="276" w:lineRule="auto"/>
        <w:rPr>
          <w:sz w:val="28"/>
          <w:szCs w:val="28"/>
        </w:rPr>
      </w:pPr>
      <w:r>
        <w:rPr>
          <w:sz w:val="28"/>
          <w:szCs w:val="28"/>
        </w:rPr>
        <w:t>Padomes ietvaros d</w:t>
      </w:r>
      <w:r w:rsidR="00F242E4" w:rsidRPr="000C0BD0">
        <w:rPr>
          <w:sz w:val="28"/>
          <w:szCs w:val="28"/>
        </w:rPr>
        <w:t xml:space="preserve">alībvalstis tiks aicinātas parakstīt Igaunijas prezidentūras sagatavoto </w:t>
      </w:r>
      <w:r w:rsidR="00385315" w:rsidRPr="00385315">
        <w:rPr>
          <w:b/>
          <w:sz w:val="28"/>
          <w:szCs w:val="28"/>
        </w:rPr>
        <w:t>E-enerģijas</w:t>
      </w:r>
      <w:r w:rsidR="00385315">
        <w:rPr>
          <w:sz w:val="28"/>
          <w:szCs w:val="28"/>
        </w:rPr>
        <w:t xml:space="preserve"> </w:t>
      </w:r>
      <w:r w:rsidR="00F242E4" w:rsidRPr="001700D5">
        <w:rPr>
          <w:b/>
          <w:sz w:val="28"/>
          <w:szCs w:val="28"/>
        </w:rPr>
        <w:t xml:space="preserve">deklarāciju </w:t>
      </w:r>
      <w:r w:rsidR="00F242E4" w:rsidRPr="00385315">
        <w:rPr>
          <w:sz w:val="28"/>
          <w:szCs w:val="28"/>
        </w:rPr>
        <w:t>par digitalizāciju enerģētikas sektorā</w:t>
      </w:r>
      <w:r w:rsidR="00F242E4" w:rsidRPr="000C0BD0">
        <w:rPr>
          <w:sz w:val="28"/>
          <w:szCs w:val="28"/>
        </w:rPr>
        <w:t xml:space="preserve">. Deklarācijā ir pausts aicinājums uzsākt digitālās enerģētikas stratēģiju un iesaistīt gan valsts, gan privāto sektoru šajā procesā. </w:t>
      </w:r>
      <w:r w:rsidR="00385315">
        <w:rPr>
          <w:sz w:val="28"/>
          <w:szCs w:val="28"/>
        </w:rPr>
        <w:t xml:space="preserve">Tā uzsver digitālo risinājumu milzīgo potenciālu enerģētikas nozarē, kā arī labāku sadarbību visās nozarēs, lai sasniegtu kopējos enerģētikas un vides mērķus. </w:t>
      </w:r>
      <w:r w:rsidR="008931FC">
        <w:rPr>
          <w:sz w:val="28"/>
          <w:szCs w:val="28"/>
        </w:rPr>
        <w:t xml:space="preserve">Vienlaikus tiek uzsvērta arī nepieciešamība veikt lielākas investīcijas digitālās enerģētikas infrastruktūrā, lai nodrošinātu digitālu risinājumu izmantošanu enerģētikas sistēmā, kā arī to aizsardzību pret kiberdraudiem. </w:t>
      </w:r>
    </w:p>
    <w:p w:rsidR="001700D5" w:rsidRPr="001700D5" w:rsidRDefault="001700D5" w:rsidP="001700D5">
      <w:pPr>
        <w:pStyle w:val="NoSpacing"/>
        <w:spacing w:after="120" w:line="276" w:lineRule="auto"/>
        <w:rPr>
          <w:b/>
          <w:sz w:val="28"/>
          <w:szCs w:val="28"/>
        </w:rPr>
      </w:pPr>
      <w:r w:rsidRPr="001700D5">
        <w:rPr>
          <w:b/>
          <w:sz w:val="28"/>
          <w:szCs w:val="28"/>
        </w:rPr>
        <w:t>Latvijas nostāja:</w:t>
      </w:r>
    </w:p>
    <w:p w:rsidR="001700D5" w:rsidRPr="001700D5" w:rsidRDefault="001700D5" w:rsidP="001700D5">
      <w:pPr>
        <w:ind w:firstLine="720"/>
        <w:rPr>
          <w:sz w:val="28"/>
          <w:szCs w:val="28"/>
        </w:rPr>
      </w:pPr>
      <w:r w:rsidRPr="001700D5">
        <w:rPr>
          <w:sz w:val="28"/>
          <w:szCs w:val="28"/>
        </w:rPr>
        <w:t xml:space="preserve">Latvija kopumā atbalsta </w:t>
      </w:r>
      <w:r w:rsidRPr="001700D5">
        <w:rPr>
          <w:b/>
          <w:sz w:val="28"/>
          <w:szCs w:val="28"/>
        </w:rPr>
        <w:t>E-enerģijas deklarācijas</w:t>
      </w:r>
      <w:r w:rsidRPr="001700D5">
        <w:rPr>
          <w:sz w:val="28"/>
          <w:szCs w:val="28"/>
        </w:rPr>
        <w:t xml:space="preserve"> tekstu, kas t</w:t>
      </w:r>
      <w:r>
        <w:rPr>
          <w:sz w:val="28"/>
          <w:szCs w:val="28"/>
        </w:rPr>
        <w:t>ika saskaņota pirms neformālās p</w:t>
      </w:r>
      <w:r w:rsidRPr="001700D5">
        <w:rPr>
          <w:sz w:val="28"/>
          <w:szCs w:val="28"/>
        </w:rPr>
        <w:t>adomes sanāksmes. Latvija atbalsta prezidējošās valsts ieceri uzsvērt nepieciešamību attīstīt inovatīvus un digitālus risinājumus enerģētikas jomā. Vienlaikus, ņemot vērā deklarācijas lielo uzsvaru uz enerģētikas sektora digitalizāciju, Latvijai svarīgi</w:t>
      </w:r>
      <w:r>
        <w:rPr>
          <w:sz w:val="28"/>
          <w:szCs w:val="28"/>
        </w:rPr>
        <w:t>,</w:t>
      </w:r>
      <w:r w:rsidRPr="001700D5">
        <w:rPr>
          <w:sz w:val="28"/>
          <w:szCs w:val="28"/>
        </w:rPr>
        <w:t xml:space="preserve"> ka</w:t>
      </w:r>
      <w:r>
        <w:rPr>
          <w:sz w:val="28"/>
          <w:szCs w:val="28"/>
        </w:rPr>
        <w:t xml:space="preserve"> deklarācijas tekstā īpaši uzsve</w:t>
      </w:r>
      <w:r w:rsidRPr="001700D5">
        <w:rPr>
          <w:sz w:val="28"/>
          <w:szCs w:val="28"/>
        </w:rPr>
        <w:t>rams būtu arī elektroenerģijas gala lietotāju datu aizsardzības nozīmīgums un kiberdrošības jautājums.</w:t>
      </w:r>
    </w:p>
    <w:p w:rsidR="00CD0B6D" w:rsidRPr="000C0BD0" w:rsidRDefault="00CD0B6D" w:rsidP="000C0BD0">
      <w:pPr>
        <w:pStyle w:val="NoSpacing"/>
        <w:spacing w:after="120" w:line="276" w:lineRule="auto"/>
        <w:ind w:firstLine="567"/>
        <w:rPr>
          <w:sz w:val="28"/>
          <w:szCs w:val="28"/>
        </w:rPr>
      </w:pPr>
    </w:p>
    <w:p w:rsidR="007F5064" w:rsidRPr="000C0BD0" w:rsidRDefault="00952B97" w:rsidP="000C0BD0">
      <w:pPr>
        <w:keepNext/>
        <w:keepLines/>
        <w:shd w:val="clear" w:color="auto" w:fill="F2F2F2" w:themeFill="background1" w:themeFillShade="F2"/>
        <w:spacing w:before="240" w:after="120" w:line="276" w:lineRule="auto"/>
        <w:ind w:left="567" w:hanging="567"/>
        <w:rPr>
          <w:rFonts w:cs="Times New Roman"/>
          <w:b/>
          <w:sz w:val="28"/>
          <w:szCs w:val="28"/>
        </w:rPr>
      </w:pPr>
      <w:r w:rsidRPr="000C0BD0">
        <w:rPr>
          <w:rFonts w:cs="Times New Roman"/>
          <w:b/>
          <w:sz w:val="28"/>
          <w:szCs w:val="28"/>
        </w:rPr>
        <w:lastRenderedPageBreak/>
        <w:t>2</w:t>
      </w:r>
      <w:r w:rsidR="007F5064" w:rsidRPr="000C0BD0">
        <w:rPr>
          <w:rFonts w:cs="Times New Roman"/>
          <w:b/>
          <w:sz w:val="28"/>
          <w:szCs w:val="28"/>
        </w:rPr>
        <w:t>.</w:t>
      </w:r>
      <w:r w:rsidR="007F5064" w:rsidRPr="000C0BD0">
        <w:rPr>
          <w:rFonts w:cs="Times New Roman"/>
          <w:b/>
          <w:sz w:val="28"/>
          <w:szCs w:val="28"/>
        </w:rPr>
        <w:tab/>
        <w:t>Latvijas delegācijas sastāvs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8"/>
        <w:gridCol w:w="6109"/>
      </w:tblGrid>
      <w:tr w:rsidR="007F5064" w:rsidRPr="000C0BD0" w:rsidTr="00624911">
        <w:trPr>
          <w:trHeight w:val="702"/>
        </w:trPr>
        <w:tc>
          <w:tcPr>
            <w:tcW w:w="1711" w:type="pct"/>
          </w:tcPr>
          <w:p w:rsidR="007F5064" w:rsidRPr="000C0BD0" w:rsidRDefault="007F5064" w:rsidP="000C0BD0">
            <w:pPr>
              <w:keepNext/>
              <w:keepLines/>
              <w:spacing w:after="120" w:line="276" w:lineRule="auto"/>
              <w:rPr>
                <w:rFonts w:eastAsia="Calibri"/>
                <w:b/>
                <w:sz w:val="28"/>
                <w:szCs w:val="28"/>
              </w:rPr>
            </w:pPr>
            <w:r w:rsidRPr="000C0BD0">
              <w:rPr>
                <w:rFonts w:eastAsia="Calibri"/>
                <w:sz w:val="28"/>
                <w:szCs w:val="28"/>
              </w:rPr>
              <w:t>Delegācijas vadītājs:</w:t>
            </w:r>
          </w:p>
        </w:tc>
        <w:tc>
          <w:tcPr>
            <w:tcW w:w="3289" w:type="pct"/>
          </w:tcPr>
          <w:p w:rsidR="007F5064" w:rsidRPr="000C0BD0" w:rsidRDefault="00624911" w:rsidP="000C0BD0">
            <w:pPr>
              <w:keepNext/>
              <w:keepLines/>
              <w:spacing w:after="120" w:line="276" w:lineRule="auto"/>
              <w:rPr>
                <w:rFonts w:eastAsia="Calibri"/>
                <w:b/>
                <w:sz w:val="28"/>
                <w:szCs w:val="28"/>
              </w:rPr>
            </w:pPr>
            <w:r w:rsidRPr="000C0BD0">
              <w:rPr>
                <w:rFonts w:eastAsia="Calibri"/>
                <w:b/>
                <w:sz w:val="28"/>
                <w:szCs w:val="28"/>
              </w:rPr>
              <w:t>A.Ašeradens</w:t>
            </w:r>
            <w:r w:rsidR="007F5064" w:rsidRPr="000C0BD0">
              <w:rPr>
                <w:rFonts w:eastAsia="Calibri"/>
                <w:sz w:val="28"/>
                <w:szCs w:val="28"/>
              </w:rPr>
              <w:t xml:space="preserve">, </w:t>
            </w:r>
            <w:r w:rsidRPr="000C0BD0">
              <w:rPr>
                <w:rFonts w:eastAsia="Calibri"/>
                <w:sz w:val="28"/>
                <w:szCs w:val="28"/>
              </w:rPr>
              <w:t>Ministru prezidenta biedrs, ekonomikas ministrs</w:t>
            </w:r>
          </w:p>
        </w:tc>
      </w:tr>
      <w:tr w:rsidR="007F5064" w:rsidRPr="000C0BD0" w:rsidTr="00624911">
        <w:tc>
          <w:tcPr>
            <w:tcW w:w="1711" w:type="pct"/>
          </w:tcPr>
          <w:p w:rsidR="007F5064" w:rsidRPr="000C0BD0" w:rsidRDefault="007F5064" w:rsidP="000C0BD0">
            <w:pPr>
              <w:spacing w:after="120" w:line="276" w:lineRule="auto"/>
              <w:rPr>
                <w:rFonts w:eastAsia="Calibri"/>
                <w:b/>
                <w:sz w:val="28"/>
                <w:szCs w:val="28"/>
              </w:rPr>
            </w:pPr>
            <w:r w:rsidRPr="000C0BD0">
              <w:rPr>
                <w:rFonts w:eastAsia="Calibri"/>
                <w:sz w:val="28"/>
                <w:szCs w:val="28"/>
              </w:rPr>
              <w:t>Delegācijas dalībnieki:</w:t>
            </w:r>
          </w:p>
        </w:tc>
        <w:tc>
          <w:tcPr>
            <w:tcW w:w="3289" w:type="pct"/>
          </w:tcPr>
          <w:p w:rsidR="007F5064" w:rsidRPr="000C0BD0" w:rsidRDefault="00624911" w:rsidP="000C0BD0">
            <w:pPr>
              <w:spacing w:after="120" w:line="276" w:lineRule="auto"/>
              <w:rPr>
                <w:rFonts w:eastAsia="Calibri"/>
                <w:sz w:val="28"/>
                <w:szCs w:val="28"/>
              </w:rPr>
            </w:pPr>
            <w:r w:rsidRPr="000C0BD0">
              <w:rPr>
                <w:rFonts w:eastAsia="Calibri"/>
                <w:b/>
                <w:sz w:val="28"/>
                <w:szCs w:val="28"/>
              </w:rPr>
              <w:t>J</w:t>
            </w:r>
            <w:r w:rsidR="00A92285" w:rsidRPr="000C0BD0">
              <w:rPr>
                <w:rFonts w:eastAsia="Calibri"/>
                <w:b/>
                <w:sz w:val="28"/>
                <w:szCs w:val="28"/>
              </w:rPr>
              <w:t>.</w:t>
            </w:r>
            <w:r w:rsidRPr="000C0BD0">
              <w:rPr>
                <w:rFonts w:eastAsia="Calibri"/>
                <w:b/>
                <w:sz w:val="28"/>
                <w:szCs w:val="28"/>
              </w:rPr>
              <w:t>Patmalnieks</w:t>
            </w:r>
            <w:r w:rsidR="007F5064" w:rsidRPr="000C0BD0">
              <w:rPr>
                <w:rFonts w:eastAsia="Calibri"/>
                <w:sz w:val="28"/>
                <w:szCs w:val="28"/>
              </w:rPr>
              <w:t xml:space="preserve">, Ekonomikas ministrijas </w:t>
            </w:r>
            <w:r w:rsidRPr="000C0BD0">
              <w:rPr>
                <w:rFonts w:eastAsia="Calibri"/>
                <w:sz w:val="28"/>
                <w:szCs w:val="28"/>
              </w:rPr>
              <w:t>valsts sekretāra vietnieks enerģētikas jautājumos</w:t>
            </w:r>
          </w:p>
          <w:p w:rsidR="00624911" w:rsidRPr="000C0BD0" w:rsidRDefault="00624911" w:rsidP="000C0BD0">
            <w:pPr>
              <w:spacing w:after="120" w:line="276" w:lineRule="auto"/>
              <w:rPr>
                <w:rFonts w:eastAsia="Calibri"/>
                <w:sz w:val="28"/>
                <w:szCs w:val="28"/>
              </w:rPr>
            </w:pPr>
            <w:r w:rsidRPr="000C0BD0">
              <w:rPr>
                <w:rFonts w:eastAsia="Calibri"/>
                <w:b/>
                <w:sz w:val="28"/>
                <w:szCs w:val="28"/>
              </w:rPr>
              <w:t>O.Bogdanova</w:t>
            </w:r>
            <w:r w:rsidRPr="000C0BD0">
              <w:rPr>
                <w:rFonts w:eastAsia="Calibri"/>
                <w:sz w:val="28"/>
                <w:szCs w:val="28"/>
              </w:rPr>
              <w:t>, Ekonomikas ministrijas Enerģijas tirgus un infrastruktūras departamenta direktore</w:t>
            </w:r>
          </w:p>
          <w:p w:rsidR="007F5064" w:rsidRPr="000C0BD0" w:rsidRDefault="00A92285" w:rsidP="000C0BD0">
            <w:pPr>
              <w:pStyle w:val="ListParagraph"/>
              <w:spacing w:after="120" w:line="276" w:lineRule="auto"/>
              <w:ind w:left="0"/>
              <w:contextualSpacing w:val="0"/>
              <w:rPr>
                <w:rFonts w:eastAsia="Calibri"/>
                <w:sz w:val="28"/>
                <w:szCs w:val="28"/>
              </w:rPr>
            </w:pPr>
            <w:r w:rsidRPr="000C0BD0">
              <w:rPr>
                <w:rFonts w:eastAsia="Calibri"/>
                <w:b/>
                <w:sz w:val="28"/>
                <w:szCs w:val="28"/>
              </w:rPr>
              <w:t>I.Iļjina</w:t>
            </w:r>
            <w:r w:rsidR="007F5064" w:rsidRPr="000C0BD0">
              <w:rPr>
                <w:rFonts w:eastAsia="Calibri"/>
                <w:b/>
                <w:sz w:val="28"/>
                <w:szCs w:val="28"/>
              </w:rPr>
              <w:t xml:space="preserve">, </w:t>
            </w:r>
            <w:r w:rsidRPr="000C0BD0">
              <w:rPr>
                <w:rFonts w:eastAsia="Calibri"/>
                <w:sz w:val="28"/>
                <w:szCs w:val="28"/>
              </w:rPr>
              <w:t xml:space="preserve">Ekonomikas ministrijas </w:t>
            </w:r>
            <w:r w:rsidRPr="000C0BD0">
              <w:rPr>
                <w:sz w:val="28"/>
                <w:szCs w:val="28"/>
              </w:rPr>
              <w:t>nozares padomniece,  Latvijas Republikas Pastāvīgā pārstāvniecība Eiropas Savienībā</w:t>
            </w:r>
          </w:p>
        </w:tc>
      </w:tr>
    </w:tbl>
    <w:p w:rsidR="007F5064" w:rsidRPr="000C0BD0" w:rsidRDefault="007F5064" w:rsidP="000C0BD0">
      <w:pPr>
        <w:spacing w:after="120" w:line="276" w:lineRule="auto"/>
        <w:ind w:left="2835" w:hanging="2835"/>
        <w:rPr>
          <w:sz w:val="28"/>
          <w:szCs w:val="28"/>
        </w:rPr>
      </w:pPr>
    </w:p>
    <w:p w:rsidR="00702DA0" w:rsidRPr="000C0BD0" w:rsidRDefault="00702DA0" w:rsidP="003302B3">
      <w:pPr>
        <w:tabs>
          <w:tab w:val="right" w:pos="8931"/>
        </w:tabs>
        <w:spacing w:after="120" w:line="276" w:lineRule="auto"/>
        <w:rPr>
          <w:sz w:val="28"/>
          <w:szCs w:val="28"/>
        </w:rPr>
      </w:pPr>
    </w:p>
    <w:p w:rsidR="007F5064" w:rsidRPr="000C0BD0" w:rsidRDefault="007F5064" w:rsidP="000C0BD0">
      <w:pPr>
        <w:tabs>
          <w:tab w:val="right" w:pos="8931"/>
        </w:tabs>
        <w:spacing w:after="120" w:line="276" w:lineRule="auto"/>
        <w:rPr>
          <w:sz w:val="28"/>
          <w:szCs w:val="28"/>
        </w:rPr>
      </w:pPr>
      <w:r w:rsidRPr="000C0BD0">
        <w:rPr>
          <w:sz w:val="28"/>
          <w:szCs w:val="28"/>
        </w:rPr>
        <w:t xml:space="preserve">Iesniedzējs: </w:t>
      </w:r>
      <w:r w:rsidRPr="000C0BD0">
        <w:rPr>
          <w:sz w:val="28"/>
          <w:szCs w:val="28"/>
        </w:rPr>
        <w:tab/>
      </w:r>
    </w:p>
    <w:p w:rsidR="007F5064" w:rsidRPr="000C0BD0" w:rsidRDefault="007F5064" w:rsidP="000C0BD0">
      <w:pPr>
        <w:tabs>
          <w:tab w:val="right" w:pos="8931"/>
        </w:tabs>
        <w:spacing w:after="120" w:line="276" w:lineRule="auto"/>
        <w:rPr>
          <w:sz w:val="28"/>
          <w:szCs w:val="28"/>
        </w:rPr>
      </w:pPr>
      <w:r w:rsidRPr="000C0BD0">
        <w:rPr>
          <w:sz w:val="28"/>
          <w:szCs w:val="28"/>
        </w:rPr>
        <w:t>Ministru prezidenta biedrs, ekonomikas ministrs</w:t>
      </w:r>
      <w:r w:rsidRPr="000C0BD0">
        <w:rPr>
          <w:sz w:val="28"/>
          <w:szCs w:val="28"/>
        </w:rPr>
        <w:tab/>
        <w:t>A.Ašeradens</w:t>
      </w:r>
    </w:p>
    <w:p w:rsidR="007F5064" w:rsidRPr="000C0BD0" w:rsidRDefault="007F5064" w:rsidP="000C0BD0">
      <w:pPr>
        <w:spacing w:after="120" w:line="276" w:lineRule="auto"/>
        <w:rPr>
          <w:sz w:val="28"/>
          <w:szCs w:val="28"/>
        </w:rPr>
      </w:pPr>
    </w:p>
    <w:p w:rsidR="007F5064" w:rsidRPr="000C0BD0" w:rsidRDefault="007F5064" w:rsidP="000C0BD0">
      <w:pPr>
        <w:tabs>
          <w:tab w:val="left" w:pos="7230"/>
        </w:tabs>
        <w:spacing w:line="276" w:lineRule="auto"/>
        <w:rPr>
          <w:rFonts w:cs="Times New Roman"/>
          <w:sz w:val="28"/>
          <w:szCs w:val="28"/>
        </w:rPr>
      </w:pPr>
      <w:r w:rsidRPr="000C0BD0">
        <w:rPr>
          <w:sz w:val="28"/>
          <w:szCs w:val="28"/>
        </w:rPr>
        <w:t>Vīza: valsts sekretārs</w:t>
      </w:r>
      <w:r w:rsidRPr="000C0BD0">
        <w:rPr>
          <w:sz w:val="28"/>
          <w:szCs w:val="28"/>
        </w:rPr>
        <w:tab/>
      </w:r>
      <w:r w:rsidR="00A92285" w:rsidRPr="000C0BD0">
        <w:rPr>
          <w:sz w:val="28"/>
          <w:szCs w:val="28"/>
        </w:rPr>
        <w:t xml:space="preserve">   </w:t>
      </w:r>
      <w:r w:rsidR="00952B97" w:rsidRPr="000C0BD0">
        <w:rPr>
          <w:sz w:val="28"/>
          <w:szCs w:val="28"/>
        </w:rPr>
        <w:t xml:space="preserve"> </w:t>
      </w:r>
      <w:r w:rsidRPr="000C0BD0">
        <w:rPr>
          <w:sz w:val="28"/>
          <w:szCs w:val="28"/>
        </w:rPr>
        <w:t>J.Stinka</w:t>
      </w:r>
    </w:p>
    <w:p w:rsidR="007F5064" w:rsidRPr="000C0BD0" w:rsidRDefault="007F5064" w:rsidP="000C0BD0">
      <w:pPr>
        <w:tabs>
          <w:tab w:val="left" w:pos="7230"/>
        </w:tabs>
        <w:spacing w:line="276" w:lineRule="auto"/>
        <w:rPr>
          <w:rFonts w:cs="Times New Roman"/>
          <w:sz w:val="28"/>
          <w:szCs w:val="28"/>
        </w:rPr>
      </w:pPr>
    </w:p>
    <w:p w:rsidR="007F5064" w:rsidRPr="000C0BD0" w:rsidRDefault="007F5064" w:rsidP="000C0BD0">
      <w:pPr>
        <w:tabs>
          <w:tab w:val="left" w:pos="7230"/>
        </w:tabs>
        <w:spacing w:line="276" w:lineRule="auto"/>
        <w:rPr>
          <w:rFonts w:cs="Times New Roman"/>
          <w:sz w:val="28"/>
          <w:szCs w:val="28"/>
        </w:rPr>
      </w:pPr>
    </w:p>
    <w:p w:rsidR="007F5064" w:rsidRPr="00654F5C" w:rsidRDefault="007F5064" w:rsidP="000C0BD0">
      <w:pPr>
        <w:tabs>
          <w:tab w:val="left" w:pos="7230"/>
        </w:tabs>
        <w:spacing w:line="276" w:lineRule="auto"/>
        <w:rPr>
          <w:rFonts w:cs="Times New Roman"/>
          <w:sz w:val="18"/>
          <w:szCs w:val="28"/>
        </w:rPr>
      </w:pPr>
    </w:p>
    <w:p w:rsidR="007F5064" w:rsidRPr="00654F5C" w:rsidRDefault="005314CD" w:rsidP="000C0BD0">
      <w:pPr>
        <w:spacing w:line="276" w:lineRule="auto"/>
        <w:rPr>
          <w:sz w:val="18"/>
          <w:szCs w:val="28"/>
        </w:rPr>
      </w:pPr>
      <w:r>
        <w:rPr>
          <w:sz w:val="18"/>
          <w:szCs w:val="28"/>
        </w:rPr>
        <w:t>07</w:t>
      </w:r>
      <w:r w:rsidR="00500236" w:rsidRPr="00654F5C">
        <w:rPr>
          <w:sz w:val="18"/>
          <w:szCs w:val="28"/>
        </w:rPr>
        <w:t>.09</w:t>
      </w:r>
      <w:r w:rsidR="007F5064" w:rsidRPr="00654F5C">
        <w:rPr>
          <w:sz w:val="18"/>
          <w:szCs w:val="28"/>
        </w:rPr>
        <w:t xml:space="preserve">.2017. </w:t>
      </w:r>
    </w:p>
    <w:p w:rsidR="007F5064" w:rsidRPr="00654F5C" w:rsidRDefault="005314CD" w:rsidP="000C0BD0">
      <w:pPr>
        <w:spacing w:line="276" w:lineRule="auto"/>
        <w:rPr>
          <w:sz w:val="18"/>
          <w:szCs w:val="28"/>
        </w:rPr>
      </w:pPr>
      <w:r>
        <w:rPr>
          <w:sz w:val="18"/>
          <w:szCs w:val="28"/>
        </w:rPr>
        <w:t>1417</w:t>
      </w:r>
    </w:p>
    <w:p w:rsidR="007F5064" w:rsidRPr="00654F5C" w:rsidRDefault="00A92285" w:rsidP="000C0BD0">
      <w:pPr>
        <w:tabs>
          <w:tab w:val="left" w:pos="7230"/>
        </w:tabs>
        <w:spacing w:line="276" w:lineRule="auto"/>
        <w:rPr>
          <w:sz w:val="18"/>
          <w:szCs w:val="28"/>
        </w:rPr>
      </w:pPr>
      <w:r w:rsidRPr="00654F5C">
        <w:rPr>
          <w:sz w:val="18"/>
          <w:szCs w:val="28"/>
        </w:rPr>
        <w:t>I.Karpoviča</w:t>
      </w:r>
    </w:p>
    <w:p w:rsidR="007F5064" w:rsidRPr="00654F5C" w:rsidRDefault="007F5064" w:rsidP="000C0BD0">
      <w:pPr>
        <w:tabs>
          <w:tab w:val="left" w:pos="7230"/>
        </w:tabs>
        <w:spacing w:line="276" w:lineRule="auto"/>
        <w:rPr>
          <w:sz w:val="18"/>
          <w:szCs w:val="28"/>
        </w:rPr>
      </w:pPr>
      <w:r w:rsidRPr="00654F5C">
        <w:rPr>
          <w:sz w:val="18"/>
          <w:szCs w:val="28"/>
        </w:rPr>
        <w:t>6</w:t>
      </w:r>
      <w:r w:rsidR="00A92285" w:rsidRPr="00654F5C">
        <w:rPr>
          <w:sz w:val="18"/>
          <w:szCs w:val="28"/>
        </w:rPr>
        <w:t>7013192</w:t>
      </w:r>
      <w:r w:rsidRPr="00654F5C">
        <w:rPr>
          <w:sz w:val="18"/>
          <w:szCs w:val="28"/>
        </w:rPr>
        <w:t xml:space="preserve">, </w:t>
      </w:r>
      <w:r w:rsidR="00A92285" w:rsidRPr="00654F5C">
        <w:rPr>
          <w:sz w:val="18"/>
          <w:szCs w:val="28"/>
          <w:u w:val="single"/>
        </w:rPr>
        <w:t>inese</w:t>
      </w:r>
      <w:r w:rsidRPr="00654F5C">
        <w:rPr>
          <w:sz w:val="18"/>
          <w:szCs w:val="28"/>
          <w:u w:val="single"/>
        </w:rPr>
        <w:t>.</w:t>
      </w:r>
      <w:r w:rsidR="00A92285" w:rsidRPr="00654F5C">
        <w:rPr>
          <w:sz w:val="18"/>
          <w:szCs w:val="28"/>
          <w:u w:val="single"/>
        </w:rPr>
        <w:t>karpovica</w:t>
      </w:r>
      <w:r w:rsidR="003E5EE9">
        <w:rPr>
          <w:sz w:val="18"/>
          <w:szCs w:val="28"/>
          <w:u w:val="single"/>
        </w:rPr>
        <w:t>@em.gov.lv</w:t>
      </w:r>
    </w:p>
    <w:sectPr w:rsidR="007F5064" w:rsidRPr="00654F5C" w:rsidSect="00C051EF">
      <w:headerReference w:type="default" r:id="rId9"/>
      <w:footerReference w:type="default" r:id="rId10"/>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201" w:rsidRDefault="009C5201" w:rsidP="00B4240D">
      <w:r>
        <w:separator/>
      </w:r>
    </w:p>
  </w:endnote>
  <w:endnote w:type="continuationSeparator" w:id="0">
    <w:p w:rsidR="009C5201" w:rsidRDefault="009C5201" w:rsidP="00B4240D">
      <w:r>
        <w:continuationSeparator/>
      </w:r>
    </w:p>
  </w:endnote>
  <w:endnote w:type="continuationNotice" w:id="1">
    <w:p w:rsidR="009C5201" w:rsidRDefault="009C52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TTA20CB868t00">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1378802"/>
      <w:docPartObj>
        <w:docPartGallery w:val="Page Numbers (Bottom of Page)"/>
        <w:docPartUnique/>
      </w:docPartObj>
    </w:sdtPr>
    <w:sdtEndPr>
      <w:rPr>
        <w:noProof/>
      </w:rPr>
    </w:sdtEndPr>
    <w:sdtContent>
      <w:p w:rsidR="00883A90" w:rsidRDefault="00883A90">
        <w:pPr>
          <w:pStyle w:val="Footer"/>
          <w:jc w:val="center"/>
        </w:pPr>
        <w:r>
          <w:fldChar w:fldCharType="begin"/>
        </w:r>
        <w:r>
          <w:instrText xml:space="preserve"> PAGE   \* MERGEFORMAT </w:instrText>
        </w:r>
        <w:r>
          <w:fldChar w:fldCharType="separate"/>
        </w:r>
        <w:r w:rsidR="008F0169">
          <w:rPr>
            <w:noProof/>
          </w:rPr>
          <w:t>1</w:t>
        </w:r>
        <w:r>
          <w:rPr>
            <w:noProof/>
          </w:rPr>
          <w:fldChar w:fldCharType="end"/>
        </w:r>
      </w:p>
    </w:sdtContent>
  </w:sdt>
  <w:p w:rsidR="00883A90" w:rsidRDefault="00883A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201" w:rsidRDefault="009C5201" w:rsidP="00B4240D">
      <w:r>
        <w:separator/>
      </w:r>
    </w:p>
  </w:footnote>
  <w:footnote w:type="continuationSeparator" w:id="0">
    <w:p w:rsidR="009C5201" w:rsidRDefault="009C5201" w:rsidP="00B4240D">
      <w:r>
        <w:continuationSeparator/>
      </w:r>
    </w:p>
  </w:footnote>
  <w:footnote w:type="continuationNotice" w:id="1">
    <w:p w:rsidR="009C5201" w:rsidRDefault="009C5201"/>
  </w:footnote>
  <w:footnote w:id="2">
    <w:p w:rsidR="00FD724A" w:rsidRPr="00FE6AE1" w:rsidRDefault="00FD724A" w:rsidP="00FD724A">
      <w:pPr>
        <w:pStyle w:val="FootnoteText"/>
      </w:pPr>
      <w:r>
        <w:rPr>
          <w:rStyle w:val="FootnoteReference"/>
        </w:rPr>
        <w:footnoteRef/>
      </w:r>
      <w:r w:rsidRPr="00E24592">
        <w:rPr>
          <w:lang w:val="fr-FR"/>
        </w:rPr>
        <w:t xml:space="preserve"> </w:t>
      </w:r>
      <w:r>
        <w:t>Komersants, kurš apkopo vairāku lietotāju slodzes izmaiņas jeb elektroenerģijas patēriņa samazinājumu ar mērķi pārdot šo elektroenerģiju biržā citiem tirgus dalībniekiem vai sistēmas operatoram.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CA0" w:rsidRDefault="007B1C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84D68"/>
    <w:multiLevelType w:val="hybridMultilevel"/>
    <w:tmpl w:val="C5E8E0FC"/>
    <w:lvl w:ilvl="0" w:tplc="04260011">
      <w:start w:val="1"/>
      <w:numFmt w:val="decimal"/>
      <w:pStyle w:val="Heading1"/>
      <w:lvlText w:val="%1)"/>
      <w:lvlJc w:val="left"/>
      <w:pPr>
        <w:ind w:left="1429" w:hanging="360"/>
      </w:pPr>
      <w:rPr>
        <w:rFonts w:cs="Times New Roman"/>
      </w:rPr>
    </w:lvl>
    <w:lvl w:ilvl="1" w:tplc="04260011">
      <w:start w:val="1"/>
      <w:numFmt w:val="decimal"/>
      <w:pStyle w:val="Heading2"/>
      <w:lvlText w:val="%2)"/>
      <w:lvlJc w:val="left"/>
      <w:pPr>
        <w:ind w:left="2149" w:hanging="360"/>
      </w:pPr>
      <w:rPr>
        <w:rFonts w:cs="Times New Roman"/>
      </w:rPr>
    </w:lvl>
    <w:lvl w:ilvl="2" w:tplc="0426001B" w:tentative="1">
      <w:start w:val="1"/>
      <w:numFmt w:val="lowerRoman"/>
      <w:pStyle w:val="Heading3"/>
      <w:lvlText w:val="%3."/>
      <w:lvlJc w:val="right"/>
      <w:pPr>
        <w:ind w:left="2869" w:hanging="180"/>
      </w:pPr>
      <w:rPr>
        <w:rFonts w:cs="Times New Roman"/>
      </w:rPr>
    </w:lvl>
    <w:lvl w:ilvl="3" w:tplc="0426000F" w:tentative="1">
      <w:start w:val="1"/>
      <w:numFmt w:val="decimal"/>
      <w:pStyle w:val="Heading4"/>
      <w:lvlText w:val="%4."/>
      <w:lvlJc w:val="left"/>
      <w:pPr>
        <w:ind w:left="3589" w:hanging="360"/>
      </w:pPr>
      <w:rPr>
        <w:rFonts w:cs="Times New Roman"/>
      </w:rPr>
    </w:lvl>
    <w:lvl w:ilvl="4" w:tplc="04260019" w:tentative="1">
      <w:start w:val="1"/>
      <w:numFmt w:val="lowerLetter"/>
      <w:lvlText w:val="%5."/>
      <w:lvlJc w:val="left"/>
      <w:pPr>
        <w:ind w:left="4309" w:hanging="360"/>
      </w:pPr>
      <w:rPr>
        <w:rFonts w:cs="Times New Roman"/>
      </w:rPr>
    </w:lvl>
    <w:lvl w:ilvl="5" w:tplc="0426001B" w:tentative="1">
      <w:start w:val="1"/>
      <w:numFmt w:val="lowerRoman"/>
      <w:lvlText w:val="%6."/>
      <w:lvlJc w:val="right"/>
      <w:pPr>
        <w:ind w:left="5029" w:hanging="180"/>
      </w:pPr>
      <w:rPr>
        <w:rFonts w:cs="Times New Roman"/>
      </w:rPr>
    </w:lvl>
    <w:lvl w:ilvl="6" w:tplc="0426000F" w:tentative="1">
      <w:start w:val="1"/>
      <w:numFmt w:val="decimal"/>
      <w:lvlText w:val="%7."/>
      <w:lvlJc w:val="left"/>
      <w:pPr>
        <w:ind w:left="5749" w:hanging="360"/>
      </w:pPr>
      <w:rPr>
        <w:rFonts w:cs="Times New Roman"/>
      </w:rPr>
    </w:lvl>
    <w:lvl w:ilvl="7" w:tplc="04260019" w:tentative="1">
      <w:start w:val="1"/>
      <w:numFmt w:val="lowerLetter"/>
      <w:lvlText w:val="%8."/>
      <w:lvlJc w:val="left"/>
      <w:pPr>
        <w:ind w:left="6469" w:hanging="360"/>
      </w:pPr>
      <w:rPr>
        <w:rFonts w:cs="Times New Roman"/>
      </w:rPr>
    </w:lvl>
    <w:lvl w:ilvl="8" w:tplc="0426001B" w:tentative="1">
      <w:start w:val="1"/>
      <w:numFmt w:val="lowerRoman"/>
      <w:lvlText w:val="%9."/>
      <w:lvlJc w:val="right"/>
      <w:pPr>
        <w:ind w:left="7189" w:hanging="180"/>
      </w:pPr>
      <w:rPr>
        <w:rFonts w:cs="Times New Roman"/>
      </w:rPr>
    </w:lvl>
  </w:abstractNum>
  <w:abstractNum w:abstractNumId="1">
    <w:nsid w:val="114D69E9"/>
    <w:multiLevelType w:val="hybridMultilevel"/>
    <w:tmpl w:val="CED2CAF4"/>
    <w:lvl w:ilvl="0" w:tplc="63447F8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14C45248"/>
    <w:multiLevelType w:val="hybridMultilevel"/>
    <w:tmpl w:val="BEDCA308"/>
    <w:lvl w:ilvl="0" w:tplc="B3741108">
      <w:start w:val="1"/>
      <w:numFmt w:val="lowerLetter"/>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
    <w:nsid w:val="1E7073EF"/>
    <w:multiLevelType w:val="hybridMultilevel"/>
    <w:tmpl w:val="E42ACD9E"/>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239F446E"/>
    <w:multiLevelType w:val="hybridMultilevel"/>
    <w:tmpl w:val="61985A80"/>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2C655BE9"/>
    <w:multiLevelType w:val="hybridMultilevel"/>
    <w:tmpl w:val="7038A5E6"/>
    <w:lvl w:ilvl="0" w:tplc="CD8E6168">
      <w:start w:val="1"/>
      <w:numFmt w:val="lowerLetter"/>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6">
    <w:nsid w:val="34C369B5"/>
    <w:multiLevelType w:val="hybridMultilevel"/>
    <w:tmpl w:val="BD529670"/>
    <w:lvl w:ilvl="0" w:tplc="91B0AC8A">
      <w:start w:val="1"/>
      <w:numFmt w:val="lowerLetter"/>
      <w:lvlText w:val="%1)"/>
      <w:lvlJc w:val="left"/>
      <w:pPr>
        <w:ind w:left="927" w:hanging="360"/>
      </w:pPr>
      <w:rPr>
        <w:rFonts w:hint="default"/>
        <w:b/>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7">
    <w:nsid w:val="4CDB45A3"/>
    <w:multiLevelType w:val="hybridMultilevel"/>
    <w:tmpl w:val="B4603522"/>
    <w:lvl w:ilvl="0" w:tplc="827C674E">
      <w:start w:val="1"/>
      <w:numFmt w:val="bullet"/>
      <w:lvlText w:val="-"/>
      <w:lvlJc w:val="left"/>
      <w:pPr>
        <w:ind w:left="1287" w:hanging="360"/>
      </w:pPr>
      <w:rPr>
        <w:rFonts w:ascii="Times New Roman" w:eastAsiaTheme="minorHAnsi" w:hAnsi="Times New Roman" w:cs="Times New Roman"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8">
    <w:nsid w:val="518068CA"/>
    <w:multiLevelType w:val="hybridMultilevel"/>
    <w:tmpl w:val="C5668096"/>
    <w:lvl w:ilvl="0" w:tplc="63447F80">
      <w:start w:val="1"/>
      <w:numFmt w:val="bullet"/>
      <w:lvlText w:val=""/>
      <w:lvlJc w:val="left"/>
      <w:pPr>
        <w:ind w:left="1069" w:hanging="360"/>
      </w:pPr>
      <w:rPr>
        <w:rFonts w:ascii="Symbol" w:hAnsi="Symbol"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9">
    <w:nsid w:val="54934768"/>
    <w:multiLevelType w:val="hybridMultilevel"/>
    <w:tmpl w:val="AC524C34"/>
    <w:lvl w:ilvl="0" w:tplc="4B46199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558520AB"/>
    <w:multiLevelType w:val="hybridMultilevel"/>
    <w:tmpl w:val="04CA058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1">
    <w:nsid w:val="59E26C16"/>
    <w:multiLevelType w:val="hybridMultilevel"/>
    <w:tmpl w:val="CB621C8A"/>
    <w:lvl w:ilvl="0" w:tplc="04260017">
      <w:start w:val="1"/>
      <w:numFmt w:val="lowerLetter"/>
      <w:lvlText w:val="%1)"/>
      <w:lvlJc w:val="left"/>
      <w:pPr>
        <w:ind w:left="927" w:hanging="360"/>
      </w:p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2">
    <w:nsid w:val="5ACA3AE6"/>
    <w:multiLevelType w:val="hybridMultilevel"/>
    <w:tmpl w:val="C2328C98"/>
    <w:lvl w:ilvl="0" w:tplc="427C055A">
      <w:start w:val="1"/>
      <w:numFmt w:val="bullet"/>
      <w:lvlText w:val="-"/>
      <w:lvlJc w:val="left"/>
      <w:pPr>
        <w:ind w:left="927" w:hanging="360"/>
      </w:pPr>
      <w:rPr>
        <w:rFonts w:ascii="Times New Roman" w:eastAsiaTheme="minorHAnsi"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13">
    <w:nsid w:val="5E773F98"/>
    <w:multiLevelType w:val="hybridMultilevel"/>
    <w:tmpl w:val="0F767448"/>
    <w:lvl w:ilvl="0" w:tplc="E60026DC">
      <w:start w:val="1"/>
      <w:numFmt w:val="lowerLetter"/>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4">
    <w:nsid w:val="712441DE"/>
    <w:multiLevelType w:val="hybridMultilevel"/>
    <w:tmpl w:val="4328B660"/>
    <w:lvl w:ilvl="0" w:tplc="0DE0BCB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1"/>
  </w:num>
  <w:num w:numId="2">
    <w:abstractNumId w:val="13"/>
  </w:num>
  <w:num w:numId="3">
    <w:abstractNumId w:val="9"/>
  </w:num>
  <w:num w:numId="4">
    <w:abstractNumId w:val="14"/>
  </w:num>
  <w:num w:numId="5">
    <w:abstractNumId w:val="5"/>
  </w:num>
  <w:num w:numId="6">
    <w:abstractNumId w:val="6"/>
  </w:num>
  <w:num w:numId="7">
    <w:abstractNumId w:val="8"/>
  </w:num>
  <w:num w:numId="8">
    <w:abstractNumId w:val="1"/>
  </w:num>
  <w:num w:numId="9">
    <w:abstractNumId w:val="4"/>
  </w:num>
  <w:num w:numId="10">
    <w:abstractNumId w:val="2"/>
  </w:num>
  <w:num w:numId="11">
    <w:abstractNumId w:val="7"/>
  </w:num>
  <w:num w:numId="12">
    <w:abstractNumId w:val="12"/>
  </w:num>
  <w:num w:numId="13">
    <w:abstractNumId w:val="3"/>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1EF"/>
    <w:rsid w:val="00013D71"/>
    <w:rsid w:val="000148ED"/>
    <w:rsid w:val="000261FE"/>
    <w:rsid w:val="000C0BD0"/>
    <w:rsid w:val="000E0F02"/>
    <w:rsid w:val="00104FF1"/>
    <w:rsid w:val="001079E5"/>
    <w:rsid w:val="001172F6"/>
    <w:rsid w:val="001658A8"/>
    <w:rsid w:val="001700D5"/>
    <w:rsid w:val="00180DDE"/>
    <w:rsid w:val="001827E7"/>
    <w:rsid w:val="001B39AA"/>
    <w:rsid w:val="00216411"/>
    <w:rsid w:val="00252435"/>
    <w:rsid w:val="00287DC3"/>
    <w:rsid w:val="002C10FB"/>
    <w:rsid w:val="002C3F58"/>
    <w:rsid w:val="003302B3"/>
    <w:rsid w:val="00333FF4"/>
    <w:rsid w:val="00361193"/>
    <w:rsid w:val="00363FDC"/>
    <w:rsid w:val="00366BD3"/>
    <w:rsid w:val="00385315"/>
    <w:rsid w:val="003E5EE9"/>
    <w:rsid w:val="003F23C8"/>
    <w:rsid w:val="00427B63"/>
    <w:rsid w:val="00437D82"/>
    <w:rsid w:val="00464114"/>
    <w:rsid w:val="00484BA5"/>
    <w:rsid w:val="004B4123"/>
    <w:rsid w:val="004B6919"/>
    <w:rsid w:val="00500236"/>
    <w:rsid w:val="005069E1"/>
    <w:rsid w:val="005314CD"/>
    <w:rsid w:val="00563698"/>
    <w:rsid w:val="00577BB0"/>
    <w:rsid w:val="00581E55"/>
    <w:rsid w:val="00596119"/>
    <w:rsid w:val="005B799A"/>
    <w:rsid w:val="005D7DD1"/>
    <w:rsid w:val="005E2AB3"/>
    <w:rsid w:val="0060291C"/>
    <w:rsid w:val="006072B1"/>
    <w:rsid w:val="00624911"/>
    <w:rsid w:val="00625989"/>
    <w:rsid w:val="00646D92"/>
    <w:rsid w:val="0065010D"/>
    <w:rsid w:val="00654F5C"/>
    <w:rsid w:val="006663E0"/>
    <w:rsid w:val="006A0DC3"/>
    <w:rsid w:val="006C7C00"/>
    <w:rsid w:val="00702DA0"/>
    <w:rsid w:val="00731B33"/>
    <w:rsid w:val="0073393B"/>
    <w:rsid w:val="00737D63"/>
    <w:rsid w:val="007A42DF"/>
    <w:rsid w:val="007B1CA0"/>
    <w:rsid w:val="007B326B"/>
    <w:rsid w:val="007B6C4A"/>
    <w:rsid w:val="007B7D9C"/>
    <w:rsid w:val="007C08F3"/>
    <w:rsid w:val="007D0DF4"/>
    <w:rsid w:val="007F5064"/>
    <w:rsid w:val="0084614D"/>
    <w:rsid w:val="0086461D"/>
    <w:rsid w:val="00870F1D"/>
    <w:rsid w:val="008809A4"/>
    <w:rsid w:val="00883A90"/>
    <w:rsid w:val="00883B3D"/>
    <w:rsid w:val="008931FC"/>
    <w:rsid w:val="008D48E6"/>
    <w:rsid w:val="008E6D0A"/>
    <w:rsid w:val="008F0169"/>
    <w:rsid w:val="00901111"/>
    <w:rsid w:val="00907604"/>
    <w:rsid w:val="00923A5B"/>
    <w:rsid w:val="00952B97"/>
    <w:rsid w:val="00957DF4"/>
    <w:rsid w:val="0099109B"/>
    <w:rsid w:val="009A0F30"/>
    <w:rsid w:val="009C3C71"/>
    <w:rsid w:val="009C5201"/>
    <w:rsid w:val="009F248D"/>
    <w:rsid w:val="00A22D90"/>
    <w:rsid w:val="00A32A2B"/>
    <w:rsid w:val="00A34F57"/>
    <w:rsid w:val="00A47A9D"/>
    <w:rsid w:val="00A60F17"/>
    <w:rsid w:val="00A77844"/>
    <w:rsid w:val="00A92285"/>
    <w:rsid w:val="00A948AE"/>
    <w:rsid w:val="00AA5BA0"/>
    <w:rsid w:val="00AB436B"/>
    <w:rsid w:val="00AB4E47"/>
    <w:rsid w:val="00B20AD8"/>
    <w:rsid w:val="00B37ACF"/>
    <w:rsid w:val="00B4240D"/>
    <w:rsid w:val="00B8743F"/>
    <w:rsid w:val="00BA2274"/>
    <w:rsid w:val="00BA75AF"/>
    <w:rsid w:val="00BB2380"/>
    <w:rsid w:val="00BE05F3"/>
    <w:rsid w:val="00BE35AB"/>
    <w:rsid w:val="00BF38B7"/>
    <w:rsid w:val="00C051EF"/>
    <w:rsid w:val="00C07D38"/>
    <w:rsid w:val="00C16ED6"/>
    <w:rsid w:val="00C31881"/>
    <w:rsid w:val="00C6380B"/>
    <w:rsid w:val="00CD0B6D"/>
    <w:rsid w:val="00CF637B"/>
    <w:rsid w:val="00D126FA"/>
    <w:rsid w:val="00D73F41"/>
    <w:rsid w:val="00D91888"/>
    <w:rsid w:val="00DC021A"/>
    <w:rsid w:val="00DC16C5"/>
    <w:rsid w:val="00DD3057"/>
    <w:rsid w:val="00E935C0"/>
    <w:rsid w:val="00ED22B0"/>
    <w:rsid w:val="00EF632B"/>
    <w:rsid w:val="00F06E2C"/>
    <w:rsid w:val="00F242E4"/>
    <w:rsid w:val="00F41429"/>
    <w:rsid w:val="00F54E88"/>
    <w:rsid w:val="00F63171"/>
    <w:rsid w:val="00F73CA1"/>
    <w:rsid w:val="00F836B2"/>
    <w:rsid w:val="00FA1F68"/>
    <w:rsid w:val="00FB74E4"/>
    <w:rsid w:val="00FD1575"/>
    <w:rsid w:val="00FD62D0"/>
    <w:rsid w:val="00FD724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1EF"/>
    <w:pPr>
      <w:spacing w:after="0" w:line="240" w:lineRule="auto"/>
      <w:jc w:val="both"/>
    </w:pPr>
    <w:rPr>
      <w:rFonts w:ascii="Times New Roman" w:hAnsi="Times New Roman"/>
      <w:sz w:val="24"/>
    </w:rPr>
  </w:style>
  <w:style w:type="paragraph" w:styleId="Heading1">
    <w:name w:val="heading 1"/>
    <w:basedOn w:val="Normal"/>
    <w:next w:val="Normal"/>
    <w:link w:val="Heading1Char"/>
    <w:uiPriority w:val="99"/>
    <w:qFormat/>
    <w:rsid w:val="00FD724A"/>
    <w:pPr>
      <w:keepNext/>
      <w:numPr>
        <w:numId w:val="14"/>
      </w:numPr>
      <w:tabs>
        <w:tab w:val="num" w:pos="480"/>
      </w:tabs>
      <w:spacing w:before="240" w:after="240"/>
      <w:ind w:left="480" w:hanging="480"/>
      <w:outlineLvl w:val="0"/>
    </w:pPr>
    <w:rPr>
      <w:rFonts w:eastAsia="Times New Roman" w:cs="Times New Roman"/>
      <w:b/>
      <w:smallCaps/>
      <w:szCs w:val="20"/>
      <w:lang w:eastAsia="lv-LV"/>
    </w:rPr>
  </w:style>
  <w:style w:type="paragraph" w:styleId="Heading2">
    <w:name w:val="heading 2"/>
    <w:basedOn w:val="Normal"/>
    <w:next w:val="Normal"/>
    <w:link w:val="Heading2Char"/>
    <w:uiPriority w:val="99"/>
    <w:qFormat/>
    <w:rsid w:val="00FD724A"/>
    <w:pPr>
      <w:keepNext/>
      <w:numPr>
        <w:ilvl w:val="1"/>
        <w:numId w:val="14"/>
      </w:numPr>
      <w:tabs>
        <w:tab w:val="num" w:pos="1080"/>
      </w:tabs>
      <w:spacing w:after="240"/>
      <w:ind w:left="1080" w:hanging="600"/>
      <w:outlineLvl w:val="1"/>
    </w:pPr>
    <w:rPr>
      <w:rFonts w:eastAsia="Times New Roman" w:cs="Times New Roman"/>
      <w:b/>
      <w:szCs w:val="20"/>
      <w:lang w:eastAsia="lv-LV"/>
    </w:rPr>
  </w:style>
  <w:style w:type="paragraph" w:styleId="Heading3">
    <w:name w:val="heading 3"/>
    <w:basedOn w:val="Normal"/>
    <w:next w:val="Normal"/>
    <w:link w:val="Heading3Char"/>
    <w:uiPriority w:val="99"/>
    <w:qFormat/>
    <w:rsid w:val="00FD724A"/>
    <w:pPr>
      <w:keepNext/>
      <w:numPr>
        <w:ilvl w:val="2"/>
        <w:numId w:val="14"/>
      </w:numPr>
      <w:tabs>
        <w:tab w:val="num" w:pos="1920"/>
      </w:tabs>
      <w:spacing w:after="240"/>
      <w:ind w:left="1920" w:hanging="840"/>
      <w:outlineLvl w:val="2"/>
    </w:pPr>
    <w:rPr>
      <w:rFonts w:eastAsia="Times New Roman" w:cs="Times New Roman"/>
      <w:i/>
      <w:szCs w:val="20"/>
      <w:lang w:eastAsia="lv-LV"/>
    </w:rPr>
  </w:style>
  <w:style w:type="paragraph" w:styleId="Heading4">
    <w:name w:val="heading 4"/>
    <w:basedOn w:val="Normal"/>
    <w:next w:val="Normal"/>
    <w:link w:val="Heading4Char"/>
    <w:uiPriority w:val="99"/>
    <w:qFormat/>
    <w:rsid w:val="00FD724A"/>
    <w:pPr>
      <w:keepNext/>
      <w:numPr>
        <w:ilvl w:val="3"/>
        <w:numId w:val="14"/>
      </w:numPr>
      <w:tabs>
        <w:tab w:val="num" w:pos="2880"/>
      </w:tabs>
      <w:spacing w:after="240"/>
      <w:ind w:left="2880" w:hanging="960"/>
      <w:outlineLvl w:val="3"/>
    </w:pPr>
    <w:rPr>
      <w:rFonts w:eastAsia="Times New Roman" w:cs="Times New Roman"/>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Odstavec1,Puce"/>
    <w:basedOn w:val="Normal"/>
    <w:link w:val="ListParagraphChar"/>
    <w:uiPriority w:val="34"/>
    <w:qFormat/>
    <w:rsid w:val="00C051EF"/>
    <w:pPr>
      <w:ind w:left="720"/>
      <w:contextualSpacing/>
    </w:pPr>
  </w:style>
  <w:style w:type="paragraph" w:styleId="NoSpacing">
    <w:name w:val="No Spacing"/>
    <w:uiPriority w:val="1"/>
    <w:qFormat/>
    <w:rsid w:val="00C051EF"/>
    <w:pPr>
      <w:spacing w:after="0" w:line="240" w:lineRule="auto"/>
      <w:jc w:val="both"/>
    </w:pPr>
    <w:rPr>
      <w:rFonts w:ascii="Times New Roman" w:hAnsi="Times New Roman"/>
      <w:sz w:val="24"/>
    </w:rPr>
  </w:style>
  <w:style w:type="table" w:styleId="TableGrid">
    <w:name w:val="Table Grid"/>
    <w:basedOn w:val="TableNormal"/>
    <w:uiPriority w:val="59"/>
    <w:rsid w:val="007F50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Schriftart: 9 pt,Schriftart: 10 pt,Schriftart: 8 pt,Fußnotentext Char Char,WB-Fußnotentext,Footnote Char,fußn,Reference,Footnote text,o,Voetnoottekst Char,Voetnoottekst Char1,Voetnoottekst Char2 Char Char,Fußnote,Fußnote Char,Fußn"/>
    <w:basedOn w:val="Normal"/>
    <w:link w:val="FootnoteTextChar"/>
    <w:uiPriority w:val="99"/>
    <w:unhideWhenUsed/>
    <w:rsid w:val="00B4240D"/>
    <w:rPr>
      <w:sz w:val="20"/>
      <w:szCs w:val="20"/>
    </w:rPr>
  </w:style>
  <w:style w:type="character" w:customStyle="1" w:styleId="FootnoteTextChar">
    <w:name w:val="Footnote Text Char"/>
    <w:aliases w:val="Schriftart: 9 pt Char,Schriftart: 10 pt Char,Schriftart: 8 pt Char,Fußnotentext Char Char Char,WB-Fußnotentext Char,Footnote Char Char,fußn Char,Reference Char,Footnote text Char,o Char,Voetnoottekst Char Char,Voetnoottekst Char1 Char"/>
    <w:basedOn w:val="DefaultParagraphFont"/>
    <w:link w:val="FootnoteText"/>
    <w:uiPriority w:val="99"/>
    <w:semiHidden/>
    <w:rsid w:val="00B4240D"/>
    <w:rPr>
      <w:rFonts w:ascii="Times New Roman" w:hAnsi="Times New Roman"/>
      <w:sz w:val="20"/>
      <w:szCs w:val="20"/>
    </w:rPr>
  </w:style>
  <w:style w:type="character" w:styleId="FootnoteReference">
    <w:name w:val="footnote reference"/>
    <w:aliases w:val="Footnote Reference Number,Footnote symbol,Stinking Styles22,SUPERS,BVI fnr,Footnote,Footnote Reference Superscript,(Footnote Reference),Footnote reference number,note TESI,EN Footnote Reference,Voetnootverwijzing,Times 10 Point,No,FR"/>
    <w:basedOn w:val="DefaultParagraphFont"/>
    <w:uiPriority w:val="99"/>
    <w:unhideWhenUsed/>
    <w:rsid w:val="00B4240D"/>
    <w:rPr>
      <w:vertAlign w:val="superscript"/>
    </w:rPr>
  </w:style>
  <w:style w:type="paragraph" w:styleId="Header">
    <w:name w:val="header"/>
    <w:basedOn w:val="Normal"/>
    <w:link w:val="HeaderChar"/>
    <w:uiPriority w:val="99"/>
    <w:unhideWhenUsed/>
    <w:rsid w:val="00FD62D0"/>
    <w:pPr>
      <w:tabs>
        <w:tab w:val="center" w:pos="4153"/>
        <w:tab w:val="right" w:pos="8306"/>
      </w:tabs>
    </w:pPr>
  </w:style>
  <w:style w:type="character" w:customStyle="1" w:styleId="HeaderChar">
    <w:name w:val="Header Char"/>
    <w:basedOn w:val="DefaultParagraphFont"/>
    <w:link w:val="Header"/>
    <w:uiPriority w:val="99"/>
    <w:rsid w:val="00FD62D0"/>
    <w:rPr>
      <w:rFonts w:ascii="Times New Roman" w:hAnsi="Times New Roman"/>
      <w:sz w:val="24"/>
    </w:rPr>
  </w:style>
  <w:style w:type="paragraph" w:styleId="Footer">
    <w:name w:val="footer"/>
    <w:basedOn w:val="Normal"/>
    <w:link w:val="FooterChar"/>
    <w:uiPriority w:val="99"/>
    <w:unhideWhenUsed/>
    <w:rsid w:val="00FD62D0"/>
    <w:pPr>
      <w:tabs>
        <w:tab w:val="center" w:pos="4153"/>
        <w:tab w:val="right" w:pos="8306"/>
      </w:tabs>
    </w:pPr>
  </w:style>
  <w:style w:type="character" w:customStyle="1" w:styleId="FooterChar">
    <w:name w:val="Footer Char"/>
    <w:basedOn w:val="DefaultParagraphFont"/>
    <w:link w:val="Footer"/>
    <w:uiPriority w:val="99"/>
    <w:rsid w:val="00FD62D0"/>
    <w:rPr>
      <w:rFonts w:ascii="Times New Roman" w:hAnsi="Times New Roman"/>
      <w:sz w:val="24"/>
    </w:rPr>
  </w:style>
  <w:style w:type="character" w:styleId="CommentReference">
    <w:name w:val="annotation reference"/>
    <w:basedOn w:val="DefaultParagraphFont"/>
    <w:uiPriority w:val="99"/>
    <w:semiHidden/>
    <w:unhideWhenUsed/>
    <w:rsid w:val="008E6D0A"/>
    <w:rPr>
      <w:sz w:val="16"/>
      <w:szCs w:val="16"/>
    </w:rPr>
  </w:style>
  <w:style w:type="paragraph" w:styleId="CommentText">
    <w:name w:val="annotation text"/>
    <w:basedOn w:val="Normal"/>
    <w:link w:val="CommentTextChar"/>
    <w:uiPriority w:val="99"/>
    <w:semiHidden/>
    <w:unhideWhenUsed/>
    <w:rsid w:val="008E6D0A"/>
    <w:rPr>
      <w:sz w:val="20"/>
      <w:szCs w:val="20"/>
    </w:rPr>
  </w:style>
  <w:style w:type="character" w:customStyle="1" w:styleId="CommentTextChar">
    <w:name w:val="Comment Text Char"/>
    <w:basedOn w:val="DefaultParagraphFont"/>
    <w:link w:val="CommentText"/>
    <w:uiPriority w:val="99"/>
    <w:semiHidden/>
    <w:rsid w:val="008E6D0A"/>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8E6D0A"/>
    <w:rPr>
      <w:b/>
      <w:bCs/>
    </w:rPr>
  </w:style>
  <w:style w:type="character" w:customStyle="1" w:styleId="CommentSubjectChar">
    <w:name w:val="Comment Subject Char"/>
    <w:basedOn w:val="CommentTextChar"/>
    <w:link w:val="CommentSubject"/>
    <w:uiPriority w:val="99"/>
    <w:semiHidden/>
    <w:rsid w:val="008E6D0A"/>
    <w:rPr>
      <w:rFonts w:ascii="Times New Roman" w:hAnsi="Times New Roman"/>
      <w:b/>
      <w:bCs/>
      <w:sz w:val="20"/>
      <w:szCs w:val="20"/>
    </w:rPr>
  </w:style>
  <w:style w:type="paragraph" w:styleId="BalloonText">
    <w:name w:val="Balloon Text"/>
    <w:basedOn w:val="Normal"/>
    <w:link w:val="BalloonTextChar"/>
    <w:uiPriority w:val="99"/>
    <w:semiHidden/>
    <w:unhideWhenUsed/>
    <w:rsid w:val="008E6D0A"/>
    <w:rPr>
      <w:rFonts w:ascii="Tahoma" w:hAnsi="Tahoma" w:cs="Tahoma"/>
      <w:sz w:val="16"/>
      <w:szCs w:val="16"/>
    </w:rPr>
  </w:style>
  <w:style w:type="character" w:customStyle="1" w:styleId="BalloonTextChar">
    <w:name w:val="Balloon Text Char"/>
    <w:basedOn w:val="DefaultParagraphFont"/>
    <w:link w:val="BalloonText"/>
    <w:uiPriority w:val="99"/>
    <w:semiHidden/>
    <w:rsid w:val="008E6D0A"/>
    <w:rPr>
      <w:rFonts w:ascii="Tahoma" w:hAnsi="Tahoma" w:cs="Tahoma"/>
      <w:sz w:val="16"/>
      <w:szCs w:val="16"/>
    </w:rPr>
  </w:style>
  <w:style w:type="paragraph" w:customStyle="1" w:styleId="Default">
    <w:name w:val="Default"/>
    <w:rsid w:val="00A77844"/>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DefaultParagraphFont"/>
    <w:rsid w:val="0099109B"/>
  </w:style>
  <w:style w:type="character" w:customStyle="1" w:styleId="ListParagraphChar">
    <w:name w:val="List Paragraph Char"/>
    <w:aliases w:val="2 Char,Odstavec1 Char,Puce Char"/>
    <w:link w:val="ListParagraph"/>
    <w:uiPriority w:val="34"/>
    <w:locked/>
    <w:rsid w:val="00BB2380"/>
    <w:rPr>
      <w:rFonts w:ascii="Times New Roman" w:hAnsi="Times New Roman"/>
      <w:sz w:val="24"/>
    </w:rPr>
  </w:style>
  <w:style w:type="character" w:customStyle="1" w:styleId="Heading1Char">
    <w:name w:val="Heading 1 Char"/>
    <w:basedOn w:val="DefaultParagraphFont"/>
    <w:link w:val="Heading1"/>
    <w:uiPriority w:val="99"/>
    <w:rsid w:val="007B1CA0"/>
    <w:rPr>
      <w:rFonts w:ascii="Times New Roman" w:eastAsia="Times New Roman" w:hAnsi="Times New Roman" w:cs="Times New Roman"/>
      <w:b/>
      <w:smallCaps/>
      <w:sz w:val="24"/>
      <w:szCs w:val="20"/>
      <w:lang w:eastAsia="lv-LV"/>
    </w:rPr>
  </w:style>
  <w:style w:type="character" w:customStyle="1" w:styleId="Heading2Char">
    <w:name w:val="Heading 2 Char"/>
    <w:basedOn w:val="DefaultParagraphFont"/>
    <w:link w:val="Heading2"/>
    <w:uiPriority w:val="99"/>
    <w:rsid w:val="007B1CA0"/>
    <w:rPr>
      <w:rFonts w:ascii="Times New Roman" w:eastAsia="Times New Roman" w:hAnsi="Times New Roman" w:cs="Times New Roman"/>
      <w:b/>
      <w:sz w:val="24"/>
      <w:szCs w:val="20"/>
      <w:lang w:eastAsia="lv-LV"/>
    </w:rPr>
  </w:style>
  <w:style w:type="character" w:customStyle="1" w:styleId="Heading3Char">
    <w:name w:val="Heading 3 Char"/>
    <w:basedOn w:val="DefaultParagraphFont"/>
    <w:link w:val="Heading3"/>
    <w:uiPriority w:val="99"/>
    <w:rsid w:val="007B1CA0"/>
    <w:rPr>
      <w:rFonts w:ascii="Times New Roman" w:eastAsia="Times New Roman" w:hAnsi="Times New Roman" w:cs="Times New Roman"/>
      <w:i/>
      <w:sz w:val="24"/>
      <w:szCs w:val="20"/>
      <w:lang w:eastAsia="lv-LV"/>
    </w:rPr>
  </w:style>
  <w:style w:type="character" w:customStyle="1" w:styleId="Heading4Char">
    <w:name w:val="Heading 4 Char"/>
    <w:basedOn w:val="DefaultParagraphFont"/>
    <w:link w:val="Heading4"/>
    <w:uiPriority w:val="99"/>
    <w:rsid w:val="007B1CA0"/>
    <w:rPr>
      <w:rFonts w:ascii="Times New Roman" w:eastAsia="Times New Roman" w:hAnsi="Times New Roman" w:cs="Times New Roman"/>
      <w:sz w:val="24"/>
      <w:szCs w:val="20"/>
      <w:lang w:eastAsia="lv-LV"/>
    </w:rPr>
  </w:style>
  <w:style w:type="character" w:customStyle="1" w:styleId="FootnoteTextChar1">
    <w:name w:val="Footnote Text Char1"/>
    <w:aliases w:val="Schriftart: 9 pt Char1,Schriftart: 10 pt Char1,Schriftart: 8 pt Char1,Fußnotentext Char Char Char1,WB-Fußnotentext Char1,Footnote Char Char1,fußn Char1,Reference Char1,Footnote text Char1,o Char1,Voetnoottekst Char Char1,Fußn Char"/>
    <w:basedOn w:val="DefaultParagraphFont"/>
    <w:uiPriority w:val="99"/>
    <w:locked/>
    <w:rsid w:val="007B1CA0"/>
    <w:rPr>
      <w:rFonts w:ascii="Times New Roman" w:hAnsi="Times New Roman"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1EF"/>
    <w:pPr>
      <w:spacing w:after="0" w:line="240" w:lineRule="auto"/>
      <w:jc w:val="both"/>
    </w:pPr>
    <w:rPr>
      <w:rFonts w:ascii="Times New Roman" w:hAnsi="Times New Roman"/>
      <w:sz w:val="24"/>
    </w:rPr>
  </w:style>
  <w:style w:type="paragraph" w:styleId="Heading1">
    <w:name w:val="heading 1"/>
    <w:basedOn w:val="Normal"/>
    <w:next w:val="Normal"/>
    <w:link w:val="Heading1Char"/>
    <w:uiPriority w:val="99"/>
    <w:qFormat/>
    <w:rsid w:val="00FD724A"/>
    <w:pPr>
      <w:keepNext/>
      <w:numPr>
        <w:numId w:val="14"/>
      </w:numPr>
      <w:tabs>
        <w:tab w:val="num" w:pos="480"/>
      </w:tabs>
      <w:spacing w:before="240" w:after="240"/>
      <w:ind w:left="480" w:hanging="480"/>
      <w:outlineLvl w:val="0"/>
    </w:pPr>
    <w:rPr>
      <w:rFonts w:eastAsia="Times New Roman" w:cs="Times New Roman"/>
      <w:b/>
      <w:smallCaps/>
      <w:szCs w:val="20"/>
      <w:lang w:eastAsia="lv-LV"/>
    </w:rPr>
  </w:style>
  <w:style w:type="paragraph" w:styleId="Heading2">
    <w:name w:val="heading 2"/>
    <w:basedOn w:val="Normal"/>
    <w:next w:val="Normal"/>
    <w:link w:val="Heading2Char"/>
    <w:uiPriority w:val="99"/>
    <w:qFormat/>
    <w:rsid w:val="00FD724A"/>
    <w:pPr>
      <w:keepNext/>
      <w:numPr>
        <w:ilvl w:val="1"/>
        <w:numId w:val="14"/>
      </w:numPr>
      <w:tabs>
        <w:tab w:val="num" w:pos="1080"/>
      </w:tabs>
      <w:spacing w:after="240"/>
      <w:ind w:left="1080" w:hanging="600"/>
      <w:outlineLvl w:val="1"/>
    </w:pPr>
    <w:rPr>
      <w:rFonts w:eastAsia="Times New Roman" w:cs="Times New Roman"/>
      <w:b/>
      <w:szCs w:val="20"/>
      <w:lang w:eastAsia="lv-LV"/>
    </w:rPr>
  </w:style>
  <w:style w:type="paragraph" w:styleId="Heading3">
    <w:name w:val="heading 3"/>
    <w:basedOn w:val="Normal"/>
    <w:next w:val="Normal"/>
    <w:link w:val="Heading3Char"/>
    <w:uiPriority w:val="99"/>
    <w:qFormat/>
    <w:rsid w:val="00FD724A"/>
    <w:pPr>
      <w:keepNext/>
      <w:numPr>
        <w:ilvl w:val="2"/>
        <w:numId w:val="14"/>
      </w:numPr>
      <w:tabs>
        <w:tab w:val="num" w:pos="1920"/>
      </w:tabs>
      <w:spacing w:after="240"/>
      <w:ind w:left="1920" w:hanging="840"/>
      <w:outlineLvl w:val="2"/>
    </w:pPr>
    <w:rPr>
      <w:rFonts w:eastAsia="Times New Roman" w:cs="Times New Roman"/>
      <w:i/>
      <w:szCs w:val="20"/>
      <w:lang w:eastAsia="lv-LV"/>
    </w:rPr>
  </w:style>
  <w:style w:type="paragraph" w:styleId="Heading4">
    <w:name w:val="heading 4"/>
    <w:basedOn w:val="Normal"/>
    <w:next w:val="Normal"/>
    <w:link w:val="Heading4Char"/>
    <w:uiPriority w:val="99"/>
    <w:qFormat/>
    <w:rsid w:val="00FD724A"/>
    <w:pPr>
      <w:keepNext/>
      <w:numPr>
        <w:ilvl w:val="3"/>
        <w:numId w:val="14"/>
      </w:numPr>
      <w:tabs>
        <w:tab w:val="num" w:pos="2880"/>
      </w:tabs>
      <w:spacing w:after="240"/>
      <w:ind w:left="2880" w:hanging="960"/>
      <w:outlineLvl w:val="3"/>
    </w:pPr>
    <w:rPr>
      <w:rFonts w:eastAsia="Times New Roman" w:cs="Times New Roman"/>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Odstavec1,Puce"/>
    <w:basedOn w:val="Normal"/>
    <w:link w:val="ListParagraphChar"/>
    <w:uiPriority w:val="34"/>
    <w:qFormat/>
    <w:rsid w:val="00C051EF"/>
    <w:pPr>
      <w:ind w:left="720"/>
      <w:contextualSpacing/>
    </w:pPr>
  </w:style>
  <w:style w:type="paragraph" w:styleId="NoSpacing">
    <w:name w:val="No Spacing"/>
    <w:uiPriority w:val="1"/>
    <w:qFormat/>
    <w:rsid w:val="00C051EF"/>
    <w:pPr>
      <w:spacing w:after="0" w:line="240" w:lineRule="auto"/>
      <w:jc w:val="both"/>
    </w:pPr>
    <w:rPr>
      <w:rFonts w:ascii="Times New Roman" w:hAnsi="Times New Roman"/>
      <w:sz w:val="24"/>
    </w:rPr>
  </w:style>
  <w:style w:type="table" w:styleId="TableGrid">
    <w:name w:val="Table Grid"/>
    <w:basedOn w:val="TableNormal"/>
    <w:uiPriority w:val="59"/>
    <w:rsid w:val="007F50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Schriftart: 9 pt,Schriftart: 10 pt,Schriftart: 8 pt,Fußnotentext Char Char,WB-Fußnotentext,Footnote Char,fußn,Reference,Footnote text,o,Voetnoottekst Char,Voetnoottekst Char1,Voetnoottekst Char2 Char Char,Fußnote,Fußnote Char,Fußn"/>
    <w:basedOn w:val="Normal"/>
    <w:link w:val="FootnoteTextChar"/>
    <w:uiPriority w:val="99"/>
    <w:unhideWhenUsed/>
    <w:rsid w:val="00B4240D"/>
    <w:rPr>
      <w:sz w:val="20"/>
      <w:szCs w:val="20"/>
    </w:rPr>
  </w:style>
  <w:style w:type="character" w:customStyle="1" w:styleId="FootnoteTextChar">
    <w:name w:val="Footnote Text Char"/>
    <w:aliases w:val="Schriftart: 9 pt Char,Schriftart: 10 pt Char,Schriftart: 8 pt Char,Fußnotentext Char Char Char,WB-Fußnotentext Char,Footnote Char Char,fußn Char,Reference Char,Footnote text Char,o Char,Voetnoottekst Char Char,Voetnoottekst Char1 Char"/>
    <w:basedOn w:val="DefaultParagraphFont"/>
    <w:link w:val="FootnoteText"/>
    <w:uiPriority w:val="99"/>
    <w:semiHidden/>
    <w:rsid w:val="00B4240D"/>
    <w:rPr>
      <w:rFonts w:ascii="Times New Roman" w:hAnsi="Times New Roman"/>
      <w:sz w:val="20"/>
      <w:szCs w:val="20"/>
    </w:rPr>
  </w:style>
  <w:style w:type="character" w:styleId="FootnoteReference">
    <w:name w:val="footnote reference"/>
    <w:aliases w:val="Footnote Reference Number,Footnote symbol,Stinking Styles22,SUPERS,BVI fnr,Footnote,Footnote Reference Superscript,(Footnote Reference),Footnote reference number,note TESI,EN Footnote Reference,Voetnootverwijzing,Times 10 Point,No,FR"/>
    <w:basedOn w:val="DefaultParagraphFont"/>
    <w:uiPriority w:val="99"/>
    <w:unhideWhenUsed/>
    <w:rsid w:val="00B4240D"/>
    <w:rPr>
      <w:vertAlign w:val="superscript"/>
    </w:rPr>
  </w:style>
  <w:style w:type="paragraph" w:styleId="Header">
    <w:name w:val="header"/>
    <w:basedOn w:val="Normal"/>
    <w:link w:val="HeaderChar"/>
    <w:uiPriority w:val="99"/>
    <w:unhideWhenUsed/>
    <w:rsid w:val="00FD62D0"/>
    <w:pPr>
      <w:tabs>
        <w:tab w:val="center" w:pos="4153"/>
        <w:tab w:val="right" w:pos="8306"/>
      </w:tabs>
    </w:pPr>
  </w:style>
  <w:style w:type="character" w:customStyle="1" w:styleId="HeaderChar">
    <w:name w:val="Header Char"/>
    <w:basedOn w:val="DefaultParagraphFont"/>
    <w:link w:val="Header"/>
    <w:uiPriority w:val="99"/>
    <w:rsid w:val="00FD62D0"/>
    <w:rPr>
      <w:rFonts w:ascii="Times New Roman" w:hAnsi="Times New Roman"/>
      <w:sz w:val="24"/>
    </w:rPr>
  </w:style>
  <w:style w:type="paragraph" w:styleId="Footer">
    <w:name w:val="footer"/>
    <w:basedOn w:val="Normal"/>
    <w:link w:val="FooterChar"/>
    <w:uiPriority w:val="99"/>
    <w:unhideWhenUsed/>
    <w:rsid w:val="00FD62D0"/>
    <w:pPr>
      <w:tabs>
        <w:tab w:val="center" w:pos="4153"/>
        <w:tab w:val="right" w:pos="8306"/>
      </w:tabs>
    </w:pPr>
  </w:style>
  <w:style w:type="character" w:customStyle="1" w:styleId="FooterChar">
    <w:name w:val="Footer Char"/>
    <w:basedOn w:val="DefaultParagraphFont"/>
    <w:link w:val="Footer"/>
    <w:uiPriority w:val="99"/>
    <w:rsid w:val="00FD62D0"/>
    <w:rPr>
      <w:rFonts w:ascii="Times New Roman" w:hAnsi="Times New Roman"/>
      <w:sz w:val="24"/>
    </w:rPr>
  </w:style>
  <w:style w:type="character" w:styleId="CommentReference">
    <w:name w:val="annotation reference"/>
    <w:basedOn w:val="DefaultParagraphFont"/>
    <w:uiPriority w:val="99"/>
    <w:semiHidden/>
    <w:unhideWhenUsed/>
    <w:rsid w:val="008E6D0A"/>
    <w:rPr>
      <w:sz w:val="16"/>
      <w:szCs w:val="16"/>
    </w:rPr>
  </w:style>
  <w:style w:type="paragraph" w:styleId="CommentText">
    <w:name w:val="annotation text"/>
    <w:basedOn w:val="Normal"/>
    <w:link w:val="CommentTextChar"/>
    <w:uiPriority w:val="99"/>
    <w:semiHidden/>
    <w:unhideWhenUsed/>
    <w:rsid w:val="008E6D0A"/>
    <w:rPr>
      <w:sz w:val="20"/>
      <w:szCs w:val="20"/>
    </w:rPr>
  </w:style>
  <w:style w:type="character" w:customStyle="1" w:styleId="CommentTextChar">
    <w:name w:val="Comment Text Char"/>
    <w:basedOn w:val="DefaultParagraphFont"/>
    <w:link w:val="CommentText"/>
    <w:uiPriority w:val="99"/>
    <w:semiHidden/>
    <w:rsid w:val="008E6D0A"/>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8E6D0A"/>
    <w:rPr>
      <w:b/>
      <w:bCs/>
    </w:rPr>
  </w:style>
  <w:style w:type="character" w:customStyle="1" w:styleId="CommentSubjectChar">
    <w:name w:val="Comment Subject Char"/>
    <w:basedOn w:val="CommentTextChar"/>
    <w:link w:val="CommentSubject"/>
    <w:uiPriority w:val="99"/>
    <w:semiHidden/>
    <w:rsid w:val="008E6D0A"/>
    <w:rPr>
      <w:rFonts w:ascii="Times New Roman" w:hAnsi="Times New Roman"/>
      <w:b/>
      <w:bCs/>
      <w:sz w:val="20"/>
      <w:szCs w:val="20"/>
    </w:rPr>
  </w:style>
  <w:style w:type="paragraph" w:styleId="BalloonText">
    <w:name w:val="Balloon Text"/>
    <w:basedOn w:val="Normal"/>
    <w:link w:val="BalloonTextChar"/>
    <w:uiPriority w:val="99"/>
    <w:semiHidden/>
    <w:unhideWhenUsed/>
    <w:rsid w:val="008E6D0A"/>
    <w:rPr>
      <w:rFonts w:ascii="Tahoma" w:hAnsi="Tahoma" w:cs="Tahoma"/>
      <w:sz w:val="16"/>
      <w:szCs w:val="16"/>
    </w:rPr>
  </w:style>
  <w:style w:type="character" w:customStyle="1" w:styleId="BalloonTextChar">
    <w:name w:val="Balloon Text Char"/>
    <w:basedOn w:val="DefaultParagraphFont"/>
    <w:link w:val="BalloonText"/>
    <w:uiPriority w:val="99"/>
    <w:semiHidden/>
    <w:rsid w:val="008E6D0A"/>
    <w:rPr>
      <w:rFonts w:ascii="Tahoma" w:hAnsi="Tahoma" w:cs="Tahoma"/>
      <w:sz w:val="16"/>
      <w:szCs w:val="16"/>
    </w:rPr>
  </w:style>
  <w:style w:type="paragraph" w:customStyle="1" w:styleId="Default">
    <w:name w:val="Default"/>
    <w:rsid w:val="00A77844"/>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DefaultParagraphFont"/>
    <w:rsid w:val="0099109B"/>
  </w:style>
  <w:style w:type="character" w:customStyle="1" w:styleId="ListParagraphChar">
    <w:name w:val="List Paragraph Char"/>
    <w:aliases w:val="2 Char,Odstavec1 Char,Puce Char"/>
    <w:link w:val="ListParagraph"/>
    <w:uiPriority w:val="34"/>
    <w:locked/>
    <w:rsid w:val="00BB2380"/>
    <w:rPr>
      <w:rFonts w:ascii="Times New Roman" w:hAnsi="Times New Roman"/>
      <w:sz w:val="24"/>
    </w:rPr>
  </w:style>
  <w:style w:type="character" w:customStyle="1" w:styleId="Heading1Char">
    <w:name w:val="Heading 1 Char"/>
    <w:basedOn w:val="DefaultParagraphFont"/>
    <w:link w:val="Heading1"/>
    <w:uiPriority w:val="99"/>
    <w:rsid w:val="007B1CA0"/>
    <w:rPr>
      <w:rFonts w:ascii="Times New Roman" w:eastAsia="Times New Roman" w:hAnsi="Times New Roman" w:cs="Times New Roman"/>
      <w:b/>
      <w:smallCaps/>
      <w:sz w:val="24"/>
      <w:szCs w:val="20"/>
      <w:lang w:eastAsia="lv-LV"/>
    </w:rPr>
  </w:style>
  <w:style w:type="character" w:customStyle="1" w:styleId="Heading2Char">
    <w:name w:val="Heading 2 Char"/>
    <w:basedOn w:val="DefaultParagraphFont"/>
    <w:link w:val="Heading2"/>
    <w:uiPriority w:val="99"/>
    <w:rsid w:val="007B1CA0"/>
    <w:rPr>
      <w:rFonts w:ascii="Times New Roman" w:eastAsia="Times New Roman" w:hAnsi="Times New Roman" w:cs="Times New Roman"/>
      <w:b/>
      <w:sz w:val="24"/>
      <w:szCs w:val="20"/>
      <w:lang w:eastAsia="lv-LV"/>
    </w:rPr>
  </w:style>
  <w:style w:type="character" w:customStyle="1" w:styleId="Heading3Char">
    <w:name w:val="Heading 3 Char"/>
    <w:basedOn w:val="DefaultParagraphFont"/>
    <w:link w:val="Heading3"/>
    <w:uiPriority w:val="99"/>
    <w:rsid w:val="007B1CA0"/>
    <w:rPr>
      <w:rFonts w:ascii="Times New Roman" w:eastAsia="Times New Roman" w:hAnsi="Times New Roman" w:cs="Times New Roman"/>
      <w:i/>
      <w:sz w:val="24"/>
      <w:szCs w:val="20"/>
      <w:lang w:eastAsia="lv-LV"/>
    </w:rPr>
  </w:style>
  <w:style w:type="character" w:customStyle="1" w:styleId="Heading4Char">
    <w:name w:val="Heading 4 Char"/>
    <w:basedOn w:val="DefaultParagraphFont"/>
    <w:link w:val="Heading4"/>
    <w:uiPriority w:val="99"/>
    <w:rsid w:val="007B1CA0"/>
    <w:rPr>
      <w:rFonts w:ascii="Times New Roman" w:eastAsia="Times New Roman" w:hAnsi="Times New Roman" w:cs="Times New Roman"/>
      <w:sz w:val="24"/>
      <w:szCs w:val="20"/>
      <w:lang w:eastAsia="lv-LV"/>
    </w:rPr>
  </w:style>
  <w:style w:type="character" w:customStyle="1" w:styleId="FootnoteTextChar1">
    <w:name w:val="Footnote Text Char1"/>
    <w:aliases w:val="Schriftart: 9 pt Char1,Schriftart: 10 pt Char1,Schriftart: 8 pt Char1,Fußnotentext Char Char Char1,WB-Fußnotentext Char1,Footnote Char Char1,fußn Char1,Reference Char1,Footnote text Char1,o Char1,Voetnoottekst Char Char1,Fußn Char"/>
    <w:basedOn w:val="DefaultParagraphFont"/>
    <w:uiPriority w:val="99"/>
    <w:locked/>
    <w:rsid w:val="007B1CA0"/>
    <w:rPr>
      <w:rFonts w:ascii="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1927">
      <w:bodyDiv w:val="1"/>
      <w:marLeft w:val="0"/>
      <w:marRight w:val="0"/>
      <w:marTop w:val="0"/>
      <w:marBottom w:val="0"/>
      <w:divBdr>
        <w:top w:val="none" w:sz="0" w:space="0" w:color="auto"/>
        <w:left w:val="none" w:sz="0" w:space="0" w:color="auto"/>
        <w:bottom w:val="none" w:sz="0" w:space="0" w:color="auto"/>
        <w:right w:val="none" w:sz="0" w:space="0" w:color="auto"/>
      </w:divBdr>
    </w:div>
    <w:div w:id="477964187">
      <w:bodyDiv w:val="1"/>
      <w:marLeft w:val="0"/>
      <w:marRight w:val="0"/>
      <w:marTop w:val="0"/>
      <w:marBottom w:val="0"/>
      <w:divBdr>
        <w:top w:val="none" w:sz="0" w:space="0" w:color="auto"/>
        <w:left w:val="none" w:sz="0" w:space="0" w:color="auto"/>
        <w:bottom w:val="none" w:sz="0" w:space="0" w:color="auto"/>
        <w:right w:val="none" w:sz="0" w:space="0" w:color="auto"/>
      </w:divBdr>
    </w:div>
    <w:div w:id="1324629574">
      <w:bodyDiv w:val="1"/>
      <w:marLeft w:val="0"/>
      <w:marRight w:val="0"/>
      <w:marTop w:val="0"/>
      <w:marBottom w:val="0"/>
      <w:divBdr>
        <w:top w:val="none" w:sz="0" w:space="0" w:color="auto"/>
        <w:left w:val="none" w:sz="0" w:space="0" w:color="auto"/>
        <w:bottom w:val="none" w:sz="0" w:space="0" w:color="auto"/>
        <w:right w:val="none" w:sz="0" w:space="0" w:color="auto"/>
      </w:divBdr>
      <w:divsChild>
        <w:div w:id="1217737533">
          <w:marLeft w:val="0"/>
          <w:marRight w:val="0"/>
          <w:marTop w:val="0"/>
          <w:marBottom w:val="0"/>
          <w:divBdr>
            <w:top w:val="none" w:sz="0" w:space="0" w:color="auto"/>
            <w:left w:val="none" w:sz="0" w:space="0" w:color="auto"/>
            <w:bottom w:val="none" w:sz="0" w:space="0" w:color="auto"/>
            <w:right w:val="none" w:sz="0" w:space="0" w:color="auto"/>
          </w:divBdr>
          <w:divsChild>
            <w:div w:id="1800568466">
              <w:marLeft w:val="0"/>
              <w:marRight w:val="60"/>
              <w:marTop w:val="0"/>
              <w:marBottom w:val="0"/>
              <w:divBdr>
                <w:top w:val="none" w:sz="0" w:space="0" w:color="auto"/>
                <w:left w:val="none" w:sz="0" w:space="0" w:color="auto"/>
                <w:bottom w:val="none" w:sz="0" w:space="0" w:color="auto"/>
                <w:right w:val="none" w:sz="0" w:space="0" w:color="auto"/>
              </w:divBdr>
              <w:divsChild>
                <w:div w:id="98572145">
                  <w:marLeft w:val="0"/>
                  <w:marRight w:val="0"/>
                  <w:marTop w:val="0"/>
                  <w:marBottom w:val="120"/>
                  <w:divBdr>
                    <w:top w:val="single" w:sz="6" w:space="0" w:color="C0C0C0"/>
                    <w:left w:val="single" w:sz="6" w:space="0" w:color="D9D9D9"/>
                    <w:bottom w:val="single" w:sz="6" w:space="0" w:color="D9D9D9"/>
                    <w:right w:val="single" w:sz="6" w:space="0" w:color="D9D9D9"/>
                  </w:divBdr>
                  <w:divsChild>
                    <w:div w:id="499006013">
                      <w:marLeft w:val="0"/>
                      <w:marRight w:val="0"/>
                      <w:marTop w:val="0"/>
                      <w:marBottom w:val="0"/>
                      <w:divBdr>
                        <w:top w:val="none" w:sz="0" w:space="0" w:color="auto"/>
                        <w:left w:val="none" w:sz="0" w:space="0" w:color="auto"/>
                        <w:bottom w:val="none" w:sz="0" w:space="0" w:color="auto"/>
                        <w:right w:val="none" w:sz="0" w:space="0" w:color="auto"/>
                      </w:divBdr>
                    </w:div>
                    <w:div w:id="1160996978">
                      <w:marLeft w:val="0"/>
                      <w:marRight w:val="0"/>
                      <w:marTop w:val="0"/>
                      <w:marBottom w:val="0"/>
                      <w:divBdr>
                        <w:top w:val="none" w:sz="0" w:space="0" w:color="auto"/>
                        <w:left w:val="none" w:sz="0" w:space="0" w:color="auto"/>
                        <w:bottom w:val="none" w:sz="0" w:space="0" w:color="auto"/>
                        <w:right w:val="none" w:sz="0" w:space="0" w:color="auto"/>
                      </w:divBdr>
                    </w:div>
                  </w:divsChild>
                </w:div>
                <w:div w:id="119773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675685">
          <w:marLeft w:val="0"/>
          <w:marRight w:val="0"/>
          <w:marTop w:val="0"/>
          <w:marBottom w:val="0"/>
          <w:divBdr>
            <w:top w:val="none" w:sz="0" w:space="0" w:color="auto"/>
            <w:left w:val="none" w:sz="0" w:space="0" w:color="auto"/>
            <w:bottom w:val="none" w:sz="0" w:space="0" w:color="auto"/>
            <w:right w:val="none" w:sz="0" w:space="0" w:color="auto"/>
          </w:divBdr>
          <w:divsChild>
            <w:div w:id="878476321">
              <w:marLeft w:val="60"/>
              <w:marRight w:val="0"/>
              <w:marTop w:val="0"/>
              <w:marBottom w:val="0"/>
              <w:divBdr>
                <w:top w:val="none" w:sz="0" w:space="0" w:color="auto"/>
                <w:left w:val="none" w:sz="0" w:space="0" w:color="auto"/>
                <w:bottom w:val="none" w:sz="0" w:space="0" w:color="auto"/>
                <w:right w:val="none" w:sz="0" w:space="0" w:color="auto"/>
              </w:divBdr>
              <w:divsChild>
                <w:div w:id="1340308517">
                  <w:marLeft w:val="0"/>
                  <w:marRight w:val="0"/>
                  <w:marTop w:val="0"/>
                  <w:marBottom w:val="0"/>
                  <w:divBdr>
                    <w:top w:val="none" w:sz="0" w:space="0" w:color="auto"/>
                    <w:left w:val="none" w:sz="0" w:space="0" w:color="auto"/>
                    <w:bottom w:val="none" w:sz="0" w:space="0" w:color="auto"/>
                    <w:right w:val="none" w:sz="0" w:space="0" w:color="auto"/>
                  </w:divBdr>
                  <w:divsChild>
                    <w:div w:id="293218292">
                      <w:marLeft w:val="0"/>
                      <w:marRight w:val="0"/>
                      <w:marTop w:val="0"/>
                      <w:marBottom w:val="120"/>
                      <w:divBdr>
                        <w:top w:val="single" w:sz="6" w:space="0" w:color="F5F5F5"/>
                        <w:left w:val="single" w:sz="6" w:space="0" w:color="F5F5F5"/>
                        <w:bottom w:val="single" w:sz="6" w:space="0" w:color="F5F5F5"/>
                        <w:right w:val="single" w:sz="6" w:space="0" w:color="F5F5F5"/>
                      </w:divBdr>
                      <w:divsChild>
                        <w:div w:id="1688755320">
                          <w:marLeft w:val="0"/>
                          <w:marRight w:val="0"/>
                          <w:marTop w:val="0"/>
                          <w:marBottom w:val="0"/>
                          <w:divBdr>
                            <w:top w:val="none" w:sz="0" w:space="0" w:color="auto"/>
                            <w:left w:val="none" w:sz="0" w:space="0" w:color="auto"/>
                            <w:bottom w:val="none" w:sz="0" w:space="0" w:color="auto"/>
                            <w:right w:val="none" w:sz="0" w:space="0" w:color="auto"/>
                          </w:divBdr>
                          <w:divsChild>
                            <w:div w:id="117565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8358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23979B-5AF9-4A9D-9413-03DCC6974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7582</Words>
  <Characters>4323</Characters>
  <Application>Microsoft Office Word</Application>
  <DocSecurity>0</DocSecurity>
  <Lines>36</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2017-09-12T06:30:00Z</dcterms:created>
  <dcterms:modified xsi:type="dcterms:W3CDTF">2017-09-12T06:31:00Z</dcterms:modified>
</cp:coreProperties>
</file>