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758D4" w14:textId="77777777" w:rsidR="00063B4E" w:rsidRPr="00E84ABC" w:rsidRDefault="00063B4E" w:rsidP="00063B4E">
      <w:pPr>
        <w:jc w:val="right"/>
        <w:rPr>
          <w:sz w:val="24"/>
        </w:rPr>
      </w:pPr>
      <w:r w:rsidRPr="00E84ABC">
        <w:rPr>
          <w:sz w:val="24"/>
        </w:rPr>
        <w:t>PROJEKTS</w:t>
      </w:r>
    </w:p>
    <w:p w14:paraId="1C47A684" w14:textId="77777777" w:rsidR="00063B4E" w:rsidRPr="00E84ABC" w:rsidRDefault="00063B4E" w:rsidP="00063B4E">
      <w:pPr>
        <w:jc w:val="right"/>
        <w:rPr>
          <w:sz w:val="24"/>
        </w:rPr>
      </w:pPr>
    </w:p>
    <w:p w14:paraId="1D6194A8" w14:textId="77777777" w:rsidR="00F936B5" w:rsidRDefault="00F936B5" w:rsidP="00EE7602">
      <w:pPr>
        <w:jc w:val="center"/>
        <w:rPr>
          <w:b/>
          <w:color w:val="auto"/>
          <w:szCs w:val="28"/>
        </w:rPr>
      </w:pPr>
    </w:p>
    <w:p w14:paraId="289EB910" w14:textId="77777777" w:rsidR="00F936B5" w:rsidRPr="00737A3B" w:rsidRDefault="00F936B5" w:rsidP="00EE7602">
      <w:pPr>
        <w:jc w:val="center"/>
        <w:rPr>
          <w:b/>
          <w:color w:val="auto"/>
          <w:sz w:val="24"/>
        </w:rPr>
      </w:pPr>
    </w:p>
    <w:p w14:paraId="03CBE635" w14:textId="0F722268" w:rsidR="00BE4654" w:rsidRDefault="00BE4654" w:rsidP="00EE7602">
      <w:pPr>
        <w:jc w:val="center"/>
        <w:rPr>
          <w:b/>
          <w:color w:val="auto"/>
          <w:szCs w:val="28"/>
        </w:rPr>
      </w:pPr>
      <w:r w:rsidRPr="00E84ABC">
        <w:rPr>
          <w:b/>
          <w:color w:val="auto"/>
          <w:szCs w:val="28"/>
        </w:rPr>
        <w:t>I</w:t>
      </w:r>
      <w:r w:rsidR="00C05BB4">
        <w:rPr>
          <w:b/>
          <w:color w:val="auto"/>
          <w:szCs w:val="28"/>
        </w:rPr>
        <w:t>NFORMATĪVAIS ZIŅOJUMS</w:t>
      </w:r>
      <w:r w:rsidRPr="00E84ABC">
        <w:rPr>
          <w:b/>
          <w:color w:val="auto"/>
          <w:szCs w:val="28"/>
        </w:rPr>
        <w:t xml:space="preserve"> </w:t>
      </w:r>
    </w:p>
    <w:p w14:paraId="404B20F9" w14:textId="77777777" w:rsidR="00C9784C" w:rsidRPr="00326107" w:rsidRDefault="00C9784C" w:rsidP="00EE7602">
      <w:pPr>
        <w:jc w:val="center"/>
        <w:rPr>
          <w:b/>
          <w:color w:val="auto"/>
          <w:sz w:val="24"/>
        </w:rPr>
      </w:pPr>
    </w:p>
    <w:p w14:paraId="1D3CC042" w14:textId="77777777" w:rsidR="00BE4654" w:rsidRPr="00E84ABC" w:rsidRDefault="00EB587F" w:rsidP="002A2B9A">
      <w:pPr>
        <w:ind w:left="142"/>
        <w:jc w:val="center"/>
        <w:rPr>
          <w:b/>
          <w:color w:val="auto"/>
          <w:szCs w:val="28"/>
        </w:rPr>
      </w:pPr>
      <w:r w:rsidRPr="00E84ABC">
        <w:rPr>
          <w:b/>
          <w:color w:val="auto"/>
          <w:szCs w:val="28"/>
        </w:rPr>
        <w:t>P</w:t>
      </w:r>
      <w:r w:rsidR="00C9784C">
        <w:rPr>
          <w:b/>
          <w:color w:val="auto"/>
          <w:szCs w:val="28"/>
        </w:rPr>
        <w:t xml:space="preserve">ar </w:t>
      </w:r>
      <w:r w:rsidRPr="00E84ABC">
        <w:rPr>
          <w:b/>
          <w:color w:val="auto"/>
          <w:szCs w:val="28"/>
        </w:rPr>
        <w:t>Sabiedrisko pakalpojumu regulēšanas komisijas darbības finansēšanas</w:t>
      </w:r>
      <w:r w:rsidRPr="00E84ABC">
        <w:rPr>
          <w:b/>
          <w:szCs w:val="28"/>
        </w:rPr>
        <w:t xml:space="preserve"> modeļa pilnveidošan</w:t>
      </w:r>
      <w:r w:rsidR="00C9784C">
        <w:rPr>
          <w:b/>
          <w:szCs w:val="28"/>
        </w:rPr>
        <w:t>u</w:t>
      </w:r>
    </w:p>
    <w:p w14:paraId="3EA8689C" w14:textId="77777777" w:rsidR="00AC3593" w:rsidRPr="00E84ABC" w:rsidRDefault="00AC3593" w:rsidP="00385E32">
      <w:pPr>
        <w:rPr>
          <w:b/>
          <w:color w:val="auto"/>
          <w:sz w:val="24"/>
        </w:rPr>
      </w:pPr>
    </w:p>
    <w:p w14:paraId="5DC21132" w14:textId="77777777" w:rsidR="00063B4E" w:rsidRPr="00AF170D" w:rsidRDefault="00047576" w:rsidP="00C226B3">
      <w:pPr>
        <w:spacing w:before="60" w:after="60"/>
        <w:ind w:firstLine="567"/>
        <w:jc w:val="both"/>
        <w:rPr>
          <w:sz w:val="26"/>
          <w:szCs w:val="26"/>
        </w:rPr>
      </w:pPr>
      <w:r w:rsidRPr="00AF170D">
        <w:rPr>
          <w:rStyle w:val="Emphasis"/>
          <w:i w:val="0"/>
          <w:color w:val="auto"/>
          <w:sz w:val="26"/>
          <w:szCs w:val="26"/>
        </w:rPr>
        <w:t xml:space="preserve">Informatīvais ziņojums </w:t>
      </w:r>
      <w:r w:rsidR="00860760" w:rsidRPr="00AF170D">
        <w:rPr>
          <w:rStyle w:val="Emphasis"/>
          <w:i w:val="0"/>
          <w:color w:val="auto"/>
          <w:sz w:val="26"/>
          <w:szCs w:val="26"/>
        </w:rPr>
        <w:t xml:space="preserve"> </w:t>
      </w:r>
      <w:r w:rsidRPr="00AF170D">
        <w:rPr>
          <w:rStyle w:val="Emphasis"/>
          <w:i w:val="0"/>
          <w:color w:val="auto"/>
          <w:sz w:val="26"/>
          <w:szCs w:val="26"/>
        </w:rPr>
        <w:t>sagatavots</w:t>
      </w:r>
      <w:r w:rsidR="00D73EBE" w:rsidRPr="00AF170D">
        <w:rPr>
          <w:rStyle w:val="Emphasis"/>
          <w:i w:val="0"/>
          <w:color w:val="auto"/>
          <w:sz w:val="26"/>
          <w:szCs w:val="26"/>
        </w:rPr>
        <w:t>,</w:t>
      </w:r>
      <w:r w:rsidR="00A17E7E" w:rsidRPr="00AF170D">
        <w:rPr>
          <w:rStyle w:val="Emphasis"/>
          <w:i w:val="0"/>
          <w:color w:val="auto"/>
          <w:sz w:val="26"/>
          <w:szCs w:val="26"/>
        </w:rPr>
        <w:t xml:space="preserve"> </w:t>
      </w:r>
      <w:r w:rsidR="00C9784C" w:rsidRPr="00AF170D">
        <w:rPr>
          <w:rStyle w:val="Emphasis"/>
          <w:i w:val="0"/>
          <w:color w:val="auto"/>
          <w:sz w:val="26"/>
          <w:szCs w:val="26"/>
        </w:rPr>
        <w:t xml:space="preserve">lai </w:t>
      </w:r>
      <w:r w:rsidR="00A17E7E" w:rsidRPr="00AF170D">
        <w:rPr>
          <w:rStyle w:val="Emphasis"/>
          <w:i w:val="0"/>
          <w:color w:val="auto"/>
          <w:sz w:val="26"/>
          <w:szCs w:val="26"/>
        </w:rPr>
        <w:t>pild</w:t>
      </w:r>
      <w:r w:rsidR="00C9784C" w:rsidRPr="00AF170D">
        <w:rPr>
          <w:rStyle w:val="Emphasis"/>
          <w:i w:val="0"/>
          <w:color w:val="auto"/>
          <w:sz w:val="26"/>
          <w:szCs w:val="26"/>
        </w:rPr>
        <w:t>ītu</w:t>
      </w:r>
      <w:r w:rsidR="005B4A42" w:rsidRPr="00AF170D">
        <w:rPr>
          <w:rStyle w:val="Emphasis"/>
          <w:i w:val="0"/>
          <w:color w:val="auto"/>
          <w:sz w:val="26"/>
          <w:szCs w:val="26"/>
        </w:rPr>
        <w:t xml:space="preserve"> </w:t>
      </w:r>
      <w:r w:rsidR="00EB587F" w:rsidRPr="00AF170D">
        <w:rPr>
          <w:sz w:val="26"/>
          <w:szCs w:val="26"/>
        </w:rPr>
        <w:t xml:space="preserve">2016.gada 14.jūnija Ministru kabineta sēdē Ekonomikas ministrijai (turpmāk – EM) doto uzdevumu </w:t>
      </w:r>
      <w:r w:rsidR="00C9784C" w:rsidRPr="00AF170D">
        <w:rPr>
          <w:sz w:val="26"/>
          <w:szCs w:val="26"/>
        </w:rPr>
        <w:t>(Prot.</w:t>
      </w:r>
      <w:r w:rsidR="00D716AF" w:rsidRPr="00AF170D">
        <w:rPr>
          <w:sz w:val="26"/>
          <w:szCs w:val="26"/>
        </w:rPr>
        <w:t>N</w:t>
      </w:r>
      <w:r w:rsidR="00C9784C" w:rsidRPr="00AF170D">
        <w:rPr>
          <w:sz w:val="26"/>
          <w:szCs w:val="26"/>
        </w:rPr>
        <w:t>r.</w:t>
      </w:r>
      <w:r w:rsidR="00D716AF" w:rsidRPr="00AF170D">
        <w:rPr>
          <w:sz w:val="26"/>
          <w:szCs w:val="26"/>
        </w:rPr>
        <w:t>29, 6.</w:t>
      </w:r>
      <w:r w:rsidR="00D716AF" w:rsidRPr="00AF170D">
        <w:rPr>
          <w:rFonts w:eastAsia="SimSun"/>
          <w:sz w:val="26"/>
          <w:szCs w:val="26"/>
        </w:rPr>
        <w:t>§</w:t>
      </w:r>
      <w:r w:rsidR="00D716AF" w:rsidRPr="00AF170D">
        <w:rPr>
          <w:sz w:val="26"/>
          <w:szCs w:val="26"/>
        </w:rPr>
        <w:t xml:space="preserve"> TA-870 2.punkts</w:t>
      </w:r>
      <w:r w:rsidR="00C9784C" w:rsidRPr="00AF170D">
        <w:rPr>
          <w:sz w:val="26"/>
          <w:szCs w:val="26"/>
        </w:rPr>
        <w:t xml:space="preserve">) </w:t>
      </w:r>
      <w:r w:rsidR="00EB587F" w:rsidRPr="00AF170D">
        <w:rPr>
          <w:sz w:val="26"/>
          <w:szCs w:val="26"/>
        </w:rPr>
        <w:t>sadarbībā ar Sabiedrisko pakalpojumu regulēšanas komisiju (turpmāk – Regulators) līdz 2017.gada 1.janvārim sagatavot un noteiktā kārtībā iesniegt izskatīšanai Ministru kabinetā informatīvo ziņojumu ar priekšlikumiem Sabiedrisko pakalpojumu regulēšanas komisijas darbības finansēšanas modeļa pilnveidošanai.</w:t>
      </w:r>
    </w:p>
    <w:p w14:paraId="791A93E9" w14:textId="77777777" w:rsidR="00DE1C96" w:rsidRPr="002F73C5" w:rsidRDefault="00DE1C96" w:rsidP="00737A3B">
      <w:pPr>
        <w:ind w:firstLine="567"/>
        <w:jc w:val="both"/>
        <w:rPr>
          <w:sz w:val="24"/>
        </w:rPr>
      </w:pPr>
    </w:p>
    <w:p w14:paraId="0BA94F4E" w14:textId="77777777" w:rsidR="00BC40EE" w:rsidRPr="00AF170D" w:rsidRDefault="004A7C7D" w:rsidP="00E864A1">
      <w:pPr>
        <w:pStyle w:val="Heading1"/>
        <w:numPr>
          <w:ilvl w:val="0"/>
          <w:numId w:val="18"/>
        </w:numPr>
        <w:spacing w:before="60" w:after="60"/>
        <w:ind w:left="567" w:hanging="567"/>
        <w:rPr>
          <w:sz w:val="28"/>
          <w:szCs w:val="28"/>
        </w:rPr>
      </w:pPr>
      <w:r w:rsidRPr="00AF170D">
        <w:rPr>
          <w:sz w:val="28"/>
          <w:szCs w:val="28"/>
        </w:rPr>
        <w:t>Esošā situācija un problēmas izklāsts</w:t>
      </w:r>
    </w:p>
    <w:p w14:paraId="795407F9" w14:textId="77777777" w:rsidR="00D15231" w:rsidRPr="00AF170D" w:rsidRDefault="001F194C" w:rsidP="00194BD3">
      <w:pPr>
        <w:spacing w:before="60" w:after="60"/>
        <w:ind w:firstLine="567"/>
        <w:jc w:val="both"/>
        <w:rPr>
          <w:sz w:val="26"/>
          <w:szCs w:val="26"/>
        </w:rPr>
      </w:pPr>
      <w:r w:rsidRPr="00AF170D">
        <w:rPr>
          <w:sz w:val="26"/>
          <w:szCs w:val="26"/>
        </w:rPr>
        <w:t xml:space="preserve">Regulators saskaņā ar likumu “Par sabiedrisko pakalpojumu regulatoriem” </w:t>
      </w:r>
      <w:r w:rsidR="00D15231" w:rsidRPr="00AF170D">
        <w:rPr>
          <w:sz w:val="26"/>
          <w:szCs w:val="26"/>
        </w:rPr>
        <w:t>(turpmāk – Likums) ir veidot</w:t>
      </w:r>
      <w:r w:rsidR="00D716AF" w:rsidRPr="00AF170D">
        <w:rPr>
          <w:sz w:val="26"/>
          <w:szCs w:val="26"/>
        </w:rPr>
        <w:t>s</w:t>
      </w:r>
      <w:r w:rsidR="00D15231" w:rsidRPr="00AF170D">
        <w:rPr>
          <w:sz w:val="26"/>
          <w:szCs w:val="26"/>
        </w:rPr>
        <w:t xml:space="preserve"> kā vienota regulatīva institūcija</w:t>
      </w:r>
      <w:r w:rsidR="00063B4E" w:rsidRPr="00AF170D">
        <w:rPr>
          <w:sz w:val="26"/>
          <w:szCs w:val="26"/>
        </w:rPr>
        <w:t xml:space="preserve"> ar autonomu kompetenci un</w:t>
      </w:r>
      <w:r w:rsidRPr="00AF170D">
        <w:rPr>
          <w:sz w:val="26"/>
          <w:szCs w:val="26"/>
        </w:rPr>
        <w:t xml:space="preserve"> </w:t>
      </w:r>
      <w:r w:rsidR="00D716AF" w:rsidRPr="00AF170D">
        <w:rPr>
          <w:sz w:val="26"/>
          <w:szCs w:val="26"/>
        </w:rPr>
        <w:t xml:space="preserve">attiecīgi ar </w:t>
      </w:r>
      <w:r w:rsidRPr="00AF170D">
        <w:rPr>
          <w:sz w:val="26"/>
          <w:szCs w:val="26"/>
        </w:rPr>
        <w:t>n</w:t>
      </w:r>
      <w:r w:rsidR="00D15231" w:rsidRPr="00AF170D">
        <w:rPr>
          <w:sz w:val="26"/>
          <w:szCs w:val="26"/>
        </w:rPr>
        <w:t>o tā izrietoš</w:t>
      </w:r>
      <w:r w:rsidR="00D716AF" w:rsidRPr="00AF170D">
        <w:rPr>
          <w:sz w:val="26"/>
          <w:szCs w:val="26"/>
        </w:rPr>
        <w:t>u</w:t>
      </w:r>
      <w:r w:rsidR="00D15231" w:rsidRPr="00AF170D">
        <w:rPr>
          <w:sz w:val="26"/>
          <w:szCs w:val="26"/>
        </w:rPr>
        <w:t xml:space="preserve"> administratīvo un finanšu resursu vadības</w:t>
      </w:r>
      <w:r w:rsidRPr="00AF170D">
        <w:rPr>
          <w:sz w:val="26"/>
          <w:szCs w:val="26"/>
        </w:rPr>
        <w:t xml:space="preserve"> </w:t>
      </w:r>
      <w:r w:rsidR="00D15231" w:rsidRPr="00AF170D">
        <w:rPr>
          <w:sz w:val="26"/>
          <w:szCs w:val="26"/>
        </w:rPr>
        <w:t>modeli, kuru</w:t>
      </w:r>
      <w:r w:rsidRPr="00AF170D">
        <w:rPr>
          <w:sz w:val="26"/>
          <w:szCs w:val="26"/>
        </w:rPr>
        <w:t xml:space="preserve"> </w:t>
      </w:r>
      <w:r w:rsidR="00D15231" w:rsidRPr="00AF170D">
        <w:rPr>
          <w:sz w:val="26"/>
          <w:szCs w:val="26"/>
        </w:rPr>
        <w:t xml:space="preserve">Regulators </w:t>
      </w:r>
      <w:r w:rsidRPr="00AF170D">
        <w:rPr>
          <w:sz w:val="26"/>
          <w:szCs w:val="26"/>
        </w:rPr>
        <w:t>plāno, organizē</w:t>
      </w:r>
      <w:r w:rsidR="00B70534" w:rsidRPr="00AF170D">
        <w:rPr>
          <w:sz w:val="26"/>
          <w:szCs w:val="26"/>
        </w:rPr>
        <w:t xml:space="preserve"> un noformē atbilstoši </w:t>
      </w:r>
      <w:r w:rsidR="00D15231" w:rsidRPr="00AF170D">
        <w:rPr>
          <w:sz w:val="26"/>
          <w:szCs w:val="26"/>
        </w:rPr>
        <w:t>attiecīgā gada likuma</w:t>
      </w:r>
      <w:r w:rsidR="00B70534" w:rsidRPr="00AF170D">
        <w:rPr>
          <w:sz w:val="26"/>
          <w:szCs w:val="26"/>
        </w:rPr>
        <w:t>m</w:t>
      </w:r>
      <w:r w:rsidR="00D15231" w:rsidRPr="00AF170D">
        <w:rPr>
          <w:sz w:val="26"/>
          <w:szCs w:val="26"/>
        </w:rPr>
        <w:t xml:space="preserve"> par valsts budžetu </w:t>
      </w:r>
      <w:r w:rsidRPr="00AF170D">
        <w:rPr>
          <w:sz w:val="26"/>
          <w:szCs w:val="26"/>
        </w:rPr>
        <w:t>un citiem attiecīgo jomu reglamentējošiem normatīvajiem aktiem</w:t>
      </w:r>
      <w:r w:rsidR="00D15231" w:rsidRPr="00AF170D">
        <w:rPr>
          <w:sz w:val="26"/>
          <w:szCs w:val="26"/>
        </w:rPr>
        <w:t>.</w:t>
      </w:r>
    </w:p>
    <w:p w14:paraId="27C2D4D8" w14:textId="77777777" w:rsidR="00411FD0" w:rsidRPr="00AF170D" w:rsidRDefault="00B70534" w:rsidP="00194BD3">
      <w:pPr>
        <w:spacing w:before="60" w:after="60"/>
        <w:ind w:firstLine="567"/>
        <w:jc w:val="both"/>
        <w:rPr>
          <w:sz w:val="26"/>
          <w:szCs w:val="26"/>
        </w:rPr>
      </w:pPr>
      <w:r w:rsidRPr="00AF170D">
        <w:rPr>
          <w:sz w:val="26"/>
          <w:szCs w:val="26"/>
        </w:rPr>
        <w:t xml:space="preserve">Saskaņā ar Likumu </w:t>
      </w:r>
      <w:r w:rsidR="00EB587F" w:rsidRPr="00AF170D">
        <w:rPr>
          <w:sz w:val="26"/>
          <w:szCs w:val="26"/>
        </w:rPr>
        <w:t xml:space="preserve">Regulatora darbību </w:t>
      </w:r>
      <w:r w:rsidR="00D15231" w:rsidRPr="00AF170D">
        <w:rPr>
          <w:sz w:val="26"/>
          <w:szCs w:val="26"/>
        </w:rPr>
        <w:t xml:space="preserve">šobrīd </w:t>
      </w:r>
      <w:r w:rsidR="004746C3" w:rsidRPr="00AF170D">
        <w:rPr>
          <w:sz w:val="26"/>
          <w:szCs w:val="26"/>
        </w:rPr>
        <w:t>finansē no ieņēmumiem, kas gūti</w:t>
      </w:r>
      <w:r w:rsidR="00D716AF" w:rsidRPr="00AF170D">
        <w:rPr>
          <w:sz w:val="26"/>
          <w:szCs w:val="26"/>
        </w:rPr>
        <w:t>,</w:t>
      </w:r>
      <w:r w:rsidR="00EB587F" w:rsidRPr="00AF170D">
        <w:rPr>
          <w:sz w:val="26"/>
          <w:szCs w:val="26"/>
        </w:rPr>
        <w:t xml:space="preserve"> iekasējot </w:t>
      </w:r>
      <w:r w:rsidR="006B4E86" w:rsidRPr="00AF170D">
        <w:rPr>
          <w:rFonts w:eastAsia="Times New Roman"/>
          <w:color w:val="auto"/>
          <w:sz w:val="26"/>
          <w:szCs w:val="26"/>
        </w:rPr>
        <w:t>valsts nodevu par sabiedrisko pakalpojumu regulēšanu (turpmāk – valsts nodeva)</w:t>
      </w:r>
      <w:r w:rsidR="000D2939" w:rsidRPr="00AF170D">
        <w:rPr>
          <w:sz w:val="26"/>
          <w:szCs w:val="26"/>
        </w:rPr>
        <w:t>.</w:t>
      </w:r>
      <w:r w:rsidR="00154015" w:rsidRPr="00AF170D">
        <w:rPr>
          <w:sz w:val="26"/>
          <w:szCs w:val="26"/>
        </w:rPr>
        <w:t xml:space="preserve"> </w:t>
      </w:r>
      <w:r w:rsidR="00554489" w:rsidRPr="00AF170D">
        <w:rPr>
          <w:sz w:val="26"/>
          <w:szCs w:val="26"/>
        </w:rPr>
        <w:t>Likuma 31.panta otr</w:t>
      </w:r>
      <w:r w:rsidR="00D716AF" w:rsidRPr="00AF170D">
        <w:rPr>
          <w:sz w:val="26"/>
          <w:szCs w:val="26"/>
        </w:rPr>
        <w:t>ajā</w:t>
      </w:r>
      <w:r w:rsidR="00554489" w:rsidRPr="00AF170D">
        <w:rPr>
          <w:sz w:val="26"/>
          <w:szCs w:val="26"/>
        </w:rPr>
        <w:t xml:space="preserve"> daļ</w:t>
      </w:r>
      <w:r w:rsidR="00D716AF" w:rsidRPr="00AF170D">
        <w:rPr>
          <w:sz w:val="26"/>
          <w:szCs w:val="26"/>
        </w:rPr>
        <w:t>ā</w:t>
      </w:r>
      <w:r w:rsidR="00554489" w:rsidRPr="00AF170D">
        <w:rPr>
          <w:sz w:val="26"/>
          <w:szCs w:val="26"/>
        </w:rPr>
        <w:t xml:space="preserve"> </w:t>
      </w:r>
      <w:r w:rsidR="00D716AF" w:rsidRPr="00AF170D">
        <w:rPr>
          <w:sz w:val="26"/>
          <w:szCs w:val="26"/>
        </w:rPr>
        <w:t>ir noteikts</w:t>
      </w:r>
      <w:r w:rsidR="00554489" w:rsidRPr="00AF170D">
        <w:rPr>
          <w:sz w:val="26"/>
          <w:szCs w:val="26"/>
        </w:rPr>
        <w:t>, ka valsts nodevas gada likme nedrīkst pārsniegt 0,2 procentus no komersanta sniegto sabiedrisko pakalpojumu neto apgrozī</w:t>
      </w:r>
      <w:r w:rsidR="00154015" w:rsidRPr="00AF170D">
        <w:rPr>
          <w:sz w:val="26"/>
          <w:szCs w:val="26"/>
        </w:rPr>
        <w:t>juma iepriekšējā kalendāra gadā.</w:t>
      </w:r>
      <w:r w:rsidR="00584AE1" w:rsidRPr="00AF170D">
        <w:rPr>
          <w:sz w:val="26"/>
          <w:szCs w:val="26"/>
        </w:rPr>
        <w:t xml:space="preserve"> </w:t>
      </w:r>
    </w:p>
    <w:p w14:paraId="786C1FD5" w14:textId="77777777" w:rsidR="00EB587F" w:rsidRPr="00AF170D" w:rsidRDefault="000D2939" w:rsidP="00194BD3">
      <w:pPr>
        <w:spacing w:before="60" w:after="60"/>
        <w:ind w:firstLine="567"/>
        <w:jc w:val="both"/>
        <w:rPr>
          <w:sz w:val="26"/>
          <w:szCs w:val="26"/>
        </w:rPr>
      </w:pPr>
      <w:r w:rsidRPr="00AF170D">
        <w:rPr>
          <w:sz w:val="26"/>
          <w:szCs w:val="26"/>
        </w:rPr>
        <w:t>V</w:t>
      </w:r>
      <w:r w:rsidR="00EB587F" w:rsidRPr="00AF170D">
        <w:rPr>
          <w:sz w:val="26"/>
          <w:szCs w:val="26"/>
        </w:rPr>
        <w:t>alsts nodevas likmi atsevišķi katram regulējamās nozares sabiedrisko pakalpojumu veidam nosaka Ministru kabinets, pamatojoties uz sabiedrisko pakalpojumu gada neto apgrozījumu un Regulatora darbības nodrošināšanai nepieciešamajiem izdevumiem.</w:t>
      </w:r>
    </w:p>
    <w:p w14:paraId="577A0C5E" w14:textId="178F22E9" w:rsidR="00766E21" w:rsidRDefault="00584AE1" w:rsidP="00766E21">
      <w:pPr>
        <w:spacing w:before="60" w:after="60"/>
        <w:ind w:firstLine="567"/>
        <w:jc w:val="both"/>
        <w:rPr>
          <w:sz w:val="26"/>
          <w:szCs w:val="26"/>
        </w:rPr>
      </w:pPr>
      <w:r w:rsidRPr="00AF170D">
        <w:rPr>
          <w:sz w:val="26"/>
          <w:szCs w:val="26"/>
        </w:rPr>
        <w:t>Saskaņā ar M</w:t>
      </w:r>
      <w:r w:rsidR="00C32FEE">
        <w:rPr>
          <w:sz w:val="26"/>
          <w:szCs w:val="26"/>
        </w:rPr>
        <w:t>inistru kabineta 2009.</w:t>
      </w:r>
      <w:r w:rsidR="000D2939" w:rsidRPr="00AF170D">
        <w:rPr>
          <w:sz w:val="26"/>
          <w:szCs w:val="26"/>
        </w:rPr>
        <w:t>gada 22.</w:t>
      </w:r>
      <w:r w:rsidRPr="00AF170D">
        <w:rPr>
          <w:sz w:val="26"/>
          <w:szCs w:val="26"/>
        </w:rPr>
        <w:t xml:space="preserve">decembra noteikumiem Nr.1623 "Noteikumi par valsts nodevas likmi par sabiedrisko pakalpojumu regulēšanu un nodevas maksāšanas kārtību” līdz 2016.gada 31.decembrim valsts nodevas likme </w:t>
      </w:r>
      <w:r w:rsidR="00D716AF" w:rsidRPr="00AF170D">
        <w:rPr>
          <w:sz w:val="26"/>
          <w:szCs w:val="26"/>
        </w:rPr>
        <w:t>bija</w:t>
      </w:r>
      <w:r w:rsidR="00124E33" w:rsidRPr="00AF170D">
        <w:rPr>
          <w:sz w:val="26"/>
          <w:szCs w:val="26"/>
        </w:rPr>
        <w:t xml:space="preserve"> noteikta 0,17 procentu apmērā no komersanta sniegtā attiecīgā sabiedriskā pakalpojuma veida neto apgrozījuma iepriekšējā kalendāra gadā</w:t>
      </w:r>
      <w:r w:rsidR="00E94DF8" w:rsidRPr="00AF170D">
        <w:rPr>
          <w:sz w:val="26"/>
          <w:szCs w:val="26"/>
        </w:rPr>
        <w:t>, savukārt kopš 2017.gada 1.janvāra tā ir noteikta 0,2 procentu apmērā no komersanta sniegtā attiecīgā sabiedriskā pakalpojuma veida neto apgrozījuma iepriekšējā kalendāra gadā</w:t>
      </w:r>
      <w:r w:rsidR="002F73C5" w:rsidRPr="00AF170D">
        <w:rPr>
          <w:sz w:val="26"/>
          <w:szCs w:val="26"/>
        </w:rPr>
        <w:t>.</w:t>
      </w:r>
    </w:p>
    <w:p w14:paraId="24C20B9A" w14:textId="673AD7EA" w:rsidR="000D2939" w:rsidRPr="00766E21" w:rsidRDefault="006D77E1" w:rsidP="00766E21">
      <w:pPr>
        <w:spacing w:before="60" w:after="60"/>
        <w:ind w:firstLine="567"/>
        <w:jc w:val="both"/>
        <w:rPr>
          <w:sz w:val="26"/>
          <w:szCs w:val="26"/>
        </w:rPr>
      </w:pPr>
      <w:r w:rsidRPr="00AF170D">
        <w:rPr>
          <w:rFonts w:eastAsia="Times New Roman"/>
          <w:color w:val="auto"/>
          <w:sz w:val="26"/>
          <w:szCs w:val="26"/>
          <w:lang w:eastAsia="lv-LV"/>
        </w:rPr>
        <w:t xml:space="preserve">Saskaņā ar Likumu Regulatora darbības mērķis ir nodrošināt iespēju saņemt nepārtrauktus, drošus un kvalitatīvus sabiedriskos pakalpojumus, kuru tarifi (cenas) atbilst ekonomiski pamatotām izmaksām, kā arī veicināt attīstību un ekonomiski pamatotu konkurenci regulējamās nozarēs, nosakot sabiedrisko pakalpojumu regulēšanas kārtību un tiesiskās attiecības sabiedrisko pakalpojumu sniegšanā. </w:t>
      </w:r>
    </w:p>
    <w:p w14:paraId="4343D3D5" w14:textId="77777777" w:rsidR="006D77E1" w:rsidRPr="00AF170D" w:rsidRDefault="006D77E1" w:rsidP="00194BD3">
      <w:pPr>
        <w:spacing w:before="60" w:after="60"/>
        <w:ind w:firstLine="720"/>
        <w:jc w:val="both"/>
        <w:rPr>
          <w:rFonts w:eastAsia="Times New Roman"/>
          <w:color w:val="auto"/>
          <w:sz w:val="26"/>
          <w:szCs w:val="26"/>
          <w:lang w:eastAsia="lv-LV"/>
        </w:rPr>
      </w:pPr>
      <w:r w:rsidRPr="00AF170D">
        <w:rPr>
          <w:rFonts w:eastAsia="Times New Roman"/>
          <w:color w:val="auto"/>
          <w:sz w:val="26"/>
          <w:szCs w:val="26"/>
          <w:lang w:eastAsia="lv-LV"/>
        </w:rPr>
        <w:t>Likumā noteiktā mērķa sasniegšanai Regulatora galvenie darbības virzieni ir:</w:t>
      </w:r>
    </w:p>
    <w:p w14:paraId="1C2277C2" w14:textId="77777777" w:rsidR="006D77E1" w:rsidRPr="00AF170D" w:rsidRDefault="006D77E1" w:rsidP="00194BD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t>nodrošināt sabiedrisko pakalpojumu regulēšanu un konkurences attīstību visā valsts teritorijā enerģētikas, elektronisko sakaru, pasta, sadzīves atkritumu apsaimniekošanas un ūdenssaimniecības nozarēs, nodrošinot sabiedrisko pakalpojumu lietotājiem iespēju saņemt nepārtrauktus, drošus un kvalitatīvus sabiedriskos pakalpojumus regulējamās nozarēs par ekonomiski pamatotām cenām;</w:t>
      </w:r>
    </w:p>
    <w:p w14:paraId="71591E19" w14:textId="77777777" w:rsidR="006D77E1" w:rsidRPr="00AF170D" w:rsidRDefault="006D77E1" w:rsidP="00194BD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lastRenderedPageBreak/>
        <w:t>veikt regulējamo sabiedrisko pakalpojumu sniedzēju darbības vērtēšan</w:t>
      </w:r>
      <w:r w:rsidR="007365D0" w:rsidRPr="00AF170D">
        <w:rPr>
          <w:rFonts w:eastAsia="Times New Roman"/>
          <w:color w:val="auto"/>
          <w:sz w:val="26"/>
          <w:szCs w:val="26"/>
          <w:lang w:eastAsia="lv-LV"/>
        </w:rPr>
        <w:t>u</w:t>
      </w:r>
      <w:r w:rsidRPr="00AF170D">
        <w:rPr>
          <w:rFonts w:eastAsia="Times New Roman"/>
          <w:color w:val="auto"/>
          <w:sz w:val="26"/>
          <w:szCs w:val="26"/>
          <w:lang w:eastAsia="lv-LV"/>
        </w:rPr>
        <w:t>, lai uzraudzītu sabiedrisko pakalpojumu atbilstību licences un vispārējās atļaujas nosacījumiem, noteiktām kvalitātes un citām prasībām, tehniskajiem noteikumiem, standartiem, kā arī līgumu noteikumiem;</w:t>
      </w:r>
    </w:p>
    <w:p w14:paraId="02E49002" w14:textId="77777777" w:rsidR="006D77E1" w:rsidRPr="00AF170D" w:rsidRDefault="00DE04F7" w:rsidP="00194BD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t>veikt</w:t>
      </w:r>
      <w:r w:rsidR="006D77E1" w:rsidRPr="00AF170D">
        <w:rPr>
          <w:rFonts w:eastAsia="Times New Roman"/>
          <w:color w:val="auto"/>
          <w:sz w:val="26"/>
          <w:szCs w:val="26"/>
          <w:lang w:eastAsia="lv-LV"/>
        </w:rPr>
        <w:t xml:space="preserve"> sabiedrisko pakalpojumu sniedzēju regulējamo pakalpojumu kvalitātes mērījumus, lai aizstāvētu lietotāju intereses, veicinātu sabiedrisko pakalpojumu sniedzēju attīstību un nodrošinātu pastāvīgu un nepārtrauktu sabiedrisko pakalpojumu kvalitātes uzlabošanu;</w:t>
      </w:r>
    </w:p>
    <w:p w14:paraId="157557FF" w14:textId="77777777" w:rsidR="006D77E1" w:rsidRPr="00AF170D" w:rsidRDefault="006D77E1" w:rsidP="00194BD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t>līdzdarboties ar Eiropas Savienības (turpmāk – ES) institūcijām un citām starptautiskajām organizācijām, lai veicinātu Eiropas regulēšanas tiesiskā ietvara attīstību un īstenošanu regulējamās nozarēs kā Latvijā, tā pārrobežu jautājumos atbilstoši ES direktīvām un dalībvalstu regulatoru jaunajām funkcijām;</w:t>
      </w:r>
    </w:p>
    <w:p w14:paraId="51BD9F1D" w14:textId="77777777" w:rsidR="00C226B3" w:rsidRPr="00AF170D" w:rsidRDefault="006D77E1" w:rsidP="00C226B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t xml:space="preserve">veikt citas funkcijas, kas noteiktas </w:t>
      </w:r>
      <w:r w:rsidR="003E66FE" w:rsidRPr="00AF170D">
        <w:rPr>
          <w:rFonts w:eastAsia="Times New Roman"/>
          <w:color w:val="auto"/>
          <w:sz w:val="26"/>
          <w:szCs w:val="26"/>
          <w:lang w:eastAsia="lv-LV"/>
        </w:rPr>
        <w:t>L</w:t>
      </w:r>
      <w:r w:rsidRPr="00AF170D">
        <w:rPr>
          <w:rFonts w:eastAsia="Times New Roman"/>
          <w:color w:val="auto"/>
          <w:sz w:val="26"/>
          <w:szCs w:val="26"/>
          <w:lang w:eastAsia="lv-LV"/>
        </w:rPr>
        <w:t>ikumā, regulējamo nozaru speciālos normatīvajos aktos un attiecīgo regulējamo nozari reglamentējošos ES tiesību aktos.</w:t>
      </w:r>
    </w:p>
    <w:p w14:paraId="728E0555" w14:textId="77777777" w:rsidR="004A7C7D" w:rsidRPr="00AF170D" w:rsidRDefault="00554489" w:rsidP="002F73C5">
      <w:pPr>
        <w:spacing w:before="240" w:after="60"/>
        <w:ind w:left="357" w:firstLine="357"/>
        <w:jc w:val="both"/>
        <w:rPr>
          <w:color w:val="auto"/>
          <w:sz w:val="26"/>
          <w:szCs w:val="26"/>
        </w:rPr>
      </w:pPr>
      <w:r w:rsidRPr="00AF170D">
        <w:rPr>
          <w:sz w:val="26"/>
          <w:szCs w:val="26"/>
        </w:rPr>
        <w:t>Regulatora noteikto funkciju kvalitatīvai veikšanai ir nepieciešams atbilstošs budžets. I</w:t>
      </w:r>
      <w:r w:rsidR="00DB3962" w:rsidRPr="00AF170D">
        <w:rPr>
          <w:sz w:val="26"/>
          <w:szCs w:val="26"/>
        </w:rPr>
        <w:t>epriekšējos pārskata periodos</w:t>
      </w:r>
      <w:r w:rsidR="007A38A4" w:rsidRPr="00AF170D">
        <w:rPr>
          <w:sz w:val="26"/>
          <w:szCs w:val="26"/>
        </w:rPr>
        <w:t xml:space="preserve"> </w:t>
      </w:r>
      <w:r w:rsidR="00063B4E" w:rsidRPr="00AF170D">
        <w:rPr>
          <w:sz w:val="26"/>
          <w:szCs w:val="26"/>
        </w:rPr>
        <w:t xml:space="preserve">ir </w:t>
      </w:r>
      <w:r w:rsidR="00DB3962" w:rsidRPr="00AF170D">
        <w:rPr>
          <w:sz w:val="26"/>
          <w:szCs w:val="26"/>
        </w:rPr>
        <w:t>identificēti</w:t>
      </w:r>
      <w:r w:rsidR="006D77E1" w:rsidRPr="00AF170D">
        <w:rPr>
          <w:sz w:val="26"/>
          <w:szCs w:val="26"/>
        </w:rPr>
        <w:t xml:space="preserve"> </w:t>
      </w:r>
      <w:r w:rsidR="00DB3962" w:rsidRPr="00AF170D">
        <w:rPr>
          <w:sz w:val="26"/>
          <w:szCs w:val="26"/>
        </w:rPr>
        <w:t>faktori, kuriem ir būtiska</w:t>
      </w:r>
      <w:r w:rsidR="007A38A4" w:rsidRPr="00AF170D">
        <w:rPr>
          <w:sz w:val="26"/>
          <w:szCs w:val="26"/>
        </w:rPr>
        <w:t xml:space="preserve"> ietekme uz Regulatora finansējuma </w:t>
      </w:r>
      <w:r w:rsidRPr="00AF170D">
        <w:rPr>
          <w:sz w:val="26"/>
          <w:szCs w:val="26"/>
        </w:rPr>
        <w:t>apmēru un pietiekamību</w:t>
      </w:r>
      <w:r w:rsidR="00E94DF8" w:rsidRPr="00AF170D">
        <w:rPr>
          <w:sz w:val="26"/>
          <w:szCs w:val="26"/>
        </w:rPr>
        <w:t>,</w:t>
      </w:r>
      <w:r w:rsidRPr="00AF170D">
        <w:rPr>
          <w:sz w:val="26"/>
          <w:szCs w:val="26"/>
        </w:rPr>
        <w:t xml:space="preserve"> izmantojot esošo Regulatora finansējuma modeli: </w:t>
      </w:r>
    </w:p>
    <w:p w14:paraId="4D6F7A00" w14:textId="77777777" w:rsidR="00E94DF8" w:rsidRPr="00AF170D" w:rsidRDefault="007556D2" w:rsidP="00194BD3">
      <w:pPr>
        <w:pStyle w:val="ListParagraph"/>
        <w:numPr>
          <w:ilvl w:val="0"/>
          <w:numId w:val="4"/>
        </w:numPr>
        <w:spacing w:before="60" w:after="60"/>
        <w:jc w:val="both"/>
        <w:rPr>
          <w:sz w:val="26"/>
          <w:szCs w:val="26"/>
        </w:rPr>
      </w:pPr>
      <w:r w:rsidRPr="00AF170D">
        <w:rPr>
          <w:b/>
          <w:sz w:val="26"/>
          <w:szCs w:val="26"/>
        </w:rPr>
        <w:t xml:space="preserve">Tarifu un sniegto </w:t>
      </w:r>
      <w:r w:rsidR="00A83DAD" w:rsidRPr="00AF170D">
        <w:rPr>
          <w:b/>
          <w:sz w:val="26"/>
          <w:szCs w:val="26"/>
        </w:rPr>
        <w:t xml:space="preserve">regulējamo </w:t>
      </w:r>
      <w:r w:rsidRPr="00AF170D">
        <w:rPr>
          <w:b/>
          <w:sz w:val="26"/>
          <w:szCs w:val="26"/>
        </w:rPr>
        <w:t>pakalpojumu apjoma samazinājums.</w:t>
      </w:r>
      <w:r w:rsidRPr="00AF170D">
        <w:rPr>
          <w:sz w:val="26"/>
          <w:szCs w:val="26"/>
        </w:rPr>
        <w:t xml:space="preserve"> </w:t>
      </w:r>
    </w:p>
    <w:p w14:paraId="48A83009" w14:textId="77777777" w:rsidR="001B2005" w:rsidRPr="00AF170D" w:rsidRDefault="00E94DF8" w:rsidP="00E94DF8">
      <w:pPr>
        <w:pStyle w:val="ListParagraph"/>
        <w:spacing w:before="60" w:after="60"/>
        <w:ind w:left="360"/>
        <w:jc w:val="both"/>
        <w:rPr>
          <w:sz w:val="26"/>
          <w:szCs w:val="26"/>
        </w:rPr>
      </w:pPr>
      <w:r w:rsidRPr="00AF170D">
        <w:rPr>
          <w:sz w:val="26"/>
          <w:szCs w:val="26"/>
        </w:rPr>
        <w:t>Kopš</w:t>
      </w:r>
      <w:r w:rsidR="00F13545" w:rsidRPr="00AF170D">
        <w:rPr>
          <w:sz w:val="26"/>
          <w:szCs w:val="26"/>
        </w:rPr>
        <w:t xml:space="preserve"> 2014.gada </w:t>
      </w:r>
      <w:r w:rsidR="00063B4E" w:rsidRPr="00AF170D">
        <w:rPr>
          <w:sz w:val="26"/>
          <w:szCs w:val="26"/>
        </w:rPr>
        <w:t>novērojama regulējamo sabiedrisko pakalpojumu</w:t>
      </w:r>
      <w:r w:rsidR="00FE7BA3" w:rsidRPr="00AF170D">
        <w:rPr>
          <w:sz w:val="26"/>
          <w:szCs w:val="26"/>
        </w:rPr>
        <w:t xml:space="preserve"> </w:t>
      </w:r>
      <w:r w:rsidR="00C22F00" w:rsidRPr="00AF170D">
        <w:rPr>
          <w:sz w:val="26"/>
          <w:szCs w:val="26"/>
        </w:rPr>
        <w:t>tarifu</w:t>
      </w:r>
      <w:r w:rsidR="007556D2" w:rsidRPr="00AF170D">
        <w:rPr>
          <w:sz w:val="26"/>
          <w:szCs w:val="26"/>
        </w:rPr>
        <w:t>, atsevišķos gadījumos arī sniegto sabiedrisko pakalpoju</w:t>
      </w:r>
      <w:r w:rsidR="00295C25" w:rsidRPr="00AF170D">
        <w:rPr>
          <w:sz w:val="26"/>
          <w:szCs w:val="26"/>
        </w:rPr>
        <w:t>mu</w:t>
      </w:r>
      <w:r w:rsidR="007556D2" w:rsidRPr="00AF170D">
        <w:rPr>
          <w:sz w:val="26"/>
          <w:szCs w:val="26"/>
        </w:rPr>
        <w:t xml:space="preserve"> apjomu,</w:t>
      </w:r>
      <w:r w:rsidR="00C22F00" w:rsidRPr="00AF170D">
        <w:rPr>
          <w:sz w:val="26"/>
          <w:szCs w:val="26"/>
        </w:rPr>
        <w:t xml:space="preserve"> </w:t>
      </w:r>
      <w:r w:rsidR="00063B4E" w:rsidRPr="00AF170D">
        <w:rPr>
          <w:sz w:val="26"/>
          <w:szCs w:val="26"/>
        </w:rPr>
        <w:t xml:space="preserve">samazināšanās, </w:t>
      </w:r>
      <w:r w:rsidR="000D2939" w:rsidRPr="00AF170D">
        <w:rPr>
          <w:sz w:val="26"/>
          <w:szCs w:val="26"/>
        </w:rPr>
        <w:t xml:space="preserve">kas </w:t>
      </w:r>
      <w:r w:rsidR="007A38A4" w:rsidRPr="00AF170D">
        <w:rPr>
          <w:sz w:val="26"/>
          <w:szCs w:val="26"/>
        </w:rPr>
        <w:t>tiešā</w:t>
      </w:r>
      <w:r w:rsidR="000D2939" w:rsidRPr="00AF170D">
        <w:rPr>
          <w:sz w:val="26"/>
          <w:szCs w:val="26"/>
        </w:rPr>
        <w:t xml:space="preserve"> veidā</w:t>
      </w:r>
      <w:r w:rsidR="00063B4E" w:rsidRPr="00AF170D">
        <w:rPr>
          <w:sz w:val="26"/>
          <w:szCs w:val="26"/>
        </w:rPr>
        <w:t xml:space="preserve"> ietekmē valsts nodevas kopējo apmēru</w:t>
      </w:r>
      <w:r w:rsidR="00554489" w:rsidRPr="00AF170D">
        <w:rPr>
          <w:sz w:val="26"/>
          <w:szCs w:val="26"/>
        </w:rPr>
        <w:t>, kas tiek izmantots</w:t>
      </w:r>
      <w:r w:rsidR="00111687" w:rsidRPr="00AF170D">
        <w:rPr>
          <w:sz w:val="26"/>
          <w:szCs w:val="26"/>
        </w:rPr>
        <w:t>,</w:t>
      </w:r>
      <w:r w:rsidR="00554489" w:rsidRPr="00AF170D">
        <w:rPr>
          <w:sz w:val="26"/>
          <w:szCs w:val="26"/>
        </w:rPr>
        <w:t xml:space="preserve"> lai noteiktu </w:t>
      </w:r>
      <w:r w:rsidR="00063B4E" w:rsidRPr="00AF170D">
        <w:rPr>
          <w:sz w:val="26"/>
          <w:szCs w:val="26"/>
        </w:rPr>
        <w:t xml:space="preserve">Regulatora </w:t>
      </w:r>
      <w:r w:rsidR="00554489" w:rsidRPr="00AF170D">
        <w:rPr>
          <w:sz w:val="26"/>
          <w:szCs w:val="26"/>
        </w:rPr>
        <w:t>finansējumu nākamā darbības gadā</w:t>
      </w:r>
      <w:r w:rsidRPr="00AF170D">
        <w:rPr>
          <w:sz w:val="26"/>
          <w:szCs w:val="26"/>
        </w:rPr>
        <w:t xml:space="preserve"> (skatīt 1.attēlu)</w:t>
      </w:r>
      <w:r w:rsidR="00554489" w:rsidRPr="00AF170D">
        <w:rPr>
          <w:sz w:val="26"/>
          <w:szCs w:val="26"/>
        </w:rPr>
        <w:t xml:space="preserve">. </w:t>
      </w:r>
    </w:p>
    <w:p w14:paraId="7747A188" w14:textId="77777777" w:rsidR="00A83DAD" w:rsidRPr="00AF170D" w:rsidRDefault="00D268E9" w:rsidP="00194BD3">
      <w:pPr>
        <w:pStyle w:val="ListParagraph"/>
        <w:numPr>
          <w:ilvl w:val="0"/>
          <w:numId w:val="4"/>
        </w:numPr>
        <w:spacing w:before="60" w:after="60"/>
        <w:jc w:val="both"/>
        <w:rPr>
          <w:b/>
          <w:sz w:val="26"/>
          <w:szCs w:val="26"/>
        </w:rPr>
      </w:pPr>
      <w:r w:rsidRPr="00AF170D">
        <w:rPr>
          <w:b/>
          <w:sz w:val="26"/>
          <w:szCs w:val="26"/>
        </w:rPr>
        <w:t>Regulējamo uzņēmumu apgrozījuma samazinājums r</w:t>
      </w:r>
      <w:r w:rsidR="00A83DAD" w:rsidRPr="00AF170D">
        <w:rPr>
          <w:b/>
          <w:sz w:val="26"/>
          <w:szCs w:val="26"/>
        </w:rPr>
        <w:t>egulēšanas politikas un tiesiskā regulējuma izmaiņ</w:t>
      </w:r>
      <w:r w:rsidR="00C77CEC" w:rsidRPr="00AF170D">
        <w:rPr>
          <w:b/>
          <w:sz w:val="26"/>
          <w:szCs w:val="26"/>
        </w:rPr>
        <w:t>u</w:t>
      </w:r>
      <w:r w:rsidRPr="00AF170D">
        <w:rPr>
          <w:b/>
          <w:sz w:val="26"/>
          <w:szCs w:val="26"/>
        </w:rPr>
        <w:t xml:space="preserve"> </w:t>
      </w:r>
      <w:r w:rsidR="00C77CEC" w:rsidRPr="00AF170D">
        <w:rPr>
          <w:b/>
          <w:sz w:val="26"/>
          <w:szCs w:val="26"/>
        </w:rPr>
        <w:t xml:space="preserve">dēļ </w:t>
      </w:r>
      <w:r w:rsidR="00A83DAD" w:rsidRPr="00AF170D">
        <w:rPr>
          <w:b/>
          <w:sz w:val="26"/>
          <w:szCs w:val="26"/>
        </w:rPr>
        <w:t xml:space="preserve">nacionālajā un ES līmeni. </w:t>
      </w:r>
    </w:p>
    <w:p w14:paraId="120CDD90" w14:textId="77777777" w:rsidR="00A83DAD" w:rsidRPr="00AF170D" w:rsidRDefault="00543A75" w:rsidP="00194BD3">
      <w:pPr>
        <w:pStyle w:val="ListParagraph"/>
        <w:numPr>
          <w:ilvl w:val="1"/>
          <w:numId w:val="4"/>
        </w:numPr>
        <w:spacing w:before="60" w:after="60"/>
        <w:jc w:val="both"/>
        <w:rPr>
          <w:b/>
          <w:sz w:val="26"/>
          <w:szCs w:val="26"/>
        </w:rPr>
      </w:pPr>
      <w:r w:rsidRPr="00AF170D">
        <w:rPr>
          <w:sz w:val="26"/>
          <w:szCs w:val="26"/>
        </w:rPr>
        <w:t>N</w:t>
      </w:r>
      <w:r w:rsidR="00124E33" w:rsidRPr="00AF170D">
        <w:rPr>
          <w:sz w:val="26"/>
          <w:szCs w:val="26"/>
        </w:rPr>
        <w:t>o 2015.gada 1.janvāra ir atvērts elektroenerģijas tirgus mājsaimniecībām, kā rezultātā elektroenerģijas tirgotāju apgrozījums par elektroenerģijas piegādēm mājsaimniecībām tiek noteikts, izmantojot piegādātās elektroenerģijas cenas, nevis saistīto lietotāju gala tarif</w:t>
      </w:r>
      <w:r w:rsidR="00E72767" w:rsidRPr="00AF170D">
        <w:rPr>
          <w:sz w:val="26"/>
          <w:szCs w:val="26"/>
        </w:rPr>
        <w:t>us.</w:t>
      </w:r>
    </w:p>
    <w:p w14:paraId="129C9A3B" w14:textId="77777777" w:rsidR="00124E33" w:rsidRPr="00AF170D" w:rsidRDefault="00124E33" w:rsidP="00AF170D">
      <w:pPr>
        <w:pStyle w:val="ListParagraph"/>
        <w:numPr>
          <w:ilvl w:val="1"/>
          <w:numId w:val="4"/>
        </w:numPr>
        <w:spacing w:before="60" w:after="60"/>
        <w:ind w:left="714" w:hanging="357"/>
        <w:jc w:val="both"/>
        <w:rPr>
          <w:b/>
          <w:sz w:val="26"/>
          <w:szCs w:val="26"/>
        </w:rPr>
      </w:pPr>
      <w:r w:rsidRPr="00AF170D">
        <w:rPr>
          <w:sz w:val="26"/>
          <w:szCs w:val="26"/>
        </w:rPr>
        <w:t>Elektronisko sakaru jomā, ieviešot Eiropas vienoto reg</w:t>
      </w:r>
      <w:r w:rsidR="00E94DF8" w:rsidRPr="00AF170D">
        <w:rPr>
          <w:sz w:val="26"/>
          <w:szCs w:val="26"/>
        </w:rPr>
        <w:t>ulējumu vairumtirdzniecības</w:t>
      </w:r>
      <w:r w:rsidRPr="00AF170D">
        <w:rPr>
          <w:sz w:val="26"/>
          <w:szCs w:val="26"/>
        </w:rPr>
        <w:t xml:space="preserve"> līmenī, operatoru starpsavienojumu tarifiem noteikta zemāko maksimālo tarifu vērtība, kā rezultātā regulējamo komersantu apgrozījums pēdējo piecu gadu laikā samazinājies par 18%.</w:t>
      </w:r>
    </w:p>
    <w:p w14:paraId="1CD596C3" w14:textId="77777777" w:rsidR="00543A75" w:rsidRPr="00AF170D" w:rsidRDefault="00543A75" w:rsidP="00194BD3">
      <w:pPr>
        <w:pStyle w:val="ListParagraph"/>
        <w:numPr>
          <w:ilvl w:val="1"/>
          <w:numId w:val="4"/>
        </w:numPr>
        <w:spacing w:before="60" w:after="60"/>
        <w:jc w:val="both"/>
        <w:rPr>
          <w:sz w:val="26"/>
          <w:szCs w:val="26"/>
        </w:rPr>
      </w:pPr>
      <w:r w:rsidRPr="00AF170D">
        <w:rPr>
          <w:sz w:val="26"/>
          <w:szCs w:val="26"/>
        </w:rPr>
        <w:t xml:space="preserve">2015.gada 27.februārī stājās spēkā </w:t>
      </w:r>
      <w:r w:rsidR="00E72767" w:rsidRPr="00AF170D">
        <w:rPr>
          <w:sz w:val="26"/>
          <w:szCs w:val="26"/>
        </w:rPr>
        <w:t>Ministru kabineta noteikumi Nr.</w:t>
      </w:r>
      <w:r w:rsidRPr="00AF170D">
        <w:rPr>
          <w:sz w:val="26"/>
          <w:szCs w:val="26"/>
        </w:rPr>
        <w:t>94 „Grozījumi Ministru kabineta 2009.gada 27.oktobra noteikumos Nr.1227 „Noteikumi par regulējamiem sabiedrisko pakalpojumu veidiem””, kuri nosaka pakalpojumu minimālo apjom</w:t>
      </w:r>
      <w:r w:rsidR="00E94DF8" w:rsidRPr="00AF170D">
        <w:rPr>
          <w:sz w:val="26"/>
          <w:szCs w:val="26"/>
        </w:rPr>
        <w:t>u</w:t>
      </w:r>
      <w:r w:rsidRPr="00AF170D">
        <w:rPr>
          <w:sz w:val="26"/>
          <w:szCs w:val="26"/>
        </w:rPr>
        <w:t>, no kura ūdenssaimniecības n</w:t>
      </w:r>
      <w:r w:rsidR="000D2939" w:rsidRPr="00AF170D">
        <w:rPr>
          <w:sz w:val="26"/>
          <w:szCs w:val="26"/>
        </w:rPr>
        <w:t>ozares komersants tiek regulēts</w:t>
      </w:r>
      <w:r w:rsidRPr="00AF170D">
        <w:rPr>
          <w:sz w:val="26"/>
          <w:szCs w:val="26"/>
        </w:rPr>
        <w:t>, kā rezultātā 2015.gadā ir samazinājies regulējamo komersantu skaits ūdenssaimniecības nozar</w:t>
      </w:r>
      <w:r w:rsidR="003E66FE" w:rsidRPr="00AF170D">
        <w:rPr>
          <w:sz w:val="26"/>
          <w:szCs w:val="26"/>
        </w:rPr>
        <w:t>ē</w:t>
      </w:r>
      <w:r w:rsidRPr="00AF170D">
        <w:rPr>
          <w:sz w:val="26"/>
          <w:szCs w:val="26"/>
        </w:rPr>
        <w:t>.</w:t>
      </w:r>
    </w:p>
    <w:p w14:paraId="49057BB3" w14:textId="77777777" w:rsidR="00874ED2" w:rsidRPr="00AF170D" w:rsidRDefault="00874ED2" w:rsidP="00194BD3">
      <w:pPr>
        <w:pStyle w:val="ListParagraph"/>
        <w:numPr>
          <w:ilvl w:val="1"/>
          <w:numId w:val="4"/>
        </w:numPr>
        <w:spacing w:before="60" w:after="60"/>
        <w:jc w:val="both"/>
        <w:rPr>
          <w:sz w:val="26"/>
          <w:szCs w:val="26"/>
        </w:rPr>
      </w:pPr>
      <w:r w:rsidRPr="00AF170D">
        <w:rPr>
          <w:sz w:val="26"/>
          <w:szCs w:val="26"/>
        </w:rPr>
        <w:t>Enerģētikas nozarē regulēšanas režīms paredz skaidru siltumapgādes komersantu kurināmā izmaksu noteikšanu atbilstoši kurināmā cenu izmaiņām</w:t>
      </w:r>
      <w:r w:rsidR="003E66FE" w:rsidRPr="00AF170D">
        <w:rPr>
          <w:sz w:val="26"/>
          <w:szCs w:val="26"/>
        </w:rPr>
        <w:t>.</w:t>
      </w:r>
      <w:r w:rsidRPr="00AF170D">
        <w:rPr>
          <w:sz w:val="26"/>
          <w:szCs w:val="26"/>
        </w:rPr>
        <w:t xml:space="preserve"> </w:t>
      </w:r>
      <w:r w:rsidR="003E66FE" w:rsidRPr="00AF170D">
        <w:rPr>
          <w:sz w:val="26"/>
          <w:szCs w:val="26"/>
        </w:rPr>
        <w:t>V</w:t>
      </w:r>
      <w:r w:rsidRPr="00AF170D">
        <w:rPr>
          <w:sz w:val="26"/>
          <w:szCs w:val="26"/>
        </w:rPr>
        <w:t>airāk kā</w:t>
      </w:r>
      <w:r w:rsidR="000D2939" w:rsidRPr="00AF170D">
        <w:rPr>
          <w:sz w:val="26"/>
          <w:szCs w:val="26"/>
        </w:rPr>
        <w:t xml:space="preserve"> 80% no siltumenerģijas apjoma</w:t>
      </w:r>
      <w:r w:rsidRPr="00AF170D">
        <w:rPr>
          <w:sz w:val="26"/>
          <w:szCs w:val="26"/>
        </w:rPr>
        <w:t xml:space="preserve"> tarifs ir piesaistīts dabasgāzes cenas izmaiņām, </w:t>
      </w:r>
      <w:r w:rsidR="00E94DF8" w:rsidRPr="00AF170D">
        <w:rPr>
          <w:sz w:val="26"/>
          <w:szCs w:val="26"/>
        </w:rPr>
        <w:t xml:space="preserve">tādēļ </w:t>
      </w:r>
      <w:r w:rsidRPr="00AF170D">
        <w:rPr>
          <w:sz w:val="26"/>
          <w:szCs w:val="26"/>
        </w:rPr>
        <w:t>līdz ar dabasgāzes cenu samazinājumu sarūk arī regulējamo komersantu apgrozījums.</w:t>
      </w:r>
    </w:p>
    <w:p w14:paraId="72675917" w14:textId="77777777" w:rsidR="00F2769D" w:rsidRDefault="0086719C" w:rsidP="00DB3BB1">
      <w:pPr>
        <w:pStyle w:val="ListParagraph"/>
        <w:numPr>
          <w:ilvl w:val="0"/>
          <w:numId w:val="4"/>
        </w:numPr>
        <w:spacing w:before="60" w:after="60"/>
        <w:ind w:left="357" w:hanging="357"/>
        <w:jc w:val="both"/>
        <w:rPr>
          <w:b/>
          <w:sz w:val="26"/>
          <w:szCs w:val="26"/>
        </w:rPr>
      </w:pPr>
      <w:r w:rsidRPr="0086719C">
        <w:rPr>
          <w:b/>
          <w:sz w:val="26"/>
          <w:szCs w:val="26"/>
        </w:rPr>
        <w:t>Resursu pietiekamība tiesību aktos noteikto regulatīvo funkciju nodrošināšanai</w:t>
      </w:r>
    </w:p>
    <w:p w14:paraId="01D1CA1C" w14:textId="77777777" w:rsidR="00F2769D" w:rsidRPr="008E5573" w:rsidRDefault="00020807" w:rsidP="008E5573">
      <w:pPr>
        <w:spacing w:before="60" w:after="60"/>
        <w:jc w:val="both"/>
        <w:rPr>
          <w:b/>
          <w:sz w:val="26"/>
          <w:szCs w:val="26"/>
        </w:rPr>
      </w:pPr>
      <w:r>
        <w:rPr>
          <w:sz w:val="26"/>
          <w:szCs w:val="26"/>
        </w:rPr>
        <w:t>Lai kvalitatīvi veiktu normatīvajos aktos noteiktās funkcijas, Regulators nodrošina resursus to izpildei. Kā būtiskākās izmaiņas regulatora funkcijās būtu minams:</w:t>
      </w:r>
    </w:p>
    <w:p w14:paraId="6843464C" w14:textId="77777777" w:rsidR="002D6233" w:rsidRPr="00F2769D" w:rsidRDefault="002D6233" w:rsidP="00F2769D">
      <w:pPr>
        <w:spacing w:before="60" w:after="60"/>
        <w:jc w:val="both"/>
        <w:rPr>
          <w:b/>
          <w:sz w:val="26"/>
          <w:szCs w:val="26"/>
        </w:rPr>
      </w:pPr>
    </w:p>
    <w:p w14:paraId="77ECBF4E" w14:textId="77777777" w:rsidR="0041603D" w:rsidRPr="00AF170D" w:rsidRDefault="0041603D" w:rsidP="00194BD3">
      <w:pPr>
        <w:pStyle w:val="ListParagraph"/>
        <w:numPr>
          <w:ilvl w:val="1"/>
          <w:numId w:val="4"/>
        </w:numPr>
        <w:spacing w:before="60" w:after="60"/>
        <w:jc w:val="both"/>
        <w:rPr>
          <w:sz w:val="26"/>
          <w:szCs w:val="26"/>
        </w:rPr>
      </w:pPr>
      <w:r w:rsidRPr="00AF170D">
        <w:rPr>
          <w:sz w:val="26"/>
          <w:szCs w:val="26"/>
        </w:rPr>
        <w:t>Elektronisko sakaru nozarē</w:t>
      </w:r>
      <w:r w:rsidR="00E84ABC" w:rsidRPr="00AF170D">
        <w:rPr>
          <w:rStyle w:val="FootnoteReference"/>
          <w:sz w:val="26"/>
          <w:szCs w:val="26"/>
        </w:rPr>
        <w:footnoteReference w:id="2"/>
      </w:r>
      <w:r w:rsidRPr="00AF170D">
        <w:rPr>
          <w:sz w:val="26"/>
          <w:szCs w:val="26"/>
        </w:rPr>
        <w:t>:</w:t>
      </w:r>
    </w:p>
    <w:p w14:paraId="5074012E" w14:textId="77777777" w:rsidR="00BE5788" w:rsidRPr="00AF170D" w:rsidRDefault="00BE5788" w:rsidP="00AF170D">
      <w:pPr>
        <w:pStyle w:val="ListParagraph"/>
        <w:numPr>
          <w:ilvl w:val="0"/>
          <w:numId w:val="21"/>
        </w:numPr>
        <w:spacing w:before="60" w:after="60"/>
        <w:ind w:left="1134" w:hanging="357"/>
        <w:contextualSpacing/>
        <w:jc w:val="both"/>
        <w:rPr>
          <w:rFonts w:eastAsiaTheme="minorHAnsi"/>
          <w:sz w:val="26"/>
          <w:szCs w:val="26"/>
        </w:rPr>
      </w:pPr>
      <w:r w:rsidRPr="00AF170D">
        <w:rPr>
          <w:sz w:val="26"/>
          <w:szCs w:val="26"/>
        </w:rPr>
        <w:t>jāveic komersantu uzraudzība sakarā ar tīklu neitralitātes un starptautiskās viesabonēšanas mobilajos tīklos paaugstinātas maksas atcelšanu (2012. gada 13. jūnija Regula (ES) Nr.531/2012 par viesabonēšanu publiskajos mobilo sakaru tīklos Savienībā, stājusies spēkā );</w:t>
      </w:r>
    </w:p>
    <w:p w14:paraId="0D5E26A5" w14:textId="77777777" w:rsidR="00BE5788" w:rsidRPr="00AF170D" w:rsidRDefault="00BE5788" w:rsidP="00AF170D">
      <w:pPr>
        <w:numPr>
          <w:ilvl w:val="0"/>
          <w:numId w:val="21"/>
        </w:numPr>
        <w:spacing w:before="60" w:after="60"/>
        <w:ind w:left="1134" w:hanging="357"/>
        <w:contextualSpacing/>
        <w:jc w:val="both"/>
        <w:rPr>
          <w:sz w:val="26"/>
          <w:szCs w:val="26"/>
          <w:lang w:eastAsia="lv-LV"/>
        </w:rPr>
      </w:pPr>
      <w:r w:rsidRPr="00AF170D">
        <w:rPr>
          <w:sz w:val="26"/>
          <w:szCs w:val="26"/>
          <w:lang w:eastAsia="lv-LV"/>
        </w:rPr>
        <w:t>jānodrošina ES tiesiskā regulējuma saskaņota piemērošana elektronisko komunikāciju tīkliem un pakalpojumiem (2009. gada 25. novembra Regula Nr.1211/2009 ar ko izveido Eiropas Elektronisko komunikāciju regulatoru iestādi (BEREC) un biroju, lai attīstītu sadarbību starp regulatoriem un Komisiju, lai visās dalībvalstīs nodrošinātu ES tiesiskā regulējuma saskaņotu piemērošanu elektronisko komunikāciju tīkliem un pakalpojumiem un tādējādi veicinātu iekšējā tirgus attīstību);</w:t>
      </w:r>
    </w:p>
    <w:p w14:paraId="6FFD2EC0" w14:textId="77777777" w:rsidR="00BE5788" w:rsidRPr="00AF170D" w:rsidRDefault="00BE5788" w:rsidP="00AF170D">
      <w:pPr>
        <w:numPr>
          <w:ilvl w:val="0"/>
          <w:numId w:val="22"/>
        </w:numPr>
        <w:spacing w:before="60" w:after="60"/>
        <w:ind w:left="1134" w:hanging="357"/>
        <w:contextualSpacing/>
        <w:jc w:val="both"/>
        <w:rPr>
          <w:color w:val="auto"/>
          <w:sz w:val="26"/>
          <w:szCs w:val="26"/>
        </w:rPr>
      </w:pPr>
      <w:r w:rsidRPr="00AF170D">
        <w:rPr>
          <w:sz w:val="26"/>
          <w:szCs w:val="26"/>
          <w:lang w:eastAsia="lv-LV"/>
        </w:rPr>
        <w:t xml:space="preserve">jāievieš ES tiesību aktiem atbilstošs regulējums par viesabonēšanu publiskajos mobilo sakaru tīklos (2012. gada 14.decembra </w:t>
      </w:r>
      <w:r w:rsidRPr="00AF170D">
        <w:rPr>
          <w:sz w:val="26"/>
          <w:szCs w:val="26"/>
        </w:rPr>
        <w:t>Regula (ES) Nr.1203/2012 par regulētu mazumtirdzniecības viesabonēšanas pakalpojumu atsevišķu pārdošanu Savienībā,  2015. gada 16. decembra Regula (ES) Nr.2015/2352 ar ko nosaka vidējo svērto mobilā savienojuma pabeigšanas tarifu maksimumu visā Savienībā);</w:t>
      </w:r>
    </w:p>
    <w:p w14:paraId="5EF77F66" w14:textId="77777777" w:rsidR="00BE5788" w:rsidRPr="00AF170D" w:rsidRDefault="00BE5788" w:rsidP="00AF170D">
      <w:pPr>
        <w:numPr>
          <w:ilvl w:val="0"/>
          <w:numId w:val="22"/>
        </w:numPr>
        <w:spacing w:before="60" w:after="60"/>
        <w:ind w:left="1134" w:hanging="357"/>
        <w:contextualSpacing/>
        <w:jc w:val="both"/>
        <w:rPr>
          <w:color w:val="auto"/>
          <w:sz w:val="26"/>
          <w:szCs w:val="26"/>
        </w:rPr>
      </w:pPr>
      <w:r w:rsidRPr="00AF170D">
        <w:rPr>
          <w:sz w:val="26"/>
          <w:szCs w:val="26"/>
          <w:lang w:eastAsia="lv-LV"/>
        </w:rPr>
        <w:t>jāievieš ES līmeņa ieteikumi par produktu un pakalpojumu tirgiem elektronisko sakaru nozarē par regulētu piekļuvi nākamās paaudzes piekļuves (NGA) tīkliem, par savienojuma pabeigšanas tarifu reglamentāciju fiksētajos un mobilajos tīklos ES, par saskanīgiem nediskriminēšanas pienākumiem un izmaksu aprēķināšanas metodēm platjoslas pakalpojumu jomā, par universālo pakalpojumu un lietotāju tiesībām attiecībā uz elektronisko sakaru tīkliem un pakalpojumiem u.c. (</w:t>
      </w:r>
      <w:r w:rsidRPr="00AF170D">
        <w:rPr>
          <w:sz w:val="26"/>
          <w:szCs w:val="26"/>
        </w:rPr>
        <w:t>Ieteikums Nr.2007/879/EK; Ieteikums Nr.2010/572/ES, Ieteikums Nr.2009/396/EK; Ieteikums Nr.2009/396/EK, Ieteikums Nr.2014/710/ES; Ieteikums Nr.2012/798/ES).</w:t>
      </w:r>
    </w:p>
    <w:p w14:paraId="57DF4B70" w14:textId="77777777" w:rsidR="00543A75" w:rsidRPr="00AF170D" w:rsidRDefault="00BE5788" w:rsidP="00194BD3">
      <w:pPr>
        <w:pStyle w:val="ListParagraph"/>
        <w:numPr>
          <w:ilvl w:val="1"/>
          <w:numId w:val="4"/>
        </w:numPr>
        <w:spacing w:before="60" w:after="60"/>
        <w:jc w:val="both"/>
        <w:rPr>
          <w:sz w:val="26"/>
          <w:szCs w:val="26"/>
        </w:rPr>
      </w:pPr>
      <w:r w:rsidRPr="00AF170D">
        <w:rPr>
          <w:sz w:val="26"/>
          <w:szCs w:val="26"/>
        </w:rPr>
        <w:t xml:space="preserve">Pasta nozarē pēc attiecīgā Eiropas Savienības normatīvā regulējuma noteikšanas regulatoriem sagaidāma uzraudzības funkciju paplašināšana attiecībā uz pārrobežu </w:t>
      </w:r>
      <w:r w:rsidRPr="00AF170D">
        <w:rPr>
          <w:sz w:val="26"/>
          <w:szCs w:val="26"/>
        </w:rPr>
        <w:lastRenderedPageBreak/>
        <w:t>pasta paku piegādes pakalpojumiem /saistībā ar e-tirdzniecības veicināšanu Eiropas Savienībā</w:t>
      </w:r>
      <w:r w:rsidR="00584BA9" w:rsidRPr="00AF170D">
        <w:rPr>
          <w:sz w:val="26"/>
          <w:szCs w:val="26"/>
        </w:rPr>
        <w:t xml:space="preserve">. </w:t>
      </w:r>
    </w:p>
    <w:p w14:paraId="2C5DEA4B" w14:textId="77777777" w:rsidR="000558F5" w:rsidRPr="00AF170D" w:rsidRDefault="000558F5" w:rsidP="00194BD3">
      <w:pPr>
        <w:pStyle w:val="ListParagraph"/>
        <w:numPr>
          <w:ilvl w:val="1"/>
          <w:numId w:val="4"/>
        </w:numPr>
        <w:spacing w:before="60" w:after="60"/>
        <w:jc w:val="both"/>
        <w:rPr>
          <w:sz w:val="26"/>
          <w:szCs w:val="26"/>
        </w:rPr>
      </w:pPr>
      <w:r w:rsidRPr="00AF170D">
        <w:rPr>
          <w:sz w:val="26"/>
          <w:szCs w:val="26"/>
        </w:rPr>
        <w:t>Enerģētikas nozarē</w:t>
      </w:r>
      <w:r w:rsidR="00E84ABC" w:rsidRPr="00AF170D">
        <w:rPr>
          <w:rStyle w:val="FootnoteReference"/>
          <w:sz w:val="26"/>
          <w:szCs w:val="26"/>
        </w:rPr>
        <w:footnoteReference w:id="3"/>
      </w:r>
      <w:r w:rsidRPr="00AF170D">
        <w:rPr>
          <w:sz w:val="26"/>
          <w:szCs w:val="26"/>
        </w:rPr>
        <w:t>:</w:t>
      </w:r>
    </w:p>
    <w:p w14:paraId="29F21A96" w14:textId="77777777" w:rsidR="000558F5" w:rsidRPr="00AF170D" w:rsidRDefault="00124E33" w:rsidP="00194BD3">
      <w:pPr>
        <w:pStyle w:val="ListParagraph"/>
        <w:numPr>
          <w:ilvl w:val="2"/>
          <w:numId w:val="4"/>
        </w:numPr>
        <w:spacing w:before="60" w:after="60"/>
        <w:jc w:val="both"/>
        <w:rPr>
          <w:sz w:val="26"/>
          <w:szCs w:val="26"/>
        </w:rPr>
      </w:pPr>
      <w:r w:rsidRPr="00AF170D">
        <w:rPr>
          <w:sz w:val="26"/>
          <w:szCs w:val="26"/>
        </w:rPr>
        <w:t xml:space="preserve">jāievieš </w:t>
      </w:r>
      <w:r w:rsidR="000558F5" w:rsidRPr="00AF170D">
        <w:rPr>
          <w:sz w:val="26"/>
          <w:szCs w:val="26"/>
        </w:rPr>
        <w:t xml:space="preserve">ES tiesību aktu prasības </w:t>
      </w:r>
      <w:r w:rsidRPr="00AF170D">
        <w:rPr>
          <w:sz w:val="26"/>
          <w:szCs w:val="26"/>
        </w:rPr>
        <w:t>par enerģijas vairumtirgus integritāti un pārredzamību (REMIT) prasības un procedūras</w:t>
      </w:r>
      <w:r w:rsidR="003E66FE" w:rsidRPr="00AF170D">
        <w:rPr>
          <w:sz w:val="26"/>
          <w:szCs w:val="26"/>
        </w:rPr>
        <w:t xml:space="preserve">, kā arī </w:t>
      </w:r>
      <w:r w:rsidRPr="00AF170D">
        <w:rPr>
          <w:sz w:val="26"/>
          <w:szCs w:val="26"/>
        </w:rPr>
        <w:t xml:space="preserve"> jāveic elektroene</w:t>
      </w:r>
      <w:r w:rsidR="000558F5" w:rsidRPr="00AF170D">
        <w:rPr>
          <w:sz w:val="26"/>
          <w:szCs w:val="26"/>
        </w:rPr>
        <w:t xml:space="preserve">rģijas </w:t>
      </w:r>
      <w:r w:rsidR="00E94DF8" w:rsidRPr="00AF170D">
        <w:rPr>
          <w:sz w:val="26"/>
          <w:szCs w:val="26"/>
        </w:rPr>
        <w:t xml:space="preserve">vairumtirdzniecības </w:t>
      </w:r>
      <w:r w:rsidR="000558F5" w:rsidRPr="00AF170D">
        <w:rPr>
          <w:sz w:val="26"/>
          <w:szCs w:val="26"/>
        </w:rPr>
        <w:t>uzraudzība;</w:t>
      </w:r>
    </w:p>
    <w:p w14:paraId="4F0F889A" w14:textId="77777777" w:rsidR="00F936B5" w:rsidRDefault="000558F5" w:rsidP="00194BD3">
      <w:pPr>
        <w:pStyle w:val="ListParagraph"/>
        <w:numPr>
          <w:ilvl w:val="2"/>
          <w:numId w:val="4"/>
        </w:numPr>
        <w:spacing w:before="60" w:after="60"/>
        <w:jc w:val="both"/>
        <w:rPr>
          <w:sz w:val="26"/>
          <w:szCs w:val="26"/>
        </w:rPr>
      </w:pPr>
      <w:r w:rsidRPr="00AF170D">
        <w:rPr>
          <w:sz w:val="26"/>
          <w:szCs w:val="26"/>
        </w:rPr>
        <w:t xml:space="preserve">sadarbībā ar Eiropas Komisiju, Energoregulatoru sadarbības aģentūru ACER (Agency for the Cooperation of Energy Regulators) un Elektroenerģijas pārvades sistēmu operatoru Eiropas tīklu ENTSO-E (European Network of Transmission System Operators for Electricity) </w:t>
      </w:r>
      <w:r w:rsidR="00124E33" w:rsidRPr="00AF170D">
        <w:rPr>
          <w:sz w:val="26"/>
          <w:szCs w:val="26"/>
        </w:rPr>
        <w:t>jānodrošina kopējo interešu projektu vērtēšana, ES tīkla kodeksu izstrāde un sistēmas operatoru sertificēšanas uzraudzība</w:t>
      </w:r>
      <w:r w:rsidR="003E66FE" w:rsidRPr="00AF170D">
        <w:rPr>
          <w:sz w:val="26"/>
          <w:szCs w:val="26"/>
        </w:rPr>
        <w:t>;</w:t>
      </w:r>
    </w:p>
    <w:p w14:paraId="364259A2" w14:textId="0152583B" w:rsidR="00F936B5" w:rsidRPr="00F936B5" w:rsidRDefault="000B2E0F" w:rsidP="00194BD3">
      <w:pPr>
        <w:pStyle w:val="ListParagraph"/>
        <w:numPr>
          <w:ilvl w:val="2"/>
          <w:numId w:val="4"/>
        </w:numPr>
        <w:spacing w:before="60" w:after="60"/>
        <w:jc w:val="both"/>
        <w:rPr>
          <w:sz w:val="26"/>
          <w:szCs w:val="26"/>
        </w:rPr>
      </w:pPr>
      <w:r w:rsidRPr="00F936B5">
        <w:rPr>
          <w:sz w:val="26"/>
          <w:szCs w:val="26"/>
        </w:rPr>
        <w:t xml:space="preserve">jāveic </w:t>
      </w:r>
      <w:r w:rsidR="00D268E9" w:rsidRPr="00F936B5">
        <w:rPr>
          <w:sz w:val="26"/>
          <w:szCs w:val="26"/>
        </w:rPr>
        <w:t xml:space="preserve">jauni </w:t>
      </w:r>
      <w:r w:rsidR="000558F5" w:rsidRPr="00F936B5">
        <w:rPr>
          <w:sz w:val="26"/>
          <w:szCs w:val="26"/>
        </w:rPr>
        <w:t xml:space="preserve">uzdevumi </w:t>
      </w:r>
      <w:r w:rsidR="00124E33" w:rsidRPr="00F936B5">
        <w:rPr>
          <w:sz w:val="26"/>
          <w:szCs w:val="26"/>
        </w:rPr>
        <w:t>saistībā ar da</w:t>
      </w:r>
      <w:r w:rsidRPr="00F936B5">
        <w:rPr>
          <w:sz w:val="26"/>
          <w:szCs w:val="26"/>
        </w:rPr>
        <w:t>basgāzes tirgus liberalizāciju, tajā skaitā sistēmas lietošanas noteikumu apspriešana un saskaņošana,</w:t>
      </w:r>
      <w:r w:rsidR="00124E33" w:rsidRPr="00F936B5">
        <w:rPr>
          <w:sz w:val="26"/>
          <w:szCs w:val="26"/>
        </w:rPr>
        <w:t xml:space="preserve"> dabasgāzes pārvades </w:t>
      </w:r>
      <w:r w:rsidRPr="00F936B5">
        <w:rPr>
          <w:sz w:val="26"/>
          <w:szCs w:val="26"/>
        </w:rPr>
        <w:t>sistēmas operatora sertificēšana</w:t>
      </w:r>
      <w:r w:rsidR="00124E33" w:rsidRPr="00F936B5">
        <w:rPr>
          <w:sz w:val="26"/>
          <w:szCs w:val="26"/>
        </w:rPr>
        <w:t xml:space="preserve">, sadales sistēmas operatora atbilstības </w:t>
      </w:r>
      <w:r w:rsidRPr="00F936B5">
        <w:rPr>
          <w:sz w:val="26"/>
          <w:szCs w:val="26"/>
        </w:rPr>
        <w:t>neatkarības prasībām izvērtēšana</w:t>
      </w:r>
      <w:r w:rsidR="00124E33" w:rsidRPr="00F936B5">
        <w:rPr>
          <w:sz w:val="26"/>
          <w:szCs w:val="26"/>
        </w:rPr>
        <w:t>, pārvades sistēmas attīstī</w:t>
      </w:r>
      <w:r w:rsidRPr="00F936B5">
        <w:rPr>
          <w:sz w:val="26"/>
          <w:szCs w:val="26"/>
        </w:rPr>
        <w:t>bas 10 gadu plāna apstiprināšana un uzraudzība u.c</w:t>
      </w:r>
      <w:r w:rsidR="00124E33" w:rsidRPr="00F936B5">
        <w:rPr>
          <w:sz w:val="26"/>
          <w:szCs w:val="26"/>
        </w:rPr>
        <w:t>.</w:t>
      </w:r>
    </w:p>
    <w:p w14:paraId="38E12F00" w14:textId="77777777" w:rsidR="00F936B5" w:rsidRPr="00F936B5" w:rsidRDefault="00F936B5" w:rsidP="00194BD3">
      <w:pPr>
        <w:spacing w:before="60" w:after="60"/>
        <w:jc w:val="both"/>
        <w:rPr>
          <w:sz w:val="26"/>
          <w:szCs w:val="26"/>
        </w:rPr>
      </w:pPr>
    </w:p>
    <w:p w14:paraId="26E65E7C" w14:textId="77777777" w:rsidR="001E397C" w:rsidRPr="00011AB1" w:rsidRDefault="00875A3A" w:rsidP="00380982">
      <w:pPr>
        <w:spacing w:before="60" w:after="60"/>
        <w:jc w:val="right"/>
        <w:rPr>
          <w:color w:val="000000" w:themeColor="text1"/>
          <w:sz w:val="22"/>
          <w:szCs w:val="22"/>
        </w:rPr>
      </w:pPr>
      <w:r>
        <w:rPr>
          <w:b/>
          <w:color w:val="000000" w:themeColor="text1"/>
          <w:sz w:val="22"/>
          <w:szCs w:val="22"/>
        </w:rPr>
        <w:t>1.attē</w:t>
      </w:r>
      <w:r w:rsidR="001E397C" w:rsidRPr="00011AB1">
        <w:rPr>
          <w:b/>
          <w:color w:val="000000" w:themeColor="text1"/>
          <w:sz w:val="22"/>
          <w:szCs w:val="22"/>
        </w:rPr>
        <w:t>ls.</w:t>
      </w:r>
      <w:r w:rsidR="001E397C" w:rsidRPr="00011AB1">
        <w:rPr>
          <w:color w:val="000000" w:themeColor="text1"/>
          <w:sz w:val="22"/>
          <w:szCs w:val="22"/>
        </w:rPr>
        <w:t xml:space="preserve"> </w:t>
      </w:r>
      <w:r w:rsidR="00380982" w:rsidRPr="00011AB1">
        <w:rPr>
          <w:color w:val="000000" w:themeColor="text1"/>
          <w:sz w:val="22"/>
          <w:szCs w:val="22"/>
        </w:rPr>
        <w:t>Regulējamo pakalpojumu neto apgrozījums pa nozarēm, milj. EUR</w:t>
      </w:r>
    </w:p>
    <w:p w14:paraId="6EC388AC" w14:textId="77777777" w:rsidR="00380982" w:rsidRDefault="00380982" w:rsidP="00686DC9">
      <w:pPr>
        <w:spacing w:before="60" w:after="60"/>
        <w:jc w:val="center"/>
        <w:rPr>
          <w:color w:val="000000" w:themeColor="text1"/>
          <w:sz w:val="22"/>
          <w:szCs w:val="22"/>
        </w:rPr>
      </w:pPr>
    </w:p>
    <w:p w14:paraId="5E5F0F37" w14:textId="77777777" w:rsidR="00B41EED" w:rsidRPr="00011AB1" w:rsidRDefault="000177AC" w:rsidP="00380982">
      <w:pPr>
        <w:spacing w:before="60" w:after="60"/>
        <w:jc w:val="right"/>
        <w:rPr>
          <w:color w:val="000000" w:themeColor="text1"/>
          <w:sz w:val="22"/>
          <w:szCs w:val="22"/>
        </w:rPr>
      </w:pPr>
      <w:r>
        <w:rPr>
          <w:noProof/>
          <w:color w:val="000000" w:themeColor="text1"/>
          <w:sz w:val="22"/>
          <w:szCs w:val="22"/>
          <w:lang w:eastAsia="lv-LV"/>
        </w:rPr>
        <w:drawing>
          <wp:inline distT="0" distB="0" distL="0" distR="0" wp14:anchorId="76369263" wp14:editId="269AD0F5">
            <wp:extent cx="5944235" cy="322516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225165"/>
                    </a:xfrm>
                    <a:prstGeom prst="rect">
                      <a:avLst/>
                    </a:prstGeom>
                    <a:noFill/>
                  </pic:spPr>
                </pic:pic>
              </a:graphicData>
            </a:graphic>
          </wp:inline>
        </w:drawing>
      </w:r>
    </w:p>
    <w:p w14:paraId="7FD79DFF" w14:textId="77777777" w:rsidR="00380982" w:rsidRPr="00011AB1" w:rsidRDefault="00380982" w:rsidP="00380982">
      <w:pPr>
        <w:spacing w:before="60" w:after="60"/>
        <w:jc w:val="right"/>
        <w:rPr>
          <w:color w:val="000000" w:themeColor="text1"/>
          <w:sz w:val="22"/>
          <w:szCs w:val="22"/>
        </w:rPr>
      </w:pPr>
      <w:r w:rsidRPr="00011AB1">
        <w:rPr>
          <w:color w:val="000000" w:themeColor="text1"/>
          <w:sz w:val="22"/>
          <w:szCs w:val="22"/>
        </w:rPr>
        <w:t>*Šajās nozarēs 2015.gadā regulēšanas nodeva piemērota par nepilnu periodu</w:t>
      </w:r>
    </w:p>
    <w:p w14:paraId="4AA579EA" w14:textId="77777777" w:rsidR="001E397C" w:rsidRDefault="001E397C" w:rsidP="001E397C">
      <w:pPr>
        <w:spacing w:before="60" w:after="60"/>
        <w:jc w:val="right"/>
        <w:rPr>
          <w:color w:val="FF0000"/>
          <w:sz w:val="22"/>
          <w:szCs w:val="22"/>
        </w:rPr>
      </w:pPr>
    </w:p>
    <w:p w14:paraId="0A091B3E" w14:textId="77777777" w:rsidR="00F936B5" w:rsidRDefault="00F936B5" w:rsidP="00436B6A">
      <w:pPr>
        <w:spacing w:before="60" w:after="60"/>
        <w:ind w:firstLine="720"/>
        <w:jc w:val="both"/>
        <w:rPr>
          <w:sz w:val="26"/>
          <w:szCs w:val="26"/>
        </w:rPr>
      </w:pPr>
    </w:p>
    <w:p w14:paraId="7E84A4F7" w14:textId="25D40858" w:rsidR="00F936B5" w:rsidRDefault="00F936B5" w:rsidP="00551716">
      <w:pPr>
        <w:spacing w:before="60" w:after="60"/>
        <w:jc w:val="both"/>
        <w:rPr>
          <w:sz w:val="26"/>
          <w:szCs w:val="26"/>
        </w:rPr>
      </w:pPr>
    </w:p>
    <w:p w14:paraId="1B98A5AC" w14:textId="77777777" w:rsidR="001A1A08" w:rsidRDefault="001A1A08" w:rsidP="00436B6A">
      <w:pPr>
        <w:spacing w:before="60" w:after="60"/>
        <w:ind w:firstLine="720"/>
        <w:jc w:val="both"/>
        <w:rPr>
          <w:sz w:val="26"/>
          <w:szCs w:val="26"/>
        </w:rPr>
      </w:pPr>
    </w:p>
    <w:p w14:paraId="7339DF8C" w14:textId="77777777" w:rsidR="001A1A08" w:rsidRDefault="001A1A08" w:rsidP="00436B6A">
      <w:pPr>
        <w:spacing w:before="60" w:after="60"/>
        <w:ind w:firstLine="720"/>
        <w:jc w:val="both"/>
        <w:rPr>
          <w:sz w:val="26"/>
          <w:szCs w:val="26"/>
        </w:rPr>
      </w:pPr>
    </w:p>
    <w:p w14:paraId="71E74DEE" w14:textId="77777777" w:rsidR="001A1A08" w:rsidRDefault="001A1A08" w:rsidP="00436B6A">
      <w:pPr>
        <w:spacing w:before="60" w:after="60"/>
        <w:ind w:firstLine="720"/>
        <w:jc w:val="both"/>
        <w:rPr>
          <w:sz w:val="26"/>
          <w:szCs w:val="26"/>
        </w:rPr>
      </w:pPr>
    </w:p>
    <w:p w14:paraId="4942F55A" w14:textId="392F9802" w:rsidR="00EE3A14" w:rsidRPr="00AF170D" w:rsidRDefault="000B2E0F" w:rsidP="00436B6A">
      <w:pPr>
        <w:spacing w:before="60" w:after="60"/>
        <w:ind w:firstLine="720"/>
        <w:jc w:val="both"/>
        <w:rPr>
          <w:sz w:val="26"/>
          <w:szCs w:val="26"/>
        </w:rPr>
      </w:pPr>
      <w:r w:rsidRPr="00525FF7">
        <w:rPr>
          <w:sz w:val="26"/>
          <w:szCs w:val="26"/>
        </w:rPr>
        <w:t>K</w:t>
      </w:r>
      <w:r w:rsidR="009C6616" w:rsidRPr="00525FF7">
        <w:rPr>
          <w:sz w:val="26"/>
          <w:szCs w:val="26"/>
        </w:rPr>
        <w:t>omersantu sniegto regulēto sabiedrisko pakalpojumu apgrozījums, apgrozījumam</w:t>
      </w:r>
      <w:r w:rsidR="00436B6A" w:rsidRPr="00525FF7">
        <w:rPr>
          <w:sz w:val="26"/>
          <w:szCs w:val="26"/>
        </w:rPr>
        <w:t xml:space="preserve"> atbilstošais nodevas apmērs, </w:t>
      </w:r>
      <w:r w:rsidR="009C6616" w:rsidRPr="00525FF7">
        <w:rPr>
          <w:sz w:val="26"/>
          <w:szCs w:val="26"/>
        </w:rPr>
        <w:t>Regulatora faktiskie izdevumi no 2008. līdz 201</w:t>
      </w:r>
      <w:r w:rsidR="00436B6A" w:rsidRPr="00525FF7">
        <w:rPr>
          <w:sz w:val="26"/>
          <w:szCs w:val="26"/>
        </w:rPr>
        <w:t>6</w:t>
      </w:r>
      <w:r w:rsidR="009C6616" w:rsidRPr="00525FF7">
        <w:rPr>
          <w:sz w:val="26"/>
          <w:szCs w:val="26"/>
        </w:rPr>
        <w:t xml:space="preserve">. gadam </w:t>
      </w:r>
      <w:r w:rsidR="00436B6A" w:rsidRPr="00525FF7">
        <w:rPr>
          <w:sz w:val="26"/>
          <w:szCs w:val="26"/>
        </w:rPr>
        <w:t>un plānotais</w:t>
      </w:r>
      <w:r w:rsidR="00436B6A" w:rsidRPr="00525FF7">
        <w:t xml:space="preserve"> </w:t>
      </w:r>
      <w:r w:rsidR="00AE0553" w:rsidRPr="00525FF7">
        <w:rPr>
          <w:sz w:val="26"/>
          <w:szCs w:val="26"/>
        </w:rPr>
        <w:t>r</w:t>
      </w:r>
      <w:r w:rsidR="00436B6A" w:rsidRPr="00525FF7">
        <w:rPr>
          <w:sz w:val="26"/>
          <w:szCs w:val="26"/>
        </w:rPr>
        <w:t xml:space="preserve">egulējamo komersantu apgrozījums, nodevas apmērs un Regulatora izdevumi 2017.gadā ir </w:t>
      </w:r>
      <w:r w:rsidR="006708ED" w:rsidRPr="00525FF7">
        <w:rPr>
          <w:sz w:val="26"/>
          <w:szCs w:val="26"/>
        </w:rPr>
        <w:t xml:space="preserve">parādīti </w:t>
      </w:r>
      <w:r w:rsidR="000D2939" w:rsidRPr="00525FF7">
        <w:rPr>
          <w:sz w:val="26"/>
          <w:szCs w:val="26"/>
        </w:rPr>
        <w:t xml:space="preserve">informatīvā ziņojuma </w:t>
      </w:r>
      <w:r w:rsidR="00525FF7" w:rsidRPr="00525FF7">
        <w:rPr>
          <w:sz w:val="26"/>
          <w:szCs w:val="26"/>
        </w:rPr>
        <w:t>2</w:t>
      </w:r>
      <w:r w:rsidRPr="00525FF7">
        <w:rPr>
          <w:sz w:val="26"/>
          <w:szCs w:val="26"/>
        </w:rPr>
        <w:t>.attēlā.</w:t>
      </w:r>
      <w:r w:rsidR="009C6616" w:rsidRPr="00AF170D">
        <w:rPr>
          <w:sz w:val="26"/>
          <w:szCs w:val="26"/>
        </w:rPr>
        <w:t xml:space="preserve"> </w:t>
      </w:r>
    </w:p>
    <w:p w14:paraId="19081190" w14:textId="77777777" w:rsidR="00F936B5" w:rsidRDefault="00F936B5" w:rsidP="00FC1FBA">
      <w:pPr>
        <w:jc w:val="right"/>
        <w:rPr>
          <w:b/>
          <w:color w:val="auto"/>
          <w:sz w:val="24"/>
        </w:rPr>
      </w:pPr>
    </w:p>
    <w:p w14:paraId="28CB5464" w14:textId="0B460A5C" w:rsidR="00FC1FBA" w:rsidRPr="00551716" w:rsidRDefault="001E397C" w:rsidP="00FC1FBA">
      <w:pPr>
        <w:jc w:val="right"/>
        <w:rPr>
          <w:color w:val="auto"/>
          <w:sz w:val="22"/>
          <w:szCs w:val="22"/>
        </w:rPr>
      </w:pPr>
      <w:r w:rsidRPr="00551716">
        <w:rPr>
          <w:b/>
          <w:color w:val="auto"/>
          <w:sz w:val="22"/>
          <w:szCs w:val="22"/>
        </w:rPr>
        <w:t>2</w:t>
      </w:r>
      <w:r w:rsidR="00EE3A14" w:rsidRPr="00551716">
        <w:rPr>
          <w:b/>
          <w:color w:val="auto"/>
          <w:sz w:val="22"/>
          <w:szCs w:val="22"/>
        </w:rPr>
        <w:t>.attēls</w:t>
      </w:r>
      <w:r w:rsidR="00FC1FBA" w:rsidRPr="00551716">
        <w:rPr>
          <w:b/>
          <w:color w:val="auto"/>
          <w:sz w:val="22"/>
          <w:szCs w:val="22"/>
        </w:rPr>
        <w:t xml:space="preserve">. </w:t>
      </w:r>
      <w:r w:rsidR="00FC1FBA" w:rsidRPr="00551716">
        <w:rPr>
          <w:color w:val="auto"/>
          <w:sz w:val="22"/>
          <w:szCs w:val="22"/>
        </w:rPr>
        <w:t xml:space="preserve">Regulējamo komersantu apgrozījums, nodevas apmērs </w:t>
      </w:r>
    </w:p>
    <w:p w14:paraId="1B7139E0" w14:textId="77777777" w:rsidR="00EE3A14" w:rsidRPr="00551716" w:rsidRDefault="00FC1FBA" w:rsidP="00FC1FBA">
      <w:pPr>
        <w:jc w:val="right"/>
        <w:rPr>
          <w:color w:val="auto"/>
          <w:sz w:val="22"/>
          <w:szCs w:val="22"/>
        </w:rPr>
      </w:pPr>
      <w:r w:rsidRPr="00551716">
        <w:rPr>
          <w:color w:val="auto"/>
          <w:sz w:val="22"/>
          <w:szCs w:val="22"/>
        </w:rPr>
        <w:t>un Regulatora izdev</w:t>
      </w:r>
      <w:r w:rsidR="00436B6A" w:rsidRPr="00551716">
        <w:rPr>
          <w:color w:val="auto"/>
          <w:sz w:val="22"/>
          <w:szCs w:val="22"/>
        </w:rPr>
        <w:t>umi 2008. - 2017</w:t>
      </w:r>
      <w:r w:rsidR="00C226B3" w:rsidRPr="00551716">
        <w:rPr>
          <w:color w:val="auto"/>
          <w:sz w:val="22"/>
          <w:szCs w:val="22"/>
        </w:rPr>
        <w:t>. gadā, milj.</w:t>
      </w:r>
      <w:r w:rsidR="00AF170D" w:rsidRPr="00551716">
        <w:rPr>
          <w:color w:val="auto"/>
          <w:sz w:val="22"/>
          <w:szCs w:val="22"/>
        </w:rPr>
        <w:t xml:space="preserve"> </w:t>
      </w:r>
      <w:r w:rsidR="00AF170D" w:rsidRPr="00551716">
        <w:rPr>
          <w:i/>
          <w:color w:val="auto"/>
          <w:sz w:val="22"/>
          <w:szCs w:val="22"/>
        </w:rPr>
        <w:t>euro</w:t>
      </w:r>
      <w:r w:rsidR="00CD2983" w:rsidRPr="00551716">
        <w:rPr>
          <w:rStyle w:val="FootnoteReference"/>
          <w:i/>
          <w:color w:val="auto"/>
          <w:sz w:val="22"/>
          <w:szCs w:val="22"/>
        </w:rPr>
        <w:footnoteReference w:id="4"/>
      </w:r>
    </w:p>
    <w:p w14:paraId="3DE4726A" w14:textId="1C80C250" w:rsidR="001C3C97" w:rsidRDefault="001C3C97" w:rsidP="001C3C97">
      <w:pPr>
        <w:shd w:val="clear" w:color="auto" w:fill="FFFFFF" w:themeFill="background1"/>
        <w:spacing w:before="240" w:after="60"/>
        <w:jc w:val="both"/>
        <w:rPr>
          <w:sz w:val="26"/>
          <w:szCs w:val="26"/>
        </w:rPr>
      </w:pPr>
      <w:r>
        <w:rPr>
          <w:noProof/>
          <w:lang w:eastAsia="lv-LV"/>
        </w:rPr>
        <w:drawing>
          <wp:inline distT="0" distB="0" distL="0" distR="0" wp14:anchorId="0BBA07D7" wp14:editId="7247C73E">
            <wp:extent cx="5941060" cy="3523405"/>
            <wp:effectExtent l="0" t="0" r="2540" b="1270"/>
            <wp:docPr id="2" name="Picture 2" descr="cid:image002.png@01D2F58B.838DC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F58B.838DC0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1060" cy="3523405"/>
                    </a:xfrm>
                    <a:prstGeom prst="rect">
                      <a:avLst/>
                    </a:prstGeom>
                    <a:noFill/>
                    <a:ln>
                      <a:noFill/>
                    </a:ln>
                  </pic:spPr>
                </pic:pic>
              </a:graphicData>
            </a:graphic>
          </wp:inline>
        </w:drawing>
      </w:r>
    </w:p>
    <w:p w14:paraId="05EED0C3" w14:textId="6226D6B2" w:rsidR="000D2939" w:rsidRPr="00F936B5" w:rsidRDefault="006878E8" w:rsidP="003B2037">
      <w:pPr>
        <w:shd w:val="clear" w:color="auto" w:fill="FFFFFF" w:themeFill="background1"/>
        <w:spacing w:before="240" w:after="60"/>
        <w:ind w:firstLine="567"/>
        <w:jc w:val="both"/>
        <w:rPr>
          <w:sz w:val="26"/>
          <w:szCs w:val="26"/>
        </w:rPr>
      </w:pPr>
      <w:r w:rsidRPr="00F936B5">
        <w:rPr>
          <w:sz w:val="26"/>
          <w:szCs w:val="26"/>
        </w:rPr>
        <w:t xml:space="preserve">Starpība starp apgrozījumam atbilstošo </w:t>
      </w:r>
      <w:r w:rsidR="003E66FE" w:rsidRPr="00F936B5">
        <w:rPr>
          <w:sz w:val="26"/>
          <w:szCs w:val="26"/>
        </w:rPr>
        <w:t xml:space="preserve">valsts </w:t>
      </w:r>
      <w:r w:rsidRPr="00F936B5">
        <w:rPr>
          <w:sz w:val="26"/>
          <w:szCs w:val="26"/>
        </w:rPr>
        <w:t>nodevas maksājumu un Regulatora faktiskajiem iz</w:t>
      </w:r>
      <w:r w:rsidR="00620BC4">
        <w:rPr>
          <w:sz w:val="26"/>
          <w:szCs w:val="26"/>
        </w:rPr>
        <w:t>devumiem laika periodā no 2008.</w:t>
      </w:r>
      <w:r w:rsidRPr="00F936B5">
        <w:rPr>
          <w:sz w:val="26"/>
          <w:szCs w:val="26"/>
        </w:rPr>
        <w:t xml:space="preserve">gada </w:t>
      </w:r>
      <w:r w:rsidR="00E84ABC" w:rsidRPr="00F936B5">
        <w:rPr>
          <w:sz w:val="26"/>
          <w:szCs w:val="26"/>
        </w:rPr>
        <w:t xml:space="preserve">ir pārrēķināta un attiecīgi nākamajā periodā samazināta </w:t>
      </w:r>
      <w:r w:rsidRPr="00F936B5">
        <w:rPr>
          <w:sz w:val="26"/>
          <w:szCs w:val="26"/>
        </w:rPr>
        <w:t xml:space="preserve">ievērojama </w:t>
      </w:r>
      <w:r w:rsidR="00F13545" w:rsidRPr="00F936B5">
        <w:rPr>
          <w:sz w:val="26"/>
          <w:szCs w:val="26"/>
        </w:rPr>
        <w:t xml:space="preserve">nodevas </w:t>
      </w:r>
      <w:r w:rsidRPr="00F936B5">
        <w:rPr>
          <w:sz w:val="26"/>
          <w:szCs w:val="26"/>
        </w:rPr>
        <w:t>ieņēmumu daļa</w:t>
      </w:r>
      <w:r w:rsidR="00A46886" w:rsidRPr="00F936B5">
        <w:rPr>
          <w:sz w:val="26"/>
          <w:szCs w:val="26"/>
        </w:rPr>
        <w:t xml:space="preserve">, kas jāmaksā komersantiem. </w:t>
      </w:r>
    </w:p>
    <w:p w14:paraId="35CB8F0C" w14:textId="0BDC4CD1" w:rsidR="006878E8" w:rsidRPr="00F936B5" w:rsidRDefault="006878E8" w:rsidP="00194BD3">
      <w:pPr>
        <w:spacing w:before="60" w:after="60"/>
        <w:ind w:firstLine="567"/>
        <w:jc w:val="both"/>
        <w:rPr>
          <w:color w:val="auto"/>
          <w:sz w:val="26"/>
          <w:szCs w:val="26"/>
        </w:rPr>
      </w:pPr>
      <w:r w:rsidRPr="00F936B5">
        <w:rPr>
          <w:sz w:val="26"/>
          <w:szCs w:val="26"/>
        </w:rPr>
        <w:t xml:space="preserve">Ja šajā periodā būtu bijusi iespēja novirzīt daļu no </w:t>
      </w:r>
      <w:r w:rsidR="0069402B" w:rsidRPr="00F936B5">
        <w:rPr>
          <w:color w:val="auto"/>
          <w:sz w:val="26"/>
          <w:szCs w:val="26"/>
        </w:rPr>
        <w:t>pārrēķinātas un attiecīgi nākamajā periodā samazinātās nodevas</w:t>
      </w:r>
      <w:r w:rsidR="0069402B" w:rsidRPr="00F936B5">
        <w:rPr>
          <w:b/>
          <w:color w:val="0070C0"/>
          <w:sz w:val="26"/>
          <w:szCs w:val="26"/>
        </w:rPr>
        <w:t xml:space="preserve"> </w:t>
      </w:r>
      <w:r w:rsidRPr="00F936B5">
        <w:rPr>
          <w:sz w:val="26"/>
          <w:szCs w:val="26"/>
        </w:rPr>
        <w:t xml:space="preserve">uzkrājuma veidošanai, Regulators, nepalielinot spēkā esošajā regulējumā noteikto nodevas apmēru, būtu </w:t>
      </w:r>
      <w:r w:rsidR="00D268E9" w:rsidRPr="00F936B5">
        <w:rPr>
          <w:sz w:val="26"/>
          <w:szCs w:val="26"/>
        </w:rPr>
        <w:t xml:space="preserve">varējis </w:t>
      </w:r>
      <w:r w:rsidRPr="00F936B5">
        <w:rPr>
          <w:sz w:val="26"/>
          <w:szCs w:val="26"/>
        </w:rPr>
        <w:t>nodrošinā</w:t>
      </w:r>
      <w:r w:rsidR="00D268E9" w:rsidRPr="00F936B5">
        <w:rPr>
          <w:sz w:val="26"/>
          <w:szCs w:val="26"/>
        </w:rPr>
        <w:t xml:space="preserve">t </w:t>
      </w:r>
      <w:r w:rsidR="000D2939" w:rsidRPr="00F936B5">
        <w:rPr>
          <w:sz w:val="26"/>
          <w:szCs w:val="26"/>
        </w:rPr>
        <w:t xml:space="preserve">valsts nodevas </w:t>
      </w:r>
      <w:r w:rsidRPr="00F936B5">
        <w:rPr>
          <w:sz w:val="26"/>
          <w:szCs w:val="26"/>
        </w:rPr>
        <w:t>uzkrājuma izv</w:t>
      </w:r>
      <w:r w:rsidR="00620BC4">
        <w:rPr>
          <w:sz w:val="26"/>
          <w:szCs w:val="26"/>
        </w:rPr>
        <w:t>eidošanu un spētu novērst 2016.</w:t>
      </w:r>
      <w:r w:rsidRPr="00F936B5">
        <w:rPr>
          <w:sz w:val="26"/>
          <w:szCs w:val="26"/>
        </w:rPr>
        <w:t xml:space="preserve">gada laikā izveidojošos ieņēmumu (finanšu) </w:t>
      </w:r>
      <w:r w:rsidRPr="00F936B5">
        <w:rPr>
          <w:color w:val="auto"/>
          <w:sz w:val="26"/>
          <w:szCs w:val="26"/>
        </w:rPr>
        <w:t>nepietiekamību</w:t>
      </w:r>
      <w:r w:rsidR="00A46886" w:rsidRPr="00F936B5">
        <w:rPr>
          <w:color w:val="auto"/>
          <w:sz w:val="26"/>
          <w:szCs w:val="26"/>
        </w:rPr>
        <w:t xml:space="preserve">, kas radās strauji samazinoties regulējamo uzņēmumu apgrozījumam. </w:t>
      </w:r>
      <w:r w:rsidRPr="00F936B5">
        <w:rPr>
          <w:color w:val="auto"/>
          <w:sz w:val="26"/>
          <w:szCs w:val="26"/>
        </w:rPr>
        <w:t>.</w:t>
      </w:r>
    </w:p>
    <w:p w14:paraId="53935E23" w14:textId="02BD1F1D" w:rsidR="00A46886" w:rsidRPr="00F936B5" w:rsidRDefault="00A46886" w:rsidP="00525FF7">
      <w:pPr>
        <w:ind w:firstLine="720"/>
        <w:jc w:val="both"/>
        <w:rPr>
          <w:color w:val="auto"/>
          <w:sz w:val="26"/>
          <w:szCs w:val="26"/>
        </w:rPr>
      </w:pPr>
      <w:r w:rsidRPr="00F936B5">
        <w:rPr>
          <w:color w:val="auto"/>
          <w:sz w:val="26"/>
          <w:szCs w:val="26"/>
        </w:rPr>
        <w:t>Izmaiņas regulatīvajās funkcijās un regulējamās nozarēs, kā arī apkopotie dati par regulējamo sabiedrisko pakalpojumu sniedzēju neto apgrozījumu svārstībām regulējamās nozarēs iepriekšējos periodos apliecina, ka, nepilnveidojot līdzšinējo Regulatora finansēšanas modeli, ir apgrūtināta Regulatora budžeta plānošana ilgtermiņā, kā arī atsevišķos gadījumos ir radījusi un nākotnē var radīt iepriekš plānoto Regulatora budžeta ieņēmumu samazinājumu, tādejādi ietekmējot Regulatora funkciju un saistību kvalitatīvu izpildi attiecīgajā pārskata periodā.</w:t>
      </w:r>
    </w:p>
    <w:p w14:paraId="578F43DF" w14:textId="77777777" w:rsidR="004A7C7D" w:rsidRPr="00F936B5" w:rsidRDefault="004A7C7D" w:rsidP="00194BD3">
      <w:pPr>
        <w:spacing w:before="60" w:after="60"/>
        <w:ind w:firstLine="567"/>
        <w:jc w:val="both"/>
        <w:rPr>
          <w:sz w:val="26"/>
          <w:szCs w:val="26"/>
        </w:rPr>
      </w:pPr>
      <w:r w:rsidRPr="00F936B5">
        <w:rPr>
          <w:sz w:val="26"/>
          <w:szCs w:val="26"/>
        </w:rPr>
        <w:lastRenderedPageBreak/>
        <w:t>Ņ</w:t>
      </w:r>
      <w:r w:rsidR="002A5E85" w:rsidRPr="00F936B5">
        <w:rPr>
          <w:sz w:val="26"/>
          <w:szCs w:val="26"/>
        </w:rPr>
        <w:t>emot vērā izklāstītos faktorus</w:t>
      </w:r>
      <w:r w:rsidR="00EE78C4" w:rsidRPr="00F936B5">
        <w:rPr>
          <w:sz w:val="26"/>
          <w:szCs w:val="26"/>
        </w:rPr>
        <w:t>,</w:t>
      </w:r>
      <w:r w:rsidRPr="00F936B5">
        <w:rPr>
          <w:sz w:val="26"/>
          <w:szCs w:val="26"/>
        </w:rPr>
        <w:t xml:space="preserve"> ir nepieciešams pārskatīt un izveidot atbilstošu </w:t>
      </w:r>
      <w:r w:rsidR="00285207" w:rsidRPr="00F936B5">
        <w:rPr>
          <w:sz w:val="26"/>
          <w:szCs w:val="26"/>
        </w:rPr>
        <w:t xml:space="preserve">un ilgtspējīgu </w:t>
      </w:r>
      <w:r w:rsidRPr="00F936B5">
        <w:rPr>
          <w:sz w:val="26"/>
          <w:szCs w:val="26"/>
        </w:rPr>
        <w:t xml:space="preserve">Regulatora finansēšanas modeli, </w:t>
      </w:r>
      <w:r w:rsidR="007B5788" w:rsidRPr="00F936B5">
        <w:rPr>
          <w:sz w:val="26"/>
          <w:szCs w:val="26"/>
        </w:rPr>
        <w:t>kas ļautu sasniegt</w:t>
      </w:r>
      <w:r w:rsidRPr="00F936B5">
        <w:rPr>
          <w:sz w:val="26"/>
          <w:szCs w:val="26"/>
        </w:rPr>
        <w:t xml:space="preserve">  </w:t>
      </w:r>
      <w:r w:rsidR="007B5788" w:rsidRPr="00F936B5">
        <w:rPr>
          <w:sz w:val="26"/>
          <w:szCs w:val="26"/>
        </w:rPr>
        <w:t>šādus</w:t>
      </w:r>
      <w:r w:rsidR="003E66FE" w:rsidRPr="00F936B5">
        <w:rPr>
          <w:sz w:val="26"/>
          <w:szCs w:val="26"/>
        </w:rPr>
        <w:t xml:space="preserve"> </w:t>
      </w:r>
      <w:r w:rsidR="007B5788" w:rsidRPr="00F936B5">
        <w:rPr>
          <w:sz w:val="26"/>
          <w:szCs w:val="26"/>
        </w:rPr>
        <w:t>mērķus</w:t>
      </w:r>
      <w:r w:rsidRPr="00F936B5">
        <w:rPr>
          <w:sz w:val="26"/>
          <w:szCs w:val="26"/>
        </w:rPr>
        <w:t>:</w:t>
      </w:r>
    </w:p>
    <w:p w14:paraId="2E2BB614" w14:textId="77777777" w:rsidR="004A7C7D" w:rsidRPr="00F936B5" w:rsidRDefault="00154015" w:rsidP="00194BD3">
      <w:pPr>
        <w:pStyle w:val="ListParagraph"/>
        <w:numPr>
          <w:ilvl w:val="0"/>
          <w:numId w:val="11"/>
        </w:numPr>
        <w:spacing w:before="60" w:after="60"/>
        <w:jc w:val="both"/>
        <w:rPr>
          <w:sz w:val="26"/>
          <w:szCs w:val="26"/>
        </w:rPr>
      </w:pPr>
      <w:r w:rsidRPr="00F936B5">
        <w:rPr>
          <w:sz w:val="26"/>
          <w:szCs w:val="26"/>
        </w:rPr>
        <w:t>n</w:t>
      </w:r>
      <w:r w:rsidR="004A7C7D" w:rsidRPr="00F936B5">
        <w:rPr>
          <w:sz w:val="26"/>
          <w:szCs w:val="26"/>
        </w:rPr>
        <w:t xml:space="preserve">odrošināti atbilstīgi finanšu </w:t>
      </w:r>
      <w:r w:rsidR="002A5E85" w:rsidRPr="00F936B5">
        <w:rPr>
          <w:sz w:val="26"/>
          <w:szCs w:val="26"/>
        </w:rPr>
        <w:t>resursi un cilvēk</w:t>
      </w:r>
      <w:r w:rsidR="00613957" w:rsidRPr="00F936B5">
        <w:rPr>
          <w:sz w:val="26"/>
          <w:szCs w:val="26"/>
        </w:rPr>
        <w:t>resursi, lai Regulators</w:t>
      </w:r>
      <w:r w:rsidR="00554489" w:rsidRPr="00F936B5">
        <w:rPr>
          <w:sz w:val="26"/>
          <w:szCs w:val="26"/>
        </w:rPr>
        <w:t xml:space="preserve"> </w:t>
      </w:r>
      <w:r w:rsidR="004A7C7D" w:rsidRPr="00F936B5">
        <w:rPr>
          <w:sz w:val="26"/>
          <w:szCs w:val="26"/>
        </w:rPr>
        <w:t xml:space="preserve">varētu </w:t>
      </w:r>
      <w:r w:rsidR="00613957" w:rsidRPr="00F936B5">
        <w:rPr>
          <w:sz w:val="26"/>
          <w:szCs w:val="26"/>
        </w:rPr>
        <w:t xml:space="preserve">kvalitatīvi </w:t>
      </w:r>
      <w:r w:rsidR="004A7C7D" w:rsidRPr="00F936B5">
        <w:rPr>
          <w:sz w:val="26"/>
          <w:szCs w:val="26"/>
        </w:rPr>
        <w:t>veikt normatīvajos aktos n</w:t>
      </w:r>
      <w:r w:rsidR="002A5E85" w:rsidRPr="00F936B5">
        <w:rPr>
          <w:sz w:val="26"/>
          <w:szCs w:val="26"/>
        </w:rPr>
        <w:t>oteiktos pienākumus (funkcijas);</w:t>
      </w:r>
    </w:p>
    <w:p w14:paraId="5DF4DE9A" w14:textId="77777777" w:rsidR="002A5E85" w:rsidRDefault="002A5E85" w:rsidP="00BB2C78">
      <w:pPr>
        <w:pStyle w:val="ListParagraph"/>
        <w:numPr>
          <w:ilvl w:val="0"/>
          <w:numId w:val="11"/>
        </w:numPr>
        <w:spacing w:before="60" w:after="60"/>
        <w:jc w:val="both"/>
        <w:rPr>
          <w:sz w:val="26"/>
          <w:szCs w:val="26"/>
        </w:rPr>
      </w:pPr>
      <w:r w:rsidRPr="00AF170D">
        <w:rPr>
          <w:sz w:val="26"/>
          <w:szCs w:val="26"/>
        </w:rPr>
        <w:t xml:space="preserve">nodrošināta Regulatora budžeta (finansējuma) neatkarība no sabiedrisko pakalpojumu sniedzēju sniegto </w:t>
      </w:r>
      <w:r w:rsidR="003E66FE" w:rsidRPr="00AF170D">
        <w:rPr>
          <w:sz w:val="26"/>
          <w:szCs w:val="26"/>
        </w:rPr>
        <w:t xml:space="preserve">regulējamo </w:t>
      </w:r>
      <w:r w:rsidRPr="00AF170D">
        <w:rPr>
          <w:sz w:val="26"/>
          <w:szCs w:val="26"/>
        </w:rPr>
        <w:t>pakalpojumu neto apgrozījuma izmaiņām vai enerģijas cenu svārstībām pasaulē.</w:t>
      </w:r>
    </w:p>
    <w:p w14:paraId="160CA2C6" w14:textId="77777777" w:rsidR="00A11687" w:rsidRPr="00A11687" w:rsidRDefault="009124C6" w:rsidP="00EC6433">
      <w:pPr>
        <w:spacing w:before="60" w:after="60"/>
        <w:ind w:left="142" w:firstLine="142"/>
        <w:jc w:val="both"/>
        <w:rPr>
          <w:sz w:val="26"/>
          <w:szCs w:val="26"/>
        </w:rPr>
      </w:pPr>
      <w:r>
        <w:rPr>
          <w:sz w:val="26"/>
          <w:szCs w:val="26"/>
        </w:rPr>
        <w:t xml:space="preserve">Šī Ziņojuma 2.nodaļā ir detalizēti piedāvājumi šo mērķu sasniegšanai. </w:t>
      </w:r>
    </w:p>
    <w:p w14:paraId="7DCD3DD3" w14:textId="77777777" w:rsidR="00BB2C78" w:rsidRPr="00E84ABC" w:rsidRDefault="00BB2C78" w:rsidP="00BB2C78">
      <w:pPr>
        <w:pStyle w:val="ListParagraph"/>
        <w:spacing w:before="60" w:after="60"/>
        <w:ind w:left="502"/>
        <w:jc w:val="both"/>
        <w:rPr>
          <w:sz w:val="24"/>
        </w:rPr>
      </w:pPr>
    </w:p>
    <w:p w14:paraId="45C9B4D3" w14:textId="77777777" w:rsidR="00BA5890" w:rsidRPr="00AF170D" w:rsidRDefault="00BA5890" w:rsidP="00BB2C78">
      <w:pPr>
        <w:pStyle w:val="Heading1"/>
        <w:numPr>
          <w:ilvl w:val="0"/>
          <w:numId w:val="18"/>
        </w:numPr>
        <w:spacing w:before="60" w:after="60"/>
        <w:rPr>
          <w:sz w:val="28"/>
          <w:szCs w:val="28"/>
        </w:rPr>
      </w:pPr>
      <w:r w:rsidRPr="00AF170D">
        <w:rPr>
          <w:sz w:val="28"/>
          <w:szCs w:val="28"/>
        </w:rPr>
        <w:t xml:space="preserve">Eiropas Savienības tiesību aktos noteiktās </w:t>
      </w:r>
      <w:r w:rsidR="00E01B12" w:rsidRPr="00AF170D">
        <w:rPr>
          <w:sz w:val="28"/>
          <w:szCs w:val="28"/>
        </w:rPr>
        <w:t xml:space="preserve">budžeta neatkarības </w:t>
      </w:r>
      <w:r w:rsidRPr="00AF170D">
        <w:rPr>
          <w:sz w:val="28"/>
          <w:szCs w:val="28"/>
        </w:rPr>
        <w:t>prasības</w:t>
      </w:r>
      <w:r w:rsidR="00770CB3" w:rsidRPr="00AF170D">
        <w:rPr>
          <w:sz w:val="28"/>
          <w:szCs w:val="28"/>
        </w:rPr>
        <w:t xml:space="preserve"> </w:t>
      </w:r>
      <w:r w:rsidR="00BB2C78" w:rsidRPr="00AF170D">
        <w:rPr>
          <w:sz w:val="28"/>
          <w:szCs w:val="28"/>
        </w:rPr>
        <w:t>un citu Eiropas Savienības valstu prakse</w:t>
      </w:r>
    </w:p>
    <w:p w14:paraId="662ACF27" w14:textId="7599E5B3" w:rsidR="002A5E85" w:rsidRPr="00AF170D" w:rsidRDefault="00EE78C4" w:rsidP="005D6E02">
      <w:pPr>
        <w:spacing w:before="60" w:after="60"/>
        <w:ind w:firstLine="567"/>
        <w:jc w:val="both"/>
        <w:rPr>
          <w:sz w:val="26"/>
          <w:szCs w:val="26"/>
        </w:rPr>
      </w:pPr>
      <w:r w:rsidRPr="00AF170D">
        <w:rPr>
          <w:sz w:val="26"/>
          <w:szCs w:val="26"/>
        </w:rPr>
        <w:t>Iz</w:t>
      </w:r>
      <w:r w:rsidR="00BA5890" w:rsidRPr="00AF170D">
        <w:rPr>
          <w:sz w:val="26"/>
          <w:szCs w:val="26"/>
        </w:rPr>
        <w:t xml:space="preserve">vērtējot </w:t>
      </w:r>
      <w:r w:rsidR="00D839B2" w:rsidRPr="00AF170D">
        <w:rPr>
          <w:sz w:val="26"/>
          <w:szCs w:val="26"/>
        </w:rPr>
        <w:t>iespējamos Regulatora darbības fi</w:t>
      </w:r>
      <w:r w:rsidR="00BA5890" w:rsidRPr="00AF170D">
        <w:rPr>
          <w:sz w:val="26"/>
          <w:szCs w:val="26"/>
        </w:rPr>
        <w:t>nansēšanas modeļus, būtiska nozīme ir ne tikai attiecīgā finansēšanas modeļa atbilstībai nacionālajai tiesību sistēmai, bet arī tā atbilstība</w:t>
      </w:r>
      <w:r w:rsidR="005B5C4F" w:rsidRPr="00AF170D">
        <w:rPr>
          <w:sz w:val="26"/>
          <w:szCs w:val="26"/>
        </w:rPr>
        <w:t>i</w:t>
      </w:r>
      <w:r w:rsidR="00BA5890" w:rsidRPr="00AF170D">
        <w:rPr>
          <w:sz w:val="26"/>
          <w:szCs w:val="26"/>
        </w:rPr>
        <w:t xml:space="preserve"> Eiropas Savienības tiesību aktos noteiktaj</w:t>
      </w:r>
      <w:r w:rsidR="0003405F">
        <w:rPr>
          <w:sz w:val="26"/>
          <w:szCs w:val="26"/>
        </w:rPr>
        <w:t>ā</w:t>
      </w:r>
      <w:r w:rsidR="00BA5890" w:rsidRPr="00AF170D">
        <w:rPr>
          <w:sz w:val="26"/>
          <w:szCs w:val="26"/>
        </w:rPr>
        <w:t>m prasībām.</w:t>
      </w:r>
    </w:p>
    <w:p w14:paraId="1359F678" w14:textId="77777777" w:rsidR="002A5E85" w:rsidRPr="00AF170D" w:rsidRDefault="00BA5890" w:rsidP="005D6E02">
      <w:pPr>
        <w:spacing w:before="60" w:after="60"/>
        <w:ind w:firstLine="567"/>
        <w:jc w:val="both"/>
        <w:rPr>
          <w:sz w:val="26"/>
          <w:szCs w:val="26"/>
        </w:rPr>
      </w:pPr>
      <w:r w:rsidRPr="00AF170D">
        <w:rPr>
          <w:sz w:val="26"/>
          <w:szCs w:val="26"/>
        </w:rPr>
        <w:t xml:space="preserve">Tā, piemēram, </w:t>
      </w:r>
      <w:r w:rsidR="004D1475" w:rsidRPr="00AF170D">
        <w:rPr>
          <w:sz w:val="26"/>
          <w:szCs w:val="26"/>
        </w:rPr>
        <w:t xml:space="preserve">enerģētikas nozarē </w:t>
      </w:r>
      <w:r w:rsidRPr="00AF170D">
        <w:rPr>
          <w:sz w:val="26"/>
          <w:szCs w:val="26"/>
        </w:rPr>
        <w:t>Eiropas Parlamenta un Padomes direktīv</w:t>
      </w:r>
      <w:r w:rsidR="004D1475" w:rsidRPr="00AF170D">
        <w:rPr>
          <w:sz w:val="26"/>
          <w:szCs w:val="26"/>
        </w:rPr>
        <w:t>ā</w:t>
      </w:r>
      <w:r w:rsidRPr="00AF170D">
        <w:rPr>
          <w:sz w:val="26"/>
          <w:szCs w:val="26"/>
        </w:rPr>
        <w:t xml:space="preserve"> 2009/72/EK par kopīgiem noteikumiem attiecībā uz elektroenerģijas iekšējo tirgu un par Direktīvas 2003/54/EK atcelšanu</w:t>
      </w:r>
      <w:r w:rsidR="00D51D54" w:rsidRPr="00AF170D">
        <w:rPr>
          <w:sz w:val="26"/>
          <w:szCs w:val="26"/>
        </w:rPr>
        <w:t xml:space="preserve"> (turpmāk – Direktīva 2009/72/EK) un Eiropas Parlamenta un Padomes direktīv</w:t>
      </w:r>
      <w:r w:rsidR="004D1475" w:rsidRPr="00AF170D">
        <w:rPr>
          <w:sz w:val="26"/>
          <w:szCs w:val="26"/>
        </w:rPr>
        <w:t>ā</w:t>
      </w:r>
      <w:r w:rsidR="00D51D54" w:rsidRPr="00AF170D">
        <w:rPr>
          <w:sz w:val="26"/>
          <w:szCs w:val="26"/>
        </w:rPr>
        <w:t xml:space="preserve"> 2009/73/EK par kopīgiem noteikumiem attiecībā uz dabasgāzes iekšējo tirgu un par Direktīvas 2003/55/EK atcelšanu (turpmāk – Direktīva 2009/73/EK)</w:t>
      </w:r>
      <w:r w:rsidR="00800C7D" w:rsidRPr="00AF170D">
        <w:rPr>
          <w:sz w:val="26"/>
          <w:szCs w:val="26"/>
        </w:rPr>
        <w:t xml:space="preserve"> ir noteikts</w:t>
      </w:r>
      <w:r w:rsidR="00C177F6" w:rsidRPr="00AF170D">
        <w:rPr>
          <w:sz w:val="26"/>
          <w:szCs w:val="26"/>
        </w:rPr>
        <w:t>,</w:t>
      </w:r>
      <w:r w:rsidR="004F037F" w:rsidRPr="00AF170D">
        <w:rPr>
          <w:sz w:val="26"/>
          <w:szCs w:val="26"/>
        </w:rPr>
        <w:t xml:space="preserve"> </w:t>
      </w:r>
      <w:r w:rsidR="00800C7D" w:rsidRPr="00AF170D">
        <w:rPr>
          <w:sz w:val="26"/>
          <w:szCs w:val="26"/>
        </w:rPr>
        <w:t xml:space="preserve">ka, </w:t>
      </w:r>
      <w:r w:rsidR="00C177F6" w:rsidRPr="00AF170D">
        <w:rPr>
          <w:sz w:val="26"/>
          <w:szCs w:val="26"/>
        </w:rPr>
        <w:t>l</w:t>
      </w:r>
      <w:r w:rsidRPr="00AF170D">
        <w:rPr>
          <w:sz w:val="26"/>
          <w:szCs w:val="26"/>
        </w:rPr>
        <w:t>ai aizsargātu regulatīvās iestādes neatkarību, dalībvalstīm jo īpaši jānodrošina, ka regulatīvā iestāde var pieņemt lēmumus neatkarīgi no politiskām struktūrām un ka tai ir atsevišķi ikgadēji budžeta piešķīrumi un iespēja neatkarīgi īstenot piešķirto budžetu, kā arī to, ka tai ir atbilstīgi cilvēkresursi un finanšu resursi, lai veiktu savus pienākumus</w:t>
      </w:r>
      <w:r w:rsidR="00D51D54" w:rsidRPr="00AF170D">
        <w:rPr>
          <w:sz w:val="26"/>
          <w:szCs w:val="26"/>
        </w:rPr>
        <w:t>.</w:t>
      </w:r>
    </w:p>
    <w:p w14:paraId="7D511143" w14:textId="77777777" w:rsidR="002A5E85" w:rsidRPr="00AF170D" w:rsidRDefault="00D51D54" w:rsidP="005D6E02">
      <w:pPr>
        <w:spacing w:before="60" w:after="60"/>
        <w:ind w:firstLine="567"/>
        <w:jc w:val="both"/>
        <w:rPr>
          <w:sz w:val="26"/>
          <w:szCs w:val="26"/>
        </w:rPr>
      </w:pPr>
      <w:r w:rsidRPr="00AF170D">
        <w:rPr>
          <w:sz w:val="26"/>
          <w:szCs w:val="26"/>
        </w:rPr>
        <w:t>Vienlaicīgi gan Direktīva 2009/72/EK,</w:t>
      </w:r>
      <w:r w:rsidR="002A5E85" w:rsidRPr="00AF170D">
        <w:rPr>
          <w:sz w:val="26"/>
          <w:szCs w:val="26"/>
        </w:rPr>
        <w:t xml:space="preserve"> gan Direktīva 2009/73/EK noteic, ka n</w:t>
      </w:r>
      <w:r w:rsidRPr="00AF170D">
        <w:rPr>
          <w:sz w:val="26"/>
          <w:szCs w:val="26"/>
        </w:rPr>
        <w:t>oteikumi par regulatīvās iestādes neatkarību attiecībā uz piešķirtā budžeta īstenošanu būtu jāpiemēro saskaņā ar dalībvalstu no</w:t>
      </w:r>
      <w:r w:rsidR="002A5E85" w:rsidRPr="00AF170D">
        <w:rPr>
          <w:sz w:val="26"/>
          <w:szCs w:val="26"/>
        </w:rPr>
        <w:t xml:space="preserve">rmatīvajiem aktiem par budžetu, </w:t>
      </w:r>
      <w:r w:rsidRPr="00AF170D">
        <w:rPr>
          <w:sz w:val="26"/>
          <w:szCs w:val="26"/>
        </w:rPr>
        <w:t xml:space="preserve">vienlaikus veicinot </w:t>
      </w:r>
      <w:r w:rsidR="002A5E85" w:rsidRPr="00AF170D">
        <w:rPr>
          <w:sz w:val="26"/>
          <w:szCs w:val="26"/>
        </w:rPr>
        <w:t xml:space="preserve">Regulatora </w:t>
      </w:r>
      <w:r w:rsidRPr="00AF170D">
        <w:rPr>
          <w:sz w:val="26"/>
          <w:szCs w:val="26"/>
        </w:rPr>
        <w:t>neatkarību no jebkādām polit</w:t>
      </w:r>
      <w:r w:rsidR="002A5E85" w:rsidRPr="00AF170D">
        <w:rPr>
          <w:sz w:val="26"/>
          <w:szCs w:val="26"/>
        </w:rPr>
        <w:t>iskām vai ekonomiskām interesēm</w:t>
      </w:r>
      <w:r w:rsidRPr="00AF170D">
        <w:rPr>
          <w:sz w:val="26"/>
          <w:szCs w:val="26"/>
        </w:rPr>
        <w:t>.</w:t>
      </w:r>
    </w:p>
    <w:p w14:paraId="2A1035F8" w14:textId="77777777" w:rsidR="006D002B" w:rsidRPr="00AF170D" w:rsidRDefault="00652652" w:rsidP="005D6E02">
      <w:pPr>
        <w:spacing w:before="60" w:after="60"/>
        <w:ind w:firstLine="567"/>
        <w:jc w:val="both"/>
        <w:rPr>
          <w:sz w:val="26"/>
          <w:szCs w:val="26"/>
        </w:rPr>
      </w:pPr>
      <w:r w:rsidRPr="00AF170D">
        <w:rPr>
          <w:sz w:val="26"/>
          <w:szCs w:val="26"/>
        </w:rPr>
        <w:t>Arī e</w:t>
      </w:r>
      <w:r w:rsidR="00DD4749" w:rsidRPr="00AF170D">
        <w:rPr>
          <w:sz w:val="26"/>
          <w:szCs w:val="26"/>
        </w:rPr>
        <w:t xml:space="preserve">lektronisko sakaru nozarē Eiropas Parlamenta un Padomes Direktīva 2002/21/EK par kopējiem reglamentējošiem noteikumiem attiecībā uz elektronisko komunikāciju tīkliem un </w:t>
      </w:r>
      <w:r w:rsidRPr="00AF170D">
        <w:rPr>
          <w:sz w:val="26"/>
          <w:szCs w:val="26"/>
        </w:rPr>
        <w:t>pakalpojumiem un</w:t>
      </w:r>
      <w:r w:rsidR="00DD4749" w:rsidRPr="00AF170D">
        <w:rPr>
          <w:sz w:val="26"/>
          <w:szCs w:val="26"/>
        </w:rPr>
        <w:t xml:space="preserve"> Eiropas Parlamenta un Padomes Direktīva 2009/140/EK izvirza</w:t>
      </w:r>
      <w:r w:rsidR="00624E3A" w:rsidRPr="00AF170D">
        <w:rPr>
          <w:sz w:val="26"/>
          <w:szCs w:val="26"/>
        </w:rPr>
        <w:t xml:space="preserve"> </w:t>
      </w:r>
      <w:r w:rsidRPr="00AF170D">
        <w:rPr>
          <w:sz w:val="26"/>
          <w:szCs w:val="26"/>
        </w:rPr>
        <w:t>prasības</w:t>
      </w:r>
      <w:r w:rsidR="00624E3A" w:rsidRPr="00AF170D">
        <w:rPr>
          <w:sz w:val="26"/>
          <w:szCs w:val="26"/>
        </w:rPr>
        <w:t xml:space="preserve"> regulatīvo funkciju finansēšanas apmēram</w:t>
      </w:r>
      <w:r w:rsidR="002A5E85" w:rsidRPr="00AF170D">
        <w:rPr>
          <w:sz w:val="26"/>
          <w:szCs w:val="26"/>
        </w:rPr>
        <w:t xml:space="preserve">, </w:t>
      </w:r>
      <w:r w:rsidR="00624E3A" w:rsidRPr="00AF170D">
        <w:rPr>
          <w:sz w:val="26"/>
          <w:szCs w:val="26"/>
        </w:rPr>
        <w:t xml:space="preserve">t.i. tam jābūt pietiekamam, </w:t>
      </w:r>
      <w:r w:rsidRPr="00AF170D">
        <w:rPr>
          <w:sz w:val="26"/>
          <w:szCs w:val="26"/>
        </w:rPr>
        <w:t xml:space="preserve">lai </w:t>
      </w:r>
      <w:r w:rsidR="00624E3A" w:rsidRPr="00AF170D">
        <w:rPr>
          <w:sz w:val="26"/>
          <w:szCs w:val="26"/>
        </w:rPr>
        <w:t xml:space="preserve">Regulators </w:t>
      </w:r>
      <w:r w:rsidRPr="00AF170D">
        <w:rPr>
          <w:sz w:val="26"/>
          <w:szCs w:val="26"/>
        </w:rPr>
        <w:t>varētu nodrošināt kvalificēta</w:t>
      </w:r>
      <w:r w:rsidR="002A5E85" w:rsidRPr="00AF170D">
        <w:rPr>
          <w:sz w:val="26"/>
          <w:szCs w:val="26"/>
        </w:rPr>
        <w:t xml:space="preserve"> </w:t>
      </w:r>
      <w:r w:rsidRPr="00AF170D">
        <w:rPr>
          <w:sz w:val="26"/>
          <w:szCs w:val="26"/>
        </w:rPr>
        <w:t xml:space="preserve">personāla ar </w:t>
      </w:r>
      <w:r w:rsidR="00DD4749" w:rsidRPr="00AF170D">
        <w:rPr>
          <w:sz w:val="26"/>
          <w:szCs w:val="26"/>
        </w:rPr>
        <w:t>īpašām zināšanām</w:t>
      </w:r>
      <w:r w:rsidRPr="00AF170D">
        <w:rPr>
          <w:sz w:val="26"/>
          <w:szCs w:val="26"/>
        </w:rPr>
        <w:t xml:space="preserve"> piesaistīšan</w:t>
      </w:r>
      <w:r w:rsidR="00624E3A" w:rsidRPr="00AF170D">
        <w:rPr>
          <w:sz w:val="26"/>
          <w:szCs w:val="26"/>
        </w:rPr>
        <w:t xml:space="preserve">u un </w:t>
      </w:r>
      <w:r w:rsidR="002A5E85" w:rsidRPr="00AF170D">
        <w:rPr>
          <w:sz w:val="26"/>
          <w:szCs w:val="26"/>
        </w:rPr>
        <w:t xml:space="preserve">Regulatoram noteikto </w:t>
      </w:r>
      <w:r w:rsidR="00624E3A" w:rsidRPr="00AF170D">
        <w:rPr>
          <w:sz w:val="26"/>
          <w:szCs w:val="26"/>
        </w:rPr>
        <w:t>uzdevumu (funkciju) veikšanu.</w:t>
      </w:r>
    </w:p>
    <w:p w14:paraId="383189E9" w14:textId="0110AED4" w:rsidR="00AF170D" w:rsidRPr="00F936B5" w:rsidRDefault="00746722" w:rsidP="005D6E02">
      <w:pPr>
        <w:ind w:firstLine="567"/>
        <w:jc w:val="both"/>
        <w:rPr>
          <w:color w:val="auto"/>
          <w:sz w:val="24"/>
        </w:rPr>
      </w:pPr>
      <w:r w:rsidRPr="00AF170D">
        <w:rPr>
          <w:color w:val="auto"/>
          <w:sz w:val="26"/>
          <w:szCs w:val="26"/>
        </w:rPr>
        <w:t>R</w:t>
      </w:r>
      <w:r w:rsidR="00BB2C78" w:rsidRPr="00AF170D">
        <w:rPr>
          <w:color w:val="auto"/>
          <w:sz w:val="26"/>
          <w:szCs w:val="26"/>
        </w:rPr>
        <w:t xml:space="preserve">egulatoru finansējuma modeļi ir </w:t>
      </w:r>
      <w:r w:rsidR="00962C8D" w:rsidRPr="00AF170D">
        <w:rPr>
          <w:color w:val="auto"/>
          <w:sz w:val="26"/>
          <w:szCs w:val="26"/>
        </w:rPr>
        <w:t>dažādi</w:t>
      </w:r>
      <w:r w:rsidR="00BB2C78" w:rsidRPr="00AF170D">
        <w:rPr>
          <w:color w:val="auto"/>
          <w:sz w:val="26"/>
          <w:szCs w:val="26"/>
        </w:rPr>
        <w:t xml:space="preserve">. Lielākajā daļā valstu regulatori tiek finansēti no regulēto uzņēmumu nodevām u.c. maksājumiem. Dažās valstīs regulatori tiek pilnībā finansēti no valsts budžeta </w:t>
      </w:r>
      <w:r w:rsidR="00355E17" w:rsidRPr="00AF170D">
        <w:rPr>
          <w:color w:val="auto"/>
          <w:sz w:val="26"/>
          <w:szCs w:val="26"/>
        </w:rPr>
        <w:t xml:space="preserve">dotācijām </w:t>
      </w:r>
      <w:r w:rsidR="00BB2C78" w:rsidRPr="00AF170D">
        <w:rPr>
          <w:color w:val="auto"/>
          <w:sz w:val="26"/>
          <w:szCs w:val="26"/>
        </w:rPr>
        <w:t>vai izmantojot kombinēto finansējuma modeli.</w:t>
      </w:r>
    </w:p>
    <w:p w14:paraId="5F848643" w14:textId="77777777" w:rsidR="00AF170D" w:rsidRDefault="00AF170D" w:rsidP="00211510">
      <w:pPr>
        <w:pStyle w:val="ListParagraph"/>
        <w:ind w:left="2520"/>
        <w:jc w:val="right"/>
        <w:rPr>
          <w:b/>
          <w:color w:val="auto"/>
          <w:sz w:val="22"/>
          <w:szCs w:val="22"/>
        </w:rPr>
      </w:pPr>
    </w:p>
    <w:p w14:paraId="4399DF7F" w14:textId="6C2AC998" w:rsidR="001A1A08" w:rsidRPr="00833C0E" w:rsidRDefault="00211510" w:rsidP="001A1A08">
      <w:pPr>
        <w:pStyle w:val="ListParagraph"/>
        <w:ind w:left="2520"/>
        <w:jc w:val="right"/>
        <w:rPr>
          <w:color w:val="auto"/>
          <w:sz w:val="22"/>
          <w:szCs w:val="22"/>
        </w:rPr>
      </w:pPr>
      <w:r w:rsidRPr="00551716">
        <w:rPr>
          <w:b/>
          <w:color w:val="auto"/>
          <w:sz w:val="22"/>
          <w:szCs w:val="22"/>
        </w:rPr>
        <w:t>1.tabula.</w:t>
      </w:r>
      <w:r w:rsidRPr="00551716">
        <w:rPr>
          <w:color w:val="auto"/>
          <w:sz w:val="22"/>
          <w:szCs w:val="22"/>
        </w:rPr>
        <w:t xml:space="preserve"> </w:t>
      </w:r>
      <w:r w:rsidR="00C226B3" w:rsidRPr="00551716">
        <w:rPr>
          <w:i/>
          <w:color w:val="auto"/>
          <w:sz w:val="22"/>
          <w:szCs w:val="22"/>
        </w:rPr>
        <w:t xml:space="preserve">Regulatīvo </w:t>
      </w:r>
      <w:r w:rsidR="00EA33D8" w:rsidRPr="00551716">
        <w:rPr>
          <w:i/>
          <w:color w:val="auto"/>
          <w:sz w:val="22"/>
          <w:szCs w:val="22"/>
        </w:rPr>
        <w:t>iestāžu</w:t>
      </w:r>
      <w:r w:rsidR="00C226B3" w:rsidRPr="00551716">
        <w:rPr>
          <w:i/>
          <w:color w:val="auto"/>
          <w:sz w:val="22"/>
          <w:szCs w:val="22"/>
        </w:rPr>
        <w:t xml:space="preserve"> f</w:t>
      </w:r>
      <w:r w:rsidRPr="00551716">
        <w:rPr>
          <w:i/>
          <w:color w:val="auto"/>
          <w:sz w:val="22"/>
          <w:szCs w:val="22"/>
        </w:rPr>
        <w:t>inansējuma avoti</w:t>
      </w:r>
      <w:r w:rsidRPr="00551716">
        <w:rPr>
          <w:color w:val="auto"/>
          <w:sz w:val="22"/>
          <w:szCs w:val="22"/>
        </w:rPr>
        <w:t xml:space="preserve"> </w:t>
      </w:r>
    </w:p>
    <w:p w14:paraId="528F5274" w14:textId="77777777" w:rsidR="00737F81" w:rsidRPr="00737F81" w:rsidRDefault="00737F81" w:rsidP="00211510">
      <w:pPr>
        <w:pStyle w:val="ListParagraph"/>
        <w:ind w:left="2520"/>
        <w:jc w:val="right"/>
        <w:rPr>
          <w:color w:val="auto"/>
          <w:sz w:val="24"/>
          <w:szCs w:val="24"/>
        </w:rPr>
      </w:pPr>
    </w:p>
    <w:tbl>
      <w:tblPr>
        <w:tblW w:w="9111" w:type="dxa"/>
        <w:tblInd w:w="93" w:type="dxa"/>
        <w:tblLook w:val="0000" w:firstRow="0" w:lastRow="0" w:firstColumn="0" w:lastColumn="0" w:noHBand="0" w:noVBand="0"/>
      </w:tblPr>
      <w:tblGrid>
        <w:gridCol w:w="2310"/>
        <w:gridCol w:w="1403"/>
        <w:gridCol w:w="1534"/>
        <w:gridCol w:w="1581"/>
        <w:gridCol w:w="1579"/>
        <w:gridCol w:w="704"/>
      </w:tblGrid>
      <w:tr w:rsidR="00355E17" w:rsidRPr="00E84ABC" w14:paraId="21DC5BA0" w14:textId="77777777" w:rsidTr="00833C0E">
        <w:trPr>
          <w:trHeight w:val="255"/>
        </w:trPr>
        <w:tc>
          <w:tcPr>
            <w:tcW w:w="2310" w:type="dxa"/>
            <w:vMerge w:val="restart"/>
            <w:tcBorders>
              <w:top w:val="single" w:sz="4" w:space="0" w:color="auto"/>
              <w:left w:val="single" w:sz="4" w:space="0" w:color="auto"/>
              <w:bottom w:val="single" w:sz="4" w:space="0" w:color="000000"/>
              <w:right w:val="single" w:sz="4" w:space="0" w:color="auto"/>
            </w:tcBorders>
            <w:noWrap/>
            <w:vAlign w:val="bottom"/>
          </w:tcPr>
          <w:p w14:paraId="5F5B03CE" w14:textId="77777777" w:rsidR="00BB2C78" w:rsidRPr="00E84ABC" w:rsidRDefault="00BB2C78" w:rsidP="00BB2C78">
            <w:pPr>
              <w:jc w:val="center"/>
              <w:rPr>
                <w:bCs/>
                <w:color w:val="auto"/>
                <w:sz w:val="24"/>
              </w:rPr>
            </w:pPr>
            <w:r w:rsidRPr="00E84ABC">
              <w:rPr>
                <w:bCs/>
                <w:color w:val="auto"/>
                <w:sz w:val="24"/>
              </w:rPr>
              <w:t>Valsts</w:t>
            </w:r>
          </w:p>
        </w:tc>
        <w:tc>
          <w:tcPr>
            <w:tcW w:w="2937" w:type="dxa"/>
            <w:gridSpan w:val="2"/>
            <w:tcBorders>
              <w:top w:val="single" w:sz="4" w:space="0" w:color="auto"/>
              <w:left w:val="nil"/>
              <w:bottom w:val="single" w:sz="4" w:space="0" w:color="auto"/>
              <w:right w:val="single" w:sz="4" w:space="0" w:color="auto"/>
            </w:tcBorders>
            <w:noWrap/>
            <w:vAlign w:val="bottom"/>
          </w:tcPr>
          <w:p w14:paraId="41ADE39B" w14:textId="77777777" w:rsidR="00BB2C78" w:rsidRPr="00E84ABC" w:rsidRDefault="00BB2C78" w:rsidP="00BB2C78">
            <w:pPr>
              <w:jc w:val="center"/>
              <w:rPr>
                <w:bCs/>
                <w:color w:val="auto"/>
                <w:sz w:val="24"/>
              </w:rPr>
            </w:pPr>
            <w:r w:rsidRPr="00E84ABC">
              <w:rPr>
                <w:bCs/>
                <w:color w:val="auto"/>
                <w:sz w:val="24"/>
              </w:rPr>
              <w:t>Enerģētikas regulatoru finansē</w:t>
            </w:r>
          </w:p>
        </w:tc>
        <w:tc>
          <w:tcPr>
            <w:tcW w:w="3864" w:type="dxa"/>
            <w:gridSpan w:val="3"/>
            <w:tcBorders>
              <w:top w:val="single" w:sz="4" w:space="0" w:color="auto"/>
              <w:left w:val="nil"/>
              <w:bottom w:val="single" w:sz="4" w:space="0" w:color="auto"/>
              <w:right w:val="single" w:sz="4" w:space="0" w:color="auto"/>
            </w:tcBorders>
            <w:noWrap/>
            <w:vAlign w:val="bottom"/>
          </w:tcPr>
          <w:p w14:paraId="47018F1E" w14:textId="77777777" w:rsidR="00BB2C78" w:rsidRPr="00E84ABC" w:rsidRDefault="00BB2C78" w:rsidP="00BB2C78">
            <w:pPr>
              <w:jc w:val="center"/>
              <w:rPr>
                <w:bCs/>
                <w:color w:val="auto"/>
                <w:sz w:val="24"/>
              </w:rPr>
            </w:pPr>
            <w:r w:rsidRPr="00E84ABC">
              <w:rPr>
                <w:bCs/>
                <w:color w:val="auto"/>
                <w:sz w:val="24"/>
              </w:rPr>
              <w:t>Elektronisko sakaru regulatoru finansē</w:t>
            </w:r>
          </w:p>
        </w:tc>
      </w:tr>
      <w:tr w:rsidR="00355E17" w:rsidRPr="00E84ABC" w14:paraId="68E2AA59" w14:textId="77777777" w:rsidTr="00833C0E">
        <w:trPr>
          <w:trHeight w:val="255"/>
        </w:trPr>
        <w:tc>
          <w:tcPr>
            <w:tcW w:w="2310" w:type="dxa"/>
            <w:vMerge/>
            <w:tcBorders>
              <w:top w:val="single" w:sz="4" w:space="0" w:color="auto"/>
              <w:left w:val="single" w:sz="4" w:space="0" w:color="auto"/>
              <w:bottom w:val="single" w:sz="4" w:space="0" w:color="auto"/>
              <w:right w:val="single" w:sz="4" w:space="0" w:color="auto"/>
            </w:tcBorders>
            <w:vAlign w:val="center"/>
          </w:tcPr>
          <w:p w14:paraId="1DB3C7EB" w14:textId="77777777" w:rsidR="00BB2C78" w:rsidRPr="00E84ABC" w:rsidRDefault="00BB2C78" w:rsidP="00BB2C78">
            <w:pPr>
              <w:rPr>
                <w:bCs/>
                <w:color w:val="auto"/>
                <w:sz w:val="24"/>
              </w:rPr>
            </w:pPr>
          </w:p>
        </w:tc>
        <w:tc>
          <w:tcPr>
            <w:tcW w:w="1403" w:type="dxa"/>
            <w:tcBorders>
              <w:top w:val="nil"/>
              <w:left w:val="nil"/>
              <w:bottom w:val="single" w:sz="4" w:space="0" w:color="auto"/>
              <w:right w:val="single" w:sz="4" w:space="0" w:color="auto"/>
            </w:tcBorders>
            <w:noWrap/>
            <w:vAlign w:val="bottom"/>
          </w:tcPr>
          <w:p w14:paraId="15093E18" w14:textId="77777777" w:rsidR="00BB2C78" w:rsidRPr="00E84ABC" w:rsidRDefault="00E91874" w:rsidP="00BB2C78">
            <w:pPr>
              <w:jc w:val="center"/>
              <w:rPr>
                <w:color w:val="auto"/>
                <w:sz w:val="24"/>
              </w:rPr>
            </w:pPr>
            <w:r w:rsidRPr="00E84ABC">
              <w:rPr>
                <w:color w:val="auto"/>
                <w:sz w:val="24"/>
              </w:rPr>
              <w:t>valsts budžeta dotācija</w:t>
            </w:r>
          </w:p>
        </w:tc>
        <w:tc>
          <w:tcPr>
            <w:tcW w:w="1534" w:type="dxa"/>
            <w:tcBorders>
              <w:top w:val="nil"/>
              <w:left w:val="nil"/>
              <w:bottom w:val="single" w:sz="4" w:space="0" w:color="auto"/>
              <w:right w:val="single" w:sz="4" w:space="0" w:color="auto"/>
            </w:tcBorders>
            <w:noWrap/>
            <w:vAlign w:val="bottom"/>
          </w:tcPr>
          <w:p w14:paraId="1E9FC948" w14:textId="77777777" w:rsidR="00BB2C78" w:rsidRPr="00E84ABC" w:rsidRDefault="00BB2C78" w:rsidP="00BB2C78">
            <w:pPr>
              <w:jc w:val="center"/>
              <w:rPr>
                <w:color w:val="auto"/>
                <w:sz w:val="24"/>
              </w:rPr>
            </w:pPr>
            <w:r w:rsidRPr="00E84ABC">
              <w:rPr>
                <w:color w:val="auto"/>
                <w:sz w:val="24"/>
              </w:rPr>
              <w:t>tirgus dalībnieki</w:t>
            </w:r>
          </w:p>
        </w:tc>
        <w:tc>
          <w:tcPr>
            <w:tcW w:w="1581" w:type="dxa"/>
            <w:tcBorders>
              <w:top w:val="nil"/>
              <w:left w:val="nil"/>
              <w:bottom w:val="single" w:sz="4" w:space="0" w:color="auto"/>
              <w:right w:val="single" w:sz="4" w:space="0" w:color="auto"/>
            </w:tcBorders>
            <w:noWrap/>
            <w:vAlign w:val="bottom"/>
          </w:tcPr>
          <w:p w14:paraId="72F98939" w14:textId="77777777" w:rsidR="00BB2C78" w:rsidRPr="00E84ABC" w:rsidRDefault="00E91874" w:rsidP="00BB2C78">
            <w:pPr>
              <w:jc w:val="center"/>
              <w:rPr>
                <w:color w:val="auto"/>
                <w:sz w:val="24"/>
              </w:rPr>
            </w:pPr>
            <w:r w:rsidRPr="00E84ABC">
              <w:rPr>
                <w:color w:val="auto"/>
                <w:sz w:val="24"/>
              </w:rPr>
              <w:t>valsts budžeta dotācija</w:t>
            </w:r>
          </w:p>
        </w:tc>
        <w:tc>
          <w:tcPr>
            <w:tcW w:w="1579" w:type="dxa"/>
            <w:tcBorders>
              <w:top w:val="nil"/>
              <w:left w:val="nil"/>
              <w:bottom w:val="single" w:sz="4" w:space="0" w:color="auto"/>
              <w:right w:val="single" w:sz="4" w:space="0" w:color="auto"/>
            </w:tcBorders>
            <w:noWrap/>
            <w:vAlign w:val="bottom"/>
          </w:tcPr>
          <w:p w14:paraId="6A124724" w14:textId="77777777" w:rsidR="00BB2C78" w:rsidRPr="00E84ABC" w:rsidRDefault="00BB2C78" w:rsidP="00BB2C78">
            <w:pPr>
              <w:jc w:val="center"/>
              <w:rPr>
                <w:color w:val="auto"/>
                <w:sz w:val="24"/>
              </w:rPr>
            </w:pPr>
            <w:r w:rsidRPr="00E84ABC">
              <w:rPr>
                <w:color w:val="auto"/>
                <w:sz w:val="24"/>
              </w:rPr>
              <w:t>tirgus dalībnieki</w:t>
            </w:r>
          </w:p>
        </w:tc>
        <w:tc>
          <w:tcPr>
            <w:tcW w:w="704" w:type="dxa"/>
            <w:tcBorders>
              <w:top w:val="nil"/>
              <w:left w:val="nil"/>
              <w:bottom w:val="single" w:sz="4" w:space="0" w:color="auto"/>
              <w:right w:val="single" w:sz="4" w:space="0" w:color="auto"/>
            </w:tcBorders>
            <w:noWrap/>
            <w:vAlign w:val="bottom"/>
          </w:tcPr>
          <w:p w14:paraId="5A401E99" w14:textId="77777777" w:rsidR="00BB2C78" w:rsidRPr="00E84ABC" w:rsidRDefault="00BB2C78" w:rsidP="00BB2C78">
            <w:pPr>
              <w:jc w:val="center"/>
              <w:rPr>
                <w:color w:val="auto"/>
                <w:sz w:val="24"/>
              </w:rPr>
            </w:pPr>
            <w:r w:rsidRPr="00E84ABC">
              <w:rPr>
                <w:color w:val="auto"/>
                <w:sz w:val="24"/>
              </w:rPr>
              <w:t>citi*</w:t>
            </w:r>
          </w:p>
        </w:tc>
      </w:tr>
      <w:tr w:rsidR="00355E17" w:rsidRPr="00E84ABC" w14:paraId="4116DD33" w14:textId="77777777" w:rsidTr="00833C0E">
        <w:trPr>
          <w:trHeight w:val="255"/>
        </w:trPr>
        <w:tc>
          <w:tcPr>
            <w:tcW w:w="2310" w:type="dxa"/>
            <w:tcBorders>
              <w:top w:val="single" w:sz="4" w:space="0" w:color="auto"/>
              <w:left w:val="single" w:sz="4" w:space="0" w:color="auto"/>
              <w:bottom w:val="single" w:sz="4" w:space="0" w:color="auto"/>
              <w:right w:val="single" w:sz="4" w:space="0" w:color="auto"/>
            </w:tcBorders>
            <w:noWrap/>
            <w:vAlign w:val="bottom"/>
          </w:tcPr>
          <w:p w14:paraId="5AADFF35" w14:textId="77777777" w:rsidR="00BB2C78" w:rsidRPr="00E84ABC" w:rsidRDefault="00BB2C78" w:rsidP="00BB2C78">
            <w:pPr>
              <w:jc w:val="center"/>
              <w:rPr>
                <w:color w:val="auto"/>
                <w:sz w:val="24"/>
              </w:rPr>
            </w:pPr>
            <w:r w:rsidRPr="00E84ABC">
              <w:rPr>
                <w:color w:val="auto"/>
                <w:sz w:val="24"/>
              </w:rPr>
              <w:t>Austrija</w:t>
            </w:r>
          </w:p>
        </w:tc>
        <w:tc>
          <w:tcPr>
            <w:tcW w:w="1403" w:type="dxa"/>
            <w:tcBorders>
              <w:top w:val="single" w:sz="4" w:space="0" w:color="auto"/>
              <w:left w:val="nil"/>
              <w:bottom w:val="single" w:sz="4" w:space="0" w:color="auto"/>
              <w:right w:val="single" w:sz="4" w:space="0" w:color="auto"/>
            </w:tcBorders>
            <w:noWrap/>
            <w:vAlign w:val="bottom"/>
          </w:tcPr>
          <w:p w14:paraId="60247D27" w14:textId="77777777" w:rsidR="00BB2C78" w:rsidRPr="00E84ABC" w:rsidRDefault="00BB2C78" w:rsidP="00BB2C78">
            <w:pPr>
              <w:jc w:val="center"/>
              <w:rPr>
                <w:color w:val="auto"/>
                <w:sz w:val="24"/>
              </w:rPr>
            </w:pPr>
            <w:r w:rsidRPr="00E84ABC">
              <w:rPr>
                <w:color w:val="auto"/>
                <w:sz w:val="24"/>
              </w:rPr>
              <w:t>-</w:t>
            </w:r>
          </w:p>
        </w:tc>
        <w:tc>
          <w:tcPr>
            <w:tcW w:w="1534" w:type="dxa"/>
            <w:tcBorders>
              <w:top w:val="single" w:sz="4" w:space="0" w:color="auto"/>
              <w:left w:val="nil"/>
              <w:bottom w:val="single" w:sz="4" w:space="0" w:color="auto"/>
              <w:right w:val="single" w:sz="4" w:space="0" w:color="auto"/>
            </w:tcBorders>
            <w:noWrap/>
            <w:vAlign w:val="bottom"/>
          </w:tcPr>
          <w:p w14:paraId="72E22665"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68E7D9BD" w14:textId="77777777" w:rsidR="00BB2C78" w:rsidRPr="00E84ABC" w:rsidRDefault="00BB2C78" w:rsidP="00BB2C78">
            <w:pPr>
              <w:jc w:val="center"/>
              <w:rPr>
                <w:color w:val="auto"/>
                <w:sz w:val="24"/>
              </w:rPr>
            </w:pPr>
            <w:r w:rsidRPr="00E84ABC">
              <w:rPr>
                <w:color w:val="auto"/>
                <w:sz w:val="24"/>
              </w:rPr>
              <w:t>75%</w:t>
            </w:r>
          </w:p>
        </w:tc>
        <w:tc>
          <w:tcPr>
            <w:tcW w:w="1579" w:type="dxa"/>
            <w:tcBorders>
              <w:top w:val="single" w:sz="4" w:space="0" w:color="auto"/>
              <w:left w:val="nil"/>
              <w:bottom w:val="single" w:sz="4" w:space="0" w:color="auto"/>
              <w:right w:val="single" w:sz="4" w:space="0" w:color="auto"/>
            </w:tcBorders>
            <w:noWrap/>
            <w:vAlign w:val="bottom"/>
          </w:tcPr>
          <w:p w14:paraId="21991AFA" w14:textId="77777777" w:rsidR="00BB2C78" w:rsidRPr="00E84ABC" w:rsidRDefault="00BB2C78" w:rsidP="00BB2C78">
            <w:pPr>
              <w:jc w:val="center"/>
              <w:rPr>
                <w:color w:val="auto"/>
                <w:sz w:val="24"/>
              </w:rPr>
            </w:pPr>
            <w:r w:rsidRPr="00E84ABC">
              <w:rPr>
                <w:color w:val="auto"/>
                <w:sz w:val="24"/>
              </w:rPr>
              <w:t>25%</w:t>
            </w:r>
          </w:p>
        </w:tc>
        <w:tc>
          <w:tcPr>
            <w:tcW w:w="704" w:type="dxa"/>
            <w:tcBorders>
              <w:top w:val="single" w:sz="4" w:space="0" w:color="auto"/>
              <w:left w:val="nil"/>
              <w:bottom w:val="single" w:sz="4" w:space="0" w:color="auto"/>
              <w:right w:val="single" w:sz="4" w:space="0" w:color="auto"/>
            </w:tcBorders>
            <w:noWrap/>
            <w:vAlign w:val="bottom"/>
          </w:tcPr>
          <w:p w14:paraId="09ACB134" w14:textId="77777777" w:rsidR="00BB2C78" w:rsidRPr="00E84ABC" w:rsidRDefault="00BB2C78" w:rsidP="00BB2C78">
            <w:pPr>
              <w:jc w:val="center"/>
              <w:rPr>
                <w:color w:val="auto"/>
                <w:sz w:val="24"/>
              </w:rPr>
            </w:pPr>
            <w:r w:rsidRPr="00E84ABC">
              <w:rPr>
                <w:color w:val="auto"/>
                <w:sz w:val="24"/>
              </w:rPr>
              <w:t>-</w:t>
            </w:r>
          </w:p>
        </w:tc>
      </w:tr>
      <w:tr w:rsidR="00355E17" w:rsidRPr="00E84ABC" w14:paraId="4295BE1A"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2530C80B" w14:textId="77777777" w:rsidR="00BB2C78" w:rsidRPr="00E84ABC" w:rsidRDefault="00BB2C78" w:rsidP="00BB2C78">
            <w:pPr>
              <w:jc w:val="center"/>
              <w:rPr>
                <w:color w:val="auto"/>
                <w:sz w:val="24"/>
              </w:rPr>
            </w:pPr>
            <w:r w:rsidRPr="00E84ABC">
              <w:rPr>
                <w:color w:val="auto"/>
                <w:sz w:val="24"/>
              </w:rPr>
              <w:t>Beļģija</w:t>
            </w:r>
          </w:p>
        </w:tc>
        <w:tc>
          <w:tcPr>
            <w:tcW w:w="1403" w:type="dxa"/>
            <w:tcBorders>
              <w:top w:val="nil"/>
              <w:left w:val="nil"/>
              <w:bottom w:val="single" w:sz="4" w:space="0" w:color="auto"/>
              <w:right w:val="single" w:sz="4" w:space="0" w:color="auto"/>
            </w:tcBorders>
            <w:noWrap/>
            <w:vAlign w:val="bottom"/>
          </w:tcPr>
          <w:p w14:paraId="5B7711A8"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01ED34B3"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040B6244"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43C576C3"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096A002F" w14:textId="77777777" w:rsidR="00BB2C78" w:rsidRPr="00E84ABC" w:rsidRDefault="00BB2C78" w:rsidP="00BB2C78">
            <w:pPr>
              <w:jc w:val="center"/>
              <w:rPr>
                <w:color w:val="auto"/>
                <w:sz w:val="24"/>
              </w:rPr>
            </w:pPr>
            <w:r w:rsidRPr="00E84ABC">
              <w:rPr>
                <w:color w:val="auto"/>
                <w:sz w:val="24"/>
              </w:rPr>
              <w:t>-</w:t>
            </w:r>
          </w:p>
        </w:tc>
      </w:tr>
      <w:tr w:rsidR="00355E17" w:rsidRPr="00E84ABC" w14:paraId="073D8DB5"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05AAB9AD" w14:textId="77777777" w:rsidR="00BB2C78" w:rsidRPr="00E84ABC" w:rsidRDefault="00BB2C78" w:rsidP="00BB2C78">
            <w:pPr>
              <w:jc w:val="center"/>
              <w:rPr>
                <w:color w:val="auto"/>
                <w:sz w:val="24"/>
              </w:rPr>
            </w:pPr>
            <w:r w:rsidRPr="00E84ABC">
              <w:rPr>
                <w:color w:val="auto"/>
                <w:sz w:val="24"/>
              </w:rPr>
              <w:lastRenderedPageBreak/>
              <w:t>Bulgārija</w:t>
            </w:r>
          </w:p>
        </w:tc>
        <w:tc>
          <w:tcPr>
            <w:tcW w:w="1403" w:type="dxa"/>
            <w:tcBorders>
              <w:top w:val="nil"/>
              <w:left w:val="nil"/>
              <w:bottom w:val="single" w:sz="4" w:space="0" w:color="auto"/>
              <w:right w:val="single" w:sz="4" w:space="0" w:color="auto"/>
            </w:tcBorders>
            <w:noWrap/>
            <w:vAlign w:val="bottom"/>
          </w:tcPr>
          <w:p w14:paraId="01A1C73E"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36653B23"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649A8E99" w14:textId="77777777" w:rsidR="00BB2C78" w:rsidRPr="00E84ABC" w:rsidRDefault="00BB2C78" w:rsidP="00BB2C78">
            <w:pPr>
              <w:jc w:val="center"/>
              <w:rPr>
                <w:color w:val="auto"/>
                <w:sz w:val="24"/>
              </w:rPr>
            </w:pPr>
            <w:r w:rsidRPr="00E84ABC">
              <w:rPr>
                <w:color w:val="auto"/>
                <w:sz w:val="24"/>
              </w:rPr>
              <w:t> </w:t>
            </w:r>
          </w:p>
        </w:tc>
        <w:tc>
          <w:tcPr>
            <w:tcW w:w="1579" w:type="dxa"/>
            <w:tcBorders>
              <w:top w:val="nil"/>
              <w:left w:val="nil"/>
              <w:bottom w:val="single" w:sz="4" w:space="0" w:color="auto"/>
              <w:right w:val="single" w:sz="4" w:space="0" w:color="auto"/>
            </w:tcBorders>
            <w:noWrap/>
            <w:vAlign w:val="bottom"/>
          </w:tcPr>
          <w:p w14:paraId="185D6391"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51C17F4D" w14:textId="77777777" w:rsidR="00BB2C78" w:rsidRPr="00E84ABC" w:rsidRDefault="00BB2C78" w:rsidP="00BB2C78">
            <w:pPr>
              <w:jc w:val="center"/>
              <w:rPr>
                <w:color w:val="auto"/>
                <w:sz w:val="24"/>
              </w:rPr>
            </w:pPr>
            <w:r w:rsidRPr="00E84ABC">
              <w:rPr>
                <w:color w:val="auto"/>
                <w:sz w:val="24"/>
              </w:rPr>
              <w:t> </w:t>
            </w:r>
          </w:p>
        </w:tc>
      </w:tr>
      <w:tr w:rsidR="00355E17" w:rsidRPr="00E84ABC" w14:paraId="203E5123"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5F721F56" w14:textId="77777777" w:rsidR="00BB2C78" w:rsidRPr="00E84ABC" w:rsidRDefault="00BB2C78" w:rsidP="00BB2C78">
            <w:pPr>
              <w:jc w:val="center"/>
              <w:rPr>
                <w:color w:val="auto"/>
                <w:sz w:val="24"/>
              </w:rPr>
            </w:pPr>
            <w:r w:rsidRPr="00E84ABC">
              <w:rPr>
                <w:color w:val="auto"/>
                <w:sz w:val="24"/>
              </w:rPr>
              <w:t>Čehija</w:t>
            </w:r>
          </w:p>
        </w:tc>
        <w:tc>
          <w:tcPr>
            <w:tcW w:w="1403" w:type="dxa"/>
            <w:tcBorders>
              <w:top w:val="nil"/>
              <w:left w:val="nil"/>
              <w:bottom w:val="single" w:sz="4" w:space="0" w:color="auto"/>
              <w:right w:val="single" w:sz="4" w:space="0" w:color="auto"/>
            </w:tcBorders>
            <w:noWrap/>
            <w:vAlign w:val="bottom"/>
          </w:tcPr>
          <w:p w14:paraId="38290421"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18903052"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6E9A7475" w14:textId="77777777" w:rsidR="00BB2C78" w:rsidRPr="00E84ABC" w:rsidRDefault="00BB2C78" w:rsidP="00BB2C78">
            <w:pPr>
              <w:jc w:val="center"/>
              <w:rPr>
                <w:color w:val="auto"/>
                <w:sz w:val="24"/>
              </w:rPr>
            </w:pPr>
            <w:r w:rsidRPr="00E84ABC">
              <w:rPr>
                <w:color w:val="auto"/>
                <w:sz w:val="24"/>
              </w:rPr>
              <w:t>100%</w:t>
            </w:r>
          </w:p>
        </w:tc>
        <w:tc>
          <w:tcPr>
            <w:tcW w:w="1579" w:type="dxa"/>
            <w:tcBorders>
              <w:top w:val="nil"/>
              <w:left w:val="nil"/>
              <w:bottom w:val="single" w:sz="4" w:space="0" w:color="auto"/>
              <w:right w:val="single" w:sz="4" w:space="0" w:color="auto"/>
            </w:tcBorders>
            <w:noWrap/>
            <w:vAlign w:val="bottom"/>
          </w:tcPr>
          <w:p w14:paraId="36728EF6" w14:textId="77777777" w:rsidR="00BB2C78" w:rsidRPr="00E84ABC" w:rsidRDefault="00BB2C78" w:rsidP="00BB2C78">
            <w:pPr>
              <w:jc w:val="center"/>
              <w:rPr>
                <w:color w:val="auto"/>
                <w:sz w:val="24"/>
              </w:rPr>
            </w:pPr>
            <w:r w:rsidRPr="00E84ABC">
              <w:rPr>
                <w:color w:val="auto"/>
                <w:sz w:val="24"/>
              </w:rPr>
              <w:t>-</w:t>
            </w:r>
          </w:p>
        </w:tc>
        <w:tc>
          <w:tcPr>
            <w:tcW w:w="704" w:type="dxa"/>
            <w:tcBorders>
              <w:top w:val="nil"/>
              <w:left w:val="nil"/>
              <w:bottom w:val="single" w:sz="4" w:space="0" w:color="auto"/>
              <w:right w:val="single" w:sz="4" w:space="0" w:color="auto"/>
            </w:tcBorders>
            <w:noWrap/>
            <w:vAlign w:val="bottom"/>
          </w:tcPr>
          <w:p w14:paraId="63E340EB" w14:textId="77777777" w:rsidR="00BB2C78" w:rsidRPr="00E84ABC" w:rsidRDefault="00BB2C78" w:rsidP="00BB2C78">
            <w:pPr>
              <w:jc w:val="center"/>
              <w:rPr>
                <w:color w:val="auto"/>
                <w:sz w:val="24"/>
              </w:rPr>
            </w:pPr>
            <w:r w:rsidRPr="00E84ABC">
              <w:rPr>
                <w:color w:val="auto"/>
                <w:sz w:val="24"/>
              </w:rPr>
              <w:t>-</w:t>
            </w:r>
          </w:p>
        </w:tc>
      </w:tr>
      <w:tr w:rsidR="00355E17" w:rsidRPr="00E84ABC" w14:paraId="300CD3EA"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11BB766C" w14:textId="77777777" w:rsidR="00BB2C78" w:rsidRPr="00E84ABC" w:rsidRDefault="00BB2C78" w:rsidP="00BB2C78">
            <w:pPr>
              <w:jc w:val="center"/>
              <w:rPr>
                <w:color w:val="auto"/>
                <w:sz w:val="24"/>
              </w:rPr>
            </w:pPr>
            <w:r w:rsidRPr="00E84ABC">
              <w:rPr>
                <w:color w:val="auto"/>
                <w:sz w:val="24"/>
              </w:rPr>
              <w:t>Dānija</w:t>
            </w:r>
          </w:p>
        </w:tc>
        <w:tc>
          <w:tcPr>
            <w:tcW w:w="1403" w:type="dxa"/>
            <w:tcBorders>
              <w:top w:val="nil"/>
              <w:left w:val="nil"/>
              <w:bottom w:val="single" w:sz="4" w:space="0" w:color="auto"/>
              <w:right w:val="single" w:sz="4" w:space="0" w:color="auto"/>
            </w:tcBorders>
            <w:noWrap/>
            <w:vAlign w:val="bottom"/>
          </w:tcPr>
          <w:p w14:paraId="5FBAC461"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1B0CB174"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51007E6A" w14:textId="77777777" w:rsidR="00BB2C78" w:rsidRPr="00E84ABC" w:rsidRDefault="00BB2C78" w:rsidP="00BB2C78">
            <w:pPr>
              <w:jc w:val="center"/>
              <w:rPr>
                <w:color w:val="auto"/>
                <w:sz w:val="24"/>
              </w:rPr>
            </w:pPr>
            <w:r w:rsidRPr="00E84ABC">
              <w:rPr>
                <w:color w:val="auto"/>
                <w:sz w:val="24"/>
              </w:rPr>
              <w:t>82%</w:t>
            </w:r>
          </w:p>
        </w:tc>
        <w:tc>
          <w:tcPr>
            <w:tcW w:w="1579" w:type="dxa"/>
            <w:tcBorders>
              <w:top w:val="nil"/>
              <w:left w:val="nil"/>
              <w:bottom w:val="single" w:sz="4" w:space="0" w:color="auto"/>
              <w:right w:val="single" w:sz="4" w:space="0" w:color="auto"/>
            </w:tcBorders>
            <w:noWrap/>
            <w:vAlign w:val="bottom"/>
          </w:tcPr>
          <w:p w14:paraId="1AFE8918" w14:textId="77777777" w:rsidR="00BB2C78" w:rsidRPr="00E84ABC" w:rsidRDefault="00BB2C78" w:rsidP="00BB2C78">
            <w:pPr>
              <w:jc w:val="center"/>
              <w:rPr>
                <w:color w:val="auto"/>
                <w:sz w:val="24"/>
              </w:rPr>
            </w:pPr>
            <w:r w:rsidRPr="00E84ABC">
              <w:rPr>
                <w:color w:val="auto"/>
                <w:sz w:val="24"/>
              </w:rPr>
              <w:t>11%</w:t>
            </w:r>
          </w:p>
        </w:tc>
        <w:tc>
          <w:tcPr>
            <w:tcW w:w="704" w:type="dxa"/>
            <w:tcBorders>
              <w:top w:val="nil"/>
              <w:left w:val="nil"/>
              <w:bottom w:val="single" w:sz="4" w:space="0" w:color="auto"/>
              <w:right w:val="single" w:sz="4" w:space="0" w:color="auto"/>
            </w:tcBorders>
            <w:noWrap/>
            <w:vAlign w:val="bottom"/>
          </w:tcPr>
          <w:p w14:paraId="31DE165E" w14:textId="77777777" w:rsidR="00BB2C78" w:rsidRPr="00E84ABC" w:rsidRDefault="00BB2C78" w:rsidP="00BB2C78">
            <w:pPr>
              <w:jc w:val="center"/>
              <w:rPr>
                <w:color w:val="auto"/>
                <w:sz w:val="24"/>
              </w:rPr>
            </w:pPr>
            <w:r w:rsidRPr="00E84ABC">
              <w:rPr>
                <w:color w:val="auto"/>
                <w:sz w:val="24"/>
              </w:rPr>
              <w:t>7%</w:t>
            </w:r>
          </w:p>
        </w:tc>
      </w:tr>
      <w:tr w:rsidR="00355E17" w:rsidRPr="00E84ABC" w14:paraId="4942A34B" w14:textId="77777777" w:rsidTr="00833C0E">
        <w:trPr>
          <w:trHeight w:val="255"/>
        </w:trPr>
        <w:tc>
          <w:tcPr>
            <w:tcW w:w="2310" w:type="dxa"/>
            <w:tcBorders>
              <w:top w:val="single" w:sz="4" w:space="0" w:color="auto"/>
              <w:left w:val="single" w:sz="4" w:space="0" w:color="auto"/>
              <w:bottom w:val="single" w:sz="4" w:space="0" w:color="auto"/>
              <w:right w:val="single" w:sz="4" w:space="0" w:color="auto"/>
            </w:tcBorders>
            <w:noWrap/>
            <w:vAlign w:val="bottom"/>
          </w:tcPr>
          <w:p w14:paraId="772A8196" w14:textId="77777777" w:rsidR="00BB2C78" w:rsidRPr="00E84ABC" w:rsidRDefault="00BB2C78" w:rsidP="00BB2C78">
            <w:pPr>
              <w:jc w:val="center"/>
              <w:rPr>
                <w:color w:val="auto"/>
                <w:sz w:val="24"/>
              </w:rPr>
            </w:pPr>
            <w:r w:rsidRPr="00E84ABC">
              <w:rPr>
                <w:color w:val="auto"/>
                <w:sz w:val="24"/>
              </w:rPr>
              <w:t>Francija</w:t>
            </w:r>
          </w:p>
        </w:tc>
        <w:tc>
          <w:tcPr>
            <w:tcW w:w="1403" w:type="dxa"/>
            <w:tcBorders>
              <w:top w:val="single" w:sz="4" w:space="0" w:color="auto"/>
              <w:left w:val="nil"/>
              <w:bottom w:val="single" w:sz="4" w:space="0" w:color="auto"/>
              <w:right w:val="single" w:sz="4" w:space="0" w:color="auto"/>
            </w:tcBorders>
            <w:noWrap/>
            <w:vAlign w:val="bottom"/>
          </w:tcPr>
          <w:p w14:paraId="34BA3F92" w14:textId="77777777" w:rsidR="00BB2C78" w:rsidRPr="00E84ABC" w:rsidRDefault="00BB2C78" w:rsidP="00BB2C78">
            <w:pPr>
              <w:jc w:val="center"/>
              <w:rPr>
                <w:color w:val="auto"/>
                <w:sz w:val="24"/>
              </w:rPr>
            </w:pPr>
            <w:r w:rsidRPr="00E84ABC">
              <w:rPr>
                <w:color w:val="auto"/>
                <w:sz w:val="24"/>
              </w:rPr>
              <w:t>100%</w:t>
            </w:r>
          </w:p>
        </w:tc>
        <w:tc>
          <w:tcPr>
            <w:tcW w:w="1534" w:type="dxa"/>
            <w:tcBorders>
              <w:top w:val="single" w:sz="4" w:space="0" w:color="auto"/>
              <w:left w:val="nil"/>
              <w:bottom w:val="single" w:sz="4" w:space="0" w:color="auto"/>
              <w:right w:val="single" w:sz="4" w:space="0" w:color="auto"/>
            </w:tcBorders>
            <w:noWrap/>
            <w:vAlign w:val="bottom"/>
          </w:tcPr>
          <w:p w14:paraId="6825830D" w14:textId="77777777" w:rsidR="00BB2C78" w:rsidRPr="00E84ABC" w:rsidRDefault="00BB2C78" w:rsidP="00BB2C78">
            <w:pPr>
              <w:jc w:val="center"/>
              <w:rPr>
                <w:color w:val="auto"/>
                <w:sz w:val="24"/>
              </w:rPr>
            </w:pPr>
            <w:r w:rsidRPr="00E84ABC">
              <w:rPr>
                <w:color w:val="auto"/>
                <w:sz w:val="24"/>
              </w:rPr>
              <w:t>-</w:t>
            </w:r>
          </w:p>
        </w:tc>
        <w:tc>
          <w:tcPr>
            <w:tcW w:w="1581" w:type="dxa"/>
            <w:tcBorders>
              <w:top w:val="single" w:sz="4" w:space="0" w:color="auto"/>
              <w:left w:val="nil"/>
              <w:bottom w:val="single" w:sz="4" w:space="0" w:color="auto"/>
              <w:right w:val="single" w:sz="4" w:space="0" w:color="auto"/>
            </w:tcBorders>
            <w:noWrap/>
            <w:vAlign w:val="bottom"/>
          </w:tcPr>
          <w:p w14:paraId="022180B6" w14:textId="77777777" w:rsidR="00BB2C78" w:rsidRPr="00E84ABC" w:rsidRDefault="00BB2C78" w:rsidP="00BB2C78">
            <w:pPr>
              <w:jc w:val="center"/>
              <w:rPr>
                <w:color w:val="auto"/>
                <w:sz w:val="24"/>
              </w:rPr>
            </w:pPr>
            <w:r w:rsidRPr="00E84ABC">
              <w:rPr>
                <w:color w:val="auto"/>
                <w:sz w:val="24"/>
              </w:rPr>
              <w:t>100%</w:t>
            </w:r>
          </w:p>
        </w:tc>
        <w:tc>
          <w:tcPr>
            <w:tcW w:w="1579" w:type="dxa"/>
            <w:tcBorders>
              <w:top w:val="single" w:sz="4" w:space="0" w:color="auto"/>
              <w:left w:val="nil"/>
              <w:bottom w:val="single" w:sz="4" w:space="0" w:color="auto"/>
              <w:right w:val="single" w:sz="4" w:space="0" w:color="auto"/>
            </w:tcBorders>
            <w:noWrap/>
            <w:vAlign w:val="bottom"/>
          </w:tcPr>
          <w:p w14:paraId="5A538AAD" w14:textId="77777777" w:rsidR="00BB2C78" w:rsidRPr="00E84ABC" w:rsidRDefault="00BB2C78" w:rsidP="00BB2C78">
            <w:pPr>
              <w:jc w:val="center"/>
              <w:rPr>
                <w:color w:val="auto"/>
                <w:sz w:val="24"/>
              </w:rPr>
            </w:pPr>
            <w:r w:rsidRPr="00E84ABC">
              <w:rPr>
                <w:color w:val="auto"/>
                <w:sz w:val="24"/>
              </w:rPr>
              <w:t> </w:t>
            </w:r>
          </w:p>
        </w:tc>
        <w:tc>
          <w:tcPr>
            <w:tcW w:w="704" w:type="dxa"/>
            <w:tcBorders>
              <w:top w:val="single" w:sz="4" w:space="0" w:color="auto"/>
              <w:left w:val="nil"/>
              <w:bottom w:val="single" w:sz="4" w:space="0" w:color="auto"/>
              <w:right w:val="single" w:sz="4" w:space="0" w:color="auto"/>
            </w:tcBorders>
            <w:noWrap/>
            <w:vAlign w:val="bottom"/>
          </w:tcPr>
          <w:p w14:paraId="51FBF068" w14:textId="77777777" w:rsidR="00BB2C78" w:rsidRPr="00E84ABC" w:rsidRDefault="00BB2C78" w:rsidP="00BB2C78">
            <w:pPr>
              <w:jc w:val="center"/>
              <w:rPr>
                <w:color w:val="auto"/>
                <w:sz w:val="24"/>
              </w:rPr>
            </w:pPr>
            <w:r w:rsidRPr="00E84ABC">
              <w:rPr>
                <w:color w:val="auto"/>
                <w:sz w:val="24"/>
              </w:rPr>
              <w:t> </w:t>
            </w:r>
          </w:p>
        </w:tc>
      </w:tr>
      <w:tr w:rsidR="00355E17" w:rsidRPr="00E84ABC" w14:paraId="10296FAF"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1C7F4219" w14:textId="77777777" w:rsidR="00BB2C78" w:rsidRPr="00E84ABC" w:rsidRDefault="00BB2C78" w:rsidP="00BB2C78">
            <w:pPr>
              <w:jc w:val="center"/>
              <w:rPr>
                <w:color w:val="auto"/>
                <w:sz w:val="24"/>
              </w:rPr>
            </w:pPr>
            <w:r w:rsidRPr="00E84ABC">
              <w:rPr>
                <w:color w:val="auto"/>
                <w:sz w:val="24"/>
              </w:rPr>
              <w:t>Igaunija</w:t>
            </w:r>
          </w:p>
        </w:tc>
        <w:tc>
          <w:tcPr>
            <w:tcW w:w="1403" w:type="dxa"/>
            <w:tcBorders>
              <w:top w:val="nil"/>
              <w:left w:val="nil"/>
              <w:bottom w:val="single" w:sz="4" w:space="0" w:color="auto"/>
              <w:right w:val="single" w:sz="4" w:space="0" w:color="auto"/>
            </w:tcBorders>
            <w:noWrap/>
            <w:vAlign w:val="bottom"/>
          </w:tcPr>
          <w:p w14:paraId="5917885B"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76D6EBA3"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2E1AD197" w14:textId="77777777" w:rsidR="00BB2C78" w:rsidRPr="00E84ABC" w:rsidRDefault="00BB2C78" w:rsidP="00BB2C78">
            <w:pPr>
              <w:jc w:val="center"/>
              <w:rPr>
                <w:color w:val="auto"/>
                <w:sz w:val="24"/>
              </w:rPr>
            </w:pPr>
            <w:r w:rsidRPr="00E84ABC">
              <w:rPr>
                <w:color w:val="auto"/>
                <w:sz w:val="24"/>
              </w:rPr>
              <w:t>100%</w:t>
            </w:r>
          </w:p>
        </w:tc>
        <w:tc>
          <w:tcPr>
            <w:tcW w:w="1579" w:type="dxa"/>
            <w:tcBorders>
              <w:top w:val="nil"/>
              <w:left w:val="nil"/>
              <w:bottom w:val="single" w:sz="4" w:space="0" w:color="auto"/>
              <w:right w:val="single" w:sz="4" w:space="0" w:color="auto"/>
            </w:tcBorders>
            <w:noWrap/>
            <w:vAlign w:val="bottom"/>
          </w:tcPr>
          <w:p w14:paraId="55E74D9E" w14:textId="77777777" w:rsidR="00BB2C78" w:rsidRPr="00E84ABC" w:rsidRDefault="00BB2C78" w:rsidP="00BB2C78">
            <w:pPr>
              <w:jc w:val="center"/>
              <w:rPr>
                <w:color w:val="auto"/>
                <w:sz w:val="24"/>
              </w:rPr>
            </w:pPr>
            <w:r w:rsidRPr="00E84ABC">
              <w:rPr>
                <w:color w:val="auto"/>
                <w:sz w:val="24"/>
              </w:rPr>
              <w:t>-</w:t>
            </w:r>
          </w:p>
        </w:tc>
        <w:tc>
          <w:tcPr>
            <w:tcW w:w="704" w:type="dxa"/>
            <w:tcBorders>
              <w:top w:val="nil"/>
              <w:left w:val="nil"/>
              <w:bottom w:val="single" w:sz="4" w:space="0" w:color="auto"/>
              <w:right w:val="single" w:sz="4" w:space="0" w:color="auto"/>
            </w:tcBorders>
            <w:noWrap/>
            <w:vAlign w:val="bottom"/>
          </w:tcPr>
          <w:p w14:paraId="25999658" w14:textId="77777777" w:rsidR="00BB2C78" w:rsidRPr="00E84ABC" w:rsidRDefault="00BB2C78" w:rsidP="00BB2C78">
            <w:pPr>
              <w:jc w:val="center"/>
              <w:rPr>
                <w:color w:val="auto"/>
                <w:sz w:val="24"/>
              </w:rPr>
            </w:pPr>
            <w:r w:rsidRPr="00E84ABC">
              <w:rPr>
                <w:color w:val="auto"/>
                <w:sz w:val="24"/>
              </w:rPr>
              <w:t>-</w:t>
            </w:r>
          </w:p>
        </w:tc>
      </w:tr>
      <w:tr w:rsidR="00355E17" w:rsidRPr="00E84ABC" w14:paraId="2309B126"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20AE4B84" w14:textId="77777777" w:rsidR="00BB2C78" w:rsidRPr="00E84ABC" w:rsidRDefault="00BB2C78" w:rsidP="00BB2C78">
            <w:pPr>
              <w:jc w:val="center"/>
              <w:rPr>
                <w:color w:val="auto"/>
                <w:sz w:val="24"/>
              </w:rPr>
            </w:pPr>
            <w:r w:rsidRPr="00E84ABC">
              <w:rPr>
                <w:color w:val="auto"/>
                <w:sz w:val="24"/>
              </w:rPr>
              <w:t>Īrija</w:t>
            </w:r>
          </w:p>
        </w:tc>
        <w:tc>
          <w:tcPr>
            <w:tcW w:w="1403" w:type="dxa"/>
            <w:tcBorders>
              <w:top w:val="nil"/>
              <w:left w:val="nil"/>
              <w:bottom w:val="single" w:sz="4" w:space="0" w:color="auto"/>
              <w:right w:val="single" w:sz="4" w:space="0" w:color="auto"/>
            </w:tcBorders>
            <w:noWrap/>
            <w:vAlign w:val="bottom"/>
          </w:tcPr>
          <w:p w14:paraId="5993D09B"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16B6B95B"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7AF192E0"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209C8BC5" w14:textId="77777777" w:rsidR="00BB2C78" w:rsidRPr="00E84ABC" w:rsidRDefault="00BB2C78" w:rsidP="00BB2C78">
            <w:pPr>
              <w:jc w:val="center"/>
              <w:rPr>
                <w:color w:val="auto"/>
                <w:sz w:val="24"/>
              </w:rPr>
            </w:pPr>
            <w:r w:rsidRPr="00E84ABC">
              <w:rPr>
                <w:color w:val="auto"/>
                <w:sz w:val="24"/>
              </w:rPr>
              <w:t>58%</w:t>
            </w:r>
          </w:p>
        </w:tc>
        <w:tc>
          <w:tcPr>
            <w:tcW w:w="704" w:type="dxa"/>
            <w:tcBorders>
              <w:top w:val="nil"/>
              <w:left w:val="nil"/>
              <w:bottom w:val="single" w:sz="4" w:space="0" w:color="auto"/>
              <w:right w:val="single" w:sz="4" w:space="0" w:color="auto"/>
            </w:tcBorders>
            <w:noWrap/>
            <w:vAlign w:val="bottom"/>
          </w:tcPr>
          <w:p w14:paraId="30AAC9BA" w14:textId="77777777" w:rsidR="00BB2C78" w:rsidRPr="00E84ABC" w:rsidRDefault="00BB2C78" w:rsidP="00BB2C78">
            <w:pPr>
              <w:jc w:val="center"/>
              <w:rPr>
                <w:color w:val="auto"/>
                <w:sz w:val="24"/>
              </w:rPr>
            </w:pPr>
            <w:r w:rsidRPr="00E84ABC">
              <w:rPr>
                <w:color w:val="auto"/>
                <w:sz w:val="24"/>
              </w:rPr>
              <w:t>42%</w:t>
            </w:r>
          </w:p>
        </w:tc>
      </w:tr>
      <w:tr w:rsidR="00355E17" w:rsidRPr="00E84ABC" w14:paraId="5B2B8393"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45DDCAB5" w14:textId="77777777" w:rsidR="00BB2C78" w:rsidRPr="00E84ABC" w:rsidRDefault="00BB2C78" w:rsidP="00BB2C78">
            <w:pPr>
              <w:jc w:val="center"/>
              <w:rPr>
                <w:color w:val="auto"/>
                <w:sz w:val="24"/>
              </w:rPr>
            </w:pPr>
            <w:r w:rsidRPr="00E84ABC">
              <w:rPr>
                <w:color w:val="auto"/>
                <w:sz w:val="24"/>
              </w:rPr>
              <w:t>Itālija</w:t>
            </w:r>
          </w:p>
        </w:tc>
        <w:tc>
          <w:tcPr>
            <w:tcW w:w="1403" w:type="dxa"/>
            <w:tcBorders>
              <w:top w:val="nil"/>
              <w:left w:val="nil"/>
              <w:bottom w:val="single" w:sz="4" w:space="0" w:color="auto"/>
              <w:right w:val="single" w:sz="4" w:space="0" w:color="auto"/>
            </w:tcBorders>
            <w:noWrap/>
            <w:vAlign w:val="bottom"/>
          </w:tcPr>
          <w:p w14:paraId="68B65BAA"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36E787C3"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6B50191B"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7AE015C5"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01B0153D" w14:textId="77777777" w:rsidR="00BB2C78" w:rsidRPr="00E84ABC" w:rsidRDefault="00BB2C78" w:rsidP="00BB2C78">
            <w:pPr>
              <w:jc w:val="center"/>
              <w:rPr>
                <w:color w:val="auto"/>
                <w:sz w:val="24"/>
              </w:rPr>
            </w:pPr>
            <w:r w:rsidRPr="00E84ABC">
              <w:rPr>
                <w:color w:val="auto"/>
                <w:sz w:val="24"/>
              </w:rPr>
              <w:t>-</w:t>
            </w:r>
          </w:p>
        </w:tc>
      </w:tr>
      <w:tr w:rsidR="00355E17" w:rsidRPr="00E84ABC" w14:paraId="4CCE3AD4"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2F638402" w14:textId="77777777" w:rsidR="00BB2C78" w:rsidRPr="00E84ABC" w:rsidRDefault="00BB2C78" w:rsidP="00BB2C78">
            <w:pPr>
              <w:jc w:val="center"/>
              <w:rPr>
                <w:color w:val="auto"/>
                <w:sz w:val="24"/>
              </w:rPr>
            </w:pPr>
            <w:r w:rsidRPr="00E84ABC">
              <w:rPr>
                <w:color w:val="auto"/>
                <w:sz w:val="24"/>
              </w:rPr>
              <w:t>Kipra</w:t>
            </w:r>
          </w:p>
        </w:tc>
        <w:tc>
          <w:tcPr>
            <w:tcW w:w="1403" w:type="dxa"/>
            <w:tcBorders>
              <w:top w:val="nil"/>
              <w:left w:val="nil"/>
              <w:bottom w:val="single" w:sz="4" w:space="0" w:color="auto"/>
              <w:right w:val="single" w:sz="4" w:space="0" w:color="auto"/>
            </w:tcBorders>
            <w:noWrap/>
            <w:vAlign w:val="bottom"/>
          </w:tcPr>
          <w:p w14:paraId="17CC16E6" w14:textId="77777777" w:rsidR="00BB2C78" w:rsidRPr="00E84ABC" w:rsidRDefault="00BB2C78" w:rsidP="00BB2C78">
            <w:pPr>
              <w:jc w:val="center"/>
              <w:rPr>
                <w:color w:val="auto"/>
                <w:sz w:val="24"/>
              </w:rPr>
            </w:pPr>
            <w:r w:rsidRPr="00E84ABC">
              <w:rPr>
                <w:color w:val="auto"/>
                <w:sz w:val="24"/>
              </w:rPr>
              <w:t>-</w:t>
            </w:r>
          </w:p>
        </w:tc>
        <w:tc>
          <w:tcPr>
            <w:tcW w:w="1534" w:type="dxa"/>
            <w:noWrap/>
            <w:vAlign w:val="bottom"/>
          </w:tcPr>
          <w:p w14:paraId="0B9724B0"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single" w:sz="4" w:space="0" w:color="auto"/>
              <w:bottom w:val="single" w:sz="4" w:space="0" w:color="auto"/>
              <w:right w:val="single" w:sz="4" w:space="0" w:color="auto"/>
            </w:tcBorders>
            <w:noWrap/>
            <w:vAlign w:val="bottom"/>
          </w:tcPr>
          <w:p w14:paraId="40673114"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51D2AE7F"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1A7D1D00" w14:textId="77777777" w:rsidR="00BB2C78" w:rsidRPr="00E84ABC" w:rsidRDefault="00BB2C78" w:rsidP="00BB2C78">
            <w:pPr>
              <w:jc w:val="center"/>
              <w:rPr>
                <w:color w:val="auto"/>
                <w:sz w:val="24"/>
              </w:rPr>
            </w:pPr>
            <w:r w:rsidRPr="00E84ABC">
              <w:rPr>
                <w:color w:val="auto"/>
                <w:sz w:val="24"/>
              </w:rPr>
              <w:t>-</w:t>
            </w:r>
          </w:p>
        </w:tc>
      </w:tr>
      <w:tr w:rsidR="00355E17" w:rsidRPr="00E84ABC" w14:paraId="25CA4D41"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1EB3A8D7" w14:textId="77777777" w:rsidR="00BB2C78" w:rsidRPr="00E84ABC" w:rsidRDefault="00BB2C78" w:rsidP="00BB2C78">
            <w:pPr>
              <w:jc w:val="center"/>
              <w:rPr>
                <w:bCs/>
                <w:color w:val="auto"/>
                <w:sz w:val="24"/>
              </w:rPr>
            </w:pPr>
            <w:r w:rsidRPr="00E84ABC">
              <w:rPr>
                <w:bCs/>
                <w:color w:val="auto"/>
                <w:sz w:val="24"/>
              </w:rPr>
              <w:t>Latvija</w:t>
            </w:r>
          </w:p>
        </w:tc>
        <w:tc>
          <w:tcPr>
            <w:tcW w:w="1403" w:type="dxa"/>
            <w:noWrap/>
            <w:vAlign w:val="bottom"/>
          </w:tcPr>
          <w:p w14:paraId="6D610111" w14:textId="77777777" w:rsidR="00BB2C78" w:rsidRPr="00E84ABC" w:rsidRDefault="00BB2C78" w:rsidP="00BB2C78">
            <w:pPr>
              <w:jc w:val="center"/>
              <w:rPr>
                <w:color w:val="auto"/>
                <w:sz w:val="24"/>
              </w:rPr>
            </w:pPr>
            <w:r w:rsidRPr="00E84ABC">
              <w:rPr>
                <w:color w:val="auto"/>
                <w:sz w:val="24"/>
              </w:rPr>
              <w:t>-</w:t>
            </w:r>
          </w:p>
        </w:tc>
        <w:tc>
          <w:tcPr>
            <w:tcW w:w="1534" w:type="dxa"/>
            <w:tcBorders>
              <w:top w:val="single" w:sz="4" w:space="0" w:color="auto"/>
              <w:left w:val="single" w:sz="4" w:space="0" w:color="auto"/>
              <w:bottom w:val="single" w:sz="4" w:space="0" w:color="auto"/>
              <w:right w:val="single" w:sz="4" w:space="0" w:color="auto"/>
            </w:tcBorders>
            <w:noWrap/>
            <w:vAlign w:val="bottom"/>
          </w:tcPr>
          <w:p w14:paraId="3D72D586" w14:textId="77777777" w:rsidR="00BB2C78" w:rsidRPr="00E84ABC" w:rsidRDefault="00BB2C78" w:rsidP="00BB2C78">
            <w:pPr>
              <w:jc w:val="center"/>
              <w:rPr>
                <w:bCs/>
                <w:color w:val="auto"/>
                <w:sz w:val="24"/>
              </w:rPr>
            </w:pPr>
            <w:r w:rsidRPr="00E84ABC">
              <w:rPr>
                <w:bCs/>
                <w:color w:val="auto"/>
                <w:sz w:val="24"/>
              </w:rPr>
              <w:t>100%</w:t>
            </w:r>
          </w:p>
        </w:tc>
        <w:tc>
          <w:tcPr>
            <w:tcW w:w="1581" w:type="dxa"/>
            <w:tcBorders>
              <w:top w:val="nil"/>
              <w:left w:val="nil"/>
              <w:bottom w:val="single" w:sz="4" w:space="0" w:color="auto"/>
              <w:right w:val="single" w:sz="4" w:space="0" w:color="auto"/>
            </w:tcBorders>
            <w:noWrap/>
            <w:vAlign w:val="bottom"/>
          </w:tcPr>
          <w:p w14:paraId="79764254" w14:textId="77777777" w:rsidR="00BB2C78" w:rsidRPr="00E84ABC" w:rsidRDefault="00BB2C78" w:rsidP="00BB2C78">
            <w:pPr>
              <w:jc w:val="center"/>
              <w:rPr>
                <w:bCs/>
                <w:color w:val="auto"/>
                <w:sz w:val="24"/>
              </w:rPr>
            </w:pPr>
            <w:r w:rsidRPr="00E84ABC">
              <w:rPr>
                <w:bCs/>
                <w:color w:val="auto"/>
                <w:sz w:val="24"/>
              </w:rPr>
              <w:t>-</w:t>
            </w:r>
          </w:p>
        </w:tc>
        <w:tc>
          <w:tcPr>
            <w:tcW w:w="1579" w:type="dxa"/>
            <w:tcBorders>
              <w:top w:val="nil"/>
              <w:left w:val="nil"/>
              <w:bottom w:val="single" w:sz="4" w:space="0" w:color="auto"/>
              <w:right w:val="single" w:sz="4" w:space="0" w:color="auto"/>
            </w:tcBorders>
            <w:noWrap/>
            <w:vAlign w:val="bottom"/>
          </w:tcPr>
          <w:p w14:paraId="48DB89C0" w14:textId="77777777" w:rsidR="00BB2C78" w:rsidRPr="00E84ABC" w:rsidRDefault="00BB2C78" w:rsidP="00BB2C78">
            <w:pPr>
              <w:jc w:val="center"/>
              <w:rPr>
                <w:bCs/>
                <w:color w:val="auto"/>
                <w:sz w:val="24"/>
              </w:rPr>
            </w:pPr>
            <w:r w:rsidRPr="00E84ABC">
              <w:rPr>
                <w:bCs/>
                <w:color w:val="auto"/>
                <w:sz w:val="24"/>
              </w:rPr>
              <w:t>100%</w:t>
            </w:r>
          </w:p>
        </w:tc>
        <w:tc>
          <w:tcPr>
            <w:tcW w:w="704" w:type="dxa"/>
            <w:tcBorders>
              <w:top w:val="nil"/>
              <w:left w:val="nil"/>
              <w:bottom w:val="single" w:sz="4" w:space="0" w:color="auto"/>
              <w:right w:val="single" w:sz="4" w:space="0" w:color="auto"/>
            </w:tcBorders>
            <w:noWrap/>
            <w:vAlign w:val="bottom"/>
          </w:tcPr>
          <w:p w14:paraId="294060B2" w14:textId="77777777" w:rsidR="00BB2C78" w:rsidRPr="00E84ABC" w:rsidRDefault="00BB2C78" w:rsidP="00BB2C78">
            <w:pPr>
              <w:jc w:val="center"/>
              <w:rPr>
                <w:bCs/>
                <w:color w:val="auto"/>
                <w:sz w:val="24"/>
              </w:rPr>
            </w:pPr>
            <w:r w:rsidRPr="00E84ABC">
              <w:rPr>
                <w:bCs/>
                <w:color w:val="auto"/>
                <w:sz w:val="24"/>
              </w:rPr>
              <w:t>-</w:t>
            </w:r>
          </w:p>
        </w:tc>
      </w:tr>
      <w:tr w:rsidR="00355E17" w:rsidRPr="00E84ABC" w14:paraId="0309C1E8"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5D02801E" w14:textId="77777777" w:rsidR="00BB2C78" w:rsidRPr="00E84ABC" w:rsidRDefault="00BB2C78" w:rsidP="00BB2C78">
            <w:pPr>
              <w:jc w:val="center"/>
              <w:rPr>
                <w:color w:val="auto"/>
                <w:sz w:val="24"/>
              </w:rPr>
            </w:pPr>
            <w:r w:rsidRPr="00E84ABC">
              <w:rPr>
                <w:color w:val="auto"/>
                <w:sz w:val="24"/>
              </w:rPr>
              <w:t>Lielbritānija</w:t>
            </w:r>
          </w:p>
        </w:tc>
        <w:tc>
          <w:tcPr>
            <w:tcW w:w="1403" w:type="dxa"/>
            <w:tcBorders>
              <w:top w:val="single" w:sz="4" w:space="0" w:color="auto"/>
              <w:left w:val="nil"/>
              <w:bottom w:val="single" w:sz="4" w:space="0" w:color="auto"/>
              <w:right w:val="single" w:sz="4" w:space="0" w:color="auto"/>
            </w:tcBorders>
            <w:noWrap/>
            <w:vAlign w:val="bottom"/>
          </w:tcPr>
          <w:p w14:paraId="43F9E001"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64136FC9"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58B461A9" w14:textId="77777777" w:rsidR="00BB2C78" w:rsidRPr="00E84ABC" w:rsidRDefault="00BB2C78" w:rsidP="00BB2C78">
            <w:pPr>
              <w:jc w:val="center"/>
              <w:rPr>
                <w:color w:val="auto"/>
                <w:sz w:val="24"/>
              </w:rPr>
            </w:pPr>
            <w:r w:rsidRPr="00E84ABC">
              <w:rPr>
                <w:color w:val="auto"/>
                <w:sz w:val="24"/>
              </w:rPr>
              <w:t>57%</w:t>
            </w:r>
          </w:p>
        </w:tc>
        <w:tc>
          <w:tcPr>
            <w:tcW w:w="1579" w:type="dxa"/>
            <w:tcBorders>
              <w:top w:val="nil"/>
              <w:left w:val="nil"/>
              <w:bottom w:val="single" w:sz="4" w:space="0" w:color="auto"/>
              <w:right w:val="single" w:sz="4" w:space="0" w:color="auto"/>
            </w:tcBorders>
            <w:noWrap/>
            <w:vAlign w:val="bottom"/>
          </w:tcPr>
          <w:p w14:paraId="1B1382F6" w14:textId="77777777" w:rsidR="00BB2C78" w:rsidRPr="00E84ABC" w:rsidRDefault="00BB2C78" w:rsidP="00BB2C78">
            <w:pPr>
              <w:jc w:val="center"/>
              <w:rPr>
                <w:color w:val="auto"/>
                <w:sz w:val="24"/>
              </w:rPr>
            </w:pPr>
            <w:r w:rsidRPr="00E84ABC">
              <w:rPr>
                <w:color w:val="auto"/>
                <w:sz w:val="24"/>
              </w:rPr>
              <w:t>43%</w:t>
            </w:r>
          </w:p>
        </w:tc>
        <w:tc>
          <w:tcPr>
            <w:tcW w:w="704" w:type="dxa"/>
            <w:tcBorders>
              <w:top w:val="nil"/>
              <w:left w:val="nil"/>
              <w:bottom w:val="single" w:sz="4" w:space="0" w:color="auto"/>
              <w:right w:val="single" w:sz="4" w:space="0" w:color="auto"/>
            </w:tcBorders>
            <w:noWrap/>
            <w:vAlign w:val="bottom"/>
          </w:tcPr>
          <w:p w14:paraId="5693E6CA" w14:textId="77777777" w:rsidR="00BB2C78" w:rsidRPr="00E84ABC" w:rsidRDefault="00BB2C78" w:rsidP="00BB2C78">
            <w:pPr>
              <w:jc w:val="center"/>
              <w:rPr>
                <w:color w:val="auto"/>
                <w:sz w:val="24"/>
              </w:rPr>
            </w:pPr>
            <w:r w:rsidRPr="00E84ABC">
              <w:rPr>
                <w:color w:val="auto"/>
                <w:sz w:val="24"/>
              </w:rPr>
              <w:t>-</w:t>
            </w:r>
          </w:p>
        </w:tc>
      </w:tr>
      <w:tr w:rsidR="00355E17" w:rsidRPr="00E84ABC" w14:paraId="100582ED"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286091B0" w14:textId="77777777" w:rsidR="00BB2C78" w:rsidRPr="00E84ABC" w:rsidRDefault="00BB2C78" w:rsidP="00BB2C78">
            <w:pPr>
              <w:jc w:val="center"/>
              <w:rPr>
                <w:color w:val="auto"/>
                <w:sz w:val="24"/>
              </w:rPr>
            </w:pPr>
            <w:r w:rsidRPr="00E84ABC">
              <w:rPr>
                <w:color w:val="auto"/>
                <w:sz w:val="24"/>
              </w:rPr>
              <w:t>Lietuva</w:t>
            </w:r>
          </w:p>
        </w:tc>
        <w:tc>
          <w:tcPr>
            <w:tcW w:w="1403" w:type="dxa"/>
            <w:tcBorders>
              <w:top w:val="nil"/>
              <w:left w:val="nil"/>
              <w:bottom w:val="single" w:sz="4" w:space="0" w:color="auto"/>
              <w:right w:val="single" w:sz="4" w:space="0" w:color="auto"/>
            </w:tcBorders>
            <w:noWrap/>
            <w:vAlign w:val="bottom"/>
          </w:tcPr>
          <w:p w14:paraId="1BC1CD75" w14:textId="77777777" w:rsidR="00BB2C78" w:rsidRPr="00E84ABC" w:rsidRDefault="00BB2C78" w:rsidP="00746722">
            <w:pPr>
              <w:jc w:val="center"/>
              <w:rPr>
                <w:color w:val="auto"/>
                <w:sz w:val="24"/>
              </w:rPr>
            </w:pPr>
          </w:p>
        </w:tc>
        <w:tc>
          <w:tcPr>
            <w:tcW w:w="1534" w:type="dxa"/>
            <w:tcBorders>
              <w:top w:val="nil"/>
              <w:left w:val="nil"/>
              <w:bottom w:val="single" w:sz="4" w:space="0" w:color="auto"/>
              <w:right w:val="single" w:sz="4" w:space="0" w:color="auto"/>
            </w:tcBorders>
            <w:noWrap/>
            <w:vAlign w:val="bottom"/>
          </w:tcPr>
          <w:p w14:paraId="74F3B4AD" w14:textId="77777777" w:rsidR="00BB2C78" w:rsidRPr="00E84ABC" w:rsidRDefault="00746722" w:rsidP="00746722">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4467535F"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4AF64D89"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66095B6E" w14:textId="77777777" w:rsidR="00BB2C78" w:rsidRPr="00E84ABC" w:rsidRDefault="00BB2C78" w:rsidP="00BB2C78">
            <w:pPr>
              <w:jc w:val="center"/>
              <w:rPr>
                <w:color w:val="auto"/>
                <w:sz w:val="24"/>
              </w:rPr>
            </w:pPr>
            <w:r w:rsidRPr="00E84ABC">
              <w:rPr>
                <w:color w:val="auto"/>
                <w:sz w:val="24"/>
              </w:rPr>
              <w:t>-</w:t>
            </w:r>
          </w:p>
        </w:tc>
      </w:tr>
      <w:tr w:rsidR="00355E17" w:rsidRPr="00E84ABC" w14:paraId="1F572E5C"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3E7C6A28" w14:textId="77777777" w:rsidR="00BB2C78" w:rsidRPr="00E84ABC" w:rsidRDefault="00BB2C78" w:rsidP="00BB2C78">
            <w:pPr>
              <w:jc w:val="center"/>
              <w:rPr>
                <w:color w:val="auto"/>
                <w:sz w:val="24"/>
              </w:rPr>
            </w:pPr>
            <w:r w:rsidRPr="00E84ABC">
              <w:rPr>
                <w:color w:val="auto"/>
                <w:sz w:val="24"/>
              </w:rPr>
              <w:t>Lihtenšteina</w:t>
            </w:r>
          </w:p>
        </w:tc>
        <w:tc>
          <w:tcPr>
            <w:tcW w:w="2937" w:type="dxa"/>
            <w:gridSpan w:val="2"/>
            <w:tcBorders>
              <w:top w:val="single" w:sz="4" w:space="0" w:color="auto"/>
              <w:left w:val="nil"/>
              <w:bottom w:val="single" w:sz="4" w:space="0" w:color="auto"/>
              <w:right w:val="single" w:sz="4" w:space="0" w:color="000000"/>
            </w:tcBorders>
            <w:noWrap/>
            <w:vAlign w:val="bottom"/>
          </w:tcPr>
          <w:p w14:paraId="460152E1" w14:textId="77777777" w:rsidR="00BB2C78" w:rsidRPr="00E84ABC" w:rsidRDefault="00BB2C78" w:rsidP="00BB2C78">
            <w:pPr>
              <w:jc w:val="center"/>
              <w:rPr>
                <w:color w:val="auto"/>
                <w:sz w:val="24"/>
              </w:rPr>
            </w:pPr>
            <w:r w:rsidRPr="00E84ABC">
              <w:rPr>
                <w:color w:val="auto"/>
                <w:sz w:val="24"/>
              </w:rPr>
              <w:t>nav datu</w:t>
            </w:r>
          </w:p>
        </w:tc>
        <w:tc>
          <w:tcPr>
            <w:tcW w:w="1581" w:type="dxa"/>
            <w:tcBorders>
              <w:top w:val="nil"/>
              <w:left w:val="nil"/>
              <w:bottom w:val="single" w:sz="4" w:space="0" w:color="auto"/>
              <w:right w:val="single" w:sz="4" w:space="0" w:color="auto"/>
            </w:tcBorders>
            <w:noWrap/>
            <w:vAlign w:val="bottom"/>
          </w:tcPr>
          <w:p w14:paraId="3BD54D1E" w14:textId="77777777" w:rsidR="00BB2C78" w:rsidRPr="00E84ABC" w:rsidRDefault="00BB2C78" w:rsidP="00BB2C78">
            <w:pPr>
              <w:jc w:val="center"/>
              <w:rPr>
                <w:color w:val="auto"/>
                <w:sz w:val="24"/>
              </w:rPr>
            </w:pPr>
            <w:r w:rsidRPr="00E84ABC">
              <w:rPr>
                <w:color w:val="auto"/>
                <w:sz w:val="24"/>
              </w:rPr>
              <w:t>25%</w:t>
            </w:r>
          </w:p>
        </w:tc>
        <w:tc>
          <w:tcPr>
            <w:tcW w:w="1579" w:type="dxa"/>
            <w:tcBorders>
              <w:top w:val="nil"/>
              <w:left w:val="nil"/>
              <w:bottom w:val="single" w:sz="4" w:space="0" w:color="auto"/>
              <w:right w:val="single" w:sz="4" w:space="0" w:color="auto"/>
            </w:tcBorders>
            <w:noWrap/>
            <w:vAlign w:val="bottom"/>
          </w:tcPr>
          <w:p w14:paraId="00FC4767" w14:textId="77777777" w:rsidR="00BB2C78" w:rsidRPr="00E84ABC" w:rsidRDefault="00BB2C78" w:rsidP="00BB2C78">
            <w:pPr>
              <w:jc w:val="center"/>
              <w:rPr>
                <w:color w:val="auto"/>
                <w:sz w:val="24"/>
              </w:rPr>
            </w:pPr>
            <w:r w:rsidRPr="00E84ABC">
              <w:rPr>
                <w:color w:val="auto"/>
                <w:sz w:val="24"/>
              </w:rPr>
              <w:t>75%</w:t>
            </w:r>
          </w:p>
        </w:tc>
        <w:tc>
          <w:tcPr>
            <w:tcW w:w="704" w:type="dxa"/>
            <w:tcBorders>
              <w:top w:val="nil"/>
              <w:left w:val="nil"/>
              <w:bottom w:val="single" w:sz="4" w:space="0" w:color="auto"/>
              <w:right w:val="single" w:sz="4" w:space="0" w:color="auto"/>
            </w:tcBorders>
            <w:noWrap/>
            <w:vAlign w:val="bottom"/>
          </w:tcPr>
          <w:p w14:paraId="694BE32D" w14:textId="77777777" w:rsidR="00BB2C78" w:rsidRPr="00E84ABC" w:rsidRDefault="00BB2C78" w:rsidP="00BB2C78">
            <w:pPr>
              <w:jc w:val="center"/>
              <w:rPr>
                <w:color w:val="auto"/>
                <w:sz w:val="24"/>
              </w:rPr>
            </w:pPr>
            <w:r w:rsidRPr="00E84ABC">
              <w:rPr>
                <w:color w:val="auto"/>
                <w:sz w:val="24"/>
              </w:rPr>
              <w:t>-</w:t>
            </w:r>
          </w:p>
        </w:tc>
      </w:tr>
      <w:tr w:rsidR="00355E17" w:rsidRPr="00E84ABC" w14:paraId="04757661"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6E9A4BC5" w14:textId="77777777" w:rsidR="00BB2C78" w:rsidRPr="00E84ABC" w:rsidRDefault="00BB2C78" w:rsidP="00BB2C78">
            <w:pPr>
              <w:jc w:val="center"/>
              <w:rPr>
                <w:color w:val="auto"/>
                <w:sz w:val="24"/>
              </w:rPr>
            </w:pPr>
            <w:r w:rsidRPr="00E84ABC">
              <w:rPr>
                <w:color w:val="auto"/>
                <w:sz w:val="24"/>
              </w:rPr>
              <w:t>Luksemburga</w:t>
            </w:r>
          </w:p>
        </w:tc>
        <w:tc>
          <w:tcPr>
            <w:tcW w:w="1403" w:type="dxa"/>
            <w:tcBorders>
              <w:top w:val="nil"/>
              <w:left w:val="nil"/>
              <w:bottom w:val="single" w:sz="4" w:space="0" w:color="auto"/>
              <w:right w:val="single" w:sz="4" w:space="0" w:color="auto"/>
            </w:tcBorders>
            <w:noWrap/>
            <w:vAlign w:val="bottom"/>
          </w:tcPr>
          <w:p w14:paraId="3059C84B"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7F65A54E"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7983AD26"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4B9688E9"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690F2118" w14:textId="77777777" w:rsidR="00BB2C78" w:rsidRPr="00E84ABC" w:rsidRDefault="00BB2C78" w:rsidP="00BB2C78">
            <w:pPr>
              <w:jc w:val="center"/>
              <w:rPr>
                <w:color w:val="auto"/>
                <w:sz w:val="24"/>
              </w:rPr>
            </w:pPr>
            <w:r w:rsidRPr="00E84ABC">
              <w:rPr>
                <w:color w:val="auto"/>
                <w:sz w:val="24"/>
              </w:rPr>
              <w:t>-</w:t>
            </w:r>
          </w:p>
        </w:tc>
      </w:tr>
      <w:tr w:rsidR="00355E17" w:rsidRPr="00E84ABC" w14:paraId="2FA02B03"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294B26DB" w14:textId="77777777" w:rsidR="00BB2C78" w:rsidRPr="00E84ABC" w:rsidRDefault="00BB2C78" w:rsidP="00BB2C78">
            <w:pPr>
              <w:jc w:val="center"/>
              <w:rPr>
                <w:color w:val="auto"/>
                <w:sz w:val="24"/>
              </w:rPr>
            </w:pPr>
            <w:r w:rsidRPr="00E84ABC">
              <w:rPr>
                <w:color w:val="auto"/>
                <w:sz w:val="24"/>
              </w:rPr>
              <w:t>Malta</w:t>
            </w:r>
          </w:p>
        </w:tc>
        <w:tc>
          <w:tcPr>
            <w:tcW w:w="2937" w:type="dxa"/>
            <w:gridSpan w:val="2"/>
            <w:tcBorders>
              <w:top w:val="single" w:sz="4" w:space="0" w:color="auto"/>
              <w:left w:val="nil"/>
              <w:bottom w:val="single" w:sz="4" w:space="0" w:color="auto"/>
              <w:right w:val="single" w:sz="4" w:space="0" w:color="000000"/>
            </w:tcBorders>
            <w:noWrap/>
            <w:vAlign w:val="bottom"/>
          </w:tcPr>
          <w:p w14:paraId="431E5B34" w14:textId="77777777" w:rsidR="00BB2C78" w:rsidRPr="00E84ABC" w:rsidRDefault="00BB2C78" w:rsidP="00BB2C78">
            <w:pPr>
              <w:jc w:val="center"/>
              <w:rPr>
                <w:color w:val="auto"/>
                <w:sz w:val="24"/>
              </w:rPr>
            </w:pPr>
            <w:r w:rsidRPr="00E84ABC">
              <w:rPr>
                <w:color w:val="auto"/>
                <w:sz w:val="24"/>
              </w:rPr>
              <w:t>pārsvarā valsts</w:t>
            </w:r>
          </w:p>
        </w:tc>
        <w:tc>
          <w:tcPr>
            <w:tcW w:w="1581" w:type="dxa"/>
            <w:tcBorders>
              <w:top w:val="nil"/>
              <w:left w:val="nil"/>
              <w:bottom w:val="single" w:sz="4" w:space="0" w:color="auto"/>
              <w:right w:val="single" w:sz="4" w:space="0" w:color="auto"/>
            </w:tcBorders>
            <w:noWrap/>
            <w:vAlign w:val="bottom"/>
          </w:tcPr>
          <w:p w14:paraId="7E9DA3D7"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00A37A07"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1A8D0908" w14:textId="77777777" w:rsidR="00BB2C78" w:rsidRPr="00E84ABC" w:rsidRDefault="00BB2C78" w:rsidP="00BB2C78">
            <w:pPr>
              <w:jc w:val="center"/>
              <w:rPr>
                <w:color w:val="auto"/>
                <w:sz w:val="24"/>
              </w:rPr>
            </w:pPr>
            <w:r w:rsidRPr="00E84ABC">
              <w:rPr>
                <w:color w:val="auto"/>
                <w:sz w:val="24"/>
              </w:rPr>
              <w:t>-</w:t>
            </w:r>
          </w:p>
        </w:tc>
      </w:tr>
      <w:tr w:rsidR="00355E17" w:rsidRPr="00E84ABC" w14:paraId="30F69C99"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2E9ECC6C" w14:textId="77777777" w:rsidR="00BB2C78" w:rsidRPr="00E84ABC" w:rsidRDefault="00BB2C78" w:rsidP="00BB2C78">
            <w:pPr>
              <w:jc w:val="center"/>
              <w:rPr>
                <w:color w:val="auto"/>
                <w:sz w:val="24"/>
              </w:rPr>
            </w:pPr>
            <w:r w:rsidRPr="00E84ABC">
              <w:rPr>
                <w:color w:val="auto"/>
                <w:sz w:val="24"/>
              </w:rPr>
              <w:t>Nīderlande</w:t>
            </w:r>
          </w:p>
        </w:tc>
        <w:tc>
          <w:tcPr>
            <w:tcW w:w="1403" w:type="dxa"/>
            <w:tcBorders>
              <w:top w:val="nil"/>
              <w:left w:val="nil"/>
              <w:bottom w:val="single" w:sz="4" w:space="0" w:color="auto"/>
              <w:right w:val="single" w:sz="4" w:space="0" w:color="auto"/>
            </w:tcBorders>
            <w:noWrap/>
            <w:vAlign w:val="bottom"/>
          </w:tcPr>
          <w:p w14:paraId="1D152184"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4EB391B7"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59EA09FC" w14:textId="77777777" w:rsidR="00BB2C78" w:rsidRPr="00E84ABC" w:rsidRDefault="00BB2C78" w:rsidP="00BB2C78">
            <w:pPr>
              <w:jc w:val="center"/>
              <w:rPr>
                <w:color w:val="auto"/>
                <w:sz w:val="24"/>
              </w:rPr>
            </w:pPr>
            <w:r w:rsidRPr="00E84ABC">
              <w:rPr>
                <w:color w:val="auto"/>
                <w:sz w:val="24"/>
              </w:rPr>
              <w:t>18%</w:t>
            </w:r>
          </w:p>
        </w:tc>
        <w:tc>
          <w:tcPr>
            <w:tcW w:w="1579" w:type="dxa"/>
            <w:tcBorders>
              <w:top w:val="nil"/>
              <w:left w:val="nil"/>
              <w:bottom w:val="single" w:sz="4" w:space="0" w:color="auto"/>
              <w:right w:val="single" w:sz="4" w:space="0" w:color="auto"/>
            </w:tcBorders>
            <w:noWrap/>
            <w:vAlign w:val="bottom"/>
          </w:tcPr>
          <w:p w14:paraId="028DEB4E" w14:textId="77777777" w:rsidR="00BB2C78" w:rsidRPr="00E84ABC" w:rsidRDefault="00BB2C78" w:rsidP="00BB2C78">
            <w:pPr>
              <w:jc w:val="center"/>
              <w:rPr>
                <w:color w:val="auto"/>
                <w:sz w:val="24"/>
              </w:rPr>
            </w:pPr>
            <w:r w:rsidRPr="00E84ABC">
              <w:rPr>
                <w:color w:val="auto"/>
                <w:sz w:val="24"/>
              </w:rPr>
              <w:t>82%</w:t>
            </w:r>
          </w:p>
        </w:tc>
        <w:tc>
          <w:tcPr>
            <w:tcW w:w="704" w:type="dxa"/>
            <w:tcBorders>
              <w:top w:val="nil"/>
              <w:left w:val="nil"/>
              <w:bottom w:val="single" w:sz="4" w:space="0" w:color="auto"/>
              <w:right w:val="single" w:sz="4" w:space="0" w:color="auto"/>
            </w:tcBorders>
            <w:noWrap/>
            <w:vAlign w:val="bottom"/>
          </w:tcPr>
          <w:p w14:paraId="1988D240" w14:textId="77777777" w:rsidR="00BB2C78" w:rsidRPr="00E84ABC" w:rsidRDefault="00BB2C78" w:rsidP="00BB2C78">
            <w:pPr>
              <w:jc w:val="center"/>
              <w:rPr>
                <w:color w:val="auto"/>
                <w:sz w:val="24"/>
              </w:rPr>
            </w:pPr>
            <w:r w:rsidRPr="00E84ABC">
              <w:rPr>
                <w:color w:val="auto"/>
                <w:sz w:val="24"/>
              </w:rPr>
              <w:t>-</w:t>
            </w:r>
          </w:p>
        </w:tc>
      </w:tr>
      <w:tr w:rsidR="00355E17" w:rsidRPr="00E84ABC" w14:paraId="0700FA61"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7FE25EAA" w14:textId="77777777" w:rsidR="00BB2C78" w:rsidRPr="00E84ABC" w:rsidRDefault="00BB2C78" w:rsidP="00BB2C78">
            <w:pPr>
              <w:jc w:val="center"/>
              <w:rPr>
                <w:color w:val="auto"/>
                <w:sz w:val="24"/>
              </w:rPr>
            </w:pPr>
            <w:r w:rsidRPr="00E84ABC">
              <w:rPr>
                <w:color w:val="auto"/>
                <w:sz w:val="24"/>
              </w:rPr>
              <w:t>Polija</w:t>
            </w:r>
          </w:p>
        </w:tc>
        <w:tc>
          <w:tcPr>
            <w:tcW w:w="1403" w:type="dxa"/>
            <w:tcBorders>
              <w:top w:val="nil"/>
              <w:left w:val="nil"/>
              <w:bottom w:val="single" w:sz="4" w:space="0" w:color="auto"/>
              <w:right w:val="single" w:sz="4" w:space="0" w:color="auto"/>
            </w:tcBorders>
            <w:noWrap/>
            <w:vAlign w:val="bottom"/>
          </w:tcPr>
          <w:p w14:paraId="2A568BBB"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553B5508"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6039F46A" w14:textId="77777777" w:rsidR="00BB2C78" w:rsidRPr="00E84ABC" w:rsidRDefault="00BB2C78" w:rsidP="00BB2C78">
            <w:pPr>
              <w:jc w:val="center"/>
              <w:rPr>
                <w:color w:val="auto"/>
                <w:sz w:val="24"/>
              </w:rPr>
            </w:pPr>
            <w:r w:rsidRPr="00E84ABC">
              <w:rPr>
                <w:color w:val="auto"/>
                <w:sz w:val="24"/>
              </w:rPr>
              <w:t>100%</w:t>
            </w:r>
          </w:p>
        </w:tc>
        <w:tc>
          <w:tcPr>
            <w:tcW w:w="1579" w:type="dxa"/>
            <w:tcBorders>
              <w:top w:val="nil"/>
              <w:left w:val="nil"/>
              <w:bottom w:val="single" w:sz="4" w:space="0" w:color="auto"/>
              <w:right w:val="single" w:sz="4" w:space="0" w:color="auto"/>
            </w:tcBorders>
            <w:noWrap/>
            <w:vAlign w:val="bottom"/>
          </w:tcPr>
          <w:p w14:paraId="2A625E8D" w14:textId="77777777" w:rsidR="00BB2C78" w:rsidRPr="00E84ABC" w:rsidRDefault="00BB2C78" w:rsidP="00BB2C78">
            <w:pPr>
              <w:jc w:val="center"/>
              <w:rPr>
                <w:color w:val="auto"/>
                <w:sz w:val="24"/>
              </w:rPr>
            </w:pPr>
            <w:r w:rsidRPr="00E84ABC">
              <w:rPr>
                <w:color w:val="auto"/>
                <w:sz w:val="24"/>
              </w:rPr>
              <w:t>-</w:t>
            </w:r>
          </w:p>
        </w:tc>
        <w:tc>
          <w:tcPr>
            <w:tcW w:w="704" w:type="dxa"/>
            <w:tcBorders>
              <w:top w:val="nil"/>
              <w:left w:val="nil"/>
              <w:bottom w:val="single" w:sz="4" w:space="0" w:color="auto"/>
              <w:right w:val="single" w:sz="4" w:space="0" w:color="auto"/>
            </w:tcBorders>
            <w:noWrap/>
            <w:vAlign w:val="bottom"/>
          </w:tcPr>
          <w:p w14:paraId="1AD20B1C" w14:textId="77777777" w:rsidR="00BB2C78" w:rsidRPr="00E84ABC" w:rsidRDefault="00BB2C78" w:rsidP="00BB2C78">
            <w:pPr>
              <w:jc w:val="center"/>
              <w:rPr>
                <w:color w:val="auto"/>
                <w:sz w:val="24"/>
              </w:rPr>
            </w:pPr>
            <w:r w:rsidRPr="00E84ABC">
              <w:rPr>
                <w:color w:val="auto"/>
                <w:sz w:val="24"/>
              </w:rPr>
              <w:t>-</w:t>
            </w:r>
          </w:p>
        </w:tc>
      </w:tr>
      <w:tr w:rsidR="00355E17" w:rsidRPr="00E84ABC" w14:paraId="24540CBA"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4B922079" w14:textId="77777777" w:rsidR="00BB2C78" w:rsidRPr="00E84ABC" w:rsidRDefault="00BB2C78" w:rsidP="00BB2C78">
            <w:pPr>
              <w:jc w:val="center"/>
              <w:rPr>
                <w:color w:val="auto"/>
                <w:sz w:val="24"/>
              </w:rPr>
            </w:pPr>
            <w:r w:rsidRPr="00E84ABC">
              <w:rPr>
                <w:color w:val="auto"/>
                <w:sz w:val="24"/>
              </w:rPr>
              <w:t>Portugāle</w:t>
            </w:r>
          </w:p>
        </w:tc>
        <w:tc>
          <w:tcPr>
            <w:tcW w:w="1403" w:type="dxa"/>
            <w:tcBorders>
              <w:top w:val="nil"/>
              <w:left w:val="nil"/>
              <w:bottom w:val="single" w:sz="4" w:space="0" w:color="auto"/>
              <w:right w:val="single" w:sz="4" w:space="0" w:color="auto"/>
            </w:tcBorders>
            <w:noWrap/>
            <w:vAlign w:val="bottom"/>
          </w:tcPr>
          <w:p w14:paraId="3FF49581"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25183DA6"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2E01BD3B"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13C5558E" w14:textId="77777777" w:rsidR="00BB2C78" w:rsidRPr="00E84ABC" w:rsidRDefault="00BB2C78" w:rsidP="00BB2C78">
            <w:pPr>
              <w:jc w:val="center"/>
              <w:rPr>
                <w:color w:val="auto"/>
                <w:sz w:val="24"/>
              </w:rPr>
            </w:pPr>
            <w:r w:rsidRPr="00E84ABC">
              <w:rPr>
                <w:color w:val="auto"/>
                <w:sz w:val="24"/>
              </w:rPr>
              <w:t>97%</w:t>
            </w:r>
          </w:p>
        </w:tc>
        <w:tc>
          <w:tcPr>
            <w:tcW w:w="704" w:type="dxa"/>
            <w:tcBorders>
              <w:top w:val="nil"/>
              <w:left w:val="nil"/>
              <w:bottom w:val="single" w:sz="4" w:space="0" w:color="auto"/>
              <w:right w:val="single" w:sz="4" w:space="0" w:color="auto"/>
            </w:tcBorders>
            <w:noWrap/>
            <w:vAlign w:val="bottom"/>
          </w:tcPr>
          <w:p w14:paraId="146FE941" w14:textId="77777777" w:rsidR="00BB2C78" w:rsidRPr="00E84ABC" w:rsidRDefault="00BB2C78" w:rsidP="00BB2C78">
            <w:pPr>
              <w:jc w:val="center"/>
              <w:rPr>
                <w:color w:val="auto"/>
                <w:sz w:val="24"/>
              </w:rPr>
            </w:pPr>
            <w:r w:rsidRPr="00E84ABC">
              <w:rPr>
                <w:color w:val="auto"/>
                <w:sz w:val="24"/>
              </w:rPr>
              <w:t>3%</w:t>
            </w:r>
          </w:p>
        </w:tc>
      </w:tr>
      <w:tr w:rsidR="00355E17" w:rsidRPr="00E84ABC" w14:paraId="5B7FA6E7"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4778F231" w14:textId="77777777" w:rsidR="00BB2C78" w:rsidRPr="00E84ABC" w:rsidRDefault="00BB2C78" w:rsidP="00BB2C78">
            <w:pPr>
              <w:jc w:val="center"/>
              <w:rPr>
                <w:color w:val="auto"/>
                <w:sz w:val="24"/>
              </w:rPr>
            </w:pPr>
            <w:r w:rsidRPr="00E84ABC">
              <w:rPr>
                <w:color w:val="auto"/>
                <w:sz w:val="24"/>
              </w:rPr>
              <w:t>Rumānija</w:t>
            </w:r>
          </w:p>
        </w:tc>
        <w:tc>
          <w:tcPr>
            <w:tcW w:w="1403" w:type="dxa"/>
            <w:tcBorders>
              <w:top w:val="nil"/>
              <w:left w:val="nil"/>
              <w:bottom w:val="single" w:sz="4" w:space="0" w:color="auto"/>
              <w:right w:val="single" w:sz="4" w:space="0" w:color="auto"/>
            </w:tcBorders>
            <w:noWrap/>
            <w:vAlign w:val="bottom"/>
          </w:tcPr>
          <w:p w14:paraId="05F02B9A"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69C578B4"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57B46F59"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nil"/>
              <w:bottom w:val="single" w:sz="4" w:space="0" w:color="auto"/>
              <w:right w:val="single" w:sz="4" w:space="0" w:color="auto"/>
            </w:tcBorders>
            <w:noWrap/>
            <w:vAlign w:val="bottom"/>
          </w:tcPr>
          <w:p w14:paraId="4020A0FE"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3ECD0D2F" w14:textId="77777777" w:rsidR="00BB2C78" w:rsidRPr="00E84ABC" w:rsidRDefault="00BB2C78" w:rsidP="00BB2C78">
            <w:pPr>
              <w:jc w:val="center"/>
              <w:rPr>
                <w:color w:val="auto"/>
                <w:sz w:val="24"/>
              </w:rPr>
            </w:pPr>
            <w:r w:rsidRPr="00E84ABC">
              <w:rPr>
                <w:color w:val="auto"/>
                <w:sz w:val="24"/>
              </w:rPr>
              <w:t>-</w:t>
            </w:r>
          </w:p>
        </w:tc>
      </w:tr>
      <w:tr w:rsidR="00355E17" w:rsidRPr="00E84ABC" w14:paraId="49C2D06A"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4B32DC29" w14:textId="77777777" w:rsidR="00BB2C78" w:rsidRPr="00E84ABC" w:rsidRDefault="00BB2C78" w:rsidP="00BB2C78">
            <w:pPr>
              <w:jc w:val="center"/>
              <w:rPr>
                <w:color w:val="auto"/>
                <w:sz w:val="24"/>
              </w:rPr>
            </w:pPr>
            <w:r w:rsidRPr="00E84ABC">
              <w:rPr>
                <w:color w:val="auto"/>
                <w:sz w:val="24"/>
              </w:rPr>
              <w:t>Slovākija</w:t>
            </w:r>
          </w:p>
        </w:tc>
        <w:tc>
          <w:tcPr>
            <w:tcW w:w="1403" w:type="dxa"/>
            <w:tcBorders>
              <w:top w:val="nil"/>
              <w:left w:val="nil"/>
              <w:bottom w:val="single" w:sz="4" w:space="0" w:color="auto"/>
              <w:right w:val="single" w:sz="4" w:space="0" w:color="auto"/>
            </w:tcBorders>
            <w:noWrap/>
            <w:vAlign w:val="bottom"/>
          </w:tcPr>
          <w:p w14:paraId="7934EE7A"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7EADB980" w14:textId="77777777" w:rsidR="00BB2C78" w:rsidRPr="00E84ABC" w:rsidRDefault="00BB2C78" w:rsidP="00BB2C78">
            <w:pPr>
              <w:jc w:val="center"/>
              <w:rPr>
                <w:color w:val="auto"/>
                <w:sz w:val="24"/>
              </w:rPr>
            </w:pPr>
            <w:r w:rsidRPr="00E84ABC">
              <w:rPr>
                <w:color w:val="auto"/>
                <w:sz w:val="24"/>
              </w:rPr>
              <w:t>-</w:t>
            </w:r>
          </w:p>
        </w:tc>
        <w:tc>
          <w:tcPr>
            <w:tcW w:w="1581" w:type="dxa"/>
            <w:tcBorders>
              <w:top w:val="single" w:sz="4" w:space="0" w:color="auto"/>
              <w:left w:val="nil"/>
              <w:bottom w:val="single" w:sz="4" w:space="0" w:color="auto"/>
              <w:right w:val="single" w:sz="4" w:space="0" w:color="auto"/>
            </w:tcBorders>
            <w:noWrap/>
            <w:vAlign w:val="bottom"/>
          </w:tcPr>
          <w:p w14:paraId="69B25504" w14:textId="77777777" w:rsidR="00BB2C78" w:rsidRPr="00E84ABC" w:rsidRDefault="00BB2C78" w:rsidP="00BB2C78">
            <w:pPr>
              <w:jc w:val="center"/>
              <w:rPr>
                <w:color w:val="auto"/>
                <w:sz w:val="24"/>
              </w:rPr>
            </w:pPr>
            <w:r w:rsidRPr="00E84ABC">
              <w:rPr>
                <w:color w:val="auto"/>
                <w:sz w:val="24"/>
              </w:rPr>
              <w:t>100%</w:t>
            </w:r>
          </w:p>
        </w:tc>
        <w:tc>
          <w:tcPr>
            <w:tcW w:w="1579" w:type="dxa"/>
            <w:tcBorders>
              <w:top w:val="single" w:sz="4" w:space="0" w:color="auto"/>
              <w:left w:val="single" w:sz="4" w:space="0" w:color="auto"/>
              <w:bottom w:val="single" w:sz="4" w:space="0" w:color="auto"/>
              <w:right w:val="single" w:sz="4" w:space="0" w:color="auto"/>
            </w:tcBorders>
            <w:noWrap/>
            <w:vAlign w:val="bottom"/>
          </w:tcPr>
          <w:p w14:paraId="79745B7B" w14:textId="77777777" w:rsidR="00BB2C78" w:rsidRPr="00E84ABC" w:rsidRDefault="00BB2C78" w:rsidP="00BB2C78">
            <w:pPr>
              <w:jc w:val="center"/>
              <w:rPr>
                <w:color w:val="auto"/>
                <w:sz w:val="24"/>
              </w:rPr>
            </w:pPr>
            <w:r w:rsidRPr="00E84ABC">
              <w:rPr>
                <w:color w:val="auto"/>
                <w:sz w:val="24"/>
              </w:rPr>
              <w:t>-</w:t>
            </w:r>
          </w:p>
        </w:tc>
        <w:tc>
          <w:tcPr>
            <w:tcW w:w="704" w:type="dxa"/>
            <w:tcBorders>
              <w:top w:val="nil"/>
              <w:left w:val="single" w:sz="4" w:space="0" w:color="auto"/>
              <w:bottom w:val="single" w:sz="4" w:space="0" w:color="auto"/>
              <w:right w:val="single" w:sz="4" w:space="0" w:color="auto"/>
            </w:tcBorders>
            <w:noWrap/>
            <w:vAlign w:val="bottom"/>
          </w:tcPr>
          <w:p w14:paraId="7FE68680" w14:textId="77777777" w:rsidR="00BB2C78" w:rsidRPr="00E84ABC" w:rsidRDefault="00BB2C78" w:rsidP="00BB2C78">
            <w:pPr>
              <w:jc w:val="center"/>
              <w:rPr>
                <w:color w:val="auto"/>
                <w:sz w:val="24"/>
              </w:rPr>
            </w:pPr>
            <w:r w:rsidRPr="00E84ABC">
              <w:rPr>
                <w:color w:val="auto"/>
                <w:sz w:val="24"/>
              </w:rPr>
              <w:t>-</w:t>
            </w:r>
          </w:p>
        </w:tc>
      </w:tr>
      <w:tr w:rsidR="00355E17" w:rsidRPr="00E84ABC" w14:paraId="1C11CCF1"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51C24C59" w14:textId="77777777" w:rsidR="00BB2C78" w:rsidRPr="00E84ABC" w:rsidRDefault="00BB2C78" w:rsidP="00BB2C78">
            <w:pPr>
              <w:jc w:val="center"/>
              <w:rPr>
                <w:color w:val="auto"/>
                <w:sz w:val="24"/>
              </w:rPr>
            </w:pPr>
            <w:r w:rsidRPr="00E84ABC">
              <w:rPr>
                <w:color w:val="auto"/>
                <w:sz w:val="24"/>
              </w:rPr>
              <w:t>Slovēnija</w:t>
            </w:r>
          </w:p>
        </w:tc>
        <w:tc>
          <w:tcPr>
            <w:tcW w:w="1403" w:type="dxa"/>
            <w:tcBorders>
              <w:top w:val="nil"/>
              <w:left w:val="nil"/>
              <w:bottom w:val="single" w:sz="4" w:space="0" w:color="auto"/>
              <w:right w:val="single" w:sz="4" w:space="0" w:color="auto"/>
            </w:tcBorders>
            <w:noWrap/>
            <w:vAlign w:val="bottom"/>
          </w:tcPr>
          <w:p w14:paraId="25F7C401"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2D2733C1"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53F94156"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nil"/>
              <w:bottom w:val="single" w:sz="4" w:space="0" w:color="auto"/>
              <w:right w:val="single" w:sz="4" w:space="0" w:color="auto"/>
            </w:tcBorders>
            <w:noWrap/>
            <w:vAlign w:val="bottom"/>
          </w:tcPr>
          <w:p w14:paraId="1C4C725C" w14:textId="77777777" w:rsidR="00BB2C78" w:rsidRPr="00E84ABC" w:rsidRDefault="00BB2C78" w:rsidP="00BB2C78">
            <w:pPr>
              <w:jc w:val="center"/>
              <w:rPr>
                <w:color w:val="auto"/>
                <w:sz w:val="24"/>
              </w:rPr>
            </w:pPr>
            <w:r w:rsidRPr="00E84ABC">
              <w:rPr>
                <w:color w:val="auto"/>
                <w:sz w:val="24"/>
              </w:rPr>
              <w:t>99%</w:t>
            </w:r>
          </w:p>
        </w:tc>
        <w:tc>
          <w:tcPr>
            <w:tcW w:w="704" w:type="dxa"/>
            <w:tcBorders>
              <w:top w:val="nil"/>
              <w:left w:val="nil"/>
              <w:bottom w:val="single" w:sz="4" w:space="0" w:color="auto"/>
              <w:right w:val="single" w:sz="4" w:space="0" w:color="auto"/>
            </w:tcBorders>
            <w:noWrap/>
            <w:vAlign w:val="bottom"/>
          </w:tcPr>
          <w:p w14:paraId="3BCBFF66" w14:textId="77777777" w:rsidR="00BB2C78" w:rsidRPr="00E84ABC" w:rsidRDefault="00BB2C78" w:rsidP="00BB2C78">
            <w:pPr>
              <w:jc w:val="center"/>
              <w:rPr>
                <w:color w:val="auto"/>
                <w:sz w:val="24"/>
              </w:rPr>
            </w:pPr>
            <w:r w:rsidRPr="00E84ABC">
              <w:rPr>
                <w:color w:val="auto"/>
                <w:sz w:val="24"/>
              </w:rPr>
              <w:t>1%</w:t>
            </w:r>
          </w:p>
        </w:tc>
      </w:tr>
      <w:tr w:rsidR="00355E17" w:rsidRPr="00E84ABC" w14:paraId="59596A55"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71EFE7B4" w14:textId="77777777" w:rsidR="00BB2C78" w:rsidRPr="00E84ABC" w:rsidRDefault="00BB2C78" w:rsidP="00BB2C78">
            <w:pPr>
              <w:jc w:val="center"/>
              <w:rPr>
                <w:color w:val="auto"/>
                <w:sz w:val="24"/>
              </w:rPr>
            </w:pPr>
            <w:r w:rsidRPr="00E84ABC">
              <w:rPr>
                <w:color w:val="auto"/>
                <w:sz w:val="24"/>
              </w:rPr>
              <w:t>Somija</w:t>
            </w:r>
          </w:p>
        </w:tc>
        <w:tc>
          <w:tcPr>
            <w:tcW w:w="1403" w:type="dxa"/>
            <w:tcBorders>
              <w:top w:val="nil"/>
              <w:left w:val="nil"/>
              <w:bottom w:val="single" w:sz="4" w:space="0" w:color="auto"/>
              <w:right w:val="nil"/>
            </w:tcBorders>
            <w:noWrap/>
            <w:vAlign w:val="bottom"/>
          </w:tcPr>
          <w:p w14:paraId="1B98E066"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52E57435"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47A7F636"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single" w:sz="4" w:space="0" w:color="auto"/>
              <w:bottom w:val="single" w:sz="4" w:space="0" w:color="auto"/>
              <w:right w:val="single" w:sz="4" w:space="0" w:color="auto"/>
            </w:tcBorders>
            <w:noWrap/>
            <w:vAlign w:val="bottom"/>
          </w:tcPr>
          <w:p w14:paraId="119D511C" w14:textId="77777777" w:rsidR="00BB2C78" w:rsidRPr="00E84ABC" w:rsidRDefault="00BB2C78" w:rsidP="00BB2C78">
            <w:pPr>
              <w:jc w:val="center"/>
              <w:rPr>
                <w:color w:val="auto"/>
                <w:sz w:val="24"/>
              </w:rPr>
            </w:pPr>
            <w:r w:rsidRPr="00E84ABC">
              <w:rPr>
                <w:color w:val="auto"/>
                <w:sz w:val="24"/>
              </w:rPr>
              <w:t>67%</w:t>
            </w:r>
          </w:p>
        </w:tc>
        <w:tc>
          <w:tcPr>
            <w:tcW w:w="704" w:type="dxa"/>
            <w:tcBorders>
              <w:top w:val="nil"/>
              <w:left w:val="single" w:sz="4" w:space="0" w:color="auto"/>
              <w:bottom w:val="single" w:sz="4" w:space="0" w:color="auto"/>
              <w:right w:val="single" w:sz="4" w:space="0" w:color="auto"/>
            </w:tcBorders>
            <w:noWrap/>
            <w:vAlign w:val="bottom"/>
          </w:tcPr>
          <w:p w14:paraId="5B3D4A54" w14:textId="77777777" w:rsidR="00BB2C78" w:rsidRPr="00E84ABC" w:rsidRDefault="00BB2C78" w:rsidP="00BB2C78">
            <w:pPr>
              <w:jc w:val="center"/>
              <w:rPr>
                <w:color w:val="auto"/>
                <w:sz w:val="24"/>
              </w:rPr>
            </w:pPr>
            <w:r w:rsidRPr="00E84ABC">
              <w:rPr>
                <w:color w:val="auto"/>
                <w:sz w:val="24"/>
              </w:rPr>
              <w:t>33%</w:t>
            </w:r>
          </w:p>
        </w:tc>
      </w:tr>
      <w:tr w:rsidR="00355E17" w:rsidRPr="00E84ABC" w14:paraId="52C62B43"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56511558" w14:textId="77777777" w:rsidR="00BB2C78" w:rsidRPr="00E84ABC" w:rsidRDefault="00BB2C78" w:rsidP="00BB2C78">
            <w:pPr>
              <w:jc w:val="center"/>
              <w:rPr>
                <w:color w:val="auto"/>
                <w:sz w:val="24"/>
              </w:rPr>
            </w:pPr>
            <w:r w:rsidRPr="00E84ABC">
              <w:rPr>
                <w:color w:val="auto"/>
                <w:sz w:val="24"/>
              </w:rPr>
              <w:t>Spānija</w:t>
            </w:r>
          </w:p>
        </w:tc>
        <w:tc>
          <w:tcPr>
            <w:tcW w:w="1403" w:type="dxa"/>
            <w:tcBorders>
              <w:top w:val="single" w:sz="4" w:space="0" w:color="auto"/>
              <w:left w:val="nil"/>
              <w:bottom w:val="single" w:sz="4" w:space="0" w:color="auto"/>
              <w:right w:val="single" w:sz="4" w:space="0" w:color="auto"/>
            </w:tcBorders>
            <w:noWrap/>
            <w:vAlign w:val="bottom"/>
          </w:tcPr>
          <w:p w14:paraId="7FACC255" w14:textId="77777777" w:rsidR="00BB2C78" w:rsidRPr="00E84ABC" w:rsidRDefault="00BB2C78" w:rsidP="00BB2C78">
            <w:pPr>
              <w:jc w:val="center"/>
              <w:rPr>
                <w:color w:val="auto"/>
                <w:sz w:val="24"/>
              </w:rPr>
            </w:pPr>
            <w:r w:rsidRPr="00E84ABC">
              <w:rPr>
                <w:color w:val="auto"/>
                <w:sz w:val="24"/>
              </w:rPr>
              <w:t>-</w:t>
            </w:r>
          </w:p>
        </w:tc>
        <w:tc>
          <w:tcPr>
            <w:tcW w:w="1534" w:type="dxa"/>
            <w:tcBorders>
              <w:top w:val="single" w:sz="4" w:space="0" w:color="auto"/>
              <w:left w:val="single" w:sz="4" w:space="0" w:color="auto"/>
              <w:bottom w:val="single" w:sz="4" w:space="0" w:color="auto"/>
              <w:right w:val="single" w:sz="4" w:space="0" w:color="auto"/>
            </w:tcBorders>
            <w:noWrap/>
            <w:vAlign w:val="bottom"/>
          </w:tcPr>
          <w:p w14:paraId="21A83044" w14:textId="77777777" w:rsidR="00BB2C78" w:rsidRPr="00E84ABC" w:rsidRDefault="00BB2C78" w:rsidP="00BB2C78">
            <w:pPr>
              <w:jc w:val="center"/>
              <w:rPr>
                <w:color w:val="auto"/>
                <w:sz w:val="24"/>
              </w:rPr>
            </w:pPr>
            <w:r w:rsidRPr="00E84ABC">
              <w:rPr>
                <w:color w:val="auto"/>
                <w:sz w:val="24"/>
              </w:rPr>
              <w:t>100 %</w:t>
            </w:r>
          </w:p>
        </w:tc>
        <w:tc>
          <w:tcPr>
            <w:tcW w:w="1581" w:type="dxa"/>
            <w:tcBorders>
              <w:top w:val="single" w:sz="4" w:space="0" w:color="auto"/>
              <w:left w:val="nil"/>
              <w:bottom w:val="single" w:sz="4" w:space="0" w:color="auto"/>
              <w:right w:val="single" w:sz="4" w:space="0" w:color="auto"/>
            </w:tcBorders>
            <w:noWrap/>
            <w:vAlign w:val="bottom"/>
          </w:tcPr>
          <w:p w14:paraId="4C505E12"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single" w:sz="4" w:space="0" w:color="auto"/>
              <w:bottom w:val="single" w:sz="4" w:space="0" w:color="auto"/>
              <w:right w:val="single" w:sz="4" w:space="0" w:color="auto"/>
            </w:tcBorders>
            <w:noWrap/>
            <w:vAlign w:val="bottom"/>
          </w:tcPr>
          <w:p w14:paraId="4235A950"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single" w:sz="4" w:space="0" w:color="auto"/>
              <w:bottom w:val="single" w:sz="4" w:space="0" w:color="auto"/>
              <w:right w:val="single" w:sz="4" w:space="0" w:color="auto"/>
            </w:tcBorders>
            <w:noWrap/>
            <w:vAlign w:val="bottom"/>
          </w:tcPr>
          <w:p w14:paraId="1FAD3490" w14:textId="77777777" w:rsidR="00BB2C78" w:rsidRPr="00E84ABC" w:rsidRDefault="00BB2C78" w:rsidP="00BB2C78">
            <w:pPr>
              <w:jc w:val="center"/>
              <w:rPr>
                <w:color w:val="auto"/>
                <w:sz w:val="24"/>
              </w:rPr>
            </w:pPr>
          </w:p>
        </w:tc>
      </w:tr>
      <w:tr w:rsidR="00355E17" w:rsidRPr="00E84ABC" w14:paraId="7D476083"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177696F6" w14:textId="77777777" w:rsidR="00BB2C78" w:rsidRPr="00E84ABC" w:rsidRDefault="00BB2C78" w:rsidP="00BB2C78">
            <w:pPr>
              <w:jc w:val="center"/>
              <w:rPr>
                <w:color w:val="auto"/>
                <w:sz w:val="24"/>
              </w:rPr>
            </w:pPr>
            <w:r w:rsidRPr="00E84ABC">
              <w:rPr>
                <w:color w:val="auto"/>
                <w:sz w:val="24"/>
              </w:rPr>
              <w:t>Ungārija</w:t>
            </w:r>
          </w:p>
        </w:tc>
        <w:tc>
          <w:tcPr>
            <w:tcW w:w="1403" w:type="dxa"/>
            <w:tcBorders>
              <w:top w:val="nil"/>
              <w:left w:val="nil"/>
              <w:bottom w:val="single" w:sz="4" w:space="0" w:color="auto"/>
              <w:right w:val="single" w:sz="4" w:space="0" w:color="auto"/>
            </w:tcBorders>
            <w:noWrap/>
            <w:vAlign w:val="bottom"/>
          </w:tcPr>
          <w:p w14:paraId="3B8A2B3E"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3EA9B520"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0F967108"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nil"/>
              <w:bottom w:val="single" w:sz="4" w:space="0" w:color="auto"/>
              <w:right w:val="single" w:sz="4" w:space="0" w:color="auto"/>
            </w:tcBorders>
            <w:noWrap/>
            <w:vAlign w:val="bottom"/>
          </w:tcPr>
          <w:p w14:paraId="197B02AC" w14:textId="77777777" w:rsidR="00BB2C78" w:rsidRPr="00E84ABC" w:rsidRDefault="00BB2C78" w:rsidP="00BB2C78">
            <w:pPr>
              <w:jc w:val="center"/>
              <w:rPr>
                <w:color w:val="auto"/>
                <w:sz w:val="24"/>
              </w:rPr>
            </w:pPr>
            <w:r w:rsidRPr="00E84ABC">
              <w:rPr>
                <w:color w:val="auto"/>
                <w:sz w:val="24"/>
              </w:rPr>
              <w:t>100%</w:t>
            </w:r>
          </w:p>
        </w:tc>
        <w:tc>
          <w:tcPr>
            <w:tcW w:w="704" w:type="dxa"/>
            <w:tcBorders>
              <w:top w:val="nil"/>
              <w:left w:val="nil"/>
              <w:bottom w:val="single" w:sz="4" w:space="0" w:color="auto"/>
              <w:right w:val="single" w:sz="4" w:space="0" w:color="auto"/>
            </w:tcBorders>
            <w:noWrap/>
            <w:vAlign w:val="bottom"/>
          </w:tcPr>
          <w:p w14:paraId="1F222DE5" w14:textId="77777777" w:rsidR="00BB2C78" w:rsidRPr="00E84ABC" w:rsidRDefault="00BB2C78" w:rsidP="00BB2C78">
            <w:pPr>
              <w:jc w:val="center"/>
              <w:rPr>
                <w:color w:val="auto"/>
                <w:sz w:val="24"/>
              </w:rPr>
            </w:pPr>
            <w:r w:rsidRPr="00E84ABC">
              <w:rPr>
                <w:color w:val="auto"/>
                <w:sz w:val="24"/>
              </w:rPr>
              <w:t>-</w:t>
            </w:r>
          </w:p>
        </w:tc>
      </w:tr>
      <w:tr w:rsidR="00355E17" w:rsidRPr="00E84ABC" w14:paraId="2D078C7A"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364E75E1" w14:textId="77777777" w:rsidR="00BB2C78" w:rsidRPr="00E84ABC" w:rsidRDefault="00BB2C78" w:rsidP="00BB2C78">
            <w:pPr>
              <w:jc w:val="center"/>
              <w:rPr>
                <w:color w:val="auto"/>
                <w:sz w:val="24"/>
              </w:rPr>
            </w:pPr>
            <w:r w:rsidRPr="00E84ABC">
              <w:rPr>
                <w:color w:val="auto"/>
                <w:sz w:val="24"/>
              </w:rPr>
              <w:t>Vācija</w:t>
            </w:r>
          </w:p>
        </w:tc>
        <w:tc>
          <w:tcPr>
            <w:tcW w:w="2937" w:type="dxa"/>
            <w:gridSpan w:val="2"/>
            <w:tcBorders>
              <w:top w:val="single" w:sz="4" w:space="0" w:color="auto"/>
              <w:left w:val="nil"/>
              <w:bottom w:val="single" w:sz="4" w:space="0" w:color="auto"/>
              <w:right w:val="single" w:sz="4" w:space="0" w:color="auto"/>
            </w:tcBorders>
            <w:noWrap/>
            <w:vAlign w:val="bottom"/>
          </w:tcPr>
          <w:p w14:paraId="7B0D0EFA" w14:textId="77777777" w:rsidR="00BB2C78" w:rsidRPr="00E84ABC" w:rsidRDefault="00BB2C78" w:rsidP="00BB2C78">
            <w:pPr>
              <w:jc w:val="center"/>
              <w:rPr>
                <w:color w:val="auto"/>
                <w:sz w:val="24"/>
              </w:rPr>
            </w:pPr>
            <w:r w:rsidRPr="00E84ABC">
              <w:rPr>
                <w:color w:val="auto"/>
                <w:sz w:val="24"/>
              </w:rPr>
              <w:t>gan tirgus, gan valsts</w:t>
            </w:r>
          </w:p>
        </w:tc>
        <w:tc>
          <w:tcPr>
            <w:tcW w:w="3864" w:type="dxa"/>
            <w:gridSpan w:val="3"/>
            <w:tcBorders>
              <w:top w:val="single" w:sz="4" w:space="0" w:color="auto"/>
              <w:left w:val="nil"/>
              <w:bottom w:val="single" w:sz="4" w:space="0" w:color="auto"/>
              <w:right w:val="single" w:sz="4" w:space="0" w:color="auto"/>
            </w:tcBorders>
            <w:noWrap/>
            <w:vAlign w:val="bottom"/>
          </w:tcPr>
          <w:p w14:paraId="3F048FA5" w14:textId="77777777" w:rsidR="00BB2C78" w:rsidRPr="00E84ABC" w:rsidRDefault="00BB2C78" w:rsidP="00BB2C78">
            <w:pPr>
              <w:jc w:val="center"/>
              <w:rPr>
                <w:color w:val="auto"/>
                <w:sz w:val="24"/>
              </w:rPr>
            </w:pPr>
            <w:r w:rsidRPr="00E84ABC">
              <w:rPr>
                <w:color w:val="auto"/>
                <w:sz w:val="24"/>
              </w:rPr>
              <w:t>gan tirgus, gan valsts</w:t>
            </w:r>
          </w:p>
        </w:tc>
      </w:tr>
      <w:tr w:rsidR="00355E17" w:rsidRPr="00E84ABC" w14:paraId="12CD4A0C" w14:textId="77777777" w:rsidTr="00833C0E">
        <w:trPr>
          <w:trHeight w:val="255"/>
        </w:trPr>
        <w:tc>
          <w:tcPr>
            <w:tcW w:w="2310" w:type="dxa"/>
            <w:tcBorders>
              <w:top w:val="nil"/>
              <w:left w:val="single" w:sz="4" w:space="0" w:color="auto"/>
              <w:bottom w:val="single" w:sz="4" w:space="0" w:color="auto"/>
              <w:right w:val="single" w:sz="4" w:space="0" w:color="auto"/>
            </w:tcBorders>
            <w:noWrap/>
            <w:vAlign w:val="bottom"/>
          </w:tcPr>
          <w:p w14:paraId="15A4EE81" w14:textId="77777777" w:rsidR="00BB2C78" w:rsidRPr="00E84ABC" w:rsidRDefault="00BB2C78" w:rsidP="00BB2C78">
            <w:pPr>
              <w:jc w:val="center"/>
              <w:rPr>
                <w:color w:val="auto"/>
                <w:sz w:val="24"/>
              </w:rPr>
            </w:pPr>
            <w:r w:rsidRPr="00E84ABC">
              <w:rPr>
                <w:color w:val="auto"/>
                <w:sz w:val="24"/>
              </w:rPr>
              <w:t>Zviedrija</w:t>
            </w:r>
          </w:p>
        </w:tc>
        <w:tc>
          <w:tcPr>
            <w:tcW w:w="1403" w:type="dxa"/>
            <w:tcBorders>
              <w:top w:val="nil"/>
              <w:left w:val="nil"/>
              <w:bottom w:val="single" w:sz="4" w:space="0" w:color="auto"/>
              <w:right w:val="single" w:sz="4" w:space="0" w:color="auto"/>
            </w:tcBorders>
            <w:noWrap/>
            <w:vAlign w:val="bottom"/>
          </w:tcPr>
          <w:p w14:paraId="735E7798"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0A1EECEC"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5F73C005"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769A790C" w14:textId="77777777" w:rsidR="00BB2C78" w:rsidRPr="00E84ABC" w:rsidRDefault="00BB2C78" w:rsidP="00BB2C78">
            <w:pPr>
              <w:jc w:val="center"/>
              <w:rPr>
                <w:color w:val="auto"/>
                <w:sz w:val="24"/>
              </w:rPr>
            </w:pPr>
            <w:r w:rsidRPr="00E84ABC">
              <w:rPr>
                <w:color w:val="auto"/>
                <w:sz w:val="24"/>
              </w:rPr>
              <w:t>88%</w:t>
            </w:r>
          </w:p>
        </w:tc>
        <w:tc>
          <w:tcPr>
            <w:tcW w:w="704" w:type="dxa"/>
            <w:tcBorders>
              <w:top w:val="nil"/>
              <w:left w:val="nil"/>
              <w:bottom w:val="single" w:sz="4" w:space="0" w:color="auto"/>
              <w:right w:val="single" w:sz="4" w:space="0" w:color="auto"/>
            </w:tcBorders>
            <w:noWrap/>
            <w:vAlign w:val="bottom"/>
          </w:tcPr>
          <w:p w14:paraId="1F22BD85" w14:textId="77777777" w:rsidR="00BB2C78" w:rsidRPr="00E84ABC" w:rsidRDefault="00BB2C78" w:rsidP="00BB2C78">
            <w:pPr>
              <w:jc w:val="center"/>
              <w:rPr>
                <w:color w:val="auto"/>
                <w:sz w:val="24"/>
              </w:rPr>
            </w:pPr>
            <w:r w:rsidRPr="00E84ABC">
              <w:rPr>
                <w:color w:val="auto"/>
                <w:sz w:val="24"/>
              </w:rPr>
              <w:t>12%</w:t>
            </w:r>
          </w:p>
        </w:tc>
      </w:tr>
    </w:tbl>
    <w:p w14:paraId="689E60B6" w14:textId="77777777" w:rsidR="00C226B3" w:rsidRDefault="00BB2C78" w:rsidP="00DE1C96">
      <w:pPr>
        <w:rPr>
          <w:color w:val="auto"/>
          <w:sz w:val="24"/>
        </w:rPr>
      </w:pPr>
      <w:r w:rsidRPr="00E84ABC">
        <w:rPr>
          <w:color w:val="auto"/>
          <w:sz w:val="24"/>
        </w:rPr>
        <w:t>* pašu ieņēmumi (no frekvenču maksām u.c.)</w:t>
      </w:r>
    </w:p>
    <w:p w14:paraId="16D7B214" w14:textId="77777777" w:rsidR="00F936B5" w:rsidRDefault="00F936B5" w:rsidP="005E2D90">
      <w:pPr>
        <w:spacing w:before="60" w:after="60"/>
        <w:ind w:firstLine="720"/>
        <w:jc w:val="both"/>
        <w:rPr>
          <w:color w:val="auto"/>
          <w:sz w:val="26"/>
          <w:szCs w:val="26"/>
        </w:rPr>
      </w:pPr>
    </w:p>
    <w:p w14:paraId="1EF1025B" w14:textId="7CF324CC" w:rsidR="00C226B3" w:rsidRPr="00AF170D" w:rsidRDefault="00110148" w:rsidP="005E2D90">
      <w:pPr>
        <w:spacing w:before="60" w:after="60"/>
        <w:ind w:firstLine="720"/>
        <w:jc w:val="both"/>
        <w:rPr>
          <w:sz w:val="26"/>
          <w:szCs w:val="26"/>
        </w:rPr>
      </w:pPr>
      <w:r w:rsidRPr="00AF170D">
        <w:rPr>
          <w:color w:val="auto"/>
          <w:sz w:val="26"/>
          <w:szCs w:val="26"/>
        </w:rPr>
        <w:t>Regulatora veikt</w:t>
      </w:r>
      <w:r w:rsidR="00A90B63" w:rsidRPr="00AF170D">
        <w:rPr>
          <w:color w:val="auto"/>
          <w:sz w:val="26"/>
          <w:szCs w:val="26"/>
        </w:rPr>
        <w:t>ā citu valstu regulatoru</w:t>
      </w:r>
      <w:r w:rsidRPr="00AF170D">
        <w:rPr>
          <w:color w:val="auto"/>
          <w:sz w:val="26"/>
          <w:szCs w:val="26"/>
        </w:rPr>
        <w:t xml:space="preserve"> finansēšanas modeļ</w:t>
      </w:r>
      <w:r w:rsidR="00F536D6" w:rsidRPr="00AF170D">
        <w:rPr>
          <w:color w:val="auto"/>
          <w:sz w:val="26"/>
          <w:szCs w:val="26"/>
        </w:rPr>
        <w:t xml:space="preserve">u izpēte </w:t>
      </w:r>
      <w:r w:rsidRPr="00AF170D">
        <w:rPr>
          <w:color w:val="auto"/>
          <w:sz w:val="26"/>
          <w:szCs w:val="26"/>
        </w:rPr>
        <w:t xml:space="preserve">parāda, ka tie var atšķirties, taču pamatā </w:t>
      </w:r>
      <w:r w:rsidR="004C0710" w:rsidRPr="00AF170D">
        <w:rPr>
          <w:color w:val="auto"/>
          <w:sz w:val="26"/>
          <w:szCs w:val="26"/>
        </w:rPr>
        <w:t xml:space="preserve">ir </w:t>
      </w:r>
      <w:r w:rsidRPr="00AF170D">
        <w:rPr>
          <w:color w:val="auto"/>
          <w:sz w:val="26"/>
          <w:szCs w:val="26"/>
        </w:rPr>
        <w:t xml:space="preserve">veidoti tā, lai visefektīvāk nodrošinātu regulatora </w:t>
      </w:r>
      <w:r w:rsidR="00A90B63" w:rsidRPr="00AF170D">
        <w:rPr>
          <w:color w:val="auto"/>
          <w:sz w:val="26"/>
          <w:szCs w:val="26"/>
        </w:rPr>
        <w:t>darbību</w:t>
      </w:r>
      <w:r w:rsidRPr="00AF170D">
        <w:rPr>
          <w:color w:val="auto"/>
          <w:sz w:val="26"/>
          <w:szCs w:val="26"/>
        </w:rPr>
        <w:t>.</w:t>
      </w:r>
      <w:r w:rsidR="00EA33D8" w:rsidRPr="00AF170D">
        <w:rPr>
          <w:sz w:val="26"/>
          <w:szCs w:val="26"/>
        </w:rPr>
        <w:t xml:space="preserve"> </w:t>
      </w:r>
      <w:r w:rsidR="004D1475" w:rsidRPr="00AF170D">
        <w:rPr>
          <w:sz w:val="26"/>
          <w:szCs w:val="26"/>
        </w:rPr>
        <w:t>Šādā veidā valstis</w:t>
      </w:r>
      <w:r w:rsidR="00EA33D8" w:rsidRPr="00AF170D">
        <w:rPr>
          <w:sz w:val="26"/>
          <w:szCs w:val="26"/>
        </w:rPr>
        <w:t xml:space="preserve"> nodrošina, ka </w:t>
      </w:r>
      <w:r w:rsidR="004D1475" w:rsidRPr="00AF170D">
        <w:rPr>
          <w:sz w:val="26"/>
          <w:szCs w:val="26"/>
        </w:rPr>
        <w:t xml:space="preserve">regulatīvajām iestādēm ir </w:t>
      </w:r>
      <w:r w:rsidR="00EA33D8" w:rsidRPr="00AF170D">
        <w:rPr>
          <w:sz w:val="26"/>
          <w:szCs w:val="26"/>
        </w:rPr>
        <w:t>iespēja neatkarīgi īstenot piešķirto budžetu, kā arī to, ka tai ir atbilstīgi cilvēkresursi un finanšu resursi, lai veiktu savus pienākumus</w:t>
      </w:r>
      <w:r w:rsidR="004C0710" w:rsidRPr="00AF170D">
        <w:rPr>
          <w:sz w:val="26"/>
          <w:szCs w:val="26"/>
        </w:rPr>
        <w:t>.</w:t>
      </w:r>
    </w:p>
    <w:p w14:paraId="3873D830" w14:textId="1293DF51" w:rsidR="001A1A08" w:rsidRPr="00551716" w:rsidRDefault="00E51881" w:rsidP="00DE7439">
      <w:pPr>
        <w:rPr>
          <w:color w:val="auto"/>
          <w:sz w:val="22"/>
          <w:szCs w:val="22"/>
        </w:rPr>
      </w:pPr>
      <w:r w:rsidRPr="00AF170D">
        <w:rPr>
          <w:sz w:val="26"/>
          <w:szCs w:val="26"/>
        </w:rPr>
        <w:tab/>
      </w:r>
      <w:r w:rsidR="004D1475" w:rsidRPr="00AF170D">
        <w:rPr>
          <w:sz w:val="26"/>
          <w:szCs w:val="26"/>
        </w:rPr>
        <w:t>Kā liecina Regulatora veiktā citu valstu regulatoru</w:t>
      </w:r>
      <w:r w:rsidR="00AE7CE7" w:rsidRPr="00AF170D">
        <w:rPr>
          <w:sz w:val="26"/>
          <w:szCs w:val="26"/>
        </w:rPr>
        <w:t>, arī daudznozaru,</w:t>
      </w:r>
      <w:r w:rsidR="004D1475" w:rsidRPr="00AF170D">
        <w:rPr>
          <w:sz w:val="26"/>
          <w:szCs w:val="26"/>
        </w:rPr>
        <w:t xml:space="preserve"> aptauja</w:t>
      </w:r>
      <w:r w:rsidR="008C2E92" w:rsidRPr="00AF170D">
        <w:rPr>
          <w:sz w:val="26"/>
          <w:szCs w:val="26"/>
        </w:rPr>
        <w:t>,</w:t>
      </w:r>
      <w:r w:rsidR="004D1475" w:rsidRPr="00AF170D">
        <w:rPr>
          <w:sz w:val="26"/>
          <w:szCs w:val="26"/>
        </w:rPr>
        <w:t xml:space="preserve"> gan </w:t>
      </w:r>
      <w:r w:rsidRPr="00AF170D">
        <w:rPr>
          <w:sz w:val="26"/>
          <w:szCs w:val="26"/>
        </w:rPr>
        <w:t>Eiropas Savienības</w:t>
      </w:r>
      <w:r w:rsidR="004D1475" w:rsidRPr="00AF170D">
        <w:rPr>
          <w:sz w:val="26"/>
          <w:szCs w:val="26"/>
        </w:rPr>
        <w:t>, gan</w:t>
      </w:r>
      <w:r w:rsidRPr="00AF170D">
        <w:rPr>
          <w:sz w:val="26"/>
          <w:szCs w:val="26"/>
        </w:rPr>
        <w:t xml:space="preserve"> ASV štatu regulatoru finansē</w:t>
      </w:r>
      <w:r w:rsidR="004D1475" w:rsidRPr="00AF170D">
        <w:rPr>
          <w:sz w:val="26"/>
          <w:szCs w:val="26"/>
        </w:rPr>
        <w:t>šanas modeļos</w:t>
      </w:r>
      <w:r w:rsidRPr="00AF170D">
        <w:rPr>
          <w:sz w:val="26"/>
          <w:szCs w:val="26"/>
        </w:rPr>
        <w:t xml:space="preserve"> </w:t>
      </w:r>
      <w:r w:rsidR="00A406DE" w:rsidRPr="00AF170D">
        <w:rPr>
          <w:sz w:val="26"/>
          <w:szCs w:val="26"/>
        </w:rPr>
        <w:t xml:space="preserve">ir </w:t>
      </w:r>
      <w:r w:rsidRPr="00AF170D">
        <w:rPr>
          <w:sz w:val="26"/>
          <w:szCs w:val="26"/>
        </w:rPr>
        <w:t>iekļaut</w:t>
      </w:r>
      <w:r w:rsidR="00A406DE" w:rsidRPr="00AF170D">
        <w:rPr>
          <w:sz w:val="26"/>
          <w:szCs w:val="26"/>
        </w:rPr>
        <w:t>a</w:t>
      </w:r>
      <w:r w:rsidRPr="00AF170D">
        <w:rPr>
          <w:sz w:val="26"/>
          <w:szCs w:val="26"/>
        </w:rPr>
        <w:t xml:space="preserve"> budžeta līdzekļu uzkr</w:t>
      </w:r>
      <w:r w:rsidR="00A406DE" w:rsidRPr="00AF170D">
        <w:rPr>
          <w:sz w:val="26"/>
          <w:szCs w:val="26"/>
        </w:rPr>
        <w:t>ājumu veidošana</w:t>
      </w:r>
      <w:r w:rsidR="004D1475" w:rsidRPr="00AF170D">
        <w:rPr>
          <w:sz w:val="26"/>
          <w:szCs w:val="26"/>
        </w:rPr>
        <w:t xml:space="preserve"> neparedzētiem gadījumiem</w:t>
      </w:r>
      <w:r w:rsidR="004C0710" w:rsidRPr="00AF170D">
        <w:rPr>
          <w:sz w:val="26"/>
          <w:szCs w:val="26"/>
        </w:rPr>
        <w:t xml:space="preserve">. </w:t>
      </w:r>
      <w:r w:rsidR="004D1475" w:rsidRPr="00AF170D">
        <w:rPr>
          <w:sz w:val="26"/>
          <w:szCs w:val="26"/>
        </w:rPr>
        <w:t>P</w:t>
      </w:r>
      <w:r w:rsidR="00CD4B39" w:rsidRPr="00AF170D">
        <w:rPr>
          <w:sz w:val="26"/>
          <w:szCs w:val="26"/>
        </w:rPr>
        <w:t xml:space="preserve">iemēram, </w:t>
      </w:r>
      <w:r w:rsidR="00CD4B39" w:rsidRPr="00AF170D">
        <w:rPr>
          <w:rFonts w:eastAsia="Calibri"/>
          <w:color w:val="auto"/>
          <w:sz w:val="26"/>
          <w:szCs w:val="26"/>
        </w:rPr>
        <w:t>Itālijas Elektroenerģijas, gāzes un ūdens regulators</w:t>
      </w:r>
      <w:r w:rsidR="00CD4B39" w:rsidRPr="00AF170D">
        <w:rPr>
          <w:sz w:val="26"/>
          <w:szCs w:val="26"/>
        </w:rPr>
        <w:t xml:space="preserve"> </w:t>
      </w:r>
      <w:r w:rsidR="00110148" w:rsidRPr="00AF170D">
        <w:rPr>
          <w:sz w:val="26"/>
          <w:szCs w:val="26"/>
        </w:rPr>
        <w:t>(AEEGSI)</w:t>
      </w:r>
      <w:r w:rsidR="004D1475" w:rsidRPr="00AF170D">
        <w:rPr>
          <w:sz w:val="26"/>
          <w:szCs w:val="26"/>
        </w:rPr>
        <w:t xml:space="preserve"> atbilstoši tiesību aktos noteiktajam deleģējumam organizatoriskajos, administratīvajos</w:t>
      </w:r>
      <w:r w:rsidR="00A406DE" w:rsidRPr="00AF170D">
        <w:rPr>
          <w:sz w:val="26"/>
          <w:szCs w:val="26"/>
        </w:rPr>
        <w:t xml:space="preserve"> un </w:t>
      </w:r>
      <w:r w:rsidR="004D1475" w:rsidRPr="00AF170D">
        <w:rPr>
          <w:sz w:val="26"/>
          <w:szCs w:val="26"/>
        </w:rPr>
        <w:t>finanšu autonomijas jautājumos</w:t>
      </w:r>
      <w:r w:rsidR="00DE7439" w:rsidRPr="00AF170D">
        <w:rPr>
          <w:sz w:val="26"/>
          <w:szCs w:val="26"/>
        </w:rPr>
        <w:t xml:space="preserve"> </w:t>
      </w:r>
      <w:r w:rsidR="004D4B16" w:rsidRPr="00AF170D">
        <w:rPr>
          <w:sz w:val="26"/>
          <w:szCs w:val="26"/>
        </w:rPr>
        <w:t xml:space="preserve">budžeta regulējumā ir iekļāvis </w:t>
      </w:r>
      <w:r w:rsidR="00DE7439" w:rsidRPr="00AF170D">
        <w:rPr>
          <w:sz w:val="26"/>
          <w:szCs w:val="26"/>
        </w:rPr>
        <w:t xml:space="preserve">AEEGSI </w:t>
      </w:r>
      <w:r w:rsidR="004D4B16" w:rsidRPr="00AF170D">
        <w:rPr>
          <w:sz w:val="26"/>
          <w:szCs w:val="26"/>
        </w:rPr>
        <w:t>tiesības izveidot īpašu budžeta līdzekļu uzkrājumu fondu neparedzētiem izdevumiem un budžeta deficīta segšanai. Šajā fondā tiek ieskaitīts noteikts procents no budžeta pārpalikuma</w:t>
      </w:r>
      <w:r w:rsidR="00DE7439" w:rsidRPr="00AF170D">
        <w:rPr>
          <w:sz w:val="26"/>
          <w:szCs w:val="26"/>
        </w:rPr>
        <w:t xml:space="preserve">, savukārt </w:t>
      </w:r>
      <w:r w:rsidR="00A90B63" w:rsidRPr="00AF170D">
        <w:rPr>
          <w:sz w:val="26"/>
          <w:szCs w:val="26"/>
        </w:rPr>
        <w:t>b</w:t>
      </w:r>
      <w:r w:rsidR="004D4B16" w:rsidRPr="00AF170D">
        <w:rPr>
          <w:sz w:val="26"/>
          <w:szCs w:val="26"/>
        </w:rPr>
        <w:t>udžeta līdzekļu uzkrājums nevar pārsniegt noteiktu summu</w:t>
      </w:r>
      <w:r w:rsidR="00DE1C96" w:rsidRPr="00AF170D">
        <w:rPr>
          <w:sz w:val="26"/>
          <w:szCs w:val="26"/>
        </w:rPr>
        <w:t xml:space="preserve"> (</w:t>
      </w:r>
      <w:r w:rsidR="00AE7CE7" w:rsidRPr="00AF170D">
        <w:rPr>
          <w:sz w:val="26"/>
          <w:szCs w:val="26"/>
        </w:rPr>
        <w:t xml:space="preserve">AEEGSI gadījumā – 40 miljonus </w:t>
      </w:r>
      <w:r w:rsidR="00AE7CE7" w:rsidRPr="00AF170D">
        <w:rPr>
          <w:i/>
          <w:sz w:val="26"/>
          <w:szCs w:val="26"/>
        </w:rPr>
        <w:t>e</w:t>
      </w:r>
      <w:r w:rsidR="004C0710" w:rsidRPr="00AF170D">
        <w:rPr>
          <w:i/>
          <w:sz w:val="26"/>
          <w:szCs w:val="26"/>
        </w:rPr>
        <w:t>u</w:t>
      </w:r>
      <w:r w:rsidR="00AE7CE7" w:rsidRPr="00AF170D">
        <w:rPr>
          <w:i/>
          <w:sz w:val="26"/>
          <w:szCs w:val="26"/>
        </w:rPr>
        <w:t>ro</w:t>
      </w:r>
      <w:r w:rsidR="00DE1C96" w:rsidRPr="00AF170D">
        <w:rPr>
          <w:sz w:val="26"/>
          <w:szCs w:val="26"/>
        </w:rPr>
        <w:t>).</w:t>
      </w:r>
    </w:p>
    <w:p w14:paraId="1F4BC487" w14:textId="77777777" w:rsidR="00211510" w:rsidRPr="00551716" w:rsidRDefault="00211510" w:rsidP="002153B9">
      <w:pPr>
        <w:spacing w:before="240"/>
        <w:jc w:val="right"/>
        <w:rPr>
          <w:i/>
          <w:color w:val="auto"/>
          <w:sz w:val="22"/>
          <w:szCs w:val="22"/>
        </w:rPr>
      </w:pPr>
      <w:r w:rsidRPr="00551716">
        <w:rPr>
          <w:b/>
          <w:color w:val="auto"/>
          <w:sz w:val="22"/>
          <w:szCs w:val="22"/>
        </w:rPr>
        <w:t>2.tabula.</w:t>
      </w:r>
      <w:r w:rsidRPr="00551716">
        <w:rPr>
          <w:color w:val="auto"/>
          <w:sz w:val="22"/>
          <w:szCs w:val="22"/>
        </w:rPr>
        <w:t xml:space="preserve"> </w:t>
      </w:r>
      <w:r w:rsidR="00AD0ED0" w:rsidRPr="00551716">
        <w:rPr>
          <w:i/>
          <w:color w:val="auto"/>
          <w:sz w:val="22"/>
          <w:szCs w:val="22"/>
        </w:rPr>
        <w:t xml:space="preserve">Regulatīvo </w:t>
      </w:r>
      <w:r w:rsidR="00EA33D8" w:rsidRPr="00551716">
        <w:rPr>
          <w:i/>
          <w:color w:val="auto"/>
          <w:sz w:val="22"/>
          <w:szCs w:val="22"/>
        </w:rPr>
        <w:t>iestāžu</w:t>
      </w:r>
      <w:r w:rsidR="00AD0ED0" w:rsidRPr="00551716">
        <w:rPr>
          <w:i/>
          <w:color w:val="auto"/>
          <w:sz w:val="22"/>
          <w:szCs w:val="22"/>
        </w:rPr>
        <w:t xml:space="preserve"> f</w:t>
      </w:r>
      <w:r w:rsidRPr="00551716">
        <w:rPr>
          <w:i/>
          <w:color w:val="auto"/>
          <w:sz w:val="22"/>
          <w:szCs w:val="22"/>
        </w:rPr>
        <w:t>inansējuma modeļi</w:t>
      </w:r>
    </w:p>
    <w:p w14:paraId="38BF33D4" w14:textId="77777777" w:rsidR="00ED20A8" w:rsidRPr="00C226B3" w:rsidRDefault="00ED20A8" w:rsidP="00211510">
      <w:pPr>
        <w:jc w:val="right"/>
        <w:rPr>
          <w:color w:val="auto"/>
          <w:sz w:val="22"/>
          <w:szCs w:val="22"/>
        </w:rPr>
      </w:pPr>
    </w:p>
    <w:tbl>
      <w:tblPr>
        <w:tblStyle w:val="Reatabula1"/>
        <w:tblW w:w="9521" w:type="dxa"/>
        <w:tblLook w:val="04A0" w:firstRow="1" w:lastRow="0" w:firstColumn="1" w:lastColumn="0" w:noHBand="0" w:noVBand="1"/>
      </w:tblPr>
      <w:tblGrid>
        <w:gridCol w:w="5382"/>
        <w:gridCol w:w="2135"/>
        <w:gridCol w:w="2004"/>
      </w:tblGrid>
      <w:tr w:rsidR="00DE1C96" w:rsidRPr="00211510" w14:paraId="61855684" w14:textId="77777777" w:rsidTr="00DE1C96">
        <w:tc>
          <w:tcPr>
            <w:tcW w:w="5382" w:type="dxa"/>
            <w:vAlign w:val="center"/>
          </w:tcPr>
          <w:p w14:paraId="1A341C1E" w14:textId="77777777" w:rsidR="00DE1C96" w:rsidRPr="00211510" w:rsidRDefault="00DE1C96" w:rsidP="00AD0ED0">
            <w:pPr>
              <w:jc w:val="center"/>
              <w:rPr>
                <w:rFonts w:eastAsia="Calibri"/>
                <w:b/>
                <w:color w:val="auto"/>
                <w:sz w:val="24"/>
              </w:rPr>
            </w:pPr>
            <w:r w:rsidRPr="00211510">
              <w:rPr>
                <w:rFonts w:eastAsia="Calibri"/>
                <w:b/>
                <w:color w:val="auto"/>
                <w:sz w:val="24"/>
              </w:rPr>
              <w:t>Regulatīvā institūcija</w:t>
            </w:r>
          </w:p>
        </w:tc>
        <w:tc>
          <w:tcPr>
            <w:tcW w:w="2135" w:type="dxa"/>
            <w:vAlign w:val="center"/>
          </w:tcPr>
          <w:p w14:paraId="5C27650B" w14:textId="77777777" w:rsidR="00DE1C96" w:rsidRPr="00211510" w:rsidRDefault="00DE1C96" w:rsidP="00AD0ED0">
            <w:pPr>
              <w:jc w:val="center"/>
              <w:rPr>
                <w:rFonts w:eastAsia="Calibri"/>
                <w:b/>
                <w:color w:val="auto"/>
                <w:sz w:val="24"/>
              </w:rPr>
            </w:pPr>
            <w:r w:rsidRPr="00211510">
              <w:rPr>
                <w:rFonts w:eastAsia="Calibri"/>
                <w:b/>
                <w:color w:val="auto"/>
                <w:sz w:val="24"/>
              </w:rPr>
              <w:t>Finansējuma avots</w:t>
            </w:r>
          </w:p>
        </w:tc>
        <w:tc>
          <w:tcPr>
            <w:tcW w:w="2004" w:type="dxa"/>
            <w:vAlign w:val="center"/>
          </w:tcPr>
          <w:p w14:paraId="6E5C2F09" w14:textId="77777777" w:rsidR="00DE1C96" w:rsidRPr="00211510" w:rsidRDefault="00DE1C96" w:rsidP="00AD0ED0">
            <w:pPr>
              <w:jc w:val="center"/>
              <w:rPr>
                <w:rFonts w:eastAsia="Calibri"/>
                <w:b/>
                <w:color w:val="auto"/>
                <w:sz w:val="24"/>
              </w:rPr>
            </w:pPr>
            <w:r w:rsidRPr="00211510">
              <w:rPr>
                <w:rFonts w:eastAsia="Calibri"/>
                <w:b/>
                <w:color w:val="auto"/>
                <w:sz w:val="24"/>
              </w:rPr>
              <w:t>Budžeta līdzekļu uzkrājums neparedzētiem gadījumiem</w:t>
            </w:r>
          </w:p>
        </w:tc>
      </w:tr>
      <w:tr w:rsidR="00DE1C96" w:rsidRPr="00211510" w14:paraId="4502380C" w14:textId="77777777" w:rsidTr="00DE1C96">
        <w:tc>
          <w:tcPr>
            <w:tcW w:w="5382" w:type="dxa"/>
            <w:vAlign w:val="center"/>
          </w:tcPr>
          <w:p w14:paraId="5354F5AC" w14:textId="77777777" w:rsidR="00DE1C96" w:rsidRPr="00DE1C96" w:rsidRDefault="00DE1C96" w:rsidP="00DE7439">
            <w:pPr>
              <w:rPr>
                <w:rFonts w:eastAsia="Calibri"/>
                <w:b/>
                <w:color w:val="auto"/>
                <w:sz w:val="24"/>
              </w:rPr>
            </w:pPr>
            <w:r w:rsidRPr="00DE1C96">
              <w:rPr>
                <w:rFonts w:eastAsia="Calibri"/>
                <w:b/>
                <w:color w:val="auto"/>
                <w:sz w:val="24"/>
              </w:rPr>
              <w:t>Beļģijas Elektrības un gāzes regulēšanas komisija</w:t>
            </w:r>
          </w:p>
          <w:p w14:paraId="7D619AA7" w14:textId="77777777" w:rsidR="00DE1C96" w:rsidRPr="00211510" w:rsidRDefault="0007594C" w:rsidP="00DE7439">
            <w:pPr>
              <w:rPr>
                <w:rFonts w:eastAsia="Calibri"/>
                <w:color w:val="auto"/>
                <w:sz w:val="24"/>
              </w:rPr>
            </w:pPr>
            <w:hyperlink r:id="rId11" w:history="1">
              <w:r w:rsidR="00DE1C96" w:rsidRPr="00DE7439">
                <w:rPr>
                  <w:rStyle w:val="Hyperlink"/>
                  <w:rFonts w:eastAsia="Calibri"/>
                  <w:sz w:val="24"/>
                </w:rPr>
                <w:t>http://www.creg.be/</w:t>
              </w:r>
            </w:hyperlink>
            <w:r w:rsidR="00DE1C96" w:rsidRPr="00DE7439">
              <w:rPr>
                <w:rFonts w:eastAsia="Calibri"/>
                <w:color w:val="auto"/>
                <w:sz w:val="24"/>
              </w:rPr>
              <w:t xml:space="preserve">  </w:t>
            </w:r>
          </w:p>
        </w:tc>
        <w:tc>
          <w:tcPr>
            <w:tcW w:w="2135" w:type="dxa"/>
            <w:vAlign w:val="center"/>
          </w:tcPr>
          <w:p w14:paraId="2476EA56"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0108ADDA" w14:textId="77777777" w:rsidR="00DE1C96" w:rsidRPr="00211510" w:rsidRDefault="00DE1C96" w:rsidP="00AD0ED0">
            <w:pPr>
              <w:jc w:val="center"/>
              <w:rPr>
                <w:rFonts w:eastAsia="Calibri"/>
                <w:color w:val="auto"/>
                <w:sz w:val="24"/>
              </w:rPr>
            </w:pPr>
            <w:r>
              <w:rPr>
                <w:rFonts w:eastAsia="Calibri"/>
                <w:color w:val="auto"/>
                <w:sz w:val="24"/>
              </w:rPr>
              <w:t>Ir</w:t>
            </w:r>
          </w:p>
        </w:tc>
      </w:tr>
      <w:tr w:rsidR="00DE1C96" w:rsidRPr="00211510" w14:paraId="4888490E" w14:textId="77777777" w:rsidTr="00DE1C96">
        <w:tc>
          <w:tcPr>
            <w:tcW w:w="5382" w:type="dxa"/>
            <w:vAlign w:val="center"/>
          </w:tcPr>
          <w:p w14:paraId="012CF284" w14:textId="77777777" w:rsidR="00DE1C96" w:rsidRPr="00DE1C96" w:rsidRDefault="00DE1C96" w:rsidP="00DE7439">
            <w:pPr>
              <w:rPr>
                <w:rFonts w:eastAsia="Calibri"/>
                <w:b/>
                <w:color w:val="auto"/>
                <w:sz w:val="24"/>
              </w:rPr>
            </w:pPr>
            <w:r w:rsidRPr="00DE1C96">
              <w:rPr>
                <w:rFonts w:eastAsia="Calibri"/>
                <w:b/>
                <w:color w:val="auto"/>
                <w:sz w:val="24"/>
              </w:rPr>
              <w:lastRenderedPageBreak/>
              <w:t>E-Control (Austrija)</w:t>
            </w:r>
          </w:p>
          <w:p w14:paraId="34605BD7" w14:textId="77777777" w:rsidR="00DE1C96" w:rsidRPr="00DE7439" w:rsidRDefault="0007594C" w:rsidP="00DE7439">
            <w:pPr>
              <w:rPr>
                <w:rFonts w:eastAsia="Calibri"/>
                <w:color w:val="auto"/>
                <w:sz w:val="24"/>
              </w:rPr>
            </w:pPr>
            <w:hyperlink r:id="rId12" w:history="1">
              <w:r w:rsidR="00DE1C96" w:rsidRPr="00DE7439">
                <w:rPr>
                  <w:rStyle w:val="Hyperlink"/>
                  <w:rFonts w:eastAsia="Calibri"/>
                  <w:sz w:val="24"/>
                </w:rPr>
                <w:t>https://www.e-control.at/</w:t>
              </w:r>
            </w:hyperlink>
          </w:p>
        </w:tc>
        <w:tc>
          <w:tcPr>
            <w:tcW w:w="2135" w:type="dxa"/>
            <w:vAlign w:val="center"/>
          </w:tcPr>
          <w:p w14:paraId="6FB00F2F"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50437FBD" w14:textId="77777777" w:rsidR="00DE1C96" w:rsidRDefault="00DE1C96" w:rsidP="00AD0ED0">
            <w:pPr>
              <w:jc w:val="center"/>
              <w:rPr>
                <w:rFonts w:eastAsia="Calibri"/>
                <w:color w:val="auto"/>
                <w:sz w:val="24"/>
              </w:rPr>
            </w:pPr>
            <w:r w:rsidRPr="00DE7439">
              <w:rPr>
                <w:rFonts w:eastAsia="Calibri"/>
                <w:color w:val="auto"/>
                <w:sz w:val="24"/>
              </w:rPr>
              <w:t>Nav. Pamatotu papildus finansējumu iekļauj nākošā gada budžetā.</w:t>
            </w:r>
          </w:p>
        </w:tc>
      </w:tr>
      <w:tr w:rsidR="00DE1C96" w:rsidRPr="00211510" w14:paraId="5495148D" w14:textId="77777777" w:rsidTr="00DE1C96">
        <w:tc>
          <w:tcPr>
            <w:tcW w:w="5382" w:type="dxa"/>
            <w:vAlign w:val="center"/>
          </w:tcPr>
          <w:p w14:paraId="2F677E4C" w14:textId="77777777" w:rsidR="00DE1C96" w:rsidRPr="00DE1C96" w:rsidRDefault="00DE1C96" w:rsidP="00DE7439">
            <w:pPr>
              <w:rPr>
                <w:rFonts w:eastAsia="Calibri"/>
                <w:b/>
                <w:color w:val="auto"/>
                <w:sz w:val="24"/>
              </w:rPr>
            </w:pPr>
            <w:r w:rsidRPr="00DE1C96">
              <w:rPr>
                <w:rFonts w:eastAsia="Calibri"/>
                <w:b/>
                <w:color w:val="auto"/>
                <w:sz w:val="24"/>
              </w:rPr>
              <w:t>Itālijas Elektroenerģijas, gāzes un ūdens regulators</w:t>
            </w:r>
          </w:p>
          <w:p w14:paraId="3064E5C7" w14:textId="77777777" w:rsidR="00DE1C96" w:rsidRPr="00DE7439" w:rsidRDefault="0007594C" w:rsidP="00DE7439">
            <w:pPr>
              <w:rPr>
                <w:rFonts w:eastAsia="Calibri"/>
                <w:color w:val="auto"/>
                <w:sz w:val="24"/>
              </w:rPr>
            </w:pPr>
            <w:hyperlink r:id="rId13" w:history="1">
              <w:r w:rsidR="00DE1C96" w:rsidRPr="00DE7439">
                <w:rPr>
                  <w:rStyle w:val="Hyperlink"/>
                  <w:rFonts w:eastAsia="Calibri"/>
                  <w:sz w:val="24"/>
                </w:rPr>
                <w:t>http://www.autorita.energia.it/</w:t>
              </w:r>
            </w:hyperlink>
          </w:p>
        </w:tc>
        <w:tc>
          <w:tcPr>
            <w:tcW w:w="2135" w:type="dxa"/>
            <w:vAlign w:val="center"/>
          </w:tcPr>
          <w:p w14:paraId="29CFD7AA"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25915C77" w14:textId="77777777" w:rsidR="00DE1C96" w:rsidRPr="00DE7439" w:rsidRDefault="00DE1C96" w:rsidP="00AD0ED0">
            <w:pPr>
              <w:jc w:val="center"/>
              <w:rPr>
                <w:rFonts w:eastAsia="Calibri"/>
                <w:color w:val="auto"/>
                <w:sz w:val="24"/>
              </w:rPr>
            </w:pPr>
            <w:r>
              <w:rPr>
                <w:rFonts w:eastAsia="Calibri"/>
                <w:color w:val="auto"/>
                <w:sz w:val="24"/>
              </w:rPr>
              <w:t xml:space="preserve">Ir </w:t>
            </w:r>
          </w:p>
        </w:tc>
      </w:tr>
      <w:tr w:rsidR="00DE1C96" w:rsidRPr="00211510" w14:paraId="654F5397" w14:textId="77777777" w:rsidTr="00DE1C96">
        <w:tc>
          <w:tcPr>
            <w:tcW w:w="5382" w:type="dxa"/>
            <w:vAlign w:val="center"/>
          </w:tcPr>
          <w:p w14:paraId="76423E76" w14:textId="77777777" w:rsidR="00DE1C96" w:rsidRPr="00DE1C96" w:rsidRDefault="00DE1C96" w:rsidP="00DE7439">
            <w:pPr>
              <w:rPr>
                <w:rFonts w:eastAsia="Calibri"/>
                <w:b/>
                <w:color w:val="auto"/>
                <w:sz w:val="24"/>
              </w:rPr>
            </w:pPr>
            <w:r w:rsidRPr="00DE1C96">
              <w:rPr>
                <w:rFonts w:eastAsia="Calibri"/>
                <w:b/>
                <w:color w:val="auto"/>
                <w:sz w:val="24"/>
              </w:rPr>
              <w:t>Īrijas Enerģētikas regulēšanas komisija</w:t>
            </w:r>
          </w:p>
          <w:p w14:paraId="66631B84" w14:textId="77777777" w:rsidR="00DE1C96" w:rsidRPr="00DE7439" w:rsidRDefault="0007594C" w:rsidP="00DE7439">
            <w:pPr>
              <w:rPr>
                <w:rFonts w:eastAsia="Calibri"/>
                <w:color w:val="auto"/>
                <w:sz w:val="24"/>
              </w:rPr>
            </w:pPr>
            <w:hyperlink r:id="rId14" w:history="1">
              <w:r w:rsidR="00DE1C96" w:rsidRPr="00DE7439">
                <w:rPr>
                  <w:rStyle w:val="Hyperlink"/>
                  <w:rFonts w:eastAsia="Calibri"/>
                  <w:sz w:val="24"/>
                </w:rPr>
                <w:t>www.cer.ie</w:t>
              </w:r>
            </w:hyperlink>
          </w:p>
        </w:tc>
        <w:tc>
          <w:tcPr>
            <w:tcW w:w="2135" w:type="dxa"/>
            <w:vAlign w:val="center"/>
          </w:tcPr>
          <w:p w14:paraId="03239177"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06903509" w14:textId="77777777" w:rsidR="00DE1C96" w:rsidRPr="00DE7439" w:rsidRDefault="00DE1C96" w:rsidP="00AD0ED0">
            <w:pPr>
              <w:jc w:val="center"/>
              <w:rPr>
                <w:rFonts w:eastAsia="Calibri"/>
                <w:color w:val="auto"/>
                <w:sz w:val="24"/>
              </w:rPr>
            </w:pPr>
            <w:r>
              <w:rPr>
                <w:rFonts w:eastAsia="Calibri"/>
                <w:color w:val="auto"/>
                <w:sz w:val="24"/>
              </w:rPr>
              <w:t xml:space="preserve">Ir </w:t>
            </w:r>
          </w:p>
        </w:tc>
      </w:tr>
      <w:tr w:rsidR="00DE1C96" w:rsidRPr="00211510" w14:paraId="6BAB22D0" w14:textId="77777777" w:rsidTr="00DE1C96">
        <w:tc>
          <w:tcPr>
            <w:tcW w:w="5382" w:type="dxa"/>
            <w:vAlign w:val="center"/>
          </w:tcPr>
          <w:p w14:paraId="2F46B6F7" w14:textId="77777777" w:rsidR="00DE1C96" w:rsidRPr="00DE1C96" w:rsidRDefault="00DE1C96" w:rsidP="00DE7439">
            <w:pPr>
              <w:rPr>
                <w:rFonts w:eastAsia="Calibri"/>
                <w:b/>
                <w:color w:val="auto"/>
                <w:sz w:val="24"/>
              </w:rPr>
            </w:pPr>
            <w:r w:rsidRPr="00DE1C96">
              <w:rPr>
                <w:rFonts w:eastAsia="Calibri"/>
                <w:b/>
                <w:color w:val="auto"/>
                <w:sz w:val="24"/>
              </w:rPr>
              <w:t>Kentuki Publisko pakalpojumu komisija</w:t>
            </w:r>
          </w:p>
          <w:p w14:paraId="46E5FA98" w14:textId="77777777" w:rsidR="00DE1C96" w:rsidRPr="00DE7439" w:rsidRDefault="0007594C" w:rsidP="00DE7439">
            <w:pPr>
              <w:rPr>
                <w:rFonts w:eastAsia="Calibri"/>
                <w:color w:val="auto"/>
                <w:sz w:val="24"/>
              </w:rPr>
            </w:pPr>
            <w:hyperlink r:id="rId15" w:history="1">
              <w:r w:rsidR="00DE1C96" w:rsidRPr="00DE7439">
                <w:rPr>
                  <w:rStyle w:val="Hyperlink"/>
                  <w:rFonts w:eastAsia="Calibri"/>
                  <w:sz w:val="24"/>
                </w:rPr>
                <w:t>http://www.psc.ky.gov/</w:t>
              </w:r>
            </w:hyperlink>
          </w:p>
        </w:tc>
        <w:tc>
          <w:tcPr>
            <w:tcW w:w="2135" w:type="dxa"/>
            <w:vAlign w:val="center"/>
          </w:tcPr>
          <w:p w14:paraId="7FCB8363"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3D7C7BEE" w14:textId="77777777" w:rsidR="00DE1C96" w:rsidRDefault="00DE1C96" w:rsidP="00AD0ED0">
            <w:pPr>
              <w:jc w:val="center"/>
              <w:rPr>
                <w:rFonts w:eastAsia="Calibri"/>
                <w:color w:val="auto"/>
                <w:sz w:val="24"/>
              </w:rPr>
            </w:pPr>
            <w:r>
              <w:rPr>
                <w:rFonts w:eastAsia="Calibri"/>
                <w:color w:val="auto"/>
                <w:sz w:val="24"/>
              </w:rPr>
              <w:t>Ir</w:t>
            </w:r>
          </w:p>
        </w:tc>
      </w:tr>
      <w:tr w:rsidR="00DE1C96" w:rsidRPr="00211510" w14:paraId="7E942046" w14:textId="77777777" w:rsidTr="00DE1C96">
        <w:tc>
          <w:tcPr>
            <w:tcW w:w="5382" w:type="dxa"/>
            <w:vAlign w:val="center"/>
          </w:tcPr>
          <w:p w14:paraId="1F637F19" w14:textId="77777777" w:rsidR="00DE1C96" w:rsidRPr="00DE1C96" w:rsidRDefault="00DE1C96" w:rsidP="00DE7439">
            <w:pPr>
              <w:rPr>
                <w:rFonts w:eastAsia="Calibri"/>
                <w:b/>
                <w:color w:val="auto"/>
                <w:sz w:val="24"/>
              </w:rPr>
            </w:pPr>
            <w:r w:rsidRPr="00DE1C96">
              <w:rPr>
                <w:rFonts w:eastAsia="Calibri"/>
                <w:b/>
                <w:color w:val="auto"/>
                <w:sz w:val="24"/>
              </w:rPr>
              <w:t>Luksemburgas Regulēšanas institūts</w:t>
            </w:r>
          </w:p>
          <w:p w14:paraId="470FAD89" w14:textId="77777777" w:rsidR="00DE1C96" w:rsidRPr="00DE7439" w:rsidRDefault="0007594C" w:rsidP="00DE7439">
            <w:pPr>
              <w:rPr>
                <w:rFonts w:eastAsia="Calibri"/>
                <w:color w:val="auto"/>
                <w:sz w:val="24"/>
              </w:rPr>
            </w:pPr>
            <w:hyperlink r:id="rId16" w:history="1">
              <w:r w:rsidR="00DE1C96" w:rsidRPr="00DE7439">
                <w:rPr>
                  <w:rStyle w:val="Hyperlink"/>
                  <w:rFonts w:eastAsia="Calibri"/>
                  <w:sz w:val="24"/>
                </w:rPr>
                <w:t>https://web.ilr.lu/</w:t>
              </w:r>
            </w:hyperlink>
          </w:p>
        </w:tc>
        <w:tc>
          <w:tcPr>
            <w:tcW w:w="2135" w:type="dxa"/>
            <w:vAlign w:val="center"/>
          </w:tcPr>
          <w:p w14:paraId="3F81373D" w14:textId="77777777" w:rsidR="00DE1C96" w:rsidRPr="00211510" w:rsidRDefault="00DE1C96" w:rsidP="00AD0ED0">
            <w:pPr>
              <w:jc w:val="center"/>
              <w:rPr>
                <w:rFonts w:eastAsia="Calibri"/>
                <w:color w:val="auto"/>
                <w:sz w:val="24"/>
              </w:rPr>
            </w:pPr>
            <w:r w:rsidRPr="00DE7439">
              <w:rPr>
                <w:rFonts w:eastAsia="Calibri"/>
                <w:color w:val="auto"/>
                <w:sz w:val="24"/>
              </w:rPr>
              <w:t>Tirgus dalībnieku maksājumi</w:t>
            </w:r>
          </w:p>
        </w:tc>
        <w:tc>
          <w:tcPr>
            <w:tcW w:w="2004" w:type="dxa"/>
            <w:vAlign w:val="center"/>
          </w:tcPr>
          <w:p w14:paraId="5B30EA29" w14:textId="77777777" w:rsidR="00DE1C96" w:rsidRDefault="00DE1C96" w:rsidP="00AD0ED0">
            <w:pPr>
              <w:jc w:val="center"/>
              <w:rPr>
                <w:rFonts w:eastAsia="Calibri"/>
                <w:color w:val="auto"/>
                <w:sz w:val="24"/>
              </w:rPr>
            </w:pPr>
            <w:r w:rsidRPr="00DE7439">
              <w:rPr>
                <w:rFonts w:eastAsia="Calibri"/>
                <w:color w:val="auto"/>
                <w:sz w:val="24"/>
              </w:rPr>
              <w:t>Likums pieļauj papildus  finansējuma avotus</w:t>
            </w:r>
          </w:p>
        </w:tc>
      </w:tr>
      <w:tr w:rsidR="00DE1C96" w:rsidRPr="00211510" w14:paraId="0C2B0ADF" w14:textId="77777777" w:rsidTr="00DE1C96">
        <w:tc>
          <w:tcPr>
            <w:tcW w:w="5382" w:type="dxa"/>
            <w:vAlign w:val="center"/>
          </w:tcPr>
          <w:p w14:paraId="13A72787" w14:textId="77777777" w:rsidR="00DE1C96" w:rsidRPr="00DE1C96" w:rsidRDefault="00DE1C96" w:rsidP="00DE7439">
            <w:pPr>
              <w:rPr>
                <w:rFonts w:eastAsia="Calibri"/>
                <w:b/>
                <w:color w:val="auto"/>
                <w:sz w:val="24"/>
              </w:rPr>
            </w:pPr>
            <w:r w:rsidRPr="00DE1C96">
              <w:rPr>
                <w:rFonts w:eastAsia="Calibri"/>
                <w:b/>
                <w:color w:val="auto"/>
                <w:sz w:val="24"/>
              </w:rPr>
              <w:t xml:space="preserve">Masačūsetsas Sabiedrisko pakalpojumu departaments </w:t>
            </w:r>
          </w:p>
          <w:p w14:paraId="0EA41088" w14:textId="77777777" w:rsidR="00DE1C96" w:rsidRPr="00DE7439" w:rsidRDefault="0007594C" w:rsidP="00DE7439">
            <w:pPr>
              <w:rPr>
                <w:rFonts w:eastAsia="Calibri"/>
                <w:color w:val="auto"/>
                <w:sz w:val="24"/>
              </w:rPr>
            </w:pPr>
            <w:hyperlink r:id="rId17" w:history="1">
              <w:r w:rsidR="00DE1C96" w:rsidRPr="00DE7439">
                <w:rPr>
                  <w:rStyle w:val="Hyperlink"/>
                  <w:rFonts w:eastAsia="Calibri"/>
                  <w:sz w:val="24"/>
                </w:rPr>
                <w:t>http://www.mass.gov/eea/grants-and-tech-assistance/guidance-technical-assistance/agencies-and-divisions/dpu/</w:t>
              </w:r>
            </w:hyperlink>
          </w:p>
        </w:tc>
        <w:tc>
          <w:tcPr>
            <w:tcW w:w="2135" w:type="dxa"/>
            <w:vAlign w:val="center"/>
          </w:tcPr>
          <w:p w14:paraId="471AE482" w14:textId="77777777" w:rsidR="00DE1C96" w:rsidRPr="00DE7439"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6DBD246B" w14:textId="77777777" w:rsidR="00DE1C96" w:rsidRPr="00DE7439" w:rsidRDefault="00DE1C96" w:rsidP="00AD0ED0">
            <w:pPr>
              <w:jc w:val="center"/>
              <w:rPr>
                <w:rFonts w:eastAsia="Calibri"/>
                <w:color w:val="auto"/>
                <w:sz w:val="24"/>
              </w:rPr>
            </w:pPr>
            <w:r>
              <w:rPr>
                <w:rFonts w:eastAsia="Calibri"/>
                <w:color w:val="auto"/>
                <w:sz w:val="24"/>
              </w:rPr>
              <w:t xml:space="preserve">Ir </w:t>
            </w:r>
          </w:p>
        </w:tc>
      </w:tr>
    </w:tbl>
    <w:p w14:paraId="6A4CB300" w14:textId="77777777" w:rsidR="00DD4749" w:rsidRPr="00E84ABC" w:rsidRDefault="00DD4749" w:rsidP="005E2D90">
      <w:pPr>
        <w:spacing w:before="60" w:after="60"/>
        <w:jc w:val="both"/>
        <w:rPr>
          <w:sz w:val="24"/>
        </w:rPr>
      </w:pPr>
    </w:p>
    <w:p w14:paraId="1B7BE45D" w14:textId="2CA96C52" w:rsidR="006D002B" w:rsidRPr="00AF170D" w:rsidRDefault="00E73050" w:rsidP="00B90821">
      <w:pPr>
        <w:pStyle w:val="Heading1"/>
        <w:numPr>
          <w:ilvl w:val="0"/>
          <w:numId w:val="18"/>
        </w:numPr>
        <w:spacing w:before="60"/>
        <w:ind w:left="567" w:hanging="567"/>
        <w:rPr>
          <w:sz w:val="28"/>
          <w:szCs w:val="28"/>
        </w:rPr>
      </w:pPr>
      <w:r w:rsidRPr="00AF170D">
        <w:rPr>
          <w:sz w:val="28"/>
          <w:szCs w:val="28"/>
        </w:rPr>
        <w:t xml:space="preserve">Ekonomiskās sadarbības un attīstības organizācijas </w:t>
      </w:r>
      <w:r w:rsidR="00543A75" w:rsidRPr="00AF170D">
        <w:rPr>
          <w:sz w:val="28"/>
          <w:szCs w:val="28"/>
        </w:rPr>
        <w:t xml:space="preserve">rekomendācijas </w:t>
      </w:r>
    </w:p>
    <w:p w14:paraId="7CA60909" w14:textId="77777777" w:rsidR="00F936B5" w:rsidRPr="00B90821" w:rsidRDefault="00F936B5" w:rsidP="00456BEB">
      <w:pPr>
        <w:spacing w:before="60" w:after="60"/>
        <w:jc w:val="both"/>
        <w:rPr>
          <w:sz w:val="20"/>
          <w:szCs w:val="20"/>
        </w:rPr>
      </w:pPr>
    </w:p>
    <w:p w14:paraId="7AF483B2" w14:textId="2718C764" w:rsidR="0019575B" w:rsidRPr="00AF170D" w:rsidRDefault="0019575B" w:rsidP="00B90821">
      <w:pPr>
        <w:spacing w:after="60"/>
        <w:ind w:firstLine="720"/>
        <w:jc w:val="both"/>
        <w:rPr>
          <w:sz w:val="26"/>
          <w:szCs w:val="26"/>
        </w:rPr>
      </w:pPr>
      <w:r w:rsidRPr="00AF170D">
        <w:rPr>
          <w:sz w:val="26"/>
          <w:szCs w:val="26"/>
        </w:rPr>
        <w:t xml:space="preserve">2016.gadā </w:t>
      </w:r>
      <w:r w:rsidR="00E73050" w:rsidRPr="00AF170D">
        <w:rPr>
          <w:sz w:val="26"/>
          <w:szCs w:val="26"/>
        </w:rPr>
        <w:t>Ekonomiskās sadarb</w:t>
      </w:r>
      <w:r w:rsidRPr="00AF170D">
        <w:rPr>
          <w:sz w:val="26"/>
          <w:szCs w:val="26"/>
        </w:rPr>
        <w:t>ības un attīstības organizācija</w:t>
      </w:r>
      <w:r w:rsidR="00E73050" w:rsidRPr="00AF170D">
        <w:rPr>
          <w:sz w:val="26"/>
          <w:szCs w:val="26"/>
        </w:rPr>
        <w:t xml:space="preserve"> (</w:t>
      </w:r>
      <w:r w:rsidR="00E73050" w:rsidRPr="00AF170D">
        <w:rPr>
          <w:i/>
          <w:sz w:val="26"/>
          <w:szCs w:val="26"/>
        </w:rPr>
        <w:t>The Organisation for Economic Co-operation and Development</w:t>
      </w:r>
      <w:r w:rsidR="00E73050" w:rsidRPr="00AF170D">
        <w:rPr>
          <w:sz w:val="26"/>
          <w:szCs w:val="26"/>
        </w:rPr>
        <w:t xml:space="preserve">) (turpmāk - OECD) </w:t>
      </w:r>
      <w:r w:rsidR="00613957" w:rsidRPr="00AF170D">
        <w:rPr>
          <w:sz w:val="26"/>
          <w:szCs w:val="26"/>
        </w:rPr>
        <w:t>veica Regulatora</w:t>
      </w:r>
      <w:r w:rsidRPr="00AF170D">
        <w:rPr>
          <w:sz w:val="26"/>
          <w:szCs w:val="26"/>
        </w:rPr>
        <w:t xml:space="preserve"> kā re</w:t>
      </w:r>
      <w:r w:rsidR="00613957" w:rsidRPr="00AF170D">
        <w:rPr>
          <w:sz w:val="26"/>
          <w:szCs w:val="26"/>
        </w:rPr>
        <w:t xml:space="preserve">gulatīvas </w:t>
      </w:r>
      <w:r w:rsidR="00D467CA" w:rsidRPr="00AF170D">
        <w:rPr>
          <w:sz w:val="26"/>
          <w:szCs w:val="26"/>
        </w:rPr>
        <w:t>iestādes</w:t>
      </w:r>
      <w:r w:rsidR="00613957" w:rsidRPr="00AF170D">
        <w:rPr>
          <w:sz w:val="26"/>
          <w:szCs w:val="26"/>
        </w:rPr>
        <w:t xml:space="preserve"> funkciju</w:t>
      </w:r>
      <w:r w:rsidRPr="00AF170D">
        <w:rPr>
          <w:sz w:val="26"/>
          <w:szCs w:val="26"/>
        </w:rPr>
        <w:t xml:space="preserve">, </w:t>
      </w:r>
      <w:r w:rsidR="007B5788" w:rsidRPr="00AF170D">
        <w:rPr>
          <w:sz w:val="26"/>
          <w:szCs w:val="26"/>
        </w:rPr>
        <w:t>procesu un prakses analīzi un sagatavoja</w:t>
      </w:r>
      <w:r w:rsidRPr="00AF170D">
        <w:rPr>
          <w:sz w:val="26"/>
          <w:szCs w:val="26"/>
        </w:rPr>
        <w:t xml:space="preserve"> rekomendācijas Regulatora </w:t>
      </w:r>
      <w:r w:rsidR="00BA041E" w:rsidRPr="00AF170D">
        <w:rPr>
          <w:sz w:val="26"/>
          <w:szCs w:val="26"/>
        </w:rPr>
        <w:t xml:space="preserve">turpmākās </w:t>
      </w:r>
      <w:r w:rsidRPr="00AF170D">
        <w:rPr>
          <w:sz w:val="26"/>
          <w:szCs w:val="26"/>
        </w:rPr>
        <w:t xml:space="preserve">darbības uzlabošanai. </w:t>
      </w:r>
    </w:p>
    <w:p w14:paraId="116D418C" w14:textId="77777777" w:rsidR="007B5788" w:rsidRPr="00AF170D" w:rsidRDefault="00E73050" w:rsidP="00194BD3">
      <w:pPr>
        <w:spacing w:before="60" w:after="60"/>
        <w:ind w:firstLine="720"/>
        <w:jc w:val="both"/>
        <w:rPr>
          <w:sz w:val="26"/>
          <w:szCs w:val="26"/>
        </w:rPr>
      </w:pPr>
      <w:r w:rsidRPr="00AF170D">
        <w:rPr>
          <w:sz w:val="26"/>
          <w:szCs w:val="26"/>
        </w:rPr>
        <w:t xml:space="preserve">2016.gada ziņojumā </w:t>
      </w:r>
      <w:r w:rsidR="00FA7238" w:rsidRPr="00AF170D">
        <w:rPr>
          <w:sz w:val="26"/>
          <w:szCs w:val="26"/>
        </w:rPr>
        <w:t xml:space="preserve">“Latvijas Sabiedrisko pakalpojumu regulēšanas komisijas darbības rezultātu uzlabošana” </w:t>
      </w:r>
      <w:r w:rsidR="00FA7238" w:rsidRPr="00AF170D">
        <w:rPr>
          <w:i/>
          <w:sz w:val="26"/>
          <w:szCs w:val="26"/>
        </w:rPr>
        <w:t>(</w:t>
      </w:r>
      <w:r w:rsidRPr="00AF170D">
        <w:rPr>
          <w:i/>
          <w:sz w:val="26"/>
          <w:szCs w:val="26"/>
        </w:rPr>
        <w:t>“Driving Performance at Latvia’s Public Utilities Commission”</w:t>
      </w:r>
      <w:r w:rsidR="00FA7238" w:rsidRPr="00AF170D">
        <w:rPr>
          <w:i/>
          <w:sz w:val="26"/>
          <w:szCs w:val="26"/>
        </w:rPr>
        <w:t>)</w:t>
      </w:r>
      <w:r w:rsidR="007B5788" w:rsidRPr="00AF170D">
        <w:rPr>
          <w:sz w:val="26"/>
          <w:szCs w:val="26"/>
        </w:rPr>
        <w:t xml:space="preserve"> (turpmāk </w:t>
      </w:r>
      <w:r w:rsidR="00D467CA" w:rsidRPr="00AF170D">
        <w:rPr>
          <w:sz w:val="26"/>
          <w:szCs w:val="26"/>
        </w:rPr>
        <w:t xml:space="preserve">- </w:t>
      </w:r>
      <w:r w:rsidR="007B5788" w:rsidRPr="00AF170D">
        <w:rPr>
          <w:sz w:val="26"/>
          <w:szCs w:val="26"/>
        </w:rPr>
        <w:t>OECD ziņojums)</w:t>
      </w:r>
      <w:r w:rsidRPr="00AF170D">
        <w:rPr>
          <w:sz w:val="26"/>
          <w:szCs w:val="26"/>
        </w:rPr>
        <w:t xml:space="preserve"> ir ietverta</w:t>
      </w:r>
      <w:r w:rsidR="00C87F14" w:rsidRPr="00AF170D">
        <w:rPr>
          <w:sz w:val="26"/>
          <w:szCs w:val="26"/>
        </w:rPr>
        <w:t xml:space="preserve">s OECD rekomendācijas </w:t>
      </w:r>
      <w:r w:rsidRPr="00AF170D">
        <w:rPr>
          <w:sz w:val="26"/>
          <w:szCs w:val="26"/>
        </w:rPr>
        <w:t xml:space="preserve">stiprināt Regulatora institucionālo un finansiālo neatkarību, </w:t>
      </w:r>
      <w:r w:rsidR="00C87F14" w:rsidRPr="00AF170D">
        <w:rPr>
          <w:sz w:val="26"/>
          <w:szCs w:val="26"/>
        </w:rPr>
        <w:t xml:space="preserve">īpaši </w:t>
      </w:r>
      <w:r w:rsidRPr="00AF170D">
        <w:rPr>
          <w:sz w:val="26"/>
          <w:szCs w:val="26"/>
        </w:rPr>
        <w:t>nodrošinot, ka Regulatora budžets  ir pilnīgi neatkarīgs</w:t>
      </w:r>
      <w:r w:rsidR="009F7A22" w:rsidRPr="00AF170D">
        <w:rPr>
          <w:sz w:val="26"/>
          <w:szCs w:val="26"/>
        </w:rPr>
        <w:t xml:space="preserve">. </w:t>
      </w:r>
    </w:p>
    <w:p w14:paraId="27785155" w14:textId="77777777" w:rsidR="0042732A" w:rsidRPr="00AF170D" w:rsidRDefault="007B5788" w:rsidP="00194BD3">
      <w:pPr>
        <w:spacing w:before="60" w:after="60"/>
        <w:ind w:firstLine="720"/>
        <w:jc w:val="both"/>
        <w:rPr>
          <w:sz w:val="26"/>
          <w:szCs w:val="26"/>
        </w:rPr>
      </w:pPr>
      <w:r w:rsidRPr="00AF170D">
        <w:rPr>
          <w:sz w:val="26"/>
          <w:szCs w:val="26"/>
        </w:rPr>
        <w:t>OECD ziņojumā ir ietverta rekomendācija</w:t>
      </w:r>
      <w:r w:rsidR="00C87F14" w:rsidRPr="00AF170D">
        <w:rPr>
          <w:sz w:val="26"/>
          <w:szCs w:val="26"/>
        </w:rPr>
        <w:t xml:space="preserve"> pārskatīt valsts nodevas noteikšanas kārtību, nodrošinot pietiekamu tās aizsardzību no sabiedrisko pakalpojumu sniedzēju sniegto sabiedrisko pakalpojumu neto apgrozījuma izmaiņām un enerģijas cenu svārstībām pasaulē</w:t>
      </w:r>
      <w:r w:rsidR="0046722E" w:rsidRPr="00AF170D">
        <w:rPr>
          <w:sz w:val="26"/>
          <w:szCs w:val="26"/>
        </w:rPr>
        <w:t>, kā arī tiesības veidot</w:t>
      </w:r>
      <w:r w:rsidR="009F7A22" w:rsidRPr="00AF170D">
        <w:rPr>
          <w:sz w:val="26"/>
          <w:szCs w:val="26"/>
        </w:rPr>
        <w:t xml:space="preserve"> Regulatora</w:t>
      </w:r>
      <w:r w:rsidR="0046722E" w:rsidRPr="00AF170D">
        <w:rPr>
          <w:sz w:val="26"/>
          <w:szCs w:val="26"/>
        </w:rPr>
        <w:t xml:space="preserve"> budžeta rezervi strauju ienākumu samazināšanās gadījumā. </w:t>
      </w:r>
    </w:p>
    <w:p w14:paraId="4DD4E991" w14:textId="77777777" w:rsidR="00434C45" w:rsidRPr="00AF170D" w:rsidRDefault="00AE72A7" w:rsidP="00194BD3">
      <w:pPr>
        <w:spacing w:before="60" w:after="60"/>
        <w:ind w:firstLine="720"/>
        <w:jc w:val="both"/>
        <w:rPr>
          <w:sz w:val="26"/>
          <w:szCs w:val="26"/>
        </w:rPr>
      </w:pPr>
      <w:r w:rsidRPr="00AF170D">
        <w:rPr>
          <w:sz w:val="26"/>
          <w:szCs w:val="26"/>
        </w:rPr>
        <w:t>Atbilstoši OECD novērojumiem</w:t>
      </w:r>
      <w:r w:rsidR="00C477ED" w:rsidRPr="00AF170D">
        <w:rPr>
          <w:sz w:val="26"/>
          <w:szCs w:val="26"/>
        </w:rPr>
        <w:t>,</w:t>
      </w:r>
      <w:r w:rsidRPr="00AF170D">
        <w:rPr>
          <w:sz w:val="26"/>
          <w:szCs w:val="26"/>
        </w:rPr>
        <w:t xml:space="preserve"> Regulators budžetu plāno autonomi, </w:t>
      </w:r>
      <w:r w:rsidR="006649F9" w:rsidRPr="00AF170D">
        <w:rPr>
          <w:sz w:val="26"/>
          <w:szCs w:val="26"/>
        </w:rPr>
        <w:t xml:space="preserve">balstoties uz </w:t>
      </w:r>
      <w:r w:rsidRPr="00AF170D">
        <w:rPr>
          <w:sz w:val="26"/>
          <w:szCs w:val="26"/>
        </w:rPr>
        <w:t xml:space="preserve">normatīvajos aktos </w:t>
      </w:r>
      <w:r w:rsidR="006649F9" w:rsidRPr="00AF170D">
        <w:rPr>
          <w:sz w:val="26"/>
          <w:szCs w:val="26"/>
        </w:rPr>
        <w:t>noteiktajām</w:t>
      </w:r>
      <w:r w:rsidRPr="00AF170D">
        <w:rPr>
          <w:sz w:val="26"/>
          <w:szCs w:val="26"/>
        </w:rPr>
        <w:t xml:space="preserve"> </w:t>
      </w:r>
      <w:r w:rsidR="006649F9" w:rsidRPr="00AF170D">
        <w:rPr>
          <w:sz w:val="26"/>
          <w:szCs w:val="26"/>
        </w:rPr>
        <w:t>funkcijām</w:t>
      </w:r>
      <w:r w:rsidR="0042732A" w:rsidRPr="00AF170D">
        <w:rPr>
          <w:sz w:val="26"/>
          <w:szCs w:val="26"/>
        </w:rPr>
        <w:t xml:space="preserve"> </w:t>
      </w:r>
      <w:r w:rsidR="006649F9" w:rsidRPr="00AF170D">
        <w:rPr>
          <w:sz w:val="26"/>
          <w:szCs w:val="26"/>
        </w:rPr>
        <w:t>un uzdevumiem</w:t>
      </w:r>
      <w:r w:rsidR="0043714B" w:rsidRPr="00AF170D">
        <w:rPr>
          <w:sz w:val="26"/>
          <w:szCs w:val="26"/>
        </w:rPr>
        <w:t xml:space="preserve"> un maksimāli </w:t>
      </w:r>
      <w:r w:rsidRPr="00AF170D">
        <w:rPr>
          <w:sz w:val="26"/>
          <w:szCs w:val="26"/>
        </w:rPr>
        <w:t xml:space="preserve">norobežojoties no </w:t>
      </w:r>
      <w:r w:rsidR="006649F9" w:rsidRPr="00AF170D">
        <w:rPr>
          <w:sz w:val="26"/>
          <w:szCs w:val="26"/>
        </w:rPr>
        <w:t>iespējamās</w:t>
      </w:r>
      <w:r w:rsidRPr="00AF170D">
        <w:rPr>
          <w:sz w:val="26"/>
          <w:szCs w:val="26"/>
        </w:rPr>
        <w:t xml:space="preserve"> </w:t>
      </w:r>
      <w:r w:rsidR="0043714B" w:rsidRPr="00AF170D">
        <w:rPr>
          <w:sz w:val="26"/>
          <w:szCs w:val="26"/>
        </w:rPr>
        <w:t xml:space="preserve">nozares </w:t>
      </w:r>
      <w:r w:rsidRPr="00AF170D">
        <w:rPr>
          <w:sz w:val="26"/>
          <w:szCs w:val="26"/>
        </w:rPr>
        <w:t>ietekmes</w:t>
      </w:r>
      <w:r w:rsidR="009F7A22" w:rsidRPr="00AF170D">
        <w:rPr>
          <w:sz w:val="26"/>
          <w:szCs w:val="26"/>
        </w:rPr>
        <w:t>.</w:t>
      </w:r>
      <w:r w:rsidR="0043714B" w:rsidRPr="00AF170D">
        <w:rPr>
          <w:sz w:val="26"/>
          <w:szCs w:val="26"/>
        </w:rPr>
        <w:t xml:space="preserve"> </w:t>
      </w:r>
      <w:r w:rsidR="009F7A22" w:rsidRPr="00AF170D">
        <w:rPr>
          <w:sz w:val="26"/>
          <w:szCs w:val="26"/>
        </w:rPr>
        <w:t>T</w:t>
      </w:r>
      <w:r w:rsidR="0043714B" w:rsidRPr="00AF170D">
        <w:rPr>
          <w:sz w:val="26"/>
          <w:szCs w:val="26"/>
        </w:rPr>
        <w:t>omēr</w:t>
      </w:r>
      <w:r w:rsidR="0042732A" w:rsidRPr="00AF170D">
        <w:rPr>
          <w:sz w:val="26"/>
          <w:szCs w:val="26"/>
        </w:rPr>
        <w:t xml:space="preserve"> </w:t>
      </w:r>
      <w:r w:rsidR="0043714B" w:rsidRPr="00AF170D">
        <w:rPr>
          <w:sz w:val="26"/>
          <w:szCs w:val="26"/>
        </w:rPr>
        <w:t xml:space="preserve">piešķirtos </w:t>
      </w:r>
      <w:r w:rsidR="0042732A" w:rsidRPr="00AF170D">
        <w:rPr>
          <w:sz w:val="26"/>
          <w:szCs w:val="26"/>
        </w:rPr>
        <w:t>budžeta līdzekļus</w:t>
      </w:r>
      <w:r w:rsidR="0043714B" w:rsidRPr="00AF170D">
        <w:rPr>
          <w:sz w:val="26"/>
          <w:szCs w:val="26"/>
        </w:rPr>
        <w:t xml:space="preserve"> </w:t>
      </w:r>
      <w:r w:rsidR="00C93C7C" w:rsidRPr="00AF170D">
        <w:rPr>
          <w:sz w:val="26"/>
          <w:szCs w:val="26"/>
        </w:rPr>
        <w:t xml:space="preserve">Regulators </w:t>
      </w:r>
      <w:r w:rsidR="0043714B" w:rsidRPr="00AF170D">
        <w:rPr>
          <w:sz w:val="26"/>
          <w:szCs w:val="26"/>
        </w:rPr>
        <w:t>var izmantot</w:t>
      </w:r>
      <w:r w:rsidR="00C93C7C" w:rsidRPr="00AF170D">
        <w:rPr>
          <w:sz w:val="26"/>
          <w:szCs w:val="26"/>
        </w:rPr>
        <w:t xml:space="preserve"> tikai</w:t>
      </w:r>
      <w:r w:rsidR="0042732A" w:rsidRPr="00AF170D">
        <w:rPr>
          <w:sz w:val="26"/>
          <w:szCs w:val="26"/>
        </w:rPr>
        <w:t xml:space="preserve"> saskaņā ar</w:t>
      </w:r>
      <w:r w:rsidR="00613957" w:rsidRPr="00AF170D">
        <w:rPr>
          <w:sz w:val="26"/>
          <w:szCs w:val="26"/>
        </w:rPr>
        <w:t xml:space="preserve"> likumu par budžetu kārtējam</w:t>
      </w:r>
      <w:r w:rsidR="0042732A" w:rsidRPr="00AF170D">
        <w:rPr>
          <w:sz w:val="26"/>
          <w:szCs w:val="26"/>
        </w:rPr>
        <w:t xml:space="preserve"> gadam un saskaņā ar finansēšanas plānie</w:t>
      </w:r>
      <w:r w:rsidR="00D33ED6" w:rsidRPr="00AF170D">
        <w:rPr>
          <w:sz w:val="26"/>
          <w:szCs w:val="26"/>
        </w:rPr>
        <w:t>m</w:t>
      </w:r>
      <w:r w:rsidRPr="00AF170D">
        <w:rPr>
          <w:sz w:val="26"/>
          <w:szCs w:val="26"/>
        </w:rPr>
        <w:t xml:space="preserve">. </w:t>
      </w:r>
    </w:p>
    <w:p w14:paraId="7C1148A6" w14:textId="77777777" w:rsidR="00A837DA" w:rsidRPr="00AF170D" w:rsidRDefault="00613957" w:rsidP="007B5788">
      <w:pPr>
        <w:spacing w:before="60" w:after="60"/>
        <w:ind w:firstLine="720"/>
        <w:jc w:val="both"/>
        <w:rPr>
          <w:sz w:val="26"/>
          <w:szCs w:val="26"/>
        </w:rPr>
      </w:pPr>
      <w:r w:rsidRPr="00AF170D">
        <w:rPr>
          <w:sz w:val="26"/>
          <w:szCs w:val="26"/>
        </w:rPr>
        <w:t>OECD ieskatā Likumā ietvertais deleģējums Ministru kabinetam noteikt valsts nodevas likmi rada situāciju, ka lēmumu par Regulatora finansējuma apmēru faktiski pieņem ministri, kuri vada ministrijas, kas ir akcionāri Regulatora uzraudzītajiem komersantiem</w:t>
      </w:r>
      <w:r w:rsidR="00A837DA" w:rsidRPr="00AF170D">
        <w:rPr>
          <w:sz w:val="26"/>
          <w:szCs w:val="26"/>
        </w:rPr>
        <w:t xml:space="preserve">. </w:t>
      </w:r>
      <w:r w:rsidR="007B5788" w:rsidRPr="00AF170D">
        <w:rPr>
          <w:sz w:val="26"/>
          <w:szCs w:val="26"/>
        </w:rPr>
        <w:t>Š</w:t>
      </w:r>
      <w:r w:rsidR="00A837DA" w:rsidRPr="00AF170D">
        <w:rPr>
          <w:sz w:val="26"/>
          <w:szCs w:val="26"/>
        </w:rPr>
        <w:t xml:space="preserve">āda valsts nodevas likmes noteikšanas kārtība rada bažas par iespējamu interešu konflikta risku un var kļūt par instrumentu, lai Ministru kabinets varētu īstenot ietekmi uz Regulatoru.  </w:t>
      </w:r>
      <w:r w:rsidR="00D41DB1" w:rsidRPr="00AF170D">
        <w:rPr>
          <w:sz w:val="26"/>
          <w:szCs w:val="26"/>
        </w:rPr>
        <w:t xml:space="preserve">OECD uzsver, ka </w:t>
      </w:r>
      <w:r w:rsidR="00542ACD" w:rsidRPr="00AF170D">
        <w:rPr>
          <w:sz w:val="26"/>
          <w:szCs w:val="26"/>
        </w:rPr>
        <w:t>minētais deleģējums Ministru kabinetam</w:t>
      </w:r>
      <w:r w:rsidR="00D41DB1" w:rsidRPr="00AF170D">
        <w:rPr>
          <w:sz w:val="26"/>
          <w:szCs w:val="26"/>
        </w:rPr>
        <w:t xml:space="preserve"> rada </w:t>
      </w:r>
      <w:r w:rsidR="005E2D90" w:rsidRPr="00AF170D">
        <w:rPr>
          <w:sz w:val="26"/>
          <w:szCs w:val="26"/>
        </w:rPr>
        <w:lastRenderedPageBreak/>
        <w:t>īpašus</w:t>
      </w:r>
      <w:r w:rsidR="00D41DB1" w:rsidRPr="00AF170D">
        <w:rPr>
          <w:sz w:val="26"/>
          <w:szCs w:val="26"/>
        </w:rPr>
        <w:t xml:space="preserve"> riskus Latvijas kontekstā, kur valsts uzņēmumi ir nozī</w:t>
      </w:r>
      <w:r w:rsidR="006A5603" w:rsidRPr="00AF170D">
        <w:rPr>
          <w:sz w:val="26"/>
          <w:szCs w:val="26"/>
        </w:rPr>
        <w:t>mīga Regulatora</w:t>
      </w:r>
      <w:r w:rsidR="00D41DB1" w:rsidRPr="00AF170D">
        <w:rPr>
          <w:sz w:val="26"/>
          <w:szCs w:val="26"/>
        </w:rPr>
        <w:t xml:space="preserve"> pārraudzīto nozaru daļa.</w:t>
      </w:r>
    </w:p>
    <w:p w14:paraId="3E1CF480" w14:textId="77777777" w:rsidR="00EB02EF" w:rsidRPr="00AF170D" w:rsidRDefault="008D506B" w:rsidP="00194BD3">
      <w:pPr>
        <w:spacing w:before="60" w:after="60"/>
        <w:ind w:firstLine="720"/>
        <w:jc w:val="both"/>
        <w:rPr>
          <w:sz w:val="26"/>
          <w:szCs w:val="26"/>
        </w:rPr>
      </w:pPr>
      <w:r w:rsidRPr="00AF170D">
        <w:rPr>
          <w:sz w:val="26"/>
          <w:szCs w:val="26"/>
        </w:rPr>
        <w:t xml:space="preserve">Līdz ar to OECD rekomendē pārskatīt </w:t>
      </w:r>
      <w:r w:rsidR="00096B12" w:rsidRPr="00AF170D">
        <w:rPr>
          <w:sz w:val="26"/>
          <w:szCs w:val="26"/>
        </w:rPr>
        <w:t xml:space="preserve">un noteikt tādu Regulatora darbības finansēšanas </w:t>
      </w:r>
      <w:r w:rsidR="006A583F" w:rsidRPr="00AF170D">
        <w:rPr>
          <w:sz w:val="26"/>
          <w:szCs w:val="26"/>
        </w:rPr>
        <w:t>modeli,</w:t>
      </w:r>
      <w:r w:rsidR="0042732A" w:rsidRPr="00AF170D">
        <w:rPr>
          <w:sz w:val="26"/>
          <w:szCs w:val="26"/>
        </w:rPr>
        <w:t xml:space="preserve"> </w:t>
      </w:r>
      <w:r w:rsidR="00096B12" w:rsidRPr="00AF170D">
        <w:rPr>
          <w:sz w:val="26"/>
          <w:szCs w:val="26"/>
        </w:rPr>
        <w:t xml:space="preserve">kas vienlīdz </w:t>
      </w:r>
      <w:r w:rsidR="0042732A" w:rsidRPr="00AF170D">
        <w:rPr>
          <w:sz w:val="26"/>
          <w:szCs w:val="26"/>
        </w:rPr>
        <w:t>garantē</w:t>
      </w:r>
      <w:r w:rsidR="00096B12" w:rsidRPr="00AF170D">
        <w:rPr>
          <w:sz w:val="26"/>
          <w:szCs w:val="26"/>
        </w:rPr>
        <w:t>tu pietiekamu atbildību, samazinātu iespējamos interešu konflikta riskus un novērstu iespējamo nepamatot</w:t>
      </w:r>
      <w:r w:rsidR="00136CA8" w:rsidRPr="00AF170D">
        <w:rPr>
          <w:sz w:val="26"/>
          <w:szCs w:val="26"/>
        </w:rPr>
        <w:t>o</w:t>
      </w:r>
      <w:r w:rsidR="0042732A" w:rsidRPr="00AF170D">
        <w:rPr>
          <w:sz w:val="26"/>
          <w:szCs w:val="26"/>
        </w:rPr>
        <w:t xml:space="preserve"> </w:t>
      </w:r>
      <w:r w:rsidR="00096B12" w:rsidRPr="00AF170D">
        <w:rPr>
          <w:sz w:val="26"/>
          <w:szCs w:val="26"/>
        </w:rPr>
        <w:t xml:space="preserve">Regulatora </w:t>
      </w:r>
      <w:r w:rsidR="0042732A" w:rsidRPr="00AF170D">
        <w:rPr>
          <w:sz w:val="26"/>
          <w:szCs w:val="26"/>
        </w:rPr>
        <w:t>ietekm</w:t>
      </w:r>
      <w:r w:rsidR="00136CA8" w:rsidRPr="00AF170D">
        <w:rPr>
          <w:sz w:val="26"/>
          <w:szCs w:val="26"/>
        </w:rPr>
        <w:t>ēšanu</w:t>
      </w:r>
      <w:r w:rsidR="0042732A" w:rsidRPr="00AF170D">
        <w:rPr>
          <w:sz w:val="26"/>
          <w:szCs w:val="26"/>
        </w:rPr>
        <w:t xml:space="preserve">. </w:t>
      </w:r>
    </w:p>
    <w:p w14:paraId="77DCB76D" w14:textId="77777777" w:rsidR="00542ACD" w:rsidRPr="00AF170D" w:rsidRDefault="00096B12" w:rsidP="00542ACD">
      <w:pPr>
        <w:spacing w:before="60" w:after="60"/>
        <w:ind w:firstLine="720"/>
        <w:jc w:val="both"/>
        <w:rPr>
          <w:sz w:val="26"/>
          <w:szCs w:val="26"/>
        </w:rPr>
      </w:pPr>
      <w:r w:rsidRPr="00AF170D">
        <w:rPr>
          <w:sz w:val="26"/>
          <w:szCs w:val="26"/>
        </w:rPr>
        <w:t xml:space="preserve">OECD ieskatā valsts nodevas apmēru </w:t>
      </w:r>
      <w:r w:rsidR="0042732A" w:rsidRPr="00AF170D">
        <w:rPr>
          <w:sz w:val="26"/>
          <w:szCs w:val="26"/>
        </w:rPr>
        <w:t>var</w:t>
      </w:r>
      <w:r w:rsidRPr="00AF170D">
        <w:rPr>
          <w:sz w:val="26"/>
          <w:szCs w:val="26"/>
        </w:rPr>
        <w:t>ētu</w:t>
      </w:r>
      <w:r w:rsidR="0042732A" w:rsidRPr="00AF170D">
        <w:rPr>
          <w:sz w:val="26"/>
          <w:szCs w:val="26"/>
        </w:rPr>
        <w:t xml:space="preserve"> </w:t>
      </w:r>
      <w:r w:rsidRPr="00AF170D">
        <w:rPr>
          <w:sz w:val="26"/>
          <w:szCs w:val="26"/>
        </w:rPr>
        <w:t>noteikt likuma līmenī</w:t>
      </w:r>
      <w:r w:rsidR="0042732A" w:rsidRPr="00AF170D">
        <w:rPr>
          <w:sz w:val="26"/>
          <w:szCs w:val="26"/>
        </w:rPr>
        <w:t xml:space="preserve">, bez nepieciešamības </w:t>
      </w:r>
      <w:r w:rsidR="004B72E4" w:rsidRPr="00AF170D">
        <w:rPr>
          <w:sz w:val="26"/>
          <w:szCs w:val="26"/>
        </w:rPr>
        <w:t>noteikt nodevas griestus</w:t>
      </w:r>
      <w:r w:rsidR="00EB02EF" w:rsidRPr="00AF170D">
        <w:rPr>
          <w:sz w:val="26"/>
          <w:szCs w:val="26"/>
        </w:rPr>
        <w:t xml:space="preserve">, kā arī </w:t>
      </w:r>
      <w:r w:rsidR="004B72E4" w:rsidRPr="00AF170D">
        <w:rPr>
          <w:sz w:val="26"/>
          <w:szCs w:val="26"/>
        </w:rPr>
        <w:t>izstrādāt mehānismu, kas valsts nodevas pārmaksas gadījumā neradītu nepieciešamību valsts nodevu atmaksāt (samazināt) katru gadu.</w:t>
      </w:r>
    </w:p>
    <w:p w14:paraId="6975C423" w14:textId="77777777" w:rsidR="00DD7EC5" w:rsidRPr="00AF170D" w:rsidRDefault="0007434A" w:rsidP="00833C0E">
      <w:pPr>
        <w:spacing w:after="60"/>
        <w:ind w:firstLine="720"/>
        <w:jc w:val="both"/>
        <w:rPr>
          <w:sz w:val="26"/>
          <w:szCs w:val="26"/>
        </w:rPr>
      </w:pPr>
      <w:r w:rsidRPr="00AF170D">
        <w:rPr>
          <w:sz w:val="26"/>
          <w:szCs w:val="26"/>
        </w:rPr>
        <w:t>Vienlaikus OECD sav</w:t>
      </w:r>
      <w:r w:rsidR="00DE7439" w:rsidRPr="00AF170D">
        <w:rPr>
          <w:sz w:val="26"/>
          <w:szCs w:val="26"/>
        </w:rPr>
        <w:t xml:space="preserve">ās rekomendācijās piedāvā </w:t>
      </w:r>
      <w:r w:rsidR="00575C7A" w:rsidRPr="00AF170D">
        <w:rPr>
          <w:sz w:val="26"/>
          <w:szCs w:val="26"/>
        </w:rPr>
        <w:t xml:space="preserve">arī </w:t>
      </w:r>
      <w:r w:rsidR="00DE7439" w:rsidRPr="00AF170D">
        <w:rPr>
          <w:sz w:val="26"/>
          <w:szCs w:val="26"/>
        </w:rPr>
        <w:t>alternatīvu</w:t>
      </w:r>
      <w:r w:rsidRPr="00AF170D">
        <w:rPr>
          <w:sz w:val="26"/>
          <w:szCs w:val="26"/>
        </w:rPr>
        <w:t xml:space="preserve"> transparentu mehānismu</w:t>
      </w:r>
      <w:r w:rsidR="00575C7A" w:rsidRPr="00AF170D">
        <w:rPr>
          <w:sz w:val="26"/>
          <w:szCs w:val="26"/>
        </w:rPr>
        <w:t xml:space="preserve"> regulatīvās maksas noteikšanai un </w:t>
      </w:r>
      <w:r w:rsidRPr="00AF170D">
        <w:rPr>
          <w:sz w:val="26"/>
          <w:szCs w:val="26"/>
        </w:rPr>
        <w:t xml:space="preserve"> Regulatora pieprasīto finanšu resursu izlietošanas pamatotīb</w:t>
      </w:r>
      <w:r w:rsidR="00575C7A" w:rsidRPr="00AF170D">
        <w:rPr>
          <w:sz w:val="26"/>
          <w:szCs w:val="26"/>
        </w:rPr>
        <w:t>as izvērtēšanai</w:t>
      </w:r>
      <w:r w:rsidRPr="00AF170D">
        <w:rPr>
          <w:sz w:val="26"/>
          <w:szCs w:val="26"/>
        </w:rPr>
        <w:t xml:space="preserve">, t.i., </w:t>
      </w:r>
      <w:r w:rsidR="00A374FA" w:rsidRPr="00AF170D">
        <w:rPr>
          <w:sz w:val="26"/>
          <w:szCs w:val="26"/>
        </w:rPr>
        <w:t xml:space="preserve">ierosina izvērtēt </w:t>
      </w:r>
      <w:r w:rsidRPr="00AF170D">
        <w:rPr>
          <w:sz w:val="26"/>
          <w:szCs w:val="26"/>
        </w:rPr>
        <w:t xml:space="preserve">Regulatora finansējuma apmēra noteikšanu deleģēt parlamentārai komisijai vai kādai citai neatkarīgai institūcijai. </w:t>
      </w:r>
      <w:r w:rsidR="00575C7A" w:rsidRPr="00AF170D">
        <w:rPr>
          <w:sz w:val="26"/>
          <w:szCs w:val="26"/>
        </w:rPr>
        <w:t xml:space="preserve">Šajā gadījumā </w:t>
      </w:r>
      <w:r w:rsidR="00DD7EC5" w:rsidRPr="00AF170D">
        <w:rPr>
          <w:sz w:val="26"/>
          <w:szCs w:val="26"/>
        </w:rPr>
        <w:t xml:space="preserve">Regulators sagatavo priekšlikumus, kas pamato nepieciešamās izmaksas likumā noteikto uzraudzības funkciju izpildes nodrošināšanai, un iesniedz tās izvērtēšanai neatkarīgai </w:t>
      </w:r>
      <w:r w:rsidR="006F78A2" w:rsidRPr="00AF170D">
        <w:rPr>
          <w:sz w:val="26"/>
          <w:szCs w:val="26"/>
        </w:rPr>
        <w:t>institūcijai</w:t>
      </w:r>
      <w:r w:rsidR="00DD7EC5" w:rsidRPr="00AF170D">
        <w:rPr>
          <w:sz w:val="26"/>
          <w:szCs w:val="26"/>
        </w:rPr>
        <w:t>.</w:t>
      </w:r>
      <w:r w:rsidR="00575C7A" w:rsidRPr="00AF170D">
        <w:rPr>
          <w:sz w:val="26"/>
          <w:szCs w:val="26"/>
        </w:rPr>
        <w:t xml:space="preserve"> </w:t>
      </w:r>
      <w:r w:rsidR="00DD7EC5" w:rsidRPr="00AF170D">
        <w:rPr>
          <w:sz w:val="26"/>
          <w:szCs w:val="26"/>
        </w:rPr>
        <w:t xml:space="preserve">Neatkarīgā </w:t>
      </w:r>
      <w:r w:rsidR="006F78A2" w:rsidRPr="00AF170D">
        <w:rPr>
          <w:sz w:val="26"/>
          <w:szCs w:val="26"/>
        </w:rPr>
        <w:t>institūcija</w:t>
      </w:r>
      <w:r w:rsidR="00DD7EC5" w:rsidRPr="00AF170D">
        <w:rPr>
          <w:sz w:val="26"/>
          <w:szCs w:val="26"/>
        </w:rPr>
        <w:t xml:space="preserve"> pieņem lēmumu par regulatīvās maksas apmēru vai arī iesniedz attiecīgu priekšlikumu Ministru kabinetam. </w:t>
      </w:r>
    </w:p>
    <w:p w14:paraId="65F25026" w14:textId="77777777" w:rsidR="002433B6" w:rsidRPr="00DD7EC5" w:rsidRDefault="002433B6" w:rsidP="00DD7EC5">
      <w:pPr>
        <w:spacing w:before="60" w:after="60"/>
        <w:ind w:firstLine="720"/>
        <w:jc w:val="both"/>
        <w:rPr>
          <w:sz w:val="24"/>
        </w:rPr>
      </w:pPr>
    </w:p>
    <w:p w14:paraId="1BF9AF0D" w14:textId="77777777" w:rsidR="00884DCF" w:rsidRPr="00AF170D" w:rsidRDefault="00D16DD8" w:rsidP="00AA25EE">
      <w:pPr>
        <w:pStyle w:val="Heading1"/>
        <w:numPr>
          <w:ilvl w:val="0"/>
          <w:numId w:val="18"/>
        </w:numPr>
        <w:spacing w:before="60"/>
        <w:ind w:left="567" w:hanging="567"/>
        <w:jc w:val="both"/>
        <w:rPr>
          <w:sz w:val="28"/>
          <w:szCs w:val="28"/>
        </w:rPr>
      </w:pPr>
      <w:r w:rsidRPr="00AF170D">
        <w:rPr>
          <w:sz w:val="28"/>
          <w:szCs w:val="28"/>
        </w:rPr>
        <w:t>Priekšlikumi</w:t>
      </w:r>
      <w:r w:rsidR="001B2005" w:rsidRPr="00AF170D">
        <w:rPr>
          <w:sz w:val="28"/>
          <w:szCs w:val="28"/>
        </w:rPr>
        <w:t xml:space="preserve"> </w:t>
      </w:r>
      <w:r w:rsidR="00D839B2" w:rsidRPr="00AF170D">
        <w:rPr>
          <w:sz w:val="28"/>
          <w:szCs w:val="28"/>
        </w:rPr>
        <w:t>Sabiedrisko pakalpojumu regulēšanas komisi</w:t>
      </w:r>
      <w:r w:rsidR="00073C6B" w:rsidRPr="00AF170D">
        <w:rPr>
          <w:sz w:val="28"/>
          <w:szCs w:val="28"/>
        </w:rPr>
        <w:t>jas darbības finansēšanas modeļa</w:t>
      </w:r>
      <w:r w:rsidR="00884DCF" w:rsidRPr="00AF170D">
        <w:rPr>
          <w:sz w:val="28"/>
          <w:szCs w:val="28"/>
        </w:rPr>
        <w:t xml:space="preserve"> </w:t>
      </w:r>
      <w:r w:rsidR="00E864A1" w:rsidRPr="00AF170D">
        <w:rPr>
          <w:sz w:val="28"/>
          <w:szCs w:val="28"/>
        </w:rPr>
        <w:t>pilnveidošanai</w:t>
      </w:r>
    </w:p>
    <w:p w14:paraId="5651A6FD" w14:textId="77777777" w:rsidR="00F936B5" w:rsidRDefault="00F936B5" w:rsidP="00AA25EE">
      <w:pPr>
        <w:ind w:firstLine="720"/>
        <w:jc w:val="both"/>
        <w:rPr>
          <w:rFonts w:eastAsia="Times New Roman"/>
          <w:color w:val="auto"/>
          <w:sz w:val="26"/>
          <w:szCs w:val="26"/>
        </w:rPr>
      </w:pPr>
    </w:p>
    <w:p w14:paraId="54BD591E" w14:textId="1AD0C63C" w:rsidR="0060319D" w:rsidRPr="00AF170D" w:rsidRDefault="00FE1EFB" w:rsidP="00AA25EE">
      <w:pPr>
        <w:spacing w:after="60"/>
        <w:ind w:firstLine="720"/>
        <w:jc w:val="both"/>
        <w:rPr>
          <w:b/>
          <w:noProof/>
          <w:sz w:val="26"/>
          <w:szCs w:val="26"/>
        </w:rPr>
      </w:pPr>
      <w:r w:rsidRPr="00AF170D">
        <w:rPr>
          <w:rFonts w:eastAsia="Times New Roman"/>
          <w:color w:val="auto"/>
          <w:sz w:val="26"/>
          <w:szCs w:val="26"/>
        </w:rPr>
        <w:t xml:space="preserve">Iespējamo </w:t>
      </w:r>
      <w:r w:rsidR="00C03CAC" w:rsidRPr="00AF170D">
        <w:rPr>
          <w:rFonts w:eastAsia="Times New Roman"/>
          <w:color w:val="auto"/>
          <w:sz w:val="26"/>
          <w:szCs w:val="26"/>
        </w:rPr>
        <w:t>Regulatora darbības fi</w:t>
      </w:r>
      <w:r w:rsidRPr="00AF170D">
        <w:rPr>
          <w:rFonts w:eastAsia="Times New Roman"/>
          <w:color w:val="auto"/>
          <w:sz w:val="26"/>
          <w:szCs w:val="26"/>
        </w:rPr>
        <w:t>nansēšanas modeļa</w:t>
      </w:r>
      <w:r w:rsidR="00950EF6" w:rsidRPr="00AF170D">
        <w:rPr>
          <w:rFonts w:eastAsia="Times New Roman"/>
          <w:color w:val="auto"/>
          <w:sz w:val="26"/>
          <w:szCs w:val="26"/>
        </w:rPr>
        <w:t xml:space="preserve"> variantu identificēšanai un izvērtēšanai </w:t>
      </w:r>
      <w:r w:rsidR="00F163A9" w:rsidRPr="00AF170D">
        <w:rPr>
          <w:rFonts w:eastAsia="Times New Roman"/>
          <w:color w:val="auto"/>
          <w:sz w:val="26"/>
          <w:szCs w:val="26"/>
        </w:rPr>
        <w:t xml:space="preserve">ar Ministru prezidenta biedra, ekonomikas ministra 2016.gada 21.oktobra rīkojumu Nr.214 ir </w:t>
      </w:r>
      <w:r w:rsidR="00C03CAC" w:rsidRPr="00AF170D">
        <w:rPr>
          <w:rFonts w:eastAsia="Times New Roman"/>
          <w:color w:val="auto"/>
          <w:sz w:val="26"/>
          <w:szCs w:val="26"/>
        </w:rPr>
        <w:t>izveido</w:t>
      </w:r>
      <w:r w:rsidR="00F163A9" w:rsidRPr="00AF170D">
        <w:rPr>
          <w:rFonts w:eastAsia="Times New Roman"/>
          <w:color w:val="auto"/>
          <w:sz w:val="26"/>
          <w:szCs w:val="26"/>
        </w:rPr>
        <w:t>ta</w:t>
      </w:r>
      <w:r w:rsidR="00C03CAC" w:rsidRPr="00AF170D">
        <w:rPr>
          <w:rFonts w:eastAsia="Times New Roman"/>
          <w:color w:val="auto"/>
          <w:sz w:val="26"/>
          <w:szCs w:val="26"/>
        </w:rPr>
        <w:t xml:space="preserve"> darba</w:t>
      </w:r>
      <w:r w:rsidR="009658E0" w:rsidRPr="00AF170D">
        <w:rPr>
          <w:rFonts w:eastAsia="Times New Roman"/>
          <w:color w:val="auto"/>
          <w:sz w:val="26"/>
          <w:szCs w:val="26"/>
        </w:rPr>
        <w:t xml:space="preserve"> grup</w:t>
      </w:r>
      <w:r w:rsidR="00F163A9" w:rsidRPr="00AF170D">
        <w:rPr>
          <w:rFonts w:eastAsia="Times New Roman"/>
          <w:color w:val="auto"/>
          <w:sz w:val="26"/>
          <w:szCs w:val="26"/>
        </w:rPr>
        <w:t>a</w:t>
      </w:r>
      <w:r w:rsidR="009658E0" w:rsidRPr="00AF170D">
        <w:rPr>
          <w:rFonts w:eastAsia="Times New Roman"/>
          <w:color w:val="auto"/>
          <w:sz w:val="26"/>
          <w:szCs w:val="26"/>
        </w:rPr>
        <w:t xml:space="preserve"> (turpmāk – Darba grupa)</w:t>
      </w:r>
      <w:r w:rsidR="009F7A22" w:rsidRPr="00AF170D">
        <w:rPr>
          <w:rFonts w:eastAsia="Times New Roman"/>
          <w:color w:val="auto"/>
          <w:sz w:val="26"/>
          <w:szCs w:val="26"/>
        </w:rPr>
        <w:t xml:space="preserve">. </w:t>
      </w:r>
      <w:r w:rsidR="009658E0" w:rsidRPr="00AF170D">
        <w:rPr>
          <w:rFonts w:eastAsia="Times New Roman"/>
          <w:color w:val="auto"/>
          <w:sz w:val="26"/>
          <w:szCs w:val="26"/>
        </w:rPr>
        <w:t xml:space="preserve"> </w:t>
      </w:r>
      <w:r w:rsidR="00F163A9" w:rsidRPr="00AF170D">
        <w:rPr>
          <w:rFonts w:eastAsia="Times New Roman"/>
          <w:color w:val="auto"/>
          <w:sz w:val="26"/>
          <w:szCs w:val="26"/>
        </w:rPr>
        <w:t xml:space="preserve">Dalībai </w:t>
      </w:r>
      <w:r w:rsidR="009F7A22" w:rsidRPr="00AF170D">
        <w:rPr>
          <w:rFonts w:eastAsia="Times New Roman"/>
          <w:color w:val="auto"/>
          <w:sz w:val="26"/>
          <w:szCs w:val="26"/>
        </w:rPr>
        <w:t>Darba grupā</w:t>
      </w:r>
      <w:r w:rsidR="009658E0" w:rsidRPr="00AF170D">
        <w:rPr>
          <w:rFonts w:eastAsia="Times New Roman"/>
          <w:color w:val="auto"/>
          <w:sz w:val="26"/>
          <w:szCs w:val="26"/>
        </w:rPr>
        <w:t xml:space="preserve"> </w:t>
      </w:r>
      <w:r w:rsidR="00F163A9" w:rsidRPr="00AF170D">
        <w:rPr>
          <w:rFonts w:eastAsia="Times New Roman"/>
          <w:color w:val="auto"/>
          <w:sz w:val="26"/>
          <w:szCs w:val="26"/>
        </w:rPr>
        <w:t xml:space="preserve">ir </w:t>
      </w:r>
      <w:r w:rsidR="009658E0" w:rsidRPr="00AF170D">
        <w:rPr>
          <w:rFonts w:eastAsia="Times New Roman"/>
          <w:color w:val="auto"/>
          <w:sz w:val="26"/>
          <w:szCs w:val="26"/>
        </w:rPr>
        <w:t>deleģēti pārstāvji no</w:t>
      </w:r>
      <w:r w:rsidR="00C03CAC" w:rsidRPr="00AF170D">
        <w:rPr>
          <w:rFonts w:eastAsia="Times New Roman"/>
          <w:color w:val="auto"/>
          <w:sz w:val="26"/>
          <w:szCs w:val="26"/>
        </w:rPr>
        <w:t xml:space="preserve"> Ekonomikas ministrijas, Regulatora, Vides aizsardzības un reģionālās attīstības ministrijas, Satiksmes ministrijas, Finanšu ministrijas, Valsts kases, Latvijas Informācijas un komunikācijas tehnoloģijas asociācijas, Latvijas Darba devēju konfederācijas un Latvijas Tirdzniecības </w:t>
      </w:r>
      <w:r w:rsidR="002471EA" w:rsidRPr="00AF170D">
        <w:rPr>
          <w:rFonts w:eastAsia="Times New Roman"/>
          <w:color w:val="auto"/>
          <w:sz w:val="26"/>
          <w:szCs w:val="26"/>
        </w:rPr>
        <w:t>un rūpniecības kameras</w:t>
      </w:r>
      <w:r w:rsidR="00C03CAC" w:rsidRPr="00AF170D">
        <w:rPr>
          <w:rFonts w:eastAsia="Times New Roman"/>
          <w:color w:val="auto"/>
          <w:sz w:val="26"/>
          <w:szCs w:val="26"/>
        </w:rPr>
        <w:t>.</w:t>
      </w:r>
      <w:r w:rsidR="0060319D" w:rsidRPr="00AF170D">
        <w:rPr>
          <w:noProof/>
          <w:sz w:val="26"/>
          <w:szCs w:val="26"/>
        </w:rPr>
        <w:t xml:space="preserve"> </w:t>
      </w:r>
    </w:p>
    <w:p w14:paraId="7F10B41A" w14:textId="77777777" w:rsidR="002471EA" w:rsidRPr="00AF170D" w:rsidRDefault="00E1308D" w:rsidP="00194BD3">
      <w:pPr>
        <w:spacing w:before="60" w:after="60"/>
        <w:ind w:firstLine="720"/>
        <w:jc w:val="both"/>
        <w:rPr>
          <w:rFonts w:eastAsia="Times New Roman"/>
          <w:color w:val="auto"/>
          <w:sz w:val="26"/>
          <w:szCs w:val="26"/>
        </w:rPr>
      </w:pPr>
      <w:r w:rsidRPr="00AF170D">
        <w:rPr>
          <w:rFonts w:eastAsia="Times New Roman"/>
          <w:color w:val="auto"/>
          <w:sz w:val="26"/>
          <w:szCs w:val="26"/>
        </w:rPr>
        <w:t>Darba grup</w:t>
      </w:r>
      <w:r w:rsidR="008F22E0" w:rsidRPr="00AF170D">
        <w:rPr>
          <w:rFonts w:eastAsia="Times New Roman"/>
          <w:color w:val="auto"/>
          <w:sz w:val="26"/>
          <w:szCs w:val="26"/>
        </w:rPr>
        <w:t>as ietvaros</w:t>
      </w:r>
      <w:r w:rsidR="002471EA" w:rsidRPr="00AF170D">
        <w:rPr>
          <w:rFonts w:eastAsia="Times New Roman"/>
          <w:color w:val="auto"/>
          <w:sz w:val="26"/>
          <w:szCs w:val="26"/>
        </w:rPr>
        <w:t xml:space="preserve"> par ilgtspējīgāko</w:t>
      </w:r>
      <w:r w:rsidR="009658E0" w:rsidRPr="00AF170D">
        <w:rPr>
          <w:rFonts w:eastAsia="Times New Roman"/>
          <w:color w:val="auto"/>
          <w:sz w:val="26"/>
          <w:szCs w:val="26"/>
        </w:rPr>
        <w:t xml:space="preserve"> </w:t>
      </w:r>
      <w:r w:rsidR="002471EA" w:rsidRPr="00AF170D">
        <w:rPr>
          <w:rFonts w:eastAsia="Times New Roman"/>
          <w:color w:val="auto"/>
          <w:sz w:val="26"/>
          <w:szCs w:val="26"/>
        </w:rPr>
        <w:t xml:space="preserve">un OECD rekomendācijām atbilstošāko </w:t>
      </w:r>
      <w:r w:rsidR="00FE04C8" w:rsidRPr="00AF170D">
        <w:rPr>
          <w:rFonts w:eastAsia="Times New Roman"/>
          <w:color w:val="auto"/>
          <w:sz w:val="26"/>
          <w:szCs w:val="26"/>
        </w:rPr>
        <w:t xml:space="preserve">Regulatora </w:t>
      </w:r>
      <w:r w:rsidR="002471EA" w:rsidRPr="00AF170D">
        <w:rPr>
          <w:rFonts w:eastAsia="Times New Roman"/>
          <w:color w:val="auto"/>
          <w:sz w:val="26"/>
          <w:szCs w:val="26"/>
        </w:rPr>
        <w:t>finansēšanas modeli</w:t>
      </w:r>
      <w:r w:rsidR="00F02475" w:rsidRPr="00AF170D">
        <w:rPr>
          <w:rFonts w:eastAsia="Times New Roman"/>
          <w:color w:val="auto"/>
          <w:sz w:val="26"/>
          <w:szCs w:val="26"/>
        </w:rPr>
        <w:t xml:space="preserve"> </w:t>
      </w:r>
      <w:r w:rsidR="002054EA" w:rsidRPr="00AF170D">
        <w:rPr>
          <w:rFonts w:eastAsia="Times New Roman"/>
          <w:color w:val="auto"/>
          <w:sz w:val="26"/>
          <w:szCs w:val="26"/>
        </w:rPr>
        <w:t>ir</w:t>
      </w:r>
      <w:r w:rsidR="002471EA" w:rsidRPr="00AF170D">
        <w:rPr>
          <w:rFonts w:eastAsia="Times New Roman"/>
          <w:color w:val="auto"/>
          <w:sz w:val="26"/>
          <w:szCs w:val="26"/>
        </w:rPr>
        <w:t xml:space="preserve"> atzīts finansē</w:t>
      </w:r>
      <w:r w:rsidR="00FE1EFB" w:rsidRPr="00AF170D">
        <w:rPr>
          <w:rFonts w:eastAsia="Times New Roman"/>
          <w:color w:val="auto"/>
          <w:sz w:val="26"/>
          <w:szCs w:val="26"/>
        </w:rPr>
        <w:t>šanas modelis, k</w:t>
      </w:r>
      <w:r w:rsidR="002054EA" w:rsidRPr="00AF170D">
        <w:rPr>
          <w:rFonts w:eastAsia="Times New Roman"/>
          <w:color w:val="auto"/>
          <w:sz w:val="26"/>
          <w:szCs w:val="26"/>
        </w:rPr>
        <w:t>as</w:t>
      </w:r>
      <w:r w:rsidR="00FE1EFB" w:rsidRPr="00AF170D">
        <w:rPr>
          <w:rFonts w:eastAsia="Times New Roman"/>
          <w:color w:val="auto"/>
          <w:sz w:val="26"/>
          <w:szCs w:val="26"/>
        </w:rPr>
        <w:t xml:space="preserve"> sastāv </w:t>
      </w:r>
      <w:r w:rsidR="00136CA8" w:rsidRPr="00AF170D">
        <w:rPr>
          <w:rFonts w:eastAsia="Times New Roman"/>
          <w:color w:val="auto"/>
          <w:sz w:val="26"/>
          <w:szCs w:val="26"/>
        </w:rPr>
        <w:t xml:space="preserve">no </w:t>
      </w:r>
      <w:r w:rsidR="00FE1EFB" w:rsidRPr="00AF170D">
        <w:rPr>
          <w:rFonts w:eastAsia="Times New Roman"/>
          <w:color w:val="auto"/>
          <w:sz w:val="26"/>
          <w:szCs w:val="26"/>
        </w:rPr>
        <w:t xml:space="preserve">šādiem </w:t>
      </w:r>
      <w:r w:rsidR="002471EA" w:rsidRPr="00AF170D">
        <w:rPr>
          <w:rFonts w:eastAsia="Times New Roman"/>
          <w:color w:val="auto"/>
          <w:sz w:val="26"/>
          <w:szCs w:val="26"/>
        </w:rPr>
        <w:t>savstarpēji saist</w:t>
      </w:r>
      <w:r w:rsidR="00FE1EFB" w:rsidRPr="00AF170D">
        <w:rPr>
          <w:rFonts w:eastAsia="Times New Roman"/>
          <w:color w:val="auto"/>
          <w:sz w:val="26"/>
          <w:szCs w:val="26"/>
        </w:rPr>
        <w:t>ītiem</w:t>
      </w:r>
      <w:r w:rsidR="002471EA" w:rsidRPr="00AF170D">
        <w:rPr>
          <w:rFonts w:eastAsia="Times New Roman"/>
          <w:color w:val="auto"/>
          <w:sz w:val="26"/>
          <w:szCs w:val="26"/>
        </w:rPr>
        <w:t xml:space="preserve"> elementiem</w:t>
      </w:r>
      <w:r w:rsidR="007B5788" w:rsidRPr="00AF170D">
        <w:rPr>
          <w:rFonts w:eastAsia="Times New Roman"/>
          <w:color w:val="auto"/>
          <w:sz w:val="26"/>
          <w:szCs w:val="26"/>
        </w:rPr>
        <w:t xml:space="preserve"> (sk</w:t>
      </w:r>
      <w:r w:rsidR="002054EA" w:rsidRPr="00AF170D">
        <w:rPr>
          <w:rFonts w:eastAsia="Times New Roman"/>
          <w:color w:val="auto"/>
          <w:sz w:val="26"/>
          <w:szCs w:val="26"/>
        </w:rPr>
        <w:t>atīt</w:t>
      </w:r>
      <w:r w:rsidR="007B5788" w:rsidRPr="00AF170D">
        <w:rPr>
          <w:rFonts w:eastAsia="Times New Roman"/>
          <w:color w:val="auto"/>
          <w:sz w:val="26"/>
          <w:szCs w:val="26"/>
        </w:rPr>
        <w:t xml:space="preserve">. </w:t>
      </w:r>
      <w:r w:rsidR="000D43EC">
        <w:rPr>
          <w:rFonts w:eastAsia="Times New Roman"/>
          <w:color w:val="auto"/>
          <w:sz w:val="26"/>
          <w:szCs w:val="26"/>
        </w:rPr>
        <w:t>3</w:t>
      </w:r>
      <w:r w:rsidR="00154015" w:rsidRPr="00AF170D">
        <w:rPr>
          <w:rFonts w:eastAsia="Times New Roman"/>
          <w:color w:val="auto"/>
          <w:sz w:val="26"/>
          <w:szCs w:val="26"/>
        </w:rPr>
        <w:t>.</w:t>
      </w:r>
      <w:r w:rsidR="007B5788" w:rsidRPr="00AF170D">
        <w:rPr>
          <w:rFonts w:eastAsia="Times New Roman"/>
          <w:color w:val="auto"/>
          <w:sz w:val="26"/>
          <w:szCs w:val="26"/>
        </w:rPr>
        <w:t>attēlu)</w:t>
      </w:r>
      <w:r w:rsidR="00FE1EFB" w:rsidRPr="00AF170D">
        <w:rPr>
          <w:rFonts w:eastAsia="Times New Roman"/>
          <w:color w:val="auto"/>
          <w:sz w:val="26"/>
          <w:szCs w:val="26"/>
        </w:rPr>
        <w:t>:</w:t>
      </w:r>
    </w:p>
    <w:p w14:paraId="3EDA5257" w14:textId="77777777" w:rsidR="00FE1EFB" w:rsidRPr="00AF170D" w:rsidRDefault="00102AE1" w:rsidP="00194BD3">
      <w:pPr>
        <w:pStyle w:val="ListParagraph"/>
        <w:numPr>
          <w:ilvl w:val="0"/>
          <w:numId w:val="15"/>
        </w:numPr>
        <w:spacing w:before="60" w:after="60"/>
        <w:ind w:hanging="357"/>
        <w:jc w:val="both"/>
        <w:rPr>
          <w:rFonts w:eastAsia="Times New Roman"/>
          <w:color w:val="auto"/>
          <w:sz w:val="26"/>
          <w:szCs w:val="26"/>
        </w:rPr>
      </w:pPr>
      <w:r w:rsidRPr="00AF170D">
        <w:rPr>
          <w:rFonts w:eastAsia="Times New Roman"/>
          <w:color w:val="auto"/>
          <w:sz w:val="26"/>
          <w:szCs w:val="26"/>
        </w:rPr>
        <w:t>n</w:t>
      </w:r>
      <w:r w:rsidR="00B73617" w:rsidRPr="00AF170D">
        <w:rPr>
          <w:rFonts w:eastAsia="Times New Roman"/>
          <w:color w:val="auto"/>
          <w:sz w:val="26"/>
          <w:szCs w:val="26"/>
        </w:rPr>
        <w:t xml:space="preserve">ormatīvajos aktos </w:t>
      </w:r>
      <w:r w:rsidR="00060FFE" w:rsidRPr="00AF170D">
        <w:rPr>
          <w:rFonts w:eastAsia="Times New Roman"/>
          <w:color w:val="auto"/>
          <w:sz w:val="26"/>
          <w:szCs w:val="26"/>
        </w:rPr>
        <w:t>paredzēti</w:t>
      </w:r>
      <w:r w:rsidR="00CB5F5D" w:rsidRPr="00AF170D">
        <w:rPr>
          <w:rFonts w:eastAsia="Times New Roman"/>
          <w:color w:val="auto"/>
          <w:sz w:val="26"/>
          <w:szCs w:val="26"/>
        </w:rPr>
        <w:t>e</w:t>
      </w:r>
      <w:r w:rsidR="00060FFE" w:rsidRPr="00AF170D">
        <w:rPr>
          <w:rFonts w:eastAsia="Times New Roman"/>
          <w:color w:val="auto"/>
          <w:sz w:val="26"/>
          <w:szCs w:val="26"/>
        </w:rPr>
        <w:t xml:space="preserve"> Regulatora </w:t>
      </w:r>
      <w:r w:rsidR="00FE1EFB" w:rsidRPr="00AF170D">
        <w:rPr>
          <w:rFonts w:eastAsia="Times New Roman"/>
          <w:color w:val="auto"/>
          <w:sz w:val="26"/>
          <w:szCs w:val="26"/>
        </w:rPr>
        <w:t>finans</w:t>
      </w:r>
      <w:r w:rsidR="00060FFE" w:rsidRPr="00AF170D">
        <w:rPr>
          <w:rFonts w:eastAsia="Times New Roman"/>
          <w:color w:val="auto"/>
          <w:sz w:val="26"/>
          <w:szCs w:val="26"/>
        </w:rPr>
        <w:t>ējuma avoti</w:t>
      </w:r>
      <w:r w:rsidR="00CB5F5D" w:rsidRPr="00AF170D">
        <w:rPr>
          <w:rFonts w:eastAsia="Times New Roman"/>
          <w:color w:val="auto"/>
          <w:sz w:val="26"/>
          <w:szCs w:val="26"/>
        </w:rPr>
        <w:t>, tajā skaitā</w:t>
      </w:r>
      <w:r w:rsidR="00FE1EFB" w:rsidRPr="00AF170D">
        <w:rPr>
          <w:rFonts w:eastAsia="Times New Roman"/>
          <w:color w:val="auto"/>
          <w:sz w:val="26"/>
          <w:szCs w:val="26"/>
        </w:rPr>
        <w:t>:</w:t>
      </w:r>
    </w:p>
    <w:p w14:paraId="5895A80C" w14:textId="77777777" w:rsidR="00FE1EFB" w:rsidRPr="00AF170D" w:rsidRDefault="00D2184D" w:rsidP="00194BD3">
      <w:pPr>
        <w:pStyle w:val="ListParagraph"/>
        <w:numPr>
          <w:ilvl w:val="1"/>
          <w:numId w:val="15"/>
        </w:numPr>
        <w:spacing w:before="60" w:after="60"/>
        <w:ind w:hanging="357"/>
        <w:jc w:val="both"/>
        <w:rPr>
          <w:rFonts w:eastAsia="Times New Roman"/>
          <w:color w:val="auto"/>
          <w:sz w:val="26"/>
          <w:szCs w:val="26"/>
        </w:rPr>
      </w:pPr>
      <w:r w:rsidRPr="00AF170D">
        <w:rPr>
          <w:rFonts w:eastAsia="Times New Roman"/>
          <w:color w:val="auto"/>
          <w:sz w:val="26"/>
          <w:szCs w:val="26"/>
        </w:rPr>
        <w:t>valsts nodeva</w:t>
      </w:r>
      <w:r w:rsidR="00FE1EFB" w:rsidRPr="00AF170D">
        <w:rPr>
          <w:rFonts w:eastAsia="Times New Roman"/>
          <w:color w:val="auto"/>
          <w:sz w:val="26"/>
          <w:szCs w:val="26"/>
        </w:rPr>
        <w:t>;</w:t>
      </w:r>
    </w:p>
    <w:p w14:paraId="005CC967" w14:textId="74B7BED2" w:rsidR="00FE1EFB" w:rsidRPr="00AF170D" w:rsidRDefault="00D2184D" w:rsidP="00194BD3">
      <w:pPr>
        <w:pStyle w:val="ListParagraph"/>
        <w:numPr>
          <w:ilvl w:val="1"/>
          <w:numId w:val="15"/>
        </w:numPr>
        <w:spacing w:before="60" w:after="60"/>
        <w:jc w:val="both"/>
        <w:rPr>
          <w:rFonts w:eastAsia="Times New Roman"/>
          <w:color w:val="auto"/>
          <w:sz w:val="26"/>
          <w:szCs w:val="26"/>
        </w:rPr>
      </w:pPr>
      <w:r w:rsidRPr="00AF170D">
        <w:rPr>
          <w:rFonts w:eastAsia="Times New Roman"/>
          <w:color w:val="auto"/>
          <w:sz w:val="26"/>
          <w:szCs w:val="26"/>
        </w:rPr>
        <w:t xml:space="preserve">citi ieņēmumi </w:t>
      </w:r>
      <w:r w:rsidR="00FE1EFB" w:rsidRPr="00AF170D">
        <w:rPr>
          <w:rFonts w:eastAsia="Times New Roman"/>
          <w:color w:val="auto"/>
          <w:sz w:val="26"/>
          <w:szCs w:val="26"/>
        </w:rPr>
        <w:t xml:space="preserve">par Regulatora sniegtajiem pakalpojumiem, kas </w:t>
      </w:r>
      <w:r w:rsidR="00450D5B" w:rsidRPr="00AF170D">
        <w:rPr>
          <w:rFonts w:eastAsia="Times New Roman"/>
          <w:color w:val="auto"/>
          <w:sz w:val="26"/>
          <w:szCs w:val="26"/>
        </w:rPr>
        <w:t xml:space="preserve">tiek noteikti attiecīgās regulējamās nozares speciālajā likumā, </w:t>
      </w:r>
      <w:r w:rsidR="002054EA" w:rsidRPr="00AF170D">
        <w:rPr>
          <w:rFonts w:eastAsia="Times New Roman"/>
          <w:color w:val="auto"/>
          <w:sz w:val="26"/>
          <w:szCs w:val="26"/>
        </w:rPr>
        <w:t xml:space="preserve">pamatojoties </w:t>
      </w:r>
      <w:r w:rsidR="00450D5B" w:rsidRPr="00AF170D">
        <w:rPr>
          <w:rFonts w:eastAsia="Times New Roman"/>
          <w:color w:val="auto"/>
          <w:sz w:val="26"/>
          <w:szCs w:val="26"/>
        </w:rPr>
        <w:t>uz Regulatora administratīvajam izmaksām un attiecīgās funkcijas (pakalpojuma) nodrošināšanai nepieciešamajiem izdevumiem;</w:t>
      </w:r>
    </w:p>
    <w:p w14:paraId="02A71D42" w14:textId="77777777" w:rsidR="00450D5B" w:rsidRPr="00AF170D" w:rsidRDefault="004065A6" w:rsidP="00194BD3">
      <w:pPr>
        <w:pStyle w:val="ListParagraph"/>
        <w:numPr>
          <w:ilvl w:val="0"/>
          <w:numId w:val="15"/>
        </w:numPr>
        <w:spacing w:before="60" w:after="60"/>
        <w:jc w:val="both"/>
        <w:rPr>
          <w:rFonts w:eastAsia="Times New Roman"/>
          <w:color w:val="auto"/>
          <w:sz w:val="26"/>
          <w:szCs w:val="26"/>
        </w:rPr>
      </w:pPr>
      <w:r w:rsidRPr="00AF170D">
        <w:rPr>
          <w:rFonts w:eastAsia="Times New Roman"/>
          <w:color w:val="auto"/>
          <w:sz w:val="26"/>
          <w:szCs w:val="26"/>
        </w:rPr>
        <w:t>valsts nodevas apm</w:t>
      </w:r>
      <w:r w:rsidR="00060FFE" w:rsidRPr="00AF170D">
        <w:rPr>
          <w:rFonts w:eastAsia="Times New Roman"/>
          <w:color w:val="auto"/>
          <w:sz w:val="26"/>
          <w:szCs w:val="26"/>
        </w:rPr>
        <w:t>ērs,</w:t>
      </w:r>
      <w:r w:rsidRPr="00AF170D">
        <w:rPr>
          <w:rFonts w:eastAsia="Times New Roman"/>
          <w:color w:val="auto"/>
          <w:sz w:val="26"/>
          <w:szCs w:val="26"/>
        </w:rPr>
        <w:t xml:space="preserve"> tā</w:t>
      </w:r>
      <w:r w:rsidR="00450D5B" w:rsidRPr="00AF170D">
        <w:rPr>
          <w:rFonts w:eastAsia="Times New Roman"/>
          <w:color w:val="auto"/>
          <w:sz w:val="26"/>
          <w:szCs w:val="26"/>
        </w:rPr>
        <w:t>s</w:t>
      </w:r>
      <w:r w:rsidRPr="00AF170D">
        <w:rPr>
          <w:rFonts w:eastAsia="Times New Roman"/>
          <w:color w:val="auto"/>
          <w:sz w:val="26"/>
          <w:szCs w:val="26"/>
        </w:rPr>
        <w:t xml:space="preserve"> </w:t>
      </w:r>
      <w:r w:rsidR="00450D5B" w:rsidRPr="00AF170D">
        <w:rPr>
          <w:rFonts w:eastAsia="Times New Roman"/>
          <w:color w:val="auto"/>
          <w:sz w:val="26"/>
          <w:szCs w:val="26"/>
        </w:rPr>
        <w:t>aprēķināšanas</w:t>
      </w:r>
      <w:r w:rsidR="00060FFE" w:rsidRPr="00AF170D">
        <w:rPr>
          <w:rFonts w:eastAsia="Times New Roman"/>
          <w:color w:val="auto"/>
          <w:sz w:val="26"/>
          <w:szCs w:val="26"/>
        </w:rPr>
        <w:t xml:space="preserve"> un maksāšanas</w:t>
      </w:r>
      <w:r w:rsidRPr="00AF170D">
        <w:rPr>
          <w:rFonts w:eastAsia="Times New Roman"/>
          <w:color w:val="auto"/>
          <w:sz w:val="26"/>
          <w:szCs w:val="26"/>
        </w:rPr>
        <w:t xml:space="preserve"> kārtība</w:t>
      </w:r>
      <w:r w:rsidR="00450D5B" w:rsidRPr="00AF170D">
        <w:rPr>
          <w:sz w:val="26"/>
          <w:szCs w:val="26"/>
        </w:rPr>
        <w:t xml:space="preserve"> tiek pārskatīta</w:t>
      </w:r>
      <w:r w:rsidR="00B73617" w:rsidRPr="00AF170D">
        <w:rPr>
          <w:sz w:val="26"/>
          <w:szCs w:val="26"/>
        </w:rPr>
        <w:t>, pilnveidota</w:t>
      </w:r>
      <w:r w:rsidR="00450D5B" w:rsidRPr="00AF170D">
        <w:rPr>
          <w:sz w:val="26"/>
          <w:szCs w:val="26"/>
        </w:rPr>
        <w:t xml:space="preserve"> un noteikta </w:t>
      </w:r>
      <w:r w:rsidR="009F7A22" w:rsidRPr="00AF170D">
        <w:rPr>
          <w:sz w:val="26"/>
          <w:szCs w:val="26"/>
        </w:rPr>
        <w:t>L</w:t>
      </w:r>
      <w:r w:rsidR="00450D5B" w:rsidRPr="00AF170D">
        <w:rPr>
          <w:sz w:val="26"/>
          <w:szCs w:val="26"/>
        </w:rPr>
        <w:t>ikumā;</w:t>
      </w:r>
    </w:p>
    <w:p w14:paraId="601A203A" w14:textId="77777777" w:rsidR="004065A6" w:rsidRPr="00AF170D" w:rsidRDefault="00DA3365" w:rsidP="00DA3365">
      <w:pPr>
        <w:pStyle w:val="ListParagraph"/>
        <w:numPr>
          <w:ilvl w:val="0"/>
          <w:numId w:val="15"/>
        </w:numPr>
        <w:spacing w:before="60" w:after="60"/>
        <w:jc w:val="both"/>
        <w:rPr>
          <w:rFonts w:eastAsia="Times New Roman"/>
          <w:color w:val="auto"/>
          <w:sz w:val="26"/>
          <w:szCs w:val="26"/>
        </w:rPr>
      </w:pPr>
      <w:r w:rsidRPr="00AF170D">
        <w:rPr>
          <w:rFonts w:eastAsia="Times New Roman"/>
          <w:color w:val="auto"/>
          <w:sz w:val="26"/>
          <w:szCs w:val="26"/>
        </w:rPr>
        <w:t xml:space="preserve">tiesības Regulatoram veidot </w:t>
      </w:r>
      <w:r w:rsidR="00637D4C" w:rsidRPr="00AF170D">
        <w:rPr>
          <w:rFonts w:eastAsia="Times New Roman"/>
          <w:color w:val="auto"/>
          <w:sz w:val="26"/>
          <w:szCs w:val="26"/>
        </w:rPr>
        <w:t xml:space="preserve">uzkrājumus </w:t>
      </w:r>
      <w:r w:rsidRPr="00AF170D">
        <w:rPr>
          <w:rFonts w:eastAsia="Times New Roman"/>
          <w:color w:val="auto"/>
          <w:sz w:val="26"/>
          <w:szCs w:val="26"/>
        </w:rPr>
        <w:t xml:space="preserve">no valsts nodevas </w:t>
      </w:r>
      <w:r w:rsidR="00637D4C" w:rsidRPr="00AF170D">
        <w:rPr>
          <w:rFonts w:eastAsia="Times New Roman"/>
          <w:color w:val="auto"/>
          <w:sz w:val="26"/>
          <w:szCs w:val="26"/>
        </w:rPr>
        <w:t>ieņēmumiem</w:t>
      </w:r>
      <w:r w:rsidR="00B73617" w:rsidRPr="00AF170D">
        <w:rPr>
          <w:rFonts w:eastAsia="Times New Roman"/>
          <w:color w:val="auto"/>
          <w:sz w:val="26"/>
          <w:szCs w:val="26"/>
        </w:rPr>
        <w:t>;</w:t>
      </w:r>
    </w:p>
    <w:p w14:paraId="65534293" w14:textId="77777777" w:rsidR="00C226B3" w:rsidRPr="00AF170D" w:rsidRDefault="00B73617" w:rsidP="00A374FA">
      <w:pPr>
        <w:pStyle w:val="ListParagraph"/>
        <w:numPr>
          <w:ilvl w:val="0"/>
          <w:numId w:val="15"/>
        </w:numPr>
        <w:spacing w:before="60" w:after="60"/>
        <w:jc w:val="both"/>
        <w:rPr>
          <w:rFonts w:eastAsia="Times New Roman"/>
          <w:color w:val="auto"/>
          <w:sz w:val="26"/>
          <w:szCs w:val="26"/>
        </w:rPr>
      </w:pPr>
      <w:r w:rsidRPr="00AF170D">
        <w:rPr>
          <w:rFonts w:eastAsia="Times New Roman"/>
          <w:color w:val="auto"/>
          <w:sz w:val="26"/>
          <w:szCs w:val="26"/>
        </w:rPr>
        <w:t xml:space="preserve">pilnveidota Regulatora budžeta </w:t>
      </w:r>
      <w:r w:rsidR="002054EA" w:rsidRPr="00AF170D">
        <w:rPr>
          <w:rFonts w:eastAsia="Times New Roman"/>
          <w:color w:val="auto"/>
          <w:sz w:val="26"/>
          <w:szCs w:val="26"/>
        </w:rPr>
        <w:t xml:space="preserve">izstrādes un </w:t>
      </w:r>
      <w:r w:rsidRPr="00AF170D">
        <w:rPr>
          <w:rFonts w:eastAsia="Times New Roman"/>
          <w:color w:val="auto"/>
          <w:sz w:val="26"/>
          <w:szCs w:val="26"/>
        </w:rPr>
        <w:t>izpildes uzraudzība.</w:t>
      </w:r>
    </w:p>
    <w:p w14:paraId="462DE26F" w14:textId="1BF909C6" w:rsidR="00DE1C96" w:rsidRDefault="00DE1C96" w:rsidP="003A4F82">
      <w:pPr>
        <w:pStyle w:val="ListParagraph"/>
        <w:spacing w:before="60" w:after="60"/>
        <w:ind w:left="786"/>
        <w:jc w:val="both"/>
        <w:rPr>
          <w:rFonts w:eastAsia="Times New Roman"/>
          <w:color w:val="auto"/>
          <w:sz w:val="24"/>
        </w:rPr>
      </w:pPr>
    </w:p>
    <w:p w14:paraId="3BF8B604" w14:textId="0C7FF5E2" w:rsidR="00F936B5" w:rsidRDefault="00F936B5" w:rsidP="003A4F82">
      <w:pPr>
        <w:pStyle w:val="ListParagraph"/>
        <w:spacing w:before="60" w:after="60"/>
        <w:ind w:left="786"/>
        <w:jc w:val="both"/>
        <w:rPr>
          <w:rFonts w:eastAsia="Times New Roman"/>
          <w:color w:val="auto"/>
          <w:sz w:val="24"/>
        </w:rPr>
      </w:pPr>
    </w:p>
    <w:p w14:paraId="24089773" w14:textId="04E38F65" w:rsidR="00F936B5" w:rsidRDefault="00F936B5" w:rsidP="003A4F82">
      <w:pPr>
        <w:pStyle w:val="ListParagraph"/>
        <w:spacing w:before="60" w:after="60"/>
        <w:ind w:left="786"/>
        <w:jc w:val="both"/>
        <w:rPr>
          <w:rFonts w:eastAsia="Times New Roman"/>
          <w:color w:val="auto"/>
          <w:sz w:val="24"/>
        </w:rPr>
      </w:pPr>
    </w:p>
    <w:p w14:paraId="2900D8FB" w14:textId="138CC119" w:rsidR="00F936B5" w:rsidRDefault="00F936B5" w:rsidP="003A4F82">
      <w:pPr>
        <w:pStyle w:val="ListParagraph"/>
        <w:spacing w:before="60" w:after="60"/>
        <w:ind w:left="786"/>
        <w:jc w:val="both"/>
        <w:rPr>
          <w:rFonts w:eastAsia="Times New Roman"/>
          <w:color w:val="auto"/>
          <w:sz w:val="24"/>
        </w:rPr>
      </w:pPr>
    </w:p>
    <w:p w14:paraId="19D88E49" w14:textId="6C888B92" w:rsidR="00F936B5" w:rsidRDefault="00F936B5" w:rsidP="003A4F82">
      <w:pPr>
        <w:pStyle w:val="ListParagraph"/>
        <w:spacing w:before="60" w:after="60"/>
        <w:ind w:left="786"/>
        <w:jc w:val="both"/>
        <w:rPr>
          <w:rFonts w:eastAsia="Times New Roman"/>
          <w:color w:val="auto"/>
          <w:sz w:val="24"/>
        </w:rPr>
      </w:pPr>
    </w:p>
    <w:p w14:paraId="4D5F627D" w14:textId="77777777" w:rsidR="000C059C" w:rsidRDefault="000C059C" w:rsidP="003A4F82">
      <w:pPr>
        <w:pStyle w:val="ListParagraph"/>
        <w:spacing w:before="60" w:after="60"/>
        <w:ind w:left="786"/>
        <w:jc w:val="both"/>
        <w:rPr>
          <w:rFonts w:eastAsia="Times New Roman"/>
          <w:color w:val="auto"/>
          <w:sz w:val="24"/>
        </w:rPr>
      </w:pPr>
    </w:p>
    <w:p w14:paraId="1C410273" w14:textId="735AA831" w:rsidR="00F936B5" w:rsidRPr="00A46FF1" w:rsidRDefault="00F936B5" w:rsidP="00A46FF1">
      <w:pPr>
        <w:spacing w:before="60" w:after="60"/>
        <w:jc w:val="both"/>
        <w:rPr>
          <w:rFonts w:eastAsia="Times New Roman"/>
          <w:color w:val="auto"/>
          <w:sz w:val="24"/>
        </w:rPr>
      </w:pPr>
    </w:p>
    <w:p w14:paraId="69549EC7" w14:textId="77777777" w:rsidR="00FE04C8" w:rsidRPr="00551716" w:rsidRDefault="00050C10" w:rsidP="00C226B3">
      <w:pPr>
        <w:spacing w:before="60" w:after="60"/>
        <w:jc w:val="right"/>
        <w:rPr>
          <w:rFonts w:eastAsia="Times New Roman"/>
          <w:i/>
          <w:color w:val="auto"/>
          <w:sz w:val="22"/>
          <w:szCs w:val="22"/>
        </w:rPr>
      </w:pPr>
      <w:r w:rsidRPr="00551716">
        <w:rPr>
          <w:rFonts w:eastAsia="Times New Roman"/>
          <w:b/>
          <w:color w:val="auto"/>
          <w:sz w:val="22"/>
          <w:szCs w:val="22"/>
        </w:rPr>
        <w:t>3</w:t>
      </w:r>
      <w:r w:rsidR="00FE04C8" w:rsidRPr="00551716">
        <w:rPr>
          <w:rFonts w:eastAsia="Times New Roman"/>
          <w:b/>
          <w:color w:val="auto"/>
          <w:sz w:val="22"/>
          <w:szCs w:val="22"/>
        </w:rPr>
        <w:t>.attēls</w:t>
      </w:r>
      <w:r w:rsidR="00FC1FBA" w:rsidRPr="00551716">
        <w:rPr>
          <w:rFonts w:eastAsia="Times New Roman"/>
          <w:b/>
          <w:color w:val="auto"/>
          <w:sz w:val="22"/>
          <w:szCs w:val="22"/>
        </w:rPr>
        <w:t>.</w:t>
      </w:r>
      <w:r w:rsidR="00FC1FBA" w:rsidRPr="00551716">
        <w:rPr>
          <w:rFonts w:eastAsia="Times New Roman"/>
          <w:color w:val="auto"/>
          <w:sz w:val="22"/>
          <w:szCs w:val="22"/>
        </w:rPr>
        <w:t xml:space="preserve"> </w:t>
      </w:r>
      <w:r w:rsidR="00C226B3" w:rsidRPr="00551716">
        <w:rPr>
          <w:rFonts w:eastAsia="Times New Roman"/>
          <w:i/>
          <w:color w:val="auto"/>
          <w:sz w:val="22"/>
          <w:szCs w:val="22"/>
        </w:rPr>
        <w:t>Regulatora finansēšanas modelis</w:t>
      </w:r>
    </w:p>
    <w:p w14:paraId="156FBA9E" w14:textId="72F335C2" w:rsidR="00B0297C" w:rsidRDefault="00B0297C" w:rsidP="00B0297C">
      <w:pPr>
        <w:spacing w:before="60" w:after="60"/>
        <w:jc w:val="both"/>
        <w:rPr>
          <w:rFonts w:eastAsia="Times New Roman"/>
          <w:color w:val="auto"/>
          <w:sz w:val="26"/>
          <w:szCs w:val="26"/>
        </w:rPr>
      </w:pPr>
      <w:r>
        <w:rPr>
          <w:rFonts w:eastAsia="Times New Roman"/>
          <w:noProof/>
          <w:color w:val="auto"/>
          <w:sz w:val="22"/>
          <w:szCs w:val="22"/>
          <w:lang w:eastAsia="lv-LV"/>
        </w:rPr>
        <w:drawing>
          <wp:inline distT="0" distB="0" distL="0" distR="0" wp14:anchorId="77625001" wp14:editId="11A4325F">
            <wp:extent cx="5934075" cy="3733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733800"/>
                    </a:xfrm>
                    <a:prstGeom prst="rect">
                      <a:avLst/>
                    </a:prstGeom>
                    <a:noFill/>
                    <a:ln>
                      <a:noFill/>
                    </a:ln>
                  </pic:spPr>
                </pic:pic>
              </a:graphicData>
            </a:graphic>
          </wp:inline>
        </w:drawing>
      </w:r>
    </w:p>
    <w:p w14:paraId="320B01BD" w14:textId="4836E353" w:rsidR="00017B3D" w:rsidRPr="00AF170D" w:rsidRDefault="00017B3D" w:rsidP="00613957">
      <w:pPr>
        <w:spacing w:before="60" w:after="60"/>
        <w:ind w:firstLine="720"/>
        <w:jc w:val="both"/>
        <w:rPr>
          <w:rFonts w:eastAsia="Times New Roman"/>
          <w:color w:val="auto"/>
          <w:sz w:val="26"/>
          <w:szCs w:val="26"/>
        </w:rPr>
      </w:pPr>
      <w:r w:rsidRPr="00AF170D">
        <w:rPr>
          <w:rFonts w:eastAsia="Times New Roman"/>
          <w:color w:val="auto"/>
          <w:sz w:val="26"/>
          <w:szCs w:val="26"/>
        </w:rPr>
        <w:t>Saskaņā ar likumu “</w:t>
      </w:r>
      <w:r w:rsidR="009C44AE">
        <w:rPr>
          <w:sz w:val="26"/>
          <w:szCs w:val="26"/>
        </w:rPr>
        <w:t>Par valsts budžetu 2017.</w:t>
      </w:r>
      <w:r w:rsidRPr="00AF170D">
        <w:rPr>
          <w:sz w:val="26"/>
          <w:szCs w:val="26"/>
        </w:rPr>
        <w:t>gadam</w:t>
      </w:r>
      <w:r w:rsidRPr="00AF170D">
        <w:rPr>
          <w:rFonts w:eastAsia="Times New Roman"/>
          <w:color w:val="auto"/>
          <w:sz w:val="26"/>
          <w:szCs w:val="26"/>
        </w:rPr>
        <w:t xml:space="preserve">” Regulatora </w:t>
      </w:r>
      <w:r w:rsidR="00C46103">
        <w:rPr>
          <w:sz w:val="26"/>
          <w:szCs w:val="26"/>
        </w:rPr>
        <w:t>budžets 2017.</w:t>
      </w:r>
      <w:r w:rsidRPr="00AF170D">
        <w:rPr>
          <w:sz w:val="26"/>
          <w:szCs w:val="26"/>
        </w:rPr>
        <w:t xml:space="preserve">gadam valsts noteikto funkciju īstenošanai ir apstiprināts </w:t>
      </w:r>
      <w:r w:rsidRPr="00AF170D">
        <w:rPr>
          <w:rFonts w:eastAsia="Times New Roman"/>
          <w:color w:val="auto"/>
          <w:sz w:val="26"/>
          <w:szCs w:val="26"/>
        </w:rPr>
        <w:t xml:space="preserve"> 4 950 570</w:t>
      </w:r>
      <w:r w:rsidR="00613957" w:rsidRPr="00AF170D">
        <w:rPr>
          <w:rFonts w:eastAsia="Times New Roman"/>
          <w:color w:val="auto"/>
          <w:sz w:val="26"/>
          <w:szCs w:val="26"/>
        </w:rPr>
        <w:t xml:space="preserve"> </w:t>
      </w:r>
      <w:r w:rsidRPr="00AF170D">
        <w:rPr>
          <w:rFonts w:eastAsia="Times New Roman"/>
          <w:i/>
          <w:color w:val="auto"/>
          <w:sz w:val="26"/>
          <w:szCs w:val="26"/>
        </w:rPr>
        <w:t>euro</w:t>
      </w:r>
      <w:r w:rsidRPr="00AF170D">
        <w:rPr>
          <w:rFonts w:eastAsia="Times New Roman"/>
          <w:color w:val="auto"/>
          <w:sz w:val="26"/>
          <w:szCs w:val="26"/>
        </w:rPr>
        <w:t xml:space="preserve"> apmērā.</w:t>
      </w:r>
    </w:p>
    <w:p w14:paraId="6B4E8C6B" w14:textId="22AC116B" w:rsidR="001C3C24" w:rsidRPr="00AF170D" w:rsidRDefault="001C3C24" w:rsidP="00737F81">
      <w:pPr>
        <w:spacing w:after="80"/>
        <w:ind w:firstLine="720"/>
        <w:jc w:val="both"/>
        <w:rPr>
          <w:rFonts w:eastAsia="Times New Roman"/>
          <w:color w:val="auto"/>
          <w:sz w:val="26"/>
          <w:szCs w:val="26"/>
        </w:rPr>
      </w:pPr>
      <w:r w:rsidRPr="00AF170D">
        <w:rPr>
          <w:sz w:val="26"/>
          <w:szCs w:val="26"/>
        </w:rPr>
        <w:t>Lai</w:t>
      </w:r>
      <w:r w:rsidR="00006B6A" w:rsidRPr="00AF170D">
        <w:rPr>
          <w:sz w:val="26"/>
          <w:szCs w:val="26"/>
        </w:rPr>
        <w:t xml:space="preserve"> novērstu regulējamo komersantu loka un apgrozījuma izmaiņu negatīvās sekas uz Regulatora budžetu</w:t>
      </w:r>
      <w:r w:rsidR="001B3EBE" w:rsidRPr="00AF170D">
        <w:rPr>
          <w:sz w:val="26"/>
          <w:szCs w:val="26"/>
        </w:rPr>
        <w:t xml:space="preserve">, t.i., </w:t>
      </w:r>
      <w:r w:rsidRPr="00AF170D">
        <w:rPr>
          <w:sz w:val="26"/>
          <w:szCs w:val="26"/>
        </w:rPr>
        <w:t xml:space="preserve">nodrošinātu finanšu resursu pietiekamību regulatīvo funkciju izpildei un sekmētu </w:t>
      </w:r>
      <w:r w:rsidRPr="00AF170D">
        <w:rPr>
          <w:rFonts w:eastAsiaTheme="minorHAnsi"/>
          <w:sz w:val="26"/>
          <w:szCs w:val="26"/>
        </w:rPr>
        <w:t xml:space="preserve">Regulatora </w:t>
      </w:r>
      <w:r w:rsidRPr="00AF170D">
        <w:rPr>
          <w:sz w:val="26"/>
          <w:szCs w:val="26"/>
        </w:rPr>
        <w:t xml:space="preserve">spēju kvalitatīvi veikt sabiedrisko pakalpojumu regulēšanu, 2016.gada </w:t>
      </w:r>
      <w:r w:rsidR="00006B6A" w:rsidRPr="00AF170D">
        <w:rPr>
          <w:sz w:val="26"/>
          <w:szCs w:val="26"/>
        </w:rPr>
        <w:t>14.jūnijā Ministru kabinetā tika pieņemti grozījumi Ministru kabineta 2009.gada 22.decembra no</w:t>
      </w:r>
      <w:r w:rsidR="00BE2EB4">
        <w:rPr>
          <w:sz w:val="26"/>
          <w:szCs w:val="26"/>
        </w:rPr>
        <w:t>teikumos Nr.1623 “</w:t>
      </w:r>
      <w:r w:rsidR="00006B6A" w:rsidRPr="00AF170D">
        <w:rPr>
          <w:sz w:val="26"/>
          <w:szCs w:val="26"/>
        </w:rPr>
        <w:t>Noteikumi par valsts nodevas likmi par sabiedrisko pakalpojumu regulēšan</w:t>
      </w:r>
      <w:r w:rsidR="00BE2EB4">
        <w:rPr>
          <w:sz w:val="26"/>
          <w:szCs w:val="26"/>
        </w:rPr>
        <w:t>u un nodevas maksāšanas kārtību”</w:t>
      </w:r>
      <w:r w:rsidR="00006B6A" w:rsidRPr="00AF170D">
        <w:rPr>
          <w:sz w:val="26"/>
          <w:szCs w:val="26"/>
        </w:rPr>
        <w:t xml:space="preserve">, </w:t>
      </w:r>
      <w:r w:rsidR="001B3EBE" w:rsidRPr="00AF170D">
        <w:rPr>
          <w:sz w:val="26"/>
          <w:szCs w:val="26"/>
        </w:rPr>
        <w:t xml:space="preserve">paredzot no 2017.gada 1.janvāra </w:t>
      </w:r>
      <w:r w:rsidR="00006B6A" w:rsidRPr="00AF170D">
        <w:rPr>
          <w:sz w:val="26"/>
          <w:szCs w:val="26"/>
        </w:rPr>
        <w:t>palielin</w:t>
      </w:r>
      <w:r w:rsidR="001B3EBE" w:rsidRPr="00AF170D">
        <w:rPr>
          <w:sz w:val="26"/>
          <w:szCs w:val="26"/>
        </w:rPr>
        <w:t>ā</w:t>
      </w:r>
      <w:r w:rsidR="00006B6A" w:rsidRPr="00AF170D">
        <w:rPr>
          <w:sz w:val="26"/>
          <w:szCs w:val="26"/>
        </w:rPr>
        <w:t xml:space="preserve">t </w:t>
      </w:r>
      <w:r w:rsidRPr="00AF170D">
        <w:rPr>
          <w:sz w:val="26"/>
          <w:szCs w:val="26"/>
        </w:rPr>
        <w:t>valsts nodevas likm</w:t>
      </w:r>
      <w:r w:rsidR="00006B6A" w:rsidRPr="00AF170D">
        <w:rPr>
          <w:sz w:val="26"/>
          <w:szCs w:val="26"/>
        </w:rPr>
        <w:t>i</w:t>
      </w:r>
      <w:r w:rsidRPr="00AF170D">
        <w:rPr>
          <w:sz w:val="26"/>
          <w:szCs w:val="26"/>
        </w:rPr>
        <w:t xml:space="preserve"> no </w:t>
      </w:r>
      <w:r w:rsidR="001B3EBE" w:rsidRPr="00AF170D">
        <w:rPr>
          <w:sz w:val="26"/>
          <w:szCs w:val="26"/>
        </w:rPr>
        <w:t xml:space="preserve">0,17% </w:t>
      </w:r>
      <w:r w:rsidRPr="00AF170D">
        <w:rPr>
          <w:sz w:val="26"/>
          <w:szCs w:val="26"/>
        </w:rPr>
        <w:t xml:space="preserve">uz 0,2% </w:t>
      </w:r>
      <w:r w:rsidR="001B3EBE" w:rsidRPr="00AF170D">
        <w:rPr>
          <w:sz w:val="26"/>
          <w:szCs w:val="26"/>
        </w:rPr>
        <w:t>no komersanta sniegto sabiedrisko pakalpojumu neto apgrozījuma iepriekšējā kalendārā gadā</w:t>
      </w:r>
      <w:r w:rsidRPr="00AF170D">
        <w:rPr>
          <w:sz w:val="26"/>
          <w:szCs w:val="26"/>
        </w:rPr>
        <w:t>.</w:t>
      </w:r>
    </w:p>
    <w:p w14:paraId="3F6DE021" w14:textId="11703BAD" w:rsidR="001865D9" w:rsidRPr="00AF170D" w:rsidRDefault="001865D9" w:rsidP="00737F81">
      <w:pPr>
        <w:spacing w:before="60" w:after="60"/>
        <w:ind w:firstLine="720"/>
        <w:jc w:val="both"/>
        <w:rPr>
          <w:rFonts w:eastAsia="Times New Roman"/>
          <w:color w:val="auto"/>
          <w:sz w:val="26"/>
          <w:szCs w:val="26"/>
        </w:rPr>
      </w:pPr>
      <w:r w:rsidRPr="00AF170D">
        <w:rPr>
          <w:rFonts w:eastAsia="Times New Roman"/>
          <w:color w:val="auto"/>
          <w:sz w:val="26"/>
          <w:szCs w:val="26"/>
        </w:rPr>
        <w:t>Nolūkā nodrošināt Regulatora finanšu pietiekamību likumā “Par sabiedrisko pakalpojumu regulatoriem” un regulējamo nozaru speci</w:t>
      </w:r>
      <w:r w:rsidR="0003009E" w:rsidRPr="00AF170D">
        <w:rPr>
          <w:rFonts w:eastAsia="Times New Roman"/>
          <w:color w:val="auto"/>
          <w:sz w:val="26"/>
          <w:szCs w:val="26"/>
        </w:rPr>
        <w:t>ā</w:t>
      </w:r>
      <w:r w:rsidRPr="00AF170D">
        <w:rPr>
          <w:rFonts w:eastAsia="Times New Roman"/>
          <w:color w:val="auto"/>
          <w:sz w:val="26"/>
          <w:szCs w:val="26"/>
        </w:rPr>
        <w:t>lajos normatīvajos aktos noteikto funkciju izpildei</w:t>
      </w:r>
      <w:r w:rsidR="001B3EBE" w:rsidRPr="00AF170D">
        <w:rPr>
          <w:rFonts w:eastAsia="Times New Roman"/>
          <w:color w:val="auto"/>
          <w:sz w:val="26"/>
          <w:szCs w:val="26"/>
        </w:rPr>
        <w:t xml:space="preserve">, papildus </w:t>
      </w:r>
      <w:r w:rsidRPr="00AF170D">
        <w:rPr>
          <w:rFonts w:eastAsia="Times New Roman"/>
          <w:color w:val="auto"/>
          <w:sz w:val="26"/>
          <w:szCs w:val="26"/>
        </w:rPr>
        <w:t xml:space="preserve"> 2016.gadā</w:t>
      </w:r>
      <w:r w:rsidR="001B3EBE" w:rsidRPr="00AF170D">
        <w:rPr>
          <w:rFonts w:eastAsia="Times New Roman"/>
          <w:color w:val="auto"/>
          <w:sz w:val="26"/>
          <w:szCs w:val="26"/>
        </w:rPr>
        <w:t xml:space="preserve"> </w:t>
      </w:r>
      <w:r w:rsidRPr="00AF170D">
        <w:rPr>
          <w:rFonts w:eastAsia="Times New Roman"/>
          <w:color w:val="auto"/>
          <w:sz w:val="26"/>
          <w:szCs w:val="26"/>
        </w:rPr>
        <w:t>Saeim</w:t>
      </w:r>
      <w:r w:rsidR="001B3EBE" w:rsidRPr="00AF170D">
        <w:rPr>
          <w:rFonts w:eastAsia="Times New Roman"/>
          <w:color w:val="auto"/>
          <w:sz w:val="26"/>
          <w:szCs w:val="26"/>
        </w:rPr>
        <w:t>ā</w:t>
      </w:r>
      <w:r w:rsidRPr="00AF170D">
        <w:rPr>
          <w:rFonts w:eastAsia="Times New Roman"/>
          <w:color w:val="auto"/>
          <w:sz w:val="26"/>
          <w:szCs w:val="26"/>
        </w:rPr>
        <w:t xml:space="preserve"> </w:t>
      </w:r>
      <w:r w:rsidR="001B3EBE" w:rsidRPr="00AF170D">
        <w:rPr>
          <w:rFonts w:eastAsia="Times New Roman"/>
          <w:color w:val="auto"/>
          <w:sz w:val="26"/>
          <w:szCs w:val="26"/>
        </w:rPr>
        <w:t xml:space="preserve">tika </w:t>
      </w:r>
      <w:r w:rsidR="00C226B3" w:rsidRPr="00AF170D">
        <w:rPr>
          <w:rFonts w:eastAsia="Times New Roman"/>
          <w:color w:val="auto"/>
          <w:sz w:val="26"/>
          <w:szCs w:val="26"/>
        </w:rPr>
        <w:t>pieņemti</w:t>
      </w:r>
      <w:r w:rsidRPr="00AF170D">
        <w:rPr>
          <w:rFonts w:eastAsia="Times New Roman"/>
          <w:color w:val="auto"/>
          <w:sz w:val="26"/>
          <w:szCs w:val="26"/>
        </w:rPr>
        <w:t xml:space="preserve"> grozījum</w:t>
      </w:r>
      <w:r w:rsidR="001B3EBE" w:rsidRPr="00AF170D">
        <w:rPr>
          <w:rFonts w:eastAsia="Times New Roman"/>
          <w:color w:val="auto"/>
          <w:sz w:val="26"/>
          <w:szCs w:val="26"/>
        </w:rPr>
        <w:t>i arī</w:t>
      </w:r>
      <w:r w:rsidRPr="00AF170D">
        <w:rPr>
          <w:rFonts w:eastAsia="Times New Roman"/>
          <w:color w:val="auto"/>
          <w:sz w:val="26"/>
          <w:szCs w:val="26"/>
        </w:rPr>
        <w:t xml:space="preserve"> Elektroenerģijas tirgus likumā, ar kuriem ir noteikts publiskā tirgotāja un elektroenerģijas sistēmas īpašnieka pienākums maksāt valsts nodevu par sabiedrisko</w:t>
      </w:r>
      <w:r w:rsidR="00822F02">
        <w:rPr>
          <w:rFonts w:eastAsia="Times New Roman"/>
          <w:color w:val="auto"/>
          <w:sz w:val="26"/>
          <w:szCs w:val="26"/>
        </w:rPr>
        <w:t xml:space="preserve"> pakalpojumu regulēšanu likumā “</w:t>
      </w:r>
      <w:r w:rsidRPr="00AF170D">
        <w:rPr>
          <w:rFonts w:eastAsia="Times New Roman"/>
          <w:color w:val="auto"/>
          <w:sz w:val="26"/>
          <w:szCs w:val="26"/>
        </w:rPr>
        <w:t>Par sabie</w:t>
      </w:r>
      <w:r w:rsidR="00822F02">
        <w:rPr>
          <w:rFonts w:eastAsia="Times New Roman"/>
          <w:color w:val="auto"/>
          <w:sz w:val="26"/>
          <w:szCs w:val="26"/>
        </w:rPr>
        <w:t>drisko pakalpojumu regulatoriem”</w:t>
      </w:r>
      <w:r w:rsidRPr="00AF170D">
        <w:rPr>
          <w:rFonts w:eastAsia="Times New Roman"/>
          <w:color w:val="auto"/>
          <w:sz w:val="26"/>
          <w:szCs w:val="26"/>
        </w:rPr>
        <w:t xml:space="preserve"> noteiktajā kārtībā. Saskaņā ar Elektroenerģijas tirgus likumu valsts nodevu publiskais tirgotājs maksā no iepriekšējā kalendāra gada galalietotāju maksājumiem, kuri kompensē publiskajam tirgotājam Elektroenerģijas tirgus likumā noteiktās izmaksas, bet elektroenerģijas sistēmas īpašnieks valsts nodevu maksā no saviem ieņēmumiem par pārvades sistēmas aktīvu iznomāšanu pārvades sistēmas operatoram iepriekšējā kalendāra gadā, kura tiek aprēķināta un maksāta no elektroenerģijas sistēmas īpašnieka ieņēmumiem par pārvades sistēmas aktīvu iznomāšanu pārvades sistēmas operatoram iepriekšējā kalendāra gadā.</w:t>
      </w:r>
    </w:p>
    <w:p w14:paraId="1F4502E2" w14:textId="3E3C5191" w:rsidR="00096AFE" w:rsidRPr="00E84ABC" w:rsidRDefault="00096AFE" w:rsidP="008E176F">
      <w:pPr>
        <w:spacing w:before="60" w:after="60"/>
        <w:jc w:val="both"/>
        <w:rPr>
          <w:rFonts w:eastAsia="Times New Roman"/>
          <w:color w:val="auto"/>
          <w:sz w:val="24"/>
        </w:rPr>
      </w:pPr>
    </w:p>
    <w:p w14:paraId="358C497B" w14:textId="77777777" w:rsidR="00B30BE4" w:rsidRPr="00E84ABC" w:rsidRDefault="00B30BE4" w:rsidP="00E864A1">
      <w:pPr>
        <w:pStyle w:val="Heading1"/>
        <w:numPr>
          <w:ilvl w:val="1"/>
          <w:numId w:val="18"/>
        </w:numPr>
        <w:spacing w:before="60" w:after="60"/>
        <w:ind w:left="567" w:hanging="567"/>
        <w:rPr>
          <w:sz w:val="26"/>
          <w:szCs w:val="26"/>
        </w:rPr>
      </w:pPr>
      <w:r w:rsidRPr="00E84ABC">
        <w:rPr>
          <w:sz w:val="26"/>
          <w:szCs w:val="26"/>
        </w:rPr>
        <w:lastRenderedPageBreak/>
        <w:t>Valsts nodevas par sabiedrisko pakalpojumu regulēšanu minimālais apmērs</w:t>
      </w:r>
    </w:p>
    <w:p w14:paraId="61EBC20F" w14:textId="74529B90" w:rsidR="0032159A" w:rsidRPr="00AF170D" w:rsidRDefault="00F764FC" w:rsidP="00194BD3">
      <w:pPr>
        <w:spacing w:before="60" w:after="60"/>
        <w:ind w:firstLine="720"/>
        <w:jc w:val="both"/>
        <w:rPr>
          <w:rFonts w:eastAsia="Times New Roman"/>
          <w:color w:val="auto"/>
          <w:sz w:val="26"/>
          <w:szCs w:val="26"/>
        </w:rPr>
      </w:pPr>
      <w:r w:rsidRPr="00AF170D">
        <w:rPr>
          <w:rFonts w:eastAsia="Times New Roman"/>
          <w:color w:val="auto"/>
          <w:sz w:val="26"/>
          <w:szCs w:val="26"/>
        </w:rPr>
        <w:t>P</w:t>
      </w:r>
      <w:r w:rsidR="0032159A" w:rsidRPr="00AF170D">
        <w:rPr>
          <w:rFonts w:eastAsia="Times New Roman"/>
          <w:color w:val="auto"/>
          <w:sz w:val="26"/>
          <w:szCs w:val="26"/>
        </w:rPr>
        <w:t xml:space="preserve">ārskatot valsts nodevas apmēru, vienlaicīgi būtu nosakāms minimālais (fiksēts) valsts nodevas apmērs, kuru komersants maksātu gadījumos, kad komersants pārskata gada ietvaros nav sniedzis regulējamo sabiedrisko pakalpojumu (sabiedriskā pakalpojuma gada neto apgrozījums ir 0 </w:t>
      </w:r>
      <w:r w:rsidR="0032159A" w:rsidRPr="00AF170D">
        <w:rPr>
          <w:i/>
          <w:color w:val="auto"/>
          <w:sz w:val="26"/>
          <w:szCs w:val="26"/>
        </w:rPr>
        <w:t>euro</w:t>
      </w:r>
      <w:r w:rsidR="00604305">
        <w:rPr>
          <w:rFonts w:eastAsia="Times New Roman"/>
          <w:color w:val="auto"/>
          <w:sz w:val="26"/>
          <w:szCs w:val="26"/>
        </w:rPr>
        <w:t>) vai</w:t>
      </w:r>
      <w:r w:rsidR="0032159A" w:rsidRPr="00AF170D">
        <w:rPr>
          <w:rFonts w:eastAsia="Times New Roman"/>
          <w:color w:val="auto"/>
          <w:sz w:val="26"/>
          <w:szCs w:val="26"/>
        </w:rPr>
        <w:t xml:space="preserve"> </w:t>
      </w:r>
      <w:r w:rsidR="0099025A">
        <w:rPr>
          <w:rFonts w:eastAsia="Times New Roman"/>
          <w:color w:val="auto"/>
          <w:sz w:val="26"/>
          <w:szCs w:val="26"/>
        </w:rPr>
        <w:t xml:space="preserve">atbilstoši </w:t>
      </w:r>
      <w:r w:rsidR="0032159A" w:rsidRPr="00AF170D">
        <w:rPr>
          <w:rFonts w:eastAsia="Times New Roman"/>
          <w:color w:val="auto"/>
          <w:sz w:val="26"/>
          <w:szCs w:val="26"/>
        </w:rPr>
        <w:t xml:space="preserve">sabiedriskā pakalpojuma  neto apgrozījumam  </w:t>
      </w:r>
      <w:r w:rsidR="001E397C">
        <w:rPr>
          <w:rFonts w:eastAsia="Times New Roman"/>
          <w:color w:val="auto"/>
          <w:sz w:val="26"/>
          <w:szCs w:val="26"/>
        </w:rPr>
        <w:t xml:space="preserve">aprēķinātais </w:t>
      </w:r>
      <w:r w:rsidR="0032159A" w:rsidRPr="00AF170D">
        <w:rPr>
          <w:rFonts w:eastAsia="Times New Roman"/>
          <w:color w:val="auto"/>
          <w:sz w:val="26"/>
          <w:szCs w:val="26"/>
        </w:rPr>
        <w:t>nodevas maksājums būtu mazāks par mi</w:t>
      </w:r>
      <w:r w:rsidR="004E33D9" w:rsidRPr="00AF170D">
        <w:rPr>
          <w:rFonts w:eastAsia="Times New Roman"/>
          <w:color w:val="auto"/>
          <w:sz w:val="26"/>
          <w:szCs w:val="26"/>
        </w:rPr>
        <w:t>nimālo (fiksēto) valsts nodevas apmēru.</w:t>
      </w:r>
    </w:p>
    <w:p w14:paraId="2C809324" w14:textId="1F7FD10D" w:rsidR="0032159A"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Minimālā </w:t>
      </w:r>
      <w:r w:rsidR="006B4E86" w:rsidRPr="00AF170D">
        <w:rPr>
          <w:rFonts w:eastAsia="Times New Roman"/>
          <w:color w:val="auto"/>
          <w:sz w:val="26"/>
          <w:szCs w:val="26"/>
        </w:rPr>
        <w:t xml:space="preserve">valsts </w:t>
      </w:r>
      <w:r w:rsidRPr="00AF170D">
        <w:rPr>
          <w:rFonts w:eastAsia="Times New Roman"/>
          <w:color w:val="auto"/>
          <w:sz w:val="26"/>
          <w:szCs w:val="26"/>
        </w:rPr>
        <w:t>nodevas apmēra noteikšana sakārtotu to komersantu uzskaiti un uzraudzību, kuri savulaik reģistrējušies kā sabiedrisko pakalpojumu sniedzēji, bet regulējamo pakalpojumu sniegšanu nav uzsākuši. Saskaņā ar Regulatora sniegto informāciju no 2016.gada otrajā pusgadā pakalpojumu sniedzēju reģistros uzskaitītajiem 8</w:t>
      </w:r>
      <w:r w:rsidR="00945A60" w:rsidRPr="00AF170D">
        <w:rPr>
          <w:rFonts w:eastAsia="Times New Roman"/>
          <w:color w:val="auto"/>
          <w:sz w:val="26"/>
          <w:szCs w:val="26"/>
        </w:rPr>
        <w:t>7</w:t>
      </w:r>
      <w:r w:rsidRPr="00AF170D">
        <w:rPr>
          <w:rFonts w:eastAsia="Times New Roman"/>
          <w:color w:val="auto"/>
          <w:sz w:val="26"/>
          <w:szCs w:val="26"/>
        </w:rPr>
        <w:t>5 komersantiem regulējamos pakalpojumus nesniedz 154 komersanti, no kuriem 37% reģistrējušies elektronisko sakaru nozarē, 10% – pasta pakalpojumu nozarē, 42% – elektroenerģijas nozarē un 11% – siltumapgādes nozarē.</w:t>
      </w:r>
    </w:p>
    <w:p w14:paraId="3AAB4AA0" w14:textId="77777777" w:rsidR="008E176F"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Šādu reģistrētu, bet sabiedrisko pakalpoju sniegšanu neuzsākušu komersantu uzraudzības (uzskaite, atskaišu iesniegšanas kontrole, atskaišu apkopošana) izmaksas šobrīd netiek segtas ar šo komersantu nodevas maksājumiem. </w:t>
      </w:r>
    </w:p>
    <w:p w14:paraId="5B998FD0" w14:textId="7DF5B098"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Sagaidāms, ka, ieviešot min</w:t>
      </w:r>
      <w:r w:rsidR="008E176F">
        <w:rPr>
          <w:rFonts w:eastAsia="Times New Roman"/>
          <w:color w:val="auto"/>
          <w:sz w:val="26"/>
          <w:szCs w:val="26"/>
        </w:rPr>
        <w:t>imālo nodevas maksājumu daļa sa</w:t>
      </w:r>
      <w:r w:rsidR="008E176F" w:rsidRPr="008E176F">
        <w:rPr>
          <w:rFonts w:eastAsia="Times New Roman"/>
          <w:color w:val="auto"/>
          <w:sz w:val="26"/>
          <w:szCs w:val="26"/>
        </w:rPr>
        <w:t>biedrisko pakalpoju</w:t>
      </w:r>
      <w:r w:rsidR="008E176F">
        <w:rPr>
          <w:rFonts w:eastAsia="Times New Roman"/>
          <w:color w:val="auto"/>
          <w:sz w:val="26"/>
          <w:szCs w:val="26"/>
        </w:rPr>
        <w:t>mu</w:t>
      </w:r>
      <w:r w:rsidR="008E176F" w:rsidRPr="008E176F">
        <w:rPr>
          <w:rFonts w:eastAsia="Times New Roman"/>
          <w:color w:val="auto"/>
          <w:sz w:val="26"/>
          <w:szCs w:val="26"/>
        </w:rPr>
        <w:t xml:space="preserve"> sniegšanu neuzsākušu</w:t>
      </w:r>
      <w:r w:rsidR="008E176F">
        <w:rPr>
          <w:rFonts w:eastAsia="Times New Roman"/>
          <w:color w:val="auto"/>
          <w:sz w:val="26"/>
          <w:szCs w:val="26"/>
        </w:rPr>
        <w:t xml:space="preserve"> komersantu, izvērtējot izmaksu pamatotību vai nepieciešamību, uzsāks </w:t>
      </w:r>
      <w:r w:rsidR="008E176F" w:rsidRPr="008E176F">
        <w:rPr>
          <w:rFonts w:eastAsia="Times New Roman"/>
          <w:color w:val="auto"/>
          <w:sz w:val="26"/>
          <w:szCs w:val="26"/>
        </w:rPr>
        <w:t>sabiedrisko pakalpojumu sniegšanu</w:t>
      </w:r>
      <w:r w:rsidR="008E176F">
        <w:rPr>
          <w:rFonts w:eastAsia="Times New Roman"/>
          <w:color w:val="auto"/>
          <w:sz w:val="26"/>
          <w:szCs w:val="26"/>
        </w:rPr>
        <w:t>, savukārt</w:t>
      </w:r>
      <w:r w:rsidRPr="00AF170D">
        <w:rPr>
          <w:rFonts w:eastAsia="Times New Roman"/>
          <w:color w:val="auto"/>
          <w:sz w:val="26"/>
          <w:szCs w:val="26"/>
        </w:rPr>
        <w:t xml:space="preserve"> daļa komersantu, kuri nesniedz regulējamos pakalpojumus, atstās regulējamo komersantu reģistrus.</w:t>
      </w:r>
    </w:p>
    <w:p w14:paraId="2D2F0032" w14:textId="650CF1E5"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Attiecībā uz komersantiem, kuri sniedz regulējamos sabiedriskos pakalpojumus, bet apgrozījums no regulējamo pakalpojumu sniegšanas nesasniedz 200 tūkst. </w:t>
      </w:r>
      <w:r w:rsidRPr="00AF170D">
        <w:rPr>
          <w:i/>
          <w:color w:val="auto"/>
          <w:sz w:val="26"/>
          <w:szCs w:val="26"/>
        </w:rPr>
        <w:t>euro</w:t>
      </w:r>
      <w:r w:rsidRPr="00AF170D">
        <w:rPr>
          <w:rFonts w:eastAsia="Times New Roman"/>
          <w:color w:val="auto"/>
          <w:sz w:val="26"/>
          <w:szCs w:val="26"/>
        </w:rPr>
        <w:t xml:space="preserve"> gadā, veidojas situācija, ka ar šo komersantu nodevas maksājumiem </w:t>
      </w:r>
      <w:r w:rsidR="008E176F">
        <w:rPr>
          <w:rFonts w:eastAsia="Times New Roman"/>
          <w:color w:val="auto"/>
          <w:sz w:val="26"/>
          <w:szCs w:val="26"/>
        </w:rPr>
        <w:t xml:space="preserve">pilnā apmērā </w:t>
      </w:r>
      <w:r w:rsidRPr="00AF170D">
        <w:rPr>
          <w:rFonts w:eastAsia="Times New Roman"/>
          <w:color w:val="auto"/>
          <w:sz w:val="26"/>
          <w:szCs w:val="26"/>
        </w:rPr>
        <w:t xml:space="preserve">netiek segtas komersantu uzskaites un uzraudzības izmaksas. </w:t>
      </w:r>
    </w:p>
    <w:p w14:paraId="7F274BA3"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Saskaņā ar Regulatora veiktajiem aprēķiniem valsts nodevas minimālā maksājuma apmērs būtu nosakāms 400 </w:t>
      </w:r>
      <w:r w:rsidRPr="00AF170D">
        <w:rPr>
          <w:rFonts w:eastAsia="Times New Roman"/>
          <w:i/>
          <w:color w:val="auto"/>
          <w:sz w:val="26"/>
          <w:szCs w:val="26"/>
        </w:rPr>
        <w:t>euro</w:t>
      </w:r>
      <w:r w:rsidRPr="00AF170D">
        <w:rPr>
          <w:rFonts w:eastAsia="Times New Roman"/>
          <w:color w:val="auto"/>
          <w:sz w:val="26"/>
          <w:szCs w:val="26"/>
        </w:rPr>
        <w:t xml:space="preserve"> apmērā, pieņemot, ka komersants izmantos Regulatora izveidoto elektronisko informācijas ievades sistēmu, atbilstoši tiesību aktos noteiktajai kārtībai reizi gadā iesniegs provizorisko neto apgrozījuma aprēķinu, pēc gada pārskata apstiprināšanas iesniegs pārskatu un precizēto apgrozījuma aprēķinu, savlaicīgi veiks ceturkšņa maksājumus un sniegs ar regulējamā pakalpojuma sniegšanu saistītās atskaites. Šādā gadījumā Regulatora izmaksas veidojas no uzskaites un informācijas ievades sistēmas uzturēšanas izmaksām, atskaišu iesniegšanas kontroles izmaksām un atskaišu apkopošanas izmaksām.</w:t>
      </w:r>
    </w:p>
    <w:p w14:paraId="218DA560"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Lai novērtētu minimālas administratīvās izmaksas, kas Regulatoram rodas uzraugot komersantu (tajā skaitā gadījumos, kad komersants pārskata gada ietvaros nav sniedzis regulējamo sabiedrisko pakalpojumu vai sabiedriskā pakalpojuma gada neto apgrozījumam atbilstošais nodevas maksājums būtu mazāks par 400 </w:t>
      </w:r>
      <w:r w:rsidRPr="00AF170D">
        <w:rPr>
          <w:rFonts w:eastAsia="Times New Roman"/>
          <w:i/>
          <w:color w:val="auto"/>
          <w:sz w:val="26"/>
          <w:szCs w:val="26"/>
        </w:rPr>
        <w:t>euro</w:t>
      </w:r>
      <w:r w:rsidRPr="00AF170D">
        <w:rPr>
          <w:rFonts w:eastAsia="Times New Roman"/>
          <w:color w:val="auto"/>
          <w:sz w:val="26"/>
          <w:szCs w:val="26"/>
        </w:rPr>
        <w:t xml:space="preserve">), tiek pieņemts, ka Regulatoram minimālās informācijas pieprasīšana, saņemšana un apstrāde no viena komersanta gada laikā var aizņemt vidēji </w:t>
      </w:r>
      <w:r w:rsidR="00B14FDB" w:rsidRPr="00AF170D">
        <w:rPr>
          <w:rFonts w:eastAsia="Times New Roman"/>
          <w:color w:val="auto"/>
          <w:sz w:val="26"/>
          <w:szCs w:val="26"/>
        </w:rPr>
        <w:t>5</w:t>
      </w:r>
      <w:r w:rsidRPr="00AF170D">
        <w:rPr>
          <w:rFonts w:eastAsia="Times New Roman"/>
          <w:color w:val="auto"/>
          <w:sz w:val="26"/>
          <w:szCs w:val="26"/>
        </w:rPr>
        <w:t xml:space="preserve">,33 cilvēkstundas. </w:t>
      </w:r>
    </w:p>
    <w:p w14:paraId="520E22C6"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Aprēķinot informatīvajā ziņojumā piedāvātās minimālās valsts nodevas apmēra administratīvo izmaksu novērtējumu, tiek pieņemts, ka minimālais Regulatora informācijas pieprasījumu un apstrādes gadījumu skaits kalendārā gada ietvaros uz vienu komersantu ir 9, savukārt vidējā stundas samaksu likme </w:t>
      </w:r>
      <w:r w:rsidR="00B14FDB" w:rsidRPr="00AF170D">
        <w:rPr>
          <w:rFonts w:eastAsia="Times New Roman"/>
          <w:color w:val="auto"/>
          <w:sz w:val="26"/>
          <w:szCs w:val="26"/>
        </w:rPr>
        <w:t xml:space="preserve">Regulatorā </w:t>
      </w:r>
      <w:r w:rsidR="00762100" w:rsidRPr="00AF170D">
        <w:rPr>
          <w:rFonts w:eastAsia="Times New Roman"/>
          <w:color w:val="auto"/>
          <w:sz w:val="26"/>
          <w:szCs w:val="26"/>
        </w:rPr>
        <w:t>atbilstoši Regulatora mājas lapā publiskotajai informācijai par Regulatora amatpersonu un darbinieku mēnešalgas apmēru sadalījumā pa amatu grupām ir</w:t>
      </w:r>
      <w:r w:rsidRPr="00AF170D">
        <w:rPr>
          <w:rFonts w:eastAsia="Times New Roman"/>
          <w:color w:val="auto"/>
          <w:sz w:val="26"/>
          <w:szCs w:val="26"/>
        </w:rPr>
        <w:t xml:space="preserve"> </w:t>
      </w:r>
      <w:r w:rsidR="00762100" w:rsidRPr="00AF170D">
        <w:rPr>
          <w:rFonts w:eastAsia="Times New Roman"/>
          <w:color w:val="auto"/>
          <w:sz w:val="26"/>
          <w:szCs w:val="26"/>
        </w:rPr>
        <w:t>8,33</w:t>
      </w:r>
      <w:r w:rsidRPr="00AF170D">
        <w:rPr>
          <w:rFonts w:eastAsia="Times New Roman"/>
          <w:color w:val="auto"/>
          <w:sz w:val="26"/>
          <w:szCs w:val="26"/>
        </w:rPr>
        <w:t xml:space="preserve"> </w:t>
      </w:r>
      <w:r w:rsidRPr="00AF170D">
        <w:rPr>
          <w:rFonts w:eastAsia="Times New Roman"/>
          <w:i/>
          <w:color w:val="auto"/>
          <w:sz w:val="26"/>
          <w:szCs w:val="26"/>
        </w:rPr>
        <w:t>euro</w:t>
      </w:r>
      <w:r w:rsidRPr="00AF170D">
        <w:rPr>
          <w:rFonts w:eastAsia="Times New Roman"/>
          <w:color w:val="auto"/>
          <w:sz w:val="26"/>
          <w:szCs w:val="26"/>
        </w:rPr>
        <w:t>.</w:t>
      </w:r>
    </w:p>
    <w:p w14:paraId="0358EA0A"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Līdz ar to, aprēķinā izmantojot  formulu C = (f x l) x (n x b), kur </w:t>
      </w:r>
    </w:p>
    <w:p w14:paraId="05172886"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lastRenderedPageBreak/>
        <w:t xml:space="preserve">C – minimālās informācijas pieprasīšanas un apstrādes izmaksas jeb minimālās Regulatora administratīvās izmaksas; </w:t>
      </w:r>
    </w:p>
    <w:p w14:paraId="647A5A92"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f – finanšu līdzekļu apjoms, kas nepieciešams, lai nodrošinātu projektā paredzētā informācijas sniegšanas pienākuma izpildi (stundas samaksas likme, ieskaitot virsstundas vai stundas limitu ārējo pakalpojumu sniedzējiem, ja tādi ir);</w:t>
      </w:r>
    </w:p>
    <w:p w14:paraId="44F16E3A"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l – laika patēriņš, kas nepieciešams, lai sagatavotu informāciju, kuras sniegšanu paredz projekts; </w:t>
      </w:r>
    </w:p>
    <w:p w14:paraId="7D1E8314"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n – komersantu skaits, uz ko attiecas informācijas sniegšanas prasības; </w:t>
      </w:r>
    </w:p>
    <w:p w14:paraId="16979892"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b – minimālais reižu skaits, cik gada laikā tiek pieprasīta un apstrādāta informācija, </w:t>
      </w:r>
    </w:p>
    <w:p w14:paraId="50C4C7B8"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minimālās Regulatora administratīvās izmaksas, kas saistītas ar informācijas pieprasīšanu, saņemšanu un apstrādi viena kalendāra gara ietvaros ir </w:t>
      </w:r>
      <w:r w:rsidR="00762100" w:rsidRPr="00AF170D">
        <w:rPr>
          <w:rFonts w:eastAsia="Times New Roman"/>
          <w:color w:val="auto"/>
          <w:sz w:val="26"/>
          <w:szCs w:val="26"/>
        </w:rPr>
        <w:t>349 641</w:t>
      </w:r>
      <w:r w:rsidRPr="00AF170D">
        <w:rPr>
          <w:rFonts w:eastAsia="Times New Roman"/>
          <w:color w:val="auto"/>
          <w:sz w:val="26"/>
          <w:szCs w:val="26"/>
        </w:rPr>
        <w:t xml:space="preserve"> </w:t>
      </w:r>
      <w:r w:rsidRPr="00AF170D">
        <w:rPr>
          <w:rFonts w:eastAsia="Times New Roman"/>
          <w:i/>
          <w:color w:val="auto"/>
          <w:sz w:val="26"/>
          <w:szCs w:val="26"/>
        </w:rPr>
        <w:t>euro</w:t>
      </w:r>
      <w:r w:rsidRPr="00AF170D">
        <w:rPr>
          <w:rFonts w:eastAsia="Times New Roman"/>
          <w:color w:val="auto"/>
          <w:sz w:val="26"/>
          <w:szCs w:val="26"/>
        </w:rPr>
        <w:t>, t.i. C = (</w:t>
      </w:r>
      <w:r w:rsidR="00762100" w:rsidRPr="00AF170D">
        <w:rPr>
          <w:rFonts w:eastAsia="Times New Roman"/>
          <w:color w:val="auto"/>
          <w:sz w:val="26"/>
          <w:szCs w:val="26"/>
        </w:rPr>
        <w:t>8,33 x 5,33</w:t>
      </w:r>
      <w:r w:rsidRPr="00AF170D">
        <w:rPr>
          <w:rFonts w:eastAsia="Times New Roman"/>
          <w:color w:val="auto"/>
          <w:sz w:val="26"/>
          <w:szCs w:val="26"/>
        </w:rPr>
        <w:t xml:space="preserve">) x (875 x 9) = </w:t>
      </w:r>
      <w:r w:rsidR="00762100" w:rsidRPr="00AF170D">
        <w:rPr>
          <w:rFonts w:eastAsia="Times New Roman"/>
          <w:color w:val="auto"/>
          <w:sz w:val="26"/>
          <w:szCs w:val="26"/>
        </w:rPr>
        <w:t>349 641</w:t>
      </w:r>
      <w:r w:rsidRPr="00AF170D">
        <w:rPr>
          <w:rFonts w:eastAsia="Times New Roman"/>
          <w:color w:val="auto"/>
          <w:sz w:val="26"/>
          <w:szCs w:val="26"/>
        </w:rPr>
        <w:t xml:space="preserve">, kuras, proporcionāli attiecinot uz vienu regulējamo komersantu veido aptuveni 400 </w:t>
      </w:r>
      <w:r w:rsidRPr="00AF170D">
        <w:rPr>
          <w:rFonts w:eastAsia="Times New Roman"/>
          <w:i/>
          <w:color w:val="auto"/>
          <w:sz w:val="26"/>
          <w:szCs w:val="26"/>
        </w:rPr>
        <w:t>euro</w:t>
      </w:r>
      <w:r w:rsidRPr="00AF170D">
        <w:rPr>
          <w:rFonts w:eastAsia="Times New Roman"/>
          <w:color w:val="auto"/>
          <w:sz w:val="26"/>
          <w:szCs w:val="26"/>
        </w:rPr>
        <w:t xml:space="preserve"> gadā.</w:t>
      </w:r>
    </w:p>
    <w:p w14:paraId="3F5B1630" w14:textId="77777777" w:rsidR="001F7B25" w:rsidRPr="00766E21" w:rsidRDefault="0032159A" w:rsidP="007B29C3">
      <w:pPr>
        <w:spacing w:before="60" w:after="60"/>
        <w:ind w:firstLine="720"/>
        <w:jc w:val="both"/>
        <w:rPr>
          <w:rFonts w:eastAsia="Times New Roman"/>
          <w:color w:val="auto"/>
          <w:sz w:val="26"/>
          <w:szCs w:val="26"/>
        </w:rPr>
      </w:pPr>
      <w:r w:rsidRPr="00766E21">
        <w:rPr>
          <w:rFonts w:eastAsia="Times New Roman"/>
          <w:color w:val="auto"/>
          <w:sz w:val="26"/>
          <w:szCs w:val="26"/>
        </w:rPr>
        <w:t>No komersantiem, kuri sniedz regulējamos sabiedriskos pakalpojumus un uzrāda apgrozījumu no regulējamo pakalpojumu sniegšanas, apmēram pusei regulējamo pakalpojumu gada apgrozījums pārsniedz 200 tūks</w:t>
      </w:r>
      <w:r w:rsidR="004E33D9" w:rsidRPr="00766E21">
        <w:rPr>
          <w:rFonts w:eastAsia="Times New Roman"/>
          <w:color w:val="auto"/>
          <w:sz w:val="26"/>
          <w:szCs w:val="26"/>
        </w:rPr>
        <w:t xml:space="preserve">t. </w:t>
      </w:r>
      <w:r w:rsidR="004E33D9" w:rsidRPr="00766E21">
        <w:rPr>
          <w:rFonts w:eastAsia="Times New Roman"/>
          <w:i/>
          <w:color w:val="auto"/>
          <w:sz w:val="26"/>
          <w:szCs w:val="26"/>
        </w:rPr>
        <w:t>euro</w:t>
      </w:r>
      <w:r w:rsidR="004E33D9" w:rsidRPr="00766E21">
        <w:rPr>
          <w:rFonts w:eastAsia="Times New Roman"/>
          <w:color w:val="auto"/>
          <w:sz w:val="26"/>
          <w:szCs w:val="26"/>
        </w:rPr>
        <w:t xml:space="preserve"> gadā. </w:t>
      </w:r>
      <w:r w:rsidR="007B29C3" w:rsidRPr="00766E21">
        <w:rPr>
          <w:rFonts w:eastAsia="Times New Roman"/>
          <w:color w:val="auto"/>
          <w:sz w:val="26"/>
          <w:szCs w:val="26"/>
        </w:rPr>
        <w:t>Līdz ar to š</w:t>
      </w:r>
      <w:r w:rsidR="004E33D9" w:rsidRPr="00766E21">
        <w:rPr>
          <w:rFonts w:eastAsia="Times New Roman"/>
          <w:color w:val="auto"/>
          <w:sz w:val="26"/>
          <w:szCs w:val="26"/>
        </w:rPr>
        <w:t>o komersantu no</w:t>
      </w:r>
      <w:r w:rsidRPr="00766E21">
        <w:rPr>
          <w:rFonts w:eastAsia="Times New Roman"/>
          <w:color w:val="auto"/>
          <w:sz w:val="26"/>
          <w:szCs w:val="26"/>
        </w:rPr>
        <w:t>d</w:t>
      </w:r>
      <w:r w:rsidR="004E33D9" w:rsidRPr="00766E21">
        <w:rPr>
          <w:rFonts w:eastAsia="Times New Roman"/>
          <w:color w:val="auto"/>
          <w:sz w:val="26"/>
          <w:szCs w:val="26"/>
        </w:rPr>
        <w:t>ev</w:t>
      </w:r>
      <w:r w:rsidRPr="00766E21">
        <w:rPr>
          <w:rFonts w:eastAsia="Times New Roman"/>
          <w:color w:val="auto"/>
          <w:sz w:val="26"/>
          <w:szCs w:val="26"/>
        </w:rPr>
        <w:t>as maksājumus minimālā nodeva</w:t>
      </w:r>
      <w:r w:rsidR="001E41C6" w:rsidRPr="00766E21">
        <w:rPr>
          <w:rFonts w:eastAsia="Times New Roman"/>
          <w:color w:val="auto"/>
          <w:sz w:val="26"/>
          <w:szCs w:val="26"/>
        </w:rPr>
        <w:t>s apmē</w:t>
      </w:r>
      <w:r w:rsidR="007B29C3" w:rsidRPr="00766E21">
        <w:rPr>
          <w:rFonts w:eastAsia="Times New Roman"/>
          <w:color w:val="auto"/>
          <w:sz w:val="26"/>
          <w:szCs w:val="26"/>
        </w:rPr>
        <w:t xml:space="preserve">ra noteikšana neietekmētu. </w:t>
      </w:r>
    </w:p>
    <w:p w14:paraId="1E856C71" w14:textId="0A1CC19F" w:rsidR="001F7B25" w:rsidRPr="00766E21" w:rsidRDefault="00174285" w:rsidP="007B29C3">
      <w:pPr>
        <w:spacing w:before="60" w:after="60"/>
        <w:ind w:firstLine="720"/>
        <w:jc w:val="both"/>
        <w:rPr>
          <w:rFonts w:eastAsia="Times New Roman"/>
          <w:color w:val="auto"/>
          <w:sz w:val="26"/>
          <w:szCs w:val="26"/>
        </w:rPr>
      </w:pPr>
      <w:r>
        <w:rPr>
          <w:rFonts w:eastAsia="Times New Roman"/>
          <w:color w:val="auto"/>
          <w:sz w:val="26"/>
          <w:szCs w:val="26"/>
        </w:rPr>
        <w:t>P</w:t>
      </w:r>
      <w:r w:rsidR="007B29C3" w:rsidRPr="00766E21">
        <w:rPr>
          <w:rFonts w:eastAsia="Times New Roman"/>
          <w:color w:val="auto"/>
          <w:sz w:val="26"/>
          <w:szCs w:val="26"/>
        </w:rPr>
        <w:t xml:space="preserve">ārējiem </w:t>
      </w:r>
      <w:r w:rsidR="0032159A" w:rsidRPr="00766E21">
        <w:rPr>
          <w:rFonts w:eastAsia="Times New Roman"/>
          <w:color w:val="auto"/>
          <w:sz w:val="26"/>
          <w:szCs w:val="26"/>
        </w:rPr>
        <w:t xml:space="preserve">komersantiem </w:t>
      </w:r>
      <w:r w:rsidR="007B29C3" w:rsidRPr="00766E21">
        <w:rPr>
          <w:rFonts w:eastAsia="Times New Roman"/>
          <w:color w:val="auto"/>
          <w:sz w:val="26"/>
          <w:szCs w:val="26"/>
        </w:rPr>
        <w:t>valsts nodevas maksājuma apmērs tiktu tuvināts izmaksām, kas Regulatoram rodas uzraugot konkrēto komersantu</w:t>
      </w:r>
      <w:r w:rsidR="0032159A" w:rsidRPr="00766E21">
        <w:rPr>
          <w:rFonts w:eastAsia="Times New Roman"/>
          <w:color w:val="auto"/>
          <w:sz w:val="26"/>
          <w:szCs w:val="26"/>
        </w:rPr>
        <w:t xml:space="preserve">, </w:t>
      </w:r>
      <w:r w:rsidR="007B29C3" w:rsidRPr="00766E21">
        <w:rPr>
          <w:rFonts w:eastAsia="Times New Roman"/>
          <w:color w:val="auto"/>
          <w:sz w:val="26"/>
          <w:szCs w:val="26"/>
        </w:rPr>
        <w:t>vienla</w:t>
      </w:r>
      <w:r w:rsidR="005A2DA8">
        <w:rPr>
          <w:rFonts w:eastAsia="Times New Roman"/>
          <w:color w:val="auto"/>
          <w:sz w:val="26"/>
          <w:szCs w:val="26"/>
        </w:rPr>
        <w:t xml:space="preserve">ikus neradot papildus ietekmi uz </w:t>
      </w:r>
      <w:r w:rsidR="007B29C3" w:rsidRPr="00766E21">
        <w:rPr>
          <w:rFonts w:eastAsia="Times New Roman"/>
          <w:color w:val="auto"/>
          <w:sz w:val="26"/>
          <w:szCs w:val="26"/>
        </w:rPr>
        <w:t>kopējo Regulatora bud</w:t>
      </w:r>
      <w:r w:rsidR="001F7B25" w:rsidRPr="00766E21">
        <w:rPr>
          <w:rFonts w:eastAsia="Times New Roman"/>
          <w:color w:val="auto"/>
          <w:sz w:val="26"/>
          <w:szCs w:val="26"/>
        </w:rPr>
        <w:t xml:space="preserve">žetu. </w:t>
      </w:r>
      <w:r w:rsidR="007B29C3" w:rsidRPr="00766E21">
        <w:rPr>
          <w:rFonts w:eastAsia="Times New Roman"/>
          <w:color w:val="auto"/>
          <w:sz w:val="26"/>
          <w:szCs w:val="26"/>
        </w:rPr>
        <w:t xml:space="preserve"> </w:t>
      </w:r>
    </w:p>
    <w:p w14:paraId="209A3741" w14:textId="77777777" w:rsidR="00A374FA" w:rsidRPr="00E84ABC" w:rsidRDefault="00A374FA" w:rsidP="00A374FA">
      <w:pPr>
        <w:spacing w:before="60" w:after="60"/>
        <w:ind w:firstLine="720"/>
        <w:jc w:val="both"/>
        <w:rPr>
          <w:rFonts w:eastAsia="Times New Roman"/>
          <w:color w:val="auto"/>
          <w:sz w:val="24"/>
        </w:rPr>
      </w:pPr>
    </w:p>
    <w:p w14:paraId="57467527" w14:textId="77777777" w:rsidR="00B30BE4" w:rsidRPr="00E84ABC" w:rsidRDefault="00B30BE4" w:rsidP="00E864A1">
      <w:pPr>
        <w:pStyle w:val="Heading1"/>
        <w:numPr>
          <w:ilvl w:val="1"/>
          <w:numId w:val="18"/>
        </w:numPr>
        <w:spacing w:before="60" w:after="60"/>
        <w:ind w:left="567" w:hanging="567"/>
        <w:rPr>
          <w:sz w:val="26"/>
          <w:szCs w:val="26"/>
        </w:rPr>
      </w:pPr>
      <w:r w:rsidRPr="00E84ABC">
        <w:rPr>
          <w:sz w:val="26"/>
          <w:szCs w:val="26"/>
        </w:rPr>
        <w:t>Valsts nodevas par sabiedrisko pakalpojumu regulēšanu noteikšanas kārtība</w:t>
      </w:r>
    </w:p>
    <w:p w14:paraId="45095061" w14:textId="5845C22F" w:rsidR="00B30BE4" w:rsidRPr="00AF170D" w:rsidRDefault="00B30BE4" w:rsidP="00194BD3">
      <w:pPr>
        <w:spacing w:before="60" w:after="60"/>
        <w:ind w:firstLine="720"/>
        <w:jc w:val="both"/>
        <w:rPr>
          <w:rFonts w:eastAsia="Times New Roman"/>
          <w:color w:val="auto"/>
          <w:sz w:val="26"/>
          <w:szCs w:val="26"/>
        </w:rPr>
      </w:pPr>
      <w:r w:rsidRPr="00AF170D">
        <w:rPr>
          <w:rFonts w:eastAsia="Times New Roman"/>
          <w:color w:val="auto"/>
          <w:sz w:val="26"/>
          <w:szCs w:val="26"/>
        </w:rPr>
        <w:t>Saskaņā ar Likumu Regulatora darbību šobrīd finansē no ieņēmumiem, kas gūti</w:t>
      </w:r>
      <w:r w:rsidR="00665B96" w:rsidRPr="00AF170D">
        <w:rPr>
          <w:rFonts w:eastAsia="Times New Roman"/>
          <w:color w:val="auto"/>
          <w:sz w:val="26"/>
          <w:szCs w:val="26"/>
        </w:rPr>
        <w:t>,</w:t>
      </w:r>
      <w:r w:rsidRPr="00AF170D">
        <w:rPr>
          <w:rFonts w:eastAsia="Times New Roman"/>
          <w:color w:val="auto"/>
          <w:sz w:val="26"/>
          <w:szCs w:val="26"/>
        </w:rPr>
        <w:t xml:space="preserve"> iekasējot valsts nodevu</w:t>
      </w:r>
      <w:r w:rsidRPr="00836B90">
        <w:rPr>
          <w:rFonts w:eastAsia="Times New Roman"/>
          <w:color w:val="auto"/>
          <w:sz w:val="26"/>
          <w:szCs w:val="26"/>
        </w:rPr>
        <w:t xml:space="preserve">, </w:t>
      </w:r>
      <w:r w:rsidR="00836B90" w:rsidRPr="00836B90">
        <w:rPr>
          <w:rFonts w:eastAsia="Times New Roman"/>
          <w:color w:val="auto"/>
          <w:sz w:val="26"/>
          <w:szCs w:val="26"/>
        </w:rPr>
        <w:t>kuras maksimālais apmērs noteikts Likumā,</w:t>
      </w:r>
      <w:r w:rsidR="00836B90" w:rsidRPr="00AF170D">
        <w:rPr>
          <w:rFonts w:eastAsia="Times New Roman"/>
          <w:color w:val="auto"/>
          <w:sz w:val="26"/>
          <w:szCs w:val="26"/>
        </w:rPr>
        <w:t xml:space="preserve"> </w:t>
      </w:r>
      <w:r w:rsidR="00533352" w:rsidRPr="00AF170D">
        <w:rPr>
          <w:rFonts w:eastAsia="Times New Roman"/>
          <w:color w:val="auto"/>
          <w:sz w:val="26"/>
          <w:szCs w:val="26"/>
        </w:rPr>
        <w:t>savukārt</w:t>
      </w:r>
      <w:r w:rsidRPr="00AF170D">
        <w:rPr>
          <w:rFonts w:eastAsia="Times New Roman"/>
          <w:color w:val="auto"/>
          <w:sz w:val="26"/>
          <w:szCs w:val="26"/>
        </w:rPr>
        <w:t xml:space="preserve"> valsts nodevas likmi atsevišķi katram regulējamās nozares sabiedrisko pakalpojumu veidam nosaka </w:t>
      </w:r>
      <w:r w:rsidR="005575A8" w:rsidRPr="00AF170D">
        <w:rPr>
          <w:rFonts w:eastAsia="Times New Roman"/>
          <w:color w:val="auto"/>
          <w:sz w:val="26"/>
          <w:szCs w:val="26"/>
        </w:rPr>
        <w:t>Ministru kabinets (</w:t>
      </w:r>
      <w:r w:rsidRPr="00AF170D">
        <w:rPr>
          <w:rFonts w:eastAsia="Times New Roman"/>
          <w:color w:val="auto"/>
          <w:sz w:val="26"/>
          <w:szCs w:val="26"/>
        </w:rPr>
        <w:t>Ministru kabineta 2009. gada 22. decembra noteikumi Nr.1623 "Noteikumi par valsts nodevas likmi par sabiedrisko pakalpojumu regulēšanu un nodevas maksāšanas kārtību”</w:t>
      </w:r>
      <w:r w:rsidR="005575A8" w:rsidRPr="00AF170D">
        <w:rPr>
          <w:rFonts w:eastAsia="Times New Roman"/>
          <w:color w:val="auto"/>
          <w:sz w:val="26"/>
          <w:szCs w:val="26"/>
        </w:rPr>
        <w:t>)</w:t>
      </w:r>
      <w:r w:rsidRPr="00AF170D">
        <w:rPr>
          <w:rFonts w:eastAsia="Times New Roman"/>
          <w:color w:val="auto"/>
          <w:sz w:val="26"/>
          <w:szCs w:val="26"/>
        </w:rPr>
        <w:t>, pamatojoties uz sabiedrisko pakalpojumu gada neto apgrozījumu</w:t>
      </w:r>
      <w:r w:rsidR="00B22F87" w:rsidRPr="00AF170D">
        <w:rPr>
          <w:sz w:val="26"/>
          <w:szCs w:val="26"/>
        </w:rPr>
        <w:t xml:space="preserve"> </w:t>
      </w:r>
      <w:r w:rsidR="00B22F87" w:rsidRPr="00AF170D">
        <w:rPr>
          <w:rFonts w:eastAsia="Times New Roman"/>
          <w:color w:val="auto"/>
          <w:sz w:val="26"/>
          <w:szCs w:val="26"/>
        </w:rPr>
        <w:t>iepriekšējā kalendāra gadā</w:t>
      </w:r>
      <w:r w:rsidRPr="00AF170D">
        <w:rPr>
          <w:rFonts w:eastAsia="Times New Roman"/>
          <w:color w:val="auto"/>
          <w:sz w:val="26"/>
          <w:szCs w:val="26"/>
        </w:rPr>
        <w:t xml:space="preserve"> un Regulatora darbības nodrošināšanai nepieciešamajiem izdevumiem.</w:t>
      </w:r>
    </w:p>
    <w:p w14:paraId="115D72B5" w14:textId="3B3CE308" w:rsidR="00B30BE4" w:rsidRPr="00AF170D" w:rsidRDefault="00B30BE4"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Saskaņā </w:t>
      </w:r>
      <w:r w:rsidR="00A90B63" w:rsidRPr="00AF170D">
        <w:rPr>
          <w:rFonts w:eastAsia="Times New Roman"/>
          <w:color w:val="auto"/>
          <w:sz w:val="26"/>
          <w:szCs w:val="26"/>
        </w:rPr>
        <w:t xml:space="preserve">ar </w:t>
      </w:r>
      <w:r w:rsidRPr="00AF170D">
        <w:rPr>
          <w:rFonts w:eastAsia="Times New Roman"/>
          <w:color w:val="auto"/>
          <w:sz w:val="26"/>
          <w:szCs w:val="26"/>
        </w:rPr>
        <w:t>OECD novērojumiem šāda valsts nodevas likmes noteikšanas kārtība</w:t>
      </w:r>
      <w:r w:rsidR="005575A8" w:rsidRPr="00AF170D">
        <w:rPr>
          <w:rFonts w:eastAsia="Times New Roman"/>
          <w:color w:val="auto"/>
          <w:sz w:val="26"/>
          <w:szCs w:val="26"/>
        </w:rPr>
        <w:t>, kad valsts nodevas noteikšana ir deleģēta Ministru kabinetam,</w:t>
      </w:r>
      <w:r w:rsidRPr="00AF170D">
        <w:rPr>
          <w:rFonts w:eastAsia="Times New Roman"/>
          <w:color w:val="auto"/>
          <w:sz w:val="26"/>
          <w:szCs w:val="26"/>
        </w:rPr>
        <w:t xml:space="preserve"> rada bažas par iespējamu interešu konflikta risku un var kļūt par instrumentu, lai Ministru kabinets varētu īstenot ietekmi uz Regulatoru.</w:t>
      </w:r>
    </w:p>
    <w:p w14:paraId="49063895" w14:textId="778B6BF4" w:rsidR="00B22F87" w:rsidRDefault="00836B90" w:rsidP="00194BD3">
      <w:pPr>
        <w:spacing w:before="60" w:after="60"/>
        <w:ind w:firstLine="720"/>
        <w:jc w:val="both"/>
        <w:rPr>
          <w:rFonts w:eastAsia="Times New Roman"/>
          <w:color w:val="auto"/>
          <w:sz w:val="26"/>
          <w:szCs w:val="26"/>
        </w:rPr>
      </w:pPr>
      <w:r w:rsidRPr="00836B90">
        <w:rPr>
          <w:rFonts w:eastAsia="Times New Roman"/>
          <w:color w:val="auto"/>
          <w:sz w:val="26"/>
          <w:szCs w:val="26"/>
        </w:rPr>
        <w:t>Lai novērstu OECD ziņojuma ietvertajā rekomendācijā identificēto risku, Darba grupas ieskatā valsts nodevas likmes konkrētais apmērs un tās maksāšanas kārtība būtu nosakāma nevis Ministru kabineta noteikumos, bet Likumā.</w:t>
      </w:r>
    </w:p>
    <w:p w14:paraId="0EB59A21" w14:textId="77777777" w:rsidR="00B22F87" w:rsidRPr="00AF170D" w:rsidRDefault="00B22F87" w:rsidP="00194BD3">
      <w:pPr>
        <w:spacing w:before="60" w:after="60"/>
        <w:ind w:firstLine="720"/>
        <w:jc w:val="both"/>
        <w:rPr>
          <w:rFonts w:eastAsia="Times New Roman"/>
          <w:color w:val="auto"/>
          <w:sz w:val="26"/>
          <w:szCs w:val="26"/>
        </w:rPr>
      </w:pPr>
      <w:r w:rsidRPr="00AF170D">
        <w:rPr>
          <w:rFonts w:eastAsia="Times New Roman"/>
          <w:color w:val="auto"/>
          <w:sz w:val="26"/>
          <w:szCs w:val="26"/>
        </w:rPr>
        <w:t>Vienlai</w:t>
      </w:r>
      <w:r w:rsidR="00533352" w:rsidRPr="00AF170D">
        <w:rPr>
          <w:rFonts w:eastAsia="Times New Roman"/>
          <w:color w:val="auto"/>
          <w:sz w:val="26"/>
          <w:szCs w:val="26"/>
        </w:rPr>
        <w:t>kus</w:t>
      </w:r>
      <w:r w:rsidRPr="00AF170D">
        <w:rPr>
          <w:rFonts w:eastAsia="Times New Roman"/>
          <w:color w:val="auto"/>
          <w:sz w:val="26"/>
          <w:szCs w:val="26"/>
        </w:rPr>
        <w:t xml:space="preserve">, </w:t>
      </w:r>
      <w:r w:rsidR="005575A8" w:rsidRPr="00AF170D">
        <w:rPr>
          <w:rFonts w:eastAsia="Times New Roman"/>
          <w:color w:val="auto"/>
          <w:sz w:val="26"/>
          <w:szCs w:val="26"/>
        </w:rPr>
        <w:t>lai</w:t>
      </w:r>
      <w:r w:rsidRPr="00AF170D">
        <w:rPr>
          <w:rFonts w:eastAsia="Times New Roman"/>
          <w:color w:val="auto"/>
          <w:sz w:val="26"/>
          <w:szCs w:val="26"/>
        </w:rPr>
        <w:t xml:space="preserve"> nodrošināt</w:t>
      </w:r>
      <w:r w:rsidR="005575A8" w:rsidRPr="00AF170D">
        <w:rPr>
          <w:rFonts w:eastAsia="Times New Roman"/>
          <w:color w:val="auto"/>
          <w:sz w:val="26"/>
          <w:szCs w:val="26"/>
        </w:rPr>
        <w:t>u</w:t>
      </w:r>
      <w:r w:rsidRPr="00AF170D">
        <w:rPr>
          <w:rFonts w:eastAsia="Times New Roman"/>
          <w:color w:val="auto"/>
          <w:sz w:val="26"/>
          <w:szCs w:val="26"/>
        </w:rPr>
        <w:t xml:space="preserve"> Regulatoram nākotnē iespēju savlaicīgāk un precīzāk plānot budžeta pieprasījumus, un ņemot vērā normatīvajos aktos noteiktos komersantu gada pārskatu apstiprināšanas termiņus, būtu jāpārskata arī valsts nodevas aprēķin</w:t>
      </w:r>
      <w:r w:rsidR="008B1DBD" w:rsidRPr="00AF170D">
        <w:rPr>
          <w:rFonts w:eastAsia="Times New Roman"/>
          <w:color w:val="auto"/>
          <w:sz w:val="26"/>
          <w:szCs w:val="26"/>
        </w:rPr>
        <w:t>āšanā</w:t>
      </w:r>
      <w:r w:rsidRPr="00AF170D">
        <w:rPr>
          <w:rFonts w:eastAsia="Times New Roman"/>
          <w:color w:val="auto"/>
          <w:sz w:val="26"/>
          <w:szCs w:val="26"/>
        </w:rPr>
        <w:t xml:space="preserve"> izmatojamie dati. </w:t>
      </w:r>
    </w:p>
    <w:p w14:paraId="67E689FA" w14:textId="77777777" w:rsidR="00B22F87" w:rsidRPr="00AF170D" w:rsidRDefault="000378F9"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Valsts </w:t>
      </w:r>
      <w:r w:rsidR="00B22F87" w:rsidRPr="00AF170D">
        <w:rPr>
          <w:rFonts w:eastAsia="Times New Roman"/>
          <w:color w:val="auto"/>
          <w:sz w:val="26"/>
          <w:szCs w:val="26"/>
        </w:rPr>
        <w:t xml:space="preserve">nodevas aprēķinam būtu jābalstās nevis uz komersanta sniegtā sabiedriskā pakalpojuma neto apgrozījumu pagājušajā kalendāra gadā, bet gan uz komersanta sniegtā sabiedriskā pakalpojuma neto apgrozījumu aizpagājušā kalendāra gadā, kas nodrošinātu Regulatoram iespēju budžeta plānošanā izmantot nevis komersanta iesniegtās prognozes par plānoto neto apgrozījumu un operatīvos datus, bet gan auditētus, attiecīgā komersanta </w:t>
      </w:r>
      <w:r w:rsidR="00B22F87" w:rsidRPr="00AF170D">
        <w:rPr>
          <w:rFonts w:eastAsia="Times New Roman"/>
          <w:color w:val="auto"/>
          <w:sz w:val="26"/>
          <w:szCs w:val="26"/>
        </w:rPr>
        <w:lastRenderedPageBreak/>
        <w:t>gada pārskatā iekļautos datus par komersanta sniegtā sabiedriskā pakalpojuma neto apgrozījumu</w:t>
      </w:r>
      <w:r w:rsidR="008B1DBD" w:rsidRPr="00AF170D">
        <w:rPr>
          <w:rFonts w:eastAsia="Times New Roman"/>
          <w:color w:val="auto"/>
          <w:sz w:val="26"/>
          <w:szCs w:val="26"/>
        </w:rPr>
        <w:t>.</w:t>
      </w:r>
    </w:p>
    <w:p w14:paraId="1248192F" w14:textId="77777777" w:rsidR="00790B53" w:rsidRPr="00E84ABC" w:rsidRDefault="00790B53" w:rsidP="00194BD3">
      <w:pPr>
        <w:spacing w:before="60" w:after="60"/>
        <w:ind w:firstLine="720"/>
        <w:jc w:val="both"/>
        <w:rPr>
          <w:rFonts w:eastAsia="Times New Roman"/>
          <w:color w:val="auto"/>
          <w:sz w:val="24"/>
        </w:rPr>
      </w:pPr>
    </w:p>
    <w:p w14:paraId="72FADFFC" w14:textId="77777777" w:rsidR="008B1DBD" w:rsidRPr="00E84ABC" w:rsidRDefault="00194BD3" w:rsidP="00E864A1">
      <w:pPr>
        <w:pStyle w:val="Heading1"/>
        <w:numPr>
          <w:ilvl w:val="1"/>
          <w:numId w:val="18"/>
        </w:numPr>
        <w:spacing w:before="60" w:after="60"/>
        <w:ind w:left="567" w:hanging="567"/>
        <w:rPr>
          <w:sz w:val="26"/>
          <w:szCs w:val="26"/>
        </w:rPr>
      </w:pPr>
      <w:r w:rsidRPr="00E84ABC">
        <w:rPr>
          <w:sz w:val="26"/>
          <w:szCs w:val="26"/>
        </w:rPr>
        <w:t xml:space="preserve"> </w:t>
      </w:r>
      <w:r w:rsidR="008B1DBD" w:rsidRPr="00E84ABC">
        <w:rPr>
          <w:sz w:val="26"/>
          <w:szCs w:val="26"/>
        </w:rPr>
        <w:t xml:space="preserve">Valsts nodevas par sabiedrisko </w:t>
      </w:r>
      <w:r w:rsidR="00AA0889" w:rsidRPr="00E84ABC">
        <w:rPr>
          <w:sz w:val="26"/>
          <w:szCs w:val="26"/>
        </w:rPr>
        <w:t>pakalpojumu regulēšanu uzkrājuma</w:t>
      </w:r>
      <w:r w:rsidR="008B1DBD" w:rsidRPr="00E84ABC">
        <w:rPr>
          <w:sz w:val="26"/>
          <w:szCs w:val="26"/>
        </w:rPr>
        <w:t xml:space="preserve"> veidošana</w:t>
      </w:r>
    </w:p>
    <w:p w14:paraId="1D6FC46E" w14:textId="77777777" w:rsidR="008B1DBD" w:rsidRPr="00AF170D" w:rsidRDefault="008B1DBD"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Būtisks elements ilgtspējīgam Regulatora finansēšanas modelim ir tiesību aktos Regulatoram noteiktas tiesības veidot valsts nodevas </w:t>
      </w:r>
      <w:r w:rsidR="008743E1" w:rsidRPr="00AF170D">
        <w:rPr>
          <w:rFonts w:eastAsia="Times New Roman"/>
          <w:color w:val="auto"/>
          <w:sz w:val="26"/>
          <w:szCs w:val="26"/>
        </w:rPr>
        <w:t xml:space="preserve">ieņēmumu </w:t>
      </w:r>
      <w:r w:rsidRPr="00AF170D">
        <w:rPr>
          <w:rFonts w:eastAsia="Times New Roman"/>
          <w:color w:val="auto"/>
          <w:sz w:val="26"/>
          <w:szCs w:val="26"/>
        </w:rPr>
        <w:t>uzkrājumu.</w:t>
      </w:r>
    </w:p>
    <w:p w14:paraId="63CF696E" w14:textId="77777777" w:rsidR="004E665B" w:rsidRPr="00AF170D" w:rsidRDefault="008B1DBD" w:rsidP="00194BD3">
      <w:pPr>
        <w:spacing w:before="60" w:after="60"/>
        <w:ind w:firstLine="720"/>
        <w:jc w:val="both"/>
        <w:rPr>
          <w:rFonts w:eastAsia="Times New Roman"/>
          <w:color w:val="auto"/>
          <w:sz w:val="26"/>
          <w:szCs w:val="26"/>
        </w:rPr>
      </w:pPr>
      <w:r w:rsidRPr="00AF170D">
        <w:rPr>
          <w:rFonts w:eastAsia="Times New Roman"/>
          <w:color w:val="auto"/>
          <w:sz w:val="26"/>
          <w:szCs w:val="26"/>
        </w:rPr>
        <w:t>Saskaņā ar</w:t>
      </w:r>
      <w:r w:rsidR="00AA0889" w:rsidRPr="00AF170D">
        <w:rPr>
          <w:rFonts w:eastAsia="Times New Roman"/>
          <w:color w:val="auto"/>
          <w:sz w:val="26"/>
          <w:szCs w:val="26"/>
        </w:rPr>
        <w:t xml:space="preserve"> Likumu</w:t>
      </w:r>
      <w:r w:rsidRPr="00AF170D">
        <w:rPr>
          <w:rFonts w:eastAsia="Times New Roman"/>
          <w:color w:val="auto"/>
          <w:sz w:val="26"/>
          <w:szCs w:val="26"/>
        </w:rPr>
        <w:t xml:space="preserve"> valsts nodeva par sabiedrisko pakalpojumu regulēšanu tiek ieskaitīta Regulatora kontā Valsts kasē un ir izmantojam</w:t>
      </w:r>
      <w:r w:rsidR="00665B96" w:rsidRPr="00AF170D">
        <w:rPr>
          <w:rFonts w:eastAsia="Times New Roman"/>
          <w:color w:val="auto"/>
          <w:sz w:val="26"/>
          <w:szCs w:val="26"/>
        </w:rPr>
        <w:t>a</w:t>
      </w:r>
      <w:r w:rsidRPr="00AF170D">
        <w:rPr>
          <w:rFonts w:eastAsia="Times New Roman"/>
          <w:color w:val="auto"/>
          <w:sz w:val="26"/>
          <w:szCs w:val="26"/>
        </w:rPr>
        <w:t xml:space="preserve"> vienīgi Regulatora darbības nodrošināšanai. </w:t>
      </w:r>
    </w:p>
    <w:p w14:paraId="270C8704" w14:textId="77777777" w:rsidR="008B1DBD" w:rsidRPr="00AF170D" w:rsidRDefault="008B1DBD" w:rsidP="00194BD3">
      <w:pPr>
        <w:spacing w:before="60" w:after="60"/>
        <w:ind w:firstLine="720"/>
        <w:jc w:val="both"/>
        <w:rPr>
          <w:rFonts w:eastAsia="Times New Roman"/>
          <w:color w:val="auto"/>
          <w:sz w:val="26"/>
          <w:szCs w:val="26"/>
        </w:rPr>
      </w:pPr>
      <w:r w:rsidRPr="00AF170D">
        <w:rPr>
          <w:rFonts w:eastAsia="Times New Roman"/>
          <w:color w:val="auto"/>
          <w:sz w:val="26"/>
          <w:szCs w:val="26"/>
        </w:rPr>
        <w:t>Šobrīd spēkā esošais tiesiskais regulējums paredz, ja attiecīgajā kalendāra gadā samaksātā valsts nodeva pārsniedz Regulatora darbības nodrošināšanai nepieciešamās izmaksas, to izmanto regulatora darbības nodrošināšanai nākamajā gadā, savukārt sabiedrisko pakalpojumu sniedzējam, kas attiecīgajā kalendāra gadā ir samaksājis valsts nodevu par sabiedrisko pakalpojumu regulēšanu, nākamajā gadā šīs nodevas apmēru samazina par pārmaksāto summu proporcionāli iemaksātās nodevas lielumam attiecīgajā gadā.</w:t>
      </w:r>
    </w:p>
    <w:p w14:paraId="26A46711" w14:textId="77777777" w:rsidR="008B1DBD" w:rsidRPr="00AF170D" w:rsidRDefault="008B1DBD" w:rsidP="00194BD3">
      <w:pPr>
        <w:spacing w:before="60" w:after="60"/>
        <w:ind w:firstLine="720"/>
        <w:jc w:val="both"/>
        <w:rPr>
          <w:rFonts w:eastAsia="Times New Roman"/>
          <w:color w:val="auto"/>
          <w:sz w:val="26"/>
          <w:szCs w:val="26"/>
        </w:rPr>
      </w:pPr>
      <w:r w:rsidRPr="00AF170D">
        <w:rPr>
          <w:rFonts w:eastAsia="Times New Roman"/>
          <w:color w:val="auto"/>
          <w:sz w:val="26"/>
          <w:szCs w:val="26"/>
        </w:rPr>
        <w:t>Regulatora līdzšinējā pieredze un Regulatora pēdējo gadu budžeti a</w:t>
      </w:r>
      <w:r w:rsidR="004E665B" w:rsidRPr="00AF170D">
        <w:rPr>
          <w:rFonts w:eastAsia="Times New Roman"/>
          <w:color w:val="auto"/>
          <w:sz w:val="26"/>
          <w:szCs w:val="26"/>
        </w:rPr>
        <w:t>pliecina, ka</w:t>
      </w:r>
      <w:r w:rsidRPr="00AF170D">
        <w:rPr>
          <w:rFonts w:eastAsia="Times New Roman"/>
          <w:color w:val="auto"/>
          <w:sz w:val="26"/>
          <w:szCs w:val="26"/>
        </w:rPr>
        <w:t xml:space="preserve"> līdzšinējais valsts nodevas administrēšanas modelis ierobežo Regulatora spēju ilgtermiņā ieplānot nozīmīgus un vairāku gadu periodā realizējamus IT vai infrastruktūras projektus, kā arī rada risku, kas saistīti ar Regulatora budžeta pietiekamību Regulatoram nela</w:t>
      </w:r>
      <w:r w:rsidR="004E665B" w:rsidRPr="00AF170D">
        <w:rPr>
          <w:rFonts w:eastAsia="Times New Roman"/>
          <w:color w:val="auto"/>
          <w:sz w:val="26"/>
          <w:szCs w:val="26"/>
        </w:rPr>
        <w:t xml:space="preserve">bvēlīgas tiesvedības rezultātā. Savukārt minētie faktori </w:t>
      </w:r>
      <w:r w:rsidRPr="00AF170D">
        <w:rPr>
          <w:rFonts w:eastAsia="Times New Roman"/>
          <w:color w:val="auto"/>
          <w:sz w:val="26"/>
          <w:szCs w:val="26"/>
        </w:rPr>
        <w:t xml:space="preserve">apvienojumā ar ievērojamu regulējamo komersantu apgrozījuma kritumu vairāku gadu periodā reāli apdraud finansējuma pietiekamību Regulatora pamata funkciju izpildei un atbilstoša un kvalificēta personāla noturēšanai.    </w:t>
      </w:r>
    </w:p>
    <w:p w14:paraId="0C12BD03" w14:textId="78B379D6" w:rsidR="004E665B" w:rsidRDefault="004E665B" w:rsidP="00194BD3">
      <w:pPr>
        <w:spacing w:before="60" w:after="60"/>
        <w:ind w:firstLine="720"/>
        <w:jc w:val="both"/>
        <w:rPr>
          <w:rFonts w:eastAsia="Times New Roman"/>
          <w:color w:val="auto"/>
          <w:sz w:val="26"/>
          <w:szCs w:val="26"/>
        </w:rPr>
      </w:pPr>
      <w:r w:rsidRPr="00AF170D">
        <w:rPr>
          <w:rFonts w:eastAsia="Times New Roman"/>
          <w:color w:val="auto"/>
          <w:sz w:val="26"/>
          <w:szCs w:val="26"/>
        </w:rPr>
        <w:t>Līdz ar to</w:t>
      </w:r>
      <w:r w:rsidR="008B1DBD" w:rsidRPr="00AF170D">
        <w:rPr>
          <w:rFonts w:eastAsia="Times New Roman"/>
          <w:color w:val="auto"/>
          <w:sz w:val="26"/>
          <w:szCs w:val="26"/>
        </w:rPr>
        <w:t>, ja attiecīgajā kalendāra gadā valsts nodeva pārsniedz Regulatora darbības nodrošināšanai nepieciešamās izmaksas attiecīgajā kalendāra gadā, tā būtu uzkrājama un izmantojam</w:t>
      </w:r>
      <w:r w:rsidR="008743E1" w:rsidRPr="00AF170D">
        <w:rPr>
          <w:rFonts w:eastAsia="Times New Roman"/>
          <w:color w:val="auto"/>
          <w:sz w:val="26"/>
          <w:szCs w:val="26"/>
        </w:rPr>
        <w:t>a</w:t>
      </w:r>
      <w:r w:rsidR="008B1DBD" w:rsidRPr="00AF170D">
        <w:rPr>
          <w:rFonts w:eastAsia="Times New Roman"/>
          <w:color w:val="auto"/>
          <w:sz w:val="26"/>
          <w:szCs w:val="26"/>
        </w:rPr>
        <w:t xml:space="preserve"> Regulatora darbības nodrošināšanai n</w:t>
      </w:r>
      <w:r w:rsidRPr="00AF170D">
        <w:rPr>
          <w:rFonts w:eastAsia="Times New Roman"/>
          <w:color w:val="auto"/>
          <w:sz w:val="26"/>
          <w:szCs w:val="26"/>
        </w:rPr>
        <w:t>ākamajos periodos, vienlaicīgi L</w:t>
      </w:r>
      <w:r w:rsidR="008B1DBD" w:rsidRPr="00AF170D">
        <w:rPr>
          <w:rFonts w:eastAsia="Times New Roman"/>
          <w:color w:val="auto"/>
          <w:sz w:val="26"/>
          <w:szCs w:val="26"/>
        </w:rPr>
        <w:t>ikumā ierobežojot uzkrājumu maksimālo apmēru</w:t>
      </w:r>
      <w:r w:rsidR="00533352" w:rsidRPr="00AF170D">
        <w:rPr>
          <w:rFonts w:eastAsia="Times New Roman"/>
          <w:color w:val="auto"/>
          <w:sz w:val="26"/>
          <w:szCs w:val="26"/>
        </w:rPr>
        <w:t>, t.i., nosakot to</w:t>
      </w:r>
      <w:r w:rsidRPr="00AF170D">
        <w:rPr>
          <w:rFonts w:eastAsia="Times New Roman"/>
          <w:color w:val="auto"/>
          <w:sz w:val="26"/>
          <w:szCs w:val="26"/>
        </w:rPr>
        <w:t xml:space="preserve"> </w:t>
      </w:r>
      <w:r w:rsidR="008B1DBD" w:rsidRPr="00AF170D">
        <w:rPr>
          <w:rFonts w:eastAsia="Times New Roman"/>
          <w:color w:val="auto"/>
          <w:sz w:val="26"/>
          <w:szCs w:val="26"/>
        </w:rPr>
        <w:t xml:space="preserve">25% </w:t>
      </w:r>
      <w:r w:rsidR="00533352" w:rsidRPr="00AF170D">
        <w:rPr>
          <w:rFonts w:eastAsia="Times New Roman"/>
          <w:color w:val="auto"/>
          <w:sz w:val="26"/>
          <w:szCs w:val="26"/>
        </w:rPr>
        <w:t xml:space="preserve">apmērā </w:t>
      </w:r>
      <w:r w:rsidR="008B1DBD" w:rsidRPr="00AF170D">
        <w:rPr>
          <w:rFonts w:eastAsia="Times New Roman"/>
          <w:color w:val="auto"/>
          <w:sz w:val="26"/>
          <w:szCs w:val="26"/>
        </w:rPr>
        <w:t xml:space="preserve">no aizpagājušā </w:t>
      </w:r>
      <w:r w:rsidR="00006366" w:rsidRPr="00006366">
        <w:rPr>
          <w:rFonts w:eastAsia="Times New Roman"/>
          <w:color w:val="auto"/>
          <w:sz w:val="26"/>
          <w:szCs w:val="26"/>
        </w:rPr>
        <w:t>saimnieciskā gada faktiskā nodevas ieņēmumu apmēra.</w:t>
      </w:r>
    </w:p>
    <w:p w14:paraId="45E9DAA8" w14:textId="77777777" w:rsidR="008B1DBD" w:rsidRPr="00AF170D" w:rsidRDefault="004E665B" w:rsidP="00194BD3">
      <w:pPr>
        <w:spacing w:before="60" w:after="60"/>
        <w:ind w:firstLine="720"/>
        <w:jc w:val="both"/>
        <w:rPr>
          <w:rFonts w:eastAsia="Times New Roman"/>
          <w:color w:val="auto"/>
          <w:sz w:val="26"/>
          <w:szCs w:val="26"/>
        </w:rPr>
      </w:pPr>
      <w:r w:rsidRPr="00AF170D">
        <w:rPr>
          <w:rFonts w:eastAsia="Times New Roman"/>
          <w:color w:val="auto"/>
          <w:sz w:val="26"/>
          <w:szCs w:val="26"/>
        </w:rPr>
        <w:t>Likumā būtu jā</w:t>
      </w:r>
      <w:r w:rsidR="008B1DBD" w:rsidRPr="00AF170D">
        <w:rPr>
          <w:rFonts w:eastAsia="Times New Roman"/>
          <w:color w:val="auto"/>
          <w:sz w:val="26"/>
          <w:szCs w:val="26"/>
        </w:rPr>
        <w:t>paredz</w:t>
      </w:r>
      <w:r w:rsidRPr="00AF170D">
        <w:rPr>
          <w:rFonts w:eastAsia="Times New Roman"/>
          <w:color w:val="auto"/>
          <w:sz w:val="26"/>
          <w:szCs w:val="26"/>
        </w:rPr>
        <w:t>, ja valsts nodevas uzkrājuma</w:t>
      </w:r>
      <w:r w:rsidR="008B1DBD" w:rsidRPr="00AF170D">
        <w:rPr>
          <w:rFonts w:eastAsia="Times New Roman"/>
          <w:color w:val="auto"/>
          <w:sz w:val="26"/>
          <w:szCs w:val="26"/>
        </w:rPr>
        <w:t xml:space="preserve"> kopējais apmērs kārtējā saimnieciskā gada beigās pārsniedz </w:t>
      </w:r>
      <w:r w:rsidR="008743E1" w:rsidRPr="00760367">
        <w:rPr>
          <w:rFonts w:eastAsia="Times New Roman"/>
          <w:color w:val="auto"/>
          <w:sz w:val="26"/>
          <w:szCs w:val="26"/>
        </w:rPr>
        <w:t>Likumā paredzēto maksimālo apmēru</w:t>
      </w:r>
      <w:r w:rsidR="008B1DBD" w:rsidRPr="00AF170D">
        <w:rPr>
          <w:rFonts w:eastAsia="Times New Roman"/>
          <w:color w:val="auto"/>
          <w:sz w:val="26"/>
          <w:szCs w:val="26"/>
        </w:rPr>
        <w:t xml:space="preserve">, tad </w:t>
      </w:r>
      <w:r w:rsidR="004E33D9" w:rsidRPr="00AF170D">
        <w:rPr>
          <w:rFonts w:eastAsia="Times New Roman"/>
          <w:color w:val="auto"/>
          <w:sz w:val="26"/>
          <w:szCs w:val="26"/>
        </w:rPr>
        <w:t>iekasētā</w:t>
      </w:r>
      <w:r w:rsidRPr="00AF170D">
        <w:rPr>
          <w:rFonts w:eastAsia="Times New Roman"/>
          <w:color w:val="auto"/>
          <w:sz w:val="26"/>
          <w:szCs w:val="26"/>
        </w:rPr>
        <w:t>s valst</w:t>
      </w:r>
      <w:r w:rsidR="00154015" w:rsidRPr="00AF170D">
        <w:rPr>
          <w:rFonts w:eastAsia="Times New Roman"/>
          <w:color w:val="auto"/>
          <w:sz w:val="26"/>
          <w:szCs w:val="26"/>
        </w:rPr>
        <w:t>s</w:t>
      </w:r>
      <w:r w:rsidRPr="00AF170D">
        <w:rPr>
          <w:rFonts w:eastAsia="Times New Roman"/>
          <w:color w:val="auto"/>
          <w:sz w:val="26"/>
          <w:szCs w:val="26"/>
        </w:rPr>
        <w:t xml:space="preserve"> nodevas pārsniegums</w:t>
      </w:r>
      <w:r w:rsidR="008B1DBD" w:rsidRPr="00AF170D">
        <w:rPr>
          <w:rFonts w:eastAsia="Times New Roman"/>
          <w:color w:val="auto"/>
          <w:sz w:val="26"/>
          <w:szCs w:val="26"/>
        </w:rPr>
        <w:t xml:space="preserve"> komersantiem jākompensē, attiecīgi samazinot komersantu nākamos veicamos </w:t>
      </w:r>
      <w:r w:rsidRPr="00AF170D">
        <w:rPr>
          <w:rFonts w:eastAsia="Times New Roman"/>
          <w:color w:val="auto"/>
          <w:sz w:val="26"/>
          <w:szCs w:val="26"/>
        </w:rPr>
        <w:t xml:space="preserve">valsts </w:t>
      </w:r>
      <w:r w:rsidR="008B1DBD" w:rsidRPr="00AF170D">
        <w:rPr>
          <w:rFonts w:eastAsia="Times New Roman"/>
          <w:color w:val="auto"/>
          <w:sz w:val="26"/>
          <w:szCs w:val="26"/>
        </w:rPr>
        <w:t xml:space="preserve">nodevas maksājumus. </w:t>
      </w:r>
    </w:p>
    <w:p w14:paraId="37762C35" w14:textId="77777777" w:rsidR="00AC6F1B" w:rsidRPr="00AF170D" w:rsidRDefault="00AA0889" w:rsidP="00194BD3">
      <w:pPr>
        <w:spacing w:before="60" w:after="60"/>
        <w:ind w:firstLine="720"/>
        <w:jc w:val="both"/>
        <w:rPr>
          <w:rFonts w:eastAsia="Times New Roman"/>
          <w:color w:val="auto"/>
          <w:sz w:val="26"/>
          <w:szCs w:val="26"/>
        </w:rPr>
      </w:pPr>
      <w:r w:rsidRPr="00AF170D">
        <w:rPr>
          <w:rFonts w:eastAsia="Times New Roman"/>
          <w:color w:val="auto"/>
          <w:sz w:val="26"/>
          <w:szCs w:val="26"/>
        </w:rPr>
        <w:t>Šādu uzkrājumu veidošanas praksi saskaņā ar normatīvajiem aktiem īsteno Finanšu un kapitāla tirgus komisija (turpmāk – FKTK).  Finanšu un kapitāla tirgus komisijas likums nosaka, ka gada beigās FKTK kontos Latvijas Bankā esošo līdzekļu atlikumi paliek FKTK rīcībā un tiek izmantoti nākamajā gadā FKTK padomes apstiprinātā budžeta izdevumu finansēšanai. Savukārt saskaņā ar normatīvajos aktos noteiktā kārtībā apstiprināto FKTK budžetu, lai nodrošinātu FKTK darbības nepārtrauktību un tās savlaicīgu saistību izpildi, FKTK budžetā tiek paredzēts, ka FKTK naudas līdzekļiem kontā Latvijas Bankā katra ceturkšņa sākumā jābūt vismaz ceturtdaļai budžeta summas.</w:t>
      </w:r>
    </w:p>
    <w:p w14:paraId="4B8ACA8A" w14:textId="77777777" w:rsidR="00AC6F1B" w:rsidRPr="00AF170D" w:rsidRDefault="00AA0889" w:rsidP="00194BD3">
      <w:pPr>
        <w:spacing w:before="60" w:after="60"/>
        <w:ind w:firstLine="720"/>
        <w:jc w:val="both"/>
        <w:rPr>
          <w:rFonts w:eastAsia="Times New Roman"/>
          <w:color w:val="auto"/>
          <w:sz w:val="26"/>
          <w:szCs w:val="26"/>
        </w:rPr>
      </w:pPr>
      <w:r w:rsidRPr="00AF170D">
        <w:rPr>
          <w:rFonts w:eastAsia="Times New Roman"/>
          <w:color w:val="auto"/>
          <w:sz w:val="26"/>
          <w:szCs w:val="26"/>
        </w:rPr>
        <w:t>Valsts nodevas u</w:t>
      </w:r>
      <w:r w:rsidR="008B1DBD" w:rsidRPr="00AF170D">
        <w:rPr>
          <w:rFonts w:eastAsia="Times New Roman"/>
          <w:color w:val="auto"/>
          <w:sz w:val="26"/>
          <w:szCs w:val="26"/>
        </w:rPr>
        <w:t>zkrājuma izveidošana</w:t>
      </w:r>
      <w:r w:rsidR="008B1DBD" w:rsidRPr="00AF170D">
        <w:rPr>
          <w:sz w:val="26"/>
          <w:szCs w:val="26"/>
        </w:rPr>
        <w:t xml:space="preserve">, neatkarīgi no </w:t>
      </w:r>
      <w:r w:rsidR="008B1DBD" w:rsidRPr="00AF170D">
        <w:rPr>
          <w:rFonts w:eastAsia="Times New Roman"/>
          <w:color w:val="auto"/>
          <w:sz w:val="26"/>
          <w:szCs w:val="26"/>
        </w:rPr>
        <w:t>regulējamo sabiedrisko pakalpojumu sniedzēju neto apgrozījumu svārstībām, ilgtermiņā nodrošinātu nepieciešamo Regulatora veicamo funkciju un ar to saistīto izdevumu finansēšanu, tajā skaitā, lai nodrošinātu Regulatoram spēju piesaistīt un ilgtermiņā noturēt kvalificētu personālu normatīvajos aktos noteikto funkciju un pienāku</w:t>
      </w:r>
      <w:r w:rsidR="00AC6F1B" w:rsidRPr="00AF170D">
        <w:rPr>
          <w:rFonts w:eastAsia="Times New Roman"/>
          <w:color w:val="auto"/>
          <w:sz w:val="26"/>
          <w:szCs w:val="26"/>
        </w:rPr>
        <w:t>mu kvalitatīvai izpildei.</w:t>
      </w:r>
    </w:p>
    <w:p w14:paraId="2688EF72" w14:textId="77777777" w:rsidR="004E665B" w:rsidRPr="00AF170D" w:rsidRDefault="008E7F95" w:rsidP="00194BD3">
      <w:pPr>
        <w:spacing w:before="60" w:after="60"/>
        <w:ind w:firstLine="720"/>
        <w:jc w:val="both"/>
        <w:rPr>
          <w:rFonts w:eastAsia="Times New Roman"/>
          <w:color w:val="auto"/>
          <w:sz w:val="26"/>
          <w:szCs w:val="26"/>
        </w:rPr>
      </w:pPr>
      <w:r w:rsidRPr="00AF170D">
        <w:rPr>
          <w:rFonts w:eastAsia="Times New Roman"/>
          <w:color w:val="auto"/>
          <w:sz w:val="26"/>
          <w:szCs w:val="26"/>
        </w:rPr>
        <w:lastRenderedPageBreak/>
        <w:t>Pietiekama v</w:t>
      </w:r>
      <w:r w:rsidR="00AA0889" w:rsidRPr="00AF170D">
        <w:rPr>
          <w:rFonts w:eastAsia="Times New Roman"/>
          <w:color w:val="auto"/>
          <w:sz w:val="26"/>
          <w:szCs w:val="26"/>
        </w:rPr>
        <w:t>alsts nodevas u</w:t>
      </w:r>
      <w:r w:rsidR="00AC6F1B" w:rsidRPr="00AF170D">
        <w:rPr>
          <w:rFonts w:eastAsia="Times New Roman"/>
          <w:color w:val="auto"/>
          <w:sz w:val="26"/>
          <w:szCs w:val="26"/>
        </w:rPr>
        <w:t>zkrājum</w:t>
      </w:r>
      <w:r w:rsidR="00665B96" w:rsidRPr="00AF170D">
        <w:rPr>
          <w:rFonts w:eastAsia="Times New Roman"/>
          <w:color w:val="auto"/>
          <w:sz w:val="26"/>
          <w:szCs w:val="26"/>
        </w:rPr>
        <w:t>a izveidošanas gadījumā</w:t>
      </w:r>
      <w:r w:rsidR="008B1DBD" w:rsidRPr="00AF170D">
        <w:rPr>
          <w:rFonts w:eastAsia="Times New Roman"/>
          <w:color w:val="auto"/>
          <w:sz w:val="26"/>
          <w:szCs w:val="26"/>
        </w:rPr>
        <w:t xml:space="preserve"> Regulatoram </w:t>
      </w:r>
      <w:r w:rsidR="00665B96" w:rsidRPr="00AF170D">
        <w:rPr>
          <w:rFonts w:eastAsia="Times New Roman"/>
          <w:color w:val="auto"/>
          <w:sz w:val="26"/>
          <w:szCs w:val="26"/>
        </w:rPr>
        <w:t>tiktu nodrošināta</w:t>
      </w:r>
      <w:r w:rsidR="008B1DBD" w:rsidRPr="00AF170D">
        <w:rPr>
          <w:rFonts w:eastAsia="Times New Roman"/>
          <w:color w:val="auto"/>
          <w:sz w:val="26"/>
          <w:szCs w:val="26"/>
        </w:rPr>
        <w:t xml:space="preserve"> finanšu un rīcības rezerv</w:t>
      </w:r>
      <w:r w:rsidR="00665B96" w:rsidRPr="00AF170D">
        <w:rPr>
          <w:rFonts w:eastAsia="Times New Roman"/>
          <w:color w:val="auto"/>
          <w:sz w:val="26"/>
          <w:szCs w:val="26"/>
        </w:rPr>
        <w:t>e</w:t>
      </w:r>
      <w:r w:rsidR="008B1DBD" w:rsidRPr="00AF170D">
        <w:rPr>
          <w:rFonts w:eastAsia="Times New Roman"/>
          <w:color w:val="auto"/>
          <w:sz w:val="26"/>
          <w:szCs w:val="26"/>
        </w:rPr>
        <w:t xml:space="preserve"> ilgtermiņā  ieplānotu izdevumu (atbilstošu, ar regulēšanas funkcijām saistītu IT risinājumu ieviešana, detalizētāka pakalpojumu kvalitātes kontrole u.c.) un neplānotu izdevumu (piem</w:t>
      </w:r>
      <w:r w:rsidRPr="00AF170D">
        <w:rPr>
          <w:rFonts w:eastAsia="Times New Roman"/>
          <w:color w:val="auto"/>
          <w:sz w:val="26"/>
          <w:szCs w:val="26"/>
        </w:rPr>
        <w:t>ēram,</w:t>
      </w:r>
      <w:r w:rsidR="008B1DBD" w:rsidRPr="00AF170D">
        <w:rPr>
          <w:rFonts w:eastAsia="Times New Roman"/>
          <w:color w:val="auto"/>
          <w:sz w:val="26"/>
          <w:szCs w:val="26"/>
        </w:rPr>
        <w:t xml:space="preserve"> tiesvedīb</w:t>
      </w:r>
      <w:r w:rsidR="00FD4EBB" w:rsidRPr="00AF170D">
        <w:rPr>
          <w:rFonts w:eastAsia="Times New Roman"/>
          <w:color w:val="auto"/>
          <w:sz w:val="26"/>
          <w:szCs w:val="26"/>
        </w:rPr>
        <w:t>as</w:t>
      </w:r>
      <w:r w:rsidR="008B1DBD" w:rsidRPr="00AF170D">
        <w:rPr>
          <w:rFonts w:eastAsia="Times New Roman"/>
          <w:color w:val="auto"/>
          <w:sz w:val="26"/>
          <w:szCs w:val="26"/>
        </w:rPr>
        <w:t>, zaudējumu prasīb</w:t>
      </w:r>
      <w:r w:rsidR="00FD4EBB" w:rsidRPr="00AF170D">
        <w:rPr>
          <w:rFonts w:eastAsia="Times New Roman"/>
          <w:color w:val="auto"/>
          <w:sz w:val="26"/>
          <w:szCs w:val="26"/>
        </w:rPr>
        <w:t>as</w:t>
      </w:r>
      <w:r w:rsidR="008B1DBD" w:rsidRPr="00AF170D">
        <w:rPr>
          <w:rFonts w:eastAsia="Times New Roman"/>
          <w:color w:val="auto"/>
          <w:sz w:val="26"/>
          <w:szCs w:val="26"/>
        </w:rPr>
        <w:t xml:space="preserve"> tiesvedībās)</w:t>
      </w:r>
      <w:r w:rsidR="00665B96" w:rsidRPr="00AF170D">
        <w:rPr>
          <w:rFonts w:eastAsia="Times New Roman"/>
          <w:color w:val="auto"/>
          <w:sz w:val="26"/>
          <w:szCs w:val="26"/>
        </w:rPr>
        <w:t xml:space="preserve"> </w:t>
      </w:r>
      <w:r w:rsidRPr="00AF170D">
        <w:rPr>
          <w:rFonts w:eastAsia="Times New Roman"/>
          <w:color w:val="auto"/>
          <w:sz w:val="26"/>
          <w:szCs w:val="26"/>
        </w:rPr>
        <w:t>segšanai.</w:t>
      </w:r>
      <w:r w:rsidR="008B1DBD" w:rsidRPr="00AF170D">
        <w:rPr>
          <w:rFonts w:eastAsia="Times New Roman"/>
          <w:color w:val="auto"/>
          <w:sz w:val="26"/>
          <w:szCs w:val="26"/>
        </w:rPr>
        <w:t xml:space="preserve"> </w:t>
      </w:r>
    </w:p>
    <w:p w14:paraId="6E569DB0" w14:textId="77777777" w:rsidR="00790B53" w:rsidRPr="00AF170D" w:rsidRDefault="004E665B" w:rsidP="00011A94">
      <w:pPr>
        <w:spacing w:before="60" w:after="60"/>
        <w:ind w:firstLine="720"/>
        <w:jc w:val="both"/>
        <w:rPr>
          <w:rFonts w:eastAsia="Times New Roman"/>
          <w:color w:val="auto"/>
          <w:sz w:val="26"/>
          <w:szCs w:val="26"/>
        </w:rPr>
      </w:pPr>
      <w:r w:rsidRPr="00AF170D">
        <w:rPr>
          <w:rFonts w:eastAsia="Times New Roman"/>
          <w:color w:val="auto"/>
          <w:sz w:val="26"/>
          <w:szCs w:val="26"/>
        </w:rPr>
        <w:t>Nepieciešamības gadījumā</w:t>
      </w:r>
      <w:r w:rsidR="008B1DBD" w:rsidRPr="00AF170D">
        <w:rPr>
          <w:rFonts w:eastAsia="Times New Roman"/>
          <w:color w:val="auto"/>
          <w:sz w:val="26"/>
          <w:szCs w:val="26"/>
        </w:rPr>
        <w:t xml:space="preserve"> </w:t>
      </w:r>
      <w:r w:rsidRPr="00AF170D">
        <w:rPr>
          <w:rFonts w:eastAsia="Times New Roman"/>
          <w:color w:val="auto"/>
          <w:sz w:val="26"/>
          <w:szCs w:val="26"/>
        </w:rPr>
        <w:t xml:space="preserve">valsts nodevas uzkrājums </w:t>
      </w:r>
      <w:r w:rsidR="008B1DBD" w:rsidRPr="00AF170D">
        <w:rPr>
          <w:rFonts w:eastAsia="Times New Roman"/>
          <w:color w:val="auto"/>
          <w:sz w:val="26"/>
          <w:szCs w:val="26"/>
        </w:rPr>
        <w:t xml:space="preserve">nodrošinātu </w:t>
      </w:r>
      <w:r w:rsidR="008E7F95" w:rsidRPr="00AF170D">
        <w:rPr>
          <w:rFonts w:eastAsia="Times New Roman"/>
          <w:color w:val="auto"/>
          <w:sz w:val="26"/>
          <w:szCs w:val="26"/>
        </w:rPr>
        <w:t xml:space="preserve">arī </w:t>
      </w:r>
      <w:r w:rsidR="008B1DBD" w:rsidRPr="00AF170D">
        <w:rPr>
          <w:rFonts w:eastAsia="Times New Roman"/>
          <w:color w:val="auto"/>
          <w:sz w:val="26"/>
          <w:szCs w:val="26"/>
        </w:rPr>
        <w:t>pietiekamu laika rezervi nepieciešamo grozījumu normatīvajos aktos</w:t>
      </w:r>
      <w:r w:rsidRPr="00AF170D">
        <w:rPr>
          <w:rFonts w:eastAsia="Times New Roman"/>
          <w:color w:val="auto"/>
          <w:sz w:val="26"/>
          <w:szCs w:val="26"/>
        </w:rPr>
        <w:t>, kas reglamentē Regulatora finansējumu,</w:t>
      </w:r>
      <w:r w:rsidR="008B1DBD" w:rsidRPr="00AF170D">
        <w:rPr>
          <w:rFonts w:eastAsia="Times New Roman"/>
          <w:color w:val="auto"/>
          <w:sz w:val="26"/>
          <w:szCs w:val="26"/>
        </w:rPr>
        <w:t xml:space="preserve"> izstrādei, apspriešanai, apstiprināšanai un ieviešanai, jo</w:t>
      </w:r>
      <w:r w:rsidR="00AC6F1B" w:rsidRPr="00AF170D">
        <w:rPr>
          <w:rFonts w:eastAsia="Times New Roman"/>
          <w:color w:val="auto"/>
          <w:sz w:val="26"/>
          <w:szCs w:val="26"/>
        </w:rPr>
        <w:t xml:space="preserve"> tas ir laikietilpīgs process.</w:t>
      </w:r>
    </w:p>
    <w:p w14:paraId="0BEC4866" w14:textId="77777777" w:rsidR="00011A94" w:rsidRPr="00E84ABC" w:rsidRDefault="00011A94" w:rsidP="00011A94">
      <w:pPr>
        <w:spacing w:before="60" w:after="60"/>
        <w:ind w:firstLine="720"/>
        <w:jc w:val="both"/>
        <w:rPr>
          <w:rFonts w:eastAsia="Times New Roman"/>
          <w:color w:val="auto"/>
          <w:sz w:val="24"/>
        </w:rPr>
      </w:pPr>
    </w:p>
    <w:p w14:paraId="02A2346B" w14:textId="77777777" w:rsidR="00AA0889" w:rsidRPr="00E84ABC" w:rsidRDefault="00194BD3" w:rsidP="00E864A1">
      <w:pPr>
        <w:pStyle w:val="Heading1"/>
        <w:numPr>
          <w:ilvl w:val="1"/>
          <w:numId w:val="18"/>
        </w:numPr>
        <w:spacing w:before="60" w:after="60"/>
        <w:ind w:left="567" w:hanging="567"/>
        <w:rPr>
          <w:sz w:val="26"/>
          <w:szCs w:val="26"/>
        </w:rPr>
      </w:pPr>
      <w:r w:rsidRPr="00E84ABC">
        <w:rPr>
          <w:sz w:val="26"/>
          <w:szCs w:val="26"/>
        </w:rPr>
        <w:t xml:space="preserve"> </w:t>
      </w:r>
      <w:r w:rsidR="00AA0889" w:rsidRPr="00E84ABC">
        <w:rPr>
          <w:sz w:val="26"/>
          <w:szCs w:val="26"/>
        </w:rPr>
        <w:t>Citi Regulatora ieņēmumi</w:t>
      </w:r>
    </w:p>
    <w:p w14:paraId="23C1ABAA" w14:textId="77777777" w:rsidR="00602948" w:rsidRPr="00AF170D" w:rsidRDefault="000378F9" w:rsidP="00194BD3">
      <w:pPr>
        <w:spacing w:before="60" w:after="60"/>
        <w:ind w:firstLine="720"/>
        <w:jc w:val="both"/>
        <w:rPr>
          <w:rFonts w:eastAsia="Times New Roman"/>
          <w:color w:val="auto"/>
          <w:sz w:val="26"/>
          <w:szCs w:val="26"/>
        </w:rPr>
      </w:pPr>
      <w:r w:rsidRPr="00AF170D">
        <w:rPr>
          <w:rFonts w:eastAsia="Times New Roman"/>
          <w:color w:val="auto"/>
          <w:sz w:val="26"/>
          <w:szCs w:val="26"/>
        </w:rPr>
        <w:t>P</w:t>
      </w:r>
      <w:r w:rsidR="00AA0889" w:rsidRPr="00AF170D">
        <w:rPr>
          <w:rFonts w:eastAsia="Times New Roman"/>
          <w:color w:val="auto"/>
          <w:sz w:val="26"/>
          <w:szCs w:val="26"/>
        </w:rPr>
        <w:t xml:space="preserve">iedāvātais Regulatora finansējuma modelis pieļauj </w:t>
      </w:r>
      <w:r w:rsidR="00060FFE" w:rsidRPr="00AF170D">
        <w:rPr>
          <w:rFonts w:eastAsia="Times New Roman"/>
          <w:color w:val="auto"/>
          <w:sz w:val="26"/>
          <w:szCs w:val="26"/>
        </w:rPr>
        <w:t xml:space="preserve">regulējamo nozaru </w:t>
      </w:r>
      <w:r w:rsidR="004D6BDB" w:rsidRPr="00AF170D">
        <w:rPr>
          <w:rFonts w:eastAsia="Times New Roman"/>
          <w:color w:val="auto"/>
          <w:sz w:val="26"/>
          <w:szCs w:val="26"/>
        </w:rPr>
        <w:t xml:space="preserve"> speciālajos</w:t>
      </w:r>
      <w:r w:rsidR="00060FFE" w:rsidRPr="00AF170D">
        <w:rPr>
          <w:rFonts w:eastAsia="Times New Roman"/>
          <w:color w:val="auto"/>
          <w:sz w:val="26"/>
          <w:szCs w:val="26"/>
        </w:rPr>
        <w:t xml:space="preserve"> normatīvajos</w:t>
      </w:r>
      <w:r w:rsidR="00485001" w:rsidRPr="00AF170D">
        <w:rPr>
          <w:rFonts w:eastAsia="Times New Roman"/>
          <w:color w:val="auto"/>
          <w:sz w:val="26"/>
          <w:szCs w:val="26"/>
        </w:rPr>
        <w:t xml:space="preserve"> aktos noteikt</w:t>
      </w:r>
      <w:r w:rsidR="00060FFE" w:rsidRPr="00AF170D">
        <w:rPr>
          <w:rFonts w:eastAsia="Times New Roman"/>
          <w:color w:val="auto"/>
          <w:sz w:val="26"/>
          <w:szCs w:val="26"/>
        </w:rPr>
        <w:t xml:space="preserve"> citus</w:t>
      </w:r>
      <w:r w:rsidR="004D6BDB" w:rsidRPr="00AF170D">
        <w:rPr>
          <w:rFonts w:eastAsia="Times New Roman"/>
          <w:color w:val="auto"/>
          <w:sz w:val="26"/>
          <w:szCs w:val="26"/>
        </w:rPr>
        <w:t xml:space="preserve"> </w:t>
      </w:r>
      <w:r w:rsidR="00060FFE" w:rsidRPr="00AF170D">
        <w:rPr>
          <w:rFonts w:eastAsia="Times New Roman"/>
          <w:color w:val="auto"/>
          <w:sz w:val="26"/>
          <w:szCs w:val="26"/>
        </w:rPr>
        <w:t>maksājumus</w:t>
      </w:r>
      <w:r w:rsidR="004D6BDB" w:rsidRPr="00AF170D">
        <w:rPr>
          <w:rFonts w:eastAsia="Times New Roman"/>
          <w:color w:val="auto"/>
          <w:sz w:val="26"/>
          <w:szCs w:val="26"/>
        </w:rPr>
        <w:t xml:space="preserve"> par Regul</w:t>
      </w:r>
      <w:r w:rsidR="00F02475" w:rsidRPr="00AF170D">
        <w:rPr>
          <w:rFonts w:eastAsia="Times New Roman"/>
          <w:color w:val="auto"/>
          <w:sz w:val="26"/>
          <w:szCs w:val="26"/>
        </w:rPr>
        <w:t>atora sniegtaji</w:t>
      </w:r>
      <w:r w:rsidR="009658E0" w:rsidRPr="00AF170D">
        <w:rPr>
          <w:rFonts w:eastAsia="Times New Roman"/>
          <w:color w:val="auto"/>
          <w:sz w:val="26"/>
          <w:szCs w:val="26"/>
        </w:rPr>
        <w:t>em pakalpojumiem, kas neietilpst</w:t>
      </w:r>
      <w:r w:rsidR="00F02475" w:rsidRPr="00AF170D">
        <w:rPr>
          <w:rFonts w:eastAsia="Times New Roman"/>
          <w:color w:val="auto"/>
          <w:sz w:val="26"/>
          <w:szCs w:val="26"/>
        </w:rPr>
        <w:t xml:space="preserve"> sabiedrisko pakalpojumu regulēšanas funkcijās </w:t>
      </w:r>
      <w:r w:rsidR="000B414E" w:rsidRPr="00AF170D">
        <w:rPr>
          <w:rFonts w:eastAsia="Times New Roman"/>
          <w:color w:val="auto"/>
          <w:sz w:val="26"/>
          <w:szCs w:val="26"/>
        </w:rPr>
        <w:t>L</w:t>
      </w:r>
      <w:r w:rsidR="00F02475" w:rsidRPr="00AF170D">
        <w:rPr>
          <w:rFonts w:eastAsia="Times New Roman"/>
          <w:color w:val="auto"/>
          <w:sz w:val="26"/>
          <w:szCs w:val="26"/>
        </w:rPr>
        <w:t xml:space="preserve">ikuma </w:t>
      </w:r>
      <w:r w:rsidR="00AC66C0" w:rsidRPr="00AF170D">
        <w:rPr>
          <w:rFonts w:eastAsia="Times New Roman"/>
          <w:color w:val="auto"/>
          <w:sz w:val="26"/>
          <w:szCs w:val="26"/>
        </w:rPr>
        <w:t xml:space="preserve">izpratnē. </w:t>
      </w:r>
    </w:p>
    <w:p w14:paraId="57E3547A" w14:textId="77777777" w:rsidR="00AA0889" w:rsidRPr="00AF170D" w:rsidRDefault="00F02475"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Šādu maksājumu apmērs un </w:t>
      </w:r>
      <w:r w:rsidR="00060FFE" w:rsidRPr="00AF170D">
        <w:rPr>
          <w:rFonts w:eastAsia="Times New Roman"/>
          <w:color w:val="auto"/>
          <w:sz w:val="26"/>
          <w:szCs w:val="26"/>
        </w:rPr>
        <w:t xml:space="preserve">to </w:t>
      </w:r>
      <w:r w:rsidRPr="00AF170D">
        <w:rPr>
          <w:rFonts w:eastAsia="Times New Roman"/>
          <w:color w:val="auto"/>
          <w:sz w:val="26"/>
          <w:szCs w:val="26"/>
        </w:rPr>
        <w:t>maksāšanas kārtība būtu nosakāma attiecīgās regulējamās nozares speciālajā likumā, balstoties uz Regulatora administratīvajam izmaksām un attiecīgās funkcijas (pakalpojuma) nodrošināšanai</w:t>
      </w:r>
      <w:r w:rsidR="00060FFE" w:rsidRPr="00AF170D">
        <w:rPr>
          <w:rFonts w:eastAsia="Times New Roman"/>
          <w:color w:val="auto"/>
          <w:sz w:val="26"/>
          <w:szCs w:val="26"/>
        </w:rPr>
        <w:t xml:space="preserve"> nepieciešamajiem izdevumiem, vienlaicīgi</w:t>
      </w:r>
      <w:r w:rsidRPr="00AF170D">
        <w:rPr>
          <w:rFonts w:eastAsia="Times New Roman"/>
          <w:color w:val="auto"/>
          <w:sz w:val="26"/>
          <w:szCs w:val="26"/>
        </w:rPr>
        <w:t xml:space="preserve"> </w:t>
      </w:r>
      <w:r w:rsidR="00060FFE" w:rsidRPr="00AF170D">
        <w:rPr>
          <w:rFonts w:eastAsia="Times New Roman"/>
          <w:color w:val="auto"/>
          <w:sz w:val="26"/>
          <w:szCs w:val="26"/>
        </w:rPr>
        <w:t xml:space="preserve">to </w:t>
      </w:r>
      <w:r w:rsidRPr="00AF170D">
        <w:rPr>
          <w:rFonts w:eastAsia="Times New Roman"/>
          <w:color w:val="auto"/>
          <w:sz w:val="26"/>
          <w:szCs w:val="26"/>
        </w:rPr>
        <w:t>adm</w:t>
      </w:r>
      <w:r w:rsidR="009658E0" w:rsidRPr="00AF170D">
        <w:rPr>
          <w:rFonts w:eastAsia="Times New Roman"/>
          <w:color w:val="auto"/>
          <w:sz w:val="26"/>
          <w:szCs w:val="26"/>
        </w:rPr>
        <w:t>inistrēšanu deleģējot Regulatoram</w:t>
      </w:r>
      <w:r w:rsidRPr="00AF170D">
        <w:rPr>
          <w:rFonts w:eastAsia="Times New Roman"/>
          <w:color w:val="auto"/>
          <w:sz w:val="26"/>
          <w:szCs w:val="26"/>
        </w:rPr>
        <w:t>.</w:t>
      </w:r>
    </w:p>
    <w:p w14:paraId="472CB43F" w14:textId="1FBA1333" w:rsidR="00C80E7E" w:rsidRPr="00AF170D" w:rsidRDefault="00F11F1F" w:rsidP="00C226B3">
      <w:pPr>
        <w:spacing w:before="60" w:after="60"/>
        <w:ind w:firstLine="720"/>
        <w:jc w:val="both"/>
        <w:rPr>
          <w:rFonts w:eastAsia="Times New Roman"/>
          <w:color w:val="auto"/>
          <w:sz w:val="26"/>
          <w:szCs w:val="26"/>
        </w:rPr>
      </w:pPr>
      <w:r>
        <w:rPr>
          <w:rFonts w:eastAsia="Times New Roman"/>
          <w:color w:val="auto"/>
          <w:sz w:val="26"/>
          <w:szCs w:val="26"/>
        </w:rPr>
        <w:t xml:space="preserve">Piemēram, </w:t>
      </w:r>
      <w:r w:rsidR="00C80E7E" w:rsidRPr="00AF170D">
        <w:rPr>
          <w:rFonts w:eastAsia="Times New Roman"/>
          <w:color w:val="auto"/>
          <w:sz w:val="26"/>
          <w:szCs w:val="26"/>
        </w:rPr>
        <w:t>Ātrdarbīga elektronisko sakaru tīkla likums paredz Regulatora kompetenci ārpustiesas kārtībā izskatīt domstarpības, kas radušās saistībā ar likum</w:t>
      </w:r>
      <w:bookmarkStart w:id="0" w:name="_GoBack"/>
      <w:bookmarkEnd w:id="0"/>
      <w:r w:rsidR="00C80E7E" w:rsidRPr="00AF170D">
        <w:rPr>
          <w:rFonts w:eastAsia="Times New Roman"/>
          <w:color w:val="auto"/>
          <w:sz w:val="26"/>
          <w:szCs w:val="26"/>
        </w:rPr>
        <w:t>ā regulēto su</w:t>
      </w:r>
      <w:r w:rsidR="00C226B3" w:rsidRPr="00AF170D">
        <w:rPr>
          <w:rFonts w:eastAsia="Times New Roman"/>
          <w:color w:val="auto"/>
          <w:sz w:val="26"/>
          <w:szCs w:val="26"/>
        </w:rPr>
        <w:t>bjektu tiesībām un pienākumiem.</w:t>
      </w:r>
    </w:p>
    <w:p w14:paraId="190BAC41" w14:textId="77777777" w:rsidR="00B73652" w:rsidRPr="00AF170D" w:rsidRDefault="00F11F1F" w:rsidP="008E6EF2">
      <w:pPr>
        <w:spacing w:before="60" w:after="60"/>
        <w:ind w:firstLine="720"/>
        <w:jc w:val="both"/>
        <w:rPr>
          <w:rFonts w:eastAsia="Times New Roman"/>
          <w:color w:val="auto"/>
          <w:sz w:val="26"/>
          <w:szCs w:val="26"/>
        </w:rPr>
      </w:pPr>
      <w:r w:rsidRPr="00AF170D">
        <w:rPr>
          <w:rFonts w:eastAsia="Times New Roman"/>
          <w:color w:val="auto"/>
          <w:sz w:val="26"/>
          <w:szCs w:val="26"/>
        </w:rPr>
        <w:t xml:space="preserve">Ātrdarbīga elektronisko sakaru tīkla likums </w:t>
      </w:r>
      <w:r w:rsidR="00393EF4" w:rsidRPr="00AF170D">
        <w:rPr>
          <w:rFonts w:eastAsia="Times New Roman"/>
          <w:color w:val="auto"/>
          <w:sz w:val="26"/>
          <w:szCs w:val="26"/>
        </w:rPr>
        <w:t xml:space="preserve">paplašina Regulatora darbības jomu, nosakot kompetenci izskatīt domstarpības un pieņemt lēmumus arī attiecībā uz komersantiem tādās jomās, kas nav regulētas </w:t>
      </w:r>
      <w:r w:rsidR="000B414E" w:rsidRPr="00AF170D">
        <w:rPr>
          <w:rFonts w:eastAsia="Times New Roman"/>
          <w:color w:val="auto"/>
          <w:sz w:val="26"/>
          <w:szCs w:val="26"/>
        </w:rPr>
        <w:t>L</w:t>
      </w:r>
      <w:r w:rsidR="00393EF4" w:rsidRPr="00AF170D">
        <w:rPr>
          <w:rFonts w:eastAsia="Times New Roman"/>
          <w:color w:val="auto"/>
          <w:sz w:val="26"/>
          <w:szCs w:val="26"/>
        </w:rPr>
        <w:t xml:space="preserve">ikumā, piemēram, par autoceļu, ostu un lidostu infrastruktūru. </w:t>
      </w:r>
      <w:r w:rsidR="008E6EF2" w:rsidRPr="00AF170D">
        <w:rPr>
          <w:rFonts w:eastAsia="Times New Roman"/>
          <w:color w:val="auto"/>
          <w:sz w:val="26"/>
          <w:szCs w:val="26"/>
        </w:rPr>
        <w:t xml:space="preserve">Ātrdarbīga </w:t>
      </w:r>
      <w:r w:rsidR="008E6EF2">
        <w:rPr>
          <w:rFonts w:eastAsia="Times New Roman"/>
          <w:color w:val="auto"/>
          <w:sz w:val="26"/>
          <w:szCs w:val="26"/>
        </w:rPr>
        <w:t xml:space="preserve">elektronisko sakaru tīkla likumā </w:t>
      </w:r>
      <w:r w:rsidR="00393EF4" w:rsidRPr="00AF170D">
        <w:rPr>
          <w:rFonts w:eastAsia="Times New Roman"/>
          <w:color w:val="auto"/>
          <w:sz w:val="26"/>
          <w:szCs w:val="26"/>
        </w:rPr>
        <w:t>ir paredzēts, ka Regulator</w:t>
      </w:r>
      <w:r w:rsidR="000B414E" w:rsidRPr="00AF170D">
        <w:rPr>
          <w:rFonts w:eastAsia="Times New Roman"/>
          <w:color w:val="auto"/>
          <w:sz w:val="26"/>
          <w:szCs w:val="26"/>
        </w:rPr>
        <w:t>ā</w:t>
      </w:r>
      <w:r w:rsidR="00393EF4" w:rsidRPr="00AF170D">
        <w:rPr>
          <w:rFonts w:eastAsia="Times New Roman"/>
          <w:color w:val="auto"/>
          <w:sz w:val="26"/>
          <w:szCs w:val="26"/>
        </w:rPr>
        <w:t xml:space="preserve"> domstarpības izskatīšana notiek par maksu un maksājums par domstarpības izskatīšanu tiek nodalīts no valsts nodevas, tādējādi nodrošinot Regulatora darbības domstarpību izskatīšanā </w:t>
      </w:r>
      <w:r w:rsidR="00514738" w:rsidRPr="00AF170D">
        <w:rPr>
          <w:rFonts w:eastAsia="Times New Roman"/>
          <w:color w:val="auto"/>
          <w:sz w:val="26"/>
          <w:szCs w:val="26"/>
        </w:rPr>
        <w:t xml:space="preserve">nošķiršanu no regulējamām jomām. </w:t>
      </w:r>
    </w:p>
    <w:p w14:paraId="6FDC0B82" w14:textId="0A97501B" w:rsidR="00176C24" w:rsidRPr="00AF170D" w:rsidRDefault="000378F9" w:rsidP="0080639A">
      <w:pPr>
        <w:ind w:firstLine="709"/>
        <w:jc w:val="both"/>
        <w:rPr>
          <w:rFonts w:eastAsia="Times New Roman"/>
          <w:color w:val="auto"/>
          <w:sz w:val="26"/>
          <w:szCs w:val="26"/>
        </w:rPr>
      </w:pPr>
      <w:r w:rsidRPr="00AF170D">
        <w:rPr>
          <w:rFonts w:eastAsia="Times New Roman"/>
          <w:color w:val="auto"/>
          <w:sz w:val="26"/>
          <w:szCs w:val="26"/>
        </w:rPr>
        <w:t>L</w:t>
      </w:r>
      <w:r w:rsidR="00B73652" w:rsidRPr="00AF170D">
        <w:rPr>
          <w:rFonts w:eastAsia="Times New Roman"/>
          <w:color w:val="auto"/>
          <w:sz w:val="26"/>
          <w:szCs w:val="26"/>
        </w:rPr>
        <w:t>ikumdevējam regulējamo nozaru speciālajos normatīvajos aktos deleģējot Regulatoram jaunas funkcijas vai paredzot</w:t>
      </w:r>
      <w:r w:rsidR="00AA0889" w:rsidRPr="00AF170D">
        <w:rPr>
          <w:rFonts w:eastAsia="Times New Roman"/>
          <w:color w:val="auto"/>
          <w:sz w:val="26"/>
          <w:szCs w:val="26"/>
        </w:rPr>
        <w:t xml:space="preserve"> Regulatora</w:t>
      </w:r>
      <w:r w:rsidR="00B73652" w:rsidRPr="00AF170D">
        <w:rPr>
          <w:rFonts w:eastAsia="Times New Roman"/>
          <w:color w:val="auto"/>
          <w:sz w:val="26"/>
          <w:szCs w:val="26"/>
        </w:rPr>
        <w:t>m</w:t>
      </w:r>
      <w:r w:rsidR="00AA0889" w:rsidRPr="00AF170D">
        <w:rPr>
          <w:rFonts w:eastAsia="Times New Roman"/>
          <w:color w:val="auto"/>
          <w:sz w:val="26"/>
          <w:szCs w:val="26"/>
        </w:rPr>
        <w:t xml:space="preserve"> </w:t>
      </w:r>
      <w:r w:rsidR="00B73652" w:rsidRPr="00AF170D">
        <w:rPr>
          <w:rFonts w:eastAsia="Times New Roman"/>
          <w:color w:val="auto"/>
          <w:sz w:val="26"/>
          <w:szCs w:val="26"/>
        </w:rPr>
        <w:t>citus ieņēmumus par Regulatora sniegtajiem pakalpojumiem</w:t>
      </w:r>
      <w:r w:rsidR="006E558A" w:rsidRPr="00AF170D">
        <w:rPr>
          <w:rFonts w:eastAsia="Times New Roman"/>
          <w:color w:val="auto"/>
          <w:sz w:val="26"/>
          <w:szCs w:val="26"/>
        </w:rPr>
        <w:t>,</w:t>
      </w:r>
      <w:r w:rsidR="002F55F7" w:rsidRPr="00AF170D">
        <w:rPr>
          <w:rFonts w:eastAsia="Times New Roman"/>
          <w:color w:val="auto"/>
          <w:sz w:val="26"/>
          <w:szCs w:val="26"/>
        </w:rPr>
        <w:t xml:space="preserve"> </w:t>
      </w:r>
      <w:r w:rsidR="00B73652" w:rsidRPr="00AF170D">
        <w:rPr>
          <w:rFonts w:eastAsia="Times New Roman"/>
          <w:color w:val="auto"/>
          <w:sz w:val="26"/>
          <w:szCs w:val="26"/>
        </w:rPr>
        <w:t>to apmērs un ietekme uz Regulatora finansēšanas modeli būtu jāvērtē atsevišķi.</w:t>
      </w:r>
    </w:p>
    <w:p w14:paraId="67B26885" w14:textId="77777777" w:rsidR="00194BD3" w:rsidRPr="00E84ABC" w:rsidRDefault="00194BD3" w:rsidP="00194BD3">
      <w:pPr>
        <w:spacing w:before="60" w:after="60"/>
        <w:jc w:val="both"/>
        <w:rPr>
          <w:rFonts w:eastAsia="Times New Roman"/>
          <w:color w:val="auto"/>
          <w:sz w:val="24"/>
        </w:rPr>
      </w:pPr>
    </w:p>
    <w:p w14:paraId="42609E8B" w14:textId="77777777" w:rsidR="00A93726" w:rsidRPr="00E84ABC" w:rsidRDefault="00194BD3" w:rsidP="00E864A1">
      <w:pPr>
        <w:pStyle w:val="Heading1"/>
        <w:numPr>
          <w:ilvl w:val="1"/>
          <w:numId w:val="18"/>
        </w:numPr>
        <w:spacing w:before="60" w:after="60"/>
        <w:ind w:left="567" w:hanging="567"/>
        <w:rPr>
          <w:rFonts w:eastAsiaTheme="minorHAnsi"/>
          <w:sz w:val="26"/>
          <w:szCs w:val="26"/>
        </w:rPr>
      </w:pPr>
      <w:r w:rsidRPr="00E84ABC">
        <w:rPr>
          <w:rFonts w:eastAsiaTheme="minorHAnsi"/>
          <w:sz w:val="26"/>
          <w:szCs w:val="26"/>
        </w:rPr>
        <w:t xml:space="preserve"> </w:t>
      </w:r>
      <w:r w:rsidR="00A93726" w:rsidRPr="00E84ABC">
        <w:rPr>
          <w:rFonts w:eastAsiaTheme="minorHAnsi"/>
          <w:sz w:val="26"/>
          <w:szCs w:val="26"/>
        </w:rPr>
        <w:t xml:space="preserve">Regulatora budžeta </w:t>
      </w:r>
      <w:r w:rsidR="00A374FA">
        <w:rPr>
          <w:rFonts w:eastAsiaTheme="minorHAnsi"/>
          <w:sz w:val="26"/>
          <w:szCs w:val="26"/>
        </w:rPr>
        <w:t xml:space="preserve">apstiprināšana un </w:t>
      </w:r>
      <w:r w:rsidR="00A93726" w:rsidRPr="00E84ABC">
        <w:rPr>
          <w:rFonts w:eastAsiaTheme="minorHAnsi"/>
          <w:sz w:val="26"/>
          <w:szCs w:val="26"/>
        </w:rPr>
        <w:t>izpildes uzraudzība</w:t>
      </w:r>
    </w:p>
    <w:p w14:paraId="0FAF0760" w14:textId="77777777" w:rsidR="00BC06A7" w:rsidRPr="00AF170D" w:rsidRDefault="00FD4EBB" w:rsidP="00194BD3">
      <w:pPr>
        <w:spacing w:before="60" w:after="60"/>
        <w:ind w:firstLine="720"/>
        <w:jc w:val="both"/>
        <w:rPr>
          <w:rFonts w:eastAsiaTheme="minorHAnsi"/>
          <w:color w:val="auto"/>
          <w:sz w:val="26"/>
          <w:szCs w:val="26"/>
        </w:rPr>
      </w:pPr>
      <w:r w:rsidRPr="00AF170D">
        <w:rPr>
          <w:rFonts w:eastAsiaTheme="minorHAnsi"/>
          <w:color w:val="auto"/>
          <w:sz w:val="26"/>
          <w:szCs w:val="26"/>
        </w:rPr>
        <w:t xml:space="preserve">Būtisks </w:t>
      </w:r>
      <w:r w:rsidR="00A374FA" w:rsidRPr="00AF170D">
        <w:rPr>
          <w:rFonts w:eastAsiaTheme="minorHAnsi"/>
          <w:color w:val="auto"/>
          <w:sz w:val="26"/>
          <w:szCs w:val="26"/>
        </w:rPr>
        <w:t xml:space="preserve">finansēšanas modeļa elements </w:t>
      </w:r>
      <w:r w:rsidRPr="00AF170D">
        <w:rPr>
          <w:rFonts w:eastAsiaTheme="minorHAnsi"/>
          <w:color w:val="auto"/>
          <w:sz w:val="26"/>
          <w:szCs w:val="26"/>
        </w:rPr>
        <w:t xml:space="preserve">ir Regulatora budžeta apstiprināšanas un izlietošanas mehānisms. </w:t>
      </w:r>
      <w:r w:rsidR="00BC06A7" w:rsidRPr="00AF170D">
        <w:rPr>
          <w:rFonts w:eastAsiaTheme="minorHAnsi"/>
          <w:color w:val="auto"/>
          <w:sz w:val="26"/>
          <w:szCs w:val="26"/>
        </w:rPr>
        <w:t>Šobrīd Regulatora budžets tiek apstiprināts Saeimā likuma par budžetu kārtējam gadam ietvaros, savukārt saskaņā ar Likumu par budžetu un finanšu vadību Regulatora budžeta pieprasījums, ievērojot normatīvajos aktos ietvertos nosacījumus, līdz gadskārtējā budžeta likuma projekta iesniegšanai Ministru kabinetam bez Regulatora piekrišanas nav grozāms.</w:t>
      </w:r>
    </w:p>
    <w:p w14:paraId="48BAAF4A" w14:textId="77777777" w:rsidR="00FE2791" w:rsidRPr="00AF170D" w:rsidRDefault="004B0334" w:rsidP="00194BD3">
      <w:pPr>
        <w:spacing w:before="60" w:after="60"/>
        <w:ind w:firstLine="720"/>
        <w:jc w:val="both"/>
        <w:rPr>
          <w:rFonts w:eastAsiaTheme="minorHAnsi"/>
          <w:color w:val="auto"/>
          <w:sz w:val="26"/>
          <w:szCs w:val="26"/>
        </w:rPr>
      </w:pPr>
      <w:r w:rsidRPr="00AF170D">
        <w:rPr>
          <w:rFonts w:eastAsiaTheme="minorHAnsi"/>
          <w:color w:val="auto"/>
          <w:sz w:val="26"/>
          <w:szCs w:val="26"/>
        </w:rPr>
        <w:t>OECD</w:t>
      </w:r>
      <w:r w:rsidR="005C189E" w:rsidRPr="00AF170D">
        <w:rPr>
          <w:rFonts w:eastAsiaTheme="minorHAnsi"/>
          <w:color w:val="auto"/>
          <w:sz w:val="26"/>
          <w:szCs w:val="26"/>
        </w:rPr>
        <w:t xml:space="preserve"> norāda, ka Regulatoru finansē no valsts nodevas, kuru iekasē no operatoriem, ieskaita </w:t>
      </w:r>
      <w:r w:rsidR="008743E1" w:rsidRPr="00AF170D">
        <w:rPr>
          <w:rFonts w:eastAsiaTheme="minorHAnsi"/>
          <w:color w:val="auto"/>
          <w:sz w:val="26"/>
          <w:szCs w:val="26"/>
        </w:rPr>
        <w:t xml:space="preserve">Regulatora kontā </w:t>
      </w:r>
      <w:r w:rsidR="005C189E" w:rsidRPr="00AF170D">
        <w:rPr>
          <w:rFonts w:eastAsiaTheme="minorHAnsi"/>
          <w:color w:val="auto"/>
          <w:sz w:val="26"/>
          <w:szCs w:val="26"/>
        </w:rPr>
        <w:t>Valsts kasē un kuru apstiprina Saeima, un secina, ka šis process nodrošina neatkarību un pārskatāmību</w:t>
      </w:r>
      <w:r w:rsidRPr="00AF170D">
        <w:rPr>
          <w:rFonts w:eastAsiaTheme="minorHAnsi"/>
          <w:color w:val="auto"/>
          <w:sz w:val="26"/>
          <w:szCs w:val="26"/>
        </w:rPr>
        <w:t>.</w:t>
      </w:r>
      <w:r w:rsidR="000F3DB5" w:rsidRPr="00AF170D">
        <w:rPr>
          <w:rFonts w:eastAsiaTheme="minorHAnsi"/>
          <w:color w:val="auto"/>
          <w:sz w:val="26"/>
          <w:szCs w:val="26"/>
        </w:rPr>
        <w:t xml:space="preserve"> </w:t>
      </w:r>
      <w:r w:rsidRPr="00AF170D">
        <w:rPr>
          <w:rFonts w:eastAsiaTheme="minorHAnsi"/>
          <w:color w:val="auto"/>
          <w:sz w:val="26"/>
          <w:szCs w:val="26"/>
        </w:rPr>
        <w:t xml:space="preserve">Tāpat OECD </w:t>
      </w:r>
      <w:r w:rsidR="000F3DB5" w:rsidRPr="00AF170D">
        <w:rPr>
          <w:rFonts w:eastAsiaTheme="minorHAnsi"/>
          <w:color w:val="auto"/>
          <w:sz w:val="26"/>
          <w:szCs w:val="26"/>
        </w:rPr>
        <w:t>secina</w:t>
      </w:r>
      <w:r w:rsidRPr="00AF170D">
        <w:rPr>
          <w:rFonts w:eastAsiaTheme="minorHAnsi"/>
          <w:color w:val="auto"/>
          <w:sz w:val="26"/>
          <w:szCs w:val="26"/>
        </w:rPr>
        <w:t xml:space="preserve">, ka Regulatoru, līdzīgi kā pārējās valsts iestādes, </w:t>
      </w:r>
      <w:r w:rsidR="00FE2791" w:rsidRPr="00AF170D">
        <w:rPr>
          <w:rFonts w:eastAsiaTheme="minorHAnsi"/>
          <w:color w:val="auto"/>
          <w:sz w:val="26"/>
          <w:szCs w:val="26"/>
        </w:rPr>
        <w:t xml:space="preserve">katru gadu </w:t>
      </w:r>
      <w:r w:rsidRPr="00AF170D">
        <w:rPr>
          <w:rFonts w:eastAsiaTheme="minorHAnsi"/>
          <w:color w:val="auto"/>
          <w:sz w:val="26"/>
          <w:szCs w:val="26"/>
        </w:rPr>
        <w:t xml:space="preserve">pārbauda </w:t>
      </w:r>
      <w:r w:rsidR="00FE2791" w:rsidRPr="00AF170D">
        <w:rPr>
          <w:rFonts w:eastAsiaTheme="minorHAnsi"/>
          <w:color w:val="auto"/>
          <w:sz w:val="26"/>
          <w:szCs w:val="26"/>
        </w:rPr>
        <w:t>Latvijas augstākā uzraudzības iestāde Valsts kontrole</w:t>
      </w:r>
      <w:r w:rsidR="00474D22" w:rsidRPr="00AF170D">
        <w:rPr>
          <w:rFonts w:eastAsiaTheme="minorHAnsi"/>
          <w:color w:val="auto"/>
          <w:sz w:val="26"/>
          <w:szCs w:val="26"/>
        </w:rPr>
        <w:t xml:space="preserve"> un </w:t>
      </w:r>
      <w:r w:rsidR="00FE2791" w:rsidRPr="00AF170D">
        <w:rPr>
          <w:rFonts w:eastAsiaTheme="minorHAnsi"/>
          <w:color w:val="auto"/>
          <w:sz w:val="26"/>
          <w:szCs w:val="26"/>
        </w:rPr>
        <w:t>Regulators katru gadu iesniedz Saeimā zvērināta auditora apstiprinātu darbības un finanšu pārskat</w:t>
      </w:r>
      <w:r w:rsidR="00AF64D9" w:rsidRPr="00AF170D">
        <w:rPr>
          <w:rFonts w:eastAsiaTheme="minorHAnsi"/>
          <w:color w:val="auto"/>
          <w:sz w:val="26"/>
          <w:szCs w:val="26"/>
        </w:rPr>
        <w:t>u.</w:t>
      </w:r>
    </w:p>
    <w:p w14:paraId="3CE37350" w14:textId="77777777" w:rsidR="00FE2791" w:rsidRPr="00AF170D" w:rsidRDefault="000F3DB5" w:rsidP="00194BD3">
      <w:pPr>
        <w:spacing w:before="60" w:after="60"/>
        <w:ind w:firstLine="720"/>
        <w:jc w:val="both"/>
        <w:rPr>
          <w:rFonts w:eastAsiaTheme="minorHAnsi"/>
          <w:color w:val="auto"/>
          <w:sz w:val="26"/>
          <w:szCs w:val="26"/>
        </w:rPr>
      </w:pPr>
      <w:r w:rsidRPr="00AF170D">
        <w:rPr>
          <w:rFonts w:eastAsiaTheme="minorHAnsi"/>
          <w:color w:val="auto"/>
          <w:sz w:val="26"/>
          <w:szCs w:val="26"/>
        </w:rPr>
        <w:lastRenderedPageBreak/>
        <w:t>Vienlaikus</w:t>
      </w:r>
      <w:r w:rsidR="00FE2791" w:rsidRPr="00AF170D">
        <w:rPr>
          <w:rFonts w:eastAsiaTheme="minorHAnsi"/>
          <w:color w:val="auto"/>
          <w:sz w:val="26"/>
          <w:szCs w:val="26"/>
        </w:rPr>
        <w:t xml:space="preserve"> OECD ierosina, </w:t>
      </w:r>
      <w:r w:rsidR="00AF64D9" w:rsidRPr="00AF170D">
        <w:rPr>
          <w:rFonts w:eastAsiaTheme="minorHAnsi"/>
          <w:color w:val="auto"/>
          <w:sz w:val="26"/>
          <w:szCs w:val="26"/>
        </w:rPr>
        <w:t>ka Regulators kopumā varētu regulārāk un formālāk informēt Saeimu par savu darbību un pārrunāt</w:t>
      </w:r>
      <w:r w:rsidR="00A90B63" w:rsidRPr="00AF170D">
        <w:rPr>
          <w:rFonts w:eastAsiaTheme="minorHAnsi"/>
          <w:color w:val="auto"/>
          <w:sz w:val="26"/>
          <w:szCs w:val="26"/>
        </w:rPr>
        <w:t xml:space="preserve"> </w:t>
      </w:r>
      <w:r w:rsidR="000F7DE5" w:rsidRPr="00AF170D">
        <w:rPr>
          <w:rFonts w:eastAsiaTheme="minorHAnsi"/>
          <w:color w:val="auto"/>
          <w:sz w:val="26"/>
          <w:szCs w:val="26"/>
        </w:rPr>
        <w:t xml:space="preserve">arī </w:t>
      </w:r>
      <w:r w:rsidR="00AF64D9" w:rsidRPr="00AF170D">
        <w:rPr>
          <w:rFonts w:eastAsiaTheme="minorHAnsi"/>
          <w:color w:val="auto"/>
          <w:sz w:val="26"/>
          <w:szCs w:val="26"/>
        </w:rPr>
        <w:t>regulējamo nozaru attīstības scenārijus.</w:t>
      </w:r>
      <w:r w:rsidR="00437239" w:rsidRPr="00AF170D">
        <w:rPr>
          <w:rFonts w:eastAsiaTheme="minorHAnsi"/>
          <w:color w:val="auto"/>
          <w:sz w:val="26"/>
          <w:szCs w:val="26"/>
        </w:rPr>
        <w:t xml:space="preserve"> </w:t>
      </w:r>
      <w:r w:rsidRPr="00AF170D">
        <w:rPr>
          <w:rFonts w:eastAsiaTheme="minorHAnsi"/>
          <w:color w:val="auto"/>
          <w:sz w:val="26"/>
          <w:szCs w:val="26"/>
        </w:rPr>
        <w:t>Attiecīgi</w:t>
      </w:r>
      <w:r w:rsidR="00437239" w:rsidRPr="00AF170D">
        <w:rPr>
          <w:rFonts w:eastAsiaTheme="minorHAnsi"/>
          <w:color w:val="auto"/>
          <w:sz w:val="26"/>
          <w:szCs w:val="26"/>
        </w:rPr>
        <w:t xml:space="preserve">, lai uzlabotu Regulatora darba pārskatāmību, varētu paredzēt ikgadējas Regulatora un Saeimas </w:t>
      </w:r>
      <w:r w:rsidR="00110148" w:rsidRPr="00AF170D">
        <w:rPr>
          <w:rStyle w:val="Emphasis"/>
          <w:i w:val="0"/>
          <w:sz w:val="26"/>
          <w:szCs w:val="26"/>
        </w:rPr>
        <w:t>Tautsaimniecības</w:t>
      </w:r>
      <w:r w:rsidR="00110148" w:rsidRPr="00AF170D">
        <w:rPr>
          <w:rStyle w:val="st"/>
          <w:sz w:val="26"/>
          <w:szCs w:val="26"/>
        </w:rPr>
        <w:t xml:space="preserve">, agrārās, vides un reģionālās politikas </w:t>
      </w:r>
      <w:r w:rsidR="00110148" w:rsidRPr="00AF170D">
        <w:rPr>
          <w:rStyle w:val="Emphasis"/>
          <w:i w:val="0"/>
          <w:sz w:val="26"/>
          <w:szCs w:val="26"/>
        </w:rPr>
        <w:t>komisija</w:t>
      </w:r>
      <w:r w:rsidR="00437239" w:rsidRPr="00AF170D">
        <w:rPr>
          <w:rStyle w:val="Emphasis"/>
          <w:i w:val="0"/>
          <w:sz w:val="26"/>
          <w:szCs w:val="26"/>
        </w:rPr>
        <w:t>s tikšanās.</w:t>
      </w:r>
      <w:r w:rsidR="006A2E86" w:rsidRPr="00AF170D">
        <w:rPr>
          <w:rStyle w:val="Emphasis"/>
          <w:i w:val="0"/>
          <w:sz w:val="26"/>
          <w:szCs w:val="26"/>
        </w:rPr>
        <w:t xml:space="preserve"> Tādējādi Regulators varētu savlaicīgi un pārskatāmi iepazīstināt Saeimu ar savas darbības aktualitātēm un iespējamām problēmām. Periodiski Regulators var</w:t>
      </w:r>
      <w:r w:rsidR="00ED67EB" w:rsidRPr="00AF170D">
        <w:rPr>
          <w:rStyle w:val="Emphasis"/>
          <w:i w:val="0"/>
          <w:sz w:val="26"/>
          <w:szCs w:val="26"/>
        </w:rPr>
        <w:t>ētu</w:t>
      </w:r>
      <w:r w:rsidR="006A2E86" w:rsidRPr="00AF170D">
        <w:rPr>
          <w:rStyle w:val="Emphasis"/>
          <w:i w:val="0"/>
          <w:sz w:val="26"/>
          <w:szCs w:val="26"/>
        </w:rPr>
        <w:t xml:space="preserve"> veikt arī papildu neatkarīgu savas darbības vērtējumu. </w:t>
      </w:r>
    </w:p>
    <w:p w14:paraId="7CCB9E33" w14:textId="77777777" w:rsidR="00474D22" w:rsidRPr="00AF170D" w:rsidRDefault="00A93726" w:rsidP="00BC06A7">
      <w:pPr>
        <w:spacing w:before="60" w:after="60"/>
        <w:ind w:firstLine="720"/>
        <w:jc w:val="both"/>
        <w:rPr>
          <w:rFonts w:eastAsiaTheme="minorHAnsi"/>
          <w:color w:val="auto"/>
          <w:sz w:val="26"/>
          <w:szCs w:val="26"/>
        </w:rPr>
      </w:pPr>
      <w:r w:rsidRPr="00AF170D">
        <w:rPr>
          <w:rFonts w:eastAsiaTheme="minorHAnsi"/>
          <w:color w:val="auto"/>
          <w:sz w:val="26"/>
          <w:szCs w:val="26"/>
        </w:rPr>
        <w:t>Darba grupas ieskat</w:t>
      </w:r>
      <w:r w:rsidR="00DE469F" w:rsidRPr="00AF170D">
        <w:rPr>
          <w:rFonts w:eastAsiaTheme="minorHAnsi"/>
          <w:color w:val="auto"/>
          <w:sz w:val="26"/>
          <w:szCs w:val="26"/>
        </w:rPr>
        <w:t>ā</w:t>
      </w:r>
      <w:r w:rsidR="00BC06A7" w:rsidRPr="00AF170D">
        <w:rPr>
          <w:rFonts w:eastAsiaTheme="minorHAnsi"/>
          <w:color w:val="auto"/>
          <w:sz w:val="26"/>
          <w:szCs w:val="26"/>
        </w:rPr>
        <w:t xml:space="preserve">  </w:t>
      </w:r>
      <w:r w:rsidR="00ED67EB" w:rsidRPr="00AF170D">
        <w:rPr>
          <w:rFonts w:eastAsiaTheme="minorHAnsi"/>
          <w:color w:val="auto"/>
          <w:sz w:val="26"/>
          <w:szCs w:val="26"/>
        </w:rPr>
        <w:t xml:space="preserve">augstāk minētie </w:t>
      </w:r>
      <w:r w:rsidR="00BC06A7" w:rsidRPr="00AF170D">
        <w:rPr>
          <w:rFonts w:eastAsiaTheme="minorHAnsi"/>
          <w:color w:val="auto"/>
          <w:sz w:val="26"/>
          <w:szCs w:val="26"/>
        </w:rPr>
        <w:t>OECD priekšlikum</w:t>
      </w:r>
      <w:r w:rsidR="00ED67EB" w:rsidRPr="00AF170D">
        <w:rPr>
          <w:rFonts w:eastAsiaTheme="minorHAnsi"/>
          <w:color w:val="auto"/>
          <w:sz w:val="26"/>
          <w:szCs w:val="26"/>
        </w:rPr>
        <w:t>i</w:t>
      </w:r>
      <w:r w:rsidR="00BC06A7" w:rsidRPr="00AF170D">
        <w:rPr>
          <w:rFonts w:eastAsiaTheme="minorHAnsi"/>
          <w:color w:val="auto"/>
          <w:sz w:val="26"/>
          <w:szCs w:val="26"/>
        </w:rPr>
        <w:t xml:space="preserve"> </w:t>
      </w:r>
      <w:r w:rsidR="000F7DE5" w:rsidRPr="00AF170D">
        <w:rPr>
          <w:rFonts w:eastAsiaTheme="minorHAnsi"/>
          <w:color w:val="auto"/>
          <w:sz w:val="26"/>
          <w:szCs w:val="26"/>
        </w:rPr>
        <w:t>uzlabot</w:t>
      </w:r>
      <w:r w:rsidR="00BC06A7" w:rsidRPr="00AF170D">
        <w:rPr>
          <w:rFonts w:eastAsiaTheme="minorHAnsi"/>
          <w:color w:val="auto"/>
          <w:sz w:val="26"/>
          <w:szCs w:val="26"/>
        </w:rPr>
        <w:t xml:space="preserve"> </w:t>
      </w:r>
      <w:r w:rsidR="00ED67EB" w:rsidRPr="00AF170D">
        <w:rPr>
          <w:rFonts w:eastAsiaTheme="minorHAnsi"/>
          <w:color w:val="auto"/>
          <w:sz w:val="26"/>
          <w:szCs w:val="26"/>
        </w:rPr>
        <w:t>pārskatāma</w:t>
      </w:r>
      <w:r w:rsidR="00BC06A7" w:rsidRPr="00AF170D">
        <w:rPr>
          <w:sz w:val="26"/>
          <w:szCs w:val="26"/>
        </w:rPr>
        <w:t xml:space="preserve"> mehānisma izveidi Regulatora </w:t>
      </w:r>
      <w:r w:rsidR="00474D22" w:rsidRPr="00AF170D">
        <w:rPr>
          <w:sz w:val="26"/>
          <w:szCs w:val="26"/>
        </w:rPr>
        <w:t>budžeta izpildes uzraudzībai</w:t>
      </w:r>
      <w:r w:rsidR="00BC06A7" w:rsidRPr="00AF170D">
        <w:rPr>
          <w:sz w:val="26"/>
          <w:szCs w:val="26"/>
        </w:rPr>
        <w:t xml:space="preserve"> </w:t>
      </w:r>
      <w:r w:rsidR="00BC06A7" w:rsidRPr="00AF170D">
        <w:rPr>
          <w:rFonts w:eastAsiaTheme="minorHAnsi"/>
          <w:color w:val="auto"/>
          <w:sz w:val="26"/>
          <w:szCs w:val="26"/>
        </w:rPr>
        <w:t>kopumā būtu atbalstām</w:t>
      </w:r>
      <w:r w:rsidR="00613D33" w:rsidRPr="00AF170D">
        <w:rPr>
          <w:rFonts w:eastAsiaTheme="minorHAnsi"/>
          <w:color w:val="auto"/>
          <w:sz w:val="26"/>
          <w:szCs w:val="26"/>
        </w:rPr>
        <w:t>i</w:t>
      </w:r>
      <w:r w:rsidR="001D2B41" w:rsidRPr="00AF170D">
        <w:rPr>
          <w:rFonts w:eastAsiaTheme="minorHAnsi"/>
          <w:color w:val="auto"/>
          <w:sz w:val="26"/>
          <w:szCs w:val="26"/>
        </w:rPr>
        <w:t xml:space="preserve"> un atrunājami Likumā</w:t>
      </w:r>
      <w:r w:rsidR="00BC06A7" w:rsidRPr="00AF170D">
        <w:rPr>
          <w:rFonts w:eastAsiaTheme="minorHAnsi"/>
          <w:color w:val="auto"/>
          <w:sz w:val="26"/>
          <w:szCs w:val="26"/>
        </w:rPr>
        <w:t xml:space="preserve">. </w:t>
      </w:r>
    </w:p>
    <w:p w14:paraId="2A80F813" w14:textId="77777777" w:rsidR="00A93726" w:rsidRPr="00AF170D" w:rsidRDefault="00620A2A" w:rsidP="00C226B3">
      <w:pPr>
        <w:spacing w:before="60" w:after="60"/>
        <w:ind w:firstLine="720"/>
        <w:jc w:val="both"/>
        <w:rPr>
          <w:rFonts w:eastAsiaTheme="minorHAnsi"/>
          <w:color w:val="auto"/>
          <w:sz w:val="26"/>
          <w:szCs w:val="26"/>
        </w:rPr>
      </w:pPr>
      <w:r w:rsidRPr="00AF170D">
        <w:rPr>
          <w:rFonts w:eastAsiaTheme="minorHAnsi"/>
          <w:color w:val="auto"/>
          <w:sz w:val="26"/>
          <w:szCs w:val="26"/>
        </w:rPr>
        <w:t>Darba grupas ieskatā Regulatora budžeta izpildes uzraudzīb</w:t>
      </w:r>
      <w:r w:rsidR="00ED67EB" w:rsidRPr="00AF170D">
        <w:rPr>
          <w:rFonts w:eastAsiaTheme="minorHAnsi"/>
          <w:color w:val="auto"/>
          <w:sz w:val="26"/>
          <w:szCs w:val="26"/>
        </w:rPr>
        <w:t>u</w:t>
      </w:r>
      <w:r w:rsidRPr="00AF170D">
        <w:rPr>
          <w:rFonts w:eastAsiaTheme="minorHAnsi"/>
          <w:color w:val="auto"/>
          <w:sz w:val="26"/>
          <w:szCs w:val="26"/>
        </w:rPr>
        <w:t xml:space="preserve"> būtu </w:t>
      </w:r>
      <w:r w:rsidR="00AC2FDB" w:rsidRPr="00AF170D">
        <w:rPr>
          <w:rFonts w:eastAsiaTheme="minorHAnsi"/>
          <w:color w:val="auto"/>
          <w:sz w:val="26"/>
          <w:szCs w:val="26"/>
        </w:rPr>
        <w:t xml:space="preserve">iespējams </w:t>
      </w:r>
      <w:r w:rsidRPr="00AF170D">
        <w:rPr>
          <w:rFonts w:eastAsiaTheme="minorHAnsi"/>
          <w:color w:val="auto"/>
          <w:sz w:val="26"/>
          <w:szCs w:val="26"/>
        </w:rPr>
        <w:t>stiprinā</w:t>
      </w:r>
      <w:r w:rsidR="00AC2FDB" w:rsidRPr="00AF170D">
        <w:rPr>
          <w:rFonts w:eastAsiaTheme="minorHAnsi"/>
          <w:color w:val="auto"/>
          <w:sz w:val="26"/>
          <w:szCs w:val="26"/>
        </w:rPr>
        <w:t>t</w:t>
      </w:r>
      <w:r w:rsidRPr="00AF170D">
        <w:rPr>
          <w:rFonts w:eastAsiaTheme="minorHAnsi"/>
          <w:color w:val="auto"/>
          <w:sz w:val="26"/>
          <w:szCs w:val="26"/>
        </w:rPr>
        <w:t xml:space="preserve">, </w:t>
      </w:r>
      <w:r w:rsidR="00ED67EB" w:rsidRPr="00AF170D">
        <w:rPr>
          <w:rFonts w:eastAsiaTheme="minorHAnsi"/>
          <w:color w:val="auto"/>
          <w:sz w:val="26"/>
          <w:szCs w:val="26"/>
        </w:rPr>
        <w:t xml:space="preserve">arī </w:t>
      </w:r>
      <w:r w:rsidR="00602948" w:rsidRPr="00AF170D">
        <w:rPr>
          <w:rFonts w:eastAsiaTheme="minorHAnsi"/>
          <w:color w:val="auto"/>
          <w:sz w:val="26"/>
          <w:szCs w:val="26"/>
        </w:rPr>
        <w:t>paredzot</w:t>
      </w:r>
      <w:r w:rsidRPr="00AF170D">
        <w:rPr>
          <w:rFonts w:eastAsiaTheme="minorHAnsi"/>
          <w:color w:val="auto"/>
          <w:sz w:val="26"/>
          <w:szCs w:val="26"/>
        </w:rPr>
        <w:t xml:space="preserve"> Regulatoram </w:t>
      </w:r>
      <w:r w:rsidR="006B4E86" w:rsidRPr="00AF170D">
        <w:rPr>
          <w:rFonts w:eastAsiaTheme="minorHAnsi"/>
          <w:color w:val="auto"/>
          <w:sz w:val="26"/>
          <w:szCs w:val="26"/>
        </w:rPr>
        <w:t>L</w:t>
      </w:r>
      <w:r w:rsidRPr="00AF170D">
        <w:rPr>
          <w:rFonts w:eastAsiaTheme="minorHAnsi"/>
          <w:color w:val="auto"/>
          <w:sz w:val="26"/>
          <w:szCs w:val="26"/>
        </w:rPr>
        <w:t xml:space="preserve">ikumā </w:t>
      </w:r>
      <w:r w:rsidR="00602948" w:rsidRPr="00AF170D">
        <w:rPr>
          <w:rFonts w:eastAsiaTheme="minorHAnsi"/>
          <w:color w:val="auto"/>
          <w:sz w:val="26"/>
          <w:szCs w:val="26"/>
        </w:rPr>
        <w:t xml:space="preserve">pienākumu </w:t>
      </w:r>
      <w:r w:rsidR="00DE469F" w:rsidRPr="00AF170D">
        <w:rPr>
          <w:rFonts w:eastAsiaTheme="minorHAnsi"/>
          <w:color w:val="auto"/>
          <w:sz w:val="26"/>
          <w:szCs w:val="26"/>
        </w:rPr>
        <w:t>ne tikai</w:t>
      </w:r>
      <w:r w:rsidRPr="00AF170D">
        <w:rPr>
          <w:sz w:val="26"/>
          <w:szCs w:val="26"/>
        </w:rPr>
        <w:t xml:space="preserve"> </w:t>
      </w:r>
      <w:r w:rsidRPr="00AF170D">
        <w:rPr>
          <w:rFonts w:eastAsiaTheme="minorHAnsi"/>
          <w:color w:val="auto"/>
          <w:sz w:val="26"/>
          <w:szCs w:val="26"/>
        </w:rPr>
        <w:t xml:space="preserve">iesniegt Saeimai rakstveida pārskatu par savu darbību iepriekšējā gadā un zvērināta revidenta pārbaudītu pilnu finanšu pārskatu, bet arī atskaitīties </w:t>
      </w:r>
      <w:r w:rsidR="00DE469F" w:rsidRPr="00AF170D">
        <w:rPr>
          <w:rFonts w:eastAsiaTheme="minorHAnsi"/>
          <w:color w:val="auto"/>
          <w:sz w:val="26"/>
          <w:szCs w:val="26"/>
        </w:rPr>
        <w:t xml:space="preserve">Saeimai </w:t>
      </w:r>
      <w:r w:rsidRPr="00AF170D">
        <w:rPr>
          <w:rFonts w:eastAsiaTheme="minorHAnsi"/>
          <w:color w:val="auto"/>
          <w:sz w:val="26"/>
          <w:szCs w:val="26"/>
        </w:rPr>
        <w:t xml:space="preserve">par </w:t>
      </w:r>
      <w:r w:rsidR="00DE469F" w:rsidRPr="00AF170D">
        <w:rPr>
          <w:rFonts w:eastAsiaTheme="minorHAnsi"/>
          <w:color w:val="auto"/>
          <w:sz w:val="26"/>
          <w:szCs w:val="26"/>
        </w:rPr>
        <w:t>apstiprinātā</w:t>
      </w:r>
      <w:r w:rsidRPr="00AF170D">
        <w:rPr>
          <w:rFonts w:eastAsiaTheme="minorHAnsi"/>
          <w:color w:val="auto"/>
          <w:sz w:val="26"/>
          <w:szCs w:val="26"/>
        </w:rPr>
        <w:t xml:space="preserve"> budžeta izpildi.</w:t>
      </w:r>
    </w:p>
    <w:p w14:paraId="30B9B9F5" w14:textId="77777777" w:rsidR="00194BD3" w:rsidRPr="00E84ABC" w:rsidRDefault="00194BD3" w:rsidP="00194BD3">
      <w:pPr>
        <w:spacing w:before="60" w:after="60"/>
        <w:ind w:firstLine="720"/>
        <w:jc w:val="both"/>
        <w:rPr>
          <w:rFonts w:eastAsiaTheme="minorHAnsi"/>
          <w:color w:val="auto"/>
          <w:sz w:val="26"/>
          <w:szCs w:val="26"/>
        </w:rPr>
      </w:pPr>
    </w:p>
    <w:p w14:paraId="601FC9AA" w14:textId="77777777" w:rsidR="00D00311" w:rsidRPr="00E84ABC" w:rsidRDefault="00D00311" w:rsidP="00E864A1">
      <w:pPr>
        <w:pStyle w:val="Heading1"/>
        <w:numPr>
          <w:ilvl w:val="0"/>
          <w:numId w:val="18"/>
        </w:numPr>
        <w:spacing w:before="60" w:after="60"/>
        <w:ind w:left="567" w:hanging="567"/>
        <w:rPr>
          <w:sz w:val="26"/>
          <w:szCs w:val="26"/>
        </w:rPr>
      </w:pPr>
      <w:r w:rsidRPr="00E84ABC">
        <w:rPr>
          <w:sz w:val="26"/>
          <w:szCs w:val="26"/>
        </w:rPr>
        <w:t>Secinājumi</w:t>
      </w:r>
    </w:p>
    <w:p w14:paraId="3E885A8C" w14:textId="77777777" w:rsidR="003B3756" w:rsidRPr="00AF170D" w:rsidRDefault="000378F9" w:rsidP="00194BD3">
      <w:pPr>
        <w:pStyle w:val="NoSpacing"/>
        <w:spacing w:before="60" w:after="60"/>
        <w:jc w:val="both"/>
        <w:rPr>
          <w:rFonts w:ascii="Times New Roman" w:hAnsi="Times New Roman"/>
          <w:sz w:val="26"/>
          <w:szCs w:val="26"/>
        </w:rPr>
      </w:pPr>
      <w:r w:rsidRPr="00AF170D">
        <w:rPr>
          <w:rFonts w:ascii="Times New Roman" w:hAnsi="Times New Roman"/>
          <w:sz w:val="26"/>
          <w:szCs w:val="26"/>
        </w:rPr>
        <w:t xml:space="preserve">Lai nodrošinātu Regulatora ilgtspējīgu finansējumu un veiktu tālākās darbības, nepieciešams: </w:t>
      </w:r>
    </w:p>
    <w:p w14:paraId="100673E5" w14:textId="77777777" w:rsidR="003B3756" w:rsidRPr="0099025A" w:rsidRDefault="00C9380C" w:rsidP="0099025A">
      <w:pPr>
        <w:pStyle w:val="ListParagraph"/>
        <w:numPr>
          <w:ilvl w:val="0"/>
          <w:numId w:val="10"/>
        </w:numPr>
        <w:rPr>
          <w:rFonts w:eastAsia="Calibri"/>
          <w:color w:val="auto"/>
          <w:sz w:val="26"/>
          <w:szCs w:val="26"/>
          <w:lang w:eastAsia="en-US"/>
        </w:rPr>
      </w:pPr>
      <w:r>
        <w:rPr>
          <w:sz w:val="26"/>
          <w:szCs w:val="26"/>
        </w:rPr>
        <w:t xml:space="preserve">atbalstīt </w:t>
      </w:r>
      <w:r w:rsidR="00A92838">
        <w:rPr>
          <w:sz w:val="26"/>
          <w:szCs w:val="26"/>
        </w:rPr>
        <w:t>Ziņojuma</w:t>
      </w:r>
      <w:r w:rsidR="0099025A" w:rsidRPr="0099025A">
        <w:rPr>
          <w:sz w:val="26"/>
          <w:szCs w:val="26"/>
        </w:rPr>
        <w:t xml:space="preserve"> 4.nodaļā</w:t>
      </w:r>
      <w:r w:rsidR="0099025A" w:rsidRPr="0099025A">
        <w:t xml:space="preserve"> </w:t>
      </w:r>
      <w:r w:rsidR="0099025A">
        <w:t>“</w:t>
      </w:r>
      <w:r w:rsidR="0099025A" w:rsidRPr="0099025A">
        <w:rPr>
          <w:rFonts w:eastAsia="Calibri"/>
          <w:color w:val="auto"/>
          <w:sz w:val="26"/>
          <w:szCs w:val="26"/>
          <w:lang w:eastAsia="en-US"/>
        </w:rPr>
        <w:t>Priekšlikumi Sabiedrisko pakalpojumu regulēšanas komisijas darbības finansēšanas modeļa pilnveidošan</w:t>
      </w:r>
      <w:r w:rsidR="0099025A">
        <w:rPr>
          <w:rFonts w:eastAsia="Calibri"/>
          <w:color w:val="auto"/>
          <w:sz w:val="26"/>
          <w:szCs w:val="26"/>
          <w:lang w:eastAsia="en-US"/>
        </w:rPr>
        <w:t>ai”</w:t>
      </w:r>
      <w:r w:rsidR="00D00311" w:rsidRPr="0099025A">
        <w:rPr>
          <w:sz w:val="26"/>
          <w:szCs w:val="26"/>
        </w:rPr>
        <w:t xml:space="preserve"> </w:t>
      </w:r>
      <w:r w:rsidR="00577A8B" w:rsidRPr="0099025A">
        <w:rPr>
          <w:sz w:val="26"/>
          <w:szCs w:val="26"/>
        </w:rPr>
        <w:t>piedāvāto Regulatora darbības finansēšanas modeli</w:t>
      </w:r>
      <w:r w:rsidR="003B3756" w:rsidRPr="0099025A">
        <w:rPr>
          <w:sz w:val="26"/>
          <w:szCs w:val="26"/>
        </w:rPr>
        <w:t>;</w:t>
      </w:r>
    </w:p>
    <w:p w14:paraId="6298D328" w14:textId="77777777" w:rsidR="0058190C" w:rsidRDefault="00BA041E" w:rsidP="0058190C">
      <w:pPr>
        <w:pStyle w:val="NoSpacing"/>
        <w:numPr>
          <w:ilvl w:val="0"/>
          <w:numId w:val="10"/>
        </w:numPr>
        <w:spacing w:before="60" w:after="60"/>
        <w:jc w:val="both"/>
        <w:rPr>
          <w:rFonts w:ascii="Times New Roman" w:hAnsi="Times New Roman"/>
          <w:sz w:val="26"/>
          <w:szCs w:val="26"/>
        </w:rPr>
      </w:pPr>
      <w:r w:rsidRPr="00AF170D">
        <w:rPr>
          <w:rFonts w:ascii="Times New Roman" w:hAnsi="Times New Roman"/>
          <w:sz w:val="26"/>
          <w:szCs w:val="26"/>
        </w:rPr>
        <w:t>uzdot</w:t>
      </w:r>
      <w:r w:rsidR="00D00311" w:rsidRPr="00AF170D">
        <w:rPr>
          <w:rFonts w:ascii="Times New Roman" w:hAnsi="Times New Roman"/>
          <w:sz w:val="26"/>
          <w:szCs w:val="26"/>
        </w:rPr>
        <w:t xml:space="preserve"> Ekonomikas ministrijai </w:t>
      </w:r>
      <w:r w:rsidRPr="00AF170D">
        <w:rPr>
          <w:rFonts w:ascii="Times New Roman" w:hAnsi="Times New Roman"/>
          <w:sz w:val="26"/>
          <w:szCs w:val="26"/>
        </w:rPr>
        <w:t xml:space="preserve">sadarbībā ar Regulatoru līdz </w:t>
      </w:r>
      <w:r w:rsidR="005D2F99" w:rsidRPr="00AF170D">
        <w:rPr>
          <w:rFonts w:ascii="Times New Roman" w:hAnsi="Times New Roman"/>
          <w:sz w:val="26"/>
          <w:szCs w:val="26"/>
        </w:rPr>
        <w:t>201</w:t>
      </w:r>
      <w:r w:rsidR="005D2F99">
        <w:rPr>
          <w:rFonts w:ascii="Times New Roman" w:hAnsi="Times New Roman"/>
          <w:sz w:val="26"/>
          <w:szCs w:val="26"/>
        </w:rPr>
        <w:t>8</w:t>
      </w:r>
      <w:r w:rsidR="004C5C67" w:rsidRPr="00AF170D">
        <w:rPr>
          <w:rFonts w:ascii="Times New Roman" w:hAnsi="Times New Roman"/>
          <w:sz w:val="26"/>
          <w:szCs w:val="26"/>
        </w:rPr>
        <w:t>.gada 1.</w:t>
      </w:r>
      <w:r w:rsidR="005D2F99">
        <w:rPr>
          <w:rFonts w:ascii="Times New Roman" w:hAnsi="Times New Roman"/>
          <w:sz w:val="26"/>
          <w:szCs w:val="26"/>
        </w:rPr>
        <w:t>janvārim</w:t>
      </w:r>
      <w:r w:rsidR="005D2F99" w:rsidRPr="00AF170D">
        <w:rPr>
          <w:rFonts w:ascii="Times New Roman" w:hAnsi="Times New Roman"/>
          <w:sz w:val="26"/>
          <w:szCs w:val="26"/>
        </w:rPr>
        <w:t xml:space="preserve"> </w:t>
      </w:r>
      <w:r w:rsidR="00D00311" w:rsidRPr="00AF170D">
        <w:rPr>
          <w:rFonts w:ascii="Times New Roman" w:hAnsi="Times New Roman"/>
          <w:sz w:val="26"/>
          <w:szCs w:val="26"/>
        </w:rPr>
        <w:t>sagatavo</w:t>
      </w:r>
      <w:r w:rsidR="006C2339" w:rsidRPr="00AF170D">
        <w:rPr>
          <w:rFonts w:ascii="Times New Roman" w:hAnsi="Times New Roman"/>
          <w:sz w:val="26"/>
          <w:szCs w:val="26"/>
        </w:rPr>
        <w:t xml:space="preserve">t un iesniegt Ministru kabinetā </w:t>
      </w:r>
      <w:r w:rsidR="00A92838">
        <w:rPr>
          <w:rFonts w:ascii="Times New Roman" w:hAnsi="Times New Roman"/>
          <w:sz w:val="26"/>
          <w:szCs w:val="26"/>
        </w:rPr>
        <w:t>Z</w:t>
      </w:r>
      <w:r w:rsidR="0099025A">
        <w:rPr>
          <w:rFonts w:ascii="Times New Roman" w:hAnsi="Times New Roman"/>
          <w:sz w:val="26"/>
          <w:szCs w:val="26"/>
        </w:rPr>
        <w:t>iņojuma</w:t>
      </w:r>
      <w:r w:rsidR="0099025A" w:rsidRPr="0099025A">
        <w:rPr>
          <w:rFonts w:ascii="Times New Roman" w:hAnsi="Times New Roman"/>
          <w:sz w:val="26"/>
          <w:szCs w:val="26"/>
        </w:rPr>
        <w:t xml:space="preserve"> 4.nodaļā “Priekšlikumi Sabiedrisko pakalpojumu regulēšanas komisijas darbības finansēšanas m</w:t>
      </w:r>
      <w:r w:rsidR="0099025A">
        <w:rPr>
          <w:rFonts w:ascii="Times New Roman" w:hAnsi="Times New Roman"/>
          <w:sz w:val="26"/>
          <w:szCs w:val="26"/>
        </w:rPr>
        <w:t xml:space="preserve">odeļa pilnveidošanai” minētajam </w:t>
      </w:r>
      <w:r w:rsidR="0099025A" w:rsidRPr="0099025A">
        <w:rPr>
          <w:rFonts w:ascii="Times New Roman" w:hAnsi="Times New Roman"/>
          <w:sz w:val="26"/>
          <w:szCs w:val="26"/>
        </w:rPr>
        <w:t>finansēšanas modeli</w:t>
      </w:r>
      <w:r w:rsidR="0099025A">
        <w:rPr>
          <w:rFonts w:ascii="Times New Roman" w:hAnsi="Times New Roman"/>
          <w:sz w:val="26"/>
          <w:szCs w:val="26"/>
        </w:rPr>
        <w:t xml:space="preserve">m </w:t>
      </w:r>
      <w:r w:rsidR="00602948" w:rsidRPr="00AF170D">
        <w:rPr>
          <w:rFonts w:ascii="Times New Roman" w:hAnsi="Times New Roman"/>
          <w:sz w:val="26"/>
          <w:szCs w:val="26"/>
        </w:rPr>
        <w:t>atbilstošus Likuma grozījumus</w:t>
      </w:r>
      <w:r w:rsidR="00A92838">
        <w:rPr>
          <w:rFonts w:ascii="Times New Roman" w:hAnsi="Times New Roman"/>
          <w:sz w:val="26"/>
          <w:szCs w:val="26"/>
        </w:rPr>
        <w:t xml:space="preserve">, </w:t>
      </w:r>
      <w:r w:rsidR="0058190C">
        <w:rPr>
          <w:rFonts w:ascii="Times New Roman" w:hAnsi="Times New Roman"/>
          <w:sz w:val="26"/>
          <w:szCs w:val="26"/>
        </w:rPr>
        <w:t xml:space="preserve">lai risinātu jautājumus par: </w:t>
      </w:r>
    </w:p>
    <w:p w14:paraId="1BE9A3DD" w14:textId="77777777" w:rsidR="00D70572" w:rsidRDefault="00D70572" w:rsidP="008E5573">
      <w:pPr>
        <w:pStyle w:val="NoSpacing"/>
        <w:numPr>
          <w:ilvl w:val="0"/>
          <w:numId w:val="23"/>
        </w:numPr>
        <w:ind w:left="1077" w:hanging="357"/>
        <w:jc w:val="both"/>
        <w:rPr>
          <w:rFonts w:ascii="Times New Roman" w:hAnsi="Times New Roman"/>
          <w:sz w:val="26"/>
          <w:szCs w:val="26"/>
        </w:rPr>
      </w:pPr>
      <w:r>
        <w:rPr>
          <w:rFonts w:ascii="Times New Roman" w:hAnsi="Times New Roman"/>
          <w:sz w:val="26"/>
          <w:szCs w:val="26"/>
        </w:rPr>
        <w:t>valsts nodevas uzkrājuma veidošanu;</w:t>
      </w:r>
    </w:p>
    <w:p w14:paraId="4E072237" w14:textId="6CD819D8" w:rsidR="0058190C" w:rsidRPr="008E176F" w:rsidRDefault="0058190C" w:rsidP="008E176F">
      <w:pPr>
        <w:pStyle w:val="NoSpacing"/>
        <w:numPr>
          <w:ilvl w:val="0"/>
          <w:numId w:val="23"/>
        </w:numPr>
        <w:ind w:left="1077" w:hanging="357"/>
        <w:jc w:val="both"/>
        <w:rPr>
          <w:rFonts w:ascii="Times New Roman" w:hAnsi="Times New Roman"/>
          <w:sz w:val="26"/>
          <w:szCs w:val="26"/>
        </w:rPr>
      </w:pPr>
      <w:r>
        <w:rPr>
          <w:rFonts w:ascii="Times New Roman" w:hAnsi="Times New Roman"/>
          <w:sz w:val="26"/>
          <w:szCs w:val="26"/>
        </w:rPr>
        <w:t>minimālās (fiksētās) valsts nodevas apmēru un tās noteikšanas kārtību;</w:t>
      </w:r>
    </w:p>
    <w:p w14:paraId="02B88335" w14:textId="77777777" w:rsidR="002A07CA" w:rsidRPr="008E5573" w:rsidRDefault="0058190C" w:rsidP="008E5573">
      <w:pPr>
        <w:pStyle w:val="NoSpacing"/>
        <w:numPr>
          <w:ilvl w:val="0"/>
          <w:numId w:val="23"/>
        </w:numPr>
        <w:spacing w:after="120"/>
        <w:ind w:left="1077" w:hanging="357"/>
        <w:jc w:val="both"/>
        <w:rPr>
          <w:rFonts w:ascii="Times New Roman" w:hAnsi="Times New Roman"/>
          <w:sz w:val="26"/>
          <w:szCs w:val="26"/>
        </w:rPr>
      </w:pPr>
      <w:r>
        <w:rPr>
          <w:rFonts w:ascii="Times New Roman" w:hAnsi="Times New Roman"/>
          <w:sz w:val="26"/>
          <w:szCs w:val="26"/>
        </w:rPr>
        <w:t>Regulatora budžeta apstiprināšanas un izpildes uzraudzību.</w:t>
      </w:r>
    </w:p>
    <w:p w14:paraId="7B8E38F4" w14:textId="77777777" w:rsidR="00BE4654" w:rsidRDefault="00BE4654" w:rsidP="00676F9A">
      <w:pPr>
        <w:widowControl w:val="0"/>
        <w:jc w:val="both"/>
        <w:rPr>
          <w:color w:val="auto"/>
          <w:sz w:val="18"/>
          <w:szCs w:val="18"/>
        </w:rPr>
      </w:pPr>
    </w:p>
    <w:p w14:paraId="1A2BEB65" w14:textId="77777777" w:rsidR="00EA2E4E" w:rsidRDefault="00EA2E4E" w:rsidP="00C9784C">
      <w:pPr>
        <w:pStyle w:val="Footer"/>
        <w:tabs>
          <w:tab w:val="clear" w:pos="4153"/>
          <w:tab w:val="clear" w:pos="8306"/>
        </w:tabs>
        <w:rPr>
          <w:sz w:val="26"/>
          <w:szCs w:val="26"/>
        </w:rPr>
      </w:pPr>
    </w:p>
    <w:p w14:paraId="21F24AC0" w14:textId="77777777" w:rsidR="00EA2E4E" w:rsidRDefault="00EA2E4E" w:rsidP="00C9784C">
      <w:pPr>
        <w:pStyle w:val="Footer"/>
        <w:tabs>
          <w:tab w:val="clear" w:pos="4153"/>
          <w:tab w:val="clear" w:pos="8306"/>
        </w:tabs>
        <w:rPr>
          <w:sz w:val="26"/>
          <w:szCs w:val="26"/>
        </w:rPr>
      </w:pPr>
    </w:p>
    <w:p w14:paraId="672A5F0C" w14:textId="77777777" w:rsidR="00C9784C" w:rsidRPr="00C9784C" w:rsidRDefault="00C9784C" w:rsidP="00C9784C">
      <w:pPr>
        <w:pStyle w:val="Footer"/>
        <w:tabs>
          <w:tab w:val="clear" w:pos="4153"/>
          <w:tab w:val="clear" w:pos="8306"/>
        </w:tabs>
        <w:rPr>
          <w:sz w:val="26"/>
          <w:szCs w:val="26"/>
        </w:rPr>
      </w:pPr>
      <w:r w:rsidRPr="00C9784C">
        <w:rPr>
          <w:sz w:val="26"/>
          <w:szCs w:val="26"/>
        </w:rPr>
        <w:t>Ministru prezidenta biedrs,</w:t>
      </w:r>
    </w:p>
    <w:p w14:paraId="5F8D2B25" w14:textId="77777777" w:rsidR="00C9784C" w:rsidRPr="00C9784C" w:rsidRDefault="00C9784C" w:rsidP="00C9784C">
      <w:pPr>
        <w:rPr>
          <w:sz w:val="26"/>
          <w:szCs w:val="26"/>
        </w:rPr>
      </w:pPr>
      <w:r w:rsidRPr="00C9784C">
        <w:rPr>
          <w:sz w:val="26"/>
          <w:szCs w:val="26"/>
        </w:rPr>
        <w:t>ekonomikas ministrs</w:t>
      </w:r>
      <w:r w:rsidRPr="00C9784C">
        <w:rPr>
          <w:sz w:val="26"/>
          <w:szCs w:val="26"/>
        </w:rPr>
        <w:tab/>
      </w:r>
      <w:r w:rsidRPr="00C9784C">
        <w:rPr>
          <w:sz w:val="26"/>
          <w:szCs w:val="26"/>
        </w:rPr>
        <w:tab/>
      </w:r>
      <w:r w:rsidRPr="00C9784C">
        <w:rPr>
          <w:sz w:val="26"/>
          <w:szCs w:val="26"/>
        </w:rPr>
        <w:tab/>
      </w:r>
      <w:r w:rsidRPr="00C9784C">
        <w:rPr>
          <w:sz w:val="26"/>
          <w:szCs w:val="26"/>
        </w:rPr>
        <w:tab/>
      </w:r>
      <w:r>
        <w:rPr>
          <w:sz w:val="26"/>
          <w:szCs w:val="26"/>
        </w:rPr>
        <w:tab/>
      </w:r>
      <w:r>
        <w:rPr>
          <w:sz w:val="26"/>
          <w:szCs w:val="26"/>
        </w:rPr>
        <w:tab/>
      </w:r>
      <w:r>
        <w:rPr>
          <w:sz w:val="26"/>
          <w:szCs w:val="26"/>
        </w:rPr>
        <w:tab/>
      </w:r>
      <w:r w:rsidRPr="00C9784C">
        <w:rPr>
          <w:sz w:val="26"/>
          <w:szCs w:val="26"/>
        </w:rPr>
        <w:tab/>
      </w:r>
      <w:r w:rsidRPr="00C9784C">
        <w:rPr>
          <w:sz w:val="26"/>
          <w:szCs w:val="26"/>
        </w:rPr>
        <w:tab/>
        <w:t>A.Ašeradens</w:t>
      </w:r>
    </w:p>
    <w:p w14:paraId="45BD17D6" w14:textId="77777777" w:rsidR="00C9784C" w:rsidRPr="00C9784C" w:rsidRDefault="00C9784C" w:rsidP="00FD0BFB">
      <w:pPr>
        <w:spacing w:before="120"/>
        <w:rPr>
          <w:bCs/>
          <w:sz w:val="26"/>
          <w:szCs w:val="26"/>
        </w:rPr>
      </w:pPr>
    </w:p>
    <w:p w14:paraId="02484E14" w14:textId="77777777" w:rsidR="00C9784C" w:rsidRPr="00C9784C" w:rsidRDefault="00C9784C" w:rsidP="00C9784C">
      <w:pPr>
        <w:rPr>
          <w:bCs/>
          <w:sz w:val="26"/>
          <w:szCs w:val="26"/>
        </w:rPr>
      </w:pPr>
      <w:r w:rsidRPr="00C9784C">
        <w:rPr>
          <w:bCs/>
          <w:sz w:val="26"/>
          <w:szCs w:val="26"/>
        </w:rPr>
        <w:t xml:space="preserve">Vīza: </w:t>
      </w:r>
    </w:p>
    <w:p w14:paraId="2AE806DF" w14:textId="77777777" w:rsidR="00C9784C" w:rsidRPr="00C9784C" w:rsidRDefault="00C9784C" w:rsidP="00C9784C">
      <w:pPr>
        <w:rPr>
          <w:bCs/>
          <w:sz w:val="26"/>
          <w:szCs w:val="26"/>
        </w:rPr>
      </w:pPr>
      <w:r w:rsidRPr="00C9784C">
        <w:rPr>
          <w:bCs/>
          <w:sz w:val="26"/>
          <w:szCs w:val="26"/>
        </w:rPr>
        <w:t>Valsts sekretārs</w:t>
      </w:r>
      <w:r w:rsidRPr="00C9784C">
        <w:rPr>
          <w:bCs/>
          <w:sz w:val="26"/>
          <w:szCs w:val="26"/>
        </w:rPr>
        <w:tab/>
      </w:r>
      <w:r w:rsidRPr="00C9784C">
        <w:rPr>
          <w:bCs/>
          <w:sz w:val="26"/>
          <w:szCs w:val="26"/>
        </w:rPr>
        <w:tab/>
      </w:r>
      <w:r w:rsidRPr="00C9784C">
        <w:rPr>
          <w:bCs/>
          <w:sz w:val="26"/>
          <w:szCs w:val="26"/>
        </w:rPr>
        <w:tab/>
      </w:r>
      <w:r w:rsidRPr="00C9784C">
        <w:rPr>
          <w:bCs/>
          <w:sz w:val="26"/>
          <w:szCs w:val="26"/>
        </w:rPr>
        <w:tab/>
      </w:r>
      <w:r w:rsidRPr="00C9784C">
        <w:rPr>
          <w:bCs/>
          <w:sz w:val="26"/>
          <w:szCs w:val="26"/>
        </w:rPr>
        <w:tab/>
      </w:r>
      <w:r w:rsidRPr="00C9784C">
        <w:rPr>
          <w:bCs/>
          <w:sz w:val="26"/>
          <w:szCs w:val="26"/>
        </w:rPr>
        <w:tab/>
      </w:r>
      <w:r w:rsidRPr="00C9784C">
        <w:rPr>
          <w:bCs/>
          <w:sz w:val="26"/>
          <w:szCs w:val="26"/>
        </w:rPr>
        <w:tab/>
      </w:r>
      <w:r>
        <w:rPr>
          <w:bCs/>
          <w:sz w:val="26"/>
          <w:szCs w:val="26"/>
        </w:rPr>
        <w:tab/>
      </w:r>
      <w:r>
        <w:rPr>
          <w:bCs/>
          <w:sz w:val="26"/>
          <w:szCs w:val="26"/>
        </w:rPr>
        <w:tab/>
      </w:r>
      <w:r w:rsidRPr="00C9784C">
        <w:rPr>
          <w:bCs/>
          <w:sz w:val="26"/>
          <w:szCs w:val="26"/>
        </w:rPr>
        <w:t>J.Stinka</w:t>
      </w:r>
    </w:p>
    <w:p w14:paraId="225C55EF" w14:textId="77777777" w:rsidR="00C9784C" w:rsidRDefault="00C9784C" w:rsidP="000E44C8">
      <w:pPr>
        <w:pStyle w:val="BodyTextIndent"/>
        <w:suppressAutoHyphens/>
        <w:spacing w:before="120"/>
        <w:ind w:left="0" w:right="-340"/>
        <w:jc w:val="both"/>
        <w:rPr>
          <w:sz w:val="26"/>
          <w:szCs w:val="26"/>
        </w:rPr>
      </w:pPr>
    </w:p>
    <w:p w14:paraId="4B596FCA" w14:textId="777449C9" w:rsidR="00C9784C" w:rsidRPr="003B19A5" w:rsidRDefault="00431E58" w:rsidP="00C9784C">
      <w:pPr>
        <w:rPr>
          <w:sz w:val="20"/>
          <w:szCs w:val="20"/>
        </w:rPr>
      </w:pPr>
      <w:r>
        <w:rPr>
          <w:sz w:val="20"/>
          <w:szCs w:val="20"/>
        </w:rPr>
        <w:t>27</w:t>
      </w:r>
      <w:r w:rsidR="00137FAD">
        <w:rPr>
          <w:sz w:val="20"/>
          <w:szCs w:val="20"/>
        </w:rPr>
        <w:t>.0</w:t>
      </w:r>
      <w:r w:rsidR="00762558">
        <w:rPr>
          <w:sz w:val="20"/>
          <w:szCs w:val="20"/>
        </w:rPr>
        <w:t>7</w:t>
      </w:r>
      <w:r w:rsidR="00C9784C" w:rsidRPr="003B19A5">
        <w:rPr>
          <w:sz w:val="20"/>
          <w:szCs w:val="20"/>
        </w:rPr>
        <w:t>.201</w:t>
      </w:r>
      <w:r w:rsidR="00C9784C">
        <w:rPr>
          <w:sz w:val="20"/>
          <w:szCs w:val="20"/>
        </w:rPr>
        <w:t>7</w:t>
      </w:r>
      <w:r w:rsidR="00137FAD">
        <w:rPr>
          <w:sz w:val="20"/>
          <w:szCs w:val="20"/>
        </w:rPr>
        <w:t xml:space="preserve">. </w:t>
      </w:r>
      <w:r w:rsidR="006E475A">
        <w:rPr>
          <w:sz w:val="20"/>
          <w:szCs w:val="20"/>
        </w:rPr>
        <w:t>1</w:t>
      </w:r>
      <w:r>
        <w:rPr>
          <w:sz w:val="20"/>
          <w:szCs w:val="20"/>
        </w:rPr>
        <w:t>1</w:t>
      </w:r>
      <w:r w:rsidR="00137FAD">
        <w:rPr>
          <w:sz w:val="20"/>
          <w:szCs w:val="20"/>
        </w:rPr>
        <w:t>:</w:t>
      </w:r>
      <w:r w:rsidR="0017676D">
        <w:rPr>
          <w:sz w:val="20"/>
          <w:szCs w:val="20"/>
        </w:rPr>
        <w:t>52</w:t>
      </w:r>
    </w:p>
    <w:p w14:paraId="41227A8A" w14:textId="7432965F" w:rsidR="00C9784C" w:rsidRPr="003B19A5" w:rsidRDefault="0017676D" w:rsidP="00C9784C">
      <w:pPr>
        <w:rPr>
          <w:sz w:val="20"/>
          <w:szCs w:val="20"/>
        </w:rPr>
      </w:pPr>
      <w:fldSimple w:instr=" NUMWORDS  \* MERGEFORMAT ">
        <w:r w:rsidR="00431E58" w:rsidRPr="00431E58">
          <w:rPr>
            <w:noProof/>
            <w:sz w:val="20"/>
            <w:szCs w:val="20"/>
          </w:rPr>
          <w:t>4622</w:t>
        </w:r>
      </w:fldSimple>
    </w:p>
    <w:p w14:paraId="62C3D806" w14:textId="77777777" w:rsidR="00C9784C" w:rsidRDefault="00C9784C" w:rsidP="00C9784C">
      <w:pPr>
        <w:rPr>
          <w:sz w:val="20"/>
          <w:szCs w:val="20"/>
        </w:rPr>
      </w:pPr>
      <w:r>
        <w:rPr>
          <w:sz w:val="20"/>
          <w:szCs w:val="20"/>
        </w:rPr>
        <w:t>J.Stepiņš</w:t>
      </w:r>
    </w:p>
    <w:p w14:paraId="0E433A7F" w14:textId="77777777" w:rsidR="00C9784C" w:rsidRDefault="00C9784C" w:rsidP="00C9784C">
      <w:pPr>
        <w:rPr>
          <w:sz w:val="20"/>
          <w:szCs w:val="20"/>
        </w:rPr>
      </w:pPr>
      <w:r w:rsidRPr="00C9784C">
        <w:rPr>
          <w:sz w:val="20"/>
          <w:szCs w:val="20"/>
        </w:rPr>
        <w:t>67097229</w:t>
      </w:r>
      <w:r>
        <w:rPr>
          <w:sz w:val="20"/>
          <w:szCs w:val="20"/>
        </w:rPr>
        <w:t xml:space="preserve">, </w:t>
      </w:r>
      <w:hyperlink r:id="rId19" w:history="1">
        <w:r w:rsidRPr="0012629F">
          <w:rPr>
            <w:rStyle w:val="Hyperlink"/>
            <w:sz w:val="20"/>
            <w:szCs w:val="20"/>
          </w:rPr>
          <w:t>Janis.Stepins@sprk.gov.lv</w:t>
        </w:r>
      </w:hyperlink>
    </w:p>
    <w:p w14:paraId="4427C538" w14:textId="77777777" w:rsidR="00C9784C" w:rsidRPr="003B19A5" w:rsidRDefault="00C9784C" w:rsidP="00061E24">
      <w:pPr>
        <w:spacing w:before="40"/>
        <w:rPr>
          <w:sz w:val="20"/>
          <w:szCs w:val="20"/>
        </w:rPr>
      </w:pPr>
      <w:r w:rsidRPr="003B19A5">
        <w:rPr>
          <w:sz w:val="20"/>
          <w:szCs w:val="20"/>
        </w:rPr>
        <w:t>I.Eglītis</w:t>
      </w:r>
    </w:p>
    <w:p w14:paraId="44C5E031" w14:textId="77777777" w:rsidR="00C9784C" w:rsidRPr="00C9784C" w:rsidRDefault="00C9784C" w:rsidP="004C5C67">
      <w:pPr>
        <w:rPr>
          <w:sz w:val="20"/>
          <w:szCs w:val="20"/>
        </w:rPr>
      </w:pPr>
      <w:r w:rsidRPr="003B19A5">
        <w:rPr>
          <w:sz w:val="20"/>
          <w:szCs w:val="20"/>
        </w:rPr>
        <w:t xml:space="preserve">67013236, </w:t>
      </w:r>
      <w:hyperlink r:id="rId20" w:history="1">
        <w:r w:rsidRPr="0012629F">
          <w:rPr>
            <w:rStyle w:val="Hyperlink"/>
            <w:sz w:val="20"/>
            <w:szCs w:val="20"/>
          </w:rPr>
          <w:t>Intars.Eglitis@em.gov.lv</w:t>
        </w:r>
      </w:hyperlink>
      <w:bookmarkStart w:id="1" w:name="_1383384029"/>
      <w:bookmarkEnd w:id="1"/>
    </w:p>
    <w:sectPr w:rsidR="00C9784C" w:rsidRPr="00C9784C" w:rsidSect="00BB2C78">
      <w:headerReference w:type="even" r:id="rId21"/>
      <w:headerReference w:type="default" r:id="rId22"/>
      <w:footerReference w:type="even" r:id="rId23"/>
      <w:footerReference w:type="default" r:id="rId24"/>
      <w:headerReference w:type="first" r:id="rId25"/>
      <w:footerReference w:type="first" r:id="rId26"/>
      <w:pgSz w:w="11906" w:h="16838"/>
      <w:pgMar w:top="851" w:right="1274" w:bottom="851" w:left="1276" w:header="708" w:footer="289" w:gutter="0"/>
      <w:pgNumType w:start="1" w:chapStyle="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87FE" w14:textId="77777777" w:rsidR="00B0674B" w:rsidRDefault="00B0674B" w:rsidP="00E43177">
      <w:r>
        <w:separator/>
      </w:r>
    </w:p>
  </w:endnote>
  <w:endnote w:type="continuationSeparator" w:id="0">
    <w:p w14:paraId="0077518C" w14:textId="77777777" w:rsidR="00B0674B" w:rsidRDefault="00B0674B" w:rsidP="00E43177">
      <w:r>
        <w:continuationSeparator/>
      </w:r>
    </w:p>
  </w:endnote>
  <w:endnote w:type="continuationNotice" w:id="1">
    <w:p w14:paraId="5B18533B" w14:textId="77777777" w:rsidR="00B0674B" w:rsidRDefault="00B06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BFC5" w14:textId="77777777" w:rsidR="006B532C" w:rsidRDefault="006B5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71A6" w14:textId="03F3DC26" w:rsidR="00766E21" w:rsidRPr="00C9784C" w:rsidRDefault="00766E21" w:rsidP="00F46750">
    <w:pPr>
      <w:jc w:val="both"/>
      <w:rPr>
        <w:sz w:val="20"/>
        <w:szCs w:val="20"/>
      </w:rPr>
    </w:pPr>
    <w:r w:rsidRPr="00C9784C">
      <w:rPr>
        <w:sz w:val="20"/>
        <w:szCs w:val="20"/>
      </w:rPr>
      <w:t>EMZino</w:t>
    </w:r>
    <w:r>
      <w:rPr>
        <w:sz w:val="20"/>
        <w:szCs w:val="20"/>
      </w:rPr>
      <w:t>_</w:t>
    </w:r>
    <w:r w:rsidR="006B532C">
      <w:rPr>
        <w:sz w:val="20"/>
        <w:szCs w:val="20"/>
      </w:rPr>
      <w:t>27</w:t>
    </w:r>
    <w:r w:rsidRPr="00C9784C">
      <w:rPr>
        <w:sz w:val="20"/>
        <w:szCs w:val="20"/>
      </w:rPr>
      <w:t>0</w:t>
    </w:r>
    <w:r w:rsidR="00762558">
      <w:rPr>
        <w:sz w:val="20"/>
        <w:szCs w:val="20"/>
      </w:rPr>
      <w:t>7</w:t>
    </w:r>
    <w:r w:rsidRPr="00C9784C">
      <w:rPr>
        <w:sz w:val="20"/>
        <w:szCs w:val="20"/>
      </w:rPr>
      <w:t>17</w:t>
    </w:r>
    <w:r>
      <w:rPr>
        <w:sz w:val="20"/>
        <w:szCs w:val="20"/>
      </w:rPr>
      <w:t>; Informatīvais ziņojums “</w:t>
    </w:r>
    <w:r w:rsidRPr="00C9784C">
      <w:rPr>
        <w:sz w:val="20"/>
        <w:szCs w:val="20"/>
      </w:rPr>
      <w:t>Par Sabiedrisko pakalpojumu regulēšanas komisijas darbības finansēšanas modeļa pilnveidošanu</w:t>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8D36" w14:textId="78234143" w:rsidR="00766E21" w:rsidRPr="00DA0985" w:rsidRDefault="00766E21" w:rsidP="00DA0985">
    <w:pPr>
      <w:pStyle w:val="Footer"/>
      <w:jc w:val="both"/>
      <w:rPr>
        <w:sz w:val="20"/>
        <w:szCs w:val="20"/>
      </w:rPr>
    </w:pPr>
    <w:r w:rsidRPr="00C9784C">
      <w:rPr>
        <w:sz w:val="20"/>
        <w:szCs w:val="20"/>
      </w:rPr>
      <w:t>EMZino</w:t>
    </w:r>
    <w:r>
      <w:rPr>
        <w:sz w:val="20"/>
        <w:szCs w:val="20"/>
      </w:rPr>
      <w:t>_</w:t>
    </w:r>
    <w:r w:rsidR="006B532C">
      <w:rPr>
        <w:sz w:val="20"/>
        <w:szCs w:val="20"/>
      </w:rPr>
      <w:t>27</w:t>
    </w:r>
    <w:r w:rsidRPr="00C9784C">
      <w:rPr>
        <w:sz w:val="20"/>
        <w:szCs w:val="20"/>
      </w:rPr>
      <w:t>0</w:t>
    </w:r>
    <w:r w:rsidR="00762558">
      <w:rPr>
        <w:sz w:val="20"/>
        <w:szCs w:val="20"/>
      </w:rPr>
      <w:t>71</w:t>
    </w:r>
    <w:r w:rsidRPr="00C9784C">
      <w:rPr>
        <w:sz w:val="20"/>
        <w:szCs w:val="20"/>
      </w:rPr>
      <w:t>7</w:t>
    </w:r>
    <w:r>
      <w:rPr>
        <w:sz w:val="20"/>
        <w:szCs w:val="20"/>
      </w:rPr>
      <w:t>; Informatīvais ziņojums “</w:t>
    </w:r>
    <w:r w:rsidRPr="00C9784C">
      <w:rPr>
        <w:sz w:val="20"/>
        <w:szCs w:val="20"/>
      </w:rPr>
      <w:t>Par Sabiedrisko pakalpojumu regulēšanas komisijas darbības finansēšanas modeļa pilnveidošanu</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A59BE" w14:textId="77777777" w:rsidR="00B0674B" w:rsidRDefault="00B0674B" w:rsidP="00E43177">
      <w:r>
        <w:separator/>
      </w:r>
    </w:p>
  </w:footnote>
  <w:footnote w:type="continuationSeparator" w:id="0">
    <w:p w14:paraId="3F5893EC" w14:textId="77777777" w:rsidR="00B0674B" w:rsidRDefault="00B0674B" w:rsidP="00E43177">
      <w:r>
        <w:continuationSeparator/>
      </w:r>
    </w:p>
  </w:footnote>
  <w:footnote w:type="continuationNotice" w:id="1">
    <w:p w14:paraId="70C0EC22" w14:textId="77777777" w:rsidR="00B0674B" w:rsidRDefault="00B0674B"/>
  </w:footnote>
  <w:footnote w:id="2">
    <w:p w14:paraId="65D1C3A7" w14:textId="77777777" w:rsidR="00766E21" w:rsidRDefault="00766E21" w:rsidP="00E84ABC">
      <w:pPr>
        <w:pStyle w:val="FootnoteText"/>
        <w:jc w:val="both"/>
      </w:pPr>
      <w:r>
        <w:rPr>
          <w:rStyle w:val="FootnoteReference"/>
        </w:rPr>
        <w:footnoteRef/>
      </w:r>
      <w:r>
        <w:t xml:space="preserve"> Regula Nr. 2015/2120 ar ko nosaka pasākumus sakarā ar piekļuvi atvērtam internetam un groza Direktīvu 2002/22/EK par universālo pakalpojumu un lietotāju tiesībām attiecībā uz elektronisko sakaru tīkliem un pakalpojumiem un Regulu (ES) Nr. 531/2012 par viesabonēšanu publiskajos mobilajos sakaru tīklos Savienībā. Regula Nr.1211/2009 ar ko izveido Eiropas Elektronisko komunikāciju regulatoru iestādi (BEREC) un biroju, lai attīstītu sadarbību starp regulatoriem un Komisiju, lai visās dalībvalstīs nodrošinātu ES tiesiskā regulējuma saskaņotu piemērošanu elektronisko komunikāciju tīkliem un pakalpojumiem un tādējādi veicinātu iekšējā tirgus attīstību. Regula (ES) Nr.531/2012 par viesabonēšanu publiskajos mobilo sakaru tīklos Savienībā, kur Regulatoram jāveic atbilstoši pasākumi, lai Latvijā nodrošinātu atbilstību šai regulai. Regula (ES) Nr.1203/2012 par regulētu mazumtirdzniecības viesabonēšanas pakalpojumu atsevišķu pārdošanu Savienībā,  Regula (ES) Nr.2015/2352 ar ko nosaka vidējo svērto mobilā savienojuma pabeigšanas tarifu maksimumu visā Savienībā, Ieteikums Nr.2007/879/EK par attiecīgajiem produktu un pakalpojumu tirgiem elektronisko sakaru nozarē, kuros var būt nepieciešams ex ante regulējums saskaņā ar Direktīvu 2002/21/EK par kopējiem reglamentējošiem noteikumiem attiecībā uz elektronisko komunikāciju tīkliem un pakalpojumiem, Ieteikums Nr.2010/572/ES par regulētu piekļuvi nākamās paaudzes piekļuves (NGA) tīkliem, Ieteikums Nr.2009/396/EK par savienojuma pabeigšanas tarifu reglamentāciju fiksētajos un mobilajos tīklos Eiropas Savienībā, Ieteikums Nr.2013/466/ES par saskanīgiem nediskriminēšanas pienākumiem un izmaksu aprēķināšanas metodēm, lai veicinātu konkurenci un uzlabotu ieguldījumu vidi platjoslas pakalpojumu jomā, Ieteikums Nr.2014/710/ES par konkrētajiem produktu un pakalpojumu tirgiem elektronisko sakaru nozarē, kuros var būt ex ante regulējums saskaņā ar Direktīvu 2002/21/EK par kopējiem reglamentējošiem noteikumiem attiecībā uz elektronisko komunikāciju tīkliem un pakalpojumiem, Ieteikums Nr.2012/798/ES par paziņošanas procedūru, kas paredzēta 22.panta 3.punktā Eiropas Parlamenta un Padomes Direktīvā 2002/22/EK par universālo pakalpojumu un lietotāju tiesībām attiecībā uz elektronisko sakaru tīkliem un pakalpojumiem, lai nodrošinātu saskaņotu pieeju, pilnīgu pārredzamību un racionalizētu procedūru.</w:t>
      </w:r>
    </w:p>
  </w:footnote>
  <w:footnote w:id="3">
    <w:p w14:paraId="3B4BDACC" w14:textId="77777777" w:rsidR="00766E21" w:rsidRDefault="00766E21" w:rsidP="00E84ABC">
      <w:pPr>
        <w:pStyle w:val="FootnoteText"/>
        <w:jc w:val="both"/>
      </w:pPr>
      <w:r>
        <w:rPr>
          <w:rStyle w:val="FootnoteReference"/>
        </w:rPr>
        <w:footnoteRef/>
      </w:r>
      <w:r>
        <w:t xml:space="preserve"> </w:t>
      </w:r>
      <w:r w:rsidRPr="00E84ABC">
        <w:t>Eiropas Parlamenta un Padomes direktīvā 2009/72/EK par kopīgiem noteikumiem attiecībā uz elektroenerģijas iekšējo tirgu un par D</w:t>
      </w:r>
      <w:r>
        <w:t xml:space="preserve">irektīvas 2003/54/EK atcelšanu, </w:t>
      </w:r>
      <w:r w:rsidRPr="00E84ABC">
        <w:t xml:space="preserve">Eiropas Parlamenta un Padomes direktīva 2009/73/EK par kopīgiem noteikumiem attiecībā uz dabasgāzes iekšējo tirgu un par </w:t>
      </w:r>
      <w:r>
        <w:t xml:space="preserve">Direktīvas 2003/55/EK atcelšanu, </w:t>
      </w:r>
      <w:r w:rsidRPr="00E84ABC">
        <w:t>Eiropas Parlamenta un Padomes Regulas Nr.1227/2011 par enerģijas vairumtirgus integritāti un pārredzamību (REMIT)</w:t>
      </w:r>
    </w:p>
  </w:footnote>
  <w:footnote w:id="4">
    <w:p w14:paraId="6815AAFC" w14:textId="77777777" w:rsidR="00766E21" w:rsidRDefault="00766E21" w:rsidP="00574AC4">
      <w:pPr>
        <w:pStyle w:val="FootnoteText"/>
        <w:jc w:val="both"/>
      </w:pPr>
      <w:r w:rsidRPr="00525FF7">
        <w:rPr>
          <w:rStyle w:val="FootnoteReference"/>
          <w:color w:val="auto"/>
        </w:rPr>
        <w:footnoteRef/>
      </w:r>
      <w:r w:rsidRPr="00525FF7">
        <w:rPr>
          <w:color w:val="auto"/>
        </w:rPr>
        <w:t xml:space="preserve"> Regulējamo komersantu apgrozījums, nodevas apmērs un Regulatora izdevumi 2008.-2016.gadā atspoguļoti balstoties uz Regulatora mājas lapā </w:t>
      </w:r>
      <w:hyperlink r:id="rId1" w:history="1">
        <w:r w:rsidRPr="00525FF7">
          <w:rPr>
            <w:rStyle w:val="Hyperlink"/>
            <w:color w:val="auto"/>
          </w:rPr>
          <w:t>www.sprk.gov.lv</w:t>
        </w:r>
      </w:hyperlink>
      <w:r w:rsidRPr="00525FF7">
        <w:rPr>
          <w:color w:val="auto"/>
        </w:rPr>
        <w:t xml:space="preserve"> publiskoto Regulatora attiecīgā kalendārā gada pārskatā ietverto informāciju. Regulējamo komersantu apgrozījums, nodevas apmērs un Regulatora izdevumi 2017.gadā balstīti uz Regulatora prognozēm un likumā “Par valsts budžetu 2017. gadam” apstiprinātajiem Regulatora budžeta izdevumiem un ieņēmumiem.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7FDF" w14:textId="77777777" w:rsidR="00766E21" w:rsidRDefault="00766E21" w:rsidP="00C94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B6CCB" w14:textId="77777777" w:rsidR="00766E21" w:rsidRDefault="00766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55D3" w14:textId="70DD5BAE" w:rsidR="00766E21" w:rsidRPr="00316BD8" w:rsidRDefault="00766E21" w:rsidP="00C9437B">
    <w:pPr>
      <w:pStyle w:val="Header"/>
      <w:framePr w:wrap="around" w:vAnchor="text" w:hAnchor="margin" w:xAlign="center" w:y="1"/>
      <w:rPr>
        <w:rStyle w:val="PageNumber"/>
        <w:sz w:val="24"/>
      </w:rPr>
    </w:pPr>
    <w:r w:rsidRPr="00316BD8">
      <w:rPr>
        <w:rStyle w:val="PageNumber"/>
        <w:sz w:val="24"/>
      </w:rPr>
      <w:fldChar w:fldCharType="begin"/>
    </w:r>
    <w:r w:rsidRPr="00316BD8">
      <w:rPr>
        <w:rStyle w:val="PageNumber"/>
        <w:sz w:val="24"/>
      </w:rPr>
      <w:instrText xml:space="preserve">PAGE  </w:instrText>
    </w:r>
    <w:r w:rsidRPr="00316BD8">
      <w:rPr>
        <w:rStyle w:val="PageNumber"/>
        <w:sz w:val="24"/>
      </w:rPr>
      <w:fldChar w:fldCharType="separate"/>
    </w:r>
    <w:r w:rsidR="0007594C">
      <w:rPr>
        <w:rStyle w:val="PageNumber"/>
        <w:noProof/>
        <w:sz w:val="24"/>
      </w:rPr>
      <w:t>15</w:t>
    </w:r>
    <w:r w:rsidRPr="00316BD8">
      <w:rPr>
        <w:rStyle w:val="PageNumber"/>
        <w:sz w:val="24"/>
      </w:rPr>
      <w:fldChar w:fldCharType="end"/>
    </w:r>
  </w:p>
  <w:p w14:paraId="3723403E" w14:textId="77777777" w:rsidR="00766E21" w:rsidRDefault="00766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FA48" w14:textId="77777777" w:rsidR="006B532C" w:rsidRDefault="006B5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4B9"/>
    <w:multiLevelType w:val="multilevel"/>
    <w:tmpl w:val="E83C02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DF50AA"/>
    <w:multiLevelType w:val="multilevel"/>
    <w:tmpl w:val="08F0514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2967CF"/>
    <w:multiLevelType w:val="hybridMultilevel"/>
    <w:tmpl w:val="CA9C7836"/>
    <w:lvl w:ilvl="0" w:tplc="BC2EBA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CB411FF"/>
    <w:multiLevelType w:val="hybridMultilevel"/>
    <w:tmpl w:val="3412E6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86FE5"/>
    <w:multiLevelType w:val="hybridMultilevel"/>
    <w:tmpl w:val="E9CCCA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B1815"/>
    <w:multiLevelType w:val="hybridMultilevel"/>
    <w:tmpl w:val="1F6E3D38"/>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50C020F"/>
    <w:multiLevelType w:val="hybridMultilevel"/>
    <w:tmpl w:val="05F86256"/>
    <w:lvl w:ilvl="0" w:tplc="04260011">
      <w:start w:val="1"/>
      <w:numFmt w:val="decimal"/>
      <w:lvlText w:val="%1)"/>
      <w:lvlJc w:val="left"/>
      <w:pPr>
        <w:ind w:left="786" w:hanging="360"/>
      </w:pPr>
    </w:lvl>
    <w:lvl w:ilvl="1" w:tplc="04260017">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D4267A4"/>
    <w:multiLevelType w:val="hybridMultilevel"/>
    <w:tmpl w:val="76947F4E"/>
    <w:lvl w:ilvl="0" w:tplc="5F0476C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E2A3FAB"/>
    <w:multiLevelType w:val="hybridMultilevel"/>
    <w:tmpl w:val="8132F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96CEE"/>
    <w:multiLevelType w:val="multilevel"/>
    <w:tmpl w:val="6CDA4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F862D4"/>
    <w:multiLevelType w:val="hybridMultilevel"/>
    <w:tmpl w:val="6A3CF16E"/>
    <w:lvl w:ilvl="0" w:tplc="63C26AE6">
      <w:start w:val="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4FD0A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0048C"/>
    <w:multiLevelType w:val="multilevel"/>
    <w:tmpl w:val="24867EAA"/>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A80529"/>
    <w:multiLevelType w:val="hybridMultilevel"/>
    <w:tmpl w:val="25324E64"/>
    <w:lvl w:ilvl="0" w:tplc="028ADB5E">
      <w:start w:val="2"/>
      <w:numFmt w:val="bullet"/>
      <w:lvlText w:val="-"/>
      <w:lvlJc w:val="left"/>
      <w:pPr>
        <w:ind w:left="720" w:hanging="360"/>
      </w:pPr>
      <w:rPr>
        <w:rFonts w:ascii="Times New Roman" w:eastAsia="Calibri" w:hAnsi="Times New Roman" w:cs="Times New Roman" w:hint="default"/>
        <w:b w:val="0"/>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FC95533"/>
    <w:multiLevelType w:val="hybridMultilevel"/>
    <w:tmpl w:val="98987D1C"/>
    <w:lvl w:ilvl="0" w:tplc="3C2A89C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A526941"/>
    <w:multiLevelType w:val="multilevel"/>
    <w:tmpl w:val="AF26E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0046BE6"/>
    <w:multiLevelType w:val="multilevel"/>
    <w:tmpl w:val="34C6F5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ED40EA"/>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B604FE"/>
    <w:multiLevelType w:val="multilevel"/>
    <w:tmpl w:val="7FE4B1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1E82D05"/>
    <w:multiLevelType w:val="hybridMultilevel"/>
    <w:tmpl w:val="C18219F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31B30A6"/>
    <w:multiLevelType w:val="multilevel"/>
    <w:tmpl w:val="3D3805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7D73E82"/>
    <w:multiLevelType w:val="multilevel"/>
    <w:tmpl w:val="82602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AE747A"/>
    <w:multiLevelType w:val="hybridMultilevel"/>
    <w:tmpl w:val="76143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277D30"/>
    <w:multiLevelType w:val="multilevel"/>
    <w:tmpl w:val="C0565F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7"/>
  </w:num>
  <w:num w:numId="4">
    <w:abstractNumId w:val="12"/>
  </w:num>
  <w:num w:numId="5">
    <w:abstractNumId w:val="23"/>
  </w:num>
  <w:num w:numId="6">
    <w:abstractNumId w:val="16"/>
  </w:num>
  <w:num w:numId="7">
    <w:abstractNumId w:val="9"/>
  </w:num>
  <w:num w:numId="8">
    <w:abstractNumId w:val="0"/>
  </w:num>
  <w:num w:numId="9">
    <w:abstractNumId w:val="20"/>
  </w:num>
  <w:num w:numId="10">
    <w:abstractNumId w:val="11"/>
  </w:num>
  <w:num w:numId="11">
    <w:abstractNumId w:val="5"/>
  </w:num>
  <w:num w:numId="12">
    <w:abstractNumId w:val="18"/>
  </w:num>
  <w:num w:numId="13">
    <w:abstractNumId w:val="21"/>
  </w:num>
  <w:num w:numId="14">
    <w:abstractNumId w:val="14"/>
  </w:num>
  <w:num w:numId="15">
    <w:abstractNumId w:val="6"/>
  </w:num>
  <w:num w:numId="16">
    <w:abstractNumId w:val="7"/>
  </w:num>
  <w:num w:numId="17">
    <w:abstractNumId w:val="15"/>
  </w:num>
  <w:num w:numId="18">
    <w:abstractNumId w:val="1"/>
  </w:num>
  <w:num w:numId="19">
    <w:abstractNumId w:val="3"/>
  </w:num>
  <w:num w:numId="20">
    <w:abstractNumId w:val="22"/>
  </w:num>
  <w:num w:numId="21">
    <w:abstractNumId w:val="13"/>
  </w:num>
  <w:num w:numId="22">
    <w:abstractNumId w:val="10"/>
  </w:num>
  <w:num w:numId="23">
    <w:abstractNumId w:val="19"/>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hideSpellingErrors/>
  <w:hideGrammaticalErrors/>
  <w:revisionView w:markup="0"/>
  <w:defaultTabStop w:val="720"/>
  <w:drawingGridHorizontalSpacing w:val="140"/>
  <w:displayHorizontalDrawingGridEvery w:val="2"/>
  <w:doNotShadeFormData/>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2"/>
    <w:rsid w:val="000011DA"/>
    <w:rsid w:val="000018C6"/>
    <w:rsid w:val="000043D4"/>
    <w:rsid w:val="00006366"/>
    <w:rsid w:val="000064D2"/>
    <w:rsid w:val="000068B3"/>
    <w:rsid w:val="00006B6A"/>
    <w:rsid w:val="00007F5C"/>
    <w:rsid w:val="00011803"/>
    <w:rsid w:val="0001199E"/>
    <w:rsid w:val="00011A12"/>
    <w:rsid w:val="00011A94"/>
    <w:rsid w:val="00011AB1"/>
    <w:rsid w:val="000133B3"/>
    <w:rsid w:val="0001446C"/>
    <w:rsid w:val="0001448C"/>
    <w:rsid w:val="00015CC0"/>
    <w:rsid w:val="00016AE9"/>
    <w:rsid w:val="00016F4E"/>
    <w:rsid w:val="000177AC"/>
    <w:rsid w:val="00017B3D"/>
    <w:rsid w:val="00017D52"/>
    <w:rsid w:val="00020807"/>
    <w:rsid w:val="00020A39"/>
    <w:rsid w:val="000212F7"/>
    <w:rsid w:val="00021789"/>
    <w:rsid w:val="0002233D"/>
    <w:rsid w:val="00023BB7"/>
    <w:rsid w:val="00024600"/>
    <w:rsid w:val="00024EC9"/>
    <w:rsid w:val="0002505A"/>
    <w:rsid w:val="00026895"/>
    <w:rsid w:val="0003009E"/>
    <w:rsid w:val="00030B22"/>
    <w:rsid w:val="00031195"/>
    <w:rsid w:val="000314F6"/>
    <w:rsid w:val="00031BC9"/>
    <w:rsid w:val="00031D2F"/>
    <w:rsid w:val="0003240C"/>
    <w:rsid w:val="0003283C"/>
    <w:rsid w:val="00032933"/>
    <w:rsid w:val="00032DD3"/>
    <w:rsid w:val="000334C2"/>
    <w:rsid w:val="0003405F"/>
    <w:rsid w:val="000340BC"/>
    <w:rsid w:val="000344B3"/>
    <w:rsid w:val="000348B8"/>
    <w:rsid w:val="000378F9"/>
    <w:rsid w:val="000401F2"/>
    <w:rsid w:val="00041C48"/>
    <w:rsid w:val="00041E8A"/>
    <w:rsid w:val="00041FAB"/>
    <w:rsid w:val="000433B8"/>
    <w:rsid w:val="00043A38"/>
    <w:rsid w:val="000440CB"/>
    <w:rsid w:val="000454AB"/>
    <w:rsid w:val="00045CD0"/>
    <w:rsid w:val="0004695C"/>
    <w:rsid w:val="00047576"/>
    <w:rsid w:val="000504A0"/>
    <w:rsid w:val="00050C10"/>
    <w:rsid w:val="00050DB3"/>
    <w:rsid w:val="00052CD9"/>
    <w:rsid w:val="0005312D"/>
    <w:rsid w:val="00053FC3"/>
    <w:rsid w:val="000549DA"/>
    <w:rsid w:val="00054CF3"/>
    <w:rsid w:val="000558F5"/>
    <w:rsid w:val="0005667C"/>
    <w:rsid w:val="0005756C"/>
    <w:rsid w:val="00060708"/>
    <w:rsid w:val="00060CAB"/>
    <w:rsid w:val="00060FFE"/>
    <w:rsid w:val="00061E24"/>
    <w:rsid w:val="00061E48"/>
    <w:rsid w:val="00062D9A"/>
    <w:rsid w:val="00063B4E"/>
    <w:rsid w:val="00063C36"/>
    <w:rsid w:val="00067CB2"/>
    <w:rsid w:val="00071D8B"/>
    <w:rsid w:val="000726DB"/>
    <w:rsid w:val="0007385F"/>
    <w:rsid w:val="00073C6B"/>
    <w:rsid w:val="0007434A"/>
    <w:rsid w:val="0007539C"/>
    <w:rsid w:val="0007594C"/>
    <w:rsid w:val="00075E92"/>
    <w:rsid w:val="00076170"/>
    <w:rsid w:val="000776CD"/>
    <w:rsid w:val="000817F7"/>
    <w:rsid w:val="00082724"/>
    <w:rsid w:val="00082F9C"/>
    <w:rsid w:val="00083029"/>
    <w:rsid w:val="00084593"/>
    <w:rsid w:val="000858C0"/>
    <w:rsid w:val="00085C10"/>
    <w:rsid w:val="00085E10"/>
    <w:rsid w:val="00086A7B"/>
    <w:rsid w:val="00086D56"/>
    <w:rsid w:val="00086D89"/>
    <w:rsid w:val="000870F2"/>
    <w:rsid w:val="000872DA"/>
    <w:rsid w:val="0008737B"/>
    <w:rsid w:val="00087B11"/>
    <w:rsid w:val="000904B7"/>
    <w:rsid w:val="0009079C"/>
    <w:rsid w:val="00092B47"/>
    <w:rsid w:val="0009407E"/>
    <w:rsid w:val="000945C7"/>
    <w:rsid w:val="000958F6"/>
    <w:rsid w:val="000963D3"/>
    <w:rsid w:val="0009679E"/>
    <w:rsid w:val="00096AFE"/>
    <w:rsid w:val="00096B12"/>
    <w:rsid w:val="00097348"/>
    <w:rsid w:val="0009750C"/>
    <w:rsid w:val="00097AFA"/>
    <w:rsid w:val="000A07AF"/>
    <w:rsid w:val="000A0A83"/>
    <w:rsid w:val="000A1D53"/>
    <w:rsid w:val="000A25D4"/>
    <w:rsid w:val="000A37EE"/>
    <w:rsid w:val="000A41D6"/>
    <w:rsid w:val="000A5687"/>
    <w:rsid w:val="000A5841"/>
    <w:rsid w:val="000A71CC"/>
    <w:rsid w:val="000A74C9"/>
    <w:rsid w:val="000A7B8B"/>
    <w:rsid w:val="000A7D30"/>
    <w:rsid w:val="000B0585"/>
    <w:rsid w:val="000B2E0F"/>
    <w:rsid w:val="000B34A1"/>
    <w:rsid w:val="000B3FEC"/>
    <w:rsid w:val="000B414E"/>
    <w:rsid w:val="000B79C5"/>
    <w:rsid w:val="000B7AC7"/>
    <w:rsid w:val="000C055F"/>
    <w:rsid w:val="000C059C"/>
    <w:rsid w:val="000C1483"/>
    <w:rsid w:val="000C2D8E"/>
    <w:rsid w:val="000C3EC0"/>
    <w:rsid w:val="000C42C1"/>
    <w:rsid w:val="000C552D"/>
    <w:rsid w:val="000C69FF"/>
    <w:rsid w:val="000D2939"/>
    <w:rsid w:val="000D31B6"/>
    <w:rsid w:val="000D3D8C"/>
    <w:rsid w:val="000D43EC"/>
    <w:rsid w:val="000D4E05"/>
    <w:rsid w:val="000D5394"/>
    <w:rsid w:val="000D55F8"/>
    <w:rsid w:val="000D6396"/>
    <w:rsid w:val="000D72F9"/>
    <w:rsid w:val="000E214F"/>
    <w:rsid w:val="000E303F"/>
    <w:rsid w:val="000E44C8"/>
    <w:rsid w:val="000E4968"/>
    <w:rsid w:val="000E7D6C"/>
    <w:rsid w:val="000E7FD4"/>
    <w:rsid w:val="000F0AC4"/>
    <w:rsid w:val="000F1BE2"/>
    <w:rsid w:val="000F296B"/>
    <w:rsid w:val="000F321F"/>
    <w:rsid w:val="000F3DB5"/>
    <w:rsid w:val="000F49D7"/>
    <w:rsid w:val="000F5275"/>
    <w:rsid w:val="000F59DB"/>
    <w:rsid w:val="000F7730"/>
    <w:rsid w:val="000F7DE5"/>
    <w:rsid w:val="001000DA"/>
    <w:rsid w:val="00101595"/>
    <w:rsid w:val="00102AE1"/>
    <w:rsid w:val="0010307E"/>
    <w:rsid w:val="0010332F"/>
    <w:rsid w:val="00103A6C"/>
    <w:rsid w:val="00103AFD"/>
    <w:rsid w:val="00103D6C"/>
    <w:rsid w:val="00105CBF"/>
    <w:rsid w:val="00106537"/>
    <w:rsid w:val="001073AA"/>
    <w:rsid w:val="00107636"/>
    <w:rsid w:val="00110148"/>
    <w:rsid w:val="00110F33"/>
    <w:rsid w:val="00111687"/>
    <w:rsid w:val="00111B99"/>
    <w:rsid w:val="00112537"/>
    <w:rsid w:val="00113E26"/>
    <w:rsid w:val="00114358"/>
    <w:rsid w:val="001159ED"/>
    <w:rsid w:val="00117276"/>
    <w:rsid w:val="00117441"/>
    <w:rsid w:val="00120BCA"/>
    <w:rsid w:val="00121A58"/>
    <w:rsid w:val="0012254B"/>
    <w:rsid w:val="00123A73"/>
    <w:rsid w:val="00124E33"/>
    <w:rsid w:val="001252B5"/>
    <w:rsid w:val="00126083"/>
    <w:rsid w:val="00126215"/>
    <w:rsid w:val="001263C2"/>
    <w:rsid w:val="0012643D"/>
    <w:rsid w:val="00130694"/>
    <w:rsid w:val="001319F5"/>
    <w:rsid w:val="00133705"/>
    <w:rsid w:val="001337BC"/>
    <w:rsid w:val="001354DB"/>
    <w:rsid w:val="00135DBC"/>
    <w:rsid w:val="00136099"/>
    <w:rsid w:val="00136227"/>
    <w:rsid w:val="001364F6"/>
    <w:rsid w:val="00136CA8"/>
    <w:rsid w:val="00137FAD"/>
    <w:rsid w:val="00141AEE"/>
    <w:rsid w:val="001428F8"/>
    <w:rsid w:val="00142F50"/>
    <w:rsid w:val="00144C68"/>
    <w:rsid w:val="00144EC4"/>
    <w:rsid w:val="0014534F"/>
    <w:rsid w:val="001458CA"/>
    <w:rsid w:val="001459B9"/>
    <w:rsid w:val="00145ED4"/>
    <w:rsid w:val="00154015"/>
    <w:rsid w:val="00155ABE"/>
    <w:rsid w:val="001576F0"/>
    <w:rsid w:val="00157D7A"/>
    <w:rsid w:val="001614DA"/>
    <w:rsid w:val="0016166E"/>
    <w:rsid w:val="0016297A"/>
    <w:rsid w:val="0016330B"/>
    <w:rsid w:val="0016370C"/>
    <w:rsid w:val="00165170"/>
    <w:rsid w:val="001665A4"/>
    <w:rsid w:val="00173AEE"/>
    <w:rsid w:val="00173C1B"/>
    <w:rsid w:val="00174285"/>
    <w:rsid w:val="00176380"/>
    <w:rsid w:val="0017676D"/>
    <w:rsid w:val="00176C24"/>
    <w:rsid w:val="00180576"/>
    <w:rsid w:val="00181009"/>
    <w:rsid w:val="001822EE"/>
    <w:rsid w:val="00182A42"/>
    <w:rsid w:val="00182BAF"/>
    <w:rsid w:val="00183BF1"/>
    <w:rsid w:val="00184562"/>
    <w:rsid w:val="00184A17"/>
    <w:rsid w:val="00184C5D"/>
    <w:rsid w:val="0018647A"/>
    <w:rsid w:val="001865D9"/>
    <w:rsid w:val="0018758C"/>
    <w:rsid w:val="00187D21"/>
    <w:rsid w:val="00190370"/>
    <w:rsid w:val="00191E44"/>
    <w:rsid w:val="0019253D"/>
    <w:rsid w:val="00193C28"/>
    <w:rsid w:val="00194BD3"/>
    <w:rsid w:val="00194D2F"/>
    <w:rsid w:val="00195118"/>
    <w:rsid w:val="0019575B"/>
    <w:rsid w:val="001957A4"/>
    <w:rsid w:val="00196AF0"/>
    <w:rsid w:val="00196BEB"/>
    <w:rsid w:val="001970AF"/>
    <w:rsid w:val="001973FD"/>
    <w:rsid w:val="00197602"/>
    <w:rsid w:val="001A1A08"/>
    <w:rsid w:val="001A1A7D"/>
    <w:rsid w:val="001A25AA"/>
    <w:rsid w:val="001A2635"/>
    <w:rsid w:val="001A2866"/>
    <w:rsid w:val="001A4BA7"/>
    <w:rsid w:val="001A5CBE"/>
    <w:rsid w:val="001A76C5"/>
    <w:rsid w:val="001B04F9"/>
    <w:rsid w:val="001B2005"/>
    <w:rsid w:val="001B3A35"/>
    <w:rsid w:val="001B3EBE"/>
    <w:rsid w:val="001B599D"/>
    <w:rsid w:val="001B5BB6"/>
    <w:rsid w:val="001B60F3"/>
    <w:rsid w:val="001B6355"/>
    <w:rsid w:val="001B6C63"/>
    <w:rsid w:val="001C2365"/>
    <w:rsid w:val="001C3C24"/>
    <w:rsid w:val="001C3C97"/>
    <w:rsid w:val="001C4E3D"/>
    <w:rsid w:val="001C677B"/>
    <w:rsid w:val="001D190E"/>
    <w:rsid w:val="001D2964"/>
    <w:rsid w:val="001D2B41"/>
    <w:rsid w:val="001D3763"/>
    <w:rsid w:val="001D3920"/>
    <w:rsid w:val="001D3F81"/>
    <w:rsid w:val="001D68B9"/>
    <w:rsid w:val="001E05A9"/>
    <w:rsid w:val="001E0606"/>
    <w:rsid w:val="001E0B03"/>
    <w:rsid w:val="001E3393"/>
    <w:rsid w:val="001E34FE"/>
    <w:rsid w:val="001E397C"/>
    <w:rsid w:val="001E3ACE"/>
    <w:rsid w:val="001E3D8C"/>
    <w:rsid w:val="001E4060"/>
    <w:rsid w:val="001E41C6"/>
    <w:rsid w:val="001E77CB"/>
    <w:rsid w:val="001F0833"/>
    <w:rsid w:val="001F098D"/>
    <w:rsid w:val="001F0EE3"/>
    <w:rsid w:val="001F194C"/>
    <w:rsid w:val="001F2999"/>
    <w:rsid w:val="001F35BA"/>
    <w:rsid w:val="001F39B7"/>
    <w:rsid w:val="001F5333"/>
    <w:rsid w:val="001F5799"/>
    <w:rsid w:val="001F57C9"/>
    <w:rsid w:val="001F5C78"/>
    <w:rsid w:val="001F5FB4"/>
    <w:rsid w:val="001F7002"/>
    <w:rsid w:val="001F791D"/>
    <w:rsid w:val="001F7B25"/>
    <w:rsid w:val="00201999"/>
    <w:rsid w:val="00203720"/>
    <w:rsid w:val="00204D86"/>
    <w:rsid w:val="002054EA"/>
    <w:rsid w:val="0020567A"/>
    <w:rsid w:val="002069EC"/>
    <w:rsid w:val="00206B85"/>
    <w:rsid w:val="00207038"/>
    <w:rsid w:val="002075EB"/>
    <w:rsid w:val="00207DEE"/>
    <w:rsid w:val="0021093A"/>
    <w:rsid w:val="00210A09"/>
    <w:rsid w:val="00211004"/>
    <w:rsid w:val="00211510"/>
    <w:rsid w:val="002121A4"/>
    <w:rsid w:val="002140BD"/>
    <w:rsid w:val="002153B9"/>
    <w:rsid w:val="002156F6"/>
    <w:rsid w:val="00215744"/>
    <w:rsid w:val="00215E04"/>
    <w:rsid w:val="00216D79"/>
    <w:rsid w:val="00220403"/>
    <w:rsid w:val="0022085C"/>
    <w:rsid w:val="00221C01"/>
    <w:rsid w:val="00221EED"/>
    <w:rsid w:val="002229C2"/>
    <w:rsid w:val="002230D9"/>
    <w:rsid w:val="002233D0"/>
    <w:rsid w:val="00224490"/>
    <w:rsid w:val="00224ABA"/>
    <w:rsid w:val="002255AD"/>
    <w:rsid w:val="0022666C"/>
    <w:rsid w:val="002268B0"/>
    <w:rsid w:val="002310C3"/>
    <w:rsid w:val="0023232D"/>
    <w:rsid w:val="002325F3"/>
    <w:rsid w:val="00232801"/>
    <w:rsid w:val="00235583"/>
    <w:rsid w:val="00235E88"/>
    <w:rsid w:val="0023727E"/>
    <w:rsid w:val="0024121F"/>
    <w:rsid w:val="00242DA4"/>
    <w:rsid w:val="002433B6"/>
    <w:rsid w:val="00243E5F"/>
    <w:rsid w:val="002447AB"/>
    <w:rsid w:val="00244CDD"/>
    <w:rsid w:val="0024575A"/>
    <w:rsid w:val="00245D8C"/>
    <w:rsid w:val="002471EA"/>
    <w:rsid w:val="00252297"/>
    <w:rsid w:val="002549D1"/>
    <w:rsid w:val="00254D7C"/>
    <w:rsid w:val="00255535"/>
    <w:rsid w:val="002557D0"/>
    <w:rsid w:val="00255840"/>
    <w:rsid w:val="00255CD5"/>
    <w:rsid w:val="00256465"/>
    <w:rsid w:val="00257780"/>
    <w:rsid w:val="00260D66"/>
    <w:rsid w:val="00261B2D"/>
    <w:rsid w:val="002623F7"/>
    <w:rsid w:val="00262584"/>
    <w:rsid w:val="00262655"/>
    <w:rsid w:val="00262C12"/>
    <w:rsid w:val="00262E93"/>
    <w:rsid w:val="0026340A"/>
    <w:rsid w:val="00264C61"/>
    <w:rsid w:val="002650D1"/>
    <w:rsid w:val="002675B7"/>
    <w:rsid w:val="00267E5D"/>
    <w:rsid w:val="00270810"/>
    <w:rsid w:val="00270939"/>
    <w:rsid w:val="00271FC7"/>
    <w:rsid w:val="0027417D"/>
    <w:rsid w:val="0027450A"/>
    <w:rsid w:val="00275A02"/>
    <w:rsid w:val="00276AD6"/>
    <w:rsid w:val="00280CF5"/>
    <w:rsid w:val="00282433"/>
    <w:rsid w:val="00282706"/>
    <w:rsid w:val="00283C47"/>
    <w:rsid w:val="002847EF"/>
    <w:rsid w:val="0028497B"/>
    <w:rsid w:val="00285207"/>
    <w:rsid w:val="0028708E"/>
    <w:rsid w:val="00287CB5"/>
    <w:rsid w:val="00290645"/>
    <w:rsid w:val="00290BFA"/>
    <w:rsid w:val="00290F65"/>
    <w:rsid w:val="00291A42"/>
    <w:rsid w:val="00291F33"/>
    <w:rsid w:val="0029307A"/>
    <w:rsid w:val="002934F4"/>
    <w:rsid w:val="002939E0"/>
    <w:rsid w:val="00295526"/>
    <w:rsid w:val="00295C25"/>
    <w:rsid w:val="002A07CA"/>
    <w:rsid w:val="002A1C49"/>
    <w:rsid w:val="002A2874"/>
    <w:rsid w:val="002A2B9A"/>
    <w:rsid w:val="002A31D5"/>
    <w:rsid w:val="002A3648"/>
    <w:rsid w:val="002A46AD"/>
    <w:rsid w:val="002A4718"/>
    <w:rsid w:val="002A4926"/>
    <w:rsid w:val="002A5E85"/>
    <w:rsid w:val="002B5E68"/>
    <w:rsid w:val="002B615E"/>
    <w:rsid w:val="002B7436"/>
    <w:rsid w:val="002B7F3D"/>
    <w:rsid w:val="002C1146"/>
    <w:rsid w:val="002C31B4"/>
    <w:rsid w:val="002C367E"/>
    <w:rsid w:val="002C726C"/>
    <w:rsid w:val="002C7B5A"/>
    <w:rsid w:val="002D0CC5"/>
    <w:rsid w:val="002D20AD"/>
    <w:rsid w:val="002D2456"/>
    <w:rsid w:val="002D2876"/>
    <w:rsid w:val="002D3899"/>
    <w:rsid w:val="002D445E"/>
    <w:rsid w:val="002D46D2"/>
    <w:rsid w:val="002D4BD9"/>
    <w:rsid w:val="002D5082"/>
    <w:rsid w:val="002D6233"/>
    <w:rsid w:val="002D6C11"/>
    <w:rsid w:val="002D6D4A"/>
    <w:rsid w:val="002D7629"/>
    <w:rsid w:val="002E14CC"/>
    <w:rsid w:val="002E20A5"/>
    <w:rsid w:val="002E2499"/>
    <w:rsid w:val="002E2B96"/>
    <w:rsid w:val="002E47E3"/>
    <w:rsid w:val="002E63FC"/>
    <w:rsid w:val="002F0465"/>
    <w:rsid w:val="002F25A4"/>
    <w:rsid w:val="002F2916"/>
    <w:rsid w:val="002F375A"/>
    <w:rsid w:val="002F42E8"/>
    <w:rsid w:val="002F4B3B"/>
    <w:rsid w:val="002F55F7"/>
    <w:rsid w:val="002F5CBB"/>
    <w:rsid w:val="002F6B71"/>
    <w:rsid w:val="002F73C5"/>
    <w:rsid w:val="00300931"/>
    <w:rsid w:val="003011F4"/>
    <w:rsid w:val="00301A88"/>
    <w:rsid w:val="00304906"/>
    <w:rsid w:val="00306868"/>
    <w:rsid w:val="003069FB"/>
    <w:rsid w:val="00306A30"/>
    <w:rsid w:val="00306B95"/>
    <w:rsid w:val="00310230"/>
    <w:rsid w:val="00310266"/>
    <w:rsid w:val="0031057F"/>
    <w:rsid w:val="00310C1F"/>
    <w:rsid w:val="003122FE"/>
    <w:rsid w:val="00312A45"/>
    <w:rsid w:val="003131CE"/>
    <w:rsid w:val="003142BD"/>
    <w:rsid w:val="003153E6"/>
    <w:rsid w:val="003156E8"/>
    <w:rsid w:val="003157B5"/>
    <w:rsid w:val="00315DC1"/>
    <w:rsid w:val="0031632B"/>
    <w:rsid w:val="00316BD8"/>
    <w:rsid w:val="00317BFD"/>
    <w:rsid w:val="0032159A"/>
    <w:rsid w:val="00322C8C"/>
    <w:rsid w:val="00323229"/>
    <w:rsid w:val="003252BD"/>
    <w:rsid w:val="003255CC"/>
    <w:rsid w:val="00326107"/>
    <w:rsid w:val="003263AE"/>
    <w:rsid w:val="0032703B"/>
    <w:rsid w:val="003306B4"/>
    <w:rsid w:val="00330CFC"/>
    <w:rsid w:val="00330E94"/>
    <w:rsid w:val="00331F2B"/>
    <w:rsid w:val="00332867"/>
    <w:rsid w:val="003364B3"/>
    <w:rsid w:val="00340A57"/>
    <w:rsid w:val="0034217A"/>
    <w:rsid w:val="00343144"/>
    <w:rsid w:val="00343A2C"/>
    <w:rsid w:val="00343E21"/>
    <w:rsid w:val="00344C96"/>
    <w:rsid w:val="003475FB"/>
    <w:rsid w:val="003478F0"/>
    <w:rsid w:val="00347D07"/>
    <w:rsid w:val="00350DBB"/>
    <w:rsid w:val="00351B88"/>
    <w:rsid w:val="00352049"/>
    <w:rsid w:val="00352A14"/>
    <w:rsid w:val="00352A6D"/>
    <w:rsid w:val="00355C50"/>
    <w:rsid w:val="00355E17"/>
    <w:rsid w:val="003560DC"/>
    <w:rsid w:val="00357663"/>
    <w:rsid w:val="00360573"/>
    <w:rsid w:val="00360780"/>
    <w:rsid w:val="00360E07"/>
    <w:rsid w:val="00361539"/>
    <w:rsid w:val="003619E3"/>
    <w:rsid w:val="00361A70"/>
    <w:rsid w:val="00362D88"/>
    <w:rsid w:val="00363AE5"/>
    <w:rsid w:val="003663C6"/>
    <w:rsid w:val="00366943"/>
    <w:rsid w:val="00366974"/>
    <w:rsid w:val="00367E41"/>
    <w:rsid w:val="003726AF"/>
    <w:rsid w:val="00373145"/>
    <w:rsid w:val="00373167"/>
    <w:rsid w:val="00373905"/>
    <w:rsid w:val="00373B94"/>
    <w:rsid w:val="00374DD5"/>
    <w:rsid w:val="00375488"/>
    <w:rsid w:val="00377E4C"/>
    <w:rsid w:val="00380982"/>
    <w:rsid w:val="00381D4F"/>
    <w:rsid w:val="00381E09"/>
    <w:rsid w:val="0038241F"/>
    <w:rsid w:val="003848A7"/>
    <w:rsid w:val="00385176"/>
    <w:rsid w:val="00385E32"/>
    <w:rsid w:val="003864D3"/>
    <w:rsid w:val="003916C6"/>
    <w:rsid w:val="00392146"/>
    <w:rsid w:val="0039218B"/>
    <w:rsid w:val="003923C4"/>
    <w:rsid w:val="00392C67"/>
    <w:rsid w:val="00392C81"/>
    <w:rsid w:val="00393DD9"/>
    <w:rsid w:val="00393EF4"/>
    <w:rsid w:val="00394766"/>
    <w:rsid w:val="00395DAC"/>
    <w:rsid w:val="00396C74"/>
    <w:rsid w:val="00397032"/>
    <w:rsid w:val="00397455"/>
    <w:rsid w:val="003A0B41"/>
    <w:rsid w:val="003A1560"/>
    <w:rsid w:val="003A39B6"/>
    <w:rsid w:val="003A3CB6"/>
    <w:rsid w:val="003A48A1"/>
    <w:rsid w:val="003A4A2E"/>
    <w:rsid w:val="003A4EAC"/>
    <w:rsid w:val="003A4F82"/>
    <w:rsid w:val="003A5E03"/>
    <w:rsid w:val="003A7EB3"/>
    <w:rsid w:val="003B154D"/>
    <w:rsid w:val="003B1F0F"/>
    <w:rsid w:val="003B2037"/>
    <w:rsid w:val="003B2E9A"/>
    <w:rsid w:val="003B3535"/>
    <w:rsid w:val="003B3756"/>
    <w:rsid w:val="003B435D"/>
    <w:rsid w:val="003B5567"/>
    <w:rsid w:val="003B5E40"/>
    <w:rsid w:val="003B5EE7"/>
    <w:rsid w:val="003B5F6E"/>
    <w:rsid w:val="003B656C"/>
    <w:rsid w:val="003B7DF9"/>
    <w:rsid w:val="003C05C2"/>
    <w:rsid w:val="003C1B6A"/>
    <w:rsid w:val="003C3AD7"/>
    <w:rsid w:val="003C42B3"/>
    <w:rsid w:val="003C466B"/>
    <w:rsid w:val="003C5171"/>
    <w:rsid w:val="003C5B2C"/>
    <w:rsid w:val="003D0023"/>
    <w:rsid w:val="003D4ABC"/>
    <w:rsid w:val="003D4C42"/>
    <w:rsid w:val="003D4FD3"/>
    <w:rsid w:val="003D6A5E"/>
    <w:rsid w:val="003E010D"/>
    <w:rsid w:val="003E03B3"/>
    <w:rsid w:val="003E0483"/>
    <w:rsid w:val="003E0D60"/>
    <w:rsid w:val="003E156F"/>
    <w:rsid w:val="003E4585"/>
    <w:rsid w:val="003E468E"/>
    <w:rsid w:val="003E6244"/>
    <w:rsid w:val="003E669F"/>
    <w:rsid w:val="003E66FE"/>
    <w:rsid w:val="003E73C6"/>
    <w:rsid w:val="003F18BD"/>
    <w:rsid w:val="003F2A90"/>
    <w:rsid w:val="003F5311"/>
    <w:rsid w:val="003F6CF0"/>
    <w:rsid w:val="003F7B58"/>
    <w:rsid w:val="004004E7"/>
    <w:rsid w:val="00400749"/>
    <w:rsid w:val="00401371"/>
    <w:rsid w:val="00401BDE"/>
    <w:rsid w:val="004030B4"/>
    <w:rsid w:val="00403D0A"/>
    <w:rsid w:val="00404216"/>
    <w:rsid w:val="00404342"/>
    <w:rsid w:val="0040437E"/>
    <w:rsid w:val="004045D4"/>
    <w:rsid w:val="004051E0"/>
    <w:rsid w:val="004065A6"/>
    <w:rsid w:val="00407AC6"/>
    <w:rsid w:val="00410D52"/>
    <w:rsid w:val="00411EAC"/>
    <w:rsid w:val="00411FD0"/>
    <w:rsid w:val="0041222E"/>
    <w:rsid w:val="0041279E"/>
    <w:rsid w:val="00413FFF"/>
    <w:rsid w:val="004147B4"/>
    <w:rsid w:val="0041603D"/>
    <w:rsid w:val="00420126"/>
    <w:rsid w:val="00420D34"/>
    <w:rsid w:val="00422B58"/>
    <w:rsid w:val="00422FF6"/>
    <w:rsid w:val="004234B1"/>
    <w:rsid w:val="00424BDB"/>
    <w:rsid w:val="00424BF3"/>
    <w:rsid w:val="004264A5"/>
    <w:rsid w:val="0042732A"/>
    <w:rsid w:val="00427594"/>
    <w:rsid w:val="0042799E"/>
    <w:rsid w:val="0043063F"/>
    <w:rsid w:val="00431E58"/>
    <w:rsid w:val="004320D0"/>
    <w:rsid w:val="00432769"/>
    <w:rsid w:val="00433313"/>
    <w:rsid w:val="00434C45"/>
    <w:rsid w:val="004357BA"/>
    <w:rsid w:val="00436B6A"/>
    <w:rsid w:val="0043714B"/>
    <w:rsid w:val="00437239"/>
    <w:rsid w:val="00437A9C"/>
    <w:rsid w:val="004403BF"/>
    <w:rsid w:val="004406CB"/>
    <w:rsid w:val="00441131"/>
    <w:rsid w:val="00442071"/>
    <w:rsid w:val="00447F3D"/>
    <w:rsid w:val="00450CD0"/>
    <w:rsid w:val="00450D5B"/>
    <w:rsid w:val="00451073"/>
    <w:rsid w:val="004515DB"/>
    <w:rsid w:val="00453201"/>
    <w:rsid w:val="004554AD"/>
    <w:rsid w:val="00456AAD"/>
    <w:rsid w:val="00456BEB"/>
    <w:rsid w:val="0045763C"/>
    <w:rsid w:val="00457990"/>
    <w:rsid w:val="00460982"/>
    <w:rsid w:val="004613E6"/>
    <w:rsid w:val="0046179C"/>
    <w:rsid w:val="00461D20"/>
    <w:rsid w:val="00462438"/>
    <w:rsid w:val="00464347"/>
    <w:rsid w:val="004643F2"/>
    <w:rsid w:val="004656CA"/>
    <w:rsid w:val="004668C3"/>
    <w:rsid w:val="00466B9C"/>
    <w:rsid w:val="0046722E"/>
    <w:rsid w:val="00474092"/>
    <w:rsid w:val="004746C3"/>
    <w:rsid w:val="004748C0"/>
    <w:rsid w:val="00474D22"/>
    <w:rsid w:val="00476189"/>
    <w:rsid w:val="00477FA2"/>
    <w:rsid w:val="004817E1"/>
    <w:rsid w:val="00482574"/>
    <w:rsid w:val="00482FC7"/>
    <w:rsid w:val="004842CC"/>
    <w:rsid w:val="00485001"/>
    <w:rsid w:val="0048527E"/>
    <w:rsid w:val="004857DD"/>
    <w:rsid w:val="00487A9D"/>
    <w:rsid w:val="00487B11"/>
    <w:rsid w:val="00487C25"/>
    <w:rsid w:val="004902B4"/>
    <w:rsid w:val="004906E1"/>
    <w:rsid w:val="00491F5E"/>
    <w:rsid w:val="0049203C"/>
    <w:rsid w:val="004924FC"/>
    <w:rsid w:val="0049255A"/>
    <w:rsid w:val="0049266F"/>
    <w:rsid w:val="00492D24"/>
    <w:rsid w:val="004934C9"/>
    <w:rsid w:val="004949B1"/>
    <w:rsid w:val="00495EA1"/>
    <w:rsid w:val="00496588"/>
    <w:rsid w:val="004976D0"/>
    <w:rsid w:val="004A01D2"/>
    <w:rsid w:val="004A0498"/>
    <w:rsid w:val="004A07B6"/>
    <w:rsid w:val="004A221E"/>
    <w:rsid w:val="004A25DC"/>
    <w:rsid w:val="004A2F99"/>
    <w:rsid w:val="004A3855"/>
    <w:rsid w:val="004A3A04"/>
    <w:rsid w:val="004A40C4"/>
    <w:rsid w:val="004A64B1"/>
    <w:rsid w:val="004A6615"/>
    <w:rsid w:val="004A7C7D"/>
    <w:rsid w:val="004B0334"/>
    <w:rsid w:val="004B1AE1"/>
    <w:rsid w:val="004B1C1E"/>
    <w:rsid w:val="004B2715"/>
    <w:rsid w:val="004B2943"/>
    <w:rsid w:val="004B29F9"/>
    <w:rsid w:val="004B2BE2"/>
    <w:rsid w:val="004B404B"/>
    <w:rsid w:val="004B4762"/>
    <w:rsid w:val="004B4CB5"/>
    <w:rsid w:val="004B658F"/>
    <w:rsid w:val="004B72E4"/>
    <w:rsid w:val="004B7679"/>
    <w:rsid w:val="004B7E45"/>
    <w:rsid w:val="004C0710"/>
    <w:rsid w:val="004C18DA"/>
    <w:rsid w:val="004C416A"/>
    <w:rsid w:val="004C4AB9"/>
    <w:rsid w:val="004C5A1B"/>
    <w:rsid w:val="004C5B02"/>
    <w:rsid w:val="004C5C67"/>
    <w:rsid w:val="004C77B6"/>
    <w:rsid w:val="004C7C65"/>
    <w:rsid w:val="004D0243"/>
    <w:rsid w:val="004D0C72"/>
    <w:rsid w:val="004D1475"/>
    <w:rsid w:val="004D1949"/>
    <w:rsid w:val="004D39CF"/>
    <w:rsid w:val="004D3BEA"/>
    <w:rsid w:val="004D4B16"/>
    <w:rsid w:val="004D52BC"/>
    <w:rsid w:val="004D63DB"/>
    <w:rsid w:val="004D68EF"/>
    <w:rsid w:val="004D6BDB"/>
    <w:rsid w:val="004E0269"/>
    <w:rsid w:val="004E0E19"/>
    <w:rsid w:val="004E33D9"/>
    <w:rsid w:val="004E464D"/>
    <w:rsid w:val="004E665B"/>
    <w:rsid w:val="004F037F"/>
    <w:rsid w:val="004F06FA"/>
    <w:rsid w:val="004F0C3F"/>
    <w:rsid w:val="004F24D2"/>
    <w:rsid w:val="004F2608"/>
    <w:rsid w:val="004F528B"/>
    <w:rsid w:val="004F58AA"/>
    <w:rsid w:val="004F7D35"/>
    <w:rsid w:val="004F7FFC"/>
    <w:rsid w:val="00500F17"/>
    <w:rsid w:val="00501729"/>
    <w:rsid w:val="005024EB"/>
    <w:rsid w:val="00502BCE"/>
    <w:rsid w:val="005062D5"/>
    <w:rsid w:val="005065C4"/>
    <w:rsid w:val="00506873"/>
    <w:rsid w:val="0050762F"/>
    <w:rsid w:val="00514738"/>
    <w:rsid w:val="00515022"/>
    <w:rsid w:val="00515D03"/>
    <w:rsid w:val="0051674F"/>
    <w:rsid w:val="00516B81"/>
    <w:rsid w:val="00516D91"/>
    <w:rsid w:val="00520155"/>
    <w:rsid w:val="00520783"/>
    <w:rsid w:val="005208DF"/>
    <w:rsid w:val="00520968"/>
    <w:rsid w:val="0052269A"/>
    <w:rsid w:val="00522D8E"/>
    <w:rsid w:val="005237AA"/>
    <w:rsid w:val="0052447A"/>
    <w:rsid w:val="00524BB2"/>
    <w:rsid w:val="00525CC8"/>
    <w:rsid w:val="00525FF7"/>
    <w:rsid w:val="00526D40"/>
    <w:rsid w:val="00526DB0"/>
    <w:rsid w:val="00530F1C"/>
    <w:rsid w:val="005324FD"/>
    <w:rsid w:val="0053251D"/>
    <w:rsid w:val="00533352"/>
    <w:rsid w:val="00537003"/>
    <w:rsid w:val="0054089F"/>
    <w:rsid w:val="00541B5C"/>
    <w:rsid w:val="0054251D"/>
    <w:rsid w:val="00542ACD"/>
    <w:rsid w:val="0054300E"/>
    <w:rsid w:val="0054327B"/>
    <w:rsid w:val="00543A75"/>
    <w:rsid w:val="00544322"/>
    <w:rsid w:val="00544F92"/>
    <w:rsid w:val="00546AB9"/>
    <w:rsid w:val="005508D2"/>
    <w:rsid w:val="00550AC3"/>
    <w:rsid w:val="00550D28"/>
    <w:rsid w:val="00551716"/>
    <w:rsid w:val="00554227"/>
    <w:rsid w:val="00554489"/>
    <w:rsid w:val="0055672E"/>
    <w:rsid w:val="005574DB"/>
    <w:rsid w:val="005575A8"/>
    <w:rsid w:val="00560527"/>
    <w:rsid w:val="00560907"/>
    <w:rsid w:val="005609E2"/>
    <w:rsid w:val="005611BB"/>
    <w:rsid w:val="005612DC"/>
    <w:rsid w:val="005627AB"/>
    <w:rsid w:val="005631E1"/>
    <w:rsid w:val="00564611"/>
    <w:rsid w:val="00566043"/>
    <w:rsid w:val="00566102"/>
    <w:rsid w:val="005663A6"/>
    <w:rsid w:val="0056662B"/>
    <w:rsid w:val="0056717F"/>
    <w:rsid w:val="00571743"/>
    <w:rsid w:val="0057209E"/>
    <w:rsid w:val="0057226F"/>
    <w:rsid w:val="00573507"/>
    <w:rsid w:val="005736F7"/>
    <w:rsid w:val="00574AC4"/>
    <w:rsid w:val="00575BB3"/>
    <w:rsid w:val="00575C7A"/>
    <w:rsid w:val="00577A8B"/>
    <w:rsid w:val="0058073B"/>
    <w:rsid w:val="0058190C"/>
    <w:rsid w:val="00581FD9"/>
    <w:rsid w:val="005843AC"/>
    <w:rsid w:val="00584AE1"/>
    <w:rsid w:val="00584BA9"/>
    <w:rsid w:val="00585EAD"/>
    <w:rsid w:val="00586EEB"/>
    <w:rsid w:val="005875ED"/>
    <w:rsid w:val="00590D21"/>
    <w:rsid w:val="00592DB2"/>
    <w:rsid w:val="005948B3"/>
    <w:rsid w:val="005949DA"/>
    <w:rsid w:val="00596756"/>
    <w:rsid w:val="00596F8B"/>
    <w:rsid w:val="005A0BFC"/>
    <w:rsid w:val="005A1402"/>
    <w:rsid w:val="005A226F"/>
    <w:rsid w:val="005A286C"/>
    <w:rsid w:val="005A2DA8"/>
    <w:rsid w:val="005A6670"/>
    <w:rsid w:val="005A6C8B"/>
    <w:rsid w:val="005A72A5"/>
    <w:rsid w:val="005A7854"/>
    <w:rsid w:val="005B14FA"/>
    <w:rsid w:val="005B1DFC"/>
    <w:rsid w:val="005B2707"/>
    <w:rsid w:val="005B3A5F"/>
    <w:rsid w:val="005B474A"/>
    <w:rsid w:val="005B4A42"/>
    <w:rsid w:val="005B59E8"/>
    <w:rsid w:val="005B5C4F"/>
    <w:rsid w:val="005B72E4"/>
    <w:rsid w:val="005C162B"/>
    <w:rsid w:val="005C189E"/>
    <w:rsid w:val="005C2711"/>
    <w:rsid w:val="005C3FD2"/>
    <w:rsid w:val="005C56F8"/>
    <w:rsid w:val="005C5FB6"/>
    <w:rsid w:val="005D19A3"/>
    <w:rsid w:val="005D2356"/>
    <w:rsid w:val="005D2F99"/>
    <w:rsid w:val="005D3099"/>
    <w:rsid w:val="005D31B5"/>
    <w:rsid w:val="005D551F"/>
    <w:rsid w:val="005D59E1"/>
    <w:rsid w:val="005D6E02"/>
    <w:rsid w:val="005D7EAE"/>
    <w:rsid w:val="005E2829"/>
    <w:rsid w:val="005E2D90"/>
    <w:rsid w:val="005E365F"/>
    <w:rsid w:val="005E3AD2"/>
    <w:rsid w:val="005E41D0"/>
    <w:rsid w:val="005E4816"/>
    <w:rsid w:val="005E4DC2"/>
    <w:rsid w:val="005E5079"/>
    <w:rsid w:val="005F0F7E"/>
    <w:rsid w:val="005F11B1"/>
    <w:rsid w:val="005F1E6F"/>
    <w:rsid w:val="005F21A4"/>
    <w:rsid w:val="005F6705"/>
    <w:rsid w:val="005F6941"/>
    <w:rsid w:val="005F6E88"/>
    <w:rsid w:val="00601939"/>
    <w:rsid w:val="00601CE1"/>
    <w:rsid w:val="00601E2F"/>
    <w:rsid w:val="00602948"/>
    <w:rsid w:val="00602BFF"/>
    <w:rsid w:val="0060319D"/>
    <w:rsid w:val="00604305"/>
    <w:rsid w:val="00605790"/>
    <w:rsid w:val="00605F81"/>
    <w:rsid w:val="0061270C"/>
    <w:rsid w:val="00612C45"/>
    <w:rsid w:val="00612D00"/>
    <w:rsid w:val="00613957"/>
    <w:rsid w:val="00613D33"/>
    <w:rsid w:val="00614384"/>
    <w:rsid w:val="00614645"/>
    <w:rsid w:val="00615E78"/>
    <w:rsid w:val="00616C29"/>
    <w:rsid w:val="00620A2A"/>
    <w:rsid w:val="00620BC4"/>
    <w:rsid w:val="00620D15"/>
    <w:rsid w:val="006237AF"/>
    <w:rsid w:val="00624E3A"/>
    <w:rsid w:val="00625344"/>
    <w:rsid w:val="006278CD"/>
    <w:rsid w:val="006307FF"/>
    <w:rsid w:val="00630D0C"/>
    <w:rsid w:val="00633FDA"/>
    <w:rsid w:val="00637D4C"/>
    <w:rsid w:val="006406C6"/>
    <w:rsid w:val="00640949"/>
    <w:rsid w:val="006411B9"/>
    <w:rsid w:val="0064121D"/>
    <w:rsid w:val="00641364"/>
    <w:rsid w:val="0064199D"/>
    <w:rsid w:val="00641C62"/>
    <w:rsid w:val="00642149"/>
    <w:rsid w:val="00644ABA"/>
    <w:rsid w:val="00644DE1"/>
    <w:rsid w:val="00644FF9"/>
    <w:rsid w:val="00645C4A"/>
    <w:rsid w:val="00646691"/>
    <w:rsid w:val="00646A7F"/>
    <w:rsid w:val="00646C13"/>
    <w:rsid w:val="00647196"/>
    <w:rsid w:val="006517F8"/>
    <w:rsid w:val="00652652"/>
    <w:rsid w:val="006531BE"/>
    <w:rsid w:val="0065331A"/>
    <w:rsid w:val="00653B66"/>
    <w:rsid w:val="00654992"/>
    <w:rsid w:val="00661B05"/>
    <w:rsid w:val="00662E5D"/>
    <w:rsid w:val="006649F9"/>
    <w:rsid w:val="00665B96"/>
    <w:rsid w:val="006674D1"/>
    <w:rsid w:val="00670736"/>
    <w:rsid w:val="006708D4"/>
    <w:rsid w:val="006708ED"/>
    <w:rsid w:val="00670C86"/>
    <w:rsid w:val="00671578"/>
    <w:rsid w:val="00672337"/>
    <w:rsid w:val="00672746"/>
    <w:rsid w:val="006728C3"/>
    <w:rsid w:val="00673D66"/>
    <w:rsid w:val="00675011"/>
    <w:rsid w:val="006764CF"/>
    <w:rsid w:val="00676952"/>
    <w:rsid w:val="00676F9A"/>
    <w:rsid w:val="0067732F"/>
    <w:rsid w:val="006866F2"/>
    <w:rsid w:val="00686B32"/>
    <w:rsid w:val="00686DC9"/>
    <w:rsid w:val="006878E8"/>
    <w:rsid w:val="00687977"/>
    <w:rsid w:val="006907FE"/>
    <w:rsid w:val="00690847"/>
    <w:rsid w:val="00690ACD"/>
    <w:rsid w:val="00691D12"/>
    <w:rsid w:val="006935BC"/>
    <w:rsid w:val="00693EC8"/>
    <w:rsid w:val="0069402B"/>
    <w:rsid w:val="006942D5"/>
    <w:rsid w:val="006955DE"/>
    <w:rsid w:val="006956FD"/>
    <w:rsid w:val="006957DD"/>
    <w:rsid w:val="00696780"/>
    <w:rsid w:val="00697078"/>
    <w:rsid w:val="006A070B"/>
    <w:rsid w:val="006A1E73"/>
    <w:rsid w:val="006A25B0"/>
    <w:rsid w:val="006A2E86"/>
    <w:rsid w:val="006A440E"/>
    <w:rsid w:val="006A4567"/>
    <w:rsid w:val="006A4B16"/>
    <w:rsid w:val="006A511E"/>
    <w:rsid w:val="006A537A"/>
    <w:rsid w:val="006A5603"/>
    <w:rsid w:val="006A583F"/>
    <w:rsid w:val="006A5D54"/>
    <w:rsid w:val="006A6040"/>
    <w:rsid w:val="006A68FF"/>
    <w:rsid w:val="006B3A7F"/>
    <w:rsid w:val="006B4E86"/>
    <w:rsid w:val="006B532C"/>
    <w:rsid w:val="006C02FD"/>
    <w:rsid w:val="006C158B"/>
    <w:rsid w:val="006C1F5B"/>
    <w:rsid w:val="006C2197"/>
    <w:rsid w:val="006C2339"/>
    <w:rsid w:val="006C23CC"/>
    <w:rsid w:val="006C2B04"/>
    <w:rsid w:val="006C4474"/>
    <w:rsid w:val="006C4E80"/>
    <w:rsid w:val="006C50A7"/>
    <w:rsid w:val="006C53B5"/>
    <w:rsid w:val="006C546F"/>
    <w:rsid w:val="006C6D90"/>
    <w:rsid w:val="006C6EDF"/>
    <w:rsid w:val="006D002B"/>
    <w:rsid w:val="006D05C6"/>
    <w:rsid w:val="006D2252"/>
    <w:rsid w:val="006D298A"/>
    <w:rsid w:val="006D3D4A"/>
    <w:rsid w:val="006D53F1"/>
    <w:rsid w:val="006D60C4"/>
    <w:rsid w:val="006D73EA"/>
    <w:rsid w:val="006D77E1"/>
    <w:rsid w:val="006E29B0"/>
    <w:rsid w:val="006E2D27"/>
    <w:rsid w:val="006E3101"/>
    <w:rsid w:val="006E3E32"/>
    <w:rsid w:val="006E475A"/>
    <w:rsid w:val="006E4E24"/>
    <w:rsid w:val="006E558A"/>
    <w:rsid w:val="006F2D0B"/>
    <w:rsid w:val="006F3806"/>
    <w:rsid w:val="006F4ED1"/>
    <w:rsid w:val="006F50EB"/>
    <w:rsid w:val="006F5154"/>
    <w:rsid w:val="006F5E5B"/>
    <w:rsid w:val="006F62DD"/>
    <w:rsid w:val="006F7044"/>
    <w:rsid w:val="006F78A2"/>
    <w:rsid w:val="007004DC"/>
    <w:rsid w:val="0070192A"/>
    <w:rsid w:val="00702261"/>
    <w:rsid w:val="00702BF6"/>
    <w:rsid w:val="007042D1"/>
    <w:rsid w:val="00704F00"/>
    <w:rsid w:val="007074D3"/>
    <w:rsid w:val="0071014C"/>
    <w:rsid w:val="00710470"/>
    <w:rsid w:val="00711E89"/>
    <w:rsid w:val="00713045"/>
    <w:rsid w:val="00713BB5"/>
    <w:rsid w:val="0071526E"/>
    <w:rsid w:val="0071588C"/>
    <w:rsid w:val="00715EFD"/>
    <w:rsid w:val="00716A74"/>
    <w:rsid w:val="0071734B"/>
    <w:rsid w:val="007205BD"/>
    <w:rsid w:val="0072072A"/>
    <w:rsid w:val="00721228"/>
    <w:rsid w:val="007213B2"/>
    <w:rsid w:val="007234CB"/>
    <w:rsid w:val="007241ED"/>
    <w:rsid w:val="007271D6"/>
    <w:rsid w:val="007274EC"/>
    <w:rsid w:val="00730846"/>
    <w:rsid w:val="00730D8B"/>
    <w:rsid w:val="00730E5B"/>
    <w:rsid w:val="00730F23"/>
    <w:rsid w:val="0073246D"/>
    <w:rsid w:val="00733068"/>
    <w:rsid w:val="007350FC"/>
    <w:rsid w:val="00735FB8"/>
    <w:rsid w:val="0073619C"/>
    <w:rsid w:val="007364F2"/>
    <w:rsid w:val="007365D0"/>
    <w:rsid w:val="00736BCD"/>
    <w:rsid w:val="00737915"/>
    <w:rsid w:val="00737A3B"/>
    <w:rsid w:val="00737F81"/>
    <w:rsid w:val="00745619"/>
    <w:rsid w:val="00746722"/>
    <w:rsid w:val="00747953"/>
    <w:rsid w:val="00751A27"/>
    <w:rsid w:val="007531ED"/>
    <w:rsid w:val="00755586"/>
    <w:rsid w:val="007556D2"/>
    <w:rsid w:val="00755992"/>
    <w:rsid w:val="00755C12"/>
    <w:rsid w:val="00760367"/>
    <w:rsid w:val="0076113F"/>
    <w:rsid w:val="00761A8C"/>
    <w:rsid w:val="00762100"/>
    <w:rsid w:val="00762558"/>
    <w:rsid w:val="00762BB7"/>
    <w:rsid w:val="007652F3"/>
    <w:rsid w:val="00765ABD"/>
    <w:rsid w:val="00766D18"/>
    <w:rsid w:val="00766E21"/>
    <w:rsid w:val="00766F17"/>
    <w:rsid w:val="00766FBA"/>
    <w:rsid w:val="00767E0B"/>
    <w:rsid w:val="00770CB3"/>
    <w:rsid w:val="00770DD4"/>
    <w:rsid w:val="00772038"/>
    <w:rsid w:val="007738F4"/>
    <w:rsid w:val="00773E6B"/>
    <w:rsid w:val="007760E6"/>
    <w:rsid w:val="00776956"/>
    <w:rsid w:val="007806AA"/>
    <w:rsid w:val="00780D75"/>
    <w:rsid w:val="00783BD2"/>
    <w:rsid w:val="00783EBF"/>
    <w:rsid w:val="00784227"/>
    <w:rsid w:val="0078456B"/>
    <w:rsid w:val="00784C38"/>
    <w:rsid w:val="00785C85"/>
    <w:rsid w:val="007901D1"/>
    <w:rsid w:val="00790B53"/>
    <w:rsid w:val="00792047"/>
    <w:rsid w:val="007922BB"/>
    <w:rsid w:val="00792796"/>
    <w:rsid w:val="00792853"/>
    <w:rsid w:val="007937BC"/>
    <w:rsid w:val="00794C4E"/>
    <w:rsid w:val="007958B9"/>
    <w:rsid w:val="007966D3"/>
    <w:rsid w:val="007972C0"/>
    <w:rsid w:val="00797DB1"/>
    <w:rsid w:val="007A10C5"/>
    <w:rsid w:val="007A161D"/>
    <w:rsid w:val="007A22E7"/>
    <w:rsid w:val="007A3806"/>
    <w:rsid w:val="007A38A4"/>
    <w:rsid w:val="007A55E2"/>
    <w:rsid w:val="007B08C5"/>
    <w:rsid w:val="007B1672"/>
    <w:rsid w:val="007B29C3"/>
    <w:rsid w:val="007B5788"/>
    <w:rsid w:val="007B578A"/>
    <w:rsid w:val="007B5875"/>
    <w:rsid w:val="007B5C33"/>
    <w:rsid w:val="007B6FA4"/>
    <w:rsid w:val="007B7A14"/>
    <w:rsid w:val="007C158C"/>
    <w:rsid w:val="007C1B4C"/>
    <w:rsid w:val="007C1C8A"/>
    <w:rsid w:val="007C2464"/>
    <w:rsid w:val="007C2701"/>
    <w:rsid w:val="007C2E2F"/>
    <w:rsid w:val="007C37AB"/>
    <w:rsid w:val="007C3939"/>
    <w:rsid w:val="007C44E1"/>
    <w:rsid w:val="007C5090"/>
    <w:rsid w:val="007C7931"/>
    <w:rsid w:val="007C7CE3"/>
    <w:rsid w:val="007D22C6"/>
    <w:rsid w:val="007D23DB"/>
    <w:rsid w:val="007D4924"/>
    <w:rsid w:val="007D4D43"/>
    <w:rsid w:val="007D57D3"/>
    <w:rsid w:val="007D618F"/>
    <w:rsid w:val="007D7275"/>
    <w:rsid w:val="007D7EAB"/>
    <w:rsid w:val="007D7F3C"/>
    <w:rsid w:val="007E0072"/>
    <w:rsid w:val="007E0F2D"/>
    <w:rsid w:val="007E58DA"/>
    <w:rsid w:val="007E6595"/>
    <w:rsid w:val="007E71CA"/>
    <w:rsid w:val="007E7E36"/>
    <w:rsid w:val="007F09BF"/>
    <w:rsid w:val="007F18B2"/>
    <w:rsid w:val="007F19AA"/>
    <w:rsid w:val="007F4123"/>
    <w:rsid w:val="007F51EB"/>
    <w:rsid w:val="007F531C"/>
    <w:rsid w:val="007F5BB2"/>
    <w:rsid w:val="007F5D36"/>
    <w:rsid w:val="007F6745"/>
    <w:rsid w:val="007F6884"/>
    <w:rsid w:val="007F6C2D"/>
    <w:rsid w:val="007F6E0F"/>
    <w:rsid w:val="007F6FD1"/>
    <w:rsid w:val="008001CC"/>
    <w:rsid w:val="00800C7D"/>
    <w:rsid w:val="008015E0"/>
    <w:rsid w:val="00801F05"/>
    <w:rsid w:val="00802427"/>
    <w:rsid w:val="00802B4B"/>
    <w:rsid w:val="00802CC1"/>
    <w:rsid w:val="0080383E"/>
    <w:rsid w:val="00805D73"/>
    <w:rsid w:val="0080639A"/>
    <w:rsid w:val="00806A9A"/>
    <w:rsid w:val="00806B94"/>
    <w:rsid w:val="00806C8A"/>
    <w:rsid w:val="00807BEF"/>
    <w:rsid w:val="00811C9B"/>
    <w:rsid w:val="008120C3"/>
    <w:rsid w:val="0081256A"/>
    <w:rsid w:val="00813300"/>
    <w:rsid w:val="0081497F"/>
    <w:rsid w:val="00814F2E"/>
    <w:rsid w:val="00822F02"/>
    <w:rsid w:val="0082400F"/>
    <w:rsid w:val="008245DA"/>
    <w:rsid w:val="00826435"/>
    <w:rsid w:val="00826F14"/>
    <w:rsid w:val="00827809"/>
    <w:rsid w:val="00830D7C"/>
    <w:rsid w:val="00830FB3"/>
    <w:rsid w:val="00831D8D"/>
    <w:rsid w:val="00832115"/>
    <w:rsid w:val="00832AEE"/>
    <w:rsid w:val="00833C0E"/>
    <w:rsid w:val="008343AF"/>
    <w:rsid w:val="00834949"/>
    <w:rsid w:val="00834CBC"/>
    <w:rsid w:val="00836B90"/>
    <w:rsid w:val="00836FE7"/>
    <w:rsid w:val="0084000C"/>
    <w:rsid w:val="008424C1"/>
    <w:rsid w:val="0084349A"/>
    <w:rsid w:val="00843A77"/>
    <w:rsid w:val="00850503"/>
    <w:rsid w:val="00851B75"/>
    <w:rsid w:val="008527E5"/>
    <w:rsid w:val="0085384D"/>
    <w:rsid w:val="008557C1"/>
    <w:rsid w:val="00856693"/>
    <w:rsid w:val="0085764B"/>
    <w:rsid w:val="00857B05"/>
    <w:rsid w:val="00860760"/>
    <w:rsid w:val="008634F6"/>
    <w:rsid w:val="008651ED"/>
    <w:rsid w:val="0086719C"/>
    <w:rsid w:val="00867B13"/>
    <w:rsid w:val="00867C2F"/>
    <w:rsid w:val="0087187D"/>
    <w:rsid w:val="00872856"/>
    <w:rsid w:val="00873BD8"/>
    <w:rsid w:val="008743E1"/>
    <w:rsid w:val="00874ED2"/>
    <w:rsid w:val="00875A3A"/>
    <w:rsid w:val="008803C4"/>
    <w:rsid w:val="00881183"/>
    <w:rsid w:val="00883EB2"/>
    <w:rsid w:val="00883EE9"/>
    <w:rsid w:val="0088413B"/>
    <w:rsid w:val="008842DB"/>
    <w:rsid w:val="008846FA"/>
    <w:rsid w:val="008847DD"/>
    <w:rsid w:val="00884819"/>
    <w:rsid w:val="00884BAB"/>
    <w:rsid w:val="00884DCF"/>
    <w:rsid w:val="00890D8F"/>
    <w:rsid w:val="0089109B"/>
    <w:rsid w:val="0089136B"/>
    <w:rsid w:val="00891982"/>
    <w:rsid w:val="008920B5"/>
    <w:rsid w:val="00892B3A"/>
    <w:rsid w:val="00894E54"/>
    <w:rsid w:val="00897522"/>
    <w:rsid w:val="008A00F6"/>
    <w:rsid w:val="008A23C2"/>
    <w:rsid w:val="008A2C97"/>
    <w:rsid w:val="008A2C98"/>
    <w:rsid w:val="008A5589"/>
    <w:rsid w:val="008A5D56"/>
    <w:rsid w:val="008A7BB9"/>
    <w:rsid w:val="008B0D28"/>
    <w:rsid w:val="008B1D02"/>
    <w:rsid w:val="008B1DBD"/>
    <w:rsid w:val="008B24A0"/>
    <w:rsid w:val="008B36F3"/>
    <w:rsid w:val="008B61BC"/>
    <w:rsid w:val="008B6CEC"/>
    <w:rsid w:val="008B7E0D"/>
    <w:rsid w:val="008C14C2"/>
    <w:rsid w:val="008C2E92"/>
    <w:rsid w:val="008C3F86"/>
    <w:rsid w:val="008D09A2"/>
    <w:rsid w:val="008D0C26"/>
    <w:rsid w:val="008D4013"/>
    <w:rsid w:val="008D4B08"/>
    <w:rsid w:val="008D4D14"/>
    <w:rsid w:val="008D506B"/>
    <w:rsid w:val="008D5939"/>
    <w:rsid w:val="008D5D73"/>
    <w:rsid w:val="008D604D"/>
    <w:rsid w:val="008D6A5B"/>
    <w:rsid w:val="008D70BF"/>
    <w:rsid w:val="008E0AF7"/>
    <w:rsid w:val="008E0D3C"/>
    <w:rsid w:val="008E176F"/>
    <w:rsid w:val="008E1F57"/>
    <w:rsid w:val="008E2AA1"/>
    <w:rsid w:val="008E2AF4"/>
    <w:rsid w:val="008E3752"/>
    <w:rsid w:val="008E3C47"/>
    <w:rsid w:val="008E4AE6"/>
    <w:rsid w:val="008E5573"/>
    <w:rsid w:val="008E5F7D"/>
    <w:rsid w:val="008E6555"/>
    <w:rsid w:val="008E6E67"/>
    <w:rsid w:val="008E6EF2"/>
    <w:rsid w:val="008E7F95"/>
    <w:rsid w:val="008F043A"/>
    <w:rsid w:val="008F07F0"/>
    <w:rsid w:val="008F22E0"/>
    <w:rsid w:val="008F2729"/>
    <w:rsid w:val="008F2FA6"/>
    <w:rsid w:val="008F67C1"/>
    <w:rsid w:val="00900E99"/>
    <w:rsid w:val="009010CA"/>
    <w:rsid w:val="00901512"/>
    <w:rsid w:val="00902428"/>
    <w:rsid w:val="009030C1"/>
    <w:rsid w:val="00904DCD"/>
    <w:rsid w:val="0090578C"/>
    <w:rsid w:val="00910373"/>
    <w:rsid w:val="009118BC"/>
    <w:rsid w:val="00911C88"/>
    <w:rsid w:val="009124C6"/>
    <w:rsid w:val="00912F16"/>
    <w:rsid w:val="0091301E"/>
    <w:rsid w:val="009132C9"/>
    <w:rsid w:val="00913BAE"/>
    <w:rsid w:val="00913D31"/>
    <w:rsid w:val="00914705"/>
    <w:rsid w:val="009150D3"/>
    <w:rsid w:val="00915B5D"/>
    <w:rsid w:val="00915EA4"/>
    <w:rsid w:val="00915F42"/>
    <w:rsid w:val="009169A1"/>
    <w:rsid w:val="00916C7A"/>
    <w:rsid w:val="00917C15"/>
    <w:rsid w:val="009211C0"/>
    <w:rsid w:val="009226B4"/>
    <w:rsid w:val="00923175"/>
    <w:rsid w:val="009257FA"/>
    <w:rsid w:val="00926320"/>
    <w:rsid w:val="00926F19"/>
    <w:rsid w:val="00927A8C"/>
    <w:rsid w:val="0093197D"/>
    <w:rsid w:val="00932D06"/>
    <w:rsid w:val="00934769"/>
    <w:rsid w:val="00934F8D"/>
    <w:rsid w:val="00936EB6"/>
    <w:rsid w:val="00940119"/>
    <w:rsid w:val="0094064C"/>
    <w:rsid w:val="009416D0"/>
    <w:rsid w:val="00942978"/>
    <w:rsid w:val="00944BB1"/>
    <w:rsid w:val="00945A60"/>
    <w:rsid w:val="009468E1"/>
    <w:rsid w:val="00947360"/>
    <w:rsid w:val="00950EF6"/>
    <w:rsid w:val="009520AA"/>
    <w:rsid w:val="009522B3"/>
    <w:rsid w:val="009525D9"/>
    <w:rsid w:val="009528BD"/>
    <w:rsid w:val="00953F2C"/>
    <w:rsid w:val="009541FA"/>
    <w:rsid w:val="009575C4"/>
    <w:rsid w:val="00962C8D"/>
    <w:rsid w:val="009636EE"/>
    <w:rsid w:val="00963860"/>
    <w:rsid w:val="009638EF"/>
    <w:rsid w:val="0096452D"/>
    <w:rsid w:val="009655A8"/>
    <w:rsid w:val="009658E0"/>
    <w:rsid w:val="00967F00"/>
    <w:rsid w:val="00970320"/>
    <w:rsid w:val="00970321"/>
    <w:rsid w:val="00970323"/>
    <w:rsid w:val="00971935"/>
    <w:rsid w:val="009729CA"/>
    <w:rsid w:val="009736B7"/>
    <w:rsid w:val="00973EB4"/>
    <w:rsid w:val="00975352"/>
    <w:rsid w:val="00975922"/>
    <w:rsid w:val="00975DB1"/>
    <w:rsid w:val="00977AD1"/>
    <w:rsid w:val="009810B6"/>
    <w:rsid w:val="00981F56"/>
    <w:rsid w:val="00982DF9"/>
    <w:rsid w:val="00983247"/>
    <w:rsid w:val="00983A71"/>
    <w:rsid w:val="00984DC2"/>
    <w:rsid w:val="009861E1"/>
    <w:rsid w:val="0098745E"/>
    <w:rsid w:val="00987EA8"/>
    <w:rsid w:val="0099025A"/>
    <w:rsid w:val="0099071A"/>
    <w:rsid w:val="00990F0D"/>
    <w:rsid w:val="00991197"/>
    <w:rsid w:val="00991D57"/>
    <w:rsid w:val="00991DBB"/>
    <w:rsid w:val="00992D05"/>
    <w:rsid w:val="00993268"/>
    <w:rsid w:val="00993425"/>
    <w:rsid w:val="009939A0"/>
    <w:rsid w:val="009945DA"/>
    <w:rsid w:val="00994F41"/>
    <w:rsid w:val="009962B3"/>
    <w:rsid w:val="00997043"/>
    <w:rsid w:val="009972CC"/>
    <w:rsid w:val="009979FD"/>
    <w:rsid w:val="009A0A22"/>
    <w:rsid w:val="009A14AE"/>
    <w:rsid w:val="009A4092"/>
    <w:rsid w:val="009A4658"/>
    <w:rsid w:val="009A5F60"/>
    <w:rsid w:val="009A7B7E"/>
    <w:rsid w:val="009B00E8"/>
    <w:rsid w:val="009B0DAD"/>
    <w:rsid w:val="009B2C6E"/>
    <w:rsid w:val="009B3A8E"/>
    <w:rsid w:val="009B40BD"/>
    <w:rsid w:val="009B5F7C"/>
    <w:rsid w:val="009B6923"/>
    <w:rsid w:val="009C0B6D"/>
    <w:rsid w:val="009C13EF"/>
    <w:rsid w:val="009C3750"/>
    <w:rsid w:val="009C4368"/>
    <w:rsid w:val="009C44AE"/>
    <w:rsid w:val="009C45DA"/>
    <w:rsid w:val="009C4B13"/>
    <w:rsid w:val="009C4D2E"/>
    <w:rsid w:val="009C506B"/>
    <w:rsid w:val="009C6616"/>
    <w:rsid w:val="009C67BC"/>
    <w:rsid w:val="009C6A58"/>
    <w:rsid w:val="009C6D6A"/>
    <w:rsid w:val="009C6E87"/>
    <w:rsid w:val="009D1325"/>
    <w:rsid w:val="009D4A23"/>
    <w:rsid w:val="009D51FE"/>
    <w:rsid w:val="009D680F"/>
    <w:rsid w:val="009D74F5"/>
    <w:rsid w:val="009D7A02"/>
    <w:rsid w:val="009E1BB5"/>
    <w:rsid w:val="009E302F"/>
    <w:rsid w:val="009E36A7"/>
    <w:rsid w:val="009E504F"/>
    <w:rsid w:val="009E55CE"/>
    <w:rsid w:val="009E6B3A"/>
    <w:rsid w:val="009E7C94"/>
    <w:rsid w:val="009F2AB4"/>
    <w:rsid w:val="009F3A20"/>
    <w:rsid w:val="009F3FFC"/>
    <w:rsid w:val="009F4060"/>
    <w:rsid w:val="009F6944"/>
    <w:rsid w:val="009F6AEC"/>
    <w:rsid w:val="009F7A22"/>
    <w:rsid w:val="00A007A1"/>
    <w:rsid w:val="00A02C35"/>
    <w:rsid w:val="00A04D32"/>
    <w:rsid w:val="00A04E7E"/>
    <w:rsid w:val="00A05A3A"/>
    <w:rsid w:val="00A05CBD"/>
    <w:rsid w:val="00A06AFD"/>
    <w:rsid w:val="00A07B34"/>
    <w:rsid w:val="00A11687"/>
    <w:rsid w:val="00A12210"/>
    <w:rsid w:val="00A1294F"/>
    <w:rsid w:val="00A13261"/>
    <w:rsid w:val="00A158D4"/>
    <w:rsid w:val="00A15EBB"/>
    <w:rsid w:val="00A165AA"/>
    <w:rsid w:val="00A167C4"/>
    <w:rsid w:val="00A1715F"/>
    <w:rsid w:val="00A178C8"/>
    <w:rsid w:val="00A17C7A"/>
    <w:rsid w:val="00A17CA8"/>
    <w:rsid w:val="00A17E7E"/>
    <w:rsid w:val="00A2174C"/>
    <w:rsid w:val="00A23E5A"/>
    <w:rsid w:val="00A245E4"/>
    <w:rsid w:val="00A26F7A"/>
    <w:rsid w:val="00A27057"/>
    <w:rsid w:val="00A272CC"/>
    <w:rsid w:val="00A272DB"/>
    <w:rsid w:val="00A279AD"/>
    <w:rsid w:val="00A27FD0"/>
    <w:rsid w:val="00A31095"/>
    <w:rsid w:val="00A31945"/>
    <w:rsid w:val="00A328C0"/>
    <w:rsid w:val="00A329D7"/>
    <w:rsid w:val="00A3419D"/>
    <w:rsid w:val="00A34332"/>
    <w:rsid w:val="00A345D6"/>
    <w:rsid w:val="00A35A01"/>
    <w:rsid w:val="00A374FA"/>
    <w:rsid w:val="00A406DE"/>
    <w:rsid w:val="00A415B4"/>
    <w:rsid w:val="00A42D0F"/>
    <w:rsid w:val="00A42D86"/>
    <w:rsid w:val="00A44636"/>
    <w:rsid w:val="00A44704"/>
    <w:rsid w:val="00A454D6"/>
    <w:rsid w:val="00A45D53"/>
    <w:rsid w:val="00A46886"/>
    <w:rsid w:val="00A46FF1"/>
    <w:rsid w:val="00A5120A"/>
    <w:rsid w:val="00A54F21"/>
    <w:rsid w:val="00A5511B"/>
    <w:rsid w:val="00A568BB"/>
    <w:rsid w:val="00A56CF1"/>
    <w:rsid w:val="00A571D1"/>
    <w:rsid w:val="00A57453"/>
    <w:rsid w:val="00A57718"/>
    <w:rsid w:val="00A57FBC"/>
    <w:rsid w:val="00A60910"/>
    <w:rsid w:val="00A60C58"/>
    <w:rsid w:val="00A60E67"/>
    <w:rsid w:val="00A611B1"/>
    <w:rsid w:val="00A61491"/>
    <w:rsid w:val="00A6198A"/>
    <w:rsid w:val="00A630C2"/>
    <w:rsid w:val="00A63B9D"/>
    <w:rsid w:val="00A656B8"/>
    <w:rsid w:val="00A66087"/>
    <w:rsid w:val="00A70DA8"/>
    <w:rsid w:val="00A73002"/>
    <w:rsid w:val="00A733E4"/>
    <w:rsid w:val="00A736CE"/>
    <w:rsid w:val="00A7425B"/>
    <w:rsid w:val="00A74ED9"/>
    <w:rsid w:val="00A766E2"/>
    <w:rsid w:val="00A77191"/>
    <w:rsid w:val="00A7776C"/>
    <w:rsid w:val="00A81547"/>
    <w:rsid w:val="00A817EA"/>
    <w:rsid w:val="00A82A49"/>
    <w:rsid w:val="00A8317D"/>
    <w:rsid w:val="00A832FB"/>
    <w:rsid w:val="00A837DA"/>
    <w:rsid w:val="00A83ACD"/>
    <w:rsid w:val="00A83DAD"/>
    <w:rsid w:val="00A86E15"/>
    <w:rsid w:val="00A87994"/>
    <w:rsid w:val="00A90B63"/>
    <w:rsid w:val="00A92838"/>
    <w:rsid w:val="00A9333B"/>
    <w:rsid w:val="00A93726"/>
    <w:rsid w:val="00A94B9A"/>
    <w:rsid w:val="00A94CE5"/>
    <w:rsid w:val="00A960EF"/>
    <w:rsid w:val="00A96194"/>
    <w:rsid w:val="00A96755"/>
    <w:rsid w:val="00A9747E"/>
    <w:rsid w:val="00AA04ED"/>
    <w:rsid w:val="00AA0889"/>
    <w:rsid w:val="00AA0F9F"/>
    <w:rsid w:val="00AA235A"/>
    <w:rsid w:val="00AA23D1"/>
    <w:rsid w:val="00AA25EE"/>
    <w:rsid w:val="00AA4654"/>
    <w:rsid w:val="00AA4E0F"/>
    <w:rsid w:val="00AA6D05"/>
    <w:rsid w:val="00AA7298"/>
    <w:rsid w:val="00AA7BBC"/>
    <w:rsid w:val="00AB5003"/>
    <w:rsid w:val="00AB5748"/>
    <w:rsid w:val="00AC218B"/>
    <w:rsid w:val="00AC2F46"/>
    <w:rsid w:val="00AC2FDB"/>
    <w:rsid w:val="00AC3593"/>
    <w:rsid w:val="00AC4E1C"/>
    <w:rsid w:val="00AC4F81"/>
    <w:rsid w:val="00AC512B"/>
    <w:rsid w:val="00AC66C0"/>
    <w:rsid w:val="00AC6F1B"/>
    <w:rsid w:val="00AD0ED0"/>
    <w:rsid w:val="00AD2F8D"/>
    <w:rsid w:val="00AD38EE"/>
    <w:rsid w:val="00AD5106"/>
    <w:rsid w:val="00AD5B82"/>
    <w:rsid w:val="00AD6695"/>
    <w:rsid w:val="00AD69E0"/>
    <w:rsid w:val="00AD6F84"/>
    <w:rsid w:val="00AD739E"/>
    <w:rsid w:val="00AD770E"/>
    <w:rsid w:val="00AD7D75"/>
    <w:rsid w:val="00AE00C5"/>
    <w:rsid w:val="00AE0553"/>
    <w:rsid w:val="00AE0EAD"/>
    <w:rsid w:val="00AE159A"/>
    <w:rsid w:val="00AE2C2A"/>
    <w:rsid w:val="00AE2CC7"/>
    <w:rsid w:val="00AE2CFE"/>
    <w:rsid w:val="00AE2F0D"/>
    <w:rsid w:val="00AE680E"/>
    <w:rsid w:val="00AE72A7"/>
    <w:rsid w:val="00AE774F"/>
    <w:rsid w:val="00AE7CE7"/>
    <w:rsid w:val="00AF170D"/>
    <w:rsid w:val="00AF1C39"/>
    <w:rsid w:val="00AF60F9"/>
    <w:rsid w:val="00AF64D9"/>
    <w:rsid w:val="00AF6D43"/>
    <w:rsid w:val="00B02492"/>
    <w:rsid w:val="00B0297C"/>
    <w:rsid w:val="00B054C9"/>
    <w:rsid w:val="00B05623"/>
    <w:rsid w:val="00B05D0F"/>
    <w:rsid w:val="00B0674B"/>
    <w:rsid w:val="00B10A6B"/>
    <w:rsid w:val="00B115E4"/>
    <w:rsid w:val="00B119AD"/>
    <w:rsid w:val="00B11C95"/>
    <w:rsid w:val="00B12617"/>
    <w:rsid w:val="00B132BD"/>
    <w:rsid w:val="00B147F8"/>
    <w:rsid w:val="00B14FDB"/>
    <w:rsid w:val="00B1519F"/>
    <w:rsid w:val="00B16D9C"/>
    <w:rsid w:val="00B17EF6"/>
    <w:rsid w:val="00B218FE"/>
    <w:rsid w:val="00B219C0"/>
    <w:rsid w:val="00B22B19"/>
    <w:rsid w:val="00B22F87"/>
    <w:rsid w:val="00B2301C"/>
    <w:rsid w:val="00B23184"/>
    <w:rsid w:val="00B241AC"/>
    <w:rsid w:val="00B244EF"/>
    <w:rsid w:val="00B256F0"/>
    <w:rsid w:val="00B25D62"/>
    <w:rsid w:val="00B2645A"/>
    <w:rsid w:val="00B26FC2"/>
    <w:rsid w:val="00B27DC8"/>
    <w:rsid w:val="00B30BE4"/>
    <w:rsid w:val="00B30F10"/>
    <w:rsid w:val="00B31863"/>
    <w:rsid w:val="00B326C7"/>
    <w:rsid w:val="00B340BA"/>
    <w:rsid w:val="00B3669A"/>
    <w:rsid w:val="00B40B6B"/>
    <w:rsid w:val="00B41EED"/>
    <w:rsid w:val="00B43993"/>
    <w:rsid w:val="00B444D7"/>
    <w:rsid w:val="00B445EC"/>
    <w:rsid w:val="00B44D5C"/>
    <w:rsid w:val="00B46DFC"/>
    <w:rsid w:val="00B470D6"/>
    <w:rsid w:val="00B5106D"/>
    <w:rsid w:val="00B51471"/>
    <w:rsid w:val="00B521D2"/>
    <w:rsid w:val="00B53EC8"/>
    <w:rsid w:val="00B55324"/>
    <w:rsid w:val="00B563A5"/>
    <w:rsid w:val="00B57696"/>
    <w:rsid w:val="00B579B6"/>
    <w:rsid w:val="00B614AF"/>
    <w:rsid w:val="00B614C2"/>
    <w:rsid w:val="00B62C73"/>
    <w:rsid w:val="00B63594"/>
    <w:rsid w:val="00B63641"/>
    <w:rsid w:val="00B636E2"/>
    <w:rsid w:val="00B63E76"/>
    <w:rsid w:val="00B64B83"/>
    <w:rsid w:val="00B65C85"/>
    <w:rsid w:val="00B667BA"/>
    <w:rsid w:val="00B66B82"/>
    <w:rsid w:val="00B66F74"/>
    <w:rsid w:val="00B701E4"/>
    <w:rsid w:val="00B70534"/>
    <w:rsid w:val="00B70949"/>
    <w:rsid w:val="00B73617"/>
    <w:rsid w:val="00B73652"/>
    <w:rsid w:val="00B75083"/>
    <w:rsid w:val="00B77597"/>
    <w:rsid w:val="00B77831"/>
    <w:rsid w:val="00B7799D"/>
    <w:rsid w:val="00B81AD4"/>
    <w:rsid w:val="00B829A6"/>
    <w:rsid w:val="00B844B1"/>
    <w:rsid w:val="00B84CA6"/>
    <w:rsid w:val="00B8518C"/>
    <w:rsid w:val="00B853BE"/>
    <w:rsid w:val="00B85944"/>
    <w:rsid w:val="00B86219"/>
    <w:rsid w:val="00B877F1"/>
    <w:rsid w:val="00B90650"/>
    <w:rsid w:val="00B90821"/>
    <w:rsid w:val="00B9084F"/>
    <w:rsid w:val="00B92061"/>
    <w:rsid w:val="00B927CB"/>
    <w:rsid w:val="00B927E1"/>
    <w:rsid w:val="00B92D7E"/>
    <w:rsid w:val="00B9334D"/>
    <w:rsid w:val="00B93597"/>
    <w:rsid w:val="00B93A1F"/>
    <w:rsid w:val="00B93D42"/>
    <w:rsid w:val="00B93F3A"/>
    <w:rsid w:val="00B945DE"/>
    <w:rsid w:val="00B95516"/>
    <w:rsid w:val="00B962D2"/>
    <w:rsid w:val="00B97936"/>
    <w:rsid w:val="00BA041E"/>
    <w:rsid w:val="00BA27A3"/>
    <w:rsid w:val="00BA28FA"/>
    <w:rsid w:val="00BA3585"/>
    <w:rsid w:val="00BA384B"/>
    <w:rsid w:val="00BA3C84"/>
    <w:rsid w:val="00BA3D1E"/>
    <w:rsid w:val="00BA3F27"/>
    <w:rsid w:val="00BA5890"/>
    <w:rsid w:val="00BA6527"/>
    <w:rsid w:val="00BA6A5B"/>
    <w:rsid w:val="00BA779D"/>
    <w:rsid w:val="00BB08D9"/>
    <w:rsid w:val="00BB0EE6"/>
    <w:rsid w:val="00BB1556"/>
    <w:rsid w:val="00BB1938"/>
    <w:rsid w:val="00BB2C78"/>
    <w:rsid w:val="00BB4C89"/>
    <w:rsid w:val="00BB6E0D"/>
    <w:rsid w:val="00BB7D6B"/>
    <w:rsid w:val="00BC06A7"/>
    <w:rsid w:val="00BC0F00"/>
    <w:rsid w:val="00BC2491"/>
    <w:rsid w:val="00BC40EE"/>
    <w:rsid w:val="00BC49A5"/>
    <w:rsid w:val="00BC62EA"/>
    <w:rsid w:val="00BC632F"/>
    <w:rsid w:val="00BC7016"/>
    <w:rsid w:val="00BC7181"/>
    <w:rsid w:val="00BD0571"/>
    <w:rsid w:val="00BD1355"/>
    <w:rsid w:val="00BD144B"/>
    <w:rsid w:val="00BD28B7"/>
    <w:rsid w:val="00BD2924"/>
    <w:rsid w:val="00BD2E20"/>
    <w:rsid w:val="00BD3A13"/>
    <w:rsid w:val="00BD43F5"/>
    <w:rsid w:val="00BD56FD"/>
    <w:rsid w:val="00BD7B28"/>
    <w:rsid w:val="00BE1C98"/>
    <w:rsid w:val="00BE289B"/>
    <w:rsid w:val="00BE2EB4"/>
    <w:rsid w:val="00BE331C"/>
    <w:rsid w:val="00BE4654"/>
    <w:rsid w:val="00BE5788"/>
    <w:rsid w:val="00BE5E34"/>
    <w:rsid w:val="00BF1FCE"/>
    <w:rsid w:val="00BF36FD"/>
    <w:rsid w:val="00BF3991"/>
    <w:rsid w:val="00BF3F82"/>
    <w:rsid w:val="00BF5A68"/>
    <w:rsid w:val="00C015F4"/>
    <w:rsid w:val="00C02637"/>
    <w:rsid w:val="00C03701"/>
    <w:rsid w:val="00C03CAC"/>
    <w:rsid w:val="00C052FC"/>
    <w:rsid w:val="00C05BB4"/>
    <w:rsid w:val="00C0600B"/>
    <w:rsid w:val="00C06AC8"/>
    <w:rsid w:val="00C06F8C"/>
    <w:rsid w:val="00C12509"/>
    <w:rsid w:val="00C13614"/>
    <w:rsid w:val="00C137CF"/>
    <w:rsid w:val="00C14A0B"/>
    <w:rsid w:val="00C14C56"/>
    <w:rsid w:val="00C1676C"/>
    <w:rsid w:val="00C1756E"/>
    <w:rsid w:val="00C177F6"/>
    <w:rsid w:val="00C17A74"/>
    <w:rsid w:val="00C2036A"/>
    <w:rsid w:val="00C226B3"/>
    <w:rsid w:val="00C22928"/>
    <w:rsid w:val="00C22F00"/>
    <w:rsid w:val="00C254AA"/>
    <w:rsid w:val="00C25EC4"/>
    <w:rsid w:val="00C274B9"/>
    <w:rsid w:val="00C27812"/>
    <w:rsid w:val="00C27896"/>
    <w:rsid w:val="00C27FDF"/>
    <w:rsid w:val="00C32C40"/>
    <w:rsid w:val="00C32FEE"/>
    <w:rsid w:val="00C35348"/>
    <w:rsid w:val="00C35BD4"/>
    <w:rsid w:val="00C376F5"/>
    <w:rsid w:val="00C4431E"/>
    <w:rsid w:val="00C45AE6"/>
    <w:rsid w:val="00C46103"/>
    <w:rsid w:val="00C477ED"/>
    <w:rsid w:val="00C47820"/>
    <w:rsid w:val="00C50200"/>
    <w:rsid w:val="00C51573"/>
    <w:rsid w:val="00C52EA5"/>
    <w:rsid w:val="00C558C8"/>
    <w:rsid w:val="00C56023"/>
    <w:rsid w:val="00C60D54"/>
    <w:rsid w:val="00C61637"/>
    <w:rsid w:val="00C62394"/>
    <w:rsid w:val="00C625DB"/>
    <w:rsid w:val="00C637EC"/>
    <w:rsid w:val="00C64792"/>
    <w:rsid w:val="00C66319"/>
    <w:rsid w:val="00C6692B"/>
    <w:rsid w:val="00C67EC6"/>
    <w:rsid w:val="00C704D0"/>
    <w:rsid w:val="00C70F6E"/>
    <w:rsid w:val="00C71898"/>
    <w:rsid w:val="00C72358"/>
    <w:rsid w:val="00C73224"/>
    <w:rsid w:val="00C74206"/>
    <w:rsid w:val="00C744B0"/>
    <w:rsid w:val="00C74582"/>
    <w:rsid w:val="00C74BD8"/>
    <w:rsid w:val="00C75419"/>
    <w:rsid w:val="00C756BA"/>
    <w:rsid w:val="00C77026"/>
    <w:rsid w:val="00C77793"/>
    <w:rsid w:val="00C77CEC"/>
    <w:rsid w:val="00C80699"/>
    <w:rsid w:val="00C80E7E"/>
    <w:rsid w:val="00C8319A"/>
    <w:rsid w:val="00C844FF"/>
    <w:rsid w:val="00C84C70"/>
    <w:rsid w:val="00C87046"/>
    <w:rsid w:val="00C87F14"/>
    <w:rsid w:val="00C935CF"/>
    <w:rsid w:val="00C9380C"/>
    <w:rsid w:val="00C93C7C"/>
    <w:rsid w:val="00C9437B"/>
    <w:rsid w:val="00C97451"/>
    <w:rsid w:val="00C9784C"/>
    <w:rsid w:val="00C97AF1"/>
    <w:rsid w:val="00CA4867"/>
    <w:rsid w:val="00CA4D27"/>
    <w:rsid w:val="00CA57AF"/>
    <w:rsid w:val="00CA69A9"/>
    <w:rsid w:val="00CA7F10"/>
    <w:rsid w:val="00CB1A2B"/>
    <w:rsid w:val="00CB21B2"/>
    <w:rsid w:val="00CB228F"/>
    <w:rsid w:val="00CB2A43"/>
    <w:rsid w:val="00CB353F"/>
    <w:rsid w:val="00CB5CE1"/>
    <w:rsid w:val="00CB5F5D"/>
    <w:rsid w:val="00CB6E29"/>
    <w:rsid w:val="00CB6F16"/>
    <w:rsid w:val="00CC16C7"/>
    <w:rsid w:val="00CC2153"/>
    <w:rsid w:val="00CC2C0A"/>
    <w:rsid w:val="00CC3502"/>
    <w:rsid w:val="00CC42DF"/>
    <w:rsid w:val="00CC4E03"/>
    <w:rsid w:val="00CC789A"/>
    <w:rsid w:val="00CD1AAD"/>
    <w:rsid w:val="00CD2983"/>
    <w:rsid w:val="00CD3015"/>
    <w:rsid w:val="00CD3476"/>
    <w:rsid w:val="00CD3A38"/>
    <w:rsid w:val="00CD3EA2"/>
    <w:rsid w:val="00CD4A0F"/>
    <w:rsid w:val="00CD4B39"/>
    <w:rsid w:val="00CD75FB"/>
    <w:rsid w:val="00CD7A93"/>
    <w:rsid w:val="00CE0A31"/>
    <w:rsid w:val="00CE14D5"/>
    <w:rsid w:val="00CE3187"/>
    <w:rsid w:val="00CE3A80"/>
    <w:rsid w:val="00CE4EBE"/>
    <w:rsid w:val="00CE56DF"/>
    <w:rsid w:val="00CE585D"/>
    <w:rsid w:val="00CE5BD3"/>
    <w:rsid w:val="00CE6E62"/>
    <w:rsid w:val="00CE7117"/>
    <w:rsid w:val="00CE746C"/>
    <w:rsid w:val="00CE755A"/>
    <w:rsid w:val="00CF04FD"/>
    <w:rsid w:val="00CF05DB"/>
    <w:rsid w:val="00CF0FA3"/>
    <w:rsid w:val="00CF1CBD"/>
    <w:rsid w:val="00CF2E03"/>
    <w:rsid w:val="00CF2F82"/>
    <w:rsid w:val="00CF5D5F"/>
    <w:rsid w:val="00CF5DFD"/>
    <w:rsid w:val="00CF711E"/>
    <w:rsid w:val="00CF79D0"/>
    <w:rsid w:val="00D0022F"/>
    <w:rsid w:val="00D00311"/>
    <w:rsid w:val="00D01665"/>
    <w:rsid w:val="00D01C5C"/>
    <w:rsid w:val="00D0336B"/>
    <w:rsid w:val="00D0345C"/>
    <w:rsid w:val="00D03ADD"/>
    <w:rsid w:val="00D05C33"/>
    <w:rsid w:val="00D05ECA"/>
    <w:rsid w:val="00D06651"/>
    <w:rsid w:val="00D06712"/>
    <w:rsid w:val="00D1123F"/>
    <w:rsid w:val="00D12E5C"/>
    <w:rsid w:val="00D15231"/>
    <w:rsid w:val="00D15FF3"/>
    <w:rsid w:val="00D16DD8"/>
    <w:rsid w:val="00D17692"/>
    <w:rsid w:val="00D17A73"/>
    <w:rsid w:val="00D17A77"/>
    <w:rsid w:val="00D2184D"/>
    <w:rsid w:val="00D219BE"/>
    <w:rsid w:val="00D24597"/>
    <w:rsid w:val="00D24BEB"/>
    <w:rsid w:val="00D24EB5"/>
    <w:rsid w:val="00D258AE"/>
    <w:rsid w:val="00D268E9"/>
    <w:rsid w:val="00D277DC"/>
    <w:rsid w:val="00D3197C"/>
    <w:rsid w:val="00D32632"/>
    <w:rsid w:val="00D331E1"/>
    <w:rsid w:val="00D3344F"/>
    <w:rsid w:val="00D33C73"/>
    <w:rsid w:val="00D33C7E"/>
    <w:rsid w:val="00D33ED6"/>
    <w:rsid w:val="00D356CA"/>
    <w:rsid w:val="00D362BC"/>
    <w:rsid w:val="00D369CE"/>
    <w:rsid w:val="00D40FA3"/>
    <w:rsid w:val="00D41DB1"/>
    <w:rsid w:val="00D426B9"/>
    <w:rsid w:val="00D43D79"/>
    <w:rsid w:val="00D4587E"/>
    <w:rsid w:val="00D459D4"/>
    <w:rsid w:val="00D467CA"/>
    <w:rsid w:val="00D501F1"/>
    <w:rsid w:val="00D509BB"/>
    <w:rsid w:val="00D51D54"/>
    <w:rsid w:val="00D522BD"/>
    <w:rsid w:val="00D5271E"/>
    <w:rsid w:val="00D529D8"/>
    <w:rsid w:val="00D52DC8"/>
    <w:rsid w:val="00D53813"/>
    <w:rsid w:val="00D5504F"/>
    <w:rsid w:val="00D554EF"/>
    <w:rsid w:val="00D5590F"/>
    <w:rsid w:val="00D55C4C"/>
    <w:rsid w:val="00D5703A"/>
    <w:rsid w:val="00D601CA"/>
    <w:rsid w:val="00D62446"/>
    <w:rsid w:val="00D6294D"/>
    <w:rsid w:val="00D64B2E"/>
    <w:rsid w:val="00D66439"/>
    <w:rsid w:val="00D7019E"/>
    <w:rsid w:val="00D70572"/>
    <w:rsid w:val="00D716AF"/>
    <w:rsid w:val="00D716F5"/>
    <w:rsid w:val="00D72831"/>
    <w:rsid w:val="00D73EBE"/>
    <w:rsid w:val="00D7452C"/>
    <w:rsid w:val="00D7502E"/>
    <w:rsid w:val="00D75DB8"/>
    <w:rsid w:val="00D8013A"/>
    <w:rsid w:val="00D80E68"/>
    <w:rsid w:val="00D80F78"/>
    <w:rsid w:val="00D81507"/>
    <w:rsid w:val="00D82A4B"/>
    <w:rsid w:val="00D835BF"/>
    <w:rsid w:val="00D83805"/>
    <w:rsid w:val="00D839B2"/>
    <w:rsid w:val="00D8404A"/>
    <w:rsid w:val="00D84D1E"/>
    <w:rsid w:val="00D8577A"/>
    <w:rsid w:val="00D86A9D"/>
    <w:rsid w:val="00D90C3D"/>
    <w:rsid w:val="00D9115D"/>
    <w:rsid w:val="00D91C2D"/>
    <w:rsid w:val="00D92C1C"/>
    <w:rsid w:val="00D9300A"/>
    <w:rsid w:val="00D9379E"/>
    <w:rsid w:val="00D949BD"/>
    <w:rsid w:val="00D95F02"/>
    <w:rsid w:val="00D965BF"/>
    <w:rsid w:val="00DA0985"/>
    <w:rsid w:val="00DA0D5B"/>
    <w:rsid w:val="00DA0E65"/>
    <w:rsid w:val="00DA0EAD"/>
    <w:rsid w:val="00DA0F8C"/>
    <w:rsid w:val="00DA115F"/>
    <w:rsid w:val="00DA17A1"/>
    <w:rsid w:val="00DA1EEA"/>
    <w:rsid w:val="00DA205A"/>
    <w:rsid w:val="00DA2C3A"/>
    <w:rsid w:val="00DA3365"/>
    <w:rsid w:val="00DA38D4"/>
    <w:rsid w:val="00DA661C"/>
    <w:rsid w:val="00DA67F9"/>
    <w:rsid w:val="00DA6C84"/>
    <w:rsid w:val="00DA72B3"/>
    <w:rsid w:val="00DA74A5"/>
    <w:rsid w:val="00DA75BF"/>
    <w:rsid w:val="00DB1246"/>
    <w:rsid w:val="00DB15EC"/>
    <w:rsid w:val="00DB1E5C"/>
    <w:rsid w:val="00DB201E"/>
    <w:rsid w:val="00DB245B"/>
    <w:rsid w:val="00DB2D21"/>
    <w:rsid w:val="00DB3962"/>
    <w:rsid w:val="00DB3BB1"/>
    <w:rsid w:val="00DB4713"/>
    <w:rsid w:val="00DB5503"/>
    <w:rsid w:val="00DB59D7"/>
    <w:rsid w:val="00DB6C59"/>
    <w:rsid w:val="00DC032A"/>
    <w:rsid w:val="00DC04FB"/>
    <w:rsid w:val="00DC2057"/>
    <w:rsid w:val="00DC272D"/>
    <w:rsid w:val="00DC2BE6"/>
    <w:rsid w:val="00DC37DB"/>
    <w:rsid w:val="00DC43C0"/>
    <w:rsid w:val="00DC4D4F"/>
    <w:rsid w:val="00DC5674"/>
    <w:rsid w:val="00DC5966"/>
    <w:rsid w:val="00DC69CB"/>
    <w:rsid w:val="00DC76AB"/>
    <w:rsid w:val="00DC790D"/>
    <w:rsid w:val="00DD1358"/>
    <w:rsid w:val="00DD4749"/>
    <w:rsid w:val="00DD5C7C"/>
    <w:rsid w:val="00DD5F64"/>
    <w:rsid w:val="00DD7EC5"/>
    <w:rsid w:val="00DE04F7"/>
    <w:rsid w:val="00DE09A3"/>
    <w:rsid w:val="00DE13EE"/>
    <w:rsid w:val="00DE1C96"/>
    <w:rsid w:val="00DE3528"/>
    <w:rsid w:val="00DE469F"/>
    <w:rsid w:val="00DE6E16"/>
    <w:rsid w:val="00DE7439"/>
    <w:rsid w:val="00DE745F"/>
    <w:rsid w:val="00DE7567"/>
    <w:rsid w:val="00DF043D"/>
    <w:rsid w:val="00DF109F"/>
    <w:rsid w:val="00DF18E7"/>
    <w:rsid w:val="00DF263F"/>
    <w:rsid w:val="00DF2E30"/>
    <w:rsid w:val="00DF31CD"/>
    <w:rsid w:val="00DF32FD"/>
    <w:rsid w:val="00DF3BF6"/>
    <w:rsid w:val="00DF3C13"/>
    <w:rsid w:val="00DF44CE"/>
    <w:rsid w:val="00DF50E9"/>
    <w:rsid w:val="00DF605C"/>
    <w:rsid w:val="00E01B12"/>
    <w:rsid w:val="00E03793"/>
    <w:rsid w:val="00E04DBB"/>
    <w:rsid w:val="00E04EFC"/>
    <w:rsid w:val="00E052EE"/>
    <w:rsid w:val="00E063B1"/>
    <w:rsid w:val="00E06702"/>
    <w:rsid w:val="00E067E0"/>
    <w:rsid w:val="00E07C3D"/>
    <w:rsid w:val="00E10EFE"/>
    <w:rsid w:val="00E110AF"/>
    <w:rsid w:val="00E11110"/>
    <w:rsid w:val="00E1308D"/>
    <w:rsid w:val="00E1325A"/>
    <w:rsid w:val="00E13415"/>
    <w:rsid w:val="00E167DF"/>
    <w:rsid w:val="00E17F2C"/>
    <w:rsid w:val="00E20309"/>
    <w:rsid w:val="00E21568"/>
    <w:rsid w:val="00E21AE2"/>
    <w:rsid w:val="00E22076"/>
    <w:rsid w:val="00E2254F"/>
    <w:rsid w:val="00E23BDE"/>
    <w:rsid w:val="00E2470C"/>
    <w:rsid w:val="00E27A52"/>
    <w:rsid w:val="00E30C0D"/>
    <w:rsid w:val="00E3196C"/>
    <w:rsid w:val="00E31C7B"/>
    <w:rsid w:val="00E3235F"/>
    <w:rsid w:val="00E32D50"/>
    <w:rsid w:val="00E3329E"/>
    <w:rsid w:val="00E33875"/>
    <w:rsid w:val="00E34477"/>
    <w:rsid w:val="00E35013"/>
    <w:rsid w:val="00E360A2"/>
    <w:rsid w:val="00E4181C"/>
    <w:rsid w:val="00E428BE"/>
    <w:rsid w:val="00E43177"/>
    <w:rsid w:val="00E43A68"/>
    <w:rsid w:val="00E43BA3"/>
    <w:rsid w:val="00E43EBB"/>
    <w:rsid w:val="00E44189"/>
    <w:rsid w:val="00E45A56"/>
    <w:rsid w:val="00E45A8B"/>
    <w:rsid w:val="00E46480"/>
    <w:rsid w:val="00E47E6D"/>
    <w:rsid w:val="00E5003A"/>
    <w:rsid w:val="00E50E88"/>
    <w:rsid w:val="00E51881"/>
    <w:rsid w:val="00E534A7"/>
    <w:rsid w:val="00E539ED"/>
    <w:rsid w:val="00E54668"/>
    <w:rsid w:val="00E61EBF"/>
    <w:rsid w:val="00E62787"/>
    <w:rsid w:val="00E62B77"/>
    <w:rsid w:val="00E635CA"/>
    <w:rsid w:val="00E641CB"/>
    <w:rsid w:val="00E647C5"/>
    <w:rsid w:val="00E65FF2"/>
    <w:rsid w:val="00E66D8E"/>
    <w:rsid w:val="00E67566"/>
    <w:rsid w:val="00E67F3A"/>
    <w:rsid w:val="00E70579"/>
    <w:rsid w:val="00E7159B"/>
    <w:rsid w:val="00E720BB"/>
    <w:rsid w:val="00E72767"/>
    <w:rsid w:val="00E729C6"/>
    <w:rsid w:val="00E73050"/>
    <w:rsid w:val="00E73E64"/>
    <w:rsid w:val="00E74673"/>
    <w:rsid w:val="00E75F14"/>
    <w:rsid w:val="00E77398"/>
    <w:rsid w:val="00E80BB8"/>
    <w:rsid w:val="00E8124A"/>
    <w:rsid w:val="00E822CE"/>
    <w:rsid w:val="00E828D0"/>
    <w:rsid w:val="00E82FDA"/>
    <w:rsid w:val="00E84950"/>
    <w:rsid w:val="00E84ABC"/>
    <w:rsid w:val="00E84B67"/>
    <w:rsid w:val="00E84EFD"/>
    <w:rsid w:val="00E864A1"/>
    <w:rsid w:val="00E8661A"/>
    <w:rsid w:val="00E8709D"/>
    <w:rsid w:val="00E879D7"/>
    <w:rsid w:val="00E908A8"/>
    <w:rsid w:val="00E911E3"/>
    <w:rsid w:val="00E91874"/>
    <w:rsid w:val="00E933EC"/>
    <w:rsid w:val="00E93E0F"/>
    <w:rsid w:val="00E94DF8"/>
    <w:rsid w:val="00E959DD"/>
    <w:rsid w:val="00E96986"/>
    <w:rsid w:val="00E978EB"/>
    <w:rsid w:val="00E97900"/>
    <w:rsid w:val="00E97D3D"/>
    <w:rsid w:val="00EA0EEC"/>
    <w:rsid w:val="00EA1767"/>
    <w:rsid w:val="00EA2E4E"/>
    <w:rsid w:val="00EA32B1"/>
    <w:rsid w:val="00EA33D8"/>
    <w:rsid w:val="00EA487D"/>
    <w:rsid w:val="00EA4F2D"/>
    <w:rsid w:val="00EA76A1"/>
    <w:rsid w:val="00EB02EF"/>
    <w:rsid w:val="00EB0771"/>
    <w:rsid w:val="00EB40F4"/>
    <w:rsid w:val="00EB4DB5"/>
    <w:rsid w:val="00EB587F"/>
    <w:rsid w:val="00EB5882"/>
    <w:rsid w:val="00EB7990"/>
    <w:rsid w:val="00EB7E70"/>
    <w:rsid w:val="00EC0336"/>
    <w:rsid w:val="00EC0BE1"/>
    <w:rsid w:val="00EC1C4F"/>
    <w:rsid w:val="00EC1E48"/>
    <w:rsid w:val="00EC34DC"/>
    <w:rsid w:val="00EC3753"/>
    <w:rsid w:val="00EC58D5"/>
    <w:rsid w:val="00EC6433"/>
    <w:rsid w:val="00EC7ADB"/>
    <w:rsid w:val="00ED20A8"/>
    <w:rsid w:val="00ED3A19"/>
    <w:rsid w:val="00ED4910"/>
    <w:rsid w:val="00ED67EB"/>
    <w:rsid w:val="00ED6814"/>
    <w:rsid w:val="00ED6A6F"/>
    <w:rsid w:val="00ED73F5"/>
    <w:rsid w:val="00EE3A14"/>
    <w:rsid w:val="00EE4443"/>
    <w:rsid w:val="00EE59A2"/>
    <w:rsid w:val="00EE59AB"/>
    <w:rsid w:val="00EE6038"/>
    <w:rsid w:val="00EE7602"/>
    <w:rsid w:val="00EE78C4"/>
    <w:rsid w:val="00EE7EC8"/>
    <w:rsid w:val="00EF014B"/>
    <w:rsid w:val="00EF028C"/>
    <w:rsid w:val="00EF05D8"/>
    <w:rsid w:val="00EF1210"/>
    <w:rsid w:val="00EF1871"/>
    <w:rsid w:val="00EF18D8"/>
    <w:rsid w:val="00EF384B"/>
    <w:rsid w:val="00EF3D44"/>
    <w:rsid w:val="00EF77AC"/>
    <w:rsid w:val="00EF78FA"/>
    <w:rsid w:val="00F01535"/>
    <w:rsid w:val="00F02475"/>
    <w:rsid w:val="00F029D7"/>
    <w:rsid w:val="00F02E45"/>
    <w:rsid w:val="00F11B19"/>
    <w:rsid w:val="00F11F1F"/>
    <w:rsid w:val="00F13481"/>
    <w:rsid w:val="00F13545"/>
    <w:rsid w:val="00F13760"/>
    <w:rsid w:val="00F13D8B"/>
    <w:rsid w:val="00F15A21"/>
    <w:rsid w:val="00F163A9"/>
    <w:rsid w:val="00F16720"/>
    <w:rsid w:val="00F16759"/>
    <w:rsid w:val="00F1703D"/>
    <w:rsid w:val="00F17A58"/>
    <w:rsid w:val="00F17DA5"/>
    <w:rsid w:val="00F2043E"/>
    <w:rsid w:val="00F20E34"/>
    <w:rsid w:val="00F23ABC"/>
    <w:rsid w:val="00F23BC9"/>
    <w:rsid w:val="00F2446F"/>
    <w:rsid w:val="00F248B2"/>
    <w:rsid w:val="00F248BF"/>
    <w:rsid w:val="00F2565B"/>
    <w:rsid w:val="00F260CF"/>
    <w:rsid w:val="00F26195"/>
    <w:rsid w:val="00F263A9"/>
    <w:rsid w:val="00F26932"/>
    <w:rsid w:val="00F2769D"/>
    <w:rsid w:val="00F27B8B"/>
    <w:rsid w:val="00F30730"/>
    <w:rsid w:val="00F30B23"/>
    <w:rsid w:val="00F31512"/>
    <w:rsid w:val="00F316DB"/>
    <w:rsid w:val="00F31761"/>
    <w:rsid w:val="00F32F4A"/>
    <w:rsid w:val="00F33A29"/>
    <w:rsid w:val="00F35ADF"/>
    <w:rsid w:val="00F3659A"/>
    <w:rsid w:val="00F37907"/>
    <w:rsid w:val="00F40033"/>
    <w:rsid w:val="00F41C9A"/>
    <w:rsid w:val="00F42CD1"/>
    <w:rsid w:val="00F43420"/>
    <w:rsid w:val="00F437A9"/>
    <w:rsid w:val="00F4450B"/>
    <w:rsid w:val="00F44B5C"/>
    <w:rsid w:val="00F45E81"/>
    <w:rsid w:val="00F46750"/>
    <w:rsid w:val="00F50E40"/>
    <w:rsid w:val="00F51276"/>
    <w:rsid w:val="00F52298"/>
    <w:rsid w:val="00F522AB"/>
    <w:rsid w:val="00F5241A"/>
    <w:rsid w:val="00F536D6"/>
    <w:rsid w:val="00F53DC3"/>
    <w:rsid w:val="00F5643D"/>
    <w:rsid w:val="00F56AC7"/>
    <w:rsid w:val="00F621C2"/>
    <w:rsid w:val="00F64163"/>
    <w:rsid w:val="00F651B8"/>
    <w:rsid w:val="00F671E8"/>
    <w:rsid w:val="00F70ED4"/>
    <w:rsid w:val="00F718AB"/>
    <w:rsid w:val="00F74410"/>
    <w:rsid w:val="00F74413"/>
    <w:rsid w:val="00F749DC"/>
    <w:rsid w:val="00F75334"/>
    <w:rsid w:val="00F758E0"/>
    <w:rsid w:val="00F764FC"/>
    <w:rsid w:val="00F76891"/>
    <w:rsid w:val="00F77234"/>
    <w:rsid w:val="00F77AA9"/>
    <w:rsid w:val="00F82AE0"/>
    <w:rsid w:val="00F8354F"/>
    <w:rsid w:val="00F84095"/>
    <w:rsid w:val="00F87513"/>
    <w:rsid w:val="00F915E6"/>
    <w:rsid w:val="00F92C77"/>
    <w:rsid w:val="00F936B5"/>
    <w:rsid w:val="00F95B4D"/>
    <w:rsid w:val="00FA0448"/>
    <w:rsid w:val="00FA42CC"/>
    <w:rsid w:val="00FA4468"/>
    <w:rsid w:val="00FA464F"/>
    <w:rsid w:val="00FA57D6"/>
    <w:rsid w:val="00FA7238"/>
    <w:rsid w:val="00FB1099"/>
    <w:rsid w:val="00FB3AD0"/>
    <w:rsid w:val="00FB6198"/>
    <w:rsid w:val="00FB61EB"/>
    <w:rsid w:val="00FB634C"/>
    <w:rsid w:val="00FB768B"/>
    <w:rsid w:val="00FB7751"/>
    <w:rsid w:val="00FC07D4"/>
    <w:rsid w:val="00FC1B7A"/>
    <w:rsid w:val="00FC1D9A"/>
    <w:rsid w:val="00FC1FBA"/>
    <w:rsid w:val="00FC4953"/>
    <w:rsid w:val="00FC4A9F"/>
    <w:rsid w:val="00FD0BFB"/>
    <w:rsid w:val="00FD370F"/>
    <w:rsid w:val="00FD41E0"/>
    <w:rsid w:val="00FD4EBB"/>
    <w:rsid w:val="00FD63B4"/>
    <w:rsid w:val="00FD7DE9"/>
    <w:rsid w:val="00FE04C8"/>
    <w:rsid w:val="00FE07AD"/>
    <w:rsid w:val="00FE0FC5"/>
    <w:rsid w:val="00FE1EFB"/>
    <w:rsid w:val="00FE267D"/>
    <w:rsid w:val="00FE2791"/>
    <w:rsid w:val="00FE3B60"/>
    <w:rsid w:val="00FE3EA9"/>
    <w:rsid w:val="00FE4265"/>
    <w:rsid w:val="00FE4E7F"/>
    <w:rsid w:val="00FE5DDE"/>
    <w:rsid w:val="00FE7611"/>
    <w:rsid w:val="00FE7845"/>
    <w:rsid w:val="00FE7BA3"/>
    <w:rsid w:val="00FF1F11"/>
    <w:rsid w:val="00FF2D4B"/>
    <w:rsid w:val="00FF426A"/>
    <w:rsid w:val="00FF50A3"/>
    <w:rsid w:val="00FF6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326ACA1"/>
  <w15:docId w15:val="{A7EF486A-BDD2-456F-81D8-46F179DD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7439"/>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rsid w:val="00E43177"/>
    <w:pPr>
      <w:tabs>
        <w:tab w:val="center" w:pos="4153"/>
        <w:tab w:val="right" w:pos="8306"/>
      </w:tabs>
    </w:pPr>
  </w:style>
  <w:style w:type="character" w:customStyle="1" w:styleId="FooterChar">
    <w:name w:val="Footer Char"/>
    <w:basedOn w:val="DefaultParagraphFont"/>
    <w:link w:val="Footer"/>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uiPriority w:val="99"/>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unhideWhenUsed/>
    <w:rsid w:val="001A4BA7"/>
    <w:rPr>
      <w:sz w:val="20"/>
      <w:szCs w:val="20"/>
    </w:rPr>
  </w:style>
  <w:style w:type="character" w:customStyle="1" w:styleId="FootnoteTextChar">
    <w:name w:val="Footnote Text Char"/>
    <w:basedOn w:val="DefaultParagraphFont"/>
    <w:link w:val="FootnoteText"/>
    <w:uiPriority w:val="99"/>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locked/>
    <w:rsid w:val="003D4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15EA4"/>
    <w:pPr>
      <w:spacing w:before="100" w:beforeAutospacing="1" w:after="100" w:afterAutospacing="1"/>
    </w:pPr>
    <w:rPr>
      <w:rFonts w:eastAsia="Times New Roman"/>
      <w:color w:val="auto"/>
      <w:sz w:val="24"/>
      <w:lang w:eastAsia="lv-LV"/>
    </w:rPr>
  </w:style>
  <w:style w:type="paragraph" w:styleId="ListBullet">
    <w:name w:val="List Bullet"/>
    <w:basedOn w:val="Normal"/>
    <w:unhideWhenUsed/>
    <w:rsid w:val="009C4368"/>
    <w:pPr>
      <w:tabs>
        <w:tab w:val="num" w:pos="360"/>
      </w:tabs>
      <w:ind w:left="360" w:hanging="360"/>
      <w:contextualSpacing/>
    </w:pPr>
    <w:rPr>
      <w:rFonts w:eastAsia="Times New Roman"/>
      <w:color w:val="auto"/>
      <w:sz w:val="24"/>
      <w:lang w:eastAsia="lv-LV"/>
    </w:rPr>
  </w:style>
  <w:style w:type="paragraph" w:styleId="BodyText2">
    <w:name w:val="Body Text 2"/>
    <w:basedOn w:val="Normal"/>
    <w:link w:val="BodyText2Char"/>
    <w:uiPriority w:val="99"/>
    <w:unhideWhenUsed/>
    <w:rsid w:val="007F51EB"/>
    <w:pPr>
      <w:spacing w:after="120" w:line="480" w:lineRule="auto"/>
    </w:pPr>
  </w:style>
  <w:style w:type="character" w:customStyle="1" w:styleId="BodyText2Char">
    <w:name w:val="Body Text 2 Char"/>
    <w:basedOn w:val="DefaultParagraphFont"/>
    <w:link w:val="BodyText2"/>
    <w:uiPriority w:val="99"/>
    <w:rsid w:val="007F51EB"/>
    <w:rPr>
      <w:rFonts w:ascii="Times New Roman" w:eastAsia="ヒラギノ角ゴ Pro W3" w:hAnsi="Times New Roman"/>
      <w:color w:val="000000"/>
      <w:sz w:val="28"/>
      <w:szCs w:val="24"/>
      <w:lang w:eastAsia="en-US"/>
    </w:rPr>
  </w:style>
  <w:style w:type="paragraph" w:styleId="PlainText">
    <w:name w:val="Plain Text"/>
    <w:basedOn w:val="Normal"/>
    <w:link w:val="PlainTextChar"/>
    <w:uiPriority w:val="99"/>
    <w:unhideWhenUsed/>
    <w:rsid w:val="00A42D86"/>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A42D86"/>
    <w:rPr>
      <w:rFonts w:eastAsiaTheme="minorHAnsi" w:cstheme="minorBidi"/>
      <w:sz w:val="22"/>
      <w:szCs w:val="21"/>
      <w:lang w:eastAsia="en-US"/>
    </w:rPr>
  </w:style>
  <w:style w:type="paragraph" w:styleId="NormalWeb">
    <w:name w:val="Normal (Web)"/>
    <w:basedOn w:val="Normal"/>
    <w:uiPriority w:val="99"/>
    <w:unhideWhenUsed/>
    <w:rsid w:val="0084000C"/>
    <w:pPr>
      <w:spacing w:before="100" w:beforeAutospacing="1" w:after="100" w:afterAutospacing="1"/>
    </w:pPr>
    <w:rPr>
      <w:rFonts w:eastAsiaTheme="minorHAnsi"/>
      <w:sz w:val="24"/>
      <w:lang w:val="en-US"/>
    </w:rPr>
  </w:style>
  <w:style w:type="paragraph" w:styleId="Caption">
    <w:name w:val="caption"/>
    <w:basedOn w:val="Normal"/>
    <w:uiPriority w:val="35"/>
    <w:semiHidden/>
    <w:unhideWhenUsed/>
    <w:qFormat/>
    <w:locked/>
    <w:rsid w:val="007C7CE3"/>
    <w:pPr>
      <w:spacing w:after="200"/>
    </w:pPr>
    <w:rPr>
      <w:rFonts w:eastAsiaTheme="minorHAnsi"/>
      <w:i/>
      <w:iCs/>
      <w:color w:val="44546A"/>
      <w:sz w:val="18"/>
      <w:szCs w:val="18"/>
      <w:lang w:val="en-US"/>
    </w:rPr>
  </w:style>
  <w:style w:type="character" w:customStyle="1" w:styleId="KjeneRakstz">
    <w:name w:val="Kājene Rakstz."/>
    <w:basedOn w:val="DefaultParagraphFont"/>
    <w:uiPriority w:val="99"/>
    <w:rsid w:val="00D839B2"/>
  </w:style>
  <w:style w:type="paragraph" w:styleId="Subtitle">
    <w:name w:val="Subtitle"/>
    <w:basedOn w:val="Normal"/>
    <w:next w:val="Normal"/>
    <w:link w:val="SubtitleChar"/>
    <w:qFormat/>
    <w:locked/>
    <w:rsid w:val="002A49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4926"/>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24575A"/>
    <w:rPr>
      <w:rFonts w:ascii="Times New Roman" w:eastAsia="ヒラギノ角ゴ Pro W3" w:hAnsi="Times New Roman"/>
      <w:color w:val="000000"/>
      <w:sz w:val="28"/>
      <w:szCs w:val="24"/>
      <w:lang w:eastAsia="en-US"/>
    </w:rPr>
  </w:style>
  <w:style w:type="paragraph" w:styleId="BodyTextIndent">
    <w:name w:val="Body Text Indent"/>
    <w:basedOn w:val="Normal"/>
    <w:link w:val="BodyTextIndentChar"/>
    <w:uiPriority w:val="99"/>
    <w:semiHidden/>
    <w:unhideWhenUsed/>
    <w:rsid w:val="00C9784C"/>
    <w:pPr>
      <w:spacing w:after="120"/>
      <w:ind w:left="283"/>
    </w:pPr>
  </w:style>
  <w:style w:type="character" w:customStyle="1" w:styleId="BodyTextIndentChar">
    <w:name w:val="Body Text Indent Char"/>
    <w:basedOn w:val="DefaultParagraphFont"/>
    <w:link w:val="BodyTextIndent"/>
    <w:uiPriority w:val="99"/>
    <w:semiHidden/>
    <w:rsid w:val="00C9784C"/>
    <w:rPr>
      <w:rFonts w:ascii="Times New Roman" w:eastAsia="ヒラギノ角ゴ Pro W3" w:hAnsi="Times New Roman"/>
      <w:color w:val="000000"/>
      <w:sz w:val="28"/>
      <w:szCs w:val="24"/>
      <w:lang w:eastAsia="en-US"/>
    </w:rPr>
  </w:style>
  <w:style w:type="table" w:customStyle="1" w:styleId="Reatabula1">
    <w:name w:val="Režģa tabula1"/>
    <w:basedOn w:val="TableNormal"/>
    <w:next w:val="TableGrid"/>
    <w:uiPriority w:val="39"/>
    <w:rsid w:val="00211510"/>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37239"/>
  </w:style>
  <w:style w:type="character" w:customStyle="1" w:styleId="Neatrisintapieminana1">
    <w:name w:val="Neatrisināta pieminēšana1"/>
    <w:basedOn w:val="DefaultParagraphFont"/>
    <w:uiPriority w:val="99"/>
    <w:semiHidden/>
    <w:unhideWhenUsed/>
    <w:rsid w:val="00CD2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4171">
      <w:bodyDiv w:val="1"/>
      <w:marLeft w:val="0"/>
      <w:marRight w:val="0"/>
      <w:marTop w:val="0"/>
      <w:marBottom w:val="0"/>
      <w:divBdr>
        <w:top w:val="none" w:sz="0" w:space="0" w:color="auto"/>
        <w:left w:val="none" w:sz="0" w:space="0" w:color="auto"/>
        <w:bottom w:val="none" w:sz="0" w:space="0" w:color="auto"/>
        <w:right w:val="none" w:sz="0" w:space="0" w:color="auto"/>
      </w:divBdr>
      <w:divsChild>
        <w:div w:id="123236109">
          <w:marLeft w:val="547"/>
          <w:marRight w:val="0"/>
          <w:marTop w:val="115"/>
          <w:marBottom w:val="0"/>
          <w:divBdr>
            <w:top w:val="none" w:sz="0" w:space="0" w:color="auto"/>
            <w:left w:val="none" w:sz="0" w:space="0" w:color="auto"/>
            <w:bottom w:val="none" w:sz="0" w:space="0" w:color="auto"/>
            <w:right w:val="none" w:sz="0" w:space="0" w:color="auto"/>
          </w:divBdr>
        </w:div>
        <w:div w:id="265039245">
          <w:marLeft w:val="547"/>
          <w:marRight w:val="0"/>
          <w:marTop w:val="115"/>
          <w:marBottom w:val="0"/>
          <w:divBdr>
            <w:top w:val="none" w:sz="0" w:space="0" w:color="auto"/>
            <w:left w:val="none" w:sz="0" w:space="0" w:color="auto"/>
            <w:bottom w:val="none" w:sz="0" w:space="0" w:color="auto"/>
            <w:right w:val="none" w:sz="0" w:space="0" w:color="auto"/>
          </w:divBdr>
        </w:div>
        <w:div w:id="1099714108">
          <w:marLeft w:val="547"/>
          <w:marRight w:val="0"/>
          <w:marTop w:val="115"/>
          <w:marBottom w:val="0"/>
          <w:divBdr>
            <w:top w:val="none" w:sz="0" w:space="0" w:color="auto"/>
            <w:left w:val="none" w:sz="0" w:space="0" w:color="auto"/>
            <w:bottom w:val="none" w:sz="0" w:space="0" w:color="auto"/>
            <w:right w:val="none" w:sz="0" w:space="0" w:color="auto"/>
          </w:divBdr>
        </w:div>
        <w:div w:id="1901595349">
          <w:marLeft w:val="547"/>
          <w:marRight w:val="0"/>
          <w:marTop w:val="115"/>
          <w:marBottom w:val="0"/>
          <w:divBdr>
            <w:top w:val="none" w:sz="0" w:space="0" w:color="auto"/>
            <w:left w:val="none" w:sz="0" w:space="0" w:color="auto"/>
            <w:bottom w:val="none" w:sz="0" w:space="0" w:color="auto"/>
            <w:right w:val="none" w:sz="0" w:space="0" w:color="auto"/>
          </w:divBdr>
        </w:div>
        <w:div w:id="2032798162">
          <w:marLeft w:val="547"/>
          <w:marRight w:val="0"/>
          <w:marTop w:val="115"/>
          <w:marBottom w:val="0"/>
          <w:divBdr>
            <w:top w:val="none" w:sz="0" w:space="0" w:color="auto"/>
            <w:left w:val="none" w:sz="0" w:space="0" w:color="auto"/>
            <w:bottom w:val="none" w:sz="0" w:space="0" w:color="auto"/>
            <w:right w:val="none" w:sz="0" w:space="0" w:color="auto"/>
          </w:divBdr>
        </w:div>
      </w:divsChild>
    </w:div>
    <w:div w:id="109865437">
      <w:bodyDiv w:val="1"/>
      <w:marLeft w:val="0"/>
      <w:marRight w:val="0"/>
      <w:marTop w:val="0"/>
      <w:marBottom w:val="0"/>
      <w:divBdr>
        <w:top w:val="none" w:sz="0" w:space="0" w:color="auto"/>
        <w:left w:val="none" w:sz="0" w:space="0" w:color="auto"/>
        <w:bottom w:val="none" w:sz="0" w:space="0" w:color="auto"/>
        <w:right w:val="none" w:sz="0" w:space="0" w:color="auto"/>
      </w:divBdr>
    </w:div>
    <w:div w:id="113715262">
      <w:bodyDiv w:val="1"/>
      <w:marLeft w:val="0"/>
      <w:marRight w:val="0"/>
      <w:marTop w:val="0"/>
      <w:marBottom w:val="0"/>
      <w:divBdr>
        <w:top w:val="none" w:sz="0" w:space="0" w:color="auto"/>
        <w:left w:val="none" w:sz="0" w:space="0" w:color="auto"/>
        <w:bottom w:val="none" w:sz="0" w:space="0" w:color="auto"/>
        <w:right w:val="none" w:sz="0" w:space="0" w:color="auto"/>
      </w:divBdr>
    </w:div>
    <w:div w:id="137499763">
      <w:bodyDiv w:val="1"/>
      <w:marLeft w:val="0"/>
      <w:marRight w:val="0"/>
      <w:marTop w:val="0"/>
      <w:marBottom w:val="0"/>
      <w:divBdr>
        <w:top w:val="none" w:sz="0" w:space="0" w:color="auto"/>
        <w:left w:val="none" w:sz="0" w:space="0" w:color="auto"/>
        <w:bottom w:val="none" w:sz="0" w:space="0" w:color="auto"/>
        <w:right w:val="none" w:sz="0" w:space="0" w:color="auto"/>
      </w:divBdr>
    </w:div>
    <w:div w:id="138158940">
      <w:bodyDiv w:val="1"/>
      <w:marLeft w:val="0"/>
      <w:marRight w:val="0"/>
      <w:marTop w:val="0"/>
      <w:marBottom w:val="0"/>
      <w:divBdr>
        <w:top w:val="none" w:sz="0" w:space="0" w:color="auto"/>
        <w:left w:val="none" w:sz="0" w:space="0" w:color="auto"/>
        <w:bottom w:val="none" w:sz="0" w:space="0" w:color="auto"/>
        <w:right w:val="none" w:sz="0" w:space="0" w:color="auto"/>
      </w:divBdr>
    </w:div>
    <w:div w:id="143397105">
      <w:bodyDiv w:val="1"/>
      <w:marLeft w:val="0"/>
      <w:marRight w:val="0"/>
      <w:marTop w:val="0"/>
      <w:marBottom w:val="0"/>
      <w:divBdr>
        <w:top w:val="none" w:sz="0" w:space="0" w:color="auto"/>
        <w:left w:val="none" w:sz="0" w:space="0" w:color="auto"/>
        <w:bottom w:val="none" w:sz="0" w:space="0" w:color="auto"/>
        <w:right w:val="none" w:sz="0" w:space="0" w:color="auto"/>
      </w:divBdr>
    </w:div>
    <w:div w:id="152449485">
      <w:bodyDiv w:val="1"/>
      <w:marLeft w:val="0"/>
      <w:marRight w:val="0"/>
      <w:marTop w:val="0"/>
      <w:marBottom w:val="0"/>
      <w:divBdr>
        <w:top w:val="none" w:sz="0" w:space="0" w:color="auto"/>
        <w:left w:val="none" w:sz="0" w:space="0" w:color="auto"/>
        <w:bottom w:val="none" w:sz="0" w:space="0" w:color="auto"/>
        <w:right w:val="none" w:sz="0" w:space="0" w:color="auto"/>
      </w:divBdr>
    </w:div>
    <w:div w:id="221214160">
      <w:bodyDiv w:val="1"/>
      <w:marLeft w:val="0"/>
      <w:marRight w:val="0"/>
      <w:marTop w:val="0"/>
      <w:marBottom w:val="0"/>
      <w:divBdr>
        <w:top w:val="none" w:sz="0" w:space="0" w:color="auto"/>
        <w:left w:val="none" w:sz="0" w:space="0" w:color="auto"/>
        <w:bottom w:val="none" w:sz="0" w:space="0" w:color="auto"/>
        <w:right w:val="none" w:sz="0" w:space="0" w:color="auto"/>
      </w:divBdr>
    </w:div>
    <w:div w:id="343359501">
      <w:bodyDiv w:val="1"/>
      <w:marLeft w:val="0"/>
      <w:marRight w:val="0"/>
      <w:marTop w:val="0"/>
      <w:marBottom w:val="0"/>
      <w:divBdr>
        <w:top w:val="none" w:sz="0" w:space="0" w:color="auto"/>
        <w:left w:val="none" w:sz="0" w:space="0" w:color="auto"/>
        <w:bottom w:val="none" w:sz="0" w:space="0" w:color="auto"/>
        <w:right w:val="none" w:sz="0" w:space="0" w:color="auto"/>
      </w:divBdr>
    </w:div>
    <w:div w:id="372273098">
      <w:bodyDiv w:val="1"/>
      <w:marLeft w:val="0"/>
      <w:marRight w:val="0"/>
      <w:marTop w:val="0"/>
      <w:marBottom w:val="0"/>
      <w:divBdr>
        <w:top w:val="none" w:sz="0" w:space="0" w:color="auto"/>
        <w:left w:val="none" w:sz="0" w:space="0" w:color="auto"/>
        <w:bottom w:val="none" w:sz="0" w:space="0" w:color="auto"/>
        <w:right w:val="none" w:sz="0" w:space="0" w:color="auto"/>
      </w:divBdr>
    </w:div>
    <w:div w:id="440146501">
      <w:bodyDiv w:val="1"/>
      <w:marLeft w:val="0"/>
      <w:marRight w:val="0"/>
      <w:marTop w:val="0"/>
      <w:marBottom w:val="0"/>
      <w:divBdr>
        <w:top w:val="none" w:sz="0" w:space="0" w:color="auto"/>
        <w:left w:val="none" w:sz="0" w:space="0" w:color="auto"/>
        <w:bottom w:val="none" w:sz="0" w:space="0" w:color="auto"/>
        <w:right w:val="none" w:sz="0" w:space="0" w:color="auto"/>
      </w:divBdr>
    </w:div>
    <w:div w:id="443505850">
      <w:bodyDiv w:val="1"/>
      <w:marLeft w:val="0"/>
      <w:marRight w:val="0"/>
      <w:marTop w:val="0"/>
      <w:marBottom w:val="0"/>
      <w:divBdr>
        <w:top w:val="none" w:sz="0" w:space="0" w:color="auto"/>
        <w:left w:val="none" w:sz="0" w:space="0" w:color="auto"/>
        <w:bottom w:val="none" w:sz="0" w:space="0" w:color="auto"/>
        <w:right w:val="none" w:sz="0" w:space="0" w:color="auto"/>
      </w:divBdr>
    </w:div>
    <w:div w:id="659970603">
      <w:bodyDiv w:val="1"/>
      <w:marLeft w:val="0"/>
      <w:marRight w:val="0"/>
      <w:marTop w:val="0"/>
      <w:marBottom w:val="0"/>
      <w:divBdr>
        <w:top w:val="none" w:sz="0" w:space="0" w:color="auto"/>
        <w:left w:val="none" w:sz="0" w:space="0" w:color="auto"/>
        <w:bottom w:val="none" w:sz="0" w:space="0" w:color="auto"/>
        <w:right w:val="none" w:sz="0" w:space="0" w:color="auto"/>
      </w:divBdr>
    </w:div>
    <w:div w:id="686566780">
      <w:bodyDiv w:val="1"/>
      <w:marLeft w:val="0"/>
      <w:marRight w:val="0"/>
      <w:marTop w:val="0"/>
      <w:marBottom w:val="0"/>
      <w:divBdr>
        <w:top w:val="none" w:sz="0" w:space="0" w:color="auto"/>
        <w:left w:val="none" w:sz="0" w:space="0" w:color="auto"/>
        <w:bottom w:val="none" w:sz="0" w:space="0" w:color="auto"/>
        <w:right w:val="none" w:sz="0" w:space="0" w:color="auto"/>
      </w:divBdr>
    </w:div>
    <w:div w:id="786586152">
      <w:bodyDiv w:val="1"/>
      <w:marLeft w:val="0"/>
      <w:marRight w:val="0"/>
      <w:marTop w:val="0"/>
      <w:marBottom w:val="0"/>
      <w:divBdr>
        <w:top w:val="none" w:sz="0" w:space="0" w:color="auto"/>
        <w:left w:val="none" w:sz="0" w:space="0" w:color="auto"/>
        <w:bottom w:val="none" w:sz="0" w:space="0" w:color="auto"/>
        <w:right w:val="none" w:sz="0" w:space="0" w:color="auto"/>
      </w:divBdr>
    </w:div>
    <w:div w:id="787359006">
      <w:bodyDiv w:val="1"/>
      <w:marLeft w:val="0"/>
      <w:marRight w:val="0"/>
      <w:marTop w:val="0"/>
      <w:marBottom w:val="0"/>
      <w:divBdr>
        <w:top w:val="none" w:sz="0" w:space="0" w:color="auto"/>
        <w:left w:val="none" w:sz="0" w:space="0" w:color="auto"/>
        <w:bottom w:val="none" w:sz="0" w:space="0" w:color="auto"/>
        <w:right w:val="none" w:sz="0" w:space="0" w:color="auto"/>
      </w:divBdr>
    </w:div>
    <w:div w:id="879323752">
      <w:bodyDiv w:val="1"/>
      <w:marLeft w:val="0"/>
      <w:marRight w:val="0"/>
      <w:marTop w:val="0"/>
      <w:marBottom w:val="0"/>
      <w:divBdr>
        <w:top w:val="none" w:sz="0" w:space="0" w:color="auto"/>
        <w:left w:val="none" w:sz="0" w:space="0" w:color="auto"/>
        <w:bottom w:val="none" w:sz="0" w:space="0" w:color="auto"/>
        <w:right w:val="none" w:sz="0" w:space="0" w:color="auto"/>
      </w:divBdr>
    </w:div>
    <w:div w:id="964309484">
      <w:bodyDiv w:val="1"/>
      <w:marLeft w:val="0"/>
      <w:marRight w:val="0"/>
      <w:marTop w:val="0"/>
      <w:marBottom w:val="0"/>
      <w:divBdr>
        <w:top w:val="none" w:sz="0" w:space="0" w:color="auto"/>
        <w:left w:val="none" w:sz="0" w:space="0" w:color="auto"/>
        <w:bottom w:val="none" w:sz="0" w:space="0" w:color="auto"/>
        <w:right w:val="none" w:sz="0" w:space="0" w:color="auto"/>
      </w:divBdr>
    </w:div>
    <w:div w:id="1035689752">
      <w:bodyDiv w:val="1"/>
      <w:marLeft w:val="0"/>
      <w:marRight w:val="0"/>
      <w:marTop w:val="0"/>
      <w:marBottom w:val="0"/>
      <w:divBdr>
        <w:top w:val="none" w:sz="0" w:space="0" w:color="auto"/>
        <w:left w:val="none" w:sz="0" w:space="0" w:color="auto"/>
        <w:bottom w:val="none" w:sz="0" w:space="0" w:color="auto"/>
        <w:right w:val="none" w:sz="0" w:space="0" w:color="auto"/>
      </w:divBdr>
      <w:divsChild>
        <w:div w:id="1370106067">
          <w:marLeft w:val="547"/>
          <w:marRight w:val="0"/>
          <w:marTop w:val="154"/>
          <w:marBottom w:val="0"/>
          <w:divBdr>
            <w:top w:val="none" w:sz="0" w:space="0" w:color="auto"/>
            <w:left w:val="none" w:sz="0" w:space="0" w:color="auto"/>
            <w:bottom w:val="none" w:sz="0" w:space="0" w:color="auto"/>
            <w:right w:val="none" w:sz="0" w:space="0" w:color="auto"/>
          </w:divBdr>
        </w:div>
      </w:divsChild>
    </w:div>
    <w:div w:id="1062026620">
      <w:bodyDiv w:val="1"/>
      <w:marLeft w:val="0"/>
      <w:marRight w:val="0"/>
      <w:marTop w:val="0"/>
      <w:marBottom w:val="0"/>
      <w:divBdr>
        <w:top w:val="none" w:sz="0" w:space="0" w:color="auto"/>
        <w:left w:val="none" w:sz="0" w:space="0" w:color="auto"/>
        <w:bottom w:val="none" w:sz="0" w:space="0" w:color="auto"/>
        <w:right w:val="none" w:sz="0" w:space="0" w:color="auto"/>
      </w:divBdr>
    </w:div>
    <w:div w:id="1076434642">
      <w:bodyDiv w:val="1"/>
      <w:marLeft w:val="0"/>
      <w:marRight w:val="0"/>
      <w:marTop w:val="0"/>
      <w:marBottom w:val="0"/>
      <w:divBdr>
        <w:top w:val="none" w:sz="0" w:space="0" w:color="auto"/>
        <w:left w:val="none" w:sz="0" w:space="0" w:color="auto"/>
        <w:bottom w:val="none" w:sz="0" w:space="0" w:color="auto"/>
        <w:right w:val="none" w:sz="0" w:space="0" w:color="auto"/>
      </w:divBdr>
    </w:div>
    <w:div w:id="1124731837">
      <w:bodyDiv w:val="1"/>
      <w:marLeft w:val="0"/>
      <w:marRight w:val="0"/>
      <w:marTop w:val="0"/>
      <w:marBottom w:val="0"/>
      <w:divBdr>
        <w:top w:val="none" w:sz="0" w:space="0" w:color="auto"/>
        <w:left w:val="none" w:sz="0" w:space="0" w:color="auto"/>
        <w:bottom w:val="none" w:sz="0" w:space="0" w:color="auto"/>
        <w:right w:val="none" w:sz="0" w:space="0" w:color="auto"/>
      </w:divBdr>
      <w:divsChild>
        <w:div w:id="135340879">
          <w:marLeft w:val="547"/>
          <w:marRight w:val="0"/>
          <w:marTop w:val="134"/>
          <w:marBottom w:val="0"/>
          <w:divBdr>
            <w:top w:val="none" w:sz="0" w:space="0" w:color="auto"/>
            <w:left w:val="none" w:sz="0" w:space="0" w:color="auto"/>
            <w:bottom w:val="none" w:sz="0" w:space="0" w:color="auto"/>
            <w:right w:val="none" w:sz="0" w:space="0" w:color="auto"/>
          </w:divBdr>
        </w:div>
        <w:div w:id="265886206">
          <w:marLeft w:val="547"/>
          <w:marRight w:val="0"/>
          <w:marTop w:val="134"/>
          <w:marBottom w:val="0"/>
          <w:divBdr>
            <w:top w:val="none" w:sz="0" w:space="0" w:color="auto"/>
            <w:left w:val="none" w:sz="0" w:space="0" w:color="auto"/>
            <w:bottom w:val="none" w:sz="0" w:space="0" w:color="auto"/>
            <w:right w:val="none" w:sz="0" w:space="0" w:color="auto"/>
          </w:divBdr>
        </w:div>
        <w:div w:id="697975623">
          <w:marLeft w:val="547"/>
          <w:marRight w:val="0"/>
          <w:marTop w:val="134"/>
          <w:marBottom w:val="0"/>
          <w:divBdr>
            <w:top w:val="none" w:sz="0" w:space="0" w:color="auto"/>
            <w:left w:val="none" w:sz="0" w:space="0" w:color="auto"/>
            <w:bottom w:val="none" w:sz="0" w:space="0" w:color="auto"/>
            <w:right w:val="none" w:sz="0" w:space="0" w:color="auto"/>
          </w:divBdr>
        </w:div>
        <w:div w:id="1116368614">
          <w:marLeft w:val="547"/>
          <w:marRight w:val="0"/>
          <w:marTop w:val="134"/>
          <w:marBottom w:val="0"/>
          <w:divBdr>
            <w:top w:val="none" w:sz="0" w:space="0" w:color="auto"/>
            <w:left w:val="none" w:sz="0" w:space="0" w:color="auto"/>
            <w:bottom w:val="none" w:sz="0" w:space="0" w:color="auto"/>
            <w:right w:val="none" w:sz="0" w:space="0" w:color="auto"/>
          </w:divBdr>
        </w:div>
      </w:divsChild>
    </w:div>
    <w:div w:id="1233079307">
      <w:bodyDiv w:val="1"/>
      <w:marLeft w:val="0"/>
      <w:marRight w:val="0"/>
      <w:marTop w:val="0"/>
      <w:marBottom w:val="0"/>
      <w:divBdr>
        <w:top w:val="none" w:sz="0" w:space="0" w:color="auto"/>
        <w:left w:val="none" w:sz="0" w:space="0" w:color="auto"/>
        <w:bottom w:val="none" w:sz="0" w:space="0" w:color="auto"/>
        <w:right w:val="none" w:sz="0" w:space="0" w:color="auto"/>
      </w:divBdr>
    </w:div>
    <w:div w:id="1431194025">
      <w:bodyDiv w:val="1"/>
      <w:marLeft w:val="0"/>
      <w:marRight w:val="0"/>
      <w:marTop w:val="0"/>
      <w:marBottom w:val="0"/>
      <w:divBdr>
        <w:top w:val="none" w:sz="0" w:space="0" w:color="auto"/>
        <w:left w:val="none" w:sz="0" w:space="0" w:color="auto"/>
        <w:bottom w:val="none" w:sz="0" w:space="0" w:color="auto"/>
        <w:right w:val="none" w:sz="0" w:space="0" w:color="auto"/>
      </w:divBdr>
    </w:div>
    <w:div w:id="1433160966">
      <w:bodyDiv w:val="1"/>
      <w:marLeft w:val="0"/>
      <w:marRight w:val="0"/>
      <w:marTop w:val="0"/>
      <w:marBottom w:val="0"/>
      <w:divBdr>
        <w:top w:val="none" w:sz="0" w:space="0" w:color="auto"/>
        <w:left w:val="none" w:sz="0" w:space="0" w:color="auto"/>
        <w:bottom w:val="none" w:sz="0" w:space="0" w:color="auto"/>
        <w:right w:val="none" w:sz="0" w:space="0" w:color="auto"/>
      </w:divBdr>
    </w:div>
    <w:div w:id="1473984151">
      <w:bodyDiv w:val="1"/>
      <w:marLeft w:val="0"/>
      <w:marRight w:val="0"/>
      <w:marTop w:val="0"/>
      <w:marBottom w:val="0"/>
      <w:divBdr>
        <w:top w:val="none" w:sz="0" w:space="0" w:color="auto"/>
        <w:left w:val="none" w:sz="0" w:space="0" w:color="auto"/>
        <w:bottom w:val="none" w:sz="0" w:space="0" w:color="auto"/>
        <w:right w:val="none" w:sz="0" w:space="0" w:color="auto"/>
      </w:divBdr>
    </w:div>
    <w:div w:id="1518277630">
      <w:bodyDiv w:val="1"/>
      <w:marLeft w:val="0"/>
      <w:marRight w:val="0"/>
      <w:marTop w:val="0"/>
      <w:marBottom w:val="0"/>
      <w:divBdr>
        <w:top w:val="none" w:sz="0" w:space="0" w:color="auto"/>
        <w:left w:val="none" w:sz="0" w:space="0" w:color="auto"/>
        <w:bottom w:val="none" w:sz="0" w:space="0" w:color="auto"/>
        <w:right w:val="none" w:sz="0" w:space="0" w:color="auto"/>
      </w:divBdr>
    </w:div>
    <w:div w:id="1546601529">
      <w:bodyDiv w:val="1"/>
      <w:marLeft w:val="0"/>
      <w:marRight w:val="0"/>
      <w:marTop w:val="0"/>
      <w:marBottom w:val="0"/>
      <w:divBdr>
        <w:top w:val="none" w:sz="0" w:space="0" w:color="auto"/>
        <w:left w:val="none" w:sz="0" w:space="0" w:color="auto"/>
        <w:bottom w:val="none" w:sz="0" w:space="0" w:color="auto"/>
        <w:right w:val="none" w:sz="0" w:space="0" w:color="auto"/>
      </w:divBdr>
    </w:div>
    <w:div w:id="1654218029">
      <w:bodyDiv w:val="1"/>
      <w:marLeft w:val="0"/>
      <w:marRight w:val="0"/>
      <w:marTop w:val="0"/>
      <w:marBottom w:val="0"/>
      <w:divBdr>
        <w:top w:val="none" w:sz="0" w:space="0" w:color="auto"/>
        <w:left w:val="none" w:sz="0" w:space="0" w:color="auto"/>
        <w:bottom w:val="none" w:sz="0" w:space="0" w:color="auto"/>
        <w:right w:val="none" w:sz="0" w:space="0" w:color="auto"/>
      </w:divBdr>
    </w:div>
    <w:div w:id="1666592355">
      <w:bodyDiv w:val="1"/>
      <w:marLeft w:val="0"/>
      <w:marRight w:val="0"/>
      <w:marTop w:val="0"/>
      <w:marBottom w:val="0"/>
      <w:divBdr>
        <w:top w:val="none" w:sz="0" w:space="0" w:color="auto"/>
        <w:left w:val="none" w:sz="0" w:space="0" w:color="auto"/>
        <w:bottom w:val="none" w:sz="0" w:space="0" w:color="auto"/>
        <w:right w:val="none" w:sz="0" w:space="0" w:color="auto"/>
      </w:divBdr>
    </w:div>
    <w:div w:id="1879583780">
      <w:bodyDiv w:val="1"/>
      <w:marLeft w:val="0"/>
      <w:marRight w:val="0"/>
      <w:marTop w:val="0"/>
      <w:marBottom w:val="0"/>
      <w:divBdr>
        <w:top w:val="none" w:sz="0" w:space="0" w:color="auto"/>
        <w:left w:val="none" w:sz="0" w:space="0" w:color="auto"/>
        <w:bottom w:val="none" w:sz="0" w:space="0" w:color="auto"/>
        <w:right w:val="none" w:sz="0" w:space="0" w:color="auto"/>
      </w:divBdr>
    </w:div>
    <w:div w:id="1888178976">
      <w:bodyDiv w:val="1"/>
      <w:marLeft w:val="0"/>
      <w:marRight w:val="0"/>
      <w:marTop w:val="0"/>
      <w:marBottom w:val="0"/>
      <w:divBdr>
        <w:top w:val="none" w:sz="0" w:space="0" w:color="auto"/>
        <w:left w:val="none" w:sz="0" w:space="0" w:color="auto"/>
        <w:bottom w:val="none" w:sz="0" w:space="0" w:color="auto"/>
        <w:right w:val="none" w:sz="0" w:space="0" w:color="auto"/>
      </w:divBdr>
    </w:div>
    <w:div w:id="1956332012">
      <w:bodyDiv w:val="1"/>
      <w:marLeft w:val="0"/>
      <w:marRight w:val="0"/>
      <w:marTop w:val="0"/>
      <w:marBottom w:val="0"/>
      <w:divBdr>
        <w:top w:val="none" w:sz="0" w:space="0" w:color="auto"/>
        <w:left w:val="none" w:sz="0" w:space="0" w:color="auto"/>
        <w:bottom w:val="none" w:sz="0" w:space="0" w:color="auto"/>
        <w:right w:val="none" w:sz="0" w:space="0" w:color="auto"/>
      </w:divBdr>
    </w:div>
    <w:div w:id="1963490413">
      <w:bodyDiv w:val="1"/>
      <w:marLeft w:val="0"/>
      <w:marRight w:val="0"/>
      <w:marTop w:val="0"/>
      <w:marBottom w:val="0"/>
      <w:divBdr>
        <w:top w:val="none" w:sz="0" w:space="0" w:color="auto"/>
        <w:left w:val="none" w:sz="0" w:space="0" w:color="auto"/>
        <w:bottom w:val="none" w:sz="0" w:space="0" w:color="auto"/>
        <w:right w:val="none" w:sz="0" w:space="0" w:color="auto"/>
      </w:divBdr>
    </w:div>
    <w:div w:id="1969966558">
      <w:bodyDiv w:val="1"/>
      <w:marLeft w:val="0"/>
      <w:marRight w:val="0"/>
      <w:marTop w:val="0"/>
      <w:marBottom w:val="0"/>
      <w:divBdr>
        <w:top w:val="none" w:sz="0" w:space="0" w:color="auto"/>
        <w:left w:val="none" w:sz="0" w:space="0" w:color="auto"/>
        <w:bottom w:val="none" w:sz="0" w:space="0" w:color="auto"/>
        <w:right w:val="none" w:sz="0" w:space="0" w:color="auto"/>
      </w:divBdr>
    </w:div>
    <w:div w:id="2080707315">
      <w:bodyDiv w:val="1"/>
      <w:marLeft w:val="0"/>
      <w:marRight w:val="0"/>
      <w:marTop w:val="0"/>
      <w:marBottom w:val="0"/>
      <w:divBdr>
        <w:top w:val="none" w:sz="0" w:space="0" w:color="auto"/>
        <w:left w:val="none" w:sz="0" w:space="0" w:color="auto"/>
        <w:bottom w:val="none" w:sz="0" w:space="0" w:color="auto"/>
        <w:right w:val="none" w:sz="0" w:space="0" w:color="auto"/>
      </w:divBdr>
    </w:div>
    <w:div w:id="21169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torita.energia.it/"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control.at/" TargetMode="External"/><Relationship Id="rId17" Type="http://schemas.openxmlformats.org/officeDocument/2006/relationships/hyperlink" Target="http://www.mass.gov/eea/grants-and-tech-assistance/guidance-technical-assistance/agencies-and-divisions/dp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eb.ilr.lu/" TargetMode="External"/><Relationship Id="rId20" Type="http://schemas.openxmlformats.org/officeDocument/2006/relationships/hyperlink" Target="mailto:Intars.Eglitis@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g.b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sc.ky.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cid:image002.png@01D2F58B.838DC010" TargetMode="External"/><Relationship Id="rId19" Type="http://schemas.openxmlformats.org/officeDocument/2006/relationships/hyperlink" Target="mailto:Janis.Stepins@sprk.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r.i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pr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F1787-1F68-4E93-A8F7-F32360C9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4622</Words>
  <Characters>34346</Characters>
  <Application>Microsoft Office Word</Application>
  <DocSecurity>0</DocSecurity>
  <Lines>791</Lines>
  <Paragraphs>335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Sabiedrisko pakalpojumu regulēšanas komisijas darbības finansēšanas modeļa pilnveidošanu</vt:lpstr>
      <vt:lpstr>Par Sabiedrisko pakalpojumu regulēšanas komisijas darbības finansēšanas modeļa pilnveidošanu</vt:lpstr>
    </vt:vector>
  </TitlesOfParts>
  <Company>Hewlett-Packard</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Sabiedrisko pakalpojumu regulēšanas komisijas darbības finansēšanas modeļa pilnveidošanu</dc:title>
  <dc:subject/>
  <dc:creator>Administrators</dc:creator>
  <cp:keywords>Informatīvais ziņojums</cp:keywords>
  <dc:description/>
  <cp:lastModifiedBy>Inga Apsīte</cp:lastModifiedBy>
  <cp:revision>90</cp:revision>
  <cp:lastPrinted>2017-01-27T14:34:00Z</cp:lastPrinted>
  <dcterms:created xsi:type="dcterms:W3CDTF">2017-07-05T08:23:00Z</dcterms:created>
  <dcterms:modified xsi:type="dcterms:W3CDTF">2017-07-27T13:32:00Z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