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E94" w:rsidRDefault="00060E94" w:rsidP="00060E94">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bookmarkStart w:id="0" w:name="_GoBack"/>
      <w:bookmarkEnd w:id="0"/>
      <w:r>
        <w:rPr>
          <w:rFonts w:ascii="Times New Roman" w:eastAsia="Times New Roman" w:hAnsi="Times New Roman" w:cs="Times New Roman"/>
          <w:b/>
          <w:bCs/>
          <w:color w:val="414142"/>
          <w:sz w:val="28"/>
          <w:szCs w:val="24"/>
          <w:lang w:eastAsia="lv-LV"/>
        </w:rPr>
        <w:t>Likumprojekta “</w:t>
      </w:r>
      <w:r w:rsidR="00CD1296">
        <w:rPr>
          <w:rFonts w:ascii="Times New Roman" w:eastAsia="Times New Roman" w:hAnsi="Times New Roman" w:cs="Times New Roman"/>
          <w:b/>
          <w:bCs/>
          <w:color w:val="414142"/>
          <w:sz w:val="28"/>
          <w:szCs w:val="24"/>
          <w:lang w:eastAsia="lv-LV"/>
        </w:rPr>
        <w:t xml:space="preserve">Grozījumi </w:t>
      </w:r>
      <w:r>
        <w:rPr>
          <w:rFonts w:ascii="Times New Roman" w:eastAsia="Times New Roman" w:hAnsi="Times New Roman" w:cs="Times New Roman"/>
          <w:b/>
          <w:bCs/>
          <w:color w:val="414142"/>
          <w:sz w:val="28"/>
          <w:szCs w:val="24"/>
          <w:lang w:eastAsia="lv-LV"/>
        </w:rPr>
        <w:t xml:space="preserve">Apdrošināšanas un pārapdrošināšanas likumā” </w:t>
      </w:r>
      <w:r>
        <w:rPr>
          <w:rFonts w:ascii="Times New Roman" w:eastAsia="Times New Roman" w:hAnsi="Times New Roman" w:cs="Times New Roman"/>
          <w:b/>
          <w:bCs/>
          <w:color w:val="414142"/>
          <w:sz w:val="28"/>
          <w:szCs w:val="24"/>
          <w:lang w:eastAsia="lv-LV"/>
        </w:rPr>
        <w:br/>
        <w:t>sākotnējās ietekmes novērtējuma ziņojums (anotācija)</w:t>
      </w:r>
    </w:p>
    <w:p w:rsidR="00060E94" w:rsidRDefault="00060E94" w:rsidP="00060E94">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43"/>
        <w:gridCol w:w="2072"/>
        <w:gridCol w:w="6540"/>
      </w:tblGrid>
      <w:tr w:rsidR="00060E94" w:rsidTr="00060E94">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060E94" w:rsidRDefault="00060E9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I. Tiesību akta projekta izstrādes nepieciešamība</w:t>
            </w:r>
          </w:p>
        </w:tc>
      </w:tr>
      <w:tr w:rsidR="00060E94" w:rsidTr="00060E94">
        <w:trPr>
          <w:trHeight w:val="324"/>
        </w:trPr>
        <w:tc>
          <w:tcPr>
            <w:tcW w:w="245" w:type="pct"/>
            <w:tcBorders>
              <w:top w:val="outset" w:sz="6" w:space="0" w:color="414142"/>
              <w:left w:val="outset" w:sz="6" w:space="0" w:color="414142"/>
              <w:bottom w:val="outset" w:sz="6" w:space="0" w:color="414142"/>
              <w:right w:val="outset" w:sz="6" w:space="0" w:color="414142"/>
            </w:tcBorders>
            <w:hideMark/>
          </w:tcPr>
          <w:p w:rsidR="00060E94" w:rsidRDefault="00060E94">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w:t>
            </w:r>
          </w:p>
        </w:tc>
        <w:tc>
          <w:tcPr>
            <w:tcW w:w="1144"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Pamatojums</w:t>
            </w:r>
          </w:p>
        </w:tc>
        <w:tc>
          <w:tcPr>
            <w:tcW w:w="3611"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ind w:firstLine="394"/>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2015.gada 20.maijā tika publicēta Eiropas Parlamenta un Padomes Direktīva (ES)2015/849 par to, lai nepieļautu finanšu sistēmas izmantošanu nelikumīgi iegūtu līdzekļu legalizēšanai vai teroristu finansēšanai, un ar ko groza Eiropas Parlamenta un Padomes Regulu (ES) Nr.684/2012 un atceļ Eiropas Parlamenta Padomes Direktīvu 2005/60/EK un Komisijas Direktīvu 2006/70/EK (turpmāk – AML IV direktīva). AML IV direktīvas transponēšanas termiņš dalībvalstīm bija līdz 2017.gada 26.jūnijam. Šobrīd ir izstrādāts likumprojekts “Grozījumi Noziedzīgi iegūtu līdzekļu legalizācijas un terorisma finansēšanas likumā”, kurš  2017.gada 28.jūlijā ir izskatīts 1.lasījumā Saeimā, ar kuru tiek pārņemtas AML IV direktīvas prasības, kā arī likumprojektā ietvertas starptautisko Finanšu darījumu darba grupas (turpmāk – FATF) rekomendācijas un ņemti vērā </w:t>
            </w:r>
            <w:r>
              <w:rPr>
                <w:rFonts w:ascii="Times New Roman" w:hAnsi="Times New Roman" w:cs="Times New Roman"/>
                <w:color w:val="000000" w:themeColor="text1"/>
                <w:sz w:val="24"/>
                <w:szCs w:val="24"/>
              </w:rPr>
              <w:t xml:space="preserve">Eiropas Padomes </w:t>
            </w:r>
            <w:proofErr w:type="spellStart"/>
            <w:r>
              <w:rPr>
                <w:rFonts w:ascii="Times New Roman" w:hAnsi="Times New Roman" w:cs="Times New Roman"/>
                <w:color w:val="000000" w:themeColor="text1"/>
                <w:sz w:val="24"/>
                <w:szCs w:val="24"/>
              </w:rPr>
              <w:t>Moneyval</w:t>
            </w:r>
            <w:proofErr w:type="spellEnd"/>
            <w:r>
              <w:rPr>
                <w:rFonts w:ascii="Times New Roman" w:hAnsi="Times New Roman" w:cs="Times New Roman"/>
                <w:color w:val="000000" w:themeColor="text1"/>
                <w:sz w:val="24"/>
                <w:szCs w:val="24"/>
              </w:rPr>
              <w:t xml:space="preserve"> ekspertu ieteikumi.</w:t>
            </w:r>
          </w:p>
        </w:tc>
      </w:tr>
      <w:tr w:rsidR="00060E94" w:rsidTr="00060E94">
        <w:trPr>
          <w:trHeight w:val="372"/>
        </w:trPr>
        <w:tc>
          <w:tcPr>
            <w:tcW w:w="245" w:type="pct"/>
            <w:tcBorders>
              <w:top w:val="outset" w:sz="6" w:space="0" w:color="414142"/>
              <w:left w:val="outset" w:sz="6" w:space="0" w:color="414142"/>
              <w:bottom w:val="outset" w:sz="6" w:space="0" w:color="414142"/>
              <w:right w:val="outset" w:sz="6" w:space="0" w:color="414142"/>
            </w:tcBorders>
            <w:hideMark/>
          </w:tcPr>
          <w:p w:rsidR="00060E94" w:rsidRDefault="00060E94">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2.</w:t>
            </w:r>
          </w:p>
        </w:tc>
        <w:tc>
          <w:tcPr>
            <w:tcW w:w="1144"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tc>
        <w:tc>
          <w:tcPr>
            <w:tcW w:w="3611" w:type="pct"/>
            <w:tcBorders>
              <w:top w:val="outset" w:sz="6" w:space="0" w:color="414142"/>
              <w:left w:val="outset" w:sz="6" w:space="0" w:color="414142"/>
              <w:bottom w:val="outset" w:sz="6" w:space="0" w:color="414142"/>
              <w:right w:val="outset" w:sz="6" w:space="0" w:color="414142"/>
            </w:tcBorders>
          </w:tcPr>
          <w:p w:rsidR="00060E94" w:rsidRDefault="00060E94">
            <w:pPr>
              <w:widowControl w:val="0"/>
              <w:ind w:firstLine="3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Šobrīd Latvijas tiesību akti neparedz iespēju Latvijā atzīt un izpildīt ārvalsts lēmumu, ar kuru personai piemērots administratīva rakstura sods. Tiesiskā sadarbība administratīvo pārkāpumu lietās tieši netiek regulēta ar Eiropas Savienības tiesību aktiem vai starptautiskajiem līgumiem. Līdz ar to trūkst tiesiskā regulējuma, lai varētu izpildīt tādu ārvalsts lēmumu, ar kuru personai piemērots administratīva rakstura sods, vai varētu nosūtīt Latvijā pieņemtu lēmumu izpildei ārvalstī.</w:t>
            </w:r>
          </w:p>
          <w:p w:rsidR="00060E94" w:rsidRDefault="00060E94">
            <w:pPr>
              <w:widowControl w:val="0"/>
              <w:ind w:firstLine="3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Likumprojekts “Grozījumi Noziedzīgi iegūtu līdzekļu legalizācijas un terorisma finansēšanas novēršanas likums” paredz papildināt Noziedzīgi iegūtu līdzekļu legalizācijas un terorisma finansēšanas novēršanas  likumu (turpmāk - NILLTFNL) ar jaunu XV nodaļu “Atbildība par pārkāpumiem noziedzīgi iegūtu līdzekļu legalizācijas un terorisma finansēšanas novēršanas jomā un kompetence sankciju piemērošanā”. Izpildot AML IV direktīvas prasības, tiek paredzēti efektīvi, samērīgi un preventīvi sodi un pasākumu klāsts saistībā ar nopietniem, atkārtotiem vai sistemātiskiem prasību pārkāpumiem attiecībā uz klienta izpētes pasākumiem, informācijas uzglabāšanu, ziņošanu par aizdomīgiem darījumiem un atbildīgo subjektu iekšējo kontroli. Eiropas Savienības dalībvalstīs pašreiz pastāv dažādi administratīva rakstura sodi un pasākumi attiecībā uz galveno preventīvo noteikumu pārkāpumiem, tādējādi pastāvot riskam par Eiropas Savienības cīņas pret nelikumīgi iegūtu līdzekļu legalizēšanas un terorisma finansēšanas novēršanas sadrumstalotību. Sankciju un pasākumu klāsts ir pietiekami plašs un ļauj kompetentajām iestādēm ņemt vērā atšķirības starp atbildīgajiem subjektiem, jo īpaši starp kredītiestādēm un finanšu iestādēm un citiem atbildīgajiem </w:t>
            </w:r>
            <w:r>
              <w:rPr>
                <w:rFonts w:ascii="Times New Roman" w:hAnsi="Times New Roman" w:cs="Times New Roman"/>
                <w:color w:val="000000" w:themeColor="text1"/>
                <w:sz w:val="24"/>
                <w:szCs w:val="24"/>
              </w:rPr>
              <w:lastRenderedPageBreak/>
              <w:t xml:space="preserve">subjektiem, ņemot vērā apmēru, iezīmes un </w:t>
            </w:r>
            <w:proofErr w:type="spellStart"/>
            <w:r>
              <w:rPr>
                <w:rFonts w:ascii="Times New Roman" w:hAnsi="Times New Roman" w:cs="Times New Roman"/>
                <w:color w:val="000000" w:themeColor="text1"/>
                <w:sz w:val="24"/>
                <w:szCs w:val="24"/>
              </w:rPr>
              <w:t>darījumdarbības</w:t>
            </w:r>
            <w:proofErr w:type="spellEnd"/>
            <w:r>
              <w:rPr>
                <w:rFonts w:ascii="Times New Roman" w:hAnsi="Times New Roman" w:cs="Times New Roman"/>
                <w:color w:val="000000" w:themeColor="text1"/>
                <w:sz w:val="24"/>
                <w:szCs w:val="24"/>
              </w:rPr>
              <w:t xml:space="preserve"> būtību. Transponējot AML IV direktīvu, Eiropas Savienības dalībvalstīm ir jānodrošina, lai administratīva rakstura sodi un pasākumu piemērošana saskaņā ar valsts normatīvajiem aktiem nepārkāptu </w:t>
            </w:r>
            <w:r>
              <w:rPr>
                <w:rFonts w:ascii="Times New Roman" w:hAnsi="Times New Roman" w:cs="Times New Roman"/>
                <w:i/>
                <w:color w:val="000000" w:themeColor="text1"/>
                <w:sz w:val="24"/>
                <w:szCs w:val="24"/>
              </w:rPr>
              <w:t xml:space="preserve">ne </w:t>
            </w:r>
            <w:proofErr w:type="spellStart"/>
            <w:r>
              <w:rPr>
                <w:rFonts w:ascii="Times New Roman" w:hAnsi="Times New Roman" w:cs="Times New Roman"/>
                <w:i/>
                <w:color w:val="000000" w:themeColor="text1"/>
                <w:sz w:val="24"/>
                <w:szCs w:val="24"/>
              </w:rPr>
              <w:t>bis</w:t>
            </w:r>
            <w:proofErr w:type="spellEnd"/>
            <w:r>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rPr>
              <w:t>in</w:t>
            </w:r>
            <w:proofErr w:type="spellEnd"/>
            <w:r>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rPr>
              <w:t>idem</w:t>
            </w:r>
            <w:proofErr w:type="spellEnd"/>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principu.</w:t>
            </w:r>
          </w:p>
          <w:p w:rsidR="004C0798" w:rsidRDefault="004C0798">
            <w:pPr>
              <w:widowControl w:val="0"/>
              <w:ind w:firstLine="3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Likumprojekts “Grozījumi Apdrošināšanas un pārapdrošināšanas likumā” paredz papildināt likumu ar jaunu normu, kura paredz, ka par NILLTFNL pārkāpumiem sankcijas piemērojamas NILLTFNL ietvaros, līdz ar to </w:t>
            </w:r>
            <w:r w:rsidRPr="00E77CF2">
              <w:rPr>
                <w:rFonts w:ascii="Times New Roman" w:hAnsi="Times New Roman" w:cs="Times New Roman"/>
                <w:color w:val="000000" w:themeColor="text1"/>
                <w:sz w:val="24"/>
                <w:szCs w:val="24"/>
              </w:rPr>
              <w:t xml:space="preserve">94. panta </w:t>
            </w:r>
            <w:r>
              <w:rPr>
                <w:rFonts w:ascii="Times New Roman" w:hAnsi="Times New Roman" w:cs="Times New Roman"/>
                <w:color w:val="000000" w:themeColor="text1"/>
                <w:sz w:val="24"/>
                <w:szCs w:val="24"/>
              </w:rPr>
              <w:t>trešā daļa, kura pašreiz paredz to, ka par pārkāpumiem NILLTFNL jomā Finanšu un kapitāla tirgus komisija (turpmāk - FKTK)</w:t>
            </w:r>
            <w:r w:rsidR="00B5376C">
              <w:rPr>
                <w:rFonts w:ascii="Times New Roman" w:hAnsi="Times New Roman" w:cs="Times New Roman"/>
                <w:color w:val="000000" w:themeColor="text1"/>
                <w:sz w:val="24"/>
                <w:szCs w:val="24"/>
              </w:rPr>
              <w:t xml:space="preserve"> ir tiesīga uzlikt apdrošinātājam vai </w:t>
            </w:r>
            <w:proofErr w:type="spellStart"/>
            <w:r w:rsidR="00B5376C">
              <w:rPr>
                <w:rFonts w:ascii="Times New Roman" w:hAnsi="Times New Roman" w:cs="Times New Roman"/>
                <w:color w:val="000000" w:themeColor="text1"/>
                <w:sz w:val="24"/>
                <w:szCs w:val="24"/>
              </w:rPr>
              <w:t>pārapdrošinātājam</w:t>
            </w:r>
            <w:proofErr w:type="spellEnd"/>
            <w:r w:rsidR="00B5376C">
              <w:rPr>
                <w:rFonts w:ascii="Times New Roman" w:hAnsi="Times New Roman" w:cs="Times New Roman"/>
                <w:color w:val="000000" w:themeColor="text1"/>
                <w:sz w:val="24"/>
                <w:szCs w:val="24"/>
              </w:rPr>
              <w:t xml:space="preserve"> soda  </w:t>
            </w:r>
            <w:r w:rsidR="00096F94">
              <w:rPr>
                <w:rFonts w:ascii="Times New Roman" w:hAnsi="Times New Roman" w:cs="Times New Roman"/>
                <w:color w:val="000000" w:themeColor="text1"/>
                <w:sz w:val="24"/>
                <w:szCs w:val="24"/>
              </w:rPr>
              <w:t>n</w:t>
            </w:r>
            <w:r w:rsidR="00B5376C">
              <w:rPr>
                <w:rFonts w:ascii="Times New Roman" w:hAnsi="Times New Roman" w:cs="Times New Roman"/>
                <w:color w:val="000000" w:themeColor="text1"/>
                <w:sz w:val="24"/>
                <w:szCs w:val="24"/>
              </w:rPr>
              <w:t xml:space="preserve">audu līdz 142 000 </w:t>
            </w:r>
            <w:proofErr w:type="spellStart"/>
            <w:r w:rsidR="00F55954">
              <w:rPr>
                <w:rFonts w:ascii="Times New Roman" w:hAnsi="Times New Roman" w:cs="Times New Roman"/>
                <w:color w:val="000000" w:themeColor="text1"/>
                <w:sz w:val="24"/>
                <w:szCs w:val="24"/>
              </w:rPr>
              <w:t>euro</w:t>
            </w:r>
            <w:proofErr w:type="spellEnd"/>
            <w:r w:rsidR="00F55954">
              <w:rPr>
                <w:rFonts w:ascii="Times New Roman" w:hAnsi="Times New Roman" w:cs="Times New Roman"/>
                <w:color w:val="000000" w:themeColor="text1"/>
                <w:sz w:val="24"/>
                <w:szCs w:val="24"/>
              </w:rPr>
              <w:t>, ir izslēdzama.</w:t>
            </w:r>
          </w:p>
          <w:p w:rsidR="00060E94" w:rsidRDefault="00E77CF2" w:rsidP="00E77CF2">
            <w:pPr>
              <w:tabs>
                <w:tab w:val="left" w:pos="540"/>
                <w:tab w:val="left" w:pos="900"/>
              </w:tabs>
              <w:ind w:firstLine="720"/>
              <w:jc w:val="both"/>
              <w:rPr>
                <w:rFonts w:ascii="Times New Roman" w:hAnsi="Times New Roman" w:cs="Times New Roman"/>
                <w:color w:val="000000" w:themeColor="text1"/>
                <w:sz w:val="24"/>
                <w:szCs w:val="24"/>
              </w:rPr>
            </w:pPr>
            <w:r w:rsidRPr="00E77CF2">
              <w:rPr>
                <w:rFonts w:ascii="Times New Roman" w:hAnsi="Times New Roman" w:cs="Times New Roman"/>
                <w:color w:val="000000" w:themeColor="text1"/>
                <w:sz w:val="24"/>
                <w:szCs w:val="24"/>
              </w:rPr>
              <w:t>Grozījumi likumā papildinot to ar 93.</w:t>
            </w:r>
            <w:r w:rsidR="006D36EC">
              <w:rPr>
                <w:rFonts w:ascii="Times New Roman" w:hAnsi="Times New Roman" w:cs="Times New Roman"/>
                <w:color w:val="000000" w:themeColor="text1"/>
                <w:sz w:val="24"/>
                <w:szCs w:val="24"/>
                <w:vertAlign w:val="superscript"/>
              </w:rPr>
              <w:t>1</w:t>
            </w:r>
            <w:r w:rsidRPr="00E77CF2">
              <w:rPr>
                <w:rFonts w:ascii="Times New Roman" w:hAnsi="Times New Roman" w:cs="Times New Roman"/>
                <w:color w:val="000000" w:themeColor="text1"/>
                <w:sz w:val="24"/>
                <w:szCs w:val="24"/>
              </w:rPr>
              <w:t xml:space="preserve"> pantu, kā arī 94. panta trešās daļas izslēgšana, stājas spēkā vienlaikus ar</w:t>
            </w:r>
            <w:r w:rsidR="00060E94">
              <w:rPr>
                <w:rFonts w:ascii="Times New Roman" w:hAnsi="Times New Roman" w:cs="Times New Roman"/>
                <w:color w:val="000000" w:themeColor="text1"/>
                <w:sz w:val="24"/>
                <w:szCs w:val="24"/>
              </w:rPr>
              <w:t xml:space="preserve"> atbilstošajiem grozījumiem “Noziedzīgi iegūtu līdzekļu legalizācijas un terorisma finansēšanas novēršanas likumā”.</w:t>
            </w:r>
          </w:p>
        </w:tc>
      </w:tr>
      <w:tr w:rsidR="00060E94" w:rsidTr="00060E94">
        <w:trPr>
          <w:trHeight w:val="372"/>
        </w:trPr>
        <w:tc>
          <w:tcPr>
            <w:tcW w:w="245" w:type="pct"/>
            <w:tcBorders>
              <w:top w:val="outset" w:sz="6" w:space="0" w:color="414142"/>
              <w:left w:val="outset" w:sz="6" w:space="0" w:color="414142"/>
              <w:bottom w:val="outset" w:sz="6" w:space="0" w:color="414142"/>
              <w:right w:val="outset" w:sz="6" w:space="0" w:color="414142"/>
            </w:tcBorders>
            <w:hideMark/>
          </w:tcPr>
          <w:p w:rsidR="00060E94" w:rsidRDefault="00060E94">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3.</w:t>
            </w:r>
          </w:p>
        </w:tc>
        <w:tc>
          <w:tcPr>
            <w:tcW w:w="1144"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Projekta izstrādē iesaistītās institūcijas</w:t>
            </w:r>
          </w:p>
        </w:tc>
        <w:tc>
          <w:tcPr>
            <w:tcW w:w="3611"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hAnsi="Times New Roman"/>
                <w:sz w:val="24"/>
                <w:szCs w:val="24"/>
              </w:rPr>
            </w:pPr>
            <w:r>
              <w:rPr>
                <w:rFonts w:ascii="Times New Roman" w:hAnsi="Times New Roman"/>
                <w:sz w:val="24"/>
                <w:szCs w:val="24"/>
              </w:rPr>
              <w:t>Par likumprojekta izstrādi atbildīgā institūcija ir FKTK, Tieslietu ministrija, Noziedzīgi iegūtu līdzekļu legalizācijas novēršanas dienests.</w:t>
            </w:r>
          </w:p>
        </w:tc>
      </w:tr>
      <w:tr w:rsidR="00060E94" w:rsidTr="00060E94">
        <w:tc>
          <w:tcPr>
            <w:tcW w:w="245" w:type="pct"/>
            <w:tcBorders>
              <w:top w:val="outset" w:sz="6" w:space="0" w:color="414142"/>
              <w:left w:val="outset" w:sz="6" w:space="0" w:color="414142"/>
              <w:bottom w:val="outset" w:sz="6" w:space="0" w:color="414142"/>
              <w:right w:val="outset" w:sz="6" w:space="0" w:color="414142"/>
            </w:tcBorders>
            <w:hideMark/>
          </w:tcPr>
          <w:p w:rsidR="00060E94" w:rsidRDefault="00060E94">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4.</w:t>
            </w:r>
          </w:p>
        </w:tc>
        <w:tc>
          <w:tcPr>
            <w:tcW w:w="1144"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Cita informācija</w:t>
            </w:r>
          </w:p>
        </w:tc>
        <w:tc>
          <w:tcPr>
            <w:tcW w:w="3611" w:type="pct"/>
            <w:tcBorders>
              <w:top w:val="outset" w:sz="6" w:space="0" w:color="414142"/>
              <w:left w:val="outset" w:sz="6" w:space="0" w:color="414142"/>
              <w:bottom w:val="outset" w:sz="6" w:space="0" w:color="414142"/>
              <w:right w:val="outset" w:sz="6" w:space="0" w:color="414142"/>
            </w:tcBorders>
            <w:hideMark/>
          </w:tcPr>
          <w:p w:rsidR="00060E94" w:rsidRDefault="00060E94">
            <w:pPr>
              <w:spacing w:before="100" w:beforeAutospacing="1" w:after="100" w:afterAutospacing="1" w:line="293" w:lineRule="atLeast"/>
              <w:rPr>
                <w:rFonts w:ascii="Times New Roman" w:hAnsi="Times New Roman"/>
                <w:sz w:val="24"/>
                <w:szCs w:val="24"/>
              </w:rPr>
            </w:pPr>
            <w:r>
              <w:rPr>
                <w:rFonts w:ascii="Times New Roman" w:hAnsi="Times New Roman"/>
                <w:sz w:val="24"/>
                <w:szCs w:val="24"/>
              </w:rPr>
              <w:t>Nav.</w:t>
            </w:r>
          </w:p>
        </w:tc>
      </w:tr>
    </w:tbl>
    <w:p w:rsidR="00060E94" w:rsidRDefault="00060E94" w:rsidP="00060E94">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060E94" w:rsidTr="00060E94">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60E94" w:rsidRDefault="00060E9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II. Tiesību akta projekta ietekme uz sabiedrību, tautsaimniecības attīstību un administratīvo slogu</w:t>
            </w:r>
          </w:p>
        </w:tc>
      </w:tr>
      <w:tr w:rsidR="00060E94" w:rsidTr="00060E94">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tcPr>
          <w:p w:rsidR="00060E94" w:rsidRDefault="00060E9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p>
        </w:tc>
      </w:tr>
      <w:tr w:rsidR="00060E94" w:rsidTr="00060E94">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hAnsi="Times New Roman"/>
                <w:sz w:val="24"/>
                <w:szCs w:val="24"/>
              </w:rPr>
            </w:pPr>
            <w:r>
              <w:rPr>
                <w:rFonts w:ascii="Times New Roman" w:hAnsi="Times New Roman"/>
                <w:sz w:val="24"/>
                <w:szCs w:val="24"/>
              </w:rPr>
              <w:t xml:space="preserve">Sabiedrības </w:t>
            </w:r>
            <w:proofErr w:type="spellStart"/>
            <w:r>
              <w:rPr>
                <w:rFonts w:ascii="Times New Roman" w:hAnsi="Times New Roman"/>
                <w:sz w:val="24"/>
                <w:szCs w:val="24"/>
              </w:rPr>
              <w:t>mērķgrupas</w:t>
            </w:r>
            <w:proofErr w:type="spellEnd"/>
            <w:r>
              <w:rPr>
                <w:rFonts w:ascii="Times New Roman" w:hAnsi="Times New Roman"/>
                <w:sz w:val="24"/>
                <w:szCs w:val="24"/>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060E94" w:rsidRDefault="00937F2C">
            <w:pPr>
              <w:spacing w:after="0" w:line="240" w:lineRule="auto"/>
              <w:rPr>
                <w:rFonts w:ascii="Times New Roman" w:hAnsi="Times New Roman"/>
                <w:sz w:val="24"/>
                <w:szCs w:val="24"/>
              </w:rPr>
            </w:pPr>
            <w:r>
              <w:rPr>
                <w:rFonts w:ascii="Times New Roman" w:hAnsi="Times New Roman"/>
                <w:sz w:val="24"/>
                <w:szCs w:val="24"/>
              </w:rPr>
              <w:t xml:space="preserve">Apdrošinātāji, </w:t>
            </w:r>
            <w:proofErr w:type="spellStart"/>
            <w:r>
              <w:rPr>
                <w:rFonts w:ascii="Times New Roman" w:hAnsi="Times New Roman"/>
                <w:sz w:val="24"/>
                <w:szCs w:val="24"/>
              </w:rPr>
              <w:t>pārapdrošinātāji</w:t>
            </w:r>
            <w:proofErr w:type="spellEnd"/>
            <w:r w:rsidR="00060E94">
              <w:rPr>
                <w:rFonts w:ascii="Times New Roman" w:hAnsi="Times New Roman"/>
                <w:sz w:val="24"/>
                <w:szCs w:val="24"/>
              </w:rPr>
              <w:t xml:space="preserve"> un FKTK.</w:t>
            </w:r>
          </w:p>
        </w:tc>
      </w:tr>
      <w:tr w:rsidR="00060E94" w:rsidTr="00060E94">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hAnsi="Times New Roman"/>
                <w:sz w:val="24"/>
                <w:szCs w:val="24"/>
              </w:rPr>
            </w:pPr>
            <w:r>
              <w:rPr>
                <w:rFonts w:ascii="Times New Roman" w:hAnsi="Times New Roman"/>
                <w:sz w:val="24"/>
                <w:szCs w:val="24"/>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hAnsi="Times New Roman"/>
                <w:sz w:val="24"/>
                <w:szCs w:val="24"/>
              </w:rPr>
            </w:pPr>
            <w:r>
              <w:rPr>
                <w:rFonts w:ascii="Times New Roman" w:hAnsi="Times New Roman"/>
                <w:sz w:val="24"/>
                <w:szCs w:val="24"/>
              </w:rPr>
              <w:t xml:space="preserve"> Nav.</w:t>
            </w:r>
          </w:p>
        </w:tc>
      </w:tr>
      <w:tr w:rsidR="00060E94" w:rsidTr="00060E94">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hAnsi="Times New Roman"/>
                <w:sz w:val="24"/>
                <w:szCs w:val="24"/>
              </w:rPr>
            </w:pPr>
            <w:r>
              <w:rPr>
                <w:rFonts w:ascii="Times New Roman" w:hAnsi="Times New Roman"/>
                <w:sz w:val="24"/>
                <w:szCs w:val="24"/>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hAnsi="Times New Roman"/>
                <w:sz w:val="24"/>
                <w:szCs w:val="24"/>
              </w:rPr>
            </w:pPr>
            <w:r>
              <w:rPr>
                <w:rFonts w:ascii="Times New Roman" w:hAnsi="Times New Roman"/>
                <w:sz w:val="24"/>
                <w:szCs w:val="24"/>
              </w:rPr>
              <w:t>Nav.</w:t>
            </w:r>
          </w:p>
        </w:tc>
      </w:tr>
      <w:tr w:rsidR="00060E94" w:rsidTr="00060E94">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hAnsi="Times New Roman"/>
                <w:sz w:val="24"/>
                <w:szCs w:val="24"/>
              </w:rPr>
            </w:pPr>
            <w:r>
              <w:rPr>
                <w:rFonts w:ascii="Times New Roman" w:hAnsi="Times New Roman"/>
                <w:sz w:val="24"/>
                <w:szCs w:val="24"/>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060E94" w:rsidRDefault="00060E94">
            <w:pPr>
              <w:spacing w:before="100" w:beforeAutospacing="1" w:after="100" w:afterAutospacing="1" w:line="293" w:lineRule="atLeast"/>
              <w:rPr>
                <w:rFonts w:ascii="Times New Roman" w:hAnsi="Times New Roman"/>
                <w:sz w:val="24"/>
                <w:szCs w:val="24"/>
              </w:rPr>
            </w:pPr>
            <w:r>
              <w:rPr>
                <w:rFonts w:ascii="Times New Roman" w:hAnsi="Times New Roman"/>
                <w:sz w:val="24"/>
                <w:szCs w:val="24"/>
              </w:rPr>
              <w:t>Nav.</w:t>
            </w:r>
          </w:p>
        </w:tc>
      </w:tr>
    </w:tbl>
    <w:p w:rsidR="00060E94" w:rsidRDefault="00060E94" w:rsidP="00060E94">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060E94" w:rsidTr="00060E94">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060E94" w:rsidRDefault="00060E9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III. Tiesību akta projekta ietekme uz valsts budžetu un pašvaldību budžetiem</w:t>
            </w:r>
          </w:p>
        </w:tc>
      </w:tr>
      <w:tr w:rsidR="00060E94" w:rsidTr="00060E94">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060E94" w:rsidRDefault="00060E94">
            <w:pPr>
              <w:spacing w:after="0" w:line="240" w:lineRule="auto"/>
              <w:jc w:val="center"/>
              <w:rPr>
                <w:rFonts w:ascii="Times New Roman" w:eastAsia="Times New Roman" w:hAnsi="Times New Roman" w:cs="Times New Roman"/>
                <w:bCs/>
                <w:color w:val="414142"/>
                <w:sz w:val="24"/>
                <w:szCs w:val="24"/>
                <w:lang w:eastAsia="lv-LV"/>
              </w:rPr>
            </w:pPr>
            <w:r>
              <w:rPr>
                <w:rFonts w:ascii="Times New Roman" w:hAnsi="Times New Roman"/>
                <w:sz w:val="24"/>
                <w:szCs w:val="24"/>
              </w:rPr>
              <w:t>Projekts šo jomu neskar.</w:t>
            </w:r>
          </w:p>
        </w:tc>
      </w:tr>
    </w:tbl>
    <w:p w:rsidR="00060E94" w:rsidRDefault="00060E94" w:rsidP="00060E94">
      <w:pPr>
        <w:spacing w:after="0" w:line="240" w:lineRule="auto"/>
        <w:ind w:firstLine="426"/>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060E94" w:rsidTr="00060E94">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60E94" w:rsidRDefault="00060E9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IV. Tiesību akta projekta ietekme uz spēkā esošo tiesību normu sistēmu</w:t>
            </w:r>
          </w:p>
        </w:tc>
      </w:tr>
      <w:tr w:rsidR="00060E94" w:rsidTr="00060E94">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060E94" w:rsidRDefault="00060E94" w:rsidP="00D10CA3">
            <w:pPr>
              <w:spacing w:after="0" w:line="240" w:lineRule="auto"/>
              <w:jc w:val="both"/>
              <w:rPr>
                <w:rFonts w:ascii="Times New Roman" w:eastAsia="Times New Roman" w:hAnsi="Times New Roman" w:cs="Times New Roman"/>
                <w:color w:val="FF0000"/>
                <w:sz w:val="24"/>
                <w:szCs w:val="24"/>
                <w:lang w:eastAsia="lv-LV"/>
              </w:rPr>
            </w:pPr>
            <w:r>
              <w:rPr>
                <w:rFonts w:ascii="Times New Roman" w:hAnsi="Times New Roman"/>
                <w:sz w:val="24"/>
                <w:szCs w:val="24"/>
              </w:rPr>
              <w:t xml:space="preserve">Grozījumi nepieciešami šādos likumos: </w:t>
            </w:r>
            <w:r w:rsidR="000921A8">
              <w:rPr>
                <w:rFonts w:ascii="Times New Roman" w:hAnsi="Times New Roman"/>
                <w:sz w:val="24"/>
                <w:szCs w:val="24"/>
              </w:rPr>
              <w:t xml:space="preserve">Kredītiestāžu likumā, </w:t>
            </w:r>
            <w:r>
              <w:rPr>
                <w:rFonts w:ascii="Times New Roman" w:hAnsi="Times New Roman"/>
                <w:sz w:val="24"/>
                <w:szCs w:val="24"/>
              </w:rPr>
              <w:t xml:space="preserve">Maksājumu pakalpojumu un elektroniskās naudas likumā, Finanšu instrumentu tirgus likumā, Ieguldījumu pārvaldes sabiedrību likumā, Alternatīvo ieguldījumu fondu un pārvaldnieku likumā, </w:t>
            </w:r>
            <w:proofErr w:type="spellStart"/>
            <w:r>
              <w:rPr>
                <w:rFonts w:ascii="Times New Roman" w:hAnsi="Times New Roman"/>
                <w:sz w:val="24"/>
                <w:szCs w:val="24"/>
              </w:rPr>
              <w:t>Krājaizdevu</w:t>
            </w:r>
            <w:proofErr w:type="spellEnd"/>
            <w:r>
              <w:rPr>
                <w:rFonts w:ascii="Times New Roman" w:hAnsi="Times New Roman"/>
                <w:sz w:val="24"/>
                <w:szCs w:val="24"/>
              </w:rPr>
              <w:t xml:space="preserve"> sabiedrību likumā, Apdrošināšanas un pārapdrošināšanas starpnieku darbības likumā, Notariāta likumā, Latvijas Republikas Advokatūras likumā</w:t>
            </w:r>
            <w:r w:rsidR="00D10CA3">
              <w:rPr>
                <w:rFonts w:ascii="Times New Roman" w:hAnsi="Times New Roman"/>
                <w:sz w:val="24"/>
                <w:szCs w:val="24"/>
              </w:rPr>
              <w:t>.</w:t>
            </w:r>
          </w:p>
        </w:tc>
      </w:tr>
      <w:tr w:rsidR="00060E94" w:rsidTr="00060E94">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Finanšu ministrija.</w:t>
            </w:r>
          </w:p>
        </w:tc>
      </w:tr>
      <w:tr w:rsidR="00060E94" w:rsidTr="00060E94">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tc>
      </w:tr>
    </w:tbl>
    <w:p w:rsidR="00060E94" w:rsidRDefault="00060E94" w:rsidP="00060E94">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626"/>
        <w:gridCol w:w="91"/>
        <w:gridCol w:w="5886"/>
      </w:tblGrid>
      <w:tr w:rsidR="00060E94" w:rsidTr="00060E94">
        <w:trPr>
          <w:trHeight w:val="336"/>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060E94" w:rsidRDefault="00060E9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V. Tiesību akta projekta atbilstība Latvijas Republikas starptautiskajām saistībām</w:t>
            </w:r>
          </w:p>
        </w:tc>
      </w:tr>
      <w:tr w:rsidR="00060E94" w:rsidTr="00060E94">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Saistības pret Eiropas Savienību</w:t>
            </w:r>
          </w:p>
        </w:tc>
        <w:tc>
          <w:tcPr>
            <w:tcW w:w="3300" w:type="pct"/>
            <w:gridSpan w:val="2"/>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tc>
      </w:tr>
      <w:tr w:rsidR="00060E94" w:rsidTr="00060E94">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Citas starptautiskās saistības</w:t>
            </w:r>
          </w:p>
        </w:tc>
        <w:tc>
          <w:tcPr>
            <w:tcW w:w="3300" w:type="pct"/>
            <w:gridSpan w:val="2"/>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tc>
      </w:tr>
      <w:tr w:rsidR="00060E94" w:rsidTr="00060E94">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Cita informācija</w:t>
            </w:r>
          </w:p>
        </w:tc>
        <w:tc>
          <w:tcPr>
            <w:tcW w:w="3300" w:type="pct"/>
            <w:gridSpan w:val="2"/>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Likumprojekts saistīts ar likumprojektu “Grozījumi Noziedzīgi iegūtu līdzekļu legalizācijas un terorisma finansēšanas novēršanas likumā”, kurš izstrādāts, lai nodrošinātu atbilstību Eiropas Parlamenta un Padomes 2015.gada 20.maija Direktīvas (ES) 2015/849 par to, lai nepieļautu finanšu sistēmas izmantošanu nelikumīgi iegūtu līdzekļu legalizēšanai vai teroristu finansēšanai, un ar ko groza Eiropas Parlamenta un Padomes Regulu (ES) Nr.684/2012 un atceļ Eiropas Parlamenta un Padomes Direktīvu 2005/60/EK un Komisijas Direktīvu 2006/70/EK prasībām, kuru pienākums transponēt bija līdz 2017.gada 26.jūnijam.</w:t>
            </w:r>
          </w:p>
        </w:tc>
      </w:tr>
      <w:tr w:rsidR="00060E94" w:rsidTr="00060E94">
        <w:trPr>
          <w:trHeight w:val="336"/>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060E94" w:rsidRDefault="00060E9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VI. Sabiedrības līdzdalība un komunikācijas aktivitātes</w:t>
            </w:r>
          </w:p>
        </w:tc>
      </w:tr>
      <w:tr w:rsidR="00060E94" w:rsidTr="00060E94">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w:t>
            </w:r>
          </w:p>
        </w:tc>
        <w:tc>
          <w:tcPr>
            <w:tcW w:w="1500" w:type="pct"/>
            <w:gridSpan w:val="2"/>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hAnsi="Times New Roman"/>
                <w:sz w:val="24"/>
                <w:szCs w:val="24"/>
              </w:rPr>
            </w:pPr>
            <w:r>
              <w:rPr>
                <w:rFonts w:ascii="Times New Roman" w:hAnsi="Times New Roman"/>
                <w:sz w:val="24"/>
                <w:szCs w:val="24"/>
              </w:rPr>
              <w:t>Likumprojekta izstrāde notika, konsultējoties ar FKTK.</w:t>
            </w:r>
          </w:p>
          <w:p w:rsidR="00060E94" w:rsidRDefault="00060E9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Vienlaikus uzziņa par likumprojekta “Grozījumi Noziedzīgi iegūtu līdzekļu legalizācijas un terorisma finansēšanas novēršanas likumā” izstrādi 2016.gada 27.maijā tika  publicēta Finanšu ministrijas mājaslapas sadaļa “Sabiedrības līdzdalība”.</w:t>
            </w:r>
          </w:p>
        </w:tc>
      </w:tr>
      <w:tr w:rsidR="00060E94" w:rsidTr="00060E94">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2.</w:t>
            </w:r>
          </w:p>
        </w:tc>
        <w:tc>
          <w:tcPr>
            <w:tcW w:w="1500" w:type="pct"/>
            <w:gridSpan w:val="2"/>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hAnsi="Times New Roman"/>
                <w:sz w:val="24"/>
                <w:szCs w:val="24"/>
              </w:rPr>
            </w:pPr>
            <w:r>
              <w:rPr>
                <w:rFonts w:ascii="Times New Roman" w:hAnsi="Times New Roman"/>
                <w:sz w:val="24"/>
                <w:szCs w:val="24"/>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hAnsi="Times New Roman"/>
                <w:sz w:val="24"/>
                <w:szCs w:val="24"/>
              </w:rPr>
            </w:pPr>
            <w:r>
              <w:rPr>
                <w:rFonts w:ascii="Times New Roman" w:hAnsi="Times New Roman"/>
                <w:sz w:val="24"/>
                <w:szCs w:val="24"/>
              </w:rPr>
              <w:t>Nav.</w:t>
            </w:r>
          </w:p>
        </w:tc>
      </w:tr>
      <w:tr w:rsidR="00060E94" w:rsidTr="00060E94">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3.</w:t>
            </w:r>
          </w:p>
        </w:tc>
        <w:tc>
          <w:tcPr>
            <w:tcW w:w="1500" w:type="pct"/>
            <w:gridSpan w:val="2"/>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hAnsi="Times New Roman"/>
                <w:sz w:val="24"/>
                <w:szCs w:val="24"/>
              </w:rPr>
            </w:pPr>
            <w:r>
              <w:rPr>
                <w:rFonts w:ascii="Times New Roman" w:hAnsi="Times New Roman"/>
                <w:sz w:val="24"/>
                <w:szCs w:val="24"/>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hAnsi="Times New Roman"/>
                <w:sz w:val="24"/>
                <w:szCs w:val="24"/>
              </w:rPr>
            </w:pPr>
            <w:r>
              <w:rPr>
                <w:rFonts w:ascii="Times New Roman" w:hAnsi="Times New Roman"/>
                <w:sz w:val="24"/>
                <w:szCs w:val="24"/>
              </w:rPr>
              <w:t xml:space="preserve">Nav. </w:t>
            </w:r>
          </w:p>
        </w:tc>
      </w:tr>
      <w:tr w:rsidR="00060E94" w:rsidTr="00060E94">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4.</w:t>
            </w:r>
          </w:p>
        </w:tc>
        <w:tc>
          <w:tcPr>
            <w:tcW w:w="1500" w:type="pct"/>
            <w:gridSpan w:val="2"/>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hAnsi="Times New Roman"/>
                <w:sz w:val="24"/>
                <w:szCs w:val="24"/>
              </w:rPr>
            </w:pPr>
            <w:r>
              <w:rPr>
                <w:rFonts w:ascii="Times New Roman" w:hAnsi="Times New Roman"/>
                <w:sz w:val="24"/>
                <w:szCs w:val="24"/>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Pr>
                <w:rFonts w:ascii="Times New Roman" w:hAnsi="Times New Roman"/>
                <w:sz w:val="24"/>
                <w:szCs w:val="24"/>
              </w:rPr>
              <w:t>Sabiedrība pēc normatīvā akta pieņemšanas tiks informēta ar publikāciju oficiālajā izdevumā “Latvijas Vēstnesis”, kā arī ievietojot to bezmaksas normatīvo aktu datu bāzē</w:t>
            </w:r>
            <w:r>
              <w:rPr>
                <w:rFonts w:ascii="Times New Roman" w:eastAsia="Times New Roman" w:hAnsi="Times New Roman" w:cs="Times New Roman"/>
                <w:color w:val="414142"/>
                <w:sz w:val="24"/>
                <w:szCs w:val="24"/>
                <w:lang w:eastAsia="lv-LV"/>
              </w:rPr>
              <w:t xml:space="preserve"> </w:t>
            </w:r>
            <w:hyperlink r:id="rId6" w:history="1">
              <w:r>
                <w:rPr>
                  <w:rStyle w:val="Hyperlink"/>
                  <w:rFonts w:ascii="Times New Roman" w:eastAsia="Times New Roman" w:hAnsi="Times New Roman" w:cs="Times New Roman"/>
                  <w:sz w:val="24"/>
                  <w:szCs w:val="24"/>
                  <w:lang w:eastAsia="lv-LV"/>
                </w:rPr>
                <w:t>www.likumi.lv</w:t>
              </w:r>
            </w:hyperlink>
            <w:r>
              <w:rPr>
                <w:rFonts w:ascii="Times New Roman" w:eastAsia="Times New Roman" w:hAnsi="Times New Roman" w:cs="Times New Roman"/>
                <w:color w:val="414142"/>
                <w:sz w:val="24"/>
                <w:szCs w:val="24"/>
                <w:lang w:eastAsia="lv-LV"/>
              </w:rPr>
              <w:t>.</w:t>
            </w:r>
          </w:p>
          <w:p w:rsidR="00060E94" w:rsidRDefault="00060E94">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Pr>
                <w:rFonts w:ascii="Times New Roman" w:hAnsi="Times New Roman"/>
                <w:sz w:val="24"/>
                <w:szCs w:val="24"/>
              </w:rPr>
              <w:t>Likums tiks ievietots arī FKTK mājas lapā un NILLTFNL uzraudzības iestāžu mājas lapās internetā.</w:t>
            </w:r>
          </w:p>
        </w:tc>
      </w:tr>
    </w:tbl>
    <w:p w:rsidR="00060E94" w:rsidRDefault="00060E94" w:rsidP="00060E94">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659"/>
        <w:gridCol w:w="5944"/>
      </w:tblGrid>
      <w:tr w:rsidR="00060E94" w:rsidTr="00060E94">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60E94" w:rsidRDefault="00060E9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VII. Tiesību akta projekta izpildes nodrošināšana un tās ietekme uz institūcijām</w:t>
            </w:r>
          </w:p>
        </w:tc>
      </w:tr>
      <w:tr w:rsidR="00060E94" w:rsidTr="00060E94">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rsidR="00060E94" w:rsidRDefault="00060E94">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Pr>
                <w:rFonts w:ascii="Times New Roman" w:hAnsi="Times New Roman"/>
                <w:sz w:val="24"/>
                <w:szCs w:val="24"/>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FKTK</w:t>
            </w:r>
            <w:r>
              <w:rPr>
                <w:rFonts w:ascii="Times New Roman" w:hAnsi="Times New Roman"/>
                <w:sz w:val="24"/>
                <w:szCs w:val="24"/>
              </w:rPr>
              <w:t xml:space="preserve"> un citas NILLTFNL uzraudzības iestādes</w:t>
            </w:r>
            <w:r>
              <w:rPr>
                <w:rFonts w:ascii="Times New Roman" w:eastAsia="Times New Roman" w:hAnsi="Times New Roman" w:cs="Times New Roman"/>
                <w:color w:val="414142"/>
                <w:sz w:val="24"/>
                <w:szCs w:val="24"/>
                <w:lang w:eastAsia="lv-LV"/>
              </w:rPr>
              <w:t>.</w:t>
            </w:r>
          </w:p>
        </w:tc>
      </w:tr>
      <w:tr w:rsidR="00060E94" w:rsidTr="00060E94">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rsidR="00060E94" w:rsidRDefault="00060E94">
            <w:pPr>
              <w:spacing w:before="100" w:beforeAutospacing="1" w:after="100" w:afterAutospacing="1" w:line="293" w:lineRule="atLeast"/>
              <w:jc w:val="both"/>
              <w:rPr>
                <w:rFonts w:ascii="Times New Roman" w:hAnsi="Times New Roman"/>
                <w:sz w:val="24"/>
                <w:szCs w:val="24"/>
              </w:rPr>
            </w:pPr>
            <w:r>
              <w:rPr>
                <w:rFonts w:ascii="Times New Roman" w:hAnsi="Times New Roman"/>
                <w:sz w:val="24"/>
                <w:szCs w:val="24"/>
              </w:rPr>
              <w:t>Projekta izpildes ietekme uz pārvaldes funkcijām un institucionālo struktūru.</w:t>
            </w:r>
          </w:p>
          <w:p w:rsidR="00060E94" w:rsidRDefault="00060E94">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Pr>
                <w:rFonts w:ascii="Times New Roman" w:hAnsi="Times New Roman"/>
                <w:sz w:val="24"/>
                <w:szCs w:val="24"/>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rsidR="00060E94" w:rsidRDefault="00060E94">
            <w:pPr>
              <w:spacing w:before="100" w:beforeAutospacing="1" w:after="100" w:afterAutospacing="1" w:line="293" w:lineRule="atLeast"/>
              <w:jc w:val="both"/>
              <w:rPr>
                <w:rFonts w:ascii="Times New Roman" w:hAnsi="Times New Roman"/>
                <w:sz w:val="24"/>
                <w:szCs w:val="24"/>
              </w:rPr>
            </w:pPr>
            <w:r>
              <w:rPr>
                <w:rFonts w:ascii="Times New Roman" w:hAnsi="Times New Roman"/>
                <w:sz w:val="24"/>
                <w:szCs w:val="24"/>
              </w:rPr>
              <w:t>Projekts neparedz ietekmi uz pārvaldes funkcijām.</w:t>
            </w:r>
          </w:p>
          <w:p w:rsidR="00060E94" w:rsidRDefault="00060E94">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Pr>
                <w:rFonts w:ascii="Times New Roman" w:hAnsi="Times New Roman"/>
                <w:sz w:val="24"/>
                <w:szCs w:val="24"/>
              </w:rPr>
              <w:t>Jaunu institūciju izveide, esošo likvidācija vai reorganizācija netiek paredzēta.</w:t>
            </w:r>
            <w:r>
              <w:rPr>
                <w:rFonts w:ascii="Times New Roman" w:eastAsia="Times New Roman" w:hAnsi="Times New Roman" w:cs="Times New Roman"/>
                <w:color w:val="414142"/>
                <w:sz w:val="24"/>
                <w:szCs w:val="24"/>
                <w:lang w:eastAsia="lv-LV"/>
              </w:rPr>
              <w:t xml:space="preserve"> </w:t>
            </w:r>
          </w:p>
        </w:tc>
      </w:tr>
      <w:tr w:rsidR="00060E94" w:rsidTr="00060E94">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rsidR="00060E94" w:rsidRDefault="00060E94">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Pr>
                <w:rFonts w:ascii="Times New Roman" w:hAnsi="Times New Roman"/>
                <w:sz w:val="24"/>
                <w:szCs w:val="24"/>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rsidR="00060E94" w:rsidRDefault="00060E94">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tc>
      </w:tr>
    </w:tbl>
    <w:p w:rsidR="00060E94" w:rsidRDefault="00060E94" w:rsidP="00060E94">
      <w:pPr>
        <w:spacing w:after="0" w:line="240" w:lineRule="auto"/>
        <w:rPr>
          <w:rFonts w:ascii="Times New Roman" w:hAnsi="Times New Roman" w:cs="Times New Roman"/>
          <w:sz w:val="28"/>
          <w:szCs w:val="28"/>
        </w:rPr>
      </w:pPr>
    </w:p>
    <w:p w:rsidR="00060E94" w:rsidRDefault="00060E94" w:rsidP="00060E94">
      <w:pPr>
        <w:spacing w:after="0" w:line="240" w:lineRule="auto"/>
        <w:rPr>
          <w:rFonts w:ascii="Times New Roman" w:hAnsi="Times New Roman" w:cs="Times New Roman"/>
          <w:sz w:val="28"/>
          <w:szCs w:val="28"/>
        </w:rPr>
      </w:pPr>
    </w:p>
    <w:p w:rsidR="00060E94" w:rsidRDefault="00060E94" w:rsidP="00060E94">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Finanšu ministre</w:t>
      </w:r>
      <w:r>
        <w:rPr>
          <w:rFonts w:ascii="Times New Roman" w:hAnsi="Times New Roman" w:cs="Times New Roman"/>
          <w:sz w:val="28"/>
          <w:szCs w:val="28"/>
        </w:rPr>
        <w:tab/>
      </w:r>
      <w:proofErr w:type="spellStart"/>
      <w:r>
        <w:rPr>
          <w:rFonts w:ascii="Times New Roman" w:hAnsi="Times New Roman" w:cs="Times New Roman"/>
          <w:sz w:val="28"/>
          <w:szCs w:val="28"/>
        </w:rPr>
        <w:t>D.Reizniece</w:t>
      </w:r>
      <w:proofErr w:type="spellEnd"/>
      <w:r>
        <w:rPr>
          <w:rFonts w:ascii="Times New Roman" w:hAnsi="Times New Roman" w:cs="Times New Roman"/>
          <w:sz w:val="28"/>
          <w:szCs w:val="28"/>
        </w:rPr>
        <w:t>-Ozola</w:t>
      </w:r>
    </w:p>
    <w:p w:rsidR="00060E94" w:rsidRDefault="00060E94" w:rsidP="00060E94">
      <w:pPr>
        <w:tabs>
          <w:tab w:val="left" w:pos="6237"/>
        </w:tabs>
        <w:spacing w:after="0" w:line="240" w:lineRule="auto"/>
        <w:rPr>
          <w:rFonts w:ascii="Times New Roman" w:hAnsi="Times New Roman" w:cs="Times New Roman"/>
          <w:sz w:val="24"/>
          <w:szCs w:val="28"/>
        </w:rPr>
      </w:pPr>
    </w:p>
    <w:p w:rsidR="00060E94" w:rsidRDefault="00060E94" w:rsidP="00060E94">
      <w:pPr>
        <w:tabs>
          <w:tab w:val="left" w:pos="6237"/>
        </w:tabs>
        <w:spacing w:after="0" w:line="240" w:lineRule="auto"/>
        <w:rPr>
          <w:rFonts w:ascii="Times New Roman" w:hAnsi="Times New Roman" w:cs="Times New Roman"/>
          <w:sz w:val="24"/>
          <w:szCs w:val="28"/>
        </w:rPr>
      </w:pPr>
    </w:p>
    <w:p w:rsidR="00060E94" w:rsidRDefault="00060E94" w:rsidP="00060E94">
      <w:pPr>
        <w:tabs>
          <w:tab w:val="left" w:pos="6237"/>
        </w:tabs>
        <w:spacing w:after="0" w:line="240" w:lineRule="auto"/>
        <w:rPr>
          <w:rFonts w:ascii="Times New Roman" w:hAnsi="Times New Roman" w:cs="Times New Roman"/>
          <w:sz w:val="24"/>
          <w:szCs w:val="28"/>
        </w:rPr>
      </w:pPr>
    </w:p>
    <w:p w:rsidR="00060E94" w:rsidRDefault="00060E94" w:rsidP="00060E94">
      <w:pPr>
        <w:tabs>
          <w:tab w:val="left" w:pos="6237"/>
        </w:tabs>
        <w:spacing w:after="0" w:line="240" w:lineRule="auto"/>
        <w:rPr>
          <w:rFonts w:ascii="Times New Roman" w:hAnsi="Times New Roman" w:cs="Times New Roman"/>
          <w:sz w:val="24"/>
          <w:szCs w:val="28"/>
        </w:rPr>
      </w:pPr>
    </w:p>
    <w:p w:rsidR="00060E94" w:rsidRDefault="00060E94" w:rsidP="00060E94">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Neija, 67095490</w:t>
      </w:r>
    </w:p>
    <w:p w:rsidR="00060E94" w:rsidRDefault="00060E94" w:rsidP="00060E94">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vineta.neija@fm.gov.lv</w:t>
      </w:r>
    </w:p>
    <w:p w:rsidR="00060E94" w:rsidRDefault="00060E94" w:rsidP="00060E94"/>
    <w:p w:rsidR="000C1B44" w:rsidRDefault="000C1B44"/>
    <w:sectPr w:rsidR="000C1B44" w:rsidSect="001563A2">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CE3" w:rsidRDefault="00F92CE3" w:rsidP="004C3E9C">
      <w:pPr>
        <w:spacing w:after="0" w:line="240" w:lineRule="auto"/>
      </w:pPr>
      <w:r>
        <w:separator/>
      </w:r>
    </w:p>
  </w:endnote>
  <w:endnote w:type="continuationSeparator" w:id="0">
    <w:p w:rsidR="00F92CE3" w:rsidRDefault="00F92CE3" w:rsidP="004C3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3A2" w:rsidRDefault="001563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E9C" w:rsidRPr="004C3E9C" w:rsidRDefault="004C3E9C">
    <w:pPr>
      <w:pStyle w:val="Footer"/>
      <w:rPr>
        <w:rFonts w:ascii="Times New Roman" w:hAnsi="Times New Roman" w:cs="Times New Roman"/>
        <w:sz w:val="20"/>
        <w:szCs w:val="20"/>
      </w:rPr>
    </w:pPr>
    <w:r w:rsidRPr="004C3E9C">
      <w:rPr>
        <w:rFonts w:ascii="Times New Roman" w:hAnsi="Times New Roman" w:cs="Times New Roman"/>
        <w:sz w:val="20"/>
        <w:szCs w:val="20"/>
      </w:rPr>
      <w:t>FMAnot_080817_</w:t>
    </w:r>
    <w:r>
      <w:rPr>
        <w:rFonts w:ascii="Times New Roman" w:hAnsi="Times New Roman" w:cs="Times New Roman"/>
        <w:sz w:val="20"/>
        <w:szCs w:val="20"/>
      </w:rPr>
      <w:t>APL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3A2" w:rsidRDefault="001563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CE3" w:rsidRDefault="00F92CE3" w:rsidP="004C3E9C">
      <w:pPr>
        <w:spacing w:after="0" w:line="240" w:lineRule="auto"/>
      </w:pPr>
      <w:r>
        <w:separator/>
      </w:r>
    </w:p>
  </w:footnote>
  <w:footnote w:type="continuationSeparator" w:id="0">
    <w:p w:rsidR="00F92CE3" w:rsidRDefault="00F92CE3" w:rsidP="004C3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3A2" w:rsidRDefault="001563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584063"/>
      <w:docPartObj>
        <w:docPartGallery w:val="Page Numbers (Top of Page)"/>
        <w:docPartUnique/>
      </w:docPartObj>
    </w:sdtPr>
    <w:sdtEndPr>
      <w:rPr>
        <w:noProof/>
      </w:rPr>
    </w:sdtEndPr>
    <w:sdtContent>
      <w:p w:rsidR="001563A2" w:rsidRDefault="001563A2">
        <w:pPr>
          <w:pStyle w:val="Header"/>
          <w:jc w:val="center"/>
        </w:pPr>
        <w:r>
          <w:fldChar w:fldCharType="begin"/>
        </w:r>
        <w:r>
          <w:instrText xml:space="preserve"> PAGE   \* MERGEFORMAT </w:instrText>
        </w:r>
        <w:r>
          <w:fldChar w:fldCharType="separate"/>
        </w:r>
        <w:r w:rsidR="00972126">
          <w:rPr>
            <w:noProof/>
          </w:rPr>
          <w:t>2</w:t>
        </w:r>
        <w:r>
          <w:rPr>
            <w:noProof/>
          </w:rPr>
          <w:fldChar w:fldCharType="end"/>
        </w:r>
      </w:p>
    </w:sdtContent>
  </w:sdt>
  <w:p w:rsidR="004C3E9C" w:rsidRDefault="004C3E9C" w:rsidP="004C3E9C">
    <w:pPr>
      <w:pStyle w:val="Header"/>
      <w:tabs>
        <w:tab w:val="clear" w:pos="4153"/>
        <w:tab w:val="clear" w:pos="8306"/>
        <w:tab w:val="left" w:pos="670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3A2" w:rsidRDefault="001563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94"/>
    <w:rsid w:val="00060E94"/>
    <w:rsid w:val="000921A8"/>
    <w:rsid w:val="00096F94"/>
    <w:rsid w:val="000C1B44"/>
    <w:rsid w:val="001563A2"/>
    <w:rsid w:val="00344D56"/>
    <w:rsid w:val="0045020E"/>
    <w:rsid w:val="004852EC"/>
    <w:rsid w:val="004C0798"/>
    <w:rsid w:val="004C3E9C"/>
    <w:rsid w:val="00592FCB"/>
    <w:rsid w:val="006D36EC"/>
    <w:rsid w:val="007E5EFC"/>
    <w:rsid w:val="00837EBB"/>
    <w:rsid w:val="00937F2C"/>
    <w:rsid w:val="00972126"/>
    <w:rsid w:val="00B5376C"/>
    <w:rsid w:val="00CD1296"/>
    <w:rsid w:val="00D10CA3"/>
    <w:rsid w:val="00E77CF2"/>
    <w:rsid w:val="00F55954"/>
    <w:rsid w:val="00F92C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3AA8C-6197-4058-87E2-D6279C91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E94"/>
    <w:pPr>
      <w:spacing w:after="160" w:line="25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0E94"/>
    <w:rPr>
      <w:color w:val="0000FF"/>
      <w:u w:val="single"/>
    </w:rPr>
  </w:style>
  <w:style w:type="paragraph" w:styleId="Header">
    <w:name w:val="header"/>
    <w:basedOn w:val="Normal"/>
    <w:link w:val="HeaderChar"/>
    <w:uiPriority w:val="99"/>
    <w:unhideWhenUsed/>
    <w:rsid w:val="004C3E9C"/>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3E9C"/>
    <w:rPr>
      <w:rFonts w:asciiTheme="minorHAnsi" w:hAnsiTheme="minorHAnsi"/>
      <w:sz w:val="22"/>
    </w:rPr>
  </w:style>
  <w:style w:type="paragraph" w:styleId="Footer">
    <w:name w:val="footer"/>
    <w:basedOn w:val="Normal"/>
    <w:link w:val="FooterChar"/>
    <w:uiPriority w:val="99"/>
    <w:unhideWhenUsed/>
    <w:rsid w:val="004C3E9C"/>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3E9C"/>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41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kumi.l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4749</Words>
  <Characters>2708</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Grozījumi Apdrošināšanas un pārapdrošināšanas likumā</vt:lpstr>
    </vt:vector>
  </TitlesOfParts>
  <Company>Finanšu ministrija</Company>
  <LinksUpToDate>false</LinksUpToDate>
  <CharactersWithSpaces>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Apdrošināšanas un pārapdrošināšanas likumā</dc:title>
  <dc:subject>Anotācija</dc:subject>
  <dc:creator>Vineta Neija</dc:creator>
  <cp:keywords/>
  <dc:description>67095490; vineta.neija@fm.gov.lv</dc:description>
  <cp:lastModifiedBy>Vineta Neija</cp:lastModifiedBy>
  <cp:revision>17</cp:revision>
  <dcterms:created xsi:type="dcterms:W3CDTF">2017-08-08T11:05:00Z</dcterms:created>
  <dcterms:modified xsi:type="dcterms:W3CDTF">2017-08-15T05:19:00Z</dcterms:modified>
</cp:coreProperties>
</file>