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94" w:rsidRDefault="00060E94" w:rsidP="00060E9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Likumprojekta “</w:t>
      </w:r>
      <w:r w:rsidR="008E39A8">
        <w:rPr>
          <w:rFonts w:ascii="Times New Roman" w:eastAsia="Times New Roman" w:hAnsi="Times New Roman" w:cs="Times New Roman"/>
          <w:b/>
          <w:bCs/>
          <w:color w:val="414142"/>
          <w:sz w:val="28"/>
          <w:szCs w:val="24"/>
          <w:lang w:eastAsia="lv-LV"/>
        </w:rPr>
        <w:t xml:space="preserve">Grozījumi </w:t>
      </w:r>
      <w:proofErr w:type="spellStart"/>
      <w:r w:rsidR="00C02545">
        <w:rPr>
          <w:rFonts w:ascii="Times New Roman" w:eastAsia="Times New Roman" w:hAnsi="Times New Roman" w:cs="Times New Roman"/>
          <w:b/>
          <w:bCs/>
          <w:color w:val="414142"/>
          <w:sz w:val="28"/>
          <w:szCs w:val="24"/>
          <w:lang w:eastAsia="lv-LV"/>
        </w:rPr>
        <w:t>Krājaizdevu</w:t>
      </w:r>
      <w:proofErr w:type="spellEnd"/>
      <w:r w:rsidR="00C02545">
        <w:rPr>
          <w:rFonts w:ascii="Times New Roman" w:eastAsia="Times New Roman" w:hAnsi="Times New Roman" w:cs="Times New Roman"/>
          <w:b/>
          <w:bCs/>
          <w:color w:val="414142"/>
          <w:sz w:val="28"/>
          <w:szCs w:val="24"/>
          <w:lang w:eastAsia="lv-LV"/>
        </w:rPr>
        <w:t xml:space="preserve"> sabiedrību</w:t>
      </w:r>
      <w:r w:rsidR="008E39A8">
        <w:rPr>
          <w:rFonts w:ascii="Times New Roman" w:eastAsia="Times New Roman" w:hAnsi="Times New Roman" w:cs="Times New Roman"/>
          <w:b/>
          <w:bCs/>
          <w:color w:val="414142"/>
          <w:sz w:val="28"/>
          <w:szCs w:val="24"/>
          <w:lang w:eastAsia="lv-LV"/>
        </w:rPr>
        <w:t xml:space="preserve"> likumā</w:t>
      </w:r>
      <w:r>
        <w:rPr>
          <w:rFonts w:ascii="Times New Roman" w:eastAsia="Times New Roman" w:hAnsi="Times New Roman" w:cs="Times New Roman"/>
          <w:b/>
          <w:bCs/>
          <w:color w:val="414142"/>
          <w:sz w:val="28"/>
          <w:szCs w:val="24"/>
          <w:lang w:eastAsia="lv-LV"/>
        </w:rPr>
        <w:t xml:space="preserve">” </w:t>
      </w:r>
      <w:r>
        <w:rPr>
          <w:rFonts w:ascii="Times New Roman" w:eastAsia="Times New Roman" w:hAnsi="Times New Roman" w:cs="Times New Roman"/>
          <w:b/>
          <w:bCs/>
          <w:color w:val="414142"/>
          <w:sz w:val="28"/>
          <w:szCs w:val="24"/>
          <w:lang w:eastAsia="lv-LV"/>
        </w:rPr>
        <w:br/>
        <w:t>sākotnējās ietekmes novērtējuma ziņojums (anotācija)</w:t>
      </w:r>
    </w:p>
    <w:p w:rsidR="00060E94" w:rsidRDefault="00060E94" w:rsidP="00060E94">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3"/>
        <w:gridCol w:w="2072"/>
        <w:gridCol w:w="6540"/>
      </w:tblGrid>
      <w:tr w:rsidR="00060E94" w:rsidTr="00060E9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 Tiesību akta projekta izstrādes nepieciešamība</w:t>
            </w:r>
          </w:p>
        </w:tc>
      </w:tr>
      <w:tr w:rsidR="00060E94" w:rsidTr="00060E94">
        <w:trPr>
          <w:trHeight w:val="324"/>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Pamatojums</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bija līdz 2017.gada 26.jūnijam. Šobrīd ir izstrādāts likumprojekts “Grozījumi Noziedzīgi iegūtu līdzekļu legalizācijas un terorisma finansēšanas likumā”, kurš  2017.gada 28.jūlijā ir izskatīts 1.lasījumā Saeimā, ar kuru tiek pārņemtas AML IV direktīvas prasības, kā arī likumprojektā ietvertas starptautisko Finanšu darījumu darba grupas (turpmāk – FATF) rekomendācijas un ņemti vērā </w:t>
            </w:r>
            <w:r>
              <w:rPr>
                <w:rFonts w:ascii="Times New Roman" w:hAnsi="Times New Roman" w:cs="Times New Roman"/>
                <w:color w:val="000000" w:themeColor="text1"/>
                <w:sz w:val="24"/>
                <w:szCs w:val="24"/>
              </w:rPr>
              <w:t xml:space="preserve">Eiropas Padomes </w:t>
            </w:r>
            <w:proofErr w:type="spellStart"/>
            <w:r>
              <w:rPr>
                <w:rFonts w:ascii="Times New Roman" w:hAnsi="Times New Roman" w:cs="Times New Roman"/>
                <w:color w:val="000000" w:themeColor="text1"/>
                <w:sz w:val="24"/>
                <w:szCs w:val="24"/>
              </w:rPr>
              <w:t>Moneyval</w:t>
            </w:r>
            <w:proofErr w:type="spellEnd"/>
            <w:r>
              <w:rPr>
                <w:rFonts w:ascii="Times New Roman" w:hAnsi="Times New Roman" w:cs="Times New Roman"/>
                <w:color w:val="000000" w:themeColor="text1"/>
                <w:sz w:val="24"/>
                <w:szCs w:val="24"/>
              </w:rPr>
              <w:t xml:space="preserve"> ekspertu ieteikumi.</w:t>
            </w:r>
          </w:p>
        </w:tc>
      </w:tr>
      <w:tr w:rsidR="00060E94" w:rsidTr="00060E94">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611" w:type="pct"/>
            <w:tcBorders>
              <w:top w:val="outset" w:sz="6" w:space="0" w:color="414142"/>
              <w:left w:val="outset" w:sz="6" w:space="0" w:color="414142"/>
              <w:bottom w:val="outset" w:sz="6" w:space="0" w:color="414142"/>
              <w:right w:val="outset" w:sz="6" w:space="0" w:color="414142"/>
            </w:tcBorders>
          </w:tcPr>
          <w:p w:rsidR="00060E94" w:rsidRDefault="00060E94">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Šobrīd Latvijas tiesību akti neparedz iespēju Latvijā atzīt un izpildīt ārvalsts lēmumu, ar kuru personai piemērots administratīva rakstura sods. Tiesiskā sadarbība administratīvo pārkāpumu lietās tieši netiek regulēta ar Eiropas Savienības tiesību aktiem vai starptautiskajiem līgumiem. Līdz ar to trūkst tiesiskā regulējuma, lai varētu izpildīt tādu ārvalsts lēmumu, ar kuru personai piemērots administratīva rakstura sods, vai varētu nosūtīt Latvijā pieņemtu lēmumu izpildei ārvalstī.</w:t>
            </w:r>
          </w:p>
          <w:p w:rsidR="00060E94" w:rsidRDefault="00060E94">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Noziedzīgi iegūtu līdzekļu legalizācijas un terorisma finansēšanas novēršanas likums” paredz papildināt Noziedzīgi iegūtu līdzekļu legalizācijas un terorisma finansēšanas novēršanas  likumu (turpmāk - NILLTFNL) ar jaunu XV nodaļu “Atbildība par pārkāpumiem noziedzīgi iegūtu līdzekļu legalizācijas un terorisma finansēšanas novēršanas jomā un kompetence sankciju piemērošanā”. Izpildot AML IV direktīvas prasības, tiek paredzēti efektīvi, samērīgi un preventīvi sodi un pasākumu klāsts saistībā ar nopietniem, atkārtotiem vai sistemātiskiem prasību pārkāpumiem attiecībā uz klienta izpētes pasākumiem, informācijas uzglabāšanu, ziņošanu par aizdomīgiem darījumiem un atbildīgo subjektu iekšējo kontroli. Eiropas Savienības dalībvalstīs pašreiz pastāv dažādi administratīva rakstura sodi un pasākumi attiecībā uz galveno preventīvo noteikumu pārkāpumiem, tādējādi pastāvot riskam par Eiropas Savienības cīņas pret nelikumīgi iegūtu līdzekļu legalizēšanas un terorisma finansēšanas novēršanas sadrumstalotību. Sankciju un pasākumu klāsts ir pietiekami plašs un ļauj kompetentajām iestādēm ņemt vērā atšķirības starp atbildīgajiem subjektiem, jo īpaši starp kredītiestādēm un finanšu iestādēm un citiem atbildīgajiem </w:t>
            </w:r>
            <w:r>
              <w:rPr>
                <w:rFonts w:ascii="Times New Roman" w:hAnsi="Times New Roman" w:cs="Times New Roman"/>
                <w:color w:val="000000" w:themeColor="text1"/>
                <w:sz w:val="24"/>
                <w:szCs w:val="24"/>
              </w:rPr>
              <w:lastRenderedPageBreak/>
              <w:t xml:space="preserve">subjektiem, ņemot vērā apmēru, iezīmes un </w:t>
            </w:r>
            <w:proofErr w:type="spellStart"/>
            <w:r>
              <w:rPr>
                <w:rFonts w:ascii="Times New Roman" w:hAnsi="Times New Roman" w:cs="Times New Roman"/>
                <w:color w:val="000000" w:themeColor="text1"/>
                <w:sz w:val="24"/>
                <w:szCs w:val="24"/>
              </w:rPr>
              <w:t>darījumdarbības</w:t>
            </w:r>
            <w:proofErr w:type="spellEnd"/>
            <w:r>
              <w:rPr>
                <w:rFonts w:ascii="Times New Roman" w:hAnsi="Times New Roman" w:cs="Times New Roman"/>
                <w:color w:val="000000" w:themeColor="text1"/>
                <w:sz w:val="24"/>
                <w:szCs w:val="24"/>
              </w:rPr>
              <w:t xml:space="preserve"> būtību. Transponējot AML IV direktīvu, Eiropas Savienības dalībvalstīm ir jānodrošina, lai administratīva rakstura sodi un pasākumu piemērošana saskaņā ar valsts normatīvajiem aktiem nepārkāptu </w:t>
            </w:r>
            <w:r>
              <w:rPr>
                <w:rFonts w:ascii="Times New Roman" w:hAnsi="Times New Roman" w:cs="Times New Roman"/>
                <w:i/>
                <w:color w:val="000000" w:themeColor="text1"/>
                <w:sz w:val="24"/>
                <w:szCs w:val="24"/>
              </w:rPr>
              <w:t xml:space="preserve">ne </w:t>
            </w:r>
            <w:proofErr w:type="spellStart"/>
            <w:r>
              <w:rPr>
                <w:rFonts w:ascii="Times New Roman" w:hAnsi="Times New Roman" w:cs="Times New Roman"/>
                <w:i/>
                <w:color w:val="000000" w:themeColor="text1"/>
                <w:sz w:val="24"/>
                <w:szCs w:val="24"/>
              </w:rPr>
              <w:t>bis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idem</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principu.</w:t>
            </w:r>
          </w:p>
          <w:p w:rsidR="004C0798" w:rsidRDefault="004C0798">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w:t>
            </w:r>
            <w:proofErr w:type="spellStart"/>
            <w:r w:rsidR="00C02545">
              <w:rPr>
                <w:rFonts w:ascii="Times New Roman" w:hAnsi="Times New Roman" w:cs="Times New Roman"/>
                <w:color w:val="000000" w:themeColor="text1"/>
                <w:sz w:val="24"/>
                <w:szCs w:val="24"/>
              </w:rPr>
              <w:t>Krājaizdevu</w:t>
            </w:r>
            <w:proofErr w:type="spellEnd"/>
            <w:r w:rsidR="00C02545">
              <w:rPr>
                <w:rFonts w:ascii="Times New Roman" w:hAnsi="Times New Roman" w:cs="Times New Roman"/>
                <w:color w:val="000000" w:themeColor="text1"/>
                <w:sz w:val="24"/>
                <w:szCs w:val="24"/>
              </w:rPr>
              <w:t xml:space="preserve"> sabiedrību</w:t>
            </w:r>
            <w:r>
              <w:rPr>
                <w:rFonts w:ascii="Times New Roman" w:hAnsi="Times New Roman" w:cs="Times New Roman"/>
                <w:color w:val="000000" w:themeColor="text1"/>
                <w:sz w:val="24"/>
                <w:szCs w:val="24"/>
              </w:rPr>
              <w:t xml:space="preserve"> likumā” paredz </w:t>
            </w:r>
            <w:r w:rsidR="00C02545">
              <w:rPr>
                <w:rFonts w:ascii="Times New Roman" w:hAnsi="Times New Roman" w:cs="Times New Roman"/>
                <w:color w:val="000000" w:themeColor="text1"/>
                <w:sz w:val="24"/>
                <w:szCs w:val="24"/>
              </w:rPr>
              <w:t>p</w:t>
            </w:r>
            <w:r w:rsidR="00D077C8">
              <w:rPr>
                <w:rFonts w:ascii="Times New Roman" w:hAnsi="Times New Roman" w:cs="Times New Roman"/>
                <w:color w:val="000000" w:themeColor="text1"/>
                <w:sz w:val="24"/>
                <w:szCs w:val="24"/>
              </w:rPr>
              <w:t>apildināt 31. pantu ar 1</w:t>
            </w:r>
            <w:r w:rsidR="00D809A1">
              <w:rPr>
                <w:rFonts w:ascii="Times New Roman" w:hAnsi="Times New Roman" w:cs="Times New Roman"/>
                <w:color w:val="000000" w:themeColor="text1"/>
                <w:sz w:val="24"/>
                <w:szCs w:val="24"/>
              </w:rPr>
              <w:t>.</w:t>
            </w:r>
            <w:r w:rsidR="00C02545">
              <w:rPr>
                <w:rFonts w:ascii="Times New Roman" w:hAnsi="Times New Roman" w:cs="Times New Roman"/>
                <w:color w:val="000000" w:themeColor="text1"/>
                <w:sz w:val="24"/>
                <w:szCs w:val="24"/>
                <w:vertAlign w:val="superscript"/>
              </w:rPr>
              <w:t>1</w:t>
            </w:r>
            <w:r w:rsidR="00C02545" w:rsidRPr="00C02545">
              <w:rPr>
                <w:rFonts w:ascii="Times New Roman" w:hAnsi="Times New Roman" w:cs="Times New Roman"/>
                <w:color w:val="000000" w:themeColor="text1"/>
                <w:sz w:val="24"/>
                <w:szCs w:val="24"/>
              </w:rPr>
              <w:t xml:space="preserve"> daļu</w:t>
            </w:r>
            <w:r w:rsidR="00C02545">
              <w:rPr>
                <w:rFonts w:ascii="Times New Roman" w:hAnsi="Times New Roman" w:cs="Times New Roman"/>
                <w:color w:val="000000" w:themeColor="text1"/>
                <w:sz w:val="24"/>
                <w:szCs w:val="24"/>
              </w:rPr>
              <w:t xml:space="preserve">, </w:t>
            </w:r>
            <w:r w:rsidR="00FA6161">
              <w:rPr>
                <w:rFonts w:ascii="Times New Roman" w:hAnsi="Times New Roman" w:cs="Times New Roman"/>
                <w:color w:val="000000" w:themeColor="text1"/>
                <w:sz w:val="24"/>
                <w:szCs w:val="24"/>
              </w:rPr>
              <w:t>nosakot vispārēju atsauci uz to, ka atbildība par darbībām, kuru rezultātā pārkāptas NILLTFNL prasības</w:t>
            </w:r>
            <w:r w:rsidR="000351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sankcijas piemērojamas NILLTFNL ietvaros</w:t>
            </w:r>
            <w:r w:rsidR="00F55954">
              <w:rPr>
                <w:rFonts w:ascii="Times New Roman" w:hAnsi="Times New Roman" w:cs="Times New Roman"/>
                <w:color w:val="000000" w:themeColor="text1"/>
                <w:sz w:val="24"/>
                <w:szCs w:val="24"/>
              </w:rPr>
              <w:t>.</w:t>
            </w:r>
          </w:p>
          <w:p w:rsidR="00060E94" w:rsidRDefault="00E77CF2" w:rsidP="00C02545">
            <w:pPr>
              <w:tabs>
                <w:tab w:val="left" w:pos="540"/>
                <w:tab w:val="left" w:pos="900"/>
              </w:tabs>
              <w:ind w:firstLine="720"/>
              <w:jc w:val="both"/>
              <w:rPr>
                <w:rFonts w:ascii="Times New Roman" w:hAnsi="Times New Roman" w:cs="Times New Roman"/>
                <w:color w:val="000000" w:themeColor="text1"/>
                <w:sz w:val="24"/>
                <w:szCs w:val="24"/>
              </w:rPr>
            </w:pPr>
            <w:r w:rsidRPr="00E77CF2">
              <w:rPr>
                <w:rFonts w:ascii="Times New Roman" w:hAnsi="Times New Roman" w:cs="Times New Roman"/>
                <w:color w:val="000000" w:themeColor="text1"/>
                <w:sz w:val="24"/>
                <w:szCs w:val="24"/>
              </w:rPr>
              <w:t xml:space="preserve">Grozījumi likumā </w:t>
            </w:r>
            <w:r w:rsidR="00C02545">
              <w:rPr>
                <w:rFonts w:ascii="Times New Roman" w:hAnsi="Times New Roman" w:cs="Times New Roman"/>
                <w:color w:val="000000" w:themeColor="text1"/>
                <w:sz w:val="24"/>
                <w:szCs w:val="24"/>
              </w:rPr>
              <w:t>papildino</w:t>
            </w:r>
            <w:r w:rsidR="00274818">
              <w:rPr>
                <w:rFonts w:ascii="Times New Roman" w:hAnsi="Times New Roman" w:cs="Times New Roman"/>
                <w:color w:val="000000" w:themeColor="text1"/>
                <w:sz w:val="24"/>
                <w:szCs w:val="24"/>
              </w:rPr>
              <w:t xml:space="preserve">t </w:t>
            </w:r>
            <w:r w:rsidR="00C02545">
              <w:rPr>
                <w:rFonts w:ascii="Times New Roman" w:hAnsi="Times New Roman" w:cs="Times New Roman"/>
                <w:color w:val="000000" w:themeColor="text1"/>
                <w:sz w:val="24"/>
                <w:szCs w:val="24"/>
              </w:rPr>
              <w:t>31. pantu ar</w:t>
            </w:r>
            <w:r w:rsidR="00D077C8">
              <w:rPr>
                <w:rFonts w:ascii="Times New Roman" w:hAnsi="Times New Roman" w:cs="Times New Roman"/>
                <w:color w:val="000000" w:themeColor="text1"/>
                <w:sz w:val="24"/>
                <w:szCs w:val="24"/>
              </w:rPr>
              <w:t xml:space="preserve"> 1</w:t>
            </w:r>
            <w:r w:rsidR="00D809A1">
              <w:rPr>
                <w:rFonts w:ascii="Times New Roman" w:hAnsi="Times New Roman" w:cs="Times New Roman"/>
                <w:color w:val="000000" w:themeColor="text1"/>
                <w:sz w:val="24"/>
                <w:szCs w:val="24"/>
              </w:rPr>
              <w:t>.</w:t>
            </w:r>
            <w:r w:rsidR="00C02545">
              <w:rPr>
                <w:rFonts w:ascii="Times New Roman" w:hAnsi="Times New Roman" w:cs="Times New Roman"/>
                <w:color w:val="000000" w:themeColor="text1"/>
                <w:sz w:val="24"/>
                <w:szCs w:val="24"/>
                <w:vertAlign w:val="superscript"/>
              </w:rPr>
              <w:t>1</w:t>
            </w:r>
            <w:r w:rsidR="00D809A1">
              <w:rPr>
                <w:rFonts w:ascii="Times New Roman" w:hAnsi="Times New Roman" w:cs="Times New Roman"/>
                <w:color w:val="000000" w:themeColor="text1"/>
                <w:sz w:val="24"/>
                <w:szCs w:val="24"/>
                <w:vertAlign w:val="superscript"/>
              </w:rPr>
              <w:t xml:space="preserve"> </w:t>
            </w:r>
            <w:r w:rsidR="00C02545">
              <w:rPr>
                <w:rFonts w:ascii="Times New Roman" w:hAnsi="Times New Roman" w:cs="Times New Roman"/>
                <w:color w:val="000000" w:themeColor="text1"/>
                <w:sz w:val="24"/>
                <w:szCs w:val="24"/>
              </w:rPr>
              <w:t>daļu</w:t>
            </w:r>
            <w:r w:rsidRPr="00E77CF2">
              <w:rPr>
                <w:rFonts w:ascii="Times New Roman" w:hAnsi="Times New Roman" w:cs="Times New Roman"/>
                <w:color w:val="000000" w:themeColor="text1"/>
                <w:sz w:val="24"/>
                <w:szCs w:val="24"/>
              </w:rPr>
              <w:t>, stājas spēkā vienlaikus ar</w:t>
            </w:r>
            <w:r w:rsidR="00060E94">
              <w:rPr>
                <w:rFonts w:ascii="Times New Roman" w:hAnsi="Times New Roman" w:cs="Times New Roman"/>
                <w:color w:val="000000" w:themeColor="text1"/>
                <w:sz w:val="24"/>
                <w:szCs w:val="24"/>
              </w:rPr>
              <w:t xml:space="preserve"> atbilstošajiem grozījumiem “Noziedzīgi iegūtu līdzekļu legalizācijas un terorisma finansēšanas novēršanas likumā”.</w:t>
            </w:r>
          </w:p>
        </w:tc>
      </w:tr>
      <w:tr w:rsidR="00060E94" w:rsidTr="00060E94">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3.</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Projekta izstrādē iesaistītās institūcijas</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Par likumprojekta izstrādi atbildīgā institūcija ir FKTK, Tieslietu ministrija, Noziedzīgi iegūtu līdzekļu legalizācijas novēršanas dienests.</w:t>
            </w:r>
          </w:p>
        </w:tc>
      </w:tr>
      <w:tr w:rsidR="00060E94" w:rsidTr="00060E94">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Cita informācija</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60E94" w:rsidTr="00060E9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060E94" w:rsidTr="00060E9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060E94" w:rsidRPr="00BB5C1D" w:rsidRDefault="00060E94">
            <w:pPr>
              <w:spacing w:before="100" w:beforeAutospacing="1" w:after="100" w:afterAutospacing="1" w:line="293" w:lineRule="atLeast"/>
              <w:jc w:val="center"/>
              <w:rPr>
                <w:rFonts w:ascii="Times New Roman" w:hAnsi="Times New Roman"/>
                <w:sz w:val="24"/>
                <w:szCs w:val="24"/>
              </w:rPr>
            </w:pPr>
          </w:p>
        </w:tc>
      </w:tr>
      <w:tr w:rsidR="00060E94" w:rsidTr="00060E9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60E94" w:rsidRPr="00BB5C1D" w:rsidRDefault="00060E94">
            <w:pPr>
              <w:spacing w:after="0" w:line="240" w:lineRule="auto"/>
              <w:rPr>
                <w:rFonts w:ascii="Times New Roman" w:hAnsi="Times New Roman"/>
                <w:sz w:val="24"/>
                <w:szCs w:val="24"/>
              </w:rPr>
            </w:pPr>
            <w:r w:rsidRPr="00BB5C1D">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 xml:space="preserve">Sabiedrības </w:t>
            </w:r>
            <w:proofErr w:type="spellStart"/>
            <w:r>
              <w:rPr>
                <w:rFonts w:ascii="Times New Roman" w:hAnsi="Times New Roman"/>
                <w:sz w:val="24"/>
                <w:szCs w:val="24"/>
              </w:rPr>
              <w:t>mērķgrupas</w:t>
            </w:r>
            <w:proofErr w:type="spellEnd"/>
            <w:r>
              <w:rPr>
                <w:rFonts w:ascii="Times New Roman" w:hAnsi="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3B1192" w:rsidP="00BB5C1D">
            <w:pPr>
              <w:spacing w:after="0" w:line="240" w:lineRule="auto"/>
              <w:rPr>
                <w:rFonts w:ascii="Times New Roman" w:hAnsi="Times New Roman"/>
                <w:sz w:val="24"/>
                <w:szCs w:val="24"/>
              </w:rPr>
            </w:pPr>
            <w:proofErr w:type="spellStart"/>
            <w:r>
              <w:rPr>
                <w:rFonts w:ascii="Times New Roman" w:hAnsi="Times New Roman"/>
                <w:sz w:val="24"/>
                <w:szCs w:val="24"/>
              </w:rPr>
              <w:t>Krājaizdevu</w:t>
            </w:r>
            <w:proofErr w:type="spellEnd"/>
            <w:r>
              <w:rPr>
                <w:rFonts w:ascii="Times New Roman" w:hAnsi="Times New Roman"/>
                <w:sz w:val="24"/>
                <w:szCs w:val="24"/>
              </w:rPr>
              <w:t xml:space="preserve"> sabiedrības</w:t>
            </w:r>
            <w:r w:rsidR="009923A4">
              <w:rPr>
                <w:rFonts w:ascii="Times New Roman" w:hAnsi="Times New Roman"/>
                <w:sz w:val="24"/>
                <w:szCs w:val="24"/>
              </w:rPr>
              <w:t xml:space="preserve"> </w:t>
            </w:r>
            <w:r w:rsidR="00BB5C1D">
              <w:rPr>
                <w:rFonts w:ascii="Times New Roman" w:hAnsi="Times New Roman"/>
                <w:sz w:val="24"/>
                <w:szCs w:val="24"/>
              </w:rPr>
              <w:t xml:space="preserve">un </w:t>
            </w:r>
            <w:r w:rsidR="00BB5C1D" w:rsidRPr="00BB5C1D">
              <w:rPr>
                <w:rFonts w:ascii="Times New Roman" w:hAnsi="Times New Roman"/>
                <w:sz w:val="24"/>
                <w:szCs w:val="24"/>
              </w:rPr>
              <w:t>Finanšu un kapitāla tirgus komisija</w:t>
            </w:r>
            <w:r w:rsidR="00BB5C1D">
              <w:rPr>
                <w:rFonts w:ascii="Times New Roman" w:hAnsi="Times New Roman"/>
                <w:sz w:val="24"/>
                <w:szCs w:val="24"/>
              </w:rPr>
              <w:t>.</w:t>
            </w:r>
          </w:p>
        </w:tc>
      </w:tr>
      <w:tr w:rsidR="00060E94" w:rsidTr="00060E9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 xml:space="preserve"> Nav.</w:t>
            </w:r>
          </w:p>
        </w:tc>
      </w:tr>
      <w:tr w:rsidR="00060E94" w:rsidTr="00060E9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Nav.</w:t>
            </w:r>
          </w:p>
        </w:tc>
      </w:tr>
      <w:tr w:rsidR="00060E94" w:rsidTr="00060E94">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060E94" w:rsidRDefault="00060E94" w:rsidP="00060E9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0E94" w:rsidTr="00060E9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060E94" w:rsidTr="00060E9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after="0" w:line="240" w:lineRule="auto"/>
              <w:jc w:val="center"/>
              <w:rPr>
                <w:rFonts w:ascii="Times New Roman" w:eastAsia="Times New Roman" w:hAnsi="Times New Roman" w:cs="Times New Roman"/>
                <w:bCs/>
                <w:color w:val="414142"/>
                <w:sz w:val="24"/>
                <w:szCs w:val="24"/>
                <w:lang w:eastAsia="lv-LV"/>
              </w:rPr>
            </w:pPr>
            <w:r>
              <w:rPr>
                <w:rFonts w:ascii="Times New Roman" w:hAnsi="Times New Roman"/>
                <w:sz w:val="24"/>
                <w:szCs w:val="24"/>
              </w:rPr>
              <w:t>Projekts šo jomu neskar.</w:t>
            </w:r>
          </w:p>
        </w:tc>
      </w:tr>
    </w:tbl>
    <w:p w:rsidR="00060E94" w:rsidRDefault="00060E94" w:rsidP="00060E94">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60E94" w:rsidTr="00060E9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rsidP="00D077C8">
            <w:pPr>
              <w:spacing w:after="0" w:line="240" w:lineRule="auto"/>
              <w:jc w:val="both"/>
              <w:rPr>
                <w:rFonts w:ascii="Times New Roman" w:eastAsia="Times New Roman" w:hAnsi="Times New Roman" w:cs="Times New Roman"/>
                <w:color w:val="FF0000"/>
                <w:sz w:val="24"/>
                <w:szCs w:val="24"/>
                <w:lang w:eastAsia="lv-LV"/>
              </w:rPr>
            </w:pPr>
            <w:r>
              <w:rPr>
                <w:rFonts w:ascii="Times New Roman" w:hAnsi="Times New Roman"/>
                <w:sz w:val="24"/>
                <w:szCs w:val="24"/>
              </w:rPr>
              <w:t xml:space="preserve">Grozījumi nepieciešami šādos likumos: </w:t>
            </w:r>
            <w:r w:rsidR="000921A8">
              <w:rPr>
                <w:rFonts w:ascii="Times New Roman" w:hAnsi="Times New Roman"/>
                <w:sz w:val="24"/>
                <w:szCs w:val="24"/>
              </w:rPr>
              <w:t xml:space="preserve">Kredītiestāžu likumā, </w:t>
            </w:r>
            <w:r>
              <w:rPr>
                <w:rFonts w:ascii="Times New Roman" w:hAnsi="Times New Roman"/>
                <w:sz w:val="24"/>
                <w:szCs w:val="24"/>
              </w:rPr>
              <w:t xml:space="preserve">Maksājumu pakalpojumu un elektroniskās naudas likumā, Finanšu instrumentu tirgus likumā, </w:t>
            </w:r>
            <w:r w:rsidR="009923A4">
              <w:rPr>
                <w:rFonts w:ascii="Times New Roman" w:hAnsi="Times New Roman"/>
                <w:sz w:val="24"/>
                <w:szCs w:val="24"/>
              </w:rPr>
              <w:t>Alternatīvo ieguldījumu fondu un to pārvaldnieku likumā</w:t>
            </w:r>
            <w:r>
              <w:rPr>
                <w:rFonts w:ascii="Times New Roman" w:hAnsi="Times New Roman"/>
                <w:sz w:val="24"/>
                <w:szCs w:val="24"/>
              </w:rPr>
              <w:t xml:space="preserve">, </w:t>
            </w:r>
            <w:r w:rsidR="003B1192">
              <w:rPr>
                <w:rFonts w:ascii="Times New Roman" w:hAnsi="Times New Roman"/>
                <w:sz w:val="24"/>
                <w:szCs w:val="24"/>
              </w:rPr>
              <w:t>Ieguldījumu pārvaldes sabiedrību likumā</w:t>
            </w:r>
            <w:r>
              <w:rPr>
                <w:rFonts w:ascii="Times New Roman" w:hAnsi="Times New Roman"/>
                <w:sz w:val="24"/>
                <w:szCs w:val="24"/>
              </w:rPr>
              <w:t xml:space="preserve">, </w:t>
            </w:r>
            <w:r w:rsidR="00474785">
              <w:rPr>
                <w:rFonts w:ascii="Times New Roman" w:hAnsi="Times New Roman"/>
                <w:sz w:val="24"/>
                <w:szCs w:val="24"/>
              </w:rPr>
              <w:t xml:space="preserve">Apdrošināšanas un pārapdrošināšanas likumā, </w:t>
            </w:r>
            <w:r>
              <w:rPr>
                <w:rFonts w:ascii="Times New Roman" w:hAnsi="Times New Roman"/>
                <w:sz w:val="24"/>
                <w:szCs w:val="24"/>
              </w:rPr>
              <w:t>Apdrošināšanas un pārapdrošināšanas starpnieku darbības likumā, Notariāta likumā, Latvijas Republikas Advokatūras likumā</w:t>
            </w:r>
            <w:r w:rsidR="00D077C8">
              <w:rPr>
                <w:rFonts w:ascii="Times New Roman" w:hAnsi="Times New Roman"/>
                <w:sz w:val="24"/>
                <w:szCs w:val="24"/>
              </w:rPr>
              <w:t>.</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Finanšu ministrija.</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26"/>
        <w:gridCol w:w="91"/>
        <w:gridCol w:w="5886"/>
      </w:tblGrid>
      <w:tr w:rsidR="00060E94" w:rsidTr="00060E94">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Likumprojekts saistīts ar likumprojektu “Grozījumi Noziedzīgi iegūtu līdzekļu legalizācijas un terorisma finansēšanas novēršanas likumā”, kurš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bija līdz 2017.gada 26.jūnijam.</w:t>
            </w:r>
          </w:p>
        </w:tc>
      </w:tr>
      <w:tr w:rsidR="00060E94" w:rsidTr="00060E94">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 Sabiedrības līdzdalība un komunikācijas aktivitātes</w:t>
            </w:r>
          </w:p>
        </w:tc>
      </w:tr>
      <w:tr w:rsidR="00060E94" w:rsidTr="00060E9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Likumprojekta izstrāde notika, konsultējoties ar FKTK.</w:t>
            </w:r>
          </w:p>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Vienlaikus uzziņa par likumprojekta “Grozījumi Noziedzīgi iegūtu līdzekļu legalizācijas un terorisma finansēšanas novēršanas likumā” izstrādi 2016.gada 27.maijā tika  publicēta Finanšu ministrijas mājaslapas sadaļa “Sabiedrības līdzdalība”.</w:t>
            </w:r>
          </w:p>
        </w:tc>
      </w:tr>
      <w:tr w:rsidR="00060E94" w:rsidTr="00060E9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Nav.</w:t>
            </w:r>
          </w:p>
        </w:tc>
      </w:tr>
      <w:tr w:rsidR="00060E94" w:rsidTr="00060E9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 xml:space="preserve">Nav. </w:t>
            </w:r>
          </w:p>
        </w:tc>
      </w:tr>
      <w:tr w:rsidR="00060E94" w:rsidTr="00060E9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Sabiedrība pēc normatīvā akta pieņemšanas tiks informēta ar publikāciju oficiālajā izdevumā “Latvijas Vēstnesis”, kā arī ievietojot to bezmaksas normatīvo aktu datu bāzē</w:t>
            </w:r>
            <w:r>
              <w:rPr>
                <w:rFonts w:ascii="Times New Roman" w:eastAsia="Times New Roman" w:hAnsi="Times New Roman" w:cs="Times New Roman"/>
                <w:color w:val="414142"/>
                <w:sz w:val="24"/>
                <w:szCs w:val="24"/>
                <w:lang w:eastAsia="lv-LV"/>
              </w:rPr>
              <w:t xml:space="preserve"> </w:t>
            </w:r>
            <w:hyperlink r:id="rId6" w:history="1">
              <w:r>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Likums tiks ievietots arī FKTK mājas lapā un NILLTFNL uzraudzības iestāžu mājas lapās internetā.</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060E94" w:rsidTr="00060E9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060E94" w:rsidTr="00060E9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FKTK</w:t>
            </w:r>
            <w:r>
              <w:rPr>
                <w:rFonts w:ascii="Times New Roman" w:hAnsi="Times New Roman"/>
                <w:sz w:val="24"/>
                <w:szCs w:val="24"/>
              </w:rPr>
              <w:t xml:space="preserve"> un citas NILLTFNL uzraudzības iestādes</w:t>
            </w:r>
            <w:r>
              <w:rPr>
                <w:rFonts w:ascii="Times New Roman" w:eastAsia="Times New Roman" w:hAnsi="Times New Roman" w:cs="Times New Roman"/>
                <w:color w:val="414142"/>
                <w:sz w:val="24"/>
                <w:szCs w:val="24"/>
                <w:lang w:eastAsia="lv-LV"/>
              </w:rPr>
              <w:t>.</w:t>
            </w:r>
          </w:p>
        </w:tc>
      </w:tr>
      <w:tr w:rsidR="00060E94" w:rsidTr="00060E9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Projekta izpildes ietekme uz pārvaldes funkcijām un institucionālo struktūru.</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 xml:space="preserve">Jaunu institūciju izveide, esošu institūciju likvidācija vai reorganizācija, to </w:t>
            </w:r>
            <w:r>
              <w:rPr>
                <w:rFonts w:ascii="Times New Roman" w:hAnsi="Times New Roman"/>
                <w:sz w:val="24"/>
                <w:szCs w:val="24"/>
              </w:rPr>
              <w:lastRenderedPageBreak/>
              <w:t>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lastRenderedPageBreak/>
              <w:t>Projekts neparedz ietekmi uz pārvaldes funkcijām.</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Jaunu institūciju izveide, esošo likvidācija vai reorganizācija netiek paredzēta.</w:t>
            </w:r>
            <w:r>
              <w:rPr>
                <w:rFonts w:ascii="Times New Roman" w:eastAsia="Times New Roman" w:hAnsi="Times New Roman" w:cs="Times New Roman"/>
                <w:color w:val="414142"/>
                <w:sz w:val="24"/>
                <w:szCs w:val="24"/>
                <w:lang w:eastAsia="lv-LV"/>
              </w:rPr>
              <w:t xml:space="preserve"> </w:t>
            </w:r>
          </w:p>
        </w:tc>
      </w:tr>
      <w:tr w:rsidR="00060E94" w:rsidTr="00060E9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060E94" w:rsidRDefault="00060E94" w:rsidP="00060E94">
      <w:pPr>
        <w:spacing w:after="0" w:line="240" w:lineRule="auto"/>
        <w:rPr>
          <w:rFonts w:ascii="Times New Roman" w:hAnsi="Times New Roman" w:cs="Times New Roman"/>
          <w:sz w:val="28"/>
          <w:szCs w:val="28"/>
        </w:rPr>
      </w:pPr>
    </w:p>
    <w:p w:rsidR="00060E94" w:rsidRDefault="00060E94" w:rsidP="00060E94">
      <w:pPr>
        <w:spacing w:after="0" w:line="240" w:lineRule="auto"/>
        <w:rPr>
          <w:rFonts w:ascii="Times New Roman" w:hAnsi="Times New Roman" w:cs="Times New Roman"/>
          <w:sz w:val="28"/>
          <w:szCs w:val="28"/>
        </w:rPr>
      </w:pPr>
    </w:p>
    <w:p w:rsidR="00060E94" w:rsidRDefault="00060E94" w:rsidP="00060E9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r>
      <w:proofErr w:type="spellStart"/>
      <w:r>
        <w:rPr>
          <w:rFonts w:ascii="Times New Roman" w:hAnsi="Times New Roman" w:cs="Times New Roman"/>
          <w:sz w:val="28"/>
          <w:szCs w:val="28"/>
        </w:rPr>
        <w:t>D.Reizniece</w:t>
      </w:r>
      <w:proofErr w:type="spellEnd"/>
      <w:r>
        <w:rPr>
          <w:rFonts w:ascii="Times New Roman" w:hAnsi="Times New Roman" w:cs="Times New Roman"/>
          <w:sz w:val="28"/>
          <w:szCs w:val="28"/>
        </w:rPr>
        <w:t>-Ozola</w:t>
      </w: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rsidR="00060E94" w:rsidRDefault="00060E94" w:rsidP="00060E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vineta.neija@fm.gov.lv</w:t>
      </w:r>
    </w:p>
    <w:p w:rsidR="00060E94" w:rsidRDefault="00060E94" w:rsidP="00060E94"/>
    <w:p w:rsidR="0072336B" w:rsidRDefault="0072336B"/>
    <w:p w:rsidR="0072336B" w:rsidRPr="0072336B" w:rsidRDefault="0072336B" w:rsidP="0072336B"/>
    <w:p w:rsidR="0072336B" w:rsidRPr="0072336B" w:rsidRDefault="0072336B" w:rsidP="0072336B"/>
    <w:p w:rsidR="0072336B" w:rsidRPr="0072336B" w:rsidRDefault="0072336B" w:rsidP="0072336B"/>
    <w:p w:rsidR="0072336B" w:rsidRPr="0072336B" w:rsidRDefault="0072336B" w:rsidP="0072336B"/>
    <w:p w:rsidR="0072336B" w:rsidRPr="0072336B" w:rsidRDefault="0072336B" w:rsidP="0072336B"/>
    <w:p w:rsidR="0072336B" w:rsidRPr="0072336B" w:rsidRDefault="0072336B" w:rsidP="0072336B"/>
    <w:p w:rsidR="0072336B" w:rsidRPr="0072336B" w:rsidRDefault="0072336B" w:rsidP="0072336B"/>
    <w:p w:rsidR="0072336B" w:rsidRPr="0072336B" w:rsidRDefault="0072336B" w:rsidP="0072336B"/>
    <w:p w:rsidR="0072336B" w:rsidRPr="0072336B" w:rsidRDefault="0072336B" w:rsidP="0072336B"/>
    <w:p w:rsidR="0072336B" w:rsidRPr="0072336B" w:rsidRDefault="0072336B" w:rsidP="0072336B"/>
    <w:p w:rsidR="0072336B" w:rsidRPr="0072336B" w:rsidRDefault="0072336B" w:rsidP="0072336B"/>
    <w:p w:rsidR="0072336B" w:rsidRPr="0072336B" w:rsidRDefault="0072336B" w:rsidP="0072336B"/>
    <w:p w:rsidR="0072336B" w:rsidRDefault="0072336B" w:rsidP="0072336B"/>
    <w:p w:rsidR="000C1B44" w:rsidRPr="0072336B" w:rsidRDefault="0072336B" w:rsidP="0072336B">
      <w:pPr>
        <w:tabs>
          <w:tab w:val="left" w:pos="5595"/>
        </w:tabs>
      </w:pPr>
      <w:bookmarkStart w:id="0" w:name="_GoBack"/>
      <w:r>
        <w:tab/>
      </w:r>
      <w:bookmarkEnd w:id="0"/>
    </w:p>
    <w:sectPr w:rsidR="000C1B44" w:rsidRPr="0072336B" w:rsidSect="001563A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A5" w:rsidRDefault="00022BA5" w:rsidP="004C3E9C">
      <w:pPr>
        <w:spacing w:after="0" w:line="240" w:lineRule="auto"/>
      </w:pPr>
      <w:r>
        <w:separator/>
      </w:r>
    </w:p>
  </w:endnote>
  <w:endnote w:type="continuationSeparator" w:id="0">
    <w:p w:rsidR="00022BA5" w:rsidRDefault="00022BA5" w:rsidP="004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60" w:rsidRDefault="0072336B" w:rsidP="003B1192">
    <w:pPr>
      <w:pStyle w:val="Footer"/>
      <w:tabs>
        <w:tab w:val="clear" w:pos="4153"/>
        <w:tab w:val="clear" w:pos="8306"/>
        <w:tab w:val="left" w:pos="2820"/>
      </w:tabs>
    </w:pPr>
    <w:r>
      <w:rPr>
        <w:rFonts w:ascii="Times New Roman" w:hAnsi="Times New Roman" w:cs="Times New Roman"/>
        <w:sz w:val="20"/>
        <w:szCs w:val="20"/>
      </w:rPr>
      <w:t>FMAnot_24</w:t>
    </w:r>
    <w:r w:rsidR="003B1192">
      <w:rPr>
        <w:rFonts w:ascii="Times New Roman" w:hAnsi="Times New Roman" w:cs="Times New Roman"/>
        <w:sz w:val="20"/>
        <w:szCs w:val="20"/>
      </w:rPr>
      <w:t>0817_KSL</w:t>
    </w:r>
    <w:r w:rsidR="003B1192">
      <w:rPr>
        <w:rFonts w:ascii="Times New Roman" w:hAnsi="Times New Roman" w:cs="Times New Roman"/>
        <w:sz w:val="20"/>
        <w:szCs w:val="20"/>
      </w:rPr>
      <w:tab/>
    </w:r>
  </w:p>
  <w:p w:rsidR="004C3E9C" w:rsidRPr="008A0160" w:rsidRDefault="0072336B" w:rsidP="0072336B">
    <w:pPr>
      <w:pStyle w:val="Footer"/>
      <w:tabs>
        <w:tab w:val="clear" w:pos="4153"/>
        <w:tab w:val="clear" w:pos="8306"/>
        <w:tab w:val="left" w:pos="12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A2" w:rsidRDefault="0072336B">
    <w:pPr>
      <w:pStyle w:val="Footer"/>
    </w:pPr>
    <w:r>
      <w:rPr>
        <w:rFonts w:ascii="Times New Roman" w:hAnsi="Times New Roman" w:cs="Times New Roman"/>
        <w:sz w:val="20"/>
        <w:szCs w:val="20"/>
      </w:rPr>
      <w:t>FMAnot_24</w:t>
    </w:r>
    <w:r w:rsidR="003B1192">
      <w:rPr>
        <w:rFonts w:ascii="Times New Roman" w:hAnsi="Times New Roman" w:cs="Times New Roman"/>
        <w:sz w:val="20"/>
        <w:szCs w:val="20"/>
      </w:rPr>
      <w:t>0817_KSL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A5" w:rsidRDefault="00022BA5" w:rsidP="004C3E9C">
      <w:pPr>
        <w:spacing w:after="0" w:line="240" w:lineRule="auto"/>
      </w:pPr>
      <w:r>
        <w:separator/>
      </w:r>
    </w:p>
  </w:footnote>
  <w:footnote w:type="continuationSeparator" w:id="0">
    <w:p w:rsidR="00022BA5" w:rsidRDefault="00022BA5" w:rsidP="004C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584063"/>
      <w:docPartObj>
        <w:docPartGallery w:val="Page Numbers (Top of Page)"/>
        <w:docPartUnique/>
      </w:docPartObj>
    </w:sdtPr>
    <w:sdtEndPr>
      <w:rPr>
        <w:noProof/>
      </w:rPr>
    </w:sdtEndPr>
    <w:sdtContent>
      <w:p w:rsidR="001563A2" w:rsidRDefault="001563A2">
        <w:pPr>
          <w:pStyle w:val="Header"/>
          <w:jc w:val="center"/>
        </w:pPr>
        <w:r>
          <w:fldChar w:fldCharType="begin"/>
        </w:r>
        <w:r>
          <w:instrText xml:space="preserve"> PAGE   \* MERGEFORMAT </w:instrText>
        </w:r>
        <w:r>
          <w:fldChar w:fldCharType="separate"/>
        </w:r>
        <w:r w:rsidR="0072336B">
          <w:rPr>
            <w:noProof/>
          </w:rPr>
          <w:t>4</w:t>
        </w:r>
        <w:r>
          <w:rPr>
            <w:noProof/>
          </w:rPr>
          <w:fldChar w:fldCharType="end"/>
        </w:r>
      </w:p>
    </w:sdtContent>
  </w:sdt>
  <w:p w:rsidR="004C3E9C" w:rsidRDefault="004C3E9C" w:rsidP="004C3E9C">
    <w:pPr>
      <w:pStyle w:val="Header"/>
      <w:tabs>
        <w:tab w:val="clear" w:pos="4153"/>
        <w:tab w:val="clear" w:pos="8306"/>
        <w:tab w:val="left" w:pos="6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94"/>
    <w:rsid w:val="00022BA5"/>
    <w:rsid w:val="00035143"/>
    <w:rsid w:val="00060E94"/>
    <w:rsid w:val="000921A8"/>
    <w:rsid w:val="00096F94"/>
    <w:rsid w:val="000C1B44"/>
    <w:rsid w:val="001563A2"/>
    <w:rsid w:val="00167263"/>
    <w:rsid w:val="00274818"/>
    <w:rsid w:val="00344D56"/>
    <w:rsid w:val="00360594"/>
    <w:rsid w:val="003B1192"/>
    <w:rsid w:val="0045020E"/>
    <w:rsid w:val="00474785"/>
    <w:rsid w:val="004852EC"/>
    <w:rsid w:val="004C0798"/>
    <w:rsid w:val="004C3E9C"/>
    <w:rsid w:val="006D36EC"/>
    <w:rsid w:val="0072336B"/>
    <w:rsid w:val="007E5EFC"/>
    <w:rsid w:val="00876E5C"/>
    <w:rsid w:val="008A0160"/>
    <w:rsid w:val="008E39A8"/>
    <w:rsid w:val="00937F2C"/>
    <w:rsid w:val="009923A4"/>
    <w:rsid w:val="009F644B"/>
    <w:rsid w:val="00AB1099"/>
    <w:rsid w:val="00AB1F04"/>
    <w:rsid w:val="00B5376C"/>
    <w:rsid w:val="00BB5C1D"/>
    <w:rsid w:val="00C02545"/>
    <w:rsid w:val="00CD7A2D"/>
    <w:rsid w:val="00CE66D2"/>
    <w:rsid w:val="00D077C8"/>
    <w:rsid w:val="00D26D50"/>
    <w:rsid w:val="00D809A1"/>
    <w:rsid w:val="00E0699B"/>
    <w:rsid w:val="00E63F77"/>
    <w:rsid w:val="00E77CF2"/>
    <w:rsid w:val="00F55954"/>
    <w:rsid w:val="00FA61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3AA8C-6197-4058-87E2-D6279C91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4"/>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E94"/>
    <w:rPr>
      <w:color w:val="0000FF"/>
      <w:u w:val="single"/>
    </w:rPr>
  </w:style>
  <w:style w:type="paragraph" w:styleId="Header">
    <w:name w:val="header"/>
    <w:basedOn w:val="Normal"/>
    <w:link w:val="HeaderChar"/>
    <w:uiPriority w:val="99"/>
    <w:unhideWhenUsed/>
    <w:rsid w:val="004C3E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3E9C"/>
    <w:rPr>
      <w:rFonts w:asciiTheme="minorHAnsi" w:hAnsiTheme="minorHAnsi"/>
      <w:sz w:val="22"/>
    </w:rPr>
  </w:style>
  <w:style w:type="paragraph" w:styleId="Footer">
    <w:name w:val="footer"/>
    <w:basedOn w:val="Normal"/>
    <w:link w:val="FooterChar"/>
    <w:uiPriority w:val="99"/>
    <w:unhideWhenUsed/>
    <w:rsid w:val="004C3E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3E9C"/>
    <w:rPr>
      <w:rFonts w:asciiTheme="minorHAnsi" w:hAnsiTheme="minorHAnsi"/>
      <w:sz w:val="22"/>
    </w:rPr>
  </w:style>
  <w:style w:type="paragraph" w:styleId="BalloonText">
    <w:name w:val="Balloon Text"/>
    <w:basedOn w:val="Normal"/>
    <w:link w:val="BalloonTextChar"/>
    <w:uiPriority w:val="99"/>
    <w:semiHidden/>
    <w:unhideWhenUsed/>
    <w:rsid w:val="00723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4628</Words>
  <Characters>2639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Grozījumi Krājaizdevu sabiedrību likumā</vt:lpstr>
    </vt:vector>
  </TitlesOfParts>
  <Company>Finanšu ministrija</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Krājaizdevu sabiedrību likumā</dc:title>
  <dc:subject>Anotācija</dc:subject>
  <dc:creator>Vineta Neija</dc:creator>
  <cp:keywords/>
  <dc:description>67095490; vineta.neija@fm.gov.lv</dc:description>
  <cp:lastModifiedBy>Vineta Neija</cp:lastModifiedBy>
  <cp:revision>17</cp:revision>
  <cp:lastPrinted>2017-08-24T11:31:00Z</cp:lastPrinted>
  <dcterms:created xsi:type="dcterms:W3CDTF">2017-08-09T11:18:00Z</dcterms:created>
  <dcterms:modified xsi:type="dcterms:W3CDTF">2017-08-24T11:31:00Z</dcterms:modified>
</cp:coreProperties>
</file>