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D6033" w14:textId="47E99D05" w:rsidR="009A72C5" w:rsidRPr="00B554E7" w:rsidRDefault="009A72C5" w:rsidP="009A72C5">
      <w:pPr>
        <w:contextualSpacing/>
        <w:jc w:val="center"/>
        <w:rPr>
          <w:b/>
          <w:bCs/>
          <w:sz w:val="28"/>
          <w:szCs w:val="28"/>
        </w:rPr>
      </w:pPr>
      <w:r w:rsidRPr="00B554E7">
        <w:rPr>
          <w:b/>
          <w:sz w:val="28"/>
          <w:szCs w:val="28"/>
        </w:rPr>
        <w:t>Ministru kabineta noteikumu projekta „</w:t>
      </w:r>
      <w:r w:rsidR="005651E9" w:rsidRPr="008E5EF4">
        <w:rPr>
          <w:b/>
          <w:bCs/>
          <w:sz w:val="28"/>
          <w:szCs w:val="28"/>
        </w:rPr>
        <w:t xml:space="preserve">Darbības programmas „Izaugsme un nodarbinātība” </w:t>
      </w:r>
      <w:r w:rsidR="008F69EB" w:rsidRPr="008F69EB">
        <w:rPr>
          <w:b/>
          <w:bCs/>
          <w:sz w:val="28"/>
          <w:szCs w:val="28"/>
        </w:rPr>
        <w:t xml:space="preserve">8.2.1. specifiskā atbalsta mērķa „Samazināt studiju programmu fragmentāciju un stiprināt resursu koplietošanu” </w:t>
      </w:r>
      <w:r w:rsidR="00CE4E41" w:rsidRPr="00CE4E41">
        <w:rPr>
          <w:b/>
          <w:bCs/>
          <w:sz w:val="28"/>
          <w:szCs w:val="28"/>
        </w:rPr>
        <w:t xml:space="preserve">pirmās un otrās projektu iesniegumu atlases kārtas </w:t>
      </w:r>
      <w:r w:rsidR="008F69EB" w:rsidRPr="008F69EB">
        <w:rPr>
          <w:b/>
          <w:bCs/>
          <w:sz w:val="28"/>
          <w:szCs w:val="28"/>
        </w:rPr>
        <w:t>īstenošanas noteikumi” sākotnējās ietekmes novērtējuma ziņojums (anotācija)</w:t>
      </w:r>
    </w:p>
    <w:p w14:paraId="59307E49" w14:textId="77777777" w:rsidR="009A72C5" w:rsidRPr="00D91AE9" w:rsidRDefault="009A72C5" w:rsidP="009A72C5">
      <w:pPr>
        <w:jc w:val="center"/>
        <w:rPr>
          <w:b/>
          <w:bCs/>
          <w:sz w:val="28"/>
          <w:szCs w:val="28"/>
        </w:rPr>
      </w:pPr>
    </w:p>
    <w:tbl>
      <w:tblPr>
        <w:tblW w:w="5000"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77"/>
        <w:gridCol w:w="143"/>
        <w:gridCol w:w="1295"/>
        <w:gridCol w:w="406"/>
        <w:gridCol w:w="6510"/>
      </w:tblGrid>
      <w:tr w:rsidR="009A72C5" w:rsidRPr="00D91AE9" w14:paraId="51C8401A" w14:textId="77777777" w:rsidTr="002B199E">
        <w:tc>
          <w:tcPr>
            <w:tcW w:w="5000" w:type="pct"/>
            <w:gridSpan w:val="5"/>
            <w:tcBorders>
              <w:top w:val="single" w:sz="4" w:space="0" w:color="auto"/>
              <w:left w:val="single" w:sz="4" w:space="0" w:color="auto"/>
              <w:bottom w:val="outset" w:sz="6" w:space="0" w:color="000000"/>
              <w:right w:val="single" w:sz="4" w:space="0" w:color="auto"/>
            </w:tcBorders>
            <w:vAlign w:val="center"/>
          </w:tcPr>
          <w:p w14:paraId="346996BA" w14:textId="77777777" w:rsidR="009A72C5" w:rsidRPr="00D91AE9" w:rsidRDefault="009A72C5" w:rsidP="00DD2EFA">
            <w:pPr>
              <w:spacing w:before="100" w:beforeAutospacing="1" w:after="100" w:afterAutospacing="1"/>
              <w:jc w:val="center"/>
              <w:rPr>
                <w:b/>
                <w:bCs/>
              </w:rPr>
            </w:pPr>
            <w:r w:rsidRPr="00D91AE9">
              <w:rPr>
                <w:b/>
                <w:bCs/>
              </w:rPr>
              <w:t>I. Tiesību akta projekta izstrādes nepieciešamība</w:t>
            </w:r>
          </w:p>
        </w:tc>
      </w:tr>
      <w:tr w:rsidR="009A72C5" w:rsidRPr="00D91AE9" w14:paraId="4F59C4DC" w14:textId="77777777" w:rsidTr="002B199E">
        <w:tc>
          <w:tcPr>
            <w:tcW w:w="161" w:type="pct"/>
            <w:tcBorders>
              <w:top w:val="outset" w:sz="6" w:space="0" w:color="000000"/>
              <w:left w:val="outset" w:sz="6" w:space="0" w:color="000000"/>
              <w:bottom w:val="outset" w:sz="6" w:space="0" w:color="000000"/>
              <w:right w:val="outset" w:sz="6" w:space="0" w:color="000000"/>
            </w:tcBorders>
          </w:tcPr>
          <w:p w14:paraId="0A4FF9D1" w14:textId="77777777" w:rsidR="009A72C5" w:rsidRPr="00D91AE9" w:rsidRDefault="009A72C5" w:rsidP="00DD2EFA">
            <w:pPr>
              <w:spacing w:before="100" w:beforeAutospacing="1" w:after="100" w:afterAutospacing="1"/>
            </w:pPr>
            <w:r w:rsidRPr="00D91AE9">
              <w:t>1.</w:t>
            </w:r>
          </w:p>
        </w:tc>
        <w:tc>
          <w:tcPr>
            <w:tcW w:w="833" w:type="pct"/>
            <w:gridSpan w:val="2"/>
            <w:tcBorders>
              <w:top w:val="outset" w:sz="6" w:space="0" w:color="000000"/>
              <w:left w:val="outset" w:sz="6" w:space="0" w:color="000000"/>
              <w:bottom w:val="outset" w:sz="6" w:space="0" w:color="000000"/>
              <w:right w:val="outset" w:sz="6" w:space="0" w:color="000000"/>
            </w:tcBorders>
          </w:tcPr>
          <w:p w14:paraId="392F8EA2" w14:textId="77777777" w:rsidR="009A72C5" w:rsidRPr="00D91AE9" w:rsidRDefault="009A72C5" w:rsidP="00DD2EFA">
            <w:pPr>
              <w:spacing w:before="100" w:beforeAutospacing="1" w:after="100" w:afterAutospacing="1"/>
            </w:pPr>
            <w:r w:rsidRPr="00D91AE9">
              <w:t>Pamatojums</w:t>
            </w:r>
          </w:p>
        </w:tc>
        <w:tc>
          <w:tcPr>
            <w:tcW w:w="4006" w:type="pct"/>
            <w:gridSpan w:val="2"/>
            <w:tcBorders>
              <w:top w:val="outset" w:sz="6" w:space="0" w:color="000000"/>
              <w:left w:val="outset" w:sz="6" w:space="0" w:color="000000"/>
              <w:bottom w:val="outset" w:sz="6" w:space="0" w:color="000000"/>
              <w:right w:val="outset" w:sz="6" w:space="0" w:color="000000"/>
            </w:tcBorders>
          </w:tcPr>
          <w:p w14:paraId="707FB02B" w14:textId="6839B60F" w:rsidR="009A72C5" w:rsidRPr="00A60F2F" w:rsidRDefault="009A72C5" w:rsidP="000313BC">
            <w:pPr>
              <w:pStyle w:val="ListParagraph"/>
              <w:ind w:left="0" w:right="91" w:firstLine="516"/>
              <w:rPr>
                <w:szCs w:val="24"/>
              </w:rPr>
            </w:pPr>
            <w:r w:rsidRPr="00A60F2F">
              <w:rPr>
                <w:szCs w:val="24"/>
              </w:rPr>
              <w:t>Ministru kabineta (turpmāk – MK) noteikumu projekts „</w:t>
            </w:r>
            <w:r w:rsidR="00086A35" w:rsidRPr="00A60F2F">
              <w:rPr>
                <w:szCs w:val="24"/>
              </w:rPr>
              <w:t xml:space="preserve">Darbības programmas „Izaugsme un nodarbinātība” 8.2.1. specifiskā atbalsta mērķa „Samazināt studiju programmu fragmentāciju un stiprināt resursu koplietošanu” </w:t>
            </w:r>
            <w:r w:rsidR="00CE4E41" w:rsidRPr="00CE4E41">
              <w:rPr>
                <w:szCs w:val="24"/>
              </w:rPr>
              <w:t>pirmās un otrās projektu iesniegumu atlases kārtas</w:t>
            </w:r>
            <w:r w:rsidR="00780384">
              <w:rPr>
                <w:szCs w:val="24"/>
              </w:rPr>
              <w:t xml:space="preserve"> </w:t>
            </w:r>
            <w:r w:rsidR="00086A35" w:rsidRPr="00A60F2F">
              <w:rPr>
                <w:szCs w:val="24"/>
              </w:rPr>
              <w:t>īstenošanas noteikumi”</w:t>
            </w:r>
            <w:r w:rsidRPr="00A60F2F">
              <w:rPr>
                <w:szCs w:val="24"/>
              </w:rPr>
              <w:t xml:space="preserve"> (turpmāk – noteikumu projekts) sagatavots saskaņā ar:</w:t>
            </w:r>
          </w:p>
          <w:p w14:paraId="6D966139" w14:textId="77777777" w:rsidR="009A72C5" w:rsidRPr="00A60F2F" w:rsidRDefault="009A72C5" w:rsidP="00B848E2">
            <w:pPr>
              <w:pStyle w:val="ListParagraph"/>
              <w:numPr>
                <w:ilvl w:val="0"/>
                <w:numId w:val="1"/>
              </w:numPr>
              <w:ind w:right="91"/>
              <w:rPr>
                <w:szCs w:val="24"/>
              </w:rPr>
            </w:pPr>
            <w:r w:rsidRPr="00A60F2F">
              <w:rPr>
                <w:szCs w:val="24"/>
                <w:lang w:eastAsia="lv-LV"/>
              </w:rPr>
              <w:t>Eiropas Savienības struktūrfondu un Kohēzijas fonda 2014. – 2020.</w:t>
            </w:r>
            <w:r w:rsidR="00BA0E1E" w:rsidRPr="00A60F2F">
              <w:rPr>
                <w:szCs w:val="24"/>
                <w:lang w:eastAsia="lv-LV"/>
              </w:rPr>
              <w:t xml:space="preserve"> </w:t>
            </w:r>
            <w:r w:rsidRPr="00A60F2F">
              <w:rPr>
                <w:szCs w:val="24"/>
                <w:lang w:eastAsia="lv-LV"/>
              </w:rPr>
              <w:t xml:space="preserve">gada plānošanas perioda vadības likuma </w:t>
            </w:r>
            <w:r w:rsidRPr="00A60F2F">
              <w:rPr>
                <w:bCs/>
                <w:szCs w:val="24"/>
              </w:rPr>
              <w:t>20.</w:t>
            </w:r>
            <w:r w:rsidR="00BA0E1E" w:rsidRPr="00A60F2F">
              <w:rPr>
                <w:bCs/>
                <w:szCs w:val="24"/>
              </w:rPr>
              <w:t xml:space="preserve"> </w:t>
            </w:r>
            <w:r w:rsidRPr="00A60F2F">
              <w:rPr>
                <w:bCs/>
                <w:szCs w:val="24"/>
              </w:rPr>
              <w:t xml:space="preserve">panta </w:t>
            </w:r>
            <w:r w:rsidR="00C2155A" w:rsidRPr="00A60F2F">
              <w:rPr>
                <w:bCs/>
                <w:szCs w:val="24"/>
              </w:rPr>
              <w:t xml:space="preserve">   </w:t>
            </w:r>
            <w:r w:rsidRPr="00A60F2F">
              <w:rPr>
                <w:bCs/>
                <w:szCs w:val="24"/>
              </w:rPr>
              <w:t>6. un 13.</w:t>
            </w:r>
            <w:r w:rsidR="00BA0E1E" w:rsidRPr="00A60F2F">
              <w:rPr>
                <w:bCs/>
                <w:szCs w:val="24"/>
              </w:rPr>
              <w:t xml:space="preserve"> </w:t>
            </w:r>
            <w:r w:rsidRPr="00A60F2F">
              <w:rPr>
                <w:bCs/>
                <w:szCs w:val="24"/>
              </w:rPr>
              <w:t>punktu;</w:t>
            </w:r>
          </w:p>
          <w:p w14:paraId="3D1CAE6F" w14:textId="77777777" w:rsidR="009A72C5" w:rsidRPr="00A60F2F" w:rsidRDefault="009A72C5" w:rsidP="00B848E2">
            <w:pPr>
              <w:pStyle w:val="ListParagraph"/>
              <w:numPr>
                <w:ilvl w:val="0"/>
                <w:numId w:val="1"/>
              </w:numPr>
              <w:ind w:right="91"/>
              <w:rPr>
                <w:szCs w:val="24"/>
              </w:rPr>
            </w:pPr>
            <w:r w:rsidRPr="00A60F2F">
              <w:rPr>
                <w:szCs w:val="24"/>
                <w:shd w:val="clear" w:color="auto" w:fill="FFFFFF"/>
              </w:rPr>
              <w:t>Ministru Prezidenta 2014.</w:t>
            </w:r>
            <w:r w:rsidR="00BA0E1E" w:rsidRPr="00A60F2F">
              <w:rPr>
                <w:szCs w:val="24"/>
                <w:shd w:val="clear" w:color="auto" w:fill="FFFFFF"/>
              </w:rPr>
              <w:t xml:space="preserve"> </w:t>
            </w:r>
            <w:r w:rsidRPr="00A60F2F">
              <w:rPr>
                <w:szCs w:val="24"/>
                <w:shd w:val="clear" w:color="auto" w:fill="FFFFFF"/>
              </w:rPr>
              <w:t>gada 21.</w:t>
            </w:r>
            <w:r w:rsidR="00BA0E1E" w:rsidRPr="00A60F2F">
              <w:rPr>
                <w:szCs w:val="24"/>
                <w:shd w:val="clear" w:color="auto" w:fill="FFFFFF"/>
              </w:rPr>
              <w:t xml:space="preserve"> </w:t>
            </w:r>
            <w:r w:rsidRPr="00A60F2F">
              <w:rPr>
                <w:szCs w:val="24"/>
                <w:shd w:val="clear" w:color="auto" w:fill="FFFFFF"/>
              </w:rPr>
              <w:t>jūlija rezolūciju Nr.12/2014</w:t>
            </w:r>
            <w:r w:rsidRPr="00A60F2F">
              <w:rPr>
                <w:szCs w:val="24"/>
                <w:lang w:eastAsia="lv-LV"/>
              </w:rPr>
              <w:t>–</w:t>
            </w:r>
            <w:r w:rsidRPr="00A60F2F">
              <w:rPr>
                <w:szCs w:val="24"/>
                <w:shd w:val="clear" w:color="auto" w:fill="FFFFFF"/>
              </w:rPr>
              <w:t>JUR</w:t>
            </w:r>
            <w:r w:rsidRPr="00A60F2F">
              <w:rPr>
                <w:szCs w:val="24"/>
                <w:lang w:eastAsia="lv-LV"/>
              </w:rPr>
              <w:t>–</w:t>
            </w:r>
            <w:r w:rsidRPr="00A60F2F">
              <w:rPr>
                <w:szCs w:val="24"/>
                <w:shd w:val="clear" w:color="auto" w:fill="FFFFFF"/>
              </w:rPr>
              <w:t>151, kura nosaka līdz 2017.</w:t>
            </w:r>
            <w:r w:rsidR="00BA0E1E" w:rsidRPr="00A60F2F">
              <w:rPr>
                <w:szCs w:val="24"/>
                <w:shd w:val="clear" w:color="auto" w:fill="FFFFFF"/>
              </w:rPr>
              <w:t xml:space="preserve"> </w:t>
            </w:r>
            <w:r w:rsidRPr="00A60F2F">
              <w:rPr>
                <w:szCs w:val="24"/>
                <w:shd w:val="clear" w:color="auto" w:fill="FFFFFF"/>
              </w:rPr>
              <w:t>gada 1.</w:t>
            </w:r>
            <w:r w:rsidR="00BA0E1E" w:rsidRPr="00A60F2F">
              <w:rPr>
                <w:szCs w:val="24"/>
                <w:shd w:val="clear" w:color="auto" w:fill="FFFFFF"/>
              </w:rPr>
              <w:t xml:space="preserve"> </w:t>
            </w:r>
            <w:r w:rsidRPr="00A60F2F">
              <w:rPr>
                <w:szCs w:val="24"/>
                <w:shd w:val="clear" w:color="auto" w:fill="FFFFFF"/>
              </w:rPr>
              <w:t xml:space="preserve">decembrim atbilstoši kompetencei sagatavot un noteiktā kārtībā iesniegt MK </w:t>
            </w:r>
            <w:r w:rsidRPr="00A60F2F">
              <w:rPr>
                <w:szCs w:val="24"/>
              </w:rPr>
              <w:t xml:space="preserve">specifiskā atbalsta mērķa īstenošanas noteikumus; </w:t>
            </w:r>
          </w:p>
          <w:p w14:paraId="105CB35E" w14:textId="77777777" w:rsidR="009A72C5" w:rsidRPr="00D91AE9" w:rsidRDefault="009A72C5" w:rsidP="00B848E2">
            <w:pPr>
              <w:pStyle w:val="ListParagraph"/>
              <w:numPr>
                <w:ilvl w:val="0"/>
                <w:numId w:val="1"/>
              </w:numPr>
              <w:ind w:right="91"/>
              <w:rPr>
                <w:szCs w:val="24"/>
              </w:rPr>
            </w:pPr>
            <w:r w:rsidRPr="00A60F2F">
              <w:rPr>
                <w:szCs w:val="24"/>
                <w:lang w:eastAsia="lv-LV"/>
              </w:rPr>
              <w:t xml:space="preserve">Eiropas Savienības (turpmāk – </w:t>
            </w:r>
            <w:r w:rsidRPr="00A60F2F">
              <w:rPr>
                <w:szCs w:val="24"/>
              </w:rPr>
              <w:t>ES) fondu un Kohēzijas politikas 2014.</w:t>
            </w:r>
            <w:r w:rsidRPr="00A60F2F">
              <w:rPr>
                <w:szCs w:val="24"/>
                <w:lang w:eastAsia="lv-LV"/>
              </w:rPr>
              <w:t> – </w:t>
            </w:r>
            <w:r w:rsidRPr="00A60F2F">
              <w:rPr>
                <w:szCs w:val="24"/>
              </w:rPr>
              <w:t>2020.</w:t>
            </w:r>
            <w:r w:rsidR="00BA0E1E" w:rsidRPr="00A60F2F">
              <w:rPr>
                <w:szCs w:val="24"/>
              </w:rPr>
              <w:t xml:space="preserve"> </w:t>
            </w:r>
            <w:r w:rsidRPr="00A60F2F">
              <w:rPr>
                <w:szCs w:val="24"/>
              </w:rPr>
              <w:t>gada plānošanas perioda darbības programmu „Izaugsme un nodarbinātība”, kas  apstiprināta Eiropas Komisijā (turpmāk – EK) 2014.</w:t>
            </w:r>
            <w:r w:rsidR="00BA0E1E" w:rsidRPr="00A60F2F">
              <w:rPr>
                <w:szCs w:val="24"/>
              </w:rPr>
              <w:t xml:space="preserve"> </w:t>
            </w:r>
            <w:r w:rsidRPr="00A60F2F">
              <w:rPr>
                <w:szCs w:val="24"/>
              </w:rPr>
              <w:t>gada 11.</w:t>
            </w:r>
            <w:r w:rsidR="00BA0E1E" w:rsidRPr="00A60F2F">
              <w:rPr>
                <w:szCs w:val="24"/>
              </w:rPr>
              <w:t xml:space="preserve"> </w:t>
            </w:r>
            <w:r w:rsidRPr="00A60F2F">
              <w:rPr>
                <w:szCs w:val="24"/>
              </w:rPr>
              <w:t xml:space="preserve">novembrī. </w:t>
            </w:r>
          </w:p>
        </w:tc>
      </w:tr>
      <w:tr w:rsidR="009A72C5" w:rsidRPr="00D91AE9" w14:paraId="3D6AB280" w14:textId="77777777" w:rsidTr="002B199E">
        <w:tc>
          <w:tcPr>
            <w:tcW w:w="161" w:type="pct"/>
            <w:tcBorders>
              <w:top w:val="outset" w:sz="6" w:space="0" w:color="000000"/>
              <w:left w:val="outset" w:sz="6" w:space="0" w:color="000000"/>
              <w:bottom w:val="outset" w:sz="6" w:space="0" w:color="000000"/>
              <w:right w:val="outset" w:sz="6" w:space="0" w:color="000000"/>
            </w:tcBorders>
          </w:tcPr>
          <w:p w14:paraId="41E2101A" w14:textId="77777777" w:rsidR="009A72C5" w:rsidRPr="00D91AE9" w:rsidRDefault="009A72C5" w:rsidP="00DD2EFA">
            <w:pPr>
              <w:spacing w:before="100" w:beforeAutospacing="1" w:after="100" w:afterAutospacing="1"/>
            </w:pPr>
            <w:r w:rsidRPr="00D91AE9">
              <w:t>2.</w:t>
            </w:r>
          </w:p>
        </w:tc>
        <w:tc>
          <w:tcPr>
            <w:tcW w:w="833" w:type="pct"/>
            <w:gridSpan w:val="2"/>
            <w:tcBorders>
              <w:top w:val="outset" w:sz="6" w:space="0" w:color="000000"/>
              <w:left w:val="outset" w:sz="6" w:space="0" w:color="000000"/>
              <w:bottom w:val="outset" w:sz="6" w:space="0" w:color="000000"/>
              <w:right w:val="outset" w:sz="6" w:space="0" w:color="000000"/>
            </w:tcBorders>
          </w:tcPr>
          <w:p w14:paraId="189089AB" w14:textId="77777777" w:rsidR="009A72C5" w:rsidRPr="00D91AE9" w:rsidRDefault="009A72C5" w:rsidP="00593077">
            <w:pPr>
              <w:spacing w:before="100" w:beforeAutospacing="1" w:after="100" w:afterAutospacing="1"/>
            </w:pPr>
            <w:r w:rsidRPr="00D91AE9">
              <w:t>Pašreizējā situācija un problēmas, kuru risināšanai tiesību akta projekts izstrādāts, tiesiskā regulējuma mērķis un būtība</w:t>
            </w:r>
          </w:p>
        </w:tc>
        <w:tc>
          <w:tcPr>
            <w:tcW w:w="4006" w:type="pct"/>
            <w:gridSpan w:val="2"/>
            <w:tcBorders>
              <w:top w:val="outset" w:sz="6" w:space="0" w:color="000000"/>
              <w:left w:val="outset" w:sz="6" w:space="0" w:color="000000"/>
              <w:bottom w:val="outset" w:sz="6" w:space="0" w:color="000000"/>
              <w:right w:val="outset" w:sz="6" w:space="0" w:color="000000"/>
            </w:tcBorders>
          </w:tcPr>
          <w:p w14:paraId="75D4607C" w14:textId="7765C33D" w:rsidR="00F73F7E" w:rsidRPr="002A4D0D" w:rsidRDefault="00F73F7E" w:rsidP="00F73F7E">
            <w:pPr>
              <w:tabs>
                <w:tab w:val="left" w:pos="567"/>
                <w:tab w:val="left" w:pos="2884"/>
              </w:tabs>
              <w:ind w:right="145" w:firstLine="516"/>
              <w:jc w:val="both"/>
            </w:pPr>
            <w:r w:rsidRPr="002A4D0D">
              <w:t xml:space="preserve">Eiropas Savienības struktūrfondu un Kohēzijas fonda 2014. – 2020. gada plānošanas perioda darbības programmas „Izaugsme un nodarbinātība” 8.2.1. specifiskā atbalsta mērķa “Samazināt studiju programmu fragmentāciju un stiprināt resursu koplietošanu” (turpmāk – 8.2.1. SAM) ietvaros </w:t>
            </w:r>
            <w:r w:rsidR="00E83F56">
              <w:t>finansējums</w:t>
            </w:r>
            <w:r w:rsidR="00E83F56" w:rsidRPr="002A4D0D">
              <w:t xml:space="preserve"> </w:t>
            </w:r>
            <w:r w:rsidRPr="002A4D0D">
              <w:t xml:space="preserve">paredzēts kopīgo doktorantūras studiju programmu un studiju programmu Eiropas Savienības oficiālajās valodās, kas nav latviešu valoda (turpmāk – ES valodas), izstrādei, aprobācijai un akreditācijai, tai skaitā akreditācijas izmaksu segšanai starptautiskās profesionālās organizācijās, izstrādāto un akreditēto studiju programmu starptautiskajai publicitātei. </w:t>
            </w:r>
          </w:p>
          <w:p w14:paraId="48ECA1D8" w14:textId="231F782A" w:rsidR="00DC5C41" w:rsidRPr="002A4D0D" w:rsidRDefault="00DC5C41" w:rsidP="007D18FC">
            <w:pPr>
              <w:tabs>
                <w:tab w:val="left" w:pos="567"/>
                <w:tab w:val="left" w:pos="2884"/>
              </w:tabs>
              <w:ind w:right="147" w:firstLine="516"/>
              <w:jc w:val="both"/>
            </w:pPr>
            <w:r w:rsidRPr="002A4D0D">
              <w:t xml:space="preserve">Tas atbilst politikas plānošanas dokumentos noteiktajiem mērķiem un rīcības virzieniem. </w:t>
            </w:r>
          </w:p>
          <w:p w14:paraId="4C911B30" w14:textId="3CED2D6E" w:rsidR="00DC5C41" w:rsidRPr="002A4D0D" w:rsidRDefault="00DC5C41" w:rsidP="00DC5C41">
            <w:pPr>
              <w:tabs>
                <w:tab w:val="left" w:pos="567"/>
                <w:tab w:val="left" w:pos="2884"/>
              </w:tabs>
              <w:ind w:right="145" w:firstLine="516"/>
              <w:jc w:val="both"/>
            </w:pPr>
            <w:r w:rsidRPr="002A4D0D">
              <w:t>Latvijas Nacionālajā attīstības plānā 2014 – 2020</w:t>
            </w:r>
            <w:r w:rsidRPr="002A4D0D">
              <w:rPr>
                <w:rStyle w:val="FootnoteReference"/>
              </w:rPr>
              <w:footnoteReference w:id="1"/>
            </w:r>
            <w:r w:rsidRPr="002A4D0D">
              <w:t xml:space="preserve"> rīcības virzienā "Attīstīta pētniecība, inovācija un augstākā izglītība" viens no veicamajiem uzdevumiem [189] paredz  augstākās izglītības eksporta atbalsta pasākumus (izcilu programmu apvienošana un vienoto programmu izveide citās ES valodās vismaz 10 studiju virzienos, programmu starptautiskā publicitāte un ārvalstu studentu atbalsta punktu attīstība, ārvalstu pasniedzēju piesaiste).</w:t>
            </w:r>
          </w:p>
          <w:p w14:paraId="3D4E0346" w14:textId="4AD510F9" w:rsidR="004D76FF" w:rsidRPr="002A4D0D" w:rsidRDefault="001949FC" w:rsidP="00F73F7E">
            <w:pPr>
              <w:tabs>
                <w:tab w:val="left" w:pos="567"/>
                <w:tab w:val="left" w:pos="2884"/>
              </w:tabs>
              <w:ind w:right="145" w:firstLine="516"/>
              <w:jc w:val="both"/>
            </w:pPr>
            <w:r w:rsidRPr="002A4D0D">
              <w:lastRenderedPageBreak/>
              <w:t xml:space="preserve">Latvijas ilgtspējīgas attīstības stratēģijā līdz 2030. gadam ir definēts mērķis palielināt ārvalstu studentu īpatsvaru augstskolās Latvijā līdz vismaz 10% no kopējā studējošo skaita. </w:t>
            </w:r>
            <w:r w:rsidR="006A407C" w:rsidRPr="002A4D0D">
              <w:t>Lai arī 2016./2017. ak.gada sākumā jau šis rādītājs ir sasniegts</w:t>
            </w:r>
            <w:r w:rsidR="00AA4605" w:rsidRPr="002A4D0D">
              <w:t>, tomēr būtiski ir turpināt mērķtiecīgus pasākumus, lai šo rādītāju paaugstinātu.</w:t>
            </w:r>
          </w:p>
          <w:p w14:paraId="0951ABB8" w14:textId="4C8DE96B" w:rsidR="00DC5C41" w:rsidRPr="002A4D0D" w:rsidRDefault="004D76FF" w:rsidP="00F73F7E">
            <w:pPr>
              <w:tabs>
                <w:tab w:val="left" w:pos="567"/>
                <w:tab w:val="left" w:pos="2884"/>
              </w:tabs>
              <w:ind w:right="145" w:firstLine="516"/>
              <w:jc w:val="both"/>
            </w:pPr>
            <w:r w:rsidRPr="002A4D0D">
              <w:t>Augstākās izglītības internacionalizācija ir noteikta ES Padomes ieteikumā par Latvijas 2013. gada valsts reformu programmu un ar ko sniedz Padomes atzinumu par Latvijas konverģences programmu 2012. – 2016. gadam.</w:t>
            </w:r>
            <w:r w:rsidR="006A407C" w:rsidRPr="002A4D0D">
              <w:t xml:space="preserve"> </w:t>
            </w:r>
          </w:p>
          <w:p w14:paraId="227483DF" w14:textId="735DBD49" w:rsidR="00DC5C41" w:rsidRPr="002A4D0D" w:rsidRDefault="001949FC" w:rsidP="00F73F7E">
            <w:pPr>
              <w:tabs>
                <w:tab w:val="left" w:pos="567"/>
                <w:tab w:val="left" w:pos="2884"/>
              </w:tabs>
              <w:ind w:right="145" w:firstLine="516"/>
              <w:jc w:val="both"/>
            </w:pPr>
            <w:r w:rsidRPr="002A4D0D">
              <w:t>Izglītības attīstības pamatnostādnēs 2014 – 2020</w:t>
            </w:r>
            <w:r w:rsidR="006A407C" w:rsidRPr="002A4D0D">
              <w:rPr>
                <w:rStyle w:val="FootnoteReference"/>
              </w:rPr>
              <w:footnoteReference w:id="2"/>
            </w:r>
            <w:r w:rsidRPr="002A4D0D">
              <w:t xml:space="preserve"> kā nozares politikas starptautiskā prioritāte</w:t>
            </w:r>
            <w:r w:rsidR="006A407C" w:rsidRPr="002A4D0D">
              <w:t xml:space="preserve"> ir noteikta starptautiskās konkurētspējas nodrošināšana</w:t>
            </w:r>
            <w:r w:rsidR="00AA4605" w:rsidRPr="002A4D0D">
              <w:t>.</w:t>
            </w:r>
          </w:p>
          <w:p w14:paraId="2F51FB23" w14:textId="3A388A54" w:rsidR="006A407C" w:rsidRPr="002A4D0D" w:rsidRDefault="004D76FF" w:rsidP="00F73F7E">
            <w:pPr>
              <w:tabs>
                <w:tab w:val="left" w:pos="567"/>
                <w:tab w:val="left" w:pos="2884"/>
              </w:tabs>
              <w:ind w:right="145" w:firstLine="516"/>
              <w:jc w:val="both"/>
            </w:pPr>
            <w:r w:rsidRPr="002A4D0D">
              <w:t>Arī Latvijas Viedās specializācijas stratēģija (turpmāk – RIS3)</w:t>
            </w:r>
            <w:r w:rsidRPr="002A4D0D">
              <w:rPr>
                <w:rStyle w:val="FootnoteReference"/>
              </w:rPr>
              <w:footnoteReference w:id="3"/>
            </w:r>
            <w:r w:rsidRPr="002A4D0D">
              <w:t xml:space="preserve"> paredz izglītības modernizāciju ar mērķi sekmēt tautsaimniecības transformāciju uz augstāku pievienoto vērtību, sekmējot izaugsmi gan tradicionālajās tautsaimniecības nozarēs, gan nozarēs ar augstu nākotnes izaugsmes potenciālu un nozarēs ar nozīmīgu horizontālu ietekmi. RIS3 mērķu sasniegšanai būs nepieciešams cilvēkkapitāls, kas nodrošinās izaugsmi nozarēs, kurās eksistē vai ir iespējams radīt produktus un pakalpojumus ar augstu pievienoto vērtību, nozarēs ar nozīmīgu horizontālo ietekmi un ieguldījumu tautsaimniecības transformācijā, kā arī būs nepieciešams cilvēkkapitāls, kas mainīs ražošanas un eksporta struktūras tradicionālajās tautsaimniecības nozarēs. </w:t>
            </w:r>
            <w:r w:rsidR="00312FFA" w:rsidRPr="002A4D0D">
              <w:t>8.2.1. SAM īstenošana atbilst RIS3 5</w:t>
            </w:r>
            <w:r w:rsidR="00312FFA" w:rsidRPr="002A4D0D">
              <w:rPr>
                <w:rStyle w:val="FootnoteReference"/>
              </w:rPr>
              <w:footnoteReference w:id="4"/>
            </w:r>
            <w:r w:rsidR="00312FFA" w:rsidRPr="002A4D0D">
              <w:t>. un 6</w:t>
            </w:r>
            <w:r w:rsidR="00312FFA" w:rsidRPr="002A4D0D">
              <w:rPr>
                <w:rStyle w:val="FootnoteReference"/>
              </w:rPr>
              <w:footnoteReference w:id="5"/>
            </w:r>
            <w:r w:rsidR="00312FFA" w:rsidRPr="002A4D0D">
              <w:t xml:space="preserve">.prioritātei. </w:t>
            </w:r>
          </w:p>
          <w:p w14:paraId="6F865E8B" w14:textId="4E5C37A6" w:rsidR="00F73F7E" w:rsidRPr="002A4D0D" w:rsidRDefault="00F73F7E" w:rsidP="00F73F7E">
            <w:pPr>
              <w:tabs>
                <w:tab w:val="left" w:pos="567"/>
                <w:tab w:val="left" w:pos="2884"/>
              </w:tabs>
              <w:ind w:right="145" w:firstLine="516"/>
              <w:jc w:val="both"/>
            </w:pPr>
            <w:r w:rsidRPr="002A4D0D">
              <w:t xml:space="preserve">Kopīgo doktorantūras studiju programmu un studiju programmu ES valodās </w:t>
            </w:r>
            <w:r w:rsidR="00E83F56">
              <w:t>investīciju</w:t>
            </w:r>
            <w:r w:rsidR="00E83F56" w:rsidRPr="002A4D0D">
              <w:t xml:space="preserve"> </w:t>
            </w:r>
            <w:r w:rsidRPr="002A4D0D">
              <w:t>uzdevums ir veidot spēcīgas augstākās izglītības studiju programmas, tādējādi veicinot Latvijas augstākās izglītības konkurētspēju, internacionalizāciju un eksportspēju, kas ir viens no augstākās izglītības stratēģiskajiem mērķiem.</w:t>
            </w:r>
          </w:p>
          <w:p w14:paraId="10E5F11C" w14:textId="52A9BA03" w:rsidR="00F73F7E" w:rsidRPr="002A4D0D" w:rsidRDefault="00F73F7E" w:rsidP="00F73F7E">
            <w:pPr>
              <w:tabs>
                <w:tab w:val="left" w:pos="567"/>
                <w:tab w:val="left" w:pos="2884"/>
              </w:tabs>
              <w:ind w:right="145" w:firstLine="516"/>
              <w:jc w:val="both"/>
            </w:pPr>
            <w:r w:rsidRPr="002A4D0D">
              <w:t xml:space="preserve">Latvijā vērojama augstākās izglītības studiju programmu pārlieka dublēšanās un fragmentācija, ko apliecina studējošo skaitam un tā dinamikai neatbilstoši liels studiju programmu skaits. Laika posmā no 2006. gada līdz </w:t>
            </w:r>
            <w:r w:rsidR="00140A5B" w:rsidRPr="002A4D0D">
              <w:t>201</w:t>
            </w:r>
            <w:r w:rsidR="00140A5B">
              <w:t>6</w:t>
            </w:r>
            <w:r w:rsidRPr="002A4D0D">
              <w:t xml:space="preserve">. gadam, samazinoties studējošo skaitam par 35%, piedāvāto studiju programmu skaits salīdzinājumā ar 2006./2007. ak.g. sākumu (616 programmas) </w:t>
            </w:r>
            <w:r w:rsidR="00140A5B" w:rsidRPr="007D18FC">
              <w:t>2016</w:t>
            </w:r>
            <w:r w:rsidRPr="007D18FC">
              <w:t>./</w:t>
            </w:r>
            <w:r w:rsidR="00140A5B" w:rsidRPr="007D18FC">
              <w:t>2017</w:t>
            </w:r>
            <w:r w:rsidRPr="007D18FC">
              <w:t xml:space="preserve">. ak.g. sākumā ir pieaudzis līdz </w:t>
            </w:r>
            <w:r w:rsidR="00140A5B" w:rsidRPr="007D18FC">
              <w:t xml:space="preserve">916 </w:t>
            </w:r>
            <w:r w:rsidRPr="007D18FC">
              <w:t>programmām.</w:t>
            </w:r>
            <w:r w:rsidRPr="002A4D0D">
              <w:t xml:space="preserve"> Studiju programmu ārējā izvērtējumā</w:t>
            </w:r>
            <w:r w:rsidR="00894EFE" w:rsidRPr="002A4D0D">
              <w:rPr>
                <w:rStyle w:val="FootnoteReference"/>
              </w:rPr>
              <w:footnoteReference w:id="6"/>
            </w:r>
            <w:r w:rsidRPr="002A4D0D">
              <w:t xml:space="preserve">  uzsvērtas studiju programmu kvalitātes un starptautiskās </w:t>
            </w:r>
            <w:r w:rsidRPr="002A4D0D">
              <w:lastRenderedPageBreak/>
              <w:t>konkurētspējas problēmas, t.sk. doktorantūras līmenī. Viena no galvenajām problēmām doktorantūras līmenī ir tā, ka vairākos studiju virzienos, piemēram – informācijas tehnoloģijas, fizika, ķīmija, medicīna, farmācija, vides zinātne u.c., līdzīgas doktorantūras programmas vienlaikus tiek piedāvātas vairākās augstskolās. Pārāk daudz līdzīga satura doktora studiju programmas ir drauds to pastāvēšanai ilgākā laika periodā un mazas valsts apstākļos tas noved pie tā, ka doktorantiem nav iespējas pietiekami bieži un pastāvīgi komunicēt ar spēcīgiem pasniedzējiem un sasvstarpēji. Vairākās augstskolās atsevišķās specialitātēs, kurās ir doktorantūra, nepastāv tā saucamā zinātniskā “kritiskā masa”, kas vajadzīga, lai sekmīgi sagatavotu jaunus zinātniekus. Šādās augstskolās ir neliels gadā sagatavojamo doktoru skaits šajās specialitātēs. Lai risinātu šo problēmu, viena no iespējām ir veicināt augstskolu sadarbību, apvienojot resursus kopīgu doktorantūras studiju programmu izstrādē un īstenošanā. Tādā veidā tiktu radītas un īstenotas spēcīgas doktorantūras studiju programmas, kurās studējošo skaits nodrošinātu nepieciešamo “kritisko masu”, tādā veidā paaugstinot studiju programmu kvalitāti un starptautisko konkurētspēju.</w:t>
            </w:r>
          </w:p>
          <w:p w14:paraId="099C4F85" w14:textId="77777777" w:rsidR="004D6952" w:rsidRPr="002A4D0D" w:rsidRDefault="00B1698D" w:rsidP="00F73F7E">
            <w:pPr>
              <w:tabs>
                <w:tab w:val="left" w:pos="567"/>
                <w:tab w:val="left" w:pos="2884"/>
              </w:tabs>
              <w:ind w:right="145" w:firstLine="516"/>
              <w:jc w:val="both"/>
            </w:pPr>
            <w:r w:rsidRPr="002A4D0D">
              <w:t>P</w:t>
            </w:r>
            <w:r w:rsidR="00F73F7E" w:rsidRPr="002A4D0D">
              <w:t xml:space="preserve">roblēma, kas rada draudus Latvijas augstākās izglītības starptautiskajai konkurētspējai, ir nepietiekošs kvalitatīvu studiju programmu ES valodās piedāvājums, kas neveicina ārvalstu studējošo interesi par studijām Latvijā. Ņemot vērā to, ka augstākās izglītības atvērtības starptautiskai sadarbībai un informācijas apmaiņai veicināšana, kā arī eksportspējas kāpināšana ir viens no prioritārajiem augstākās izglītības attīstības rīcības virzieniem, būtiski ir stimulēt jaunu, kvalitatīvu studiju programmu (visu līmeņu) ES valodās izstrādi un ieviešanu (tai skaitā kopīgo studiju programmu). Tas dotu iespēju piesaistīt ārvalstu studējošos, kas ir būtiski situācijā, kad studējošo skaits Latvijā arvien samazinās. </w:t>
            </w:r>
            <w:r w:rsidR="004D6952" w:rsidRPr="002A4D0D">
              <w:t xml:space="preserve">Ārvalstu studējošo piesaiste ļautu veidot starptautisku studiju vidi tepat Latvijā, padarot vietējās augstskolas pievilcīgākas arī vietējiem studentiem. </w:t>
            </w:r>
          </w:p>
          <w:p w14:paraId="242E4909" w14:textId="3A9E6FE0" w:rsidR="00F73F7E" w:rsidRPr="002A4D0D" w:rsidRDefault="00F73F7E" w:rsidP="00F73F7E">
            <w:pPr>
              <w:tabs>
                <w:tab w:val="left" w:pos="567"/>
                <w:tab w:val="left" w:pos="2884"/>
              </w:tabs>
              <w:ind w:right="145" w:firstLine="516"/>
              <w:jc w:val="both"/>
            </w:pPr>
            <w:r w:rsidRPr="002A4D0D">
              <w:t xml:space="preserve">Ņemot vērā to, ka 8.2.1. SAM mērķis ir samazināt studiju programmu fragmentāciju, </w:t>
            </w:r>
            <w:r w:rsidR="00E83F56">
              <w:t>finansējums</w:t>
            </w:r>
            <w:r w:rsidR="00E83F56" w:rsidRPr="002A4D0D">
              <w:t xml:space="preserve"> </w:t>
            </w:r>
            <w:r w:rsidRPr="002A4D0D">
              <w:t>kopīgo doktorantūras studiju programmu un studiju programmu ES valodās izstrādei paredzēts, ja šīs programmas tiks veidotas, apvienojot vai slēdzot esošās studiju programmas. Plānots, ka slēgto studiju programmu skaits, uz kuru bāzes veidotas Eiropas Sociālā fonda (turpmāk</w:t>
            </w:r>
            <w:r w:rsidR="00780384">
              <w:t xml:space="preserve"> </w:t>
            </w:r>
            <w:r w:rsidR="00780384" w:rsidRPr="00780384">
              <w:t>–</w:t>
            </w:r>
            <w:r w:rsidRPr="002A4D0D">
              <w:t xml:space="preserve"> ESF) </w:t>
            </w:r>
            <w:r w:rsidR="00E83F56">
              <w:t>finansē</w:t>
            </w:r>
            <w:r w:rsidR="00E83F56" w:rsidRPr="002A4D0D">
              <w:t xml:space="preserve">tās </w:t>
            </w:r>
            <w:r w:rsidRPr="002A4D0D">
              <w:t>jaunās programmas, ir 220.</w:t>
            </w:r>
          </w:p>
          <w:p w14:paraId="55B8B024" w14:textId="6F5AFF0E" w:rsidR="00666680" w:rsidRPr="002A4D0D" w:rsidRDefault="004C05E6" w:rsidP="000C4ACF">
            <w:pPr>
              <w:tabs>
                <w:tab w:val="left" w:pos="2884"/>
              </w:tabs>
              <w:ind w:firstLine="516"/>
              <w:jc w:val="both"/>
            </w:pPr>
            <w:r w:rsidRPr="002A4D0D">
              <w:t xml:space="preserve">Saskaņā ar Eiropas Savienības struktūrfondu un Kohēzijas fonda Ikgadējo izvērtēšanas plānu 2016. gadam tika veikts Latvijas Republikas Finanšu ministrijas (turpmāk </w:t>
            </w:r>
            <w:r w:rsidR="00371DB6">
              <w:t xml:space="preserve">– </w:t>
            </w:r>
            <w:r w:rsidRPr="002A4D0D">
              <w:t xml:space="preserve">FM) iepirkums “Eiropas Savienības struktūrfondu un Kohēzijas fonda 2014.– 2020. gada plānošanas perioda darbības programmas „Izaugsme un nodarbinātība” 8.2.1. specifiskā atbalsta mērķa “Samazināt studiju programmu </w:t>
            </w:r>
            <w:r w:rsidRPr="002A4D0D">
              <w:lastRenderedPageBreak/>
              <w:t>fragmentāciju un stiprināt resursu koplietošanu” paplašinātā sākotnējā novērtējuma izstrāde”, kura rezultātā SIA „Jaunrades laboratorija” izstrādāja 8.2.1. SAM paplašinātā sākotnējā novērtējuma ziņojumu</w:t>
            </w:r>
            <w:r w:rsidR="00731123" w:rsidRPr="002A4D0D">
              <w:t xml:space="preserve"> (turpmāk – </w:t>
            </w:r>
            <w:r w:rsidR="000C4ACF" w:rsidRPr="007D18FC">
              <w:rPr>
                <w:b/>
              </w:rPr>
              <w:t xml:space="preserve">8.2.1. SAM </w:t>
            </w:r>
            <w:r w:rsidR="00731123" w:rsidRPr="007D18FC">
              <w:rPr>
                <w:b/>
              </w:rPr>
              <w:t>sākotnējais novērtējums</w:t>
            </w:r>
            <w:r w:rsidR="00731123" w:rsidRPr="002A4D0D">
              <w:t>)</w:t>
            </w:r>
            <w:r w:rsidR="00955CE0" w:rsidRPr="002A4D0D">
              <w:rPr>
                <w:rStyle w:val="FootnoteReference"/>
              </w:rPr>
              <w:footnoteReference w:id="7"/>
            </w:r>
            <w:r w:rsidRPr="002A4D0D">
              <w:t>.</w:t>
            </w:r>
            <w:r w:rsidR="00103B93" w:rsidRPr="002A4D0D">
              <w:t xml:space="preserve"> </w:t>
            </w:r>
          </w:p>
          <w:p w14:paraId="33F097F2" w14:textId="4F72922E" w:rsidR="00666680" w:rsidRPr="002A4D0D" w:rsidRDefault="00666680" w:rsidP="000C4ACF">
            <w:pPr>
              <w:tabs>
                <w:tab w:val="left" w:pos="2884"/>
              </w:tabs>
              <w:ind w:firstLine="516"/>
              <w:jc w:val="both"/>
            </w:pPr>
            <w:r w:rsidRPr="002A4D0D">
              <w:t xml:space="preserve">Kā </w:t>
            </w:r>
            <w:r w:rsidR="00A334A9" w:rsidRPr="002A4D0D">
              <w:t xml:space="preserve">norādīts </w:t>
            </w:r>
            <w:r w:rsidRPr="002A4D0D">
              <w:t>8.2.1. SAM sākotnēj</w:t>
            </w:r>
            <w:r w:rsidR="00A334A9" w:rsidRPr="002A4D0D">
              <w:t>ā</w:t>
            </w:r>
            <w:r w:rsidRPr="002A4D0D">
              <w:t xml:space="preserve"> novērtējum</w:t>
            </w:r>
            <w:r w:rsidR="00A334A9" w:rsidRPr="002A4D0D">
              <w:t>ā, s</w:t>
            </w:r>
            <w:r w:rsidRPr="002A4D0D">
              <w:t xml:space="preserve">tudiju programmu piedāvājuma pārskatīšana un tā internacionalizācija, </w:t>
            </w:r>
            <w:r w:rsidRPr="002A4D0D">
              <w:rPr>
                <w:b/>
              </w:rPr>
              <w:t>resursus koncentrējot uz mazāku skaitu kvalitatīvāko studiju programmu</w:t>
            </w:r>
            <w:r w:rsidRPr="002A4D0D">
              <w:t>, un resursu koplietošanu starp vairākām augstskolām, veidojot zinātniskajā pētniecībā balstītas kopīgas doktorantūras studiju programmas, kalpos kā pamats augstākās izglītības kvalitātes un konkurētspējas uzlabošanai.</w:t>
            </w:r>
          </w:p>
          <w:p w14:paraId="30AA33C9" w14:textId="1533E7A9" w:rsidR="000C4ACF" w:rsidRPr="002A4D0D" w:rsidRDefault="000C4ACF" w:rsidP="000C4ACF">
            <w:pPr>
              <w:tabs>
                <w:tab w:val="left" w:pos="2884"/>
              </w:tabs>
              <w:ind w:firstLine="516"/>
              <w:jc w:val="both"/>
            </w:pPr>
            <w:r w:rsidRPr="002A4D0D">
              <w:t xml:space="preserve">8.2.1. SAM </w:t>
            </w:r>
            <w:r w:rsidR="00000661" w:rsidRPr="002A4D0D">
              <w:t xml:space="preserve">sākotnējā novērtējuma izstrādes gaitā </w:t>
            </w:r>
            <w:r w:rsidRPr="002A4D0D">
              <w:t xml:space="preserve">tika analizēta esošā situācija, </w:t>
            </w:r>
            <w:r w:rsidR="00000661" w:rsidRPr="002A4D0D">
              <w:t xml:space="preserve">augstākās izglītības institūcijām (turpmāk </w:t>
            </w:r>
            <w:r w:rsidR="00A20BF7">
              <w:t xml:space="preserve">arī </w:t>
            </w:r>
            <w:r w:rsidR="00000661" w:rsidRPr="002A4D0D">
              <w:t>– AII)</w:t>
            </w:r>
            <w:r w:rsidRPr="002A4D0D">
              <w:t xml:space="preserve"> īstenojot  studiju programmas ES valodās un doktorantūras studiju programmas, t.sk. kopīgas doktorantūras studiju programmas, pievēršot uzmanību gan studiju programmu piedāvājuma tendencēm, studējošo un akadēmisko personālu raksturojošiem rādītājiem, kā arī būtiskākajiem aspektiem, kas saistās ar šo studiju programmu turpmāko attīstību. </w:t>
            </w:r>
            <w:r w:rsidR="00A334A9" w:rsidRPr="002A4D0D">
              <w:t>8.2.1. SAM sākotnējā novērtējuma p</w:t>
            </w:r>
            <w:r w:rsidRPr="002A4D0D">
              <w:t>ārskata periods attiecas uz situāciju  2011.-2016.gadā</w:t>
            </w:r>
            <w:r w:rsidR="00B1698D" w:rsidRPr="002A4D0D">
              <w:t xml:space="preserve"> (turpmāk – pārskata periods)</w:t>
            </w:r>
            <w:r w:rsidRPr="002A4D0D">
              <w:t>.</w:t>
            </w:r>
          </w:p>
          <w:p w14:paraId="0C91827C" w14:textId="739A5843" w:rsidR="000C4ACF" w:rsidRPr="002A4D0D" w:rsidRDefault="000C4ACF" w:rsidP="000C4ACF">
            <w:pPr>
              <w:tabs>
                <w:tab w:val="left" w:pos="2884"/>
              </w:tabs>
              <w:ind w:firstLine="516"/>
              <w:jc w:val="both"/>
            </w:pPr>
            <w:r w:rsidRPr="002A4D0D">
              <w:t xml:space="preserve">Kopš 2011.gada studējošo skaits  Latvijas </w:t>
            </w:r>
            <w:r w:rsidR="00000661" w:rsidRPr="002A4D0D">
              <w:t>AII</w:t>
            </w:r>
            <w:r w:rsidRPr="002A4D0D">
              <w:t xml:space="preserve"> ir samazinājies par 14% (2011. gada 1. oktobrī bija 97 035 studējošie, 2016. gada 1. oktobrī 82 914), </w:t>
            </w:r>
            <w:r w:rsidR="00000661" w:rsidRPr="002A4D0D">
              <w:t>savukārt</w:t>
            </w:r>
            <w:r w:rsidRPr="002A4D0D">
              <w:t xml:space="preserve"> ārvalstu stud</w:t>
            </w:r>
            <w:r w:rsidR="00000661" w:rsidRPr="002A4D0D">
              <w:t>ējošo</w:t>
            </w:r>
            <w:r w:rsidRPr="002A4D0D">
              <w:t xml:space="preserve"> skaits, kas studē grāda vai kvalifikācijas iegūšanai, ir teju trīskāršojies (2011. gada 1. oktobrī 2202 studenti, 2016. gada 1. oktobrī 6314 studenti), </w:t>
            </w:r>
            <w:r w:rsidR="00000661" w:rsidRPr="002A4D0D">
              <w:t xml:space="preserve">bet apmaiņas studentu skaits  </w:t>
            </w:r>
            <w:r w:rsidRPr="002A4D0D">
              <w:t xml:space="preserve">ir pieaudzis </w:t>
            </w:r>
            <w:r w:rsidR="00000661" w:rsidRPr="002A4D0D">
              <w:t>trīs ar pusi reizes</w:t>
            </w:r>
            <w:r w:rsidRPr="002A4D0D">
              <w:t xml:space="preserve"> (2011. gada 1. oktobrī – 515, 2016. gada 1. oktobrī – 1823). Pārskata periodā ar mērķtiecīgām augstskolu aktivitātēm būtiski audzēts studējošo skaits no Uzbekistānas, Vācijas un Indijas (studējošie no šīm valstīm veido 37% no visiem ārvalstu studējošajiem 2016. gada 1. oktobrī).</w:t>
            </w:r>
          </w:p>
          <w:p w14:paraId="59A11082" w14:textId="2963FE67" w:rsidR="004C05E6" w:rsidRPr="002A4D0D" w:rsidRDefault="00B1698D" w:rsidP="000C4ACF">
            <w:pPr>
              <w:tabs>
                <w:tab w:val="left" w:pos="2884"/>
              </w:tabs>
              <w:ind w:firstLine="516"/>
              <w:jc w:val="both"/>
            </w:pPr>
            <w:r w:rsidRPr="002A4D0D">
              <w:t>P</w:t>
            </w:r>
            <w:r w:rsidR="000C4ACF" w:rsidRPr="002A4D0D">
              <w:t>ārskata periodā vietējo studentu skaits ir strauji sarucis (par 20% sešu gadu laikā) un ārvalstu studējošo piesaiste lielākajām augstskolām ļauj daļēji kompensēt vietējo studentu skaita samazinājumu.</w:t>
            </w:r>
            <w:r w:rsidR="00643668" w:rsidRPr="002A4D0D">
              <w:t xml:space="preserve"> </w:t>
            </w:r>
            <w:r w:rsidR="000C4ACF" w:rsidRPr="002A4D0D">
              <w:t>No studiju programmu piedāvājuma puses – pēdējo sešu gadu laikā – studiju programmu skaits ir samazinājies relatīvi nedaudz (tikai par 2%), kas liecina par nepieciešamību pārskatīt gan programmu piedāvājumu, gan studiju programmu īstenošanai nepieciešamos resursus kontekstā ar studējošo skaitu.</w:t>
            </w:r>
          </w:p>
          <w:p w14:paraId="114948EA" w14:textId="40B7937E" w:rsidR="00BC49A3" w:rsidRPr="002A4D0D" w:rsidRDefault="00BC49A3" w:rsidP="000C4ACF">
            <w:pPr>
              <w:tabs>
                <w:tab w:val="left" w:pos="2884"/>
              </w:tabs>
              <w:ind w:firstLine="516"/>
              <w:jc w:val="both"/>
            </w:pPr>
            <w:r w:rsidRPr="002A4D0D">
              <w:t xml:space="preserve">Pozitīvi vērtējams tas, ka pēdējo gadu laikā pieaudzis akadēmiskā personāla pamatdarbā ar zinātnisko grādu skaits un ārvalstu viesprofesoru, viesdocentu un vieslektoru skaits, kas būtiski ietekmē studiju procesa kvalitāti pozitīvā virzienā. Vairākās augstskolās grūtības vēl arvien sagādā vietējo mācībspēku svešvalodu prasmes, kā arī kā neizmantots resurss ir Latvijas valsts piederīgo, kas studējuši ārvalstīs, kā mācībspēku piesaiste. Internacionalizācijas tempu un kvalitātes </w:t>
            </w:r>
            <w:r w:rsidRPr="002A4D0D">
              <w:lastRenderedPageBreak/>
              <w:t>kāpināšanai ir nepieciešams augstskolās nodrošināt vietējo mācībspēku profesionālās darbības izvērtēšanu, mērķtiecīgu pilnveidi un motivējošu apmaksas sistēmu, kā  arī mērķtiecīgi plānot mācībspēku mobilitātes pasākumus.</w:t>
            </w:r>
          </w:p>
          <w:p w14:paraId="2EE8E04A" w14:textId="3926EE14" w:rsidR="00BC49A3" w:rsidRPr="002A4D0D" w:rsidRDefault="00B1698D" w:rsidP="000C4ACF">
            <w:pPr>
              <w:tabs>
                <w:tab w:val="left" w:pos="2884"/>
              </w:tabs>
              <w:ind w:firstLine="516"/>
              <w:jc w:val="both"/>
            </w:pPr>
            <w:r w:rsidRPr="002A4D0D">
              <w:t>Pārskata periodā</w:t>
            </w:r>
            <w:r w:rsidR="00BC49A3" w:rsidRPr="002A4D0D">
              <w:t xml:space="preserve"> studiju programmu piedāvājums ES valodās ir audzis par 6% un teju katra piektā programma valsts augstskolās un katra otrā studiju programma juridisko personu dibinātajās augstskolās tiek piedāvāta ES valodās.</w:t>
            </w:r>
            <w:r w:rsidR="00321787" w:rsidRPr="002A4D0D">
              <w:t xml:space="preserve"> Palielinot ārvalstu studējošo skaitu, augstskolās kļūst aktuālāki jautājumi ne tikai par studiju procesa nodrošināšanu, bet arī par sociālā atbalsta un integrācijas pakalpojumiem gan studējošajiem, gan ārvalstu mācībspēkiem. Augstskolām jārēķinās, ka nepieciešams izveidot šo pakalpojumu klāstu vēl pirms ārvalstu studentu piesaistes – gan pilnveidojot informatīvos resursus (piemēram, mājaslapu angļu valodā), gan kopīgi ar partneriem sagatavojot piedāvājumu drošiem un mūsdienīgiem izmitināšanas risinājumiem, veselības apdrošināšanas piedāvājumiem, integrējošām aktivitātēm, u.c. Izvērtējot ārvalstu studējošo skaitu augstskolās un konkrētās studiju programmās, tiek secināts, ka priekšnoteikumi internacionālas vides izveidei ir vien dažās augstskolās (2016. gada 1. oktobrī vairāk kā 100 ārvalstu studenti, kas studē grāda vai kvalifikācijas iegūšanai, bija tikai 3 valsts augstskolās – Rīgas Stradiņa universitātē, Rīgas Tehniskajā universitātē un Latvijas Universitātē, kā arī 6 juridisko personu dibinātajās augstskolās – Biznesa augstskolā “Turība”, Transporta un sakaru institūtā, Baltijas Starptautiskajā akadēmijā, Informācijas sistēmu menedžmenta augstskolā, Biznesa, mākslas un tehnoloģiju augstskolā "RISEBA", Rīgas Ekonomikas augstskolā).</w:t>
            </w:r>
          </w:p>
          <w:p w14:paraId="4343DE8D" w14:textId="4B9FFEE7" w:rsidR="00515B59" w:rsidRPr="002A4D0D" w:rsidRDefault="0093159B" w:rsidP="00C1187A">
            <w:pPr>
              <w:tabs>
                <w:tab w:val="left" w:pos="2884"/>
              </w:tabs>
              <w:ind w:firstLine="516"/>
              <w:jc w:val="both"/>
            </w:pPr>
            <w:r w:rsidRPr="002A4D0D">
              <w:t xml:space="preserve">Izvērtējot situāciju attiecībā uz doktorantūras studiju programmām, </w:t>
            </w:r>
            <w:r w:rsidR="00643668" w:rsidRPr="002A4D0D">
              <w:t>8.2.1. SAM sākotnējā novērtējumā</w:t>
            </w:r>
            <w:r w:rsidRPr="002A4D0D">
              <w:t xml:space="preserve"> </w:t>
            </w:r>
            <w:r w:rsidR="00DC0FF9" w:rsidRPr="002A4D0D">
              <w:t>norādīts</w:t>
            </w:r>
            <w:r w:rsidR="00643668" w:rsidRPr="002A4D0D">
              <w:t>,</w:t>
            </w:r>
            <w:r w:rsidRPr="002A4D0D">
              <w:t xml:space="preserve"> ka 2015. gadā Latvijā tika piedāvātas 99 </w:t>
            </w:r>
            <w:r w:rsidR="00515B59" w:rsidRPr="002A4D0D">
              <w:t xml:space="preserve">pilna laika </w:t>
            </w:r>
            <w:r w:rsidRPr="002A4D0D">
              <w:t xml:space="preserve">doktorantūras studiju programmas (90  valsts augstskolās un 9 juridisko personu dibinātajās augstskolās).  Lielāko doktorantūras studiju programmu piedāvājumu nodrošina </w:t>
            </w:r>
            <w:r w:rsidR="00515B59" w:rsidRPr="002A4D0D">
              <w:t xml:space="preserve">Latvijas Universitāte (24 programmas), Rīgas Tehniskā universitāte (21 programma) </w:t>
            </w:r>
            <w:r w:rsidRPr="002A4D0D">
              <w:t>un L</w:t>
            </w:r>
            <w:r w:rsidR="00515B59" w:rsidRPr="002A4D0D">
              <w:t>atvijas Lauksaimniecības universitāte (13 programmas)</w:t>
            </w:r>
            <w:r w:rsidRPr="002A4D0D">
              <w:t xml:space="preserve">, kas kopā sniedz teju 60% no kopējā doktorantūras studiju programmu piedāvājuma valstī. </w:t>
            </w:r>
            <w:r w:rsidR="00515B59" w:rsidRPr="002A4D0D">
              <w:t>Doktorantūras studiju programmas</w:t>
            </w:r>
            <w:r w:rsidRPr="002A4D0D">
              <w:t xml:space="preserve"> tiek piedāvātas 21 </w:t>
            </w:r>
            <w:r w:rsidR="00515B59" w:rsidRPr="002A4D0D">
              <w:t>augstskolā</w:t>
            </w:r>
            <w:r w:rsidRPr="002A4D0D">
              <w:t xml:space="preserve"> (valsts augstskolās – 15 un juridisko personu dibinātajā</w:t>
            </w:r>
            <w:r w:rsidR="00BD6245">
              <w:t>s</w:t>
            </w:r>
            <w:r w:rsidRPr="002A4D0D">
              <w:t xml:space="preserve"> </w:t>
            </w:r>
            <w:r w:rsidR="00BD6245">
              <w:t>augstskolās</w:t>
            </w:r>
            <w:r w:rsidR="00BD6245" w:rsidRPr="002A4D0D">
              <w:t xml:space="preserve"> </w:t>
            </w:r>
            <w:r w:rsidRPr="002A4D0D">
              <w:t>– 6).</w:t>
            </w:r>
            <w:r w:rsidR="00515B59" w:rsidRPr="002A4D0D">
              <w:t xml:space="preserve"> Izvērtējot doktorantūras studiju programmu pārklāšanos, analīzes gaitā konstatētas 17 </w:t>
            </w:r>
            <w:r w:rsidR="00380382" w:rsidRPr="002A4D0D">
              <w:t xml:space="preserve">doktorantūras studiju programmu </w:t>
            </w:r>
            <w:r w:rsidR="00515B59" w:rsidRPr="002A4D0D">
              <w:t xml:space="preserve">grupas ar identiskiem vai līdzīgiem nosaukumiem un piederību vienai tematiskajai grupai. Gandrīz piektdaļa no valstī esošajām </w:t>
            </w:r>
            <w:r w:rsidR="00380382" w:rsidRPr="002A4D0D">
              <w:t>doktorantūras studiju programmām</w:t>
            </w:r>
            <w:r w:rsidR="00515B59" w:rsidRPr="002A4D0D">
              <w:t xml:space="preserve"> ir līdzīgas vai identiskas nosaukumu un tematiskās grupas līmenī. </w:t>
            </w:r>
            <w:r w:rsidR="00495B7A" w:rsidRPr="002A4D0D">
              <w:t xml:space="preserve">Lielākais pēc nomināliem kritērijiem līdzīgo </w:t>
            </w:r>
            <w:r w:rsidR="00380382" w:rsidRPr="002A4D0D">
              <w:t>doktorantūras studiju programmu</w:t>
            </w:r>
            <w:r w:rsidR="00495B7A" w:rsidRPr="002A4D0D">
              <w:t xml:space="preserve"> skaits ir identificēts </w:t>
            </w:r>
            <w:r w:rsidR="008524DF" w:rsidRPr="002A4D0D">
              <w:t xml:space="preserve">izglītības tematiskajās </w:t>
            </w:r>
            <w:r w:rsidR="00495B7A" w:rsidRPr="002A4D0D">
              <w:t>jomās Datorika,</w:t>
            </w:r>
            <w:r w:rsidR="00B11A62">
              <w:t xml:space="preserve"> </w:t>
            </w:r>
            <w:r w:rsidR="00495B7A" w:rsidRPr="002A4D0D">
              <w:t xml:space="preserve">Komerczinības un administrēšana, Tiesību zinātne, Pedagogu izglītība un izglītības zinātnes. </w:t>
            </w:r>
            <w:r w:rsidR="00515B59" w:rsidRPr="002A4D0D">
              <w:t xml:space="preserve">Kaut gan analīze neatspoguļo </w:t>
            </w:r>
            <w:r w:rsidR="00380382" w:rsidRPr="002A4D0D">
              <w:t>doktorantūras studiju programmu</w:t>
            </w:r>
            <w:r w:rsidR="00515B59" w:rsidRPr="002A4D0D">
              <w:t xml:space="preserve"> satura pārklāšanos, tematisko grupu pārklāšanās </w:t>
            </w:r>
            <w:r w:rsidR="00515B59" w:rsidRPr="002A4D0D">
              <w:lastRenderedPageBreak/>
              <w:t xml:space="preserve">sniedz konceptuālu pamatu izvērtēt uzskaitītā </w:t>
            </w:r>
            <w:r w:rsidR="00380382" w:rsidRPr="002A4D0D">
              <w:t>doktorantūras studiju programmu</w:t>
            </w:r>
            <w:r w:rsidR="00515B59" w:rsidRPr="002A4D0D">
              <w:t xml:space="preserve"> piedāvājuma unikalitāti arī padziļināti. </w:t>
            </w:r>
            <w:r w:rsidRPr="002A4D0D">
              <w:t xml:space="preserve"> </w:t>
            </w:r>
          </w:p>
          <w:p w14:paraId="62A20709" w14:textId="44A49737" w:rsidR="00643668" w:rsidRPr="002A4D0D" w:rsidRDefault="00643668" w:rsidP="00F72E15">
            <w:pPr>
              <w:tabs>
                <w:tab w:val="left" w:pos="2884"/>
              </w:tabs>
              <w:ind w:firstLine="516"/>
              <w:jc w:val="both"/>
            </w:pPr>
            <w:r w:rsidRPr="002A4D0D">
              <w:t xml:space="preserve"> Latvijas augstskolās tiek īstenots neliels skaits kopīgo doktorantūras studiju programmu (</w:t>
            </w:r>
            <w:r w:rsidR="00DC061B" w:rsidRPr="002A4D0D">
              <w:t>5</w:t>
            </w:r>
            <w:r w:rsidRPr="002A4D0D">
              <w:t xml:space="preserve"> studiju programmas</w:t>
            </w:r>
            <w:r w:rsidR="008524DF" w:rsidRPr="002A4D0D">
              <w:t>)</w:t>
            </w:r>
            <w:r w:rsidRPr="002A4D0D">
              <w:t>. Tas izskaidrojams ar to, ka kopīgas doktorantūras studiju programmas izveides un īstenošanas gaitā augstskolas sastopas ar vairākiem būtiskiem šķēršļiem un apgrūtinājumiem.</w:t>
            </w:r>
            <w:r w:rsidR="009B28CE" w:rsidRPr="002A4D0D">
              <w:t xml:space="preserve"> </w:t>
            </w:r>
            <w:r w:rsidRPr="002A4D0D">
              <w:t>Potenciālajiem partneriem jāspēj vienoties par visu studijas programmu aspektu integrēšanu un to niansēm, paredzot kopīgus uzņemšanas nosacījumus, kvalitātes nodrošinājuma sistēmu, programmas satura principus, kursu savietojamību, mobilitātes apjomu, norēķinu kārtību, mācībspēku apmaksu, promocijas īstenošanas pieeju un ar diplomu piešķiršanu saistītajiem jautājumiem.</w:t>
            </w:r>
            <w:r w:rsidR="009B28CE" w:rsidRPr="002A4D0D">
              <w:t xml:space="preserve"> Kopīgās doktorantūras studiju programmas licencēšanas un akreditēšanas process ir administratīvi smagnējs un var būt ilgstošs. Ņemot vērā šos apgrūtinājumus, augstskolas dod priekšroku alternatīvām kopīguma formām – resursu koplietošanai, kopīgām vasaras skolām, doktorantūras skolām, mācībspēku mobilitātei, kopīgām konferencēm nevis Augstskolu likumā noteiktajiem nosacījumiem kopīgu doktorantūras programmu īstenošanai.  </w:t>
            </w:r>
          </w:p>
          <w:p w14:paraId="3EF0C411" w14:textId="6B36AA48" w:rsidR="00A46890" w:rsidRPr="00A46890" w:rsidRDefault="00036ADC" w:rsidP="007D18FC">
            <w:pPr>
              <w:tabs>
                <w:tab w:val="left" w:pos="2884"/>
              </w:tabs>
              <w:ind w:firstLine="516"/>
              <w:jc w:val="both"/>
            </w:pPr>
            <w:r>
              <w:t xml:space="preserve">Vienlaikus </w:t>
            </w:r>
            <w:r w:rsidR="00BC3037">
              <w:t>a</w:t>
            </w:r>
            <w:r w:rsidR="00A46890" w:rsidRPr="00A46890">
              <w:t>ktualitāt</w:t>
            </w:r>
            <w:r w:rsidR="00A46890">
              <w:t>es</w:t>
            </w:r>
            <w:r w:rsidR="00A46890" w:rsidRPr="00A46890">
              <w:t xml:space="preserve"> izglītības politikas jomā paredz mērķtiecīgus pasākumus konceptuāli jaunas kompetencēs balstītas izglītības prasībām atbilstošas </w:t>
            </w:r>
            <w:r w:rsidR="00A46890" w:rsidRPr="007D18FC">
              <w:rPr>
                <w:b/>
              </w:rPr>
              <w:t>skolotāju izglītības</w:t>
            </w:r>
            <w:r w:rsidR="00A46890" w:rsidRPr="00A46890">
              <w:t xml:space="preserve"> nodrošināšanai Latvijā</w:t>
            </w:r>
            <w:r w:rsidR="00BC3037">
              <w:t>.</w:t>
            </w:r>
            <w:r w:rsidR="0039499E">
              <w:t xml:space="preserve"> </w:t>
            </w:r>
            <w:r w:rsidR="00BC3037">
              <w:t>L</w:t>
            </w:r>
            <w:r w:rsidR="00A46890" w:rsidRPr="00A46890">
              <w:t xml:space="preserve">ai nodrošinātu Latvijas izglītības kvalitātes paaugstināšanos visās izglītības pakāpēs (t.i. pamatizglītībā, vidējā izglītībā un augstākajā izglītībā) un visos izglītības veidos (vispārējā izglītībā, profesionālajā izglītībā un akadēmiskajā izglītībā), nepieciešama pāreja uz kompetencēs balstītu vispārējo izglītību, ko </w:t>
            </w:r>
            <w:r w:rsidR="00BC3037">
              <w:t xml:space="preserve">Izglītības un zinātnes ministrija (turpmāk – </w:t>
            </w:r>
            <w:r w:rsidR="00A46890" w:rsidRPr="00A46890">
              <w:t>IZM</w:t>
            </w:r>
            <w:r w:rsidR="00BC3037">
              <w:t>)</w:t>
            </w:r>
            <w:r w:rsidR="00A46890" w:rsidRPr="00A46890">
              <w:t xml:space="preserve"> saskaņā ar Izglītības attīstības pamatnostādnēm  2014.-2020.gadam pašreiz ievieš Latvijas </w:t>
            </w:r>
            <w:r w:rsidR="00BC7F8B">
              <w:t>izglītības</w:t>
            </w:r>
            <w:r w:rsidR="00BC7F8B" w:rsidRPr="00A46890">
              <w:t xml:space="preserve"> </w:t>
            </w:r>
            <w:r w:rsidR="00A46890" w:rsidRPr="00A46890">
              <w:t xml:space="preserve">iestādēs. Kompetencēs balstīta izglītība ir vērsta uz cilvēka rīcībspējai nepieciešamo pamatkompetenču un caurviju kompetenču attīstību. Kompetencēs balstītas izglītības priekšnoteikums ir pedagogu sagatavošana konceptuāli jaunā kvalitātē. </w:t>
            </w:r>
          </w:p>
          <w:p w14:paraId="5653A975" w14:textId="50A0E6FB" w:rsidR="00B31411" w:rsidRDefault="00A46890" w:rsidP="007D18FC">
            <w:pPr>
              <w:ind w:firstLine="516"/>
              <w:jc w:val="both"/>
            </w:pPr>
            <w:r w:rsidRPr="00A46890">
              <w:t>Ievērojot iepriekš minēto un lai nodrošinātu pedagogu sagatavošanai nepieciešamo resursu mobilizāciju un koncentrāciju, studiju programmu sadrumstalotības un dublēšanās mazināšanos, kā arī finansējuma efektīvu izmantošanu, Ministru kabinets 2017. gada 28. martā pieņēma lēmumu, ka ar 2017. gada 1. oktobri tiek likvidēta Rīgas Pedagoģijas un izglītības vadības akadēmija, to pievienojot Latvijas Universitātei. Pamatojoties uz Ministru kabineta 2017. gada 28. marta sēdes protokollēmuma “Rīkojuma projekts “Par Rīgas Pedagoģijas un izglītības vadības akadēmijas likvidāciju, pievienojot Latvijas Universitātei”” (prot. Nr. 16 52. §) 3.punktu</w:t>
            </w:r>
            <w:r w:rsidRPr="00A46890">
              <w:rPr>
                <w:rStyle w:val="FootnoteReference"/>
              </w:rPr>
              <w:footnoteReference w:id="8"/>
            </w:r>
            <w:r w:rsidRPr="00A46890">
              <w:t xml:space="preserve">, IZM ir izveidojusi </w:t>
            </w:r>
            <w:r w:rsidRPr="007D18FC">
              <w:rPr>
                <w:b/>
              </w:rPr>
              <w:t>darba grupu</w:t>
            </w:r>
            <w:r w:rsidRPr="00A46890">
              <w:t xml:space="preserve"> (turpmāk – darba grupa), kurai līdz 2017. gada 31. oktobrim ir </w:t>
            </w:r>
            <w:r w:rsidRPr="00A46890">
              <w:lastRenderedPageBreak/>
              <w:t xml:space="preserve">jāsagatavo priekšlikumi konceptuāli jaunas kompetencēs balstītas izglītības prasībām atbilstošas skolotāju izglītības nodrošināšanai Latvijā, tajā skaitā paredzot Nozares ekspertu padomes vai nozares profesionālās organizācijas izveidi, jauna skolotāja profesijas standarta izstrādi un sistēmu, kas nodrošina kvalitatīvas un modernas izglītības un akadēmisko resursu pieejamību visās augstskolās, kas sagatavo skolotājus. </w:t>
            </w:r>
            <w:r w:rsidR="00B31411">
              <w:t xml:space="preserve">Darba grupas priekšlikumi tiek ņemti vērā arī izstrādājot 8.2.1. SAM īstenošanas nosacījumus. 8.2.1.SAM īstenošanas konceptuālie jautājumi attiecībā uz pedagogu izglītības modernizāciju prezentēti darba grupai š.g. 6.septembrī un 13.septembrī publiskajās diskusijās </w:t>
            </w:r>
            <w:r w:rsidR="00B31411" w:rsidRPr="007D18FC">
              <w:t>“Skolotāju izglītības modernizācija Viedās specializācijas stratēģijas īstenošanai”</w:t>
            </w:r>
            <w:r w:rsidR="00B31411">
              <w:t>.</w:t>
            </w:r>
            <w:r w:rsidR="00B31411" w:rsidRPr="00B31411">
              <w:rPr>
                <w:rFonts w:ascii="Cambria" w:eastAsiaTheme="minorHAnsi" w:hAnsi="Cambria" w:cs="Cambria"/>
                <w:color w:val="000000"/>
                <w:lang w:eastAsia="en-US"/>
              </w:rPr>
              <w:t xml:space="preserve"> </w:t>
            </w:r>
          </w:p>
          <w:p w14:paraId="73496EA7" w14:textId="77777777" w:rsidR="00A46890" w:rsidRPr="00A46890" w:rsidRDefault="00A46890" w:rsidP="007D18FC">
            <w:pPr>
              <w:ind w:firstLine="516"/>
              <w:jc w:val="both"/>
            </w:pPr>
            <w:r w:rsidRPr="00A46890">
              <w:t>Lai mobilizētu resursus izglītības studiju jomas modernizācijai un vienlaikus stimulētu policentrisku Latvijas attīstību, IZM turpinās izglītības studiju resursu koncentrēšanu AII, kas sagatavo skolotājus. Tādējādi integrējot skolotāju izglītību gan ar sociālo un humanitāro, gan ar eksakto zinātņu nozaru studijām un pētniecību, gan arī palielinot izglītības studiju finansējumu. Rezultātā tiks izstrādāts mazāks skaits kvalitatīvāku un konkurētspējīgāku pedagogu studiju programmu, un studējošajiem tiks nodrošināts kvalitatīvāks studiju saturs, piekļuve visu akadēmisko jomu resursiem, mecenātu līdzekļiem, ES struktūrfondu programmu ietvaros modernizētajai infrastruktūrai, kā arī nodrošinātas starptautiskās sadarbības iespējas.</w:t>
            </w:r>
          </w:p>
          <w:p w14:paraId="6326F081" w14:textId="3888D0A6" w:rsidR="00A46890" w:rsidRPr="00A46890" w:rsidRDefault="00A46890" w:rsidP="007D18FC">
            <w:pPr>
              <w:ind w:firstLine="516"/>
              <w:jc w:val="both"/>
            </w:pPr>
            <w:r w:rsidRPr="00A46890">
              <w:t>Ministru kabineta rīkojuma projekta “Par Rīgas Pedagoģijas un izglītības vadības akadēmijas likvidāciju, pievienojot Latvijas Universitātei” sākotnējās ietekmes novērtējuma ziņojumā (anotācijā)</w:t>
            </w:r>
            <w:r w:rsidRPr="00A46890">
              <w:rPr>
                <w:rStyle w:val="FootnoteReference"/>
              </w:rPr>
              <w:footnoteReference w:id="9"/>
            </w:r>
            <w:r w:rsidRPr="00A46890">
              <w:t xml:space="preserve"> ir noteikts, ka studiju programmu konsolidācijai un tālākai attīstībai, kā arī pārvaldībai un personāla attīstībai tiks paredzēti līdzekļi  8.2.1. </w:t>
            </w:r>
            <w:r w:rsidR="00BC3037" w:rsidRPr="00A46890">
              <w:t xml:space="preserve">SAM </w:t>
            </w:r>
            <w:r w:rsidRPr="00A46890">
              <w:t xml:space="preserve">“Samazināt studiju programmu fragmentāciju un stiprināt resursu koplietošanu”,  8.2.2. </w:t>
            </w:r>
            <w:r w:rsidR="00BC3037" w:rsidRPr="00A46890">
              <w:t xml:space="preserve">SAM </w:t>
            </w:r>
            <w:r w:rsidRPr="00A46890">
              <w:t xml:space="preserve">“Stiprināt augstākās izglītības iestāžu akadēmisko personālu stratēģiskās specializācijas jomās”,    8.2.3. </w:t>
            </w:r>
            <w:r w:rsidR="00BC3037" w:rsidRPr="00A46890">
              <w:t xml:space="preserve">SAM </w:t>
            </w:r>
            <w:r w:rsidRPr="00A46890">
              <w:t>“Nodrošināt labāku pārvaldību augstākās izglītības iestādēs”  ietvaros.</w:t>
            </w:r>
          </w:p>
          <w:p w14:paraId="621A1D5D" w14:textId="2E0171A4" w:rsidR="00DF26A7" w:rsidRDefault="00B11A62" w:rsidP="007D18FC">
            <w:pPr>
              <w:tabs>
                <w:tab w:val="left" w:pos="33"/>
              </w:tabs>
              <w:spacing w:before="60" w:after="60"/>
              <w:ind w:firstLine="516"/>
              <w:jc w:val="both"/>
            </w:pPr>
            <w:r w:rsidRPr="0039764E">
              <w:t>Ņemot vērā</w:t>
            </w:r>
            <w:r>
              <w:t xml:space="preserve"> iepriekš minēto, </w:t>
            </w:r>
            <w:r w:rsidR="00BC3037">
              <w:t>IZM</w:t>
            </w:r>
            <w:r w:rsidR="00900135">
              <w:t xml:space="preserve"> ir ierosinājusi </w:t>
            </w:r>
            <w:r w:rsidR="00900135" w:rsidRPr="00D3763D">
              <w:rPr>
                <w:b/>
              </w:rPr>
              <w:t>grozījumus darbības programmā „Izaugsme un nodarbinātība”</w:t>
            </w:r>
            <w:r w:rsidR="00900135">
              <w:t xml:space="preserve">, paredzot </w:t>
            </w:r>
            <w:r w:rsidRPr="0039764E">
              <w:t xml:space="preserve">8.2.1.SAM ietvaros </w:t>
            </w:r>
            <w:r w:rsidR="00900135">
              <w:t xml:space="preserve">arī </w:t>
            </w:r>
            <w:r w:rsidRPr="0039764E">
              <w:t>atbalstām</w:t>
            </w:r>
            <w:r w:rsidR="00900135">
              <w:t>o</w:t>
            </w:r>
            <w:r w:rsidRPr="0039764E">
              <w:t xml:space="preserve"> darbīb</w:t>
            </w:r>
            <w:r w:rsidR="00900135">
              <w:t>u</w:t>
            </w:r>
            <w:r w:rsidRPr="0039764E">
              <w:t xml:space="preserve"> – ped</w:t>
            </w:r>
            <w:r>
              <w:t>agogu studiju programmu izstrāde</w:t>
            </w:r>
            <w:r w:rsidRPr="0039764E">
              <w:t>, aprobācij</w:t>
            </w:r>
            <w:r>
              <w:t>a</w:t>
            </w:r>
            <w:r w:rsidRPr="0039764E">
              <w:t xml:space="preserve"> un akreditācij</w:t>
            </w:r>
            <w:r>
              <w:t>a</w:t>
            </w:r>
            <w:r w:rsidR="00900135">
              <w:t>, kā arī plānojot jaunu iznākuma rādītāju (</w:t>
            </w:r>
            <w:r w:rsidR="00900135" w:rsidRPr="007D18FC">
              <w:t>jaun</w:t>
            </w:r>
            <w:r w:rsidR="009661B9">
              <w:t>o</w:t>
            </w:r>
            <w:r w:rsidR="00900135" w:rsidRPr="007D18FC">
              <w:t xml:space="preserve"> pedagogu studiju programm</w:t>
            </w:r>
            <w:r w:rsidR="009661B9">
              <w:t>u skaits</w:t>
            </w:r>
            <w:r w:rsidR="00900135" w:rsidRPr="007D18FC">
              <w:t xml:space="preserve">, </w:t>
            </w:r>
            <w:r w:rsidR="009661B9" w:rsidRPr="009661B9">
              <w:t xml:space="preserve">kuru izstrādei un ieviešanai piešķirts ESF </w:t>
            </w:r>
            <w:r w:rsidR="0097057D">
              <w:t>atbalsts</w:t>
            </w:r>
            <w:r w:rsidR="00900135" w:rsidRPr="007D18FC">
              <w:t>)</w:t>
            </w:r>
            <w:r w:rsidR="00900135">
              <w:t xml:space="preserve"> un rezultāta rādītāju (</w:t>
            </w:r>
            <w:r w:rsidR="00900135" w:rsidRPr="007D18FC">
              <w:t>atbalstīt</w:t>
            </w:r>
            <w:r w:rsidR="009661B9">
              <w:t>o</w:t>
            </w:r>
            <w:r w:rsidR="00900135" w:rsidRPr="007D18FC">
              <w:t xml:space="preserve"> jauno pedagogu studiju programm</w:t>
            </w:r>
            <w:r w:rsidR="009661B9">
              <w:t>u skaits</w:t>
            </w:r>
            <w:r w:rsidR="00900135" w:rsidRPr="007D18FC">
              <w:t>, kas saņēmušas EQAR aģentūras akreditāciju</w:t>
            </w:r>
            <w:r w:rsidR="00900135">
              <w:t>)</w:t>
            </w:r>
            <w:r w:rsidR="00BD6245">
              <w:t>, vienlaikus samazinot iznākuma un rezultāta rādītāju vērtības, kas attiecas uz studiju programmu izstrādi ES valodās.</w:t>
            </w:r>
            <w:r w:rsidR="00900135" w:rsidRPr="007D18FC">
              <w:t xml:space="preserve">  </w:t>
            </w:r>
            <w:r w:rsidR="00BD6245">
              <w:t>Ierosināti</w:t>
            </w:r>
            <w:r w:rsidR="009661B9">
              <w:t>e</w:t>
            </w:r>
            <w:r w:rsidR="00BD6245">
              <w:t xml:space="preserve"> grozījumi darbības programmā „Izaugsme un nodarbinātība” atbilst 8.2.1.SAM mērķim</w:t>
            </w:r>
            <w:r w:rsidR="00DF26A7" w:rsidRPr="000A6751">
              <w:rPr>
                <w:sz w:val="20"/>
                <w:szCs w:val="20"/>
              </w:rPr>
              <w:t xml:space="preserve"> </w:t>
            </w:r>
            <w:r w:rsidR="00DF26A7">
              <w:t>–</w:t>
            </w:r>
            <w:r w:rsidR="00DF26A7" w:rsidRPr="007D18FC">
              <w:t xml:space="preserve"> samazināt</w:t>
            </w:r>
            <w:r w:rsidR="00DF26A7">
              <w:t xml:space="preserve"> </w:t>
            </w:r>
            <w:r w:rsidR="00DF26A7" w:rsidRPr="007D18FC">
              <w:t>studiju programmu fragmentāciju un stiprināt resursu koplietošanu</w:t>
            </w:r>
            <w:r w:rsidR="00BD6245">
              <w:t>, ņemot vērā, ka studiju virzienā „</w:t>
            </w:r>
            <w:r w:rsidR="00DF26A7">
              <w:t>Izglītība, pedagoģija un sports</w:t>
            </w:r>
            <w:r w:rsidR="00BD6245">
              <w:t>”</w:t>
            </w:r>
            <w:r w:rsidR="00DF26A7">
              <w:t xml:space="preserve"> </w:t>
            </w:r>
            <w:r w:rsidR="00DF26A7" w:rsidRPr="007D18FC">
              <w:t xml:space="preserve">tiks nodrošināta </w:t>
            </w:r>
            <w:r w:rsidR="00DF26A7" w:rsidRPr="007D18FC">
              <w:lastRenderedPageBreak/>
              <w:t>studiju programmu skaita samazināšan</w:t>
            </w:r>
            <w:r w:rsidR="009661B9">
              <w:t>a</w:t>
            </w:r>
            <w:r w:rsidR="00DF26A7" w:rsidRPr="007D18FC">
              <w:t>, kas ir viens no būtiskākajiem 8.2.1. SAM rezultāta rādītājiem.</w:t>
            </w:r>
          </w:p>
          <w:p w14:paraId="3A6AABFE" w14:textId="2B2F780E" w:rsidR="0039499E" w:rsidRDefault="0039499E" w:rsidP="0039499E">
            <w:pPr>
              <w:ind w:firstLine="516"/>
              <w:jc w:val="both"/>
            </w:pPr>
            <w:r w:rsidRPr="002A4D0D">
              <w:t xml:space="preserve"> </w:t>
            </w:r>
            <w:r w:rsidR="00036ADC">
              <w:t xml:space="preserve">Līdz ar to </w:t>
            </w:r>
            <w:r>
              <w:t xml:space="preserve">8.2.1. SAM </w:t>
            </w:r>
            <w:r w:rsidR="00DF26A7">
              <w:t xml:space="preserve">ietvaros </w:t>
            </w:r>
            <w:r>
              <w:t>paredz</w:t>
            </w:r>
            <w:r w:rsidR="00DF26A7">
              <w:t>ēts</w:t>
            </w:r>
            <w:r>
              <w:t xml:space="preserve"> īstenot </w:t>
            </w:r>
            <w:r w:rsidRPr="006E5ED8">
              <w:rPr>
                <w:b/>
              </w:rPr>
              <w:t>divas saturiski atšķirīgas kārtas</w:t>
            </w:r>
            <w:r w:rsidR="009661B9">
              <w:rPr>
                <w:b/>
              </w:rPr>
              <w:t>:</w:t>
            </w:r>
            <w:r>
              <w:t xml:space="preserve"> </w:t>
            </w:r>
            <w:r w:rsidR="003538CB">
              <w:t xml:space="preserve">pirmās </w:t>
            </w:r>
            <w:r>
              <w:t xml:space="preserve">kārtas ietvaros tiks </w:t>
            </w:r>
            <w:r w:rsidR="009661B9">
              <w:t>finansēta</w:t>
            </w:r>
            <w:r>
              <w:t xml:space="preserve"> jaunu pedagogu studiju programmu izstrāde, savukārt otrās kārtas ietvaros tiks </w:t>
            </w:r>
            <w:r w:rsidR="009661B9">
              <w:t>finansēta</w:t>
            </w:r>
            <w:r>
              <w:t xml:space="preserve"> k</w:t>
            </w:r>
            <w:r w:rsidRPr="006E5ED8">
              <w:t xml:space="preserve">opīgo doktorantūras studiju programmu un studiju programmu ES valodās </w:t>
            </w:r>
            <w:r>
              <w:t>izstrāde.</w:t>
            </w:r>
            <w:r w:rsidR="009661B9">
              <w:t xml:space="preserve"> Ja netiks apgūts viss pieejamais finansējums pirmajās projektu iesniegumu atlasēs, otrajai kārtai nepieciešamības gadījumā, tiks organizēta atkārtota projektu iesniegumu atlase (uzsaukums).</w:t>
            </w:r>
          </w:p>
          <w:p w14:paraId="2954F436" w14:textId="1A35E887" w:rsidR="0039499E" w:rsidRPr="002A4D0D" w:rsidRDefault="00036ADC" w:rsidP="0039499E">
            <w:pPr>
              <w:ind w:firstLine="516"/>
              <w:jc w:val="both"/>
            </w:pPr>
            <w:r w:rsidRPr="002A4D0D">
              <w:t xml:space="preserve">Ar noteikumu projektu tiks noteikts </w:t>
            </w:r>
            <w:r w:rsidRPr="00930E8D">
              <w:rPr>
                <w:b/>
              </w:rPr>
              <w:t>tiesiskais ietvars</w:t>
            </w:r>
            <w:r w:rsidRPr="002A4D0D">
              <w:t xml:space="preserve"> 8.2.1. SAM  īstenošanai</w:t>
            </w:r>
            <w:r>
              <w:t>.</w:t>
            </w:r>
            <w:r w:rsidR="00BC3037">
              <w:t xml:space="preserve"> </w:t>
            </w:r>
            <w:r w:rsidR="0039499E" w:rsidRPr="002A4D0D">
              <w:t>Noteikumu projekts nosaka kārtību, kādā īsteno 8.2.1. SAM pirmo un otro projektu iesniegumu atlases kārtu, mērķi un mērķa grupu, pieejamo finansējumu, sasniedzamos uzraudzības rādītājus, prasības projektu iesniedzējiem</w:t>
            </w:r>
            <w:r w:rsidR="003538CB">
              <w:t xml:space="preserve"> </w:t>
            </w:r>
            <w:r w:rsidR="003538CB" w:rsidRPr="003538CB">
              <w:t>un sadarbības partneriem</w:t>
            </w:r>
            <w:r w:rsidR="0039499E" w:rsidRPr="002A4D0D">
              <w:t>, atbalstāmās darbības, izmaksu attiecināmības nosacījumus,</w:t>
            </w:r>
            <w:r w:rsidR="0039499E" w:rsidRPr="002A4D0D">
              <w:rPr>
                <w:sz w:val="28"/>
                <w:szCs w:val="28"/>
              </w:rPr>
              <w:t xml:space="preserve"> </w:t>
            </w:r>
            <w:r w:rsidR="0039499E" w:rsidRPr="002A4D0D">
              <w:t>vienkāršoto izmaksu piemērošanas nosacījumus un kārtību, kā arī</w:t>
            </w:r>
            <w:r w:rsidR="0039499E" w:rsidRPr="002A4D0D">
              <w:rPr>
                <w:sz w:val="28"/>
                <w:szCs w:val="28"/>
              </w:rPr>
              <w:t xml:space="preserve"> </w:t>
            </w:r>
            <w:r w:rsidR="0039499E" w:rsidRPr="002A4D0D">
              <w:t>vienošanās</w:t>
            </w:r>
            <w:r w:rsidR="00900135">
              <w:t xml:space="preserve"> </w:t>
            </w:r>
            <w:r w:rsidR="00BC3037">
              <w:t>un</w:t>
            </w:r>
            <w:r w:rsidR="00900135">
              <w:t xml:space="preserve"> </w:t>
            </w:r>
            <w:r w:rsidR="0039499E" w:rsidRPr="002A4D0D">
              <w:t xml:space="preserve">līguma par projekta īstenošanu </w:t>
            </w:r>
            <w:r w:rsidR="003538CB" w:rsidRPr="003538CB">
              <w:t xml:space="preserve">vienpusēja </w:t>
            </w:r>
            <w:r w:rsidR="0039499E" w:rsidRPr="002A4D0D">
              <w:t xml:space="preserve">uzteikuma nosacījumus. </w:t>
            </w:r>
          </w:p>
          <w:p w14:paraId="3B298A4B" w14:textId="689C0CAB" w:rsidR="0039499E" w:rsidRPr="002A4D0D" w:rsidRDefault="0039499E" w:rsidP="0039499E">
            <w:pPr>
              <w:tabs>
                <w:tab w:val="left" w:pos="426"/>
                <w:tab w:val="left" w:pos="1134"/>
              </w:tabs>
              <w:ind w:firstLine="516"/>
              <w:jc w:val="both"/>
            </w:pPr>
            <w:bookmarkStart w:id="0" w:name="_Ref455047587"/>
            <w:r w:rsidRPr="002A4D0D">
              <w:t>8.2.1.</w:t>
            </w:r>
            <w:r w:rsidR="00C23948">
              <w:t xml:space="preserve"> </w:t>
            </w:r>
            <w:r w:rsidRPr="002A4D0D">
              <w:t xml:space="preserve">SAM īstenošanai </w:t>
            </w:r>
            <w:r w:rsidRPr="00D3763D">
              <w:rPr>
                <w:b/>
              </w:rPr>
              <w:t>plānotais kopējais attiecināmais finansējums</w:t>
            </w:r>
            <w:r w:rsidRPr="002A4D0D">
              <w:t xml:space="preserve"> ir 10 815 000 </w:t>
            </w:r>
            <w:r w:rsidRPr="002A4D0D">
              <w:rPr>
                <w:i/>
              </w:rPr>
              <w:t>euro</w:t>
            </w:r>
            <w:r w:rsidRPr="002A4D0D">
              <w:t xml:space="preserve">, tai skaitā </w:t>
            </w:r>
            <w:r w:rsidR="007C3402" w:rsidRPr="0014168F">
              <w:t xml:space="preserve">Eiropas </w:t>
            </w:r>
            <w:r w:rsidR="007C3402">
              <w:t>Sociālā</w:t>
            </w:r>
            <w:r w:rsidR="007C3402" w:rsidRPr="0014168F">
              <w:t xml:space="preserve"> fonda </w:t>
            </w:r>
            <w:r w:rsidR="007C3402">
              <w:t xml:space="preserve">(turpmāk – </w:t>
            </w:r>
            <w:r w:rsidRPr="002A4D0D">
              <w:t>ESF</w:t>
            </w:r>
            <w:r w:rsidR="007C3402">
              <w:t>)</w:t>
            </w:r>
            <w:r w:rsidRPr="002A4D0D">
              <w:t xml:space="preserve"> finansējums 9 192 750 </w:t>
            </w:r>
            <w:r w:rsidRPr="002A4D0D">
              <w:rPr>
                <w:i/>
              </w:rPr>
              <w:t>euro</w:t>
            </w:r>
            <w:r w:rsidRPr="002A4D0D">
              <w:t xml:space="preserve"> un valsts budžeta līdzfinansējums 1 622 250 </w:t>
            </w:r>
            <w:r w:rsidRPr="002A4D0D">
              <w:rPr>
                <w:i/>
              </w:rPr>
              <w:t>euro</w:t>
            </w:r>
            <w:r w:rsidRPr="002A4D0D">
              <w:t xml:space="preserve">.  </w:t>
            </w:r>
          </w:p>
          <w:p w14:paraId="1921A508" w14:textId="5DAF8C95" w:rsidR="0039499E" w:rsidRPr="00B2403B" w:rsidRDefault="0039499E" w:rsidP="0039499E">
            <w:pPr>
              <w:tabs>
                <w:tab w:val="left" w:pos="426"/>
                <w:tab w:val="left" w:pos="1134"/>
              </w:tabs>
              <w:ind w:firstLine="516"/>
              <w:jc w:val="both"/>
              <w:rPr>
                <w:iCs/>
              </w:rPr>
            </w:pPr>
            <w:r w:rsidRPr="005E6641">
              <w:rPr>
                <w:b/>
                <w:iCs/>
              </w:rPr>
              <w:t>Pirmo kārtu</w:t>
            </w:r>
            <w:r w:rsidRPr="005E6641">
              <w:rPr>
                <w:iCs/>
              </w:rPr>
              <w:t xml:space="preserve"> īsteno </w:t>
            </w:r>
            <w:r w:rsidRPr="00B11A62">
              <w:rPr>
                <w:b/>
                <w:iCs/>
              </w:rPr>
              <w:t xml:space="preserve">ierobežotas </w:t>
            </w:r>
            <w:r w:rsidRPr="005E6641">
              <w:rPr>
                <w:iCs/>
              </w:rPr>
              <w:t>projektu iesniegumu atlases veidā.</w:t>
            </w:r>
            <w:r>
              <w:rPr>
                <w:iCs/>
              </w:rPr>
              <w:t xml:space="preserve"> P</w:t>
            </w:r>
            <w:r w:rsidRPr="00291866">
              <w:t xml:space="preserve">irmās kārtas ietvaros </w:t>
            </w:r>
            <w:r>
              <w:t>projekta iesniedzēji (</w:t>
            </w:r>
            <w:r w:rsidRPr="00291866">
              <w:t>finansējuma saņēmēj</w:t>
            </w:r>
            <w:r>
              <w:t xml:space="preserve">i) </w:t>
            </w:r>
            <w:r w:rsidRPr="00291866">
              <w:t>ir</w:t>
            </w:r>
            <w:r>
              <w:t xml:space="preserve"> </w:t>
            </w:r>
            <w:r w:rsidR="009661B9">
              <w:t xml:space="preserve">tās augstākās izglītības institūcijas, kas īsteno pedagogu  izglītības studiju programmas – </w:t>
            </w:r>
            <w:r>
              <w:t xml:space="preserve">Latvijas Universitāte, Daugavpils Universitāte, Liepājas Universitāte, Rēzeknes Tehnoloģiju akadēmija, Jāzepa Vītola Latvijas Mūzikas akadēmija un Latvijas Sporta pedagoģijas akadēmija. </w:t>
            </w:r>
          </w:p>
          <w:p w14:paraId="3AC4E0AC" w14:textId="5E780696" w:rsidR="0039499E" w:rsidRPr="0014168F" w:rsidRDefault="0039499E" w:rsidP="0039499E">
            <w:pPr>
              <w:pStyle w:val="tv213"/>
              <w:shd w:val="clear" w:color="auto" w:fill="FFFFFF"/>
              <w:spacing w:before="0" w:beforeAutospacing="0" w:after="0" w:afterAutospacing="0"/>
              <w:ind w:firstLine="516"/>
              <w:jc w:val="both"/>
            </w:pPr>
            <w:r>
              <w:t xml:space="preserve">Pirmās kārtas </w:t>
            </w:r>
            <w:r w:rsidRPr="002A1146">
              <w:t xml:space="preserve">projektu atlases īstenošanai </w:t>
            </w:r>
            <w:r w:rsidR="00A21213">
              <w:t>pieejamais</w:t>
            </w:r>
            <w:r w:rsidR="00A21213" w:rsidRPr="002A1146">
              <w:t xml:space="preserve"> </w:t>
            </w:r>
            <w:r w:rsidRPr="002A1146">
              <w:t>kopējais attiecināmais finansējum</w:t>
            </w:r>
            <w:r w:rsidRPr="0014168F">
              <w:t xml:space="preserve">s ir </w:t>
            </w:r>
            <w:r w:rsidR="00900135">
              <w:t>3 </w:t>
            </w:r>
            <w:r>
              <w:t xml:space="preserve">000 000 </w:t>
            </w:r>
            <w:r w:rsidRPr="0014168F">
              <w:rPr>
                <w:i/>
              </w:rPr>
              <w:t>euro</w:t>
            </w:r>
            <w:r w:rsidRPr="0014168F">
              <w:t xml:space="preserve">, no kuriem Eiropas </w:t>
            </w:r>
            <w:r>
              <w:t>Sociālā</w:t>
            </w:r>
            <w:r w:rsidRPr="0014168F">
              <w:t xml:space="preserve"> fonda finansējums </w:t>
            </w:r>
            <w:r w:rsidR="00DE0950" w:rsidRPr="00A21213">
              <w:t xml:space="preserve">ir </w:t>
            </w:r>
            <w:r w:rsidR="00DE0950" w:rsidRPr="007D18FC">
              <w:t>2</w:t>
            </w:r>
            <w:r w:rsidR="00DE0950" w:rsidRPr="00A21213">
              <w:t> </w:t>
            </w:r>
            <w:r w:rsidR="00DE0950" w:rsidRPr="007D18FC">
              <w:t>55</w:t>
            </w:r>
            <w:r w:rsidR="00DE0950" w:rsidRPr="00A21213">
              <w:t xml:space="preserve">0 </w:t>
            </w:r>
            <w:r w:rsidRPr="00A21213">
              <w:t>000 </w:t>
            </w:r>
            <w:r w:rsidRPr="00A21213">
              <w:rPr>
                <w:i/>
              </w:rPr>
              <w:t>euro</w:t>
            </w:r>
            <w:r w:rsidRPr="00A21213">
              <w:t xml:space="preserve"> un valsts budžeta finansējums </w:t>
            </w:r>
            <w:r w:rsidR="00DE0950" w:rsidRPr="007D18FC">
              <w:t>45</w:t>
            </w:r>
            <w:r w:rsidR="00DE0950" w:rsidRPr="00A21213">
              <w:t xml:space="preserve">0 </w:t>
            </w:r>
            <w:r w:rsidRPr="00B60BAD">
              <w:t xml:space="preserve">000 </w:t>
            </w:r>
            <w:r w:rsidRPr="00B60BAD">
              <w:rPr>
                <w:i/>
              </w:rPr>
              <w:t>euro</w:t>
            </w:r>
            <w:r w:rsidRPr="00B60BAD">
              <w:t>.</w:t>
            </w:r>
            <w:r w:rsidRPr="0014168F">
              <w:t xml:space="preserve"> </w:t>
            </w:r>
          </w:p>
          <w:p w14:paraId="0AD88DC8" w14:textId="1901BC68" w:rsidR="00FF49F6" w:rsidRDefault="0039499E" w:rsidP="007D18FC">
            <w:pPr>
              <w:ind w:firstLine="516"/>
              <w:jc w:val="both"/>
            </w:pPr>
            <w:r>
              <w:t>Pirmās kārtas ietvaros projekta iesniedzēji īsteno šādas darbības</w:t>
            </w:r>
            <w:r w:rsidR="00AC3149">
              <w:t xml:space="preserve"> –</w:t>
            </w:r>
            <w:r>
              <w:t xml:space="preserve"> jaunu pedagogu studiju programmu izstrāde</w:t>
            </w:r>
            <w:r w:rsidR="00AC3149">
              <w:t xml:space="preserve"> </w:t>
            </w:r>
            <w:r w:rsidR="007C6CC1">
              <w:t>un</w:t>
            </w:r>
            <w:r>
              <w:t xml:space="preserve"> licencēšana, jauno studiju programmu aprobācija</w:t>
            </w:r>
            <w:r w:rsidR="007C6CC1">
              <w:t xml:space="preserve">, </w:t>
            </w:r>
            <w:r w:rsidR="00AC3149">
              <w:t xml:space="preserve">tai skaitā mērķstipendijas ierobežotam studentu skaitam </w:t>
            </w:r>
            <w:r w:rsidR="007C6CC1" w:rsidRPr="0097057D">
              <w:t>otrā līmeņa profesionālās augstākās izglītības, maģistra vai doktora studiju programmās</w:t>
            </w:r>
            <w:r w:rsidR="00AC3149">
              <w:t>,</w:t>
            </w:r>
            <w:r w:rsidR="003538CB">
              <w:t xml:space="preserve"> </w:t>
            </w:r>
            <w:r>
              <w:t>studiju virziena</w:t>
            </w:r>
            <w:r w:rsidR="003538CB">
              <w:t xml:space="preserve"> ”Izglītība</w:t>
            </w:r>
            <w:r w:rsidR="003538CB" w:rsidRPr="003538CB">
              <w:t xml:space="preserve">, pedagoģija un sports” </w:t>
            </w:r>
            <w:r>
              <w:t>akreditācija</w:t>
            </w:r>
            <w:r w:rsidR="003538CB">
              <w:t xml:space="preserve"> </w:t>
            </w:r>
            <w:r w:rsidR="003538CB" w:rsidRPr="003538CB">
              <w:t>EQAR aģentūrā</w:t>
            </w:r>
            <w:r>
              <w:t>, jauno studiju programmu publicitāte.</w:t>
            </w:r>
            <w:r w:rsidR="00DE0950">
              <w:t xml:space="preserve"> </w:t>
            </w:r>
          </w:p>
          <w:p w14:paraId="1FD15EEE" w14:textId="36BC8655" w:rsidR="00E36CE0" w:rsidRPr="007D18FC" w:rsidRDefault="009661B9" w:rsidP="007D18FC">
            <w:pPr>
              <w:ind w:firstLine="516"/>
              <w:jc w:val="both"/>
            </w:pPr>
            <w:r>
              <w:t>Pirmās kārtas ietvaros k</w:t>
            </w:r>
            <w:r w:rsidR="00DE0950">
              <w:t>atrs projekta iesniedz</w:t>
            </w:r>
            <w:r w:rsidR="00A21213">
              <w:t>ējs iesniedz vienu projekta iesniegumu</w:t>
            </w:r>
            <w:r w:rsidR="00DE0950">
              <w:t xml:space="preserve"> jaun</w:t>
            </w:r>
            <w:r>
              <w:t>u</w:t>
            </w:r>
            <w:r w:rsidR="00DE0950">
              <w:t xml:space="preserve"> pedagogu studiju programmu izstrādei</w:t>
            </w:r>
            <w:r w:rsidR="00A21213">
              <w:t>. Kopumā pirmās kārtas ietvaros plānots izstrādāt līdz 20 pedagogu studiju programmām, no kurām viena būs kopīgā doktorantūras studiju programma pedagoģijā.</w:t>
            </w:r>
            <w:r w:rsidR="00E36CE0" w:rsidRPr="00E36CE0">
              <w:t xml:space="preserve"> </w:t>
            </w:r>
            <w:r w:rsidR="00E36CE0" w:rsidRPr="00D00CB0">
              <w:t>Viens no projektu atlases nosacījumiem paredz, ka jaunajām pedagogu studiju programm</w:t>
            </w:r>
            <w:r w:rsidR="00E36CE0" w:rsidRPr="00F72E15">
              <w:t xml:space="preserve">ām jābūt izstrādātām sinerģijā ar Valsts izglītības satura centra </w:t>
            </w:r>
            <w:r w:rsidR="00E36CE0" w:rsidRPr="007D18FC">
              <w:t xml:space="preserve">8.3.1. specifiskā atbalsta mērķa “Attīstīt kompetenču pieejā balstītu vispārējās izglītības saturu” </w:t>
            </w:r>
            <w:r w:rsidR="00E36CE0" w:rsidRPr="007D18FC">
              <w:lastRenderedPageBreak/>
              <w:t>8.3.1.1.pasākuma “Kompetenču pieejā balstīta vispārējās izglītības satura aprobācija un ieviešana”</w:t>
            </w:r>
            <w:r w:rsidR="00E36CE0" w:rsidRPr="00E36CE0">
              <w:t xml:space="preserve"> </w:t>
            </w:r>
            <w:r w:rsidR="00E36CE0" w:rsidRPr="00D00CB0">
              <w:t>ietvaros īstenotā projekta „</w:t>
            </w:r>
            <w:r w:rsidR="00E36CE0" w:rsidRPr="007D18FC">
              <w:t>Kompetenču pieeja mācību saturā</w:t>
            </w:r>
            <w:r w:rsidR="00E36CE0" w:rsidRPr="00E36CE0">
              <w:t>”</w:t>
            </w:r>
            <w:r w:rsidR="00E36CE0" w:rsidRPr="00D00CB0">
              <w:t xml:space="preserve"> rezultātiem</w:t>
            </w:r>
            <w:r w:rsidR="00AC3149">
              <w:t xml:space="preserve">, kā arī </w:t>
            </w:r>
            <w:r w:rsidR="00FF49F6">
              <w:t xml:space="preserve">pedagogu </w:t>
            </w:r>
            <w:r w:rsidR="00AC3149">
              <w:t>studiju programm</w:t>
            </w:r>
            <w:r w:rsidR="00FF49F6">
              <w:t>u izstrādē</w:t>
            </w:r>
            <w:r w:rsidR="00AC3149">
              <w:t xml:space="preserve"> </w:t>
            </w:r>
            <w:r w:rsidR="00596204">
              <w:t>jā</w:t>
            </w:r>
            <w:r w:rsidR="00AC3149">
              <w:t>iesaist</w:t>
            </w:r>
            <w:r w:rsidR="00596204">
              <w:t>a</w:t>
            </w:r>
            <w:r w:rsidR="00AC3149">
              <w:t xml:space="preserve"> </w:t>
            </w:r>
            <w:r w:rsidR="00FF49F6">
              <w:t>šī projekta ekspertus</w:t>
            </w:r>
            <w:r w:rsidR="00E36CE0" w:rsidRPr="00D00CB0">
              <w:t>.</w:t>
            </w:r>
            <w:r w:rsidR="00D00CB0">
              <w:t xml:space="preserve"> Tāpat AII ir jāizstrādā pedagoģijas izglītības attīstības pl</w:t>
            </w:r>
            <w:r w:rsidR="00FF49F6">
              <w:t xml:space="preserve">āns, </w:t>
            </w:r>
            <w:r w:rsidR="00B7435E">
              <w:t xml:space="preserve">par kuru </w:t>
            </w:r>
            <w:r w:rsidR="00FF49F6">
              <w:t>jāsaņem pozitīvs projekta „</w:t>
            </w:r>
            <w:r w:rsidR="00FF49F6" w:rsidRPr="002F7753">
              <w:t>Kompetenču pieeja mācību saturā</w:t>
            </w:r>
            <w:r w:rsidR="00FF49F6">
              <w:t>” eksperta vērtējums</w:t>
            </w:r>
            <w:r w:rsidR="00A94611">
              <w:t>.</w:t>
            </w:r>
          </w:p>
          <w:p w14:paraId="7405A3D6" w14:textId="57EE97D4" w:rsidR="0039499E" w:rsidRPr="007D18FC" w:rsidRDefault="0039499E" w:rsidP="007D18FC">
            <w:pPr>
              <w:ind w:firstLine="516"/>
              <w:jc w:val="both"/>
              <w:rPr>
                <w:i/>
              </w:rPr>
            </w:pPr>
            <w:r w:rsidRPr="007D00FB">
              <w:rPr>
                <w:b/>
              </w:rPr>
              <w:t>Otro kārtu</w:t>
            </w:r>
            <w:r w:rsidRPr="007D00FB">
              <w:t xml:space="preserve"> īsteno </w:t>
            </w:r>
            <w:r w:rsidR="00C23948" w:rsidRPr="00B11A62">
              <w:rPr>
                <w:b/>
              </w:rPr>
              <w:t>atklātas</w:t>
            </w:r>
            <w:r w:rsidRPr="007D00FB">
              <w:t xml:space="preserve"> projektu iesniegumu atlases veidā</w:t>
            </w:r>
            <w:r>
              <w:t>.</w:t>
            </w:r>
            <w:r>
              <w:rPr>
                <w:iCs/>
              </w:rPr>
              <w:t xml:space="preserve"> Otrās </w:t>
            </w:r>
            <w:r w:rsidRPr="00291866">
              <w:t xml:space="preserve">kārtas ietvaros </w:t>
            </w:r>
            <w:r>
              <w:t>projekta iesniedzēji ir augstākās izglītības institūcija</w:t>
            </w:r>
            <w:r w:rsidR="00900135">
              <w:t>s</w:t>
            </w:r>
            <w:r>
              <w:t xml:space="preserve">, tai skaitā koledžas. Otrās kārtas </w:t>
            </w:r>
            <w:r w:rsidRPr="002A1146">
              <w:t>projektu atlases īstenošanai plānotais kopējais attiecināmais finansējum</w:t>
            </w:r>
            <w:r w:rsidRPr="0014168F">
              <w:t xml:space="preserve">s </w:t>
            </w:r>
            <w:r w:rsidRPr="00A21213">
              <w:t xml:space="preserve">ir </w:t>
            </w:r>
            <w:r w:rsidR="00A21213" w:rsidRPr="007D18FC">
              <w:t>7</w:t>
            </w:r>
            <w:r w:rsidR="00A21213" w:rsidRPr="00A21213">
              <w:t> </w:t>
            </w:r>
            <w:r w:rsidRPr="00A21213">
              <w:t xml:space="preserve">815 000 </w:t>
            </w:r>
            <w:r w:rsidRPr="00A21213">
              <w:rPr>
                <w:i/>
              </w:rPr>
              <w:t>euro</w:t>
            </w:r>
            <w:r w:rsidRPr="00A21213">
              <w:t xml:space="preserve">, no kuriem </w:t>
            </w:r>
            <w:r w:rsidR="00A21213" w:rsidRPr="007D18FC">
              <w:t>ESF</w:t>
            </w:r>
            <w:r w:rsidRPr="00A21213">
              <w:t xml:space="preserve"> finansējums </w:t>
            </w:r>
            <w:r w:rsidR="00A21213" w:rsidRPr="007D18FC">
              <w:t>ir 6</w:t>
            </w:r>
            <w:r w:rsidR="00A21213" w:rsidRPr="00A21213">
              <w:t xml:space="preserve"> </w:t>
            </w:r>
            <w:r w:rsidR="00A21213" w:rsidRPr="007D18FC">
              <w:t>64</w:t>
            </w:r>
            <w:r w:rsidR="00A21213" w:rsidRPr="00A21213">
              <w:t xml:space="preserve">2 </w:t>
            </w:r>
            <w:r w:rsidRPr="00A21213">
              <w:t>750 </w:t>
            </w:r>
            <w:r w:rsidRPr="00A21213">
              <w:rPr>
                <w:i/>
              </w:rPr>
              <w:t>euro</w:t>
            </w:r>
            <w:r w:rsidRPr="00A21213">
              <w:t xml:space="preserve"> un valsts budžeta finansējums 1 </w:t>
            </w:r>
            <w:r w:rsidR="00A21213" w:rsidRPr="007D18FC">
              <w:t>17</w:t>
            </w:r>
            <w:r w:rsidR="00A21213" w:rsidRPr="00A21213">
              <w:t>2 </w:t>
            </w:r>
            <w:r w:rsidRPr="00A21213">
              <w:t xml:space="preserve">250 </w:t>
            </w:r>
            <w:r w:rsidRPr="00A21213">
              <w:rPr>
                <w:i/>
              </w:rPr>
              <w:t>euro.</w:t>
            </w:r>
            <w:r w:rsidR="00A21213" w:rsidRPr="00A21213">
              <w:rPr>
                <w:color w:val="000000" w:themeColor="text1"/>
              </w:rPr>
              <w:t xml:space="preserve"> </w:t>
            </w:r>
            <w:r w:rsidRPr="00A21213">
              <w:rPr>
                <w:color w:val="000000" w:themeColor="text1"/>
              </w:rPr>
              <w:t xml:space="preserve">Savukārt līdz 2018. gada 31. decembrim </w:t>
            </w:r>
            <w:r w:rsidRPr="00D3763D">
              <w:rPr>
                <w:color w:val="000000" w:themeColor="text1"/>
              </w:rPr>
              <w:t>pieejamais kopējais attiecināmais finansējums,</w:t>
            </w:r>
            <w:r w:rsidRPr="00A21213">
              <w:rPr>
                <w:color w:val="000000" w:themeColor="text1"/>
              </w:rPr>
              <w:t xml:space="preserve"> lai slēgtu vienošanos</w:t>
            </w:r>
            <w:r w:rsidR="00292A73" w:rsidRPr="00A21213">
              <w:rPr>
                <w:color w:val="000000" w:themeColor="text1"/>
              </w:rPr>
              <w:t xml:space="preserve"> un </w:t>
            </w:r>
            <w:r w:rsidRPr="00A21213">
              <w:rPr>
                <w:color w:val="000000" w:themeColor="text1"/>
              </w:rPr>
              <w:t>līgumu</w:t>
            </w:r>
            <w:r w:rsidR="00292A73" w:rsidRPr="00A21213">
              <w:rPr>
                <w:color w:val="000000" w:themeColor="text1"/>
              </w:rPr>
              <w:t>s</w:t>
            </w:r>
            <w:r w:rsidR="00D3763D">
              <w:rPr>
                <w:color w:val="000000" w:themeColor="text1"/>
              </w:rPr>
              <w:t xml:space="preserve"> par projektu</w:t>
            </w:r>
            <w:r w:rsidRPr="00A21213">
              <w:rPr>
                <w:color w:val="000000" w:themeColor="text1"/>
              </w:rPr>
              <w:t xml:space="preserve"> īstenošanu, ir </w:t>
            </w:r>
            <w:r w:rsidR="00A21213" w:rsidRPr="00A21213">
              <w:rPr>
                <w:color w:val="000000" w:themeColor="text1"/>
              </w:rPr>
              <w:t>7</w:t>
            </w:r>
            <w:r w:rsidRPr="007D18FC">
              <w:rPr>
                <w:color w:val="000000" w:themeColor="text1"/>
              </w:rPr>
              <w:t> 142 466</w:t>
            </w:r>
            <w:r w:rsidRPr="00A21213">
              <w:rPr>
                <w:color w:val="000000" w:themeColor="text1"/>
              </w:rPr>
              <w:t xml:space="preserve"> </w:t>
            </w:r>
            <w:r w:rsidRPr="00A21213">
              <w:rPr>
                <w:i/>
                <w:color w:val="000000" w:themeColor="text1"/>
              </w:rPr>
              <w:t>euro</w:t>
            </w:r>
            <w:r w:rsidRPr="00A21213">
              <w:rPr>
                <w:color w:val="000000" w:themeColor="text1"/>
              </w:rPr>
              <w:t xml:space="preserve">, tai skaitā </w:t>
            </w:r>
            <w:r w:rsidR="00A21213" w:rsidRPr="00A21213">
              <w:rPr>
                <w:color w:val="000000" w:themeColor="text1"/>
              </w:rPr>
              <w:t>ESF</w:t>
            </w:r>
            <w:r w:rsidRPr="00A21213">
              <w:rPr>
                <w:color w:val="000000" w:themeColor="text1"/>
              </w:rPr>
              <w:t xml:space="preserve"> finansējums – </w:t>
            </w:r>
            <w:r w:rsidR="00A21213" w:rsidRPr="007D18FC">
              <w:rPr>
                <w:color w:val="000000" w:themeColor="text1"/>
              </w:rPr>
              <w:t xml:space="preserve">6 071 </w:t>
            </w:r>
            <w:r w:rsidRPr="007D18FC">
              <w:rPr>
                <w:color w:val="000000" w:themeColor="text1"/>
              </w:rPr>
              <w:t>096</w:t>
            </w:r>
            <w:r w:rsidRPr="00A21213">
              <w:rPr>
                <w:color w:val="000000" w:themeColor="text1"/>
              </w:rPr>
              <w:t xml:space="preserve"> </w:t>
            </w:r>
            <w:r w:rsidRPr="00A21213">
              <w:rPr>
                <w:i/>
                <w:color w:val="000000" w:themeColor="text1"/>
              </w:rPr>
              <w:t>euro</w:t>
            </w:r>
            <w:r w:rsidRPr="00A21213">
              <w:rPr>
                <w:color w:val="000000" w:themeColor="text1"/>
              </w:rPr>
              <w:t xml:space="preserve"> un valsts budžeta finansējums – </w:t>
            </w:r>
            <w:r w:rsidRPr="007D18FC">
              <w:rPr>
                <w:color w:val="000000" w:themeColor="text1"/>
              </w:rPr>
              <w:t>1 </w:t>
            </w:r>
            <w:r w:rsidR="00A21213" w:rsidRPr="007D18FC">
              <w:rPr>
                <w:color w:val="000000" w:themeColor="text1"/>
              </w:rPr>
              <w:t>071 370</w:t>
            </w:r>
            <w:r w:rsidR="00A21213" w:rsidRPr="00A21213">
              <w:rPr>
                <w:color w:val="000000" w:themeColor="text1"/>
              </w:rPr>
              <w:t xml:space="preserve"> </w:t>
            </w:r>
            <w:r w:rsidRPr="00A21213">
              <w:rPr>
                <w:i/>
                <w:color w:val="000000" w:themeColor="text1"/>
              </w:rPr>
              <w:t>euro</w:t>
            </w:r>
            <w:r w:rsidRPr="00A21213">
              <w:rPr>
                <w:color w:val="000000" w:themeColor="text1"/>
              </w:rPr>
              <w:t xml:space="preserve">. </w:t>
            </w:r>
            <w:r w:rsidRPr="007D18FC">
              <w:rPr>
                <w:b/>
                <w:bCs/>
              </w:rPr>
              <w:t xml:space="preserve">8.2.1.SAM rezerves finansējums </w:t>
            </w:r>
            <w:r w:rsidR="00292A73" w:rsidRPr="007D18FC">
              <w:rPr>
                <w:bCs/>
              </w:rPr>
              <w:t xml:space="preserve">ir </w:t>
            </w:r>
            <w:r w:rsidRPr="007D18FC">
              <w:rPr>
                <w:b/>
                <w:bCs/>
              </w:rPr>
              <w:t xml:space="preserve"> </w:t>
            </w:r>
            <w:r w:rsidRPr="007D18FC">
              <w:rPr>
                <w:bCs/>
              </w:rPr>
              <w:t>672 534</w:t>
            </w:r>
            <w:r w:rsidRPr="007D18FC">
              <w:rPr>
                <w:bCs/>
                <w:i/>
              </w:rPr>
              <w:t xml:space="preserve"> </w:t>
            </w:r>
            <w:r w:rsidR="00292A73" w:rsidRPr="007D18FC">
              <w:rPr>
                <w:i/>
              </w:rPr>
              <w:t>euro</w:t>
            </w:r>
            <w:r w:rsidRPr="007D18FC">
              <w:rPr>
                <w:bCs/>
                <w:i/>
              </w:rPr>
              <w:t xml:space="preserve">, </w:t>
            </w:r>
            <w:r w:rsidRPr="007D18FC">
              <w:rPr>
                <w:bCs/>
              </w:rPr>
              <w:t>t</w:t>
            </w:r>
            <w:r w:rsidR="00A21213" w:rsidRPr="007D18FC">
              <w:rPr>
                <w:bCs/>
              </w:rPr>
              <w:t xml:space="preserve">ai </w:t>
            </w:r>
            <w:r w:rsidRPr="007D18FC">
              <w:rPr>
                <w:bCs/>
              </w:rPr>
              <w:t>sk</w:t>
            </w:r>
            <w:r w:rsidR="00A21213" w:rsidRPr="007D18FC">
              <w:rPr>
                <w:bCs/>
              </w:rPr>
              <w:t>aitā</w:t>
            </w:r>
            <w:r w:rsidRPr="007D18FC">
              <w:rPr>
                <w:bCs/>
              </w:rPr>
              <w:t xml:space="preserve"> </w:t>
            </w:r>
            <w:r w:rsidRPr="007D18FC">
              <w:t xml:space="preserve">ESF </w:t>
            </w:r>
            <w:r w:rsidRPr="007D18FC">
              <w:rPr>
                <w:bCs/>
              </w:rPr>
              <w:t>571 654</w:t>
            </w:r>
            <w:r w:rsidRPr="007D18FC">
              <w:rPr>
                <w:bCs/>
                <w:i/>
              </w:rPr>
              <w:t xml:space="preserve"> </w:t>
            </w:r>
            <w:r w:rsidR="00292A73" w:rsidRPr="007D18FC">
              <w:rPr>
                <w:i/>
              </w:rPr>
              <w:t xml:space="preserve">euro </w:t>
            </w:r>
            <w:r w:rsidRPr="007D18FC">
              <w:t xml:space="preserve">un </w:t>
            </w:r>
            <w:r w:rsidR="00292A73" w:rsidRPr="007D18FC">
              <w:t xml:space="preserve">valsts budžeta finansējums </w:t>
            </w:r>
            <w:r w:rsidRPr="007D18FC">
              <w:t>100 800</w:t>
            </w:r>
            <w:r w:rsidRPr="007D18FC">
              <w:rPr>
                <w:i/>
              </w:rPr>
              <w:t xml:space="preserve"> </w:t>
            </w:r>
            <w:r w:rsidR="00292A73" w:rsidRPr="007D18FC">
              <w:rPr>
                <w:i/>
              </w:rPr>
              <w:t>euro.</w:t>
            </w:r>
          </w:p>
          <w:p w14:paraId="176B42CE" w14:textId="2F9AC464" w:rsidR="0039499E" w:rsidRPr="002A4D0D" w:rsidRDefault="0039499E" w:rsidP="0039499E">
            <w:pPr>
              <w:pStyle w:val="tv213"/>
              <w:shd w:val="clear" w:color="auto" w:fill="FFFFFF"/>
              <w:spacing w:before="0" w:beforeAutospacing="0" w:after="0" w:afterAutospacing="0"/>
              <w:ind w:firstLine="516"/>
              <w:jc w:val="both"/>
              <w:rPr>
                <w:color w:val="C00000"/>
              </w:rPr>
            </w:pPr>
            <w:r>
              <w:t>Otrās kārtas ietvaros projekta iesniedzēji īsteno šādas darbības: kopīgo</w:t>
            </w:r>
            <w:r w:rsidR="0039764E">
              <w:t xml:space="preserve"> doktorantūras studiju programmu un studiju programmu ES valodās </w:t>
            </w:r>
            <w:r>
              <w:t>izstrāde</w:t>
            </w:r>
            <w:r w:rsidR="00D3763D">
              <w:t xml:space="preserve"> </w:t>
            </w:r>
            <w:r w:rsidR="007C6CC1">
              <w:t xml:space="preserve">un </w:t>
            </w:r>
            <w:r>
              <w:t>licencēšana, jauno studiju programmu aprobācija, studiju virziena akreditācija</w:t>
            </w:r>
            <w:r w:rsidR="003538CB">
              <w:t xml:space="preserve"> EQAR aģentūrā un studiju programmas akreditācija starptautiskā profesionālā organizācijā (</w:t>
            </w:r>
            <w:r w:rsidR="007C6CC1">
              <w:t>ja attiecināms</w:t>
            </w:r>
            <w:r w:rsidR="003538CB">
              <w:t>)</w:t>
            </w:r>
            <w:r>
              <w:t xml:space="preserve">, jauno studiju programmu </w:t>
            </w:r>
            <w:r w:rsidR="0039764E">
              <w:t xml:space="preserve">starptautiskā </w:t>
            </w:r>
            <w:r>
              <w:t>publicitāte</w:t>
            </w:r>
            <w:r w:rsidR="0039764E">
              <w:t>.</w:t>
            </w:r>
          </w:p>
          <w:p w14:paraId="656ED44A" w14:textId="0E556888" w:rsidR="009D588F" w:rsidRDefault="00A21213" w:rsidP="009D588F">
            <w:pPr>
              <w:tabs>
                <w:tab w:val="left" w:pos="426"/>
                <w:tab w:val="left" w:pos="1134"/>
              </w:tabs>
              <w:ind w:firstLine="516"/>
              <w:jc w:val="both"/>
            </w:pPr>
            <w:r>
              <w:t>Otrās kārtas ietvaros p</w:t>
            </w:r>
            <w:r w:rsidR="009D588F">
              <w:t xml:space="preserve">rojekta iesniedzējs </w:t>
            </w:r>
            <w:r>
              <w:t xml:space="preserve">iesniedz projekta iesniegumu par katru </w:t>
            </w:r>
            <w:r w:rsidR="009D588F">
              <w:t>studiju virzien</w:t>
            </w:r>
            <w:r>
              <w:t>u</w:t>
            </w:r>
            <w:r w:rsidR="009D588F">
              <w:t xml:space="preserve"> atsevišķ</w:t>
            </w:r>
            <w:r>
              <w:t>i</w:t>
            </w:r>
            <w:r w:rsidR="00F12BC8">
              <w:t>, iekļaujot tajā studiju programmas ES valodās</w:t>
            </w:r>
            <w:r w:rsidR="00B60BAD">
              <w:t xml:space="preserve"> un </w:t>
            </w:r>
            <w:r w:rsidR="00F12BC8">
              <w:t>kopīgās doktorantūras studiju programmas (ja attiecināms)</w:t>
            </w:r>
            <w:r w:rsidR="00B60BAD">
              <w:t xml:space="preserve"> konkrētajā studiju virzienā</w:t>
            </w:r>
            <w:r w:rsidR="009D588F">
              <w:t xml:space="preserve">. </w:t>
            </w:r>
            <w:r w:rsidR="00AC40C6">
              <w:t>P</w:t>
            </w:r>
            <w:r w:rsidR="00B60BAD">
              <w:t xml:space="preserve">lānots, ka AII pārskatīs kopējo studiju programmu klāstu attiecīgajā studiju virzienā, izvērtējot studiju programmu aktualitāti un pārklāšanos. </w:t>
            </w:r>
            <w:r w:rsidR="00AC40C6">
              <w:t>Tādējādi</w:t>
            </w:r>
            <w:r w:rsidR="00B60BAD">
              <w:t xml:space="preserve"> tiks nodrošināta </w:t>
            </w:r>
            <w:r w:rsidR="00B60BAD" w:rsidRPr="00B60BAD">
              <w:rPr>
                <w:iCs/>
              </w:rPr>
              <w:t>resursu konsolidācija katrā studiju virzienā</w:t>
            </w:r>
            <w:r w:rsidR="00B60BAD">
              <w:rPr>
                <w:iCs/>
              </w:rPr>
              <w:t xml:space="preserve">, ņemot vērā, ka </w:t>
            </w:r>
            <w:r w:rsidR="00B60BAD" w:rsidRPr="00B60BAD">
              <w:rPr>
                <w:iCs/>
              </w:rPr>
              <w:t xml:space="preserve">viena </w:t>
            </w:r>
            <w:r w:rsidR="00AC40C6">
              <w:rPr>
                <w:iCs/>
              </w:rPr>
              <w:t xml:space="preserve">studiju </w:t>
            </w:r>
            <w:r w:rsidR="00B60BAD" w:rsidRPr="00B60BAD">
              <w:rPr>
                <w:iCs/>
              </w:rPr>
              <w:t xml:space="preserve">virziena </w:t>
            </w:r>
            <w:r w:rsidR="00B60BAD">
              <w:rPr>
                <w:iCs/>
              </w:rPr>
              <w:t xml:space="preserve">studiju </w:t>
            </w:r>
            <w:r w:rsidR="00B60BAD" w:rsidRPr="00B60BAD">
              <w:rPr>
                <w:iCs/>
              </w:rPr>
              <w:t xml:space="preserve">programmām </w:t>
            </w:r>
            <w:r w:rsidR="00B60BAD">
              <w:rPr>
                <w:iCs/>
              </w:rPr>
              <w:t xml:space="preserve">ir </w:t>
            </w:r>
            <w:r w:rsidR="00B60BAD" w:rsidRPr="00B60BAD">
              <w:rPr>
                <w:iCs/>
              </w:rPr>
              <w:t xml:space="preserve">vienādi resursi, </w:t>
            </w:r>
            <w:r w:rsidR="00B60BAD">
              <w:rPr>
                <w:iCs/>
              </w:rPr>
              <w:t xml:space="preserve">būs </w:t>
            </w:r>
            <w:r w:rsidR="00B60BAD" w:rsidRPr="00B60BAD">
              <w:rPr>
                <w:iCs/>
              </w:rPr>
              <w:t xml:space="preserve">vienkāršāka projekta </w:t>
            </w:r>
            <w:r w:rsidR="00B60BAD">
              <w:rPr>
                <w:iCs/>
              </w:rPr>
              <w:t xml:space="preserve">iesnieguma </w:t>
            </w:r>
            <w:r w:rsidR="00B60BAD" w:rsidRPr="00B60BAD">
              <w:rPr>
                <w:iCs/>
              </w:rPr>
              <w:t>sagatavošana un vērtēšana</w:t>
            </w:r>
            <w:r w:rsidR="00B60BAD">
              <w:rPr>
                <w:iCs/>
              </w:rPr>
              <w:t xml:space="preserve">, kā arī tiks </w:t>
            </w:r>
            <w:r w:rsidR="00B60BAD" w:rsidRPr="00B60BAD">
              <w:rPr>
                <w:iCs/>
              </w:rPr>
              <w:t>nodrošin</w:t>
            </w:r>
            <w:r w:rsidR="00F72E15">
              <w:rPr>
                <w:iCs/>
              </w:rPr>
              <w:t>āta sasaiste ar studiju virziena</w:t>
            </w:r>
            <w:r w:rsidR="00B60BAD" w:rsidRPr="00B60BAD">
              <w:rPr>
                <w:iCs/>
              </w:rPr>
              <w:t xml:space="preserve"> akreditāciju</w:t>
            </w:r>
            <w:r w:rsidR="00B60BAD">
              <w:rPr>
                <w:iCs/>
              </w:rPr>
              <w:t xml:space="preserve">. </w:t>
            </w:r>
          </w:p>
          <w:p w14:paraId="5C247D75" w14:textId="77777777" w:rsidR="003538CB" w:rsidRDefault="00273A36" w:rsidP="003538CB">
            <w:pPr>
              <w:tabs>
                <w:tab w:val="left" w:pos="426"/>
                <w:tab w:val="left" w:pos="1134"/>
              </w:tabs>
              <w:ind w:firstLine="516"/>
              <w:jc w:val="both"/>
            </w:pPr>
            <w:r w:rsidRPr="00F04F3F">
              <w:rPr>
                <w:iCs/>
              </w:rPr>
              <w:t xml:space="preserve">Viens </w:t>
            </w:r>
            <w:r w:rsidR="00F04F3F" w:rsidRPr="00F04F3F">
              <w:rPr>
                <w:iCs/>
              </w:rPr>
              <w:t xml:space="preserve">no projektu atlases nosacījumiem paredz, ka </w:t>
            </w:r>
            <w:r w:rsidR="00814A88">
              <w:t>finansējumu</w:t>
            </w:r>
            <w:r w:rsidR="00814A88" w:rsidRPr="00F04F3F">
              <w:t xml:space="preserve"> </w:t>
            </w:r>
            <w:r w:rsidR="00F04F3F" w:rsidRPr="002A4D0D">
              <w:t xml:space="preserve">kopīgo doktorantūras studiju programmu un studiju programmu ES valodās izstrādei </w:t>
            </w:r>
            <w:r w:rsidR="00F04F3F">
              <w:t>var saņemt</w:t>
            </w:r>
            <w:r w:rsidR="00F04F3F" w:rsidRPr="002A4D0D">
              <w:t>, ja šīs programmas ti</w:t>
            </w:r>
            <w:r w:rsidR="00AC40C6">
              <w:t>e</w:t>
            </w:r>
            <w:r w:rsidR="00F04F3F" w:rsidRPr="002A4D0D">
              <w:t>k veidotas, apvienojot vai slēdzot esošās studiju programmas</w:t>
            </w:r>
            <w:r w:rsidR="00F04F3F">
              <w:t xml:space="preserve">.  </w:t>
            </w:r>
            <w:r w:rsidR="00D3763D">
              <w:t>AII ir jābūt izstrādātam studiju programmu attīstības un konsolidācijas plānam</w:t>
            </w:r>
            <w:r w:rsidR="003538CB">
              <w:t>, kas saskaņots ar nozaru profesionālajām organizācijām.</w:t>
            </w:r>
          </w:p>
          <w:p w14:paraId="731C4458" w14:textId="5F6CF4F6" w:rsidR="00273A36" w:rsidRDefault="003538CB" w:rsidP="003538CB">
            <w:pPr>
              <w:tabs>
                <w:tab w:val="left" w:pos="426"/>
                <w:tab w:val="left" w:pos="1134"/>
              </w:tabs>
              <w:ind w:firstLine="516"/>
              <w:jc w:val="both"/>
              <w:rPr>
                <w:iCs/>
                <w:color w:val="C00000"/>
              </w:rPr>
            </w:pPr>
            <w:r>
              <w:t xml:space="preserve">Otrās kārtas ietvaros projekta maksimālo attiecināmo izmaksu kopsummu nosaka pēc projektā izstrādāt plānoto studiju programmu skaita, ievērojot, ka projekta kopējais attiecināmais finansējums vienas studiju programmas  izstrādei un pārējām atbalstāmajām darbībām nepārsniedz 100 000 </w:t>
            </w:r>
            <w:r w:rsidRPr="0097057D">
              <w:rPr>
                <w:i/>
              </w:rPr>
              <w:t>euro</w:t>
            </w:r>
            <w:r>
              <w:t>.</w:t>
            </w:r>
          </w:p>
          <w:p w14:paraId="41EE71B8" w14:textId="5AA27CAB" w:rsidR="0039499E" w:rsidRPr="005636A6" w:rsidRDefault="0039499E" w:rsidP="0039499E">
            <w:pPr>
              <w:tabs>
                <w:tab w:val="left" w:pos="426"/>
                <w:tab w:val="left" w:pos="1134"/>
              </w:tabs>
              <w:ind w:firstLine="516"/>
              <w:jc w:val="both"/>
              <w:rPr>
                <w:iCs/>
                <w:color w:val="000000" w:themeColor="text1"/>
              </w:rPr>
            </w:pPr>
            <w:r w:rsidRPr="005636A6">
              <w:rPr>
                <w:color w:val="000000" w:themeColor="text1"/>
              </w:rPr>
              <w:t xml:space="preserve">8.2.1. SAM </w:t>
            </w:r>
            <w:r w:rsidRPr="007D18FC">
              <w:rPr>
                <w:b/>
                <w:iCs/>
                <w:color w:val="000000" w:themeColor="text1"/>
              </w:rPr>
              <w:t>mērķa grupa</w:t>
            </w:r>
            <w:r w:rsidRPr="005636A6">
              <w:rPr>
                <w:iCs/>
                <w:color w:val="000000" w:themeColor="text1"/>
              </w:rPr>
              <w:t xml:space="preserve"> ir augstākās izglītības institūcijas, tai skaitā koledžas. </w:t>
            </w:r>
            <w:r w:rsidR="00AC40C6" w:rsidRPr="007D18FC">
              <w:rPr>
                <w:b/>
                <w:iCs/>
                <w:color w:val="000000" w:themeColor="text1"/>
              </w:rPr>
              <w:t>Sadarbības partneri</w:t>
            </w:r>
            <w:r w:rsidR="00AC40C6">
              <w:rPr>
                <w:iCs/>
                <w:color w:val="000000" w:themeColor="text1"/>
              </w:rPr>
              <w:t xml:space="preserve"> ir </w:t>
            </w:r>
            <w:r w:rsidR="00AC40C6" w:rsidRPr="005636A6">
              <w:rPr>
                <w:iCs/>
                <w:color w:val="000000" w:themeColor="text1"/>
              </w:rPr>
              <w:t>augstākās izglītības institūcijas, tai skaitā koledžas</w:t>
            </w:r>
            <w:r w:rsidR="00AC40C6">
              <w:rPr>
                <w:iCs/>
                <w:color w:val="000000" w:themeColor="text1"/>
              </w:rPr>
              <w:t>, un zinātniskās institūcijas.</w:t>
            </w:r>
          </w:p>
          <w:bookmarkEnd w:id="0"/>
          <w:p w14:paraId="738D7196" w14:textId="77777777" w:rsidR="0039499E" w:rsidRPr="002A4D0D" w:rsidRDefault="0039499E" w:rsidP="007D18FC">
            <w:pPr>
              <w:ind w:firstLine="516"/>
              <w:jc w:val="both"/>
            </w:pPr>
            <w:r w:rsidRPr="002A4D0D">
              <w:lastRenderedPageBreak/>
              <w:t xml:space="preserve">Plānotais </w:t>
            </w:r>
            <w:r w:rsidRPr="002A4D0D">
              <w:rPr>
                <w:b/>
              </w:rPr>
              <w:t>projektu ilgums</w:t>
            </w:r>
            <w:r w:rsidRPr="002A4D0D">
              <w:t xml:space="preserve"> aptuveni 3 – 5 gadi. Projektus plānots īstenot ne ilgāk kā līdz 2023.gada 30.novembrim.</w:t>
            </w:r>
          </w:p>
          <w:p w14:paraId="144B8E37" w14:textId="77777777" w:rsidR="0039499E" w:rsidRPr="002A4D0D" w:rsidRDefault="0039499E" w:rsidP="007D18FC">
            <w:pPr>
              <w:ind w:firstLine="516"/>
              <w:jc w:val="both"/>
            </w:pPr>
            <w:r w:rsidRPr="002A4D0D">
              <w:t xml:space="preserve">8.2.1. SAM ietvaros līdz 2023. gada 31. decembrim sasniedzami šādi </w:t>
            </w:r>
            <w:r w:rsidRPr="002A4D0D">
              <w:rPr>
                <w:b/>
              </w:rPr>
              <w:t>uzraudzības rādītāji</w:t>
            </w:r>
            <w:r w:rsidRPr="002A4D0D">
              <w:t xml:space="preserve">: </w:t>
            </w:r>
          </w:p>
          <w:p w14:paraId="319B9E3C" w14:textId="77777777" w:rsidR="0039499E" w:rsidRPr="002A4D0D" w:rsidRDefault="0039499E" w:rsidP="0039499E">
            <w:pPr>
              <w:tabs>
                <w:tab w:val="left" w:pos="1276"/>
              </w:tabs>
              <w:ind w:firstLine="516"/>
              <w:jc w:val="both"/>
              <w:rPr>
                <w:b/>
              </w:rPr>
            </w:pPr>
            <w:r w:rsidRPr="002A4D0D">
              <w:t>1.</w:t>
            </w:r>
            <w:r w:rsidRPr="002A4D0D">
              <w:tab/>
            </w:r>
            <w:r w:rsidRPr="002A4D0D">
              <w:rPr>
                <w:b/>
              </w:rPr>
              <w:t>iznākuma rādītāji:</w:t>
            </w:r>
          </w:p>
          <w:p w14:paraId="3A123DDD" w14:textId="568E3345" w:rsidR="0039499E" w:rsidRPr="002A4D0D" w:rsidRDefault="0039499E" w:rsidP="0039499E">
            <w:pPr>
              <w:tabs>
                <w:tab w:val="left" w:pos="1276"/>
              </w:tabs>
              <w:ind w:firstLine="516"/>
              <w:jc w:val="both"/>
            </w:pPr>
            <w:r w:rsidRPr="002A4D0D">
              <w:t xml:space="preserve">1.1. kopīgo doktorantūras studiju programmu skaits, kuru izstrādei un ieviešanai piešķirts ESF atbalsts – </w:t>
            </w:r>
            <w:r w:rsidRPr="00A70AB0">
              <w:t>15</w:t>
            </w:r>
            <w:r w:rsidRPr="007D18FC">
              <w:t>;</w:t>
            </w:r>
          </w:p>
          <w:p w14:paraId="68DC077F" w14:textId="2851BA01" w:rsidR="0039499E" w:rsidRDefault="0039499E" w:rsidP="0039499E">
            <w:pPr>
              <w:tabs>
                <w:tab w:val="left" w:pos="1276"/>
              </w:tabs>
              <w:ind w:firstLine="516"/>
              <w:jc w:val="both"/>
            </w:pPr>
            <w:r w:rsidRPr="002A4D0D">
              <w:t xml:space="preserve">1.2. studiju programmu ES valodās, izņemot latviešu valodu, skaits, kuru izstrādei un ieviešanai piešķirts ESF atbalsts – </w:t>
            </w:r>
            <w:r w:rsidR="00AC40C6">
              <w:t>80</w:t>
            </w:r>
            <w:r w:rsidRPr="002A4D0D">
              <w:t>;</w:t>
            </w:r>
          </w:p>
          <w:p w14:paraId="33EDB865" w14:textId="77777777" w:rsidR="0039499E" w:rsidRPr="002A4D0D" w:rsidRDefault="0039499E" w:rsidP="0039499E">
            <w:pPr>
              <w:tabs>
                <w:tab w:val="left" w:pos="1276"/>
              </w:tabs>
              <w:ind w:firstLine="516"/>
              <w:jc w:val="both"/>
            </w:pPr>
            <w:r w:rsidRPr="002A4D0D">
              <w:t>2.</w:t>
            </w:r>
            <w:r w:rsidRPr="002A4D0D">
              <w:tab/>
            </w:r>
            <w:r w:rsidRPr="002A4D0D">
              <w:rPr>
                <w:b/>
              </w:rPr>
              <w:t>rezultāta rādītāji</w:t>
            </w:r>
            <w:r w:rsidRPr="002A4D0D">
              <w:t>:</w:t>
            </w:r>
          </w:p>
          <w:p w14:paraId="41C7BBE1" w14:textId="77777777" w:rsidR="0039499E" w:rsidRPr="002A4D0D" w:rsidRDefault="0039499E" w:rsidP="0039499E">
            <w:pPr>
              <w:tabs>
                <w:tab w:val="left" w:pos="1276"/>
              </w:tabs>
              <w:ind w:firstLine="516"/>
              <w:jc w:val="both"/>
            </w:pPr>
            <w:r w:rsidRPr="002A4D0D">
              <w:t>2.1. slēgto studiju programmu skaits,  uz kuru bāzes izveidotas atbalstītās jaunās studiju programmas – 220;</w:t>
            </w:r>
          </w:p>
          <w:p w14:paraId="267F81A1" w14:textId="77777777" w:rsidR="0039499E" w:rsidRPr="002A4D0D" w:rsidRDefault="0039499E" w:rsidP="0039499E">
            <w:pPr>
              <w:tabs>
                <w:tab w:val="left" w:pos="1276"/>
              </w:tabs>
              <w:ind w:firstLine="516"/>
              <w:jc w:val="both"/>
            </w:pPr>
            <w:r w:rsidRPr="002A4D0D">
              <w:t>2.2. atbalstīto jauno kopīgo doktorantūras studiju programmu skaits, kuras saņēmušas EQAR aģentūras akreditāciju – 15;</w:t>
            </w:r>
          </w:p>
          <w:p w14:paraId="049CBDA1" w14:textId="321BC549" w:rsidR="0039499E" w:rsidRDefault="0039499E" w:rsidP="0039499E">
            <w:pPr>
              <w:tabs>
                <w:tab w:val="left" w:pos="1276"/>
              </w:tabs>
              <w:ind w:firstLine="516"/>
              <w:jc w:val="both"/>
            </w:pPr>
            <w:r w:rsidRPr="002A4D0D">
              <w:t xml:space="preserve">2.3. atbalstīto jauno studiju programmu ES valodās, kas nav latviešu valoda, skaits, kas saņēmušas EQAR aģentūras akreditāciju – </w:t>
            </w:r>
            <w:r w:rsidR="00AC40C6">
              <w:t>80</w:t>
            </w:r>
            <w:r w:rsidRPr="002A4D0D">
              <w:t xml:space="preserve">. </w:t>
            </w:r>
          </w:p>
          <w:p w14:paraId="0C238F8D" w14:textId="77777777" w:rsidR="0039499E" w:rsidRPr="002A4D0D" w:rsidRDefault="0039499E" w:rsidP="0039499E">
            <w:pPr>
              <w:tabs>
                <w:tab w:val="left" w:pos="1276"/>
              </w:tabs>
              <w:ind w:firstLine="516"/>
              <w:jc w:val="both"/>
            </w:pPr>
            <w:r w:rsidRPr="002A4D0D">
              <w:t xml:space="preserve">3. </w:t>
            </w:r>
            <w:r w:rsidRPr="007D18FC">
              <w:rPr>
                <w:b/>
              </w:rPr>
              <w:t>finanšu rādītājs</w:t>
            </w:r>
            <w:r w:rsidRPr="002A4D0D">
              <w:t xml:space="preserve"> līdz 2018. gada 31. decembrim – sertificēti izdevumi 350 000 </w:t>
            </w:r>
            <w:r w:rsidRPr="002A4D0D">
              <w:rPr>
                <w:i/>
              </w:rPr>
              <w:t>euro</w:t>
            </w:r>
            <w:r w:rsidRPr="002A4D0D">
              <w:t xml:space="preserve"> apmērā.</w:t>
            </w:r>
          </w:p>
          <w:p w14:paraId="1D3A5FF3" w14:textId="77777777" w:rsidR="00C1187A" w:rsidRDefault="00C1187A" w:rsidP="005B3840">
            <w:pPr>
              <w:tabs>
                <w:tab w:val="left" w:pos="567"/>
                <w:tab w:val="left" w:pos="2884"/>
              </w:tabs>
              <w:ind w:firstLine="567"/>
              <w:jc w:val="both"/>
            </w:pPr>
          </w:p>
          <w:p w14:paraId="331AC6B8" w14:textId="77777777" w:rsidR="003538CB" w:rsidRDefault="003538CB" w:rsidP="003538CB">
            <w:pPr>
              <w:tabs>
                <w:tab w:val="left" w:pos="567"/>
                <w:tab w:val="left" w:pos="2884"/>
              </w:tabs>
              <w:ind w:firstLine="567"/>
              <w:jc w:val="both"/>
            </w:pPr>
            <w:r>
              <w:t>Noteikumu projekts paredz, ka specifiskā atbalsta ietvaros finansējuma saņēmējam izmaksas ir attiecināmas, ja tās atbilst noteikumos minētajām izmaksu pozīcijām, un ir radušās, sākot ar noteikumu spēkā stāšanās dienu, savukārt sadarbības partnerim – pēc sadarbības līgumu noslēgšanas, bet ne agrāk kā no vienošanās vai līguma par projekta īstenošanu noslēgšanas dienas.</w:t>
            </w:r>
          </w:p>
          <w:p w14:paraId="715123E0" w14:textId="19A1089B" w:rsidR="003538CB" w:rsidRDefault="003538CB" w:rsidP="003538CB">
            <w:pPr>
              <w:tabs>
                <w:tab w:val="left" w:pos="567"/>
                <w:tab w:val="left" w:pos="2884"/>
              </w:tabs>
              <w:ind w:firstLine="567"/>
              <w:jc w:val="both"/>
            </w:pPr>
            <w:r>
              <w:t xml:space="preserve">Noteikumu projekts paredz, ja projekta īstenošanas laikā finansējuma saņēmējam ir paredzēts avanss, to var izmaksāt pa daļām. Viens avansa maksājums nepārsniedz 30 procentus. Finansējuma saņēmējiem, kuriem ir atvasinātas publiskas personas vai atvasinātas publiskas personas aģentūras statuss (valsts dibinātas augstskolas vai to aģentūras – koledžas), avansa un starpposma maksājumu kopsumma var būt 100 procenti no projektam piešķirtā </w:t>
            </w:r>
            <w:r w:rsidR="00C16C02">
              <w:t>ESF</w:t>
            </w:r>
            <w:r>
              <w:t xml:space="preserve"> finansējuma un valsts budžeta līdzfinansējuma kopsummas. Finansējuma saņēmējiem, kas ir juridisko personu dibinātas augstākās izglītības institūcijas, avansa un starpposma maksājumu kopsumma var būt 90 procenti no projektā paredzētā </w:t>
            </w:r>
            <w:r w:rsidR="00C16C02">
              <w:t>ESF</w:t>
            </w:r>
            <w:r>
              <w:t xml:space="preserve"> finansējuma un valsts budžeta līdzfinansējuma kopsummas.</w:t>
            </w:r>
          </w:p>
          <w:p w14:paraId="1784B813" w14:textId="77777777" w:rsidR="003538CB" w:rsidRDefault="003538CB" w:rsidP="003538CB">
            <w:pPr>
              <w:tabs>
                <w:tab w:val="left" w:pos="567"/>
                <w:tab w:val="left" w:pos="2884"/>
              </w:tabs>
              <w:ind w:firstLine="567"/>
              <w:jc w:val="both"/>
            </w:pPr>
          </w:p>
          <w:p w14:paraId="7AE624FF" w14:textId="64744FC7" w:rsidR="005B3840" w:rsidRPr="002A4D0D" w:rsidRDefault="005B3840" w:rsidP="005B3840">
            <w:pPr>
              <w:tabs>
                <w:tab w:val="left" w:pos="567"/>
                <w:tab w:val="left" w:pos="2884"/>
              </w:tabs>
              <w:ind w:firstLine="567"/>
              <w:jc w:val="both"/>
            </w:pPr>
            <w:r w:rsidRPr="002A4D0D">
              <w:t xml:space="preserve">8.2.1. SAM ietvaros plānotās ESF investīcijas nodrošina </w:t>
            </w:r>
            <w:r w:rsidRPr="007D18FC">
              <w:rPr>
                <w:b/>
              </w:rPr>
              <w:t>sinerģiju</w:t>
            </w:r>
            <w:r w:rsidRPr="002A4D0D">
              <w:t xml:space="preserve"> un papildinātību ar vairākiem darbības programmas „Izaugsme un nodarbinātība” prioritārā virziena “Izglītības, prasmes un mūžizglītības” specifiskajiem atbalsta mērķiem, kas vērsti uz uzlabojumiem augstākajā izglītībā un </w:t>
            </w:r>
            <w:r w:rsidR="00D3763D">
              <w:t>kuru primārā mērķa grupa ir AII</w:t>
            </w:r>
            <w:r w:rsidRPr="002A4D0D">
              <w:t xml:space="preserve">, tai skaitā koledžas: </w:t>
            </w:r>
          </w:p>
          <w:p w14:paraId="7BA88703" w14:textId="6B967F06" w:rsidR="00927887" w:rsidRPr="002A4D0D" w:rsidRDefault="00927887" w:rsidP="007D18FC">
            <w:pPr>
              <w:pStyle w:val="CCBullet"/>
              <w:numPr>
                <w:ilvl w:val="0"/>
                <w:numId w:val="27"/>
              </w:numPr>
              <w:spacing w:before="0" w:after="0"/>
              <w:rPr>
                <w:rFonts w:ascii="Times New Roman" w:hAnsi="Times New Roman"/>
                <w:sz w:val="24"/>
                <w:szCs w:val="24"/>
              </w:rPr>
            </w:pPr>
            <w:r w:rsidRPr="007D18FC">
              <w:rPr>
                <w:rFonts w:ascii="Times New Roman" w:hAnsi="Times New Roman"/>
                <w:b/>
                <w:sz w:val="24"/>
                <w:szCs w:val="24"/>
              </w:rPr>
              <w:t>8.1.1. SAM</w:t>
            </w:r>
            <w:r w:rsidRPr="002A4D0D">
              <w:rPr>
                <w:rFonts w:ascii="Times New Roman" w:hAnsi="Times New Roman"/>
                <w:sz w:val="24"/>
                <w:szCs w:val="24"/>
              </w:rPr>
              <w:t xml:space="preserve"> “Palielināt modernizēto STEM, tajā skaitā medicīnas un radošās industrijas, studiju programmu skaitu”</w:t>
            </w:r>
            <w:r w:rsidR="00A324A2" w:rsidRPr="002A4D0D">
              <w:rPr>
                <w:rFonts w:ascii="Times New Roman" w:hAnsi="Times New Roman"/>
                <w:sz w:val="24"/>
                <w:szCs w:val="24"/>
              </w:rPr>
              <w:t xml:space="preserve"> (turpmāk – 8.1.1. SAM), kā arī </w:t>
            </w:r>
            <w:r w:rsidRPr="007D18FC">
              <w:rPr>
                <w:rFonts w:ascii="Times New Roman" w:hAnsi="Times New Roman"/>
                <w:b/>
                <w:sz w:val="24"/>
                <w:szCs w:val="24"/>
              </w:rPr>
              <w:t>8.1.4. SAM</w:t>
            </w:r>
            <w:r w:rsidRPr="002A4D0D">
              <w:rPr>
                <w:rFonts w:ascii="Times New Roman" w:hAnsi="Times New Roman"/>
                <w:sz w:val="24"/>
                <w:szCs w:val="24"/>
              </w:rPr>
              <w:t xml:space="preserve"> “Uzlabot pirmā </w:t>
            </w:r>
            <w:r w:rsidRPr="002A4D0D">
              <w:rPr>
                <w:rFonts w:ascii="Times New Roman" w:hAnsi="Times New Roman"/>
                <w:sz w:val="24"/>
                <w:szCs w:val="24"/>
              </w:rPr>
              <w:lastRenderedPageBreak/>
              <w:t>līmeņa profesionālās augstākās izglītības STEM, t.sk. medicīnas un radošās industrijas, studiju mācību vidi koledžās”</w:t>
            </w:r>
            <w:r w:rsidR="00A324A2" w:rsidRPr="002A4D0D">
              <w:rPr>
                <w:rFonts w:ascii="Times New Roman" w:hAnsi="Times New Roman"/>
                <w:sz w:val="24"/>
                <w:szCs w:val="24"/>
              </w:rPr>
              <w:t xml:space="preserve"> (turpmāk – </w:t>
            </w:r>
            <w:r w:rsidR="00956661" w:rsidRPr="002A4D0D">
              <w:rPr>
                <w:rFonts w:ascii="Times New Roman" w:hAnsi="Times New Roman"/>
                <w:sz w:val="24"/>
                <w:szCs w:val="24"/>
              </w:rPr>
              <w:t>8</w:t>
            </w:r>
            <w:r w:rsidR="00A324A2" w:rsidRPr="002A4D0D">
              <w:rPr>
                <w:rFonts w:ascii="Times New Roman" w:hAnsi="Times New Roman"/>
                <w:sz w:val="24"/>
                <w:szCs w:val="24"/>
              </w:rPr>
              <w:t>.1.4. SAM). 8.1.1. SAM un 8.</w:t>
            </w:r>
            <w:r w:rsidR="00F72E15">
              <w:rPr>
                <w:rFonts w:ascii="Times New Roman" w:hAnsi="Times New Roman"/>
                <w:sz w:val="24"/>
                <w:szCs w:val="24"/>
              </w:rPr>
              <w:t>1</w:t>
            </w:r>
            <w:r w:rsidR="00A324A2" w:rsidRPr="002A4D0D">
              <w:rPr>
                <w:rFonts w:ascii="Times New Roman" w:hAnsi="Times New Roman"/>
                <w:sz w:val="24"/>
                <w:szCs w:val="24"/>
              </w:rPr>
              <w:t>.4. SAM īstenošanas rezultātā tiks modernizēta augstskolu un koledžu  infrastruktūra, kas ir viens no priekšnoteikumiem kvalitatīvu studiju programmu izveid</w:t>
            </w:r>
            <w:r w:rsidR="00874E85" w:rsidRPr="002A4D0D">
              <w:rPr>
                <w:rFonts w:ascii="Times New Roman" w:hAnsi="Times New Roman"/>
                <w:sz w:val="24"/>
                <w:szCs w:val="24"/>
              </w:rPr>
              <w:t xml:space="preserve">ei </w:t>
            </w:r>
            <w:r w:rsidR="00A324A2" w:rsidRPr="002A4D0D">
              <w:rPr>
                <w:rFonts w:ascii="Times New Roman" w:hAnsi="Times New Roman"/>
                <w:sz w:val="24"/>
                <w:szCs w:val="24"/>
              </w:rPr>
              <w:t>un īstenošan</w:t>
            </w:r>
            <w:r w:rsidR="00874E85" w:rsidRPr="002A4D0D">
              <w:rPr>
                <w:rFonts w:ascii="Times New Roman" w:hAnsi="Times New Roman"/>
                <w:sz w:val="24"/>
                <w:szCs w:val="24"/>
              </w:rPr>
              <w:t>ai</w:t>
            </w:r>
            <w:r w:rsidR="00A324A2" w:rsidRPr="002A4D0D">
              <w:rPr>
                <w:rFonts w:ascii="Times New Roman" w:hAnsi="Times New Roman"/>
                <w:sz w:val="24"/>
                <w:szCs w:val="24"/>
              </w:rPr>
              <w:t xml:space="preserve">.  </w:t>
            </w:r>
          </w:p>
          <w:p w14:paraId="2812CB8D" w14:textId="148C0868" w:rsidR="00927887" w:rsidRPr="002A4D0D" w:rsidRDefault="00927887" w:rsidP="007D18FC">
            <w:pPr>
              <w:pStyle w:val="CCBullet"/>
              <w:numPr>
                <w:ilvl w:val="0"/>
                <w:numId w:val="27"/>
              </w:numPr>
              <w:spacing w:before="0" w:after="0"/>
              <w:rPr>
                <w:rFonts w:ascii="Times New Roman" w:hAnsi="Times New Roman"/>
                <w:sz w:val="24"/>
                <w:szCs w:val="24"/>
              </w:rPr>
            </w:pPr>
            <w:r w:rsidRPr="007D18FC">
              <w:rPr>
                <w:rFonts w:ascii="Times New Roman" w:hAnsi="Times New Roman"/>
                <w:b/>
                <w:sz w:val="24"/>
                <w:szCs w:val="24"/>
              </w:rPr>
              <w:t>8.2.2. SAM</w:t>
            </w:r>
            <w:r w:rsidRPr="002A4D0D">
              <w:rPr>
                <w:rFonts w:ascii="Times New Roman" w:hAnsi="Times New Roman"/>
                <w:sz w:val="24"/>
                <w:szCs w:val="24"/>
              </w:rPr>
              <w:t xml:space="preserve"> “Stiprināt augstākās izglītības institūciju akadēmisko personālu stratēģiskās specializācijas jomās”</w:t>
            </w:r>
            <w:r w:rsidR="00A324A2" w:rsidRPr="002A4D0D">
              <w:rPr>
                <w:rFonts w:ascii="Times New Roman" w:hAnsi="Times New Roman"/>
                <w:sz w:val="24"/>
                <w:szCs w:val="24"/>
              </w:rPr>
              <w:t xml:space="preserve"> (turpmāk – 8.2.2. SAM). 8.2.2. SAM ietvaros paredzēts </w:t>
            </w:r>
            <w:r w:rsidR="00E83F56">
              <w:rPr>
                <w:rFonts w:ascii="Times New Roman" w:hAnsi="Times New Roman"/>
                <w:sz w:val="24"/>
                <w:szCs w:val="24"/>
              </w:rPr>
              <w:t>finansējum</w:t>
            </w:r>
            <w:r w:rsidR="00E83F56" w:rsidRPr="002A4D0D">
              <w:rPr>
                <w:rFonts w:ascii="Times New Roman" w:hAnsi="Times New Roman"/>
                <w:sz w:val="24"/>
                <w:szCs w:val="24"/>
              </w:rPr>
              <w:t xml:space="preserve">s </w:t>
            </w:r>
            <w:r w:rsidR="00A324A2" w:rsidRPr="002A4D0D">
              <w:rPr>
                <w:rFonts w:ascii="Times New Roman" w:hAnsi="Times New Roman"/>
                <w:sz w:val="24"/>
                <w:szCs w:val="24"/>
              </w:rPr>
              <w:t xml:space="preserve">ārvalsts pasniedzēju piesaistei darbam AII Latvijā, </w:t>
            </w:r>
            <w:r w:rsidR="00E83F56">
              <w:rPr>
                <w:rFonts w:ascii="Times New Roman" w:hAnsi="Times New Roman"/>
                <w:sz w:val="24"/>
                <w:szCs w:val="24"/>
              </w:rPr>
              <w:t>finansējums</w:t>
            </w:r>
            <w:r w:rsidR="00E83F56" w:rsidRPr="002A4D0D">
              <w:rPr>
                <w:rFonts w:ascii="Times New Roman" w:hAnsi="Times New Roman"/>
                <w:sz w:val="24"/>
                <w:szCs w:val="24"/>
              </w:rPr>
              <w:t xml:space="preserve"> </w:t>
            </w:r>
            <w:r w:rsidR="00A324A2" w:rsidRPr="002A4D0D">
              <w:rPr>
                <w:rFonts w:ascii="Times New Roman" w:hAnsi="Times New Roman"/>
                <w:sz w:val="24"/>
                <w:szCs w:val="24"/>
              </w:rPr>
              <w:t xml:space="preserve">akadēmiskā personāla kompetenču un prasmju pilnveidei, t.sk. ES valodu apguvei, jauno pasniedzēju piesaistei, </w:t>
            </w:r>
            <w:r w:rsidR="00E83F56">
              <w:rPr>
                <w:rFonts w:ascii="Times New Roman" w:hAnsi="Times New Roman"/>
                <w:sz w:val="24"/>
                <w:szCs w:val="24"/>
              </w:rPr>
              <w:t>veicin</w:t>
            </w:r>
            <w:r w:rsidR="00E83F56" w:rsidRPr="002A4D0D">
              <w:rPr>
                <w:rFonts w:ascii="Times New Roman" w:hAnsi="Times New Roman"/>
                <w:sz w:val="24"/>
                <w:szCs w:val="24"/>
              </w:rPr>
              <w:t xml:space="preserve">ot </w:t>
            </w:r>
            <w:r w:rsidR="00A324A2" w:rsidRPr="002A4D0D">
              <w:rPr>
                <w:rFonts w:ascii="Times New Roman" w:hAnsi="Times New Roman"/>
                <w:sz w:val="24"/>
                <w:szCs w:val="24"/>
              </w:rPr>
              <w:t>doktorantu akadēmisko darbu AII. Minēt</w:t>
            </w:r>
            <w:r w:rsidR="00E83F56">
              <w:rPr>
                <w:rFonts w:ascii="Times New Roman" w:hAnsi="Times New Roman"/>
                <w:sz w:val="24"/>
                <w:szCs w:val="24"/>
              </w:rPr>
              <w:t>ie</w:t>
            </w:r>
            <w:r w:rsidR="00A324A2" w:rsidRPr="002A4D0D">
              <w:rPr>
                <w:rFonts w:ascii="Times New Roman" w:hAnsi="Times New Roman"/>
                <w:sz w:val="24"/>
                <w:szCs w:val="24"/>
              </w:rPr>
              <w:t xml:space="preserve"> </w:t>
            </w:r>
            <w:r w:rsidR="00E83F56">
              <w:rPr>
                <w:rFonts w:ascii="Times New Roman" w:hAnsi="Times New Roman"/>
                <w:sz w:val="24"/>
                <w:szCs w:val="24"/>
              </w:rPr>
              <w:t>stimuli</w:t>
            </w:r>
            <w:r w:rsidR="00E83F56" w:rsidRPr="002A4D0D">
              <w:rPr>
                <w:rFonts w:ascii="Times New Roman" w:hAnsi="Times New Roman"/>
                <w:sz w:val="24"/>
                <w:szCs w:val="24"/>
              </w:rPr>
              <w:t xml:space="preserve"> </w:t>
            </w:r>
            <w:r w:rsidR="00A324A2" w:rsidRPr="002A4D0D">
              <w:rPr>
                <w:rFonts w:ascii="Times New Roman" w:hAnsi="Times New Roman"/>
                <w:sz w:val="24"/>
                <w:szCs w:val="24"/>
              </w:rPr>
              <w:t xml:space="preserve">vistiešākā veidā </w:t>
            </w:r>
            <w:r w:rsidR="003346B2" w:rsidRPr="002A4D0D">
              <w:rPr>
                <w:rFonts w:ascii="Times New Roman" w:hAnsi="Times New Roman"/>
                <w:sz w:val="24"/>
                <w:szCs w:val="24"/>
              </w:rPr>
              <w:t xml:space="preserve">veicinās 8.2.1. SAM sekmīgu īstenošanu, jo kompetents akadēmiskais personāls, kas spēj vadīt studiju kursus ES valodās, ir viens no priekšnoteikumiem </w:t>
            </w:r>
            <w:r w:rsidR="0065248E" w:rsidRPr="002A4D0D">
              <w:rPr>
                <w:rFonts w:ascii="Times New Roman" w:hAnsi="Times New Roman"/>
                <w:sz w:val="24"/>
                <w:szCs w:val="24"/>
              </w:rPr>
              <w:t>kvalitatīvu studiju programmu ES valodās un kopīgo doktorantūras studiju programmu izveidei un īstenošanai.</w:t>
            </w:r>
            <w:r w:rsidR="00A324A2" w:rsidRPr="002A4D0D">
              <w:rPr>
                <w:rFonts w:ascii="Times New Roman" w:hAnsi="Times New Roman"/>
                <w:sz w:val="24"/>
                <w:szCs w:val="24"/>
              </w:rPr>
              <w:t xml:space="preserve"> </w:t>
            </w:r>
          </w:p>
          <w:p w14:paraId="7417B1E4" w14:textId="5A634340" w:rsidR="00927887" w:rsidRPr="002A4D0D" w:rsidRDefault="00927887" w:rsidP="007D18FC">
            <w:pPr>
              <w:pStyle w:val="CCBullet"/>
              <w:numPr>
                <w:ilvl w:val="0"/>
                <w:numId w:val="27"/>
              </w:numPr>
              <w:spacing w:before="0" w:after="0"/>
              <w:rPr>
                <w:rFonts w:ascii="Times New Roman" w:hAnsi="Times New Roman"/>
                <w:sz w:val="24"/>
                <w:szCs w:val="24"/>
              </w:rPr>
            </w:pPr>
            <w:r w:rsidRPr="007D18FC">
              <w:rPr>
                <w:rFonts w:ascii="Times New Roman" w:hAnsi="Times New Roman"/>
                <w:b/>
                <w:sz w:val="24"/>
                <w:szCs w:val="24"/>
              </w:rPr>
              <w:t>8.2.3. SAM</w:t>
            </w:r>
            <w:r w:rsidRPr="002A4D0D">
              <w:rPr>
                <w:rFonts w:ascii="Times New Roman" w:hAnsi="Times New Roman"/>
                <w:sz w:val="24"/>
                <w:szCs w:val="24"/>
              </w:rPr>
              <w:t xml:space="preserve"> “Nodrošināt labāku pārvaldību augstākās izglītības institūcijās”</w:t>
            </w:r>
            <w:r w:rsidR="00874E85" w:rsidRPr="002A4D0D">
              <w:rPr>
                <w:rFonts w:ascii="Times New Roman" w:hAnsi="Times New Roman"/>
                <w:sz w:val="24"/>
                <w:szCs w:val="24"/>
              </w:rPr>
              <w:t xml:space="preserve"> (turpmāk – 8.2.3. SAM)</w:t>
            </w:r>
            <w:r w:rsidR="00DE5919" w:rsidRPr="002A4D0D">
              <w:rPr>
                <w:rFonts w:ascii="Times New Roman" w:hAnsi="Times New Roman"/>
                <w:sz w:val="24"/>
                <w:szCs w:val="24"/>
              </w:rPr>
              <w:t xml:space="preserve">, kura </w:t>
            </w:r>
            <w:r w:rsidR="00A324A2" w:rsidRPr="002A4D0D">
              <w:rPr>
                <w:rFonts w:ascii="Times New Roman" w:hAnsi="Times New Roman"/>
                <w:sz w:val="24"/>
                <w:szCs w:val="24"/>
              </w:rPr>
              <w:t xml:space="preserve">atbalstāmajās darbībās ir paredzēta arī </w:t>
            </w:r>
            <w:r w:rsidR="00DE5919" w:rsidRPr="002A4D0D">
              <w:rPr>
                <w:rFonts w:ascii="Times New Roman" w:hAnsi="Times New Roman"/>
                <w:sz w:val="24"/>
                <w:szCs w:val="24"/>
              </w:rPr>
              <w:t xml:space="preserve">studiju programmu satura pārstrukturizācija un aktualizācija, studiju programmu konsolidācija. </w:t>
            </w:r>
            <w:r w:rsidR="00874E85" w:rsidRPr="002A4D0D">
              <w:rPr>
                <w:rFonts w:ascii="Times New Roman" w:hAnsi="Times New Roman"/>
                <w:sz w:val="24"/>
                <w:szCs w:val="24"/>
              </w:rPr>
              <w:t xml:space="preserve">Vienlaicīga </w:t>
            </w:r>
            <w:r w:rsidR="00533593" w:rsidRPr="002A4D0D">
              <w:rPr>
                <w:rFonts w:ascii="Times New Roman" w:hAnsi="Times New Roman"/>
                <w:sz w:val="24"/>
                <w:szCs w:val="24"/>
              </w:rPr>
              <w:t xml:space="preserve">un saskaņota </w:t>
            </w:r>
            <w:r w:rsidR="00874E85" w:rsidRPr="002A4D0D">
              <w:rPr>
                <w:rFonts w:ascii="Times New Roman" w:hAnsi="Times New Roman"/>
                <w:sz w:val="24"/>
                <w:szCs w:val="24"/>
              </w:rPr>
              <w:t>8.2.1.</w:t>
            </w:r>
            <w:r w:rsidR="009A5892" w:rsidRPr="002A4D0D">
              <w:rPr>
                <w:rFonts w:ascii="Times New Roman" w:hAnsi="Times New Roman"/>
                <w:sz w:val="24"/>
                <w:szCs w:val="24"/>
              </w:rPr>
              <w:t xml:space="preserve"> SAM</w:t>
            </w:r>
            <w:r w:rsidR="00874E85" w:rsidRPr="002A4D0D">
              <w:rPr>
                <w:rFonts w:ascii="Times New Roman" w:hAnsi="Times New Roman"/>
                <w:sz w:val="24"/>
                <w:szCs w:val="24"/>
              </w:rPr>
              <w:t xml:space="preserve"> un 8.2.3. SAM īstenošana nodrošinās</w:t>
            </w:r>
            <w:r w:rsidR="00956661" w:rsidRPr="002A4D0D">
              <w:rPr>
                <w:rFonts w:ascii="Times New Roman" w:hAnsi="Times New Roman"/>
                <w:sz w:val="24"/>
                <w:szCs w:val="24"/>
              </w:rPr>
              <w:t xml:space="preserve">, ka līdz 2023.gadam Latvijas AII piedāvās kvalitatīvas, modernas un konkurētspējīgas studiju programmas, </w:t>
            </w:r>
            <w:r w:rsidR="001519F3" w:rsidRPr="002A4D0D">
              <w:rPr>
                <w:rFonts w:ascii="Times New Roman" w:hAnsi="Times New Roman"/>
                <w:sz w:val="24"/>
                <w:szCs w:val="24"/>
              </w:rPr>
              <w:t>kuru</w:t>
            </w:r>
            <w:r w:rsidR="0064691B" w:rsidRPr="002A4D0D">
              <w:rPr>
                <w:rFonts w:ascii="Times New Roman" w:hAnsi="Times New Roman"/>
                <w:sz w:val="24"/>
                <w:szCs w:val="24"/>
              </w:rPr>
              <w:t xml:space="preserve"> skaits </w:t>
            </w:r>
            <w:r w:rsidR="00197FB3" w:rsidRPr="002A4D0D">
              <w:rPr>
                <w:rFonts w:ascii="Times New Roman" w:hAnsi="Times New Roman"/>
                <w:sz w:val="24"/>
                <w:szCs w:val="24"/>
              </w:rPr>
              <w:t xml:space="preserve">ir samērojams ar studējošo skaitu </w:t>
            </w:r>
            <w:r w:rsidR="0064691B" w:rsidRPr="002A4D0D">
              <w:rPr>
                <w:rFonts w:ascii="Times New Roman" w:hAnsi="Times New Roman"/>
                <w:sz w:val="24"/>
                <w:szCs w:val="24"/>
              </w:rPr>
              <w:t>un to</w:t>
            </w:r>
            <w:r w:rsidR="001519F3" w:rsidRPr="002A4D0D">
              <w:rPr>
                <w:rFonts w:ascii="Times New Roman" w:hAnsi="Times New Roman"/>
                <w:sz w:val="24"/>
                <w:szCs w:val="24"/>
              </w:rPr>
              <w:t xml:space="preserve"> īstenošana balstās uz resursu koplietošanu, un tās </w:t>
            </w:r>
            <w:r w:rsidR="00956661" w:rsidRPr="002A4D0D">
              <w:rPr>
                <w:rFonts w:ascii="Times New Roman" w:hAnsi="Times New Roman"/>
                <w:sz w:val="24"/>
                <w:szCs w:val="24"/>
              </w:rPr>
              <w:t>ir pievilcīgas ne tikai vietējiem, bet arī ārvalstu studējošiem.</w:t>
            </w:r>
          </w:p>
          <w:p w14:paraId="4C107795" w14:textId="0FD2587A" w:rsidR="00927887" w:rsidRDefault="00927887" w:rsidP="007D18FC">
            <w:pPr>
              <w:pStyle w:val="CCBullet"/>
              <w:numPr>
                <w:ilvl w:val="0"/>
                <w:numId w:val="27"/>
              </w:numPr>
              <w:spacing w:before="0" w:after="0"/>
              <w:rPr>
                <w:rFonts w:ascii="Times New Roman" w:hAnsi="Times New Roman"/>
                <w:sz w:val="24"/>
                <w:szCs w:val="24"/>
              </w:rPr>
            </w:pPr>
            <w:r w:rsidRPr="007D18FC">
              <w:rPr>
                <w:rFonts w:ascii="Times New Roman" w:hAnsi="Times New Roman"/>
                <w:b/>
                <w:sz w:val="24"/>
                <w:szCs w:val="24"/>
              </w:rPr>
              <w:t>8.2.4. SAM</w:t>
            </w:r>
            <w:r w:rsidRPr="002A4D0D">
              <w:rPr>
                <w:rFonts w:ascii="Times New Roman" w:hAnsi="Times New Roman"/>
                <w:sz w:val="24"/>
                <w:szCs w:val="24"/>
              </w:rPr>
              <w:t xml:space="preserve"> “Nodrošināt atbalstu EQAR aģentūrai izvirzīto prasību izpildei”</w:t>
            </w:r>
            <w:r w:rsidR="008331C8" w:rsidRPr="002A4D0D">
              <w:rPr>
                <w:rFonts w:ascii="Times New Roman" w:hAnsi="Times New Roman"/>
                <w:sz w:val="24"/>
                <w:szCs w:val="24"/>
              </w:rPr>
              <w:t xml:space="preserve"> (turpmāk – 8.2.</w:t>
            </w:r>
            <w:r w:rsidR="00874E85" w:rsidRPr="002A4D0D">
              <w:rPr>
                <w:rFonts w:ascii="Times New Roman" w:hAnsi="Times New Roman"/>
                <w:sz w:val="24"/>
                <w:szCs w:val="24"/>
              </w:rPr>
              <w:t>4</w:t>
            </w:r>
            <w:r w:rsidR="008331C8" w:rsidRPr="002A4D0D">
              <w:rPr>
                <w:rFonts w:ascii="Times New Roman" w:hAnsi="Times New Roman"/>
                <w:sz w:val="24"/>
                <w:szCs w:val="24"/>
              </w:rPr>
              <w:t>. SAM)</w:t>
            </w:r>
            <w:r w:rsidRPr="002A4D0D">
              <w:rPr>
                <w:rFonts w:ascii="Times New Roman" w:hAnsi="Times New Roman"/>
                <w:sz w:val="24"/>
                <w:szCs w:val="24"/>
              </w:rPr>
              <w:t>.</w:t>
            </w:r>
            <w:r w:rsidR="00DE5919" w:rsidRPr="002A4D0D">
              <w:rPr>
                <w:rFonts w:ascii="Times New Roman" w:hAnsi="Times New Roman"/>
                <w:sz w:val="24"/>
                <w:szCs w:val="24"/>
              </w:rPr>
              <w:t xml:space="preserve"> Ņemot vērā, ka 8.2.1. SAM </w:t>
            </w:r>
            <w:r w:rsidR="008331C8" w:rsidRPr="002A4D0D">
              <w:rPr>
                <w:rFonts w:ascii="Times New Roman" w:hAnsi="Times New Roman"/>
                <w:sz w:val="24"/>
                <w:szCs w:val="24"/>
              </w:rPr>
              <w:t xml:space="preserve">ietvaros </w:t>
            </w:r>
            <w:r w:rsidR="00DE5919" w:rsidRPr="002A4D0D">
              <w:rPr>
                <w:rFonts w:ascii="Times New Roman" w:hAnsi="Times New Roman"/>
                <w:sz w:val="24"/>
                <w:szCs w:val="24"/>
              </w:rPr>
              <w:t>kā viena no atbalstāmajām darbībā</w:t>
            </w:r>
            <w:r w:rsidR="008331C8" w:rsidRPr="002A4D0D">
              <w:rPr>
                <w:rFonts w:ascii="Times New Roman" w:hAnsi="Times New Roman"/>
                <w:sz w:val="24"/>
                <w:szCs w:val="24"/>
              </w:rPr>
              <w:t>m</w:t>
            </w:r>
            <w:r w:rsidR="00DE5919" w:rsidRPr="002A4D0D">
              <w:rPr>
                <w:rFonts w:ascii="Times New Roman" w:hAnsi="Times New Roman"/>
                <w:sz w:val="24"/>
                <w:szCs w:val="24"/>
              </w:rPr>
              <w:t xml:space="preserve"> ir</w:t>
            </w:r>
            <w:r w:rsidR="008331C8" w:rsidRPr="002A4D0D">
              <w:rPr>
                <w:rFonts w:ascii="Times New Roman" w:hAnsi="Times New Roman"/>
                <w:sz w:val="24"/>
                <w:szCs w:val="24"/>
              </w:rPr>
              <w:t xml:space="preserve"> paredzēta</w:t>
            </w:r>
            <w:r w:rsidR="00DE5919" w:rsidRPr="002A4D0D">
              <w:rPr>
                <w:rFonts w:ascii="Times New Roman" w:hAnsi="Times New Roman"/>
                <w:sz w:val="24"/>
                <w:szCs w:val="24"/>
              </w:rPr>
              <w:t xml:space="preserve"> studiju programmu </w:t>
            </w:r>
            <w:r w:rsidR="00F428B9">
              <w:rPr>
                <w:rFonts w:ascii="Times New Roman" w:hAnsi="Times New Roman"/>
                <w:sz w:val="24"/>
                <w:szCs w:val="24"/>
              </w:rPr>
              <w:t xml:space="preserve">(studiju virziena) </w:t>
            </w:r>
            <w:r w:rsidR="00DE5919" w:rsidRPr="002A4D0D">
              <w:rPr>
                <w:rFonts w:ascii="Times New Roman" w:hAnsi="Times New Roman"/>
                <w:sz w:val="24"/>
                <w:szCs w:val="24"/>
              </w:rPr>
              <w:t>akreditācija</w:t>
            </w:r>
            <w:r w:rsidR="00F72E15">
              <w:rPr>
                <w:rFonts w:ascii="Times New Roman" w:hAnsi="Times New Roman"/>
                <w:sz w:val="24"/>
                <w:szCs w:val="24"/>
              </w:rPr>
              <w:t xml:space="preserve"> EQ</w:t>
            </w:r>
            <w:r w:rsidR="00F428B9">
              <w:rPr>
                <w:rFonts w:ascii="Times New Roman" w:hAnsi="Times New Roman"/>
                <w:sz w:val="24"/>
                <w:szCs w:val="24"/>
              </w:rPr>
              <w:t>A</w:t>
            </w:r>
            <w:r w:rsidR="00F72E15">
              <w:rPr>
                <w:rFonts w:ascii="Times New Roman" w:hAnsi="Times New Roman"/>
                <w:sz w:val="24"/>
                <w:szCs w:val="24"/>
              </w:rPr>
              <w:t>R</w:t>
            </w:r>
            <w:r w:rsidR="00F428B9">
              <w:rPr>
                <w:rFonts w:ascii="Times New Roman" w:hAnsi="Times New Roman"/>
                <w:sz w:val="24"/>
                <w:szCs w:val="24"/>
              </w:rPr>
              <w:t xml:space="preserve"> aģentūrā</w:t>
            </w:r>
            <w:r w:rsidR="008331C8" w:rsidRPr="002A4D0D">
              <w:rPr>
                <w:rFonts w:ascii="Times New Roman" w:hAnsi="Times New Roman"/>
                <w:sz w:val="24"/>
                <w:szCs w:val="24"/>
              </w:rPr>
              <w:t xml:space="preserve">, būtiski ir nodrošināt 8.2.4. SAM veiksmīgu īstenošanu un </w:t>
            </w:r>
            <w:r w:rsidR="00F428B9">
              <w:rPr>
                <w:rFonts w:ascii="Times New Roman" w:hAnsi="Times New Roman"/>
                <w:sz w:val="24"/>
                <w:szCs w:val="24"/>
              </w:rPr>
              <w:t xml:space="preserve">savlaicīgi </w:t>
            </w:r>
            <w:r w:rsidR="008331C8" w:rsidRPr="002A4D0D">
              <w:rPr>
                <w:rFonts w:ascii="Times New Roman" w:hAnsi="Times New Roman"/>
                <w:sz w:val="24"/>
                <w:szCs w:val="24"/>
              </w:rPr>
              <w:t>sasniegt rezultāta rādītāju</w:t>
            </w:r>
            <w:r w:rsidR="00F428B9">
              <w:rPr>
                <w:rFonts w:ascii="Times New Roman" w:hAnsi="Times New Roman"/>
                <w:sz w:val="24"/>
                <w:szCs w:val="24"/>
              </w:rPr>
              <w:t xml:space="preserve">, ka </w:t>
            </w:r>
            <w:r w:rsidR="008331C8" w:rsidRPr="002A4D0D">
              <w:rPr>
                <w:rFonts w:ascii="Times New Roman" w:hAnsi="Times New Roman"/>
                <w:sz w:val="24"/>
                <w:szCs w:val="24"/>
              </w:rPr>
              <w:t xml:space="preserve"> </w:t>
            </w:r>
            <w:r w:rsidR="00F72E15" w:rsidRPr="002A4D0D">
              <w:rPr>
                <w:rFonts w:ascii="Times New Roman" w:hAnsi="Times New Roman"/>
                <w:sz w:val="24"/>
                <w:szCs w:val="24"/>
              </w:rPr>
              <w:t>Latvijā</w:t>
            </w:r>
            <w:r w:rsidR="00F428B9">
              <w:rPr>
                <w:rFonts w:ascii="Times New Roman" w:hAnsi="Times New Roman"/>
                <w:sz w:val="24"/>
                <w:szCs w:val="24"/>
              </w:rPr>
              <w:t xml:space="preserve"> ir akreditācijas aģentūra</w:t>
            </w:r>
            <w:r w:rsidR="008331C8" w:rsidRPr="002A4D0D">
              <w:rPr>
                <w:rFonts w:ascii="Times New Roman" w:hAnsi="Times New Roman"/>
                <w:sz w:val="24"/>
                <w:szCs w:val="24"/>
              </w:rPr>
              <w:t>, kas atbilst EQAR aģentūrai izvirzītajām prasībām.</w:t>
            </w:r>
            <w:r w:rsidR="00874E85" w:rsidRPr="002A4D0D">
              <w:rPr>
                <w:rFonts w:ascii="Times New Roman" w:hAnsi="Times New Roman"/>
                <w:sz w:val="24"/>
                <w:szCs w:val="24"/>
              </w:rPr>
              <w:t xml:space="preserve"> </w:t>
            </w:r>
          </w:p>
          <w:p w14:paraId="31A13DA0" w14:textId="13DAC206" w:rsidR="00927887" w:rsidRPr="002A4D0D" w:rsidRDefault="00F428B9" w:rsidP="007D18FC">
            <w:pPr>
              <w:pStyle w:val="CCBodyText"/>
              <w:spacing w:before="0" w:after="0"/>
              <w:ind w:firstLine="516"/>
              <w:rPr>
                <w:rFonts w:ascii="Times New Roman" w:hAnsi="Times New Roman"/>
                <w:sz w:val="24"/>
                <w:szCs w:val="24"/>
              </w:rPr>
            </w:pPr>
            <w:r>
              <w:rPr>
                <w:rFonts w:ascii="Times New Roman" w:hAnsi="Times New Roman"/>
                <w:sz w:val="24"/>
                <w:szCs w:val="24"/>
                <w:lang w:eastAsia="lv-LV"/>
              </w:rPr>
              <w:t>P</w:t>
            </w:r>
            <w:r w:rsidR="00927887" w:rsidRPr="002A4D0D">
              <w:rPr>
                <w:rFonts w:ascii="Times New Roman" w:hAnsi="Times New Roman"/>
                <w:sz w:val="24"/>
                <w:szCs w:val="24"/>
                <w:lang w:eastAsia="lv-LV"/>
              </w:rPr>
              <w:t xml:space="preserve">apildus </w:t>
            </w:r>
            <w:r>
              <w:rPr>
                <w:rFonts w:ascii="Times New Roman" w:hAnsi="Times New Roman"/>
                <w:sz w:val="24"/>
                <w:szCs w:val="24"/>
                <w:lang w:eastAsia="lv-LV"/>
              </w:rPr>
              <w:t xml:space="preserve">iepriekš minētajiem specifiskajiem atbalsta mērķiem, iespējama sinerģija arī ar citiem </w:t>
            </w:r>
            <w:r w:rsidR="00B8204F" w:rsidRPr="002A4D0D">
              <w:rPr>
                <w:rFonts w:ascii="Times New Roman" w:hAnsi="Times New Roman"/>
                <w:sz w:val="24"/>
                <w:szCs w:val="24"/>
                <w:lang w:eastAsia="lv-LV"/>
              </w:rPr>
              <w:t xml:space="preserve">darbības programmas “Izaugsme un nodarbinātība” prioritārā virziena “Pētniecība, tehnoloģiju attīstība un inovācijas” </w:t>
            </w:r>
            <w:r>
              <w:rPr>
                <w:rFonts w:ascii="Times New Roman" w:hAnsi="Times New Roman"/>
                <w:sz w:val="24"/>
                <w:szCs w:val="24"/>
                <w:lang w:eastAsia="lv-LV"/>
              </w:rPr>
              <w:t xml:space="preserve">specifiskajiem atbalsta mērķiem, ņemot vērā, ka daļa </w:t>
            </w:r>
            <w:r w:rsidR="00C66124">
              <w:rPr>
                <w:rFonts w:ascii="Times New Roman" w:hAnsi="Times New Roman"/>
                <w:sz w:val="24"/>
                <w:szCs w:val="24"/>
                <w:lang w:eastAsia="lv-LV"/>
              </w:rPr>
              <w:t>augstskolu</w:t>
            </w:r>
            <w:r>
              <w:rPr>
                <w:rFonts w:ascii="Times New Roman" w:hAnsi="Times New Roman"/>
                <w:sz w:val="24"/>
                <w:szCs w:val="24"/>
                <w:lang w:eastAsia="lv-LV"/>
              </w:rPr>
              <w:t xml:space="preserve"> ir arī zinātniskās institūcijas. </w:t>
            </w:r>
            <w:r w:rsidR="00B8204F" w:rsidRPr="002A4D0D">
              <w:rPr>
                <w:rFonts w:ascii="Times New Roman" w:hAnsi="Times New Roman"/>
                <w:sz w:val="24"/>
                <w:szCs w:val="24"/>
                <w:lang w:eastAsia="lv-LV"/>
              </w:rPr>
              <w:t>1.1.1. specifiskā atbalsta mērķ</w:t>
            </w:r>
            <w:r w:rsidR="00B039EC" w:rsidRPr="002A4D0D">
              <w:rPr>
                <w:rFonts w:ascii="Times New Roman" w:hAnsi="Times New Roman"/>
                <w:sz w:val="24"/>
                <w:szCs w:val="24"/>
                <w:lang w:eastAsia="lv-LV"/>
              </w:rPr>
              <w:t>a</w:t>
            </w:r>
            <w:r w:rsidR="00B8204F" w:rsidRPr="002A4D0D">
              <w:rPr>
                <w:rFonts w:ascii="Times New Roman" w:hAnsi="Times New Roman"/>
                <w:sz w:val="24"/>
                <w:szCs w:val="24"/>
                <w:lang w:eastAsia="lv-LV"/>
              </w:rPr>
              <w:t xml:space="preserve"> “Palielināt Latvijas zinātnisko institūciju pētniecisko un inovatīvo kapacitāti un spēju piesaistīt ārējo finansējumu, ieguldot cilvēkresursos un infrastruktūrā”</w:t>
            </w:r>
            <w:r w:rsidR="00B039EC" w:rsidRPr="002A4D0D">
              <w:t xml:space="preserve"> </w:t>
            </w:r>
            <w:r w:rsidR="00B039EC" w:rsidRPr="002A4D0D">
              <w:rPr>
                <w:rFonts w:ascii="Times New Roman" w:hAnsi="Times New Roman"/>
                <w:sz w:val="24"/>
                <w:szCs w:val="24"/>
                <w:lang w:eastAsia="lv-LV"/>
              </w:rPr>
              <w:t xml:space="preserve">(turpmāk – 1.1.1. SAM)  </w:t>
            </w:r>
            <w:r w:rsidR="00B8204F" w:rsidRPr="002A4D0D">
              <w:rPr>
                <w:rFonts w:ascii="Times New Roman" w:hAnsi="Times New Roman"/>
                <w:sz w:val="24"/>
                <w:szCs w:val="24"/>
                <w:lang w:eastAsia="lv-LV"/>
              </w:rPr>
              <w:t xml:space="preserve">1.1.1.4. </w:t>
            </w:r>
            <w:r w:rsidR="00DE5919" w:rsidRPr="002A4D0D">
              <w:rPr>
                <w:rFonts w:ascii="Times New Roman" w:hAnsi="Times New Roman"/>
                <w:sz w:val="24"/>
                <w:szCs w:val="24"/>
                <w:lang w:eastAsia="lv-LV"/>
              </w:rPr>
              <w:t xml:space="preserve">pasākuma </w:t>
            </w:r>
            <w:r w:rsidR="00B8204F" w:rsidRPr="002A4D0D">
              <w:rPr>
                <w:rFonts w:ascii="Times New Roman" w:hAnsi="Times New Roman"/>
                <w:sz w:val="24"/>
                <w:szCs w:val="24"/>
                <w:lang w:eastAsia="lv-LV"/>
              </w:rPr>
              <w:t xml:space="preserve">“P&amp;A infrastruktūras attīstīšana viedās specializācijas jomās un zinātnisko institūciju institucionālās kapacitātes stiprināšana” ietvaros </w:t>
            </w:r>
            <w:r w:rsidR="00DE5919" w:rsidRPr="002A4D0D">
              <w:rPr>
                <w:rFonts w:ascii="Times New Roman" w:hAnsi="Times New Roman"/>
                <w:sz w:val="24"/>
                <w:szCs w:val="24"/>
                <w:lang w:eastAsia="lv-LV"/>
              </w:rPr>
              <w:t xml:space="preserve">ir </w:t>
            </w:r>
            <w:r w:rsidR="00B8204F" w:rsidRPr="002A4D0D">
              <w:rPr>
                <w:rFonts w:ascii="Times New Roman" w:hAnsi="Times New Roman"/>
                <w:sz w:val="24"/>
                <w:szCs w:val="24"/>
                <w:lang w:eastAsia="lv-LV"/>
              </w:rPr>
              <w:t>plānot</w:t>
            </w:r>
            <w:r w:rsidR="00DE5919" w:rsidRPr="002A4D0D">
              <w:rPr>
                <w:rFonts w:ascii="Times New Roman" w:hAnsi="Times New Roman"/>
                <w:sz w:val="24"/>
                <w:szCs w:val="24"/>
                <w:lang w:eastAsia="lv-LV"/>
              </w:rPr>
              <w:t>as</w:t>
            </w:r>
            <w:r w:rsidR="00B8204F" w:rsidRPr="002A4D0D">
              <w:rPr>
                <w:rFonts w:ascii="Times New Roman" w:hAnsi="Times New Roman"/>
                <w:sz w:val="24"/>
                <w:szCs w:val="24"/>
                <w:lang w:eastAsia="lv-LV"/>
              </w:rPr>
              <w:t xml:space="preserve"> investīcij</w:t>
            </w:r>
            <w:r w:rsidR="00DE5919" w:rsidRPr="002A4D0D">
              <w:rPr>
                <w:rFonts w:ascii="Times New Roman" w:hAnsi="Times New Roman"/>
                <w:sz w:val="24"/>
                <w:szCs w:val="24"/>
                <w:lang w:eastAsia="lv-LV"/>
              </w:rPr>
              <w:t>as</w:t>
            </w:r>
            <w:r w:rsidR="00B8204F" w:rsidRPr="002A4D0D">
              <w:rPr>
                <w:rFonts w:ascii="Times New Roman" w:hAnsi="Times New Roman"/>
                <w:sz w:val="24"/>
                <w:szCs w:val="24"/>
                <w:lang w:eastAsia="lv-LV"/>
              </w:rPr>
              <w:t xml:space="preserve"> zinātnisko institūciju pētniecības un attīstības </w:t>
            </w:r>
            <w:r w:rsidR="00B8204F" w:rsidRPr="002A4D0D">
              <w:rPr>
                <w:rFonts w:ascii="Times New Roman" w:hAnsi="Times New Roman"/>
                <w:sz w:val="24"/>
                <w:szCs w:val="24"/>
                <w:lang w:eastAsia="lv-LV"/>
              </w:rPr>
              <w:lastRenderedPageBreak/>
              <w:t>infrastruktūras modernizēšanā</w:t>
            </w:r>
            <w:r w:rsidR="00927887" w:rsidRPr="002A4D0D">
              <w:rPr>
                <w:rFonts w:ascii="Times New Roman" w:hAnsi="Times New Roman"/>
                <w:sz w:val="24"/>
                <w:szCs w:val="24"/>
                <w:lang w:eastAsia="lv-LV"/>
              </w:rPr>
              <w:t>.</w:t>
            </w:r>
            <w:r w:rsidR="00DE5919" w:rsidRPr="002A4D0D">
              <w:rPr>
                <w:rFonts w:ascii="Times New Roman" w:hAnsi="Times New Roman"/>
                <w:sz w:val="24"/>
                <w:szCs w:val="24"/>
                <w:lang w:eastAsia="lv-LV"/>
              </w:rPr>
              <w:t xml:space="preserve"> </w:t>
            </w:r>
            <w:r w:rsidR="00DE5919" w:rsidRPr="002A4D0D">
              <w:rPr>
                <w:rFonts w:ascii="Times New Roman" w:hAnsi="Times New Roman"/>
                <w:sz w:val="24"/>
                <w:szCs w:val="24"/>
              </w:rPr>
              <w:t xml:space="preserve">Savukārt 1.1.1. SAM  1.1.1.5. pasākuma </w:t>
            </w:r>
            <w:r w:rsidR="00B039EC" w:rsidRPr="002A4D0D">
              <w:rPr>
                <w:rFonts w:ascii="Times New Roman" w:hAnsi="Times New Roman"/>
                <w:sz w:val="24"/>
                <w:szCs w:val="24"/>
              </w:rPr>
              <w:t xml:space="preserve">“Atbalsts starptautiskās sadarbības projektiem pētniecībā un inovācijās” </w:t>
            </w:r>
            <w:r w:rsidR="00DE5919" w:rsidRPr="002A4D0D">
              <w:rPr>
                <w:rFonts w:ascii="Times New Roman" w:hAnsi="Times New Roman"/>
                <w:sz w:val="24"/>
                <w:szCs w:val="24"/>
              </w:rPr>
              <w:t>ietvaros zinātnisko institūciju attīstītie starptautiskās sadarbības tīkli var sniegt pienesumu gan kopīgu doktorantūras studiju programmu, gan studiju programmu ES valodās izstrādē.</w:t>
            </w:r>
          </w:p>
          <w:p w14:paraId="0F57C872" w14:textId="5B2B2FE8" w:rsidR="00FF49F6" w:rsidRPr="005D42AC" w:rsidRDefault="00814A88" w:rsidP="00DE5919">
            <w:pPr>
              <w:tabs>
                <w:tab w:val="left" w:pos="2884"/>
              </w:tabs>
              <w:ind w:firstLine="516"/>
              <w:jc w:val="both"/>
            </w:pPr>
            <w:r>
              <w:t>Finansējum</w:t>
            </w:r>
            <w:r w:rsidR="00187E50">
              <w:t>s</w:t>
            </w:r>
            <w:r>
              <w:t xml:space="preserve"> </w:t>
            </w:r>
            <w:r w:rsidR="00B7689E">
              <w:t xml:space="preserve">studiju programmu </w:t>
            </w:r>
            <w:r w:rsidR="00C66124">
              <w:t xml:space="preserve">izstrādei </w:t>
            </w:r>
            <w:r w:rsidR="00B7689E">
              <w:t xml:space="preserve">ES valodās </w:t>
            </w:r>
            <w:r w:rsidR="005D42AC">
              <w:t>8.2.1. SAM ietvaros sekmē</w:t>
            </w:r>
            <w:r w:rsidR="00305C45">
              <w:t>s</w:t>
            </w:r>
            <w:r w:rsidR="005D42AC">
              <w:t xml:space="preserve"> </w:t>
            </w:r>
            <w:r w:rsidR="00C66124">
              <w:t xml:space="preserve"> arī papildinātību </w:t>
            </w:r>
            <w:r w:rsidR="005D42AC">
              <w:t xml:space="preserve">ar </w:t>
            </w:r>
            <w:r w:rsidR="00B7689E" w:rsidRPr="007D18FC">
              <w:rPr>
                <w:b/>
              </w:rPr>
              <w:t>“</w:t>
            </w:r>
            <w:r w:rsidR="00305C45" w:rsidRPr="007D18FC">
              <w:rPr>
                <w:b/>
              </w:rPr>
              <w:t>Erasmus+</w:t>
            </w:r>
            <w:r w:rsidR="00B7689E" w:rsidRPr="007D18FC">
              <w:rPr>
                <w:b/>
              </w:rPr>
              <w:t>”</w:t>
            </w:r>
            <w:r w:rsidR="000876BA">
              <w:t xml:space="preserve"> </w:t>
            </w:r>
            <w:r w:rsidR="00CB45B4">
              <w:t xml:space="preserve">programmas </w:t>
            </w:r>
            <w:r w:rsidR="000876BA" w:rsidRPr="000876BA">
              <w:t>aktivitāt</w:t>
            </w:r>
            <w:r w:rsidR="000876BA">
              <w:t>i</w:t>
            </w:r>
            <w:r w:rsidR="000876BA" w:rsidRPr="000876BA">
              <w:t xml:space="preserve"> “Erasmus Mundus kopīgo maģistrantūras studiju programmu īstenošana”</w:t>
            </w:r>
            <w:r w:rsidR="00B7689E">
              <w:t xml:space="preserve">, jo </w:t>
            </w:r>
            <w:r w:rsidR="00C66124">
              <w:t xml:space="preserve">8.2.1. SAM izstrādātās </w:t>
            </w:r>
            <w:r w:rsidR="00B7689E">
              <w:t xml:space="preserve">jaunās </w:t>
            </w:r>
            <w:r w:rsidR="00C66124">
              <w:t xml:space="preserve">kopīgās </w:t>
            </w:r>
            <w:r w:rsidR="008375E4">
              <w:t xml:space="preserve">maģistrantūras studiju </w:t>
            </w:r>
            <w:r w:rsidR="00B7689E">
              <w:t>programmas</w:t>
            </w:r>
            <w:r w:rsidR="00C66124">
              <w:t xml:space="preserve"> ES valodās</w:t>
            </w:r>
            <w:r w:rsidR="00B7689E">
              <w:t xml:space="preserve"> varētu </w:t>
            </w:r>
            <w:r w:rsidR="00C66124">
              <w:t xml:space="preserve">tālāk </w:t>
            </w:r>
            <w:r w:rsidR="00B7689E">
              <w:t xml:space="preserve">pieteikt </w:t>
            </w:r>
            <w:r w:rsidR="00DA506E">
              <w:t xml:space="preserve">minētās aktivitātes </w:t>
            </w:r>
            <w:r w:rsidR="00B7689E">
              <w:t>konkursos</w:t>
            </w:r>
            <w:r w:rsidR="008375E4">
              <w:t xml:space="preserve"> (š</w:t>
            </w:r>
            <w:r w:rsidR="008375E4" w:rsidRPr="008375E4">
              <w:t xml:space="preserve">īs aktivitātes ietvaros netiek finansēta kopīgo maģistrantūras studiju programmu </w:t>
            </w:r>
            <w:r w:rsidR="00C66124">
              <w:t>izstrāde</w:t>
            </w:r>
            <w:r w:rsidR="008375E4">
              <w:t>)</w:t>
            </w:r>
            <w:r w:rsidR="00C66124">
              <w:rPr>
                <w:rStyle w:val="FootnoteReference"/>
              </w:rPr>
              <w:footnoteReference w:id="10"/>
            </w:r>
            <w:r w:rsidR="00DA506E">
              <w:t>.</w:t>
            </w:r>
            <w:r w:rsidR="000876BA">
              <w:t xml:space="preserve"> </w:t>
            </w:r>
          </w:p>
          <w:p w14:paraId="0032F196" w14:textId="71630D41" w:rsidR="00226894" w:rsidRPr="00D23C5A" w:rsidRDefault="00FF49F6" w:rsidP="007D18FC">
            <w:pPr>
              <w:spacing w:line="285" w:lineRule="atLeast"/>
              <w:ind w:firstLine="516"/>
              <w:jc w:val="both"/>
            </w:pPr>
            <w:r>
              <w:t xml:space="preserve">8.2.1. SAM projektu iesniegumu vērtēšanas kritēriji izstrādāti, ievērojot  8.2.1. </w:t>
            </w:r>
            <w:r w:rsidR="00596204">
              <w:t xml:space="preserve">SAM </w:t>
            </w:r>
            <w:r>
              <w:t xml:space="preserve">sākotnējā novērtējumā sniegtos priekšlikumus, kā arī </w:t>
            </w:r>
            <w:r w:rsidRPr="007D18FC">
              <w:t xml:space="preserve">Eiropas Komisijas izstrādātās </w:t>
            </w:r>
            <w:r w:rsidR="00CB45B4" w:rsidRPr="007D18FC">
              <w:t>„</w:t>
            </w:r>
            <w:r w:rsidRPr="007D18FC">
              <w:t>Erasmus+</w:t>
            </w:r>
            <w:r w:rsidR="00CB45B4" w:rsidRPr="007D18FC">
              <w:t>”</w:t>
            </w:r>
            <w:r w:rsidRPr="007D18FC">
              <w:t xml:space="preserve"> programmas vadlīnijas</w:t>
            </w:r>
            <w:r w:rsidR="00CB45B4">
              <w:rPr>
                <w:rStyle w:val="FootnoteReference"/>
              </w:rPr>
              <w:footnoteReference w:id="11"/>
            </w:r>
            <w:r w:rsidR="00305C45">
              <w:t xml:space="preserve"> par aktivitāti „</w:t>
            </w:r>
            <w:r w:rsidR="0062442C" w:rsidRPr="007D18FC">
              <w:t>Kapacitātes stiprināšana augstākajā izglītībā</w:t>
            </w:r>
            <w:r w:rsidR="00305C45">
              <w:t>”</w:t>
            </w:r>
            <w:r w:rsidR="00596204">
              <w:t>. Plānots, ka projektu iesniegumu atbilstību kvalitātes kritērijiem vērtēs starptautiski eksperti.</w:t>
            </w:r>
          </w:p>
        </w:tc>
      </w:tr>
      <w:tr w:rsidR="009A72C5" w:rsidRPr="00D91AE9" w14:paraId="1881157B" w14:textId="77777777" w:rsidTr="00593077">
        <w:tc>
          <w:tcPr>
            <w:tcW w:w="161" w:type="pct"/>
            <w:tcBorders>
              <w:top w:val="outset" w:sz="6" w:space="0" w:color="000000"/>
              <w:left w:val="outset" w:sz="6" w:space="0" w:color="000000"/>
              <w:bottom w:val="single" w:sz="4" w:space="0" w:color="auto"/>
              <w:right w:val="outset" w:sz="6" w:space="0" w:color="000000"/>
            </w:tcBorders>
          </w:tcPr>
          <w:p w14:paraId="414EBC62" w14:textId="7AACA7EB" w:rsidR="009A72C5" w:rsidRPr="0059406A" w:rsidRDefault="009A72C5" w:rsidP="00DD2EFA">
            <w:pPr>
              <w:spacing w:before="100" w:beforeAutospacing="1" w:after="100" w:afterAutospacing="1"/>
            </w:pPr>
            <w:r w:rsidRPr="0059406A">
              <w:lastRenderedPageBreak/>
              <w:t>3.</w:t>
            </w:r>
          </w:p>
        </w:tc>
        <w:tc>
          <w:tcPr>
            <w:tcW w:w="833" w:type="pct"/>
            <w:gridSpan w:val="2"/>
            <w:tcBorders>
              <w:top w:val="outset" w:sz="6" w:space="0" w:color="000000"/>
              <w:left w:val="outset" w:sz="6" w:space="0" w:color="000000"/>
              <w:bottom w:val="single" w:sz="4" w:space="0" w:color="auto"/>
              <w:right w:val="outset" w:sz="6" w:space="0" w:color="000000"/>
            </w:tcBorders>
          </w:tcPr>
          <w:p w14:paraId="049DC256" w14:textId="77777777" w:rsidR="009A72C5" w:rsidRPr="00D91AE9" w:rsidRDefault="009A72C5" w:rsidP="00DD2EFA">
            <w:pPr>
              <w:spacing w:before="100" w:beforeAutospacing="1" w:after="100" w:afterAutospacing="1"/>
            </w:pPr>
            <w:r w:rsidRPr="00D91AE9">
              <w:t>Projekta izstrādē iesaistītās institūcijas</w:t>
            </w:r>
          </w:p>
        </w:tc>
        <w:tc>
          <w:tcPr>
            <w:tcW w:w="4006" w:type="pct"/>
            <w:gridSpan w:val="2"/>
            <w:tcBorders>
              <w:top w:val="outset" w:sz="6" w:space="0" w:color="000000"/>
              <w:left w:val="outset" w:sz="6" w:space="0" w:color="000000"/>
              <w:bottom w:val="single" w:sz="4" w:space="0" w:color="auto"/>
              <w:right w:val="outset" w:sz="6" w:space="0" w:color="000000"/>
            </w:tcBorders>
          </w:tcPr>
          <w:p w14:paraId="333522B4" w14:textId="12F70974" w:rsidR="009A72C5" w:rsidRPr="0014168F" w:rsidRDefault="00F73F7E" w:rsidP="00155679">
            <w:pPr>
              <w:ind w:right="93"/>
              <w:jc w:val="both"/>
              <w:rPr>
                <w:bCs/>
                <w:iCs/>
              </w:rPr>
            </w:pPr>
            <w:r w:rsidRPr="007D18FC">
              <w:rPr>
                <w:bCs/>
                <w:iCs/>
              </w:rPr>
              <w:t>8.2.1. SAM</w:t>
            </w:r>
            <w:r w:rsidR="009A72C5" w:rsidRPr="007D18FC">
              <w:rPr>
                <w:bCs/>
                <w:iCs/>
              </w:rPr>
              <w:t xml:space="preserve"> plānošanas un noteikumu projekta izstrādes ietvaros tiek iesaistītas </w:t>
            </w:r>
            <w:r w:rsidR="00155679" w:rsidRPr="007D18FC">
              <w:rPr>
                <w:bCs/>
                <w:iCs/>
              </w:rPr>
              <w:t>ES</w:t>
            </w:r>
            <w:r w:rsidR="009A72C5" w:rsidRPr="007D18FC">
              <w:rPr>
                <w:bCs/>
                <w:iCs/>
              </w:rPr>
              <w:t xml:space="preserve"> fondu vadībā iesaistītās iestādes un sociālie partneri</w:t>
            </w:r>
            <w:r w:rsidR="009A72C5" w:rsidRPr="00B46B01">
              <w:rPr>
                <w:bCs/>
                <w:iCs/>
              </w:rPr>
              <w:t>.</w:t>
            </w:r>
          </w:p>
        </w:tc>
      </w:tr>
      <w:tr w:rsidR="009A72C5" w:rsidRPr="00D91AE9" w14:paraId="7CA34F48" w14:textId="77777777" w:rsidTr="007D18FC">
        <w:trPr>
          <w:trHeight w:val="1445"/>
        </w:trPr>
        <w:tc>
          <w:tcPr>
            <w:tcW w:w="161" w:type="pct"/>
            <w:tcBorders>
              <w:top w:val="single" w:sz="4" w:space="0" w:color="auto"/>
              <w:left w:val="single" w:sz="4" w:space="0" w:color="auto"/>
              <w:bottom w:val="single" w:sz="4" w:space="0" w:color="auto"/>
              <w:right w:val="single" w:sz="4" w:space="0" w:color="auto"/>
            </w:tcBorders>
          </w:tcPr>
          <w:p w14:paraId="2B21CB1A" w14:textId="77777777" w:rsidR="009A72C5" w:rsidRPr="00D91AE9" w:rsidRDefault="009A72C5" w:rsidP="00DD2EFA">
            <w:pPr>
              <w:spacing w:before="100" w:beforeAutospacing="1" w:after="100" w:afterAutospacing="1"/>
            </w:pPr>
            <w:r w:rsidRPr="00D91AE9">
              <w:t>4.</w:t>
            </w:r>
          </w:p>
        </w:tc>
        <w:tc>
          <w:tcPr>
            <w:tcW w:w="833" w:type="pct"/>
            <w:gridSpan w:val="2"/>
            <w:tcBorders>
              <w:top w:val="single" w:sz="4" w:space="0" w:color="auto"/>
              <w:left w:val="single" w:sz="4" w:space="0" w:color="auto"/>
              <w:bottom w:val="single" w:sz="4" w:space="0" w:color="auto"/>
              <w:right w:val="single" w:sz="4" w:space="0" w:color="auto"/>
            </w:tcBorders>
          </w:tcPr>
          <w:p w14:paraId="4A797FDC" w14:textId="77777777" w:rsidR="009A72C5" w:rsidRPr="00D91AE9" w:rsidRDefault="009A72C5" w:rsidP="00DD2EFA">
            <w:pPr>
              <w:spacing w:before="100" w:beforeAutospacing="1" w:after="100" w:afterAutospacing="1"/>
            </w:pPr>
            <w:r w:rsidRPr="00D91AE9">
              <w:t>Cita informācija</w:t>
            </w:r>
          </w:p>
        </w:tc>
        <w:tc>
          <w:tcPr>
            <w:tcW w:w="4006" w:type="pct"/>
            <w:gridSpan w:val="2"/>
            <w:tcBorders>
              <w:top w:val="single" w:sz="4" w:space="0" w:color="auto"/>
              <w:left w:val="single" w:sz="4" w:space="0" w:color="auto"/>
              <w:bottom w:val="single" w:sz="4" w:space="0" w:color="auto"/>
              <w:right w:val="single" w:sz="4" w:space="0" w:color="auto"/>
            </w:tcBorders>
          </w:tcPr>
          <w:p w14:paraId="32B248E5" w14:textId="0D682098" w:rsidR="00CC3C87" w:rsidRPr="00CC3C87" w:rsidRDefault="00DE2661" w:rsidP="00342635">
            <w:pPr>
              <w:ind w:right="91"/>
              <w:jc w:val="both"/>
              <w:rPr>
                <w:b/>
              </w:rPr>
            </w:pPr>
            <w:r w:rsidRPr="007D18FC">
              <w:rPr>
                <w:bCs/>
                <w:iCs/>
              </w:rPr>
              <w:t xml:space="preserve">8.2.1. </w:t>
            </w:r>
            <w:r w:rsidR="009A72C5" w:rsidRPr="007D18FC">
              <w:rPr>
                <w:bCs/>
                <w:iCs/>
              </w:rPr>
              <w:t>SAM projekta iesniegumu vērtēšanas kritērij</w:t>
            </w:r>
            <w:r w:rsidR="00B46B01" w:rsidRPr="007D18FC">
              <w:rPr>
                <w:bCs/>
                <w:iCs/>
              </w:rPr>
              <w:t>us plānots informatīvi</w:t>
            </w:r>
            <w:r w:rsidR="009A72C5" w:rsidRPr="007D18FC">
              <w:rPr>
                <w:bCs/>
                <w:iCs/>
              </w:rPr>
              <w:t xml:space="preserve"> </w:t>
            </w:r>
            <w:r w:rsidR="00726668" w:rsidRPr="007D18FC">
              <w:rPr>
                <w:bCs/>
                <w:iCs/>
              </w:rPr>
              <w:t>izskatīt</w:t>
            </w:r>
            <w:r w:rsidR="009A72C5" w:rsidRPr="007D18FC">
              <w:rPr>
                <w:bCs/>
                <w:iCs/>
              </w:rPr>
              <w:t xml:space="preserve"> </w:t>
            </w:r>
            <w:r w:rsidR="00F46F24" w:rsidRPr="007D18FC">
              <w:rPr>
                <w:bCs/>
                <w:iCs/>
              </w:rPr>
              <w:t xml:space="preserve">ES struktūrfondu un Kohēzijas fonda 2014.–2020. gada plānošanas perioda </w:t>
            </w:r>
            <w:r w:rsidR="00342635" w:rsidRPr="007D18FC">
              <w:rPr>
                <w:bCs/>
                <w:iCs/>
              </w:rPr>
              <w:t xml:space="preserve">Izglītības, prasmju un mūžizglītības prioritārā virziena </w:t>
            </w:r>
            <w:r w:rsidR="00F46F24" w:rsidRPr="00342635">
              <w:rPr>
                <w:bCs/>
                <w:iCs/>
              </w:rPr>
              <w:t xml:space="preserve">apakškomitejas </w:t>
            </w:r>
            <w:r w:rsidR="00342635" w:rsidRPr="00342635">
              <w:rPr>
                <w:bCs/>
                <w:iCs/>
              </w:rPr>
              <w:t>2017.gada 28.septembra</w:t>
            </w:r>
            <w:r w:rsidR="00342635">
              <w:rPr>
                <w:bCs/>
                <w:iCs/>
              </w:rPr>
              <w:t xml:space="preserve"> </w:t>
            </w:r>
            <w:r w:rsidR="009A72C5" w:rsidRPr="00342635">
              <w:rPr>
                <w:bCs/>
                <w:iCs/>
              </w:rPr>
              <w:t>sēdē</w:t>
            </w:r>
            <w:r w:rsidR="0059406A" w:rsidRPr="00342635">
              <w:rPr>
                <w:bCs/>
                <w:iCs/>
              </w:rPr>
              <w:t>.</w:t>
            </w:r>
          </w:p>
        </w:tc>
      </w:tr>
      <w:tr w:rsidR="00593077" w:rsidRPr="00D91AE9" w14:paraId="1162F9A4" w14:textId="77777777" w:rsidTr="00593077">
        <w:trPr>
          <w:trHeight w:val="35"/>
        </w:trPr>
        <w:tc>
          <w:tcPr>
            <w:tcW w:w="161" w:type="pct"/>
            <w:tcBorders>
              <w:top w:val="single" w:sz="4" w:space="0" w:color="auto"/>
              <w:left w:val="nil"/>
              <w:bottom w:val="single" w:sz="4" w:space="0" w:color="auto"/>
              <w:right w:val="nil"/>
            </w:tcBorders>
          </w:tcPr>
          <w:p w14:paraId="63D56FAC" w14:textId="77777777" w:rsidR="00593077" w:rsidRPr="00D91AE9" w:rsidRDefault="00593077" w:rsidP="00DD2EFA">
            <w:pPr>
              <w:spacing w:before="100" w:beforeAutospacing="1" w:after="100" w:afterAutospacing="1"/>
            </w:pPr>
          </w:p>
        </w:tc>
        <w:tc>
          <w:tcPr>
            <w:tcW w:w="833" w:type="pct"/>
            <w:gridSpan w:val="2"/>
            <w:tcBorders>
              <w:top w:val="single" w:sz="4" w:space="0" w:color="auto"/>
              <w:left w:val="nil"/>
              <w:bottom w:val="single" w:sz="4" w:space="0" w:color="auto"/>
              <w:right w:val="nil"/>
            </w:tcBorders>
          </w:tcPr>
          <w:p w14:paraId="0E29F4FA" w14:textId="77777777" w:rsidR="00593077" w:rsidRPr="00D91AE9" w:rsidRDefault="00593077" w:rsidP="00DD2EFA">
            <w:pPr>
              <w:spacing w:before="100" w:beforeAutospacing="1" w:after="100" w:afterAutospacing="1"/>
            </w:pPr>
          </w:p>
        </w:tc>
        <w:tc>
          <w:tcPr>
            <w:tcW w:w="4006" w:type="pct"/>
            <w:gridSpan w:val="2"/>
            <w:tcBorders>
              <w:top w:val="single" w:sz="4" w:space="0" w:color="auto"/>
              <w:left w:val="nil"/>
              <w:bottom w:val="single" w:sz="4" w:space="0" w:color="auto"/>
              <w:right w:val="nil"/>
            </w:tcBorders>
          </w:tcPr>
          <w:p w14:paraId="7AA7C5FA" w14:textId="77777777" w:rsidR="00593077" w:rsidRPr="0069771B" w:rsidRDefault="00593077" w:rsidP="00DD2EFA">
            <w:pPr>
              <w:ind w:right="91"/>
              <w:jc w:val="both"/>
            </w:pPr>
          </w:p>
        </w:tc>
      </w:tr>
      <w:tr w:rsidR="009A72C5" w:rsidRPr="00D91AE9" w14:paraId="5794F79F" w14:textId="77777777" w:rsidTr="00593077">
        <w:tc>
          <w:tcPr>
            <w:tcW w:w="5000" w:type="pct"/>
            <w:gridSpan w:val="5"/>
            <w:tcBorders>
              <w:top w:val="single" w:sz="4" w:space="0" w:color="auto"/>
              <w:left w:val="single" w:sz="4" w:space="0" w:color="auto"/>
              <w:bottom w:val="single" w:sz="4" w:space="0" w:color="auto"/>
              <w:right w:val="single" w:sz="4" w:space="0" w:color="auto"/>
            </w:tcBorders>
            <w:vAlign w:val="center"/>
          </w:tcPr>
          <w:p w14:paraId="2025720C" w14:textId="77777777" w:rsidR="009A72C5" w:rsidRPr="00D91AE9" w:rsidRDefault="009A72C5" w:rsidP="00DD2EFA">
            <w:pPr>
              <w:spacing w:before="100" w:beforeAutospacing="1" w:after="100" w:afterAutospacing="1"/>
              <w:jc w:val="center"/>
              <w:rPr>
                <w:b/>
                <w:bCs/>
              </w:rPr>
            </w:pPr>
            <w:r w:rsidRPr="00D91AE9">
              <w:rPr>
                <w:b/>
              </w:rPr>
              <w:t xml:space="preserve">II. </w:t>
            </w:r>
            <w:r w:rsidRPr="005E57D7">
              <w:rPr>
                <w:b/>
                <w:bCs/>
              </w:rPr>
              <w:t>Tiesību akta projekta ietekme uz sabiedrību, tautsaimniecības attīstību un administratīvo slogu</w:t>
            </w:r>
          </w:p>
        </w:tc>
      </w:tr>
      <w:tr w:rsidR="009A72C5" w:rsidRPr="00D91AE9" w14:paraId="04571C4F" w14:textId="77777777" w:rsidTr="00E468EE">
        <w:tc>
          <w:tcPr>
            <w:tcW w:w="244" w:type="pct"/>
            <w:gridSpan w:val="2"/>
            <w:tcBorders>
              <w:top w:val="single" w:sz="4" w:space="0" w:color="auto"/>
              <w:left w:val="outset" w:sz="6" w:space="0" w:color="000000"/>
              <w:bottom w:val="outset" w:sz="6" w:space="0" w:color="000000"/>
              <w:right w:val="outset" w:sz="6" w:space="0" w:color="000000"/>
            </w:tcBorders>
          </w:tcPr>
          <w:p w14:paraId="08EC709F" w14:textId="77777777" w:rsidR="009A72C5" w:rsidRPr="00D91AE9" w:rsidRDefault="009A72C5" w:rsidP="00DD2EFA">
            <w:pPr>
              <w:spacing w:before="100" w:beforeAutospacing="1" w:after="100" w:afterAutospacing="1"/>
              <w:jc w:val="center"/>
            </w:pPr>
            <w:r w:rsidRPr="00D91AE9">
              <w:t>1.</w:t>
            </w:r>
          </w:p>
        </w:tc>
        <w:tc>
          <w:tcPr>
            <w:tcW w:w="985" w:type="pct"/>
            <w:gridSpan w:val="2"/>
            <w:tcBorders>
              <w:top w:val="single" w:sz="4" w:space="0" w:color="auto"/>
              <w:left w:val="outset" w:sz="6" w:space="0" w:color="000000"/>
              <w:bottom w:val="outset" w:sz="6" w:space="0" w:color="000000"/>
              <w:right w:val="outset" w:sz="6" w:space="0" w:color="000000"/>
            </w:tcBorders>
          </w:tcPr>
          <w:p w14:paraId="71A93FC7" w14:textId="77777777" w:rsidR="009A72C5" w:rsidRPr="00D91AE9" w:rsidRDefault="009A72C5" w:rsidP="00DD2EFA">
            <w:pPr>
              <w:spacing w:before="100" w:beforeAutospacing="1" w:after="100" w:afterAutospacing="1"/>
            </w:pPr>
            <w:r w:rsidRPr="00D91AE9">
              <w:t>Sabiedrības mērķgrupas, kuras tiesiskais regulējums ietekmē vai varētu ietekmēt</w:t>
            </w:r>
          </w:p>
        </w:tc>
        <w:tc>
          <w:tcPr>
            <w:tcW w:w="3772" w:type="pct"/>
            <w:tcBorders>
              <w:top w:val="single" w:sz="4" w:space="0" w:color="auto"/>
              <w:left w:val="outset" w:sz="6" w:space="0" w:color="000000"/>
              <w:bottom w:val="outset" w:sz="6" w:space="0" w:color="000000"/>
              <w:right w:val="outset" w:sz="6" w:space="0" w:color="000000"/>
            </w:tcBorders>
          </w:tcPr>
          <w:p w14:paraId="0500A218" w14:textId="6EB72269" w:rsidR="00E83FF0" w:rsidRPr="002A4D0D" w:rsidRDefault="00E83FF0" w:rsidP="00E83FF0">
            <w:pPr>
              <w:ind w:right="91"/>
              <w:jc w:val="both"/>
            </w:pPr>
            <w:r w:rsidRPr="002A4D0D">
              <w:t>Tiesiskais regulējums ietekmē augstākās izglītības institūcija</w:t>
            </w:r>
            <w:r w:rsidR="00342635">
              <w:t>s</w:t>
            </w:r>
            <w:r w:rsidRPr="002A4D0D">
              <w:t>, tai skaitā koledžas, iepriekš minēto institūciju akadēmisko personālu un studējošos.</w:t>
            </w:r>
          </w:p>
        </w:tc>
      </w:tr>
      <w:tr w:rsidR="009A72C5" w:rsidRPr="00D91AE9" w14:paraId="1D85321D" w14:textId="77777777" w:rsidTr="00E468EE">
        <w:tc>
          <w:tcPr>
            <w:tcW w:w="244" w:type="pct"/>
            <w:gridSpan w:val="2"/>
            <w:tcBorders>
              <w:top w:val="outset" w:sz="6" w:space="0" w:color="000000"/>
              <w:left w:val="outset" w:sz="6" w:space="0" w:color="000000"/>
              <w:bottom w:val="outset" w:sz="6" w:space="0" w:color="000000"/>
              <w:right w:val="outset" w:sz="6" w:space="0" w:color="000000"/>
            </w:tcBorders>
          </w:tcPr>
          <w:p w14:paraId="1CE5AEE9" w14:textId="77777777" w:rsidR="009A72C5" w:rsidRPr="00D91AE9" w:rsidRDefault="009A72C5" w:rsidP="00DD2EFA">
            <w:pPr>
              <w:ind w:left="57" w:right="57"/>
              <w:jc w:val="center"/>
            </w:pPr>
            <w:r w:rsidRPr="00D91AE9">
              <w:t>2.</w:t>
            </w:r>
          </w:p>
        </w:tc>
        <w:tc>
          <w:tcPr>
            <w:tcW w:w="985" w:type="pct"/>
            <w:gridSpan w:val="2"/>
            <w:tcBorders>
              <w:top w:val="outset" w:sz="6" w:space="0" w:color="000000"/>
              <w:left w:val="outset" w:sz="6" w:space="0" w:color="000000"/>
              <w:bottom w:val="outset" w:sz="6" w:space="0" w:color="000000"/>
              <w:right w:val="outset" w:sz="6" w:space="0" w:color="000000"/>
            </w:tcBorders>
          </w:tcPr>
          <w:p w14:paraId="3273DA91" w14:textId="77777777" w:rsidR="009A72C5" w:rsidRPr="00D91AE9" w:rsidRDefault="009A72C5" w:rsidP="00DD2EFA">
            <w:pPr>
              <w:ind w:left="57" w:right="57"/>
            </w:pPr>
            <w:r w:rsidRPr="00D91AE9">
              <w:t xml:space="preserve">Tiesiskā regulējuma ietekme uz tautsaimniecību </w:t>
            </w:r>
            <w:r w:rsidRPr="00D91AE9">
              <w:lastRenderedPageBreak/>
              <w:t>un administratīvo slogu</w:t>
            </w:r>
          </w:p>
        </w:tc>
        <w:tc>
          <w:tcPr>
            <w:tcW w:w="3772" w:type="pct"/>
            <w:tcBorders>
              <w:top w:val="outset" w:sz="6" w:space="0" w:color="000000"/>
              <w:left w:val="outset" w:sz="6" w:space="0" w:color="000000"/>
              <w:bottom w:val="outset" w:sz="6" w:space="0" w:color="000000"/>
              <w:right w:val="outset" w:sz="6" w:space="0" w:color="000000"/>
            </w:tcBorders>
          </w:tcPr>
          <w:p w14:paraId="355889A5" w14:textId="745199C0" w:rsidR="009A72C5" w:rsidRPr="002A4D0D" w:rsidRDefault="009A72C5" w:rsidP="00DD2EFA">
            <w:pPr>
              <w:shd w:val="clear" w:color="auto" w:fill="FFFFFF"/>
              <w:ind w:left="57" w:right="113"/>
              <w:jc w:val="both"/>
              <w:rPr>
                <w:b/>
              </w:rPr>
            </w:pPr>
            <w:r w:rsidRPr="002A4D0D">
              <w:rPr>
                <w:b/>
              </w:rPr>
              <w:lastRenderedPageBreak/>
              <w:t>Ietekme uz makroekonomisko vidi</w:t>
            </w:r>
            <w:r w:rsidR="00F76013" w:rsidRPr="002A4D0D">
              <w:rPr>
                <w:b/>
              </w:rPr>
              <w:t xml:space="preserve"> un uzņēmējdarbības vidi</w:t>
            </w:r>
            <w:r w:rsidRPr="002A4D0D">
              <w:rPr>
                <w:b/>
              </w:rPr>
              <w:t>:</w:t>
            </w:r>
          </w:p>
          <w:p w14:paraId="7FAA2824" w14:textId="4B11BA3F" w:rsidR="002F7655" w:rsidRPr="002A4D0D" w:rsidRDefault="002F7655" w:rsidP="00897269">
            <w:pPr>
              <w:shd w:val="clear" w:color="auto" w:fill="FFFFFF"/>
              <w:ind w:left="57" w:right="113"/>
              <w:jc w:val="both"/>
            </w:pPr>
            <w:r w:rsidRPr="002A4D0D">
              <w:t xml:space="preserve">Studiju programmu piedāvājuma pārskatīšana un tā internacionalizācija, resursus koncentrējot uz mazāku skaitu </w:t>
            </w:r>
            <w:r w:rsidR="00395C7D" w:rsidRPr="002A4D0D">
              <w:t>kvalitatīvāko studiju programmu</w:t>
            </w:r>
            <w:r w:rsidRPr="002A4D0D">
              <w:t xml:space="preserve"> un </w:t>
            </w:r>
            <w:r w:rsidR="00395C7D" w:rsidRPr="002A4D0D">
              <w:t xml:space="preserve">veicinot </w:t>
            </w:r>
            <w:r w:rsidRPr="002A4D0D">
              <w:t xml:space="preserve">resursu koplietošanu </w:t>
            </w:r>
            <w:r w:rsidRPr="002A4D0D">
              <w:lastRenderedPageBreak/>
              <w:t xml:space="preserve">starp vairākām augstskolām, </w:t>
            </w:r>
            <w:r w:rsidR="00395C7D" w:rsidRPr="002A4D0D">
              <w:t>kā ar</w:t>
            </w:r>
            <w:r w:rsidR="009A6032" w:rsidRPr="002A4D0D">
              <w:t xml:space="preserve">ī </w:t>
            </w:r>
            <w:r w:rsidRPr="002A4D0D">
              <w:t>zinātniskajā pētniecībā balstītas kopīg</w:t>
            </w:r>
            <w:r w:rsidR="009A6032" w:rsidRPr="002A4D0D">
              <w:t>u</w:t>
            </w:r>
            <w:r w:rsidRPr="002A4D0D">
              <w:t xml:space="preserve"> doktorantūras studiju programm</w:t>
            </w:r>
            <w:r w:rsidR="009A6032" w:rsidRPr="002A4D0D">
              <w:t>u izveide</w:t>
            </w:r>
            <w:r w:rsidRPr="002A4D0D">
              <w:t xml:space="preserve"> kalpos kā pamats augstākās izglītības kvalitātes un konkurētspējas uzlabošanai.</w:t>
            </w:r>
            <w:r w:rsidR="00395C7D" w:rsidRPr="002A4D0D">
              <w:t xml:space="preserve"> Tā kā 8.2.1. SAM aktivitātes ir vērstas uz uzlabojumiem augstākajā izglītībā, tādā veidā </w:t>
            </w:r>
            <w:r w:rsidR="009A6032" w:rsidRPr="002A4D0D">
              <w:t xml:space="preserve">tiks </w:t>
            </w:r>
            <w:r w:rsidR="00395C7D" w:rsidRPr="002A4D0D">
              <w:t>sekmē</w:t>
            </w:r>
            <w:r w:rsidR="009A6032" w:rsidRPr="002A4D0D">
              <w:t>ta</w:t>
            </w:r>
            <w:r w:rsidR="00395C7D" w:rsidRPr="002A4D0D">
              <w:t xml:space="preserve"> Latvijas augstākās izglītības konkurētspējas palielināšan</w:t>
            </w:r>
            <w:r w:rsidR="009A6032" w:rsidRPr="002A4D0D">
              <w:t>ās</w:t>
            </w:r>
            <w:r w:rsidR="00395C7D" w:rsidRPr="002A4D0D">
              <w:t xml:space="preserve"> un veicin</w:t>
            </w:r>
            <w:r w:rsidR="009A6032" w:rsidRPr="002A4D0D">
              <w:t xml:space="preserve">āta </w:t>
            </w:r>
            <w:r w:rsidR="00395C7D" w:rsidRPr="002A4D0D">
              <w:t>tautsaimniecības attīstīb</w:t>
            </w:r>
            <w:r w:rsidR="009A6032" w:rsidRPr="002A4D0D">
              <w:t>a</w:t>
            </w:r>
            <w:r w:rsidR="00395C7D" w:rsidRPr="002A4D0D">
              <w:t xml:space="preserve"> valstī kopumā.</w:t>
            </w:r>
            <w:r w:rsidR="009A6032" w:rsidRPr="002A4D0D">
              <w:t xml:space="preserve"> </w:t>
            </w:r>
            <w:r w:rsidR="00B60A82" w:rsidRPr="002A4D0D">
              <w:t xml:space="preserve">8.2.1. SAM īstenošanas rezultātā palielināsies iespēja Latvijas tautsaimniecībai piesaistīt starptautiskā vidē izglītotus, uzņēmīgus un ekonomiski aktīvus cilvēkus. </w:t>
            </w:r>
          </w:p>
          <w:p w14:paraId="5B9CA87C" w14:textId="6DD949DA" w:rsidR="008B5B7D" w:rsidRPr="002A4D0D" w:rsidRDefault="00F76013" w:rsidP="00897269">
            <w:pPr>
              <w:shd w:val="clear" w:color="auto" w:fill="FFFFFF"/>
              <w:ind w:left="57" w:right="113"/>
              <w:jc w:val="both"/>
            </w:pPr>
            <w:r w:rsidRPr="002A4D0D">
              <w:t xml:space="preserve">8.2.1. SAM īstenošanas rezultātā tiks veicināta ārvalstu studējošo piesaiste, kas </w:t>
            </w:r>
            <w:r w:rsidR="003B3537" w:rsidRPr="002A4D0D">
              <w:t xml:space="preserve">pozitīvi </w:t>
            </w:r>
            <w:r w:rsidRPr="002A4D0D">
              <w:t>ietekmē</w:t>
            </w:r>
            <w:r w:rsidR="00C903C7" w:rsidRPr="002A4D0D">
              <w:t>s</w:t>
            </w:r>
            <w:r w:rsidRPr="002A4D0D">
              <w:t xml:space="preserve"> ne tikai Latvijas augstākās izglītības sistēmu, bet arī valsts iekšzemes kopproduktu (palielināsies eksports</w:t>
            </w:r>
            <w:r w:rsidR="004D6952" w:rsidRPr="002A4D0D">
              <w:t>, kopējais pieprasījums</w:t>
            </w:r>
            <w:r w:rsidRPr="002A4D0D">
              <w:t xml:space="preserve">), darba tirgu, valsts budžeta ieņēmumus, tautsaimniecību un valsts attīstību kopumā. Augstākās izglītības </w:t>
            </w:r>
            <w:r w:rsidR="00135DD2" w:rsidRPr="002A4D0D">
              <w:t xml:space="preserve">pakalpojumu </w:t>
            </w:r>
            <w:r w:rsidRPr="002A4D0D">
              <w:t xml:space="preserve">eksports ir viena no </w:t>
            </w:r>
            <w:r w:rsidR="009D6B83" w:rsidRPr="002A4D0D">
              <w:t xml:space="preserve">straujāk augošajām eksporta </w:t>
            </w:r>
            <w:r w:rsidR="00135DD2" w:rsidRPr="002A4D0D">
              <w:t>nozarēm</w:t>
            </w:r>
            <w:r w:rsidR="009D6B83" w:rsidRPr="002A4D0D">
              <w:t xml:space="preserve"> ar lielu </w:t>
            </w:r>
            <w:r w:rsidR="004F4B83" w:rsidRPr="002A4D0D">
              <w:t>izaugsmes</w:t>
            </w:r>
            <w:r w:rsidR="009D6B83" w:rsidRPr="002A4D0D">
              <w:t xml:space="preserve"> potenciālu. </w:t>
            </w:r>
            <w:r w:rsidR="00135DD2" w:rsidRPr="002A4D0D">
              <w:t xml:space="preserve">Pienesums ekonomikai no šīs industrijas 2015./2016. studiju gadā kopumā bijis 148 milj. </w:t>
            </w:r>
            <w:r w:rsidR="00764083" w:rsidRPr="0097057D">
              <w:rPr>
                <w:i/>
              </w:rPr>
              <w:t>euro</w:t>
            </w:r>
            <w:r w:rsidR="00764083" w:rsidRPr="002A4D0D">
              <w:t xml:space="preserve"> </w:t>
            </w:r>
            <w:r w:rsidR="00135DD2" w:rsidRPr="002A4D0D">
              <w:t>jeb 0</w:t>
            </w:r>
            <w:r w:rsidR="00BE6FB9">
              <w:t>,</w:t>
            </w:r>
            <w:r w:rsidR="00135DD2" w:rsidRPr="002A4D0D">
              <w:t>6% no iekšzemes kopprodukta</w:t>
            </w:r>
            <w:r w:rsidR="003B3537" w:rsidRPr="002A4D0D">
              <w:t>.</w:t>
            </w:r>
            <w:r w:rsidR="00135DD2" w:rsidRPr="002A4D0D">
              <w:rPr>
                <w:rStyle w:val="FootnoteReference"/>
              </w:rPr>
              <w:footnoteReference w:id="12"/>
            </w:r>
            <w:r w:rsidR="00135DD2" w:rsidRPr="002A4D0D">
              <w:t xml:space="preserve"> </w:t>
            </w:r>
            <w:r w:rsidR="0019713D" w:rsidRPr="002A4D0D">
              <w:t xml:space="preserve">8.2.1. SAM </w:t>
            </w:r>
            <w:r w:rsidR="009A72C5" w:rsidRPr="002A4D0D">
              <w:t xml:space="preserve">īstenošana pozitīvi ietekmēs makroekonomisko vidi, </w:t>
            </w:r>
            <w:r w:rsidR="00F32CB1" w:rsidRPr="002A4D0D">
              <w:t xml:space="preserve">un paredzams, ka </w:t>
            </w:r>
            <w:r w:rsidR="00897269" w:rsidRPr="002A4D0D">
              <w:t xml:space="preserve">papildus piesaistīti ārvalstu studenti </w:t>
            </w:r>
            <w:r w:rsidRPr="002A4D0D">
              <w:t xml:space="preserve">ietekmēs ekonomiku gan ar savu </w:t>
            </w:r>
            <w:r w:rsidR="00897269" w:rsidRPr="002A4D0D">
              <w:t>tiešo pienesumu Latvijas tautsaimniecībai, studiju laikā tērējot savus finanšu līdzekļus ikdienas precēm, maksājot par dzīvošanu Latvijā un piesaistot papildu tūristus</w:t>
            </w:r>
            <w:r w:rsidR="00C903C7" w:rsidRPr="002A4D0D">
              <w:t xml:space="preserve">, gan ar netiešo pienesumu: </w:t>
            </w:r>
            <w:r w:rsidR="008B5B7D" w:rsidRPr="002A4D0D">
              <w:t>r</w:t>
            </w:r>
            <w:r w:rsidR="00897269" w:rsidRPr="002A4D0D">
              <w:t>adot darba vietas izglītības un klientu apkalpošanas nozarēs;</w:t>
            </w:r>
            <w:r w:rsidR="00F32CB1" w:rsidRPr="002A4D0D">
              <w:t xml:space="preserve"> </w:t>
            </w:r>
            <w:r w:rsidR="008B5B7D" w:rsidRPr="002A4D0D">
              <w:t>p</w:t>
            </w:r>
            <w:r w:rsidR="00897269" w:rsidRPr="002A4D0D">
              <w:t>ēc studiju beigām dibinot Latvijā jaunus uzņēmumus, radot jaunas darba vietas;</w:t>
            </w:r>
            <w:r w:rsidR="00F32CB1" w:rsidRPr="002A4D0D">
              <w:t xml:space="preserve"> </w:t>
            </w:r>
            <w:r w:rsidR="008B5B7D" w:rsidRPr="002A4D0D">
              <w:t>p</w:t>
            </w:r>
            <w:r w:rsidR="00897269" w:rsidRPr="002A4D0D">
              <w:t>ēc studiju beigām atgriežoties mītnes zemē, dibinot uzņēmumu un veidojot sadarbību ar Latvijas uzņēmumiem</w:t>
            </w:r>
            <w:r w:rsidRPr="002A4D0D">
              <w:t xml:space="preserve">. </w:t>
            </w:r>
            <w:r w:rsidR="00C1187A" w:rsidRPr="002A4D0D">
              <w:t>Ārvalstnieki, kas absolvē Latvijas augstskolas, faktiski kļūst par neformāliem bijušās mītnes valsts vēstniekiem, stiprinot ekonomiskos un politiskos sakarus un veidojot Latvijas starptautisko reputāciju.</w:t>
            </w:r>
          </w:p>
          <w:p w14:paraId="3038FF2B" w14:textId="77777777" w:rsidR="00F76013" w:rsidRPr="002A4D0D" w:rsidRDefault="00F76013" w:rsidP="00897269">
            <w:pPr>
              <w:shd w:val="clear" w:color="auto" w:fill="FFFFFF"/>
              <w:ind w:left="57" w:right="113"/>
              <w:jc w:val="both"/>
            </w:pPr>
          </w:p>
          <w:p w14:paraId="79AA3C55" w14:textId="77777777" w:rsidR="009A72C5" w:rsidRPr="002A4D0D" w:rsidRDefault="009A72C5" w:rsidP="00DD2EFA">
            <w:pPr>
              <w:shd w:val="clear" w:color="auto" w:fill="FFFFFF"/>
              <w:ind w:left="57" w:right="113"/>
              <w:jc w:val="both"/>
              <w:rPr>
                <w:b/>
              </w:rPr>
            </w:pPr>
            <w:r w:rsidRPr="002A4D0D">
              <w:rPr>
                <w:b/>
              </w:rPr>
              <w:t xml:space="preserve">Ietekme uz administratīvajām procedūrām un to izmaksām: </w:t>
            </w:r>
          </w:p>
          <w:p w14:paraId="580B6CC2" w14:textId="77777777" w:rsidR="00342635" w:rsidRPr="002A4D0D" w:rsidRDefault="00342635" w:rsidP="00342635">
            <w:pPr>
              <w:shd w:val="clear" w:color="auto" w:fill="FFFFFF"/>
              <w:ind w:left="57" w:right="113"/>
              <w:jc w:val="both"/>
            </w:pPr>
            <w:r w:rsidRPr="002A4D0D">
              <w:t>Kopumā sabiedrības grupām un institūcijām noteikumu projekta tiesiskais regulējums nemaina tiesības un pienākumus, kā arī veicamās darbības.</w:t>
            </w:r>
          </w:p>
          <w:p w14:paraId="3FC5ACDB" w14:textId="6346EE37" w:rsidR="00041498" w:rsidRPr="002A4D0D" w:rsidRDefault="00041498" w:rsidP="007B1450">
            <w:pPr>
              <w:shd w:val="clear" w:color="auto" w:fill="FFFFFF"/>
              <w:ind w:left="57" w:right="113"/>
              <w:jc w:val="both"/>
            </w:pPr>
            <w:r w:rsidRPr="002A4D0D">
              <w:t>8.</w:t>
            </w:r>
            <w:r w:rsidR="007B1450">
              <w:t>2</w:t>
            </w:r>
            <w:r w:rsidRPr="002A4D0D">
              <w:t>.</w:t>
            </w:r>
            <w:r w:rsidR="007B1450">
              <w:t>1</w:t>
            </w:r>
            <w:r w:rsidRPr="002A4D0D">
              <w:t>. SAM ietvaros finansējuma saņēmējs nodrošina noteikumu projekt</w:t>
            </w:r>
            <w:r w:rsidR="00342635">
              <w:t>ā</w:t>
            </w:r>
            <w:r w:rsidRPr="002A4D0D">
              <w:t xml:space="preserve"> minētos informācijas sniegšanas pasākumus.</w:t>
            </w:r>
          </w:p>
        </w:tc>
      </w:tr>
      <w:tr w:rsidR="009A72C5" w:rsidRPr="00D91AE9" w14:paraId="0060F8AB" w14:textId="77777777" w:rsidTr="00E468EE">
        <w:tc>
          <w:tcPr>
            <w:tcW w:w="244" w:type="pct"/>
            <w:gridSpan w:val="2"/>
            <w:tcBorders>
              <w:top w:val="outset" w:sz="6" w:space="0" w:color="000000"/>
              <w:left w:val="outset" w:sz="6" w:space="0" w:color="000000"/>
              <w:bottom w:val="outset" w:sz="6" w:space="0" w:color="000000"/>
              <w:right w:val="outset" w:sz="6" w:space="0" w:color="000000"/>
            </w:tcBorders>
          </w:tcPr>
          <w:p w14:paraId="19E0533C" w14:textId="2CA10B42" w:rsidR="009A72C5" w:rsidRPr="00D91AE9" w:rsidRDefault="009A72C5" w:rsidP="00DD2EFA">
            <w:pPr>
              <w:ind w:left="57" w:right="57"/>
              <w:jc w:val="center"/>
            </w:pPr>
            <w:r w:rsidRPr="00D91AE9">
              <w:lastRenderedPageBreak/>
              <w:t>3.</w:t>
            </w:r>
          </w:p>
        </w:tc>
        <w:tc>
          <w:tcPr>
            <w:tcW w:w="985" w:type="pct"/>
            <w:gridSpan w:val="2"/>
            <w:tcBorders>
              <w:top w:val="outset" w:sz="6" w:space="0" w:color="000000"/>
              <w:left w:val="outset" w:sz="6" w:space="0" w:color="000000"/>
              <w:bottom w:val="outset" w:sz="6" w:space="0" w:color="000000"/>
              <w:right w:val="outset" w:sz="6" w:space="0" w:color="000000"/>
            </w:tcBorders>
          </w:tcPr>
          <w:p w14:paraId="4DE5F053" w14:textId="77777777" w:rsidR="009A72C5" w:rsidRPr="00D91AE9" w:rsidRDefault="009A72C5" w:rsidP="00DD2EFA">
            <w:pPr>
              <w:ind w:left="57" w:right="57"/>
            </w:pPr>
            <w:r w:rsidRPr="00D91AE9">
              <w:t>Administratīvo izmaksu monetārs novērtējums</w:t>
            </w:r>
          </w:p>
        </w:tc>
        <w:tc>
          <w:tcPr>
            <w:tcW w:w="3772" w:type="pct"/>
            <w:tcBorders>
              <w:top w:val="outset" w:sz="6" w:space="0" w:color="000000"/>
              <w:left w:val="outset" w:sz="6" w:space="0" w:color="000000"/>
              <w:bottom w:val="outset" w:sz="6" w:space="0" w:color="000000"/>
              <w:right w:val="outset" w:sz="6" w:space="0" w:color="000000"/>
            </w:tcBorders>
          </w:tcPr>
          <w:p w14:paraId="09417D97" w14:textId="77777777" w:rsidR="00AD2DA1" w:rsidRDefault="00AD2DA1" w:rsidP="00DD2EFA">
            <w:pPr>
              <w:shd w:val="clear" w:color="auto" w:fill="FFFFFF"/>
              <w:ind w:left="57" w:right="113"/>
              <w:jc w:val="both"/>
              <w:rPr>
                <w:b/>
              </w:rPr>
            </w:pPr>
            <w:r>
              <w:rPr>
                <w:b/>
              </w:rPr>
              <w:t>Administratīvās izmaksas:</w:t>
            </w:r>
          </w:p>
          <w:p w14:paraId="6EC8F653" w14:textId="2CB48460" w:rsidR="00B124DD" w:rsidRPr="0097057D" w:rsidRDefault="00B124DD" w:rsidP="00B124DD">
            <w:pPr>
              <w:ind w:left="131" w:right="147"/>
              <w:jc w:val="both"/>
            </w:pPr>
            <w:r w:rsidRPr="0097057D">
              <w:t xml:space="preserve">- ievietojot informāciju tīmekļa vietnē par piešķirto atbalstu: (darbaspēka atlīdzības vidējā likme * laiks, kas nepieciešams informācijas ievietošanai tīmekļvietnē) * (projekta īstenošanas personāla skaits, kas ievieto informāciju * informācijas </w:t>
            </w:r>
            <w:r w:rsidRPr="0097057D">
              <w:lastRenderedPageBreak/>
              <w:t xml:space="preserve">sniegšanas biežums visā projekta īstenošanas laikā) = (6,12*0,5) * (1*20) = 3,06*20 = 61,20 </w:t>
            </w:r>
            <w:r w:rsidRPr="0097057D">
              <w:rPr>
                <w:i/>
                <w:iCs/>
              </w:rPr>
              <w:t>euro</w:t>
            </w:r>
            <w:r w:rsidRPr="0097057D">
              <w:t xml:space="preserve">; </w:t>
            </w:r>
          </w:p>
          <w:p w14:paraId="2E9EADC3" w14:textId="77777777" w:rsidR="00B124DD" w:rsidRPr="0097057D" w:rsidRDefault="00B124DD" w:rsidP="00B124DD">
            <w:pPr>
              <w:ind w:left="131" w:right="147"/>
              <w:jc w:val="both"/>
            </w:pPr>
            <w:r w:rsidRPr="0097057D">
              <w:t xml:space="preserve">- ievietojot informāciju tīmekļa vietnē par 8.2.3. SAM finansējuma saņēmēja projekta īstenošanu: (darbaspēka atlīdzības vidējā likme * laiks, kas nepieciešams informācijas ievietošanai tīmekļvietnē) * (projekta īstenošanas personāla skaits, kas ievieto informāciju * informācijas sniegšanas biežums visā projekta īstenošanas laikā) = (6,12*0,5) * (1*20) = 3,06*20 = 61,20 </w:t>
            </w:r>
            <w:r w:rsidRPr="0097057D">
              <w:rPr>
                <w:i/>
                <w:iCs/>
              </w:rPr>
              <w:t>euro</w:t>
            </w:r>
            <w:r w:rsidRPr="0097057D">
              <w:t>.</w:t>
            </w:r>
          </w:p>
          <w:p w14:paraId="187CE2FD" w14:textId="77777777" w:rsidR="00B124DD" w:rsidRPr="0097057D" w:rsidRDefault="00B124DD" w:rsidP="00B124DD">
            <w:pPr>
              <w:ind w:left="131" w:right="147"/>
              <w:jc w:val="both"/>
            </w:pPr>
            <w:r w:rsidRPr="0097057D">
              <w:t>Administratīvo izmaksu monetārs novērtējums par ar datu uzkrāšanu/ievadīšanu, informācijas sagatavošanu un informācijas ievietošanu tīmekļa vietnē saistītajiem izdevumiem ir veikts indikatīvi.</w:t>
            </w:r>
          </w:p>
          <w:p w14:paraId="53C67AC7" w14:textId="21486A71" w:rsidR="00B124DD" w:rsidRPr="00DD2EFA" w:rsidRDefault="00B124DD" w:rsidP="00B124DD">
            <w:pPr>
              <w:shd w:val="clear" w:color="auto" w:fill="FFFFFF"/>
              <w:ind w:left="57" w:right="113"/>
              <w:jc w:val="both"/>
            </w:pPr>
            <w:r w:rsidRPr="0097057D">
              <w:t xml:space="preserve">Aprēķinam izmantots pieņēmums, ka informācijas sniegšanas un datu uzkrāšanas pienākumus veic darbinieki ar vidējo vienas stundas darba samaksu administratīvo un apkalpojošo dienestu darbības sektorā, kas 2017. gada I ceturksnī Latvijā bija 6,12 </w:t>
            </w:r>
            <w:r w:rsidRPr="0097057D">
              <w:rPr>
                <w:i/>
                <w:iCs/>
              </w:rPr>
              <w:t>euro</w:t>
            </w:r>
            <w:r w:rsidRPr="0097057D">
              <w:t xml:space="preserve"> /stundā.  (</w:t>
            </w:r>
            <w:hyperlink r:id="rId8" w:history="1">
              <w:r w:rsidRPr="0097057D">
                <w:rPr>
                  <w:rStyle w:val="Hyperlink"/>
                  <w:rFonts w:eastAsiaTheme="majorEastAsia"/>
                </w:rPr>
                <w:t>http://www.csb.gov.lv/statistikas-temas/darba-samaksa-galvenie-raditaji-30270.html</w:t>
              </w:r>
            </w:hyperlink>
            <w:r w:rsidRPr="0097057D">
              <w:t>) un informācijas sniegšanas biežums visā projekta īstenošanas laikā ir 20 reizes (60 mēn / 3).</w:t>
            </w:r>
          </w:p>
        </w:tc>
      </w:tr>
      <w:tr w:rsidR="009A72C5" w:rsidRPr="00D91AE9" w14:paraId="194DF3B1" w14:textId="77777777" w:rsidTr="00E468EE">
        <w:tc>
          <w:tcPr>
            <w:tcW w:w="244" w:type="pct"/>
            <w:gridSpan w:val="2"/>
            <w:tcBorders>
              <w:top w:val="outset" w:sz="6" w:space="0" w:color="000000"/>
              <w:left w:val="outset" w:sz="6" w:space="0" w:color="000000"/>
              <w:bottom w:val="outset" w:sz="6" w:space="0" w:color="000000"/>
              <w:right w:val="outset" w:sz="6" w:space="0" w:color="000000"/>
            </w:tcBorders>
          </w:tcPr>
          <w:p w14:paraId="23305977" w14:textId="77777777" w:rsidR="009A72C5" w:rsidRPr="00D91AE9" w:rsidRDefault="009A72C5" w:rsidP="00DD2EFA">
            <w:pPr>
              <w:ind w:left="57" w:right="57"/>
              <w:jc w:val="center"/>
            </w:pPr>
            <w:r w:rsidRPr="00D91AE9">
              <w:lastRenderedPageBreak/>
              <w:t>4.</w:t>
            </w:r>
          </w:p>
        </w:tc>
        <w:tc>
          <w:tcPr>
            <w:tcW w:w="985" w:type="pct"/>
            <w:gridSpan w:val="2"/>
            <w:tcBorders>
              <w:top w:val="outset" w:sz="6" w:space="0" w:color="000000"/>
              <w:left w:val="outset" w:sz="6" w:space="0" w:color="000000"/>
              <w:bottom w:val="outset" w:sz="6" w:space="0" w:color="000000"/>
              <w:right w:val="outset" w:sz="6" w:space="0" w:color="000000"/>
            </w:tcBorders>
          </w:tcPr>
          <w:p w14:paraId="10E4FD8E" w14:textId="77777777" w:rsidR="009A72C5" w:rsidRPr="00D91AE9" w:rsidRDefault="009A72C5" w:rsidP="00DD2EFA">
            <w:pPr>
              <w:ind w:left="57" w:right="57"/>
            </w:pPr>
            <w:r w:rsidRPr="00D91AE9">
              <w:t> Cita informācija</w:t>
            </w:r>
          </w:p>
        </w:tc>
        <w:tc>
          <w:tcPr>
            <w:tcW w:w="3772" w:type="pct"/>
            <w:tcBorders>
              <w:top w:val="outset" w:sz="6" w:space="0" w:color="000000"/>
              <w:left w:val="outset" w:sz="6" w:space="0" w:color="000000"/>
              <w:bottom w:val="outset" w:sz="6" w:space="0" w:color="000000"/>
              <w:right w:val="outset" w:sz="6" w:space="0" w:color="000000"/>
            </w:tcBorders>
          </w:tcPr>
          <w:p w14:paraId="2379597B" w14:textId="65CE65A7" w:rsidR="003F7229" w:rsidRPr="002A4D0D" w:rsidRDefault="009C19B2" w:rsidP="007D18FC">
            <w:pPr>
              <w:ind w:firstLine="516"/>
              <w:jc w:val="both"/>
              <w:rPr>
                <w:rFonts w:eastAsia="Calibri"/>
                <w:color w:val="000000" w:themeColor="text1"/>
              </w:rPr>
            </w:pPr>
            <w:r w:rsidRPr="009C19B2">
              <w:rPr>
                <w:rFonts w:eastAsia="Calibri"/>
              </w:rPr>
              <w:t>8.</w:t>
            </w:r>
            <w:r w:rsidR="000D42F2">
              <w:rPr>
                <w:rFonts w:eastAsia="Calibri"/>
              </w:rPr>
              <w:t>2</w:t>
            </w:r>
            <w:r w:rsidRPr="009C19B2">
              <w:rPr>
                <w:rFonts w:eastAsia="Calibri"/>
              </w:rPr>
              <w:t>.</w:t>
            </w:r>
            <w:r w:rsidR="000D42F2">
              <w:rPr>
                <w:rFonts w:eastAsia="Calibri"/>
              </w:rPr>
              <w:t>1</w:t>
            </w:r>
            <w:r w:rsidRPr="00EB606C">
              <w:rPr>
                <w:rFonts w:eastAsia="Calibri"/>
                <w:color w:val="FF0000"/>
              </w:rPr>
              <w:t xml:space="preserve">. </w:t>
            </w:r>
            <w:r w:rsidRPr="002A4D0D">
              <w:rPr>
                <w:rFonts w:eastAsia="Calibri"/>
                <w:color w:val="000000" w:themeColor="text1"/>
              </w:rPr>
              <w:t xml:space="preserve">SAM īstenošana atstās netiešu ietekmi uz </w:t>
            </w:r>
            <w:r w:rsidRPr="002A4D0D">
              <w:rPr>
                <w:rFonts w:eastAsia="Calibri"/>
                <w:b/>
                <w:color w:val="000000" w:themeColor="text1"/>
              </w:rPr>
              <w:t>sociālo vidi</w:t>
            </w:r>
            <w:r w:rsidR="003F7229" w:rsidRPr="002A4D0D">
              <w:rPr>
                <w:rFonts w:eastAsia="Calibri"/>
                <w:color w:val="000000" w:themeColor="text1"/>
              </w:rPr>
              <w:t>, jo</w:t>
            </w:r>
            <w:r w:rsidR="001C4B28" w:rsidRPr="002A4D0D">
              <w:rPr>
                <w:rFonts w:eastAsia="Calibri"/>
                <w:color w:val="000000" w:themeColor="text1"/>
              </w:rPr>
              <w:t xml:space="preserve"> </w:t>
            </w:r>
            <w:r w:rsidR="00CB21B8" w:rsidRPr="002A4D0D">
              <w:rPr>
                <w:rFonts w:eastAsia="Calibri"/>
                <w:color w:val="000000" w:themeColor="text1"/>
              </w:rPr>
              <w:t xml:space="preserve">ārvalstu studējošo skaita palielināšanās </w:t>
            </w:r>
            <w:r w:rsidR="001C4B28" w:rsidRPr="002A4D0D">
              <w:rPr>
                <w:rFonts w:eastAsia="Calibri"/>
                <w:color w:val="000000" w:themeColor="text1"/>
              </w:rPr>
              <w:t>veicina</w:t>
            </w:r>
            <w:r w:rsidR="003F7229" w:rsidRPr="002A4D0D">
              <w:rPr>
                <w:rFonts w:eastAsia="Calibri"/>
                <w:color w:val="000000" w:themeColor="text1"/>
              </w:rPr>
              <w:t xml:space="preserve"> starpkultūru </w:t>
            </w:r>
            <w:r w:rsidR="001C061F" w:rsidRPr="002A4D0D">
              <w:rPr>
                <w:rFonts w:eastAsia="Calibri"/>
                <w:color w:val="000000" w:themeColor="text1"/>
              </w:rPr>
              <w:t>komunikāciju un integrāciju.</w:t>
            </w:r>
            <w:r w:rsidR="00CB21B8" w:rsidRPr="002A4D0D">
              <w:rPr>
                <w:rFonts w:eastAsia="Calibri"/>
                <w:color w:val="000000" w:themeColor="text1"/>
              </w:rPr>
              <w:t xml:space="preserve"> </w:t>
            </w:r>
          </w:p>
          <w:p w14:paraId="5C742A28" w14:textId="3ED76AE9" w:rsidR="009C19B2" w:rsidRPr="002A4D0D" w:rsidRDefault="00607AFA" w:rsidP="009C19B2">
            <w:pPr>
              <w:jc w:val="both"/>
              <w:rPr>
                <w:rFonts w:eastAsia="Calibri"/>
                <w:color w:val="000000" w:themeColor="text1"/>
              </w:rPr>
            </w:pPr>
            <w:r w:rsidRPr="002A4D0D">
              <w:rPr>
                <w:rFonts w:eastAsia="Calibri"/>
                <w:color w:val="000000" w:themeColor="text1"/>
              </w:rPr>
              <w:t xml:space="preserve">Augstākās izglītības kvalitātes </w:t>
            </w:r>
            <w:r w:rsidR="009C19B2" w:rsidRPr="002A4D0D">
              <w:rPr>
                <w:rFonts w:eastAsia="Calibri"/>
                <w:color w:val="000000" w:themeColor="text1"/>
              </w:rPr>
              <w:t>uzlabošanās dos arī papildus sociālos ieguvumus</w:t>
            </w:r>
            <w:r w:rsidR="00944985" w:rsidRPr="002A4D0D">
              <w:rPr>
                <w:rFonts w:eastAsia="Calibri"/>
                <w:color w:val="000000" w:themeColor="text1"/>
              </w:rPr>
              <w:t xml:space="preserve">, jo </w:t>
            </w:r>
            <w:r w:rsidRPr="002A4D0D">
              <w:rPr>
                <w:rFonts w:eastAsia="Calibri"/>
                <w:color w:val="000000" w:themeColor="text1"/>
              </w:rPr>
              <w:t>izglītota sabiedrība veicin</w:t>
            </w:r>
            <w:r w:rsidR="0054514A" w:rsidRPr="002A4D0D">
              <w:rPr>
                <w:rFonts w:eastAsia="Calibri"/>
                <w:color w:val="000000" w:themeColor="text1"/>
              </w:rPr>
              <w:t>ās</w:t>
            </w:r>
            <w:r w:rsidRPr="002A4D0D">
              <w:rPr>
                <w:rFonts w:eastAsia="Calibri"/>
                <w:color w:val="000000" w:themeColor="text1"/>
              </w:rPr>
              <w:t xml:space="preserve"> </w:t>
            </w:r>
            <w:r w:rsidR="009C19B2" w:rsidRPr="002A4D0D">
              <w:rPr>
                <w:rFonts w:eastAsia="Calibri"/>
                <w:color w:val="000000" w:themeColor="text1"/>
              </w:rPr>
              <w:t>kultūras līmeņa</w:t>
            </w:r>
            <w:r w:rsidRPr="002A4D0D">
              <w:rPr>
                <w:rFonts w:eastAsia="Calibri"/>
                <w:color w:val="000000" w:themeColor="text1"/>
              </w:rPr>
              <w:t xml:space="preserve"> attīstību, sociālo saliedētību un rad</w:t>
            </w:r>
            <w:r w:rsidR="0054514A" w:rsidRPr="002A4D0D">
              <w:rPr>
                <w:rFonts w:eastAsia="Calibri"/>
                <w:color w:val="000000" w:themeColor="text1"/>
              </w:rPr>
              <w:t>īs</w:t>
            </w:r>
            <w:r w:rsidR="009C19B2" w:rsidRPr="002A4D0D">
              <w:rPr>
                <w:rFonts w:eastAsia="Calibri"/>
                <w:color w:val="000000" w:themeColor="text1"/>
              </w:rPr>
              <w:t xml:space="preserve"> drošāku sabiedrisko vidi. </w:t>
            </w:r>
          </w:p>
          <w:p w14:paraId="6F822F59" w14:textId="45BA8C1E" w:rsidR="009C19B2" w:rsidRPr="002A4D0D" w:rsidRDefault="009C19B2" w:rsidP="007D18FC">
            <w:pPr>
              <w:ind w:firstLine="516"/>
              <w:jc w:val="both"/>
              <w:rPr>
                <w:rFonts w:eastAsia="Calibri"/>
                <w:color w:val="000000" w:themeColor="text1"/>
              </w:rPr>
            </w:pPr>
            <w:r w:rsidRPr="002A4D0D">
              <w:rPr>
                <w:rFonts w:eastAsia="Calibri"/>
                <w:color w:val="000000" w:themeColor="text1"/>
              </w:rPr>
              <w:t>8.</w:t>
            </w:r>
            <w:r w:rsidR="000D42F2">
              <w:rPr>
                <w:rFonts w:eastAsia="Calibri"/>
                <w:color w:val="000000" w:themeColor="text1"/>
              </w:rPr>
              <w:t>2</w:t>
            </w:r>
            <w:r w:rsidRPr="002A4D0D">
              <w:rPr>
                <w:rFonts w:eastAsia="Calibri"/>
                <w:color w:val="000000" w:themeColor="text1"/>
              </w:rPr>
              <w:t>.</w:t>
            </w:r>
            <w:r w:rsidR="000D42F2">
              <w:rPr>
                <w:rFonts w:eastAsia="Calibri"/>
                <w:color w:val="000000" w:themeColor="text1"/>
              </w:rPr>
              <w:t>1</w:t>
            </w:r>
            <w:r w:rsidRPr="002A4D0D">
              <w:rPr>
                <w:rFonts w:eastAsia="Calibri"/>
                <w:color w:val="000000" w:themeColor="text1"/>
              </w:rPr>
              <w:t xml:space="preserve">. SAM </w:t>
            </w:r>
            <w:r w:rsidRPr="00D3763D">
              <w:rPr>
                <w:rFonts w:eastAsia="Calibri"/>
                <w:b/>
                <w:color w:val="000000" w:themeColor="text1"/>
              </w:rPr>
              <w:t>nav</w:t>
            </w:r>
            <w:r w:rsidRPr="002A4D0D">
              <w:rPr>
                <w:rFonts w:eastAsia="Calibri"/>
                <w:color w:val="000000" w:themeColor="text1"/>
              </w:rPr>
              <w:t xml:space="preserve"> </w:t>
            </w:r>
            <w:r w:rsidRPr="007D18FC">
              <w:rPr>
                <w:rFonts w:eastAsia="Calibri"/>
                <w:b/>
                <w:color w:val="000000" w:themeColor="text1"/>
              </w:rPr>
              <w:t>ietekmes uz vidi</w:t>
            </w:r>
            <w:r w:rsidRPr="002A4D0D">
              <w:rPr>
                <w:rFonts w:eastAsia="Calibri"/>
                <w:color w:val="000000" w:themeColor="text1"/>
              </w:rPr>
              <w:t xml:space="preserve">. </w:t>
            </w:r>
          </w:p>
          <w:p w14:paraId="3BDFF1D9" w14:textId="70208AEA" w:rsidR="009A72C5" w:rsidRPr="00D91AE9" w:rsidRDefault="009C19B2" w:rsidP="007D18FC">
            <w:pPr>
              <w:ind w:firstLine="516"/>
              <w:jc w:val="both"/>
              <w:rPr>
                <w:rFonts w:eastAsia="Calibri"/>
              </w:rPr>
            </w:pPr>
            <w:r w:rsidRPr="002A4D0D">
              <w:rPr>
                <w:rFonts w:eastAsia="Calibri"/>
                <w:color w:val="000000" w:themeColor="text1"/>
              </w:rPr>
              <w:t>8.</w:t>
            </w:r>
            <w:r w:rsidR="000D42F2">
              <w:rPr>
                <w:rFonts w:eastAsia="Calibri"/>
                <w:color w:val="000000" w:themeColor="text1"/>
              </w:rPr>
              <w:t>2</w:t>
            </w:r>
            <w:r w:rsidRPr="002A4D0D">
              <w:rPr>
                <w:rFonts w:eastAsia="Calibri"/>
                <w:color w:val="000000" w:themeColor="text1"/>
              </w:rPr>
              <w:t>.</w:t>
            </w:r>
            <w:r w:rsidR="000D42F2">
              <w:rPr>
                <w:rFonts w:eastAsia="Calibri"/>
                <w:color w:val="000000" w:themeColor="text1"/>
              </w:rPr>
              <w:t>1</w:t>
            </w:r>
            <w:r w:rsidRPr="002A4D0D">
              <w:rPr>
                <w:rFonts w:eastAsia="Calibri"/>
                <w:color w:val="000000" w:themeColor="text1"/>
              </w:rPr>
              <w:t xml:space="preserve">. SAM ietvaros tiek plānota </w:t>
            </w:r>
            <w:r w:rsidRPr="007D18FC">
              <w:rPr>
                <w:rFonts w:eastAsia="Calibri"/>
                <w:b/>
                <w:color w:val="000000" w:themeColor="text1"/>
              </w:rPr>
              <w:t>netieša pozitīva ietekme</w:t>
            </w:r>
            <w:r w:rsidRPr="002A4D0D">
              <w:rPr>
                <w:rFonts w:eastAsia="Calibri"/>
                <w:color w:val="000000" w:themeColor="text1"/>
              </w:rPr>
              <w:t xml:space="preserve"> uz horizontālo principu </w:t>
            </w:r>
            <w:r w:rsidRPr="007D18FC">
              <w:rPr>
                <w:rFonts w:eastAsia="Calibri"/>
                <w:b/>
                <w:color w:val="000000" w:themeColor="text1"/>
              </w:rPr>
              <w:t>„Vienlīdzīgas iespējas”</w:t>
            </w:r>
            <w:r w:rsidRPr="002A4D0D">
              <w:rPr>
                <w:rFonts w:eastAsia="Calibri"/>
                <w:color w:val="000000" w:themeColor="text1"/>
              </w:rPr>
              <w:t xml:space="preserve">. </w:t>
            </w:r>
            <w:r w:rsidR="003F7229" w:rsidRPr="002A4D0D">
              <w:rPr>
                <w:rFonts w:eastAsia="Calibri"/>
                <w:color w:val="000000" w:themeColor="text1"/>
              </w:rPr>
              <w:t xml:space="preserve">Īstenojot atbalstāmās darbības, tiks ievērots vienlīdzīgu iespēju un pozitīvās diskriminācijas princips, kur iespējams, piesaistot mazāk pārstāvēto dzimumu konkrētā AII. Projekta vadība, apmācību un informēšanas pasākumi u.c. projekta darbības tiks īstenotas pielāgotās telpās personām ar invaliditāti, nodrošinot nepieciešamo aprīkojumu iekļūšanai telpās un pielāgotas informācijas tehnoloģijas, ja tas ir nepieciešams. </w:t>
            </w:r>
          </w:p>
        </w:tc>
      </w:tr>
    </w:tbl>
    <w:p w14:paraId="5E8A8951" w14:textId="77777777" w:rsidR="009A72C5" w:rsidRPr="00D91AE9" w:rsidRDefault="009A72C5" w:rsidP="009A72C5"/>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7"/>
        <w:gridCol w:w="1252"/>
        <w:gridCol w:w="1332"/>
        <w:gridCol w:w="1311"/>
        <w:gridCol w:w="1311"/>
        <w:gridCol w:w="1380"/>
      </w:tblGrid>
      <w:tr w:rsidR="009A72C5" w:rsidRPr="00D91AE9" w14:paraId="647ABBA7" w14:textId="77777777" w:rsidTr="00DD2EFA">
        <w:trPr>
          <w:trHeight w:val="361"/>
          <w:jc w:val="center"/>
        </w:trPr>
        <w:tc>
          <w:tcPr>
            <w:tcW w:w="8763" w:type="dxa"/>
            <w:gridSpan w:val="6"/>
            <w:vAlign w:val="center"/>
          </w:tcPr>
          <w:p w14:paraId="03C2D53A" w14:textId="77777777" w:rsidR="009A72C5" w:rsidRPr="00D91AE9" w:rsidRDefault="009A72C5" w:rsidP="00DD2EFA">
            <w:pPr>
              <w:pStyle w:val="naisnod"/>
              <w:spacing w:before="0" w:after="0"/>
              <w:rPr>
                <w:b w:val="0"/>
                <w:i/>
              </w:rPr>
            </w:pPr>
            <w:r w:rsidRPr="00D91AE9">
              <w:br w:type="page"/>
              <w:t>III. Tiesību akta projekta ietekme uz valsts budžetu un pašvaldību budžetiem</w:t>
            </w:r>
          </w:p>
        </w:tc>
      </w:tr>
      <w:tr w:rsidR="009A72C5" w:rsidRPr="00D91AE9" w14:paraId="78E36C0A" w14:textId="77777777" w:rsidTr="00A70AB0">
        <w:trPr>
          <w:jc w:val="center"/>
        </w:trPr>
        <w:tc>
          <w:tcPr>
            <w:tcW w:w="2177" w:type="dxa"/>
            <w:vMerge w:val="restart"/>
            <w:vAlign w:val="center"/>
          </w:tcPr>
          <w:p w14:paraId="537DEE9A" w14:textId="77777777" w:rsidR="009A72C5" w:rsidRPr="00D91AE9" w:rsidRDefault="009A72C5" w:rsidP="00DD2EFA">
            <w:pPr>
              <w:pStyle w:val="naisf"/>
              <w:spacing w:before="0" w:after="0"/>
              <w:jc w:val="center"/>
              <w:rPr>
                <w:b/>
              </w:rPr>
            </w:pPr>
            <w:r w:rsidRPr="00D91AE9">
              <w:rPr>
                <w:b/>
              </w:rPr>
              <w:t>Rādītāji</w:t>
            </w:r>
          </w:p>
          <w:p w14:paraId="21376A3B" w14:textId="77777777" w:rsidR="009A72C5" w:rsidRPr="00D91AE9" w:rsidRDefault="009A72C5" w:rsidP="00DD2EFA"/>
          <w:p w14:paraId="65F31C91" w14:textId="77777777" w:rsidR="009A72C5" w:rsidRPr="00D91AE9" w:rsidRDefault="009A72C5" w:rsidP="00DD2EFA"/>
          <w:p w14:paraId="3A9BDD4A" w14:textId="77777777" w:rsidR="009A72C5" w:rsidRPr="00D91AE9" w:rsidRDefault="009A72C5" w:rsidP="00DD2EFA"/>
        </w:tc>
        <w:tc>
          <w:tcPr>
            <w:tcW w:w="2584" w:type="dxa"/>
            <w:gridSpan w:val="2"/>
            <w:vMerge w:val="restart"/>
            <w:vAlign w:val="center"/>
          </w:tcPr>
          <w:p w14:paraId="088527F8" w14:textId="0A5B731A" w:rsidR="009A72C5" w:rsidRPr="00D91AE9" w:rsidRDefault="009A72C5" w:rsidP="00336B59">
            <w:pPr>
              <w:pStyle w:val="naisf"/>
              <w:spacing w:before="0" w:after="0"/>
              <w:jc w:val="center"/>
              <w:rPr>
                <w:b/>
              </w:rPr>
            </w:pPr>
            <w:r w:rsidRPr="00D91AE9">
              <w:rPr>
                <w:b/>
              </w:rPr>
              <w:t>201</w:t>
            </w:r>
            <w:r w:rsidR="00776F4C">
              <w:rPr>
                <w:b/>
              </w:rPr>
              <w:t>7</w:t>
            </w:r>
            <w:r w:rsidRPr="00D91AE9">
              <w:rPr>
                <w:b/>
              </w:rPr>
              <w:t>.gads</w:t>
            </w:r>
          </w:p>
        </w:tc>
        <w:tc>
          <w:tcPr>
            <w:tcW w:w="4002" w:type="dxa"/>
            <w:gridSpan w:val="3"/>
            <w:vAlign w:val="center"/>
          </w:tcPr>
          <w:p w14:paraId="775AFE87" w14:textId="77777777" w:rsidR="009A72C5" w:rsidRPr="00D91AE9" w:rsidRDefault="009A72C5" w:rsidP="00DD2EFA">
            <w:pPr>
              <w:pStyle w:val="naisf"/>
              <w:spacing w:before="0" w:after="0"/>
              <w:jc w:val="center"/>
              <w:rPr>
                <w:b/>
                <w:i/>
              </w:rPr>
            </w:pPr>
            <w:r w:rsidRPr="00D91AE9">
              <w:t>Turpmākie trīs gadi (</w:t>
            </w:r>
            <w:r w:rsidRPr="00D91AE9">
              <w:rPr>
                <w:i/>
              </w:rPr>
              <w:t>euro</w:t>
            </w:r>
            <w:r w:rsidRPr="00D91AE9">
              <w:t>)</w:t>
            </w:r>
          </w:p>
        </w:tc>
      </w:tr>
      <w:tr w:rsidR="009A72C5" w:rsidRPr="00D91AE9" w14:paraId="000616D7" w14:textId="77777777" w:rsidTr="00A70AB0">
        <w:trPr>
          <w:jc w:val="center"/>
        </w:trPr>
        <w:tc>
          <w:tcPr>
            <w:tcW w:w="2177" w:type="dxa"/>
            <w:vMerge/>
            <w:vAlign w:val="center"/>
          </w:tcPr>
          <w:p w14:paraId="47B4A428" w14:textId="77777777" w:rsidR="009A72C5" w:rsidRPr="00D91AE9" w:rsidRDefault="009A72C5" w:rsidP="00DD2EFA">
            <w:pPr>
              <w:pStyle w:val="naisf"/>
              <w:spacing w:before="0" w:after="0"/>
              <w:jc w:val="center"/>
              <w:rPr>
                <w:b/>
                <w:i/>
              </w:rPr>
            </w:pPr>
          </w:p>
        </w:tc>
        <w:tc>
          <w:tcPr>
            <w:tcW w:w="2584" w:type="dxa"/>
            <w:gridSpan w:val="2"/>
            <w:vMerge/>
            <w:tcBorders>
              <w:bottom w:val="single" w:sz="4" w:space="0" w:color="auto"/>
            </w:tcBorders>
            <w:vAlign w:val="center"/>
          </w:tcPr>
          <w:p w14:paraId="780A7B5A" w14:textId="77777777" w:rsidR="009A72C5" w:rsidRPr="00D91AE9" w:rsidRDefault="009A72C5" w:rsidP="00DD2EFA">
            <w:pPr>
              <w:pStyle w:val="naisf"/>
              <w:spacing w:before="0" w:after="0"/>
              <w:jc w:val="center"/>
              <w:rPr>
                <w:b/>
                <w:i/>
              </w:rPr>
            </w:pPr>
          </w:p>
        </w:tc>
        <w:tc>
          <w:tcPr>
            <w:tcW w:w="1311" w:type="dxa"/>
            <w:tcBorders>
              <w:bottom w:val="single" w:sz="4" w:space="0" w:color="auto"/>
            </w:tcBorders>
            <w:vAlign w:val="center"/>
          </w:tcPr>
          <w:p w14:paraId="452B3052" w14:textId="22D5E283" w:rsidR="009A72C5" w:rsidRPr="00D91AE9" w:rsidRDefault="009A72C5" w:rsidP="00336B59">
            <w:pPr>
              <w:pStyle w:val="naisf"/>
              <w:spacing w:before="0" w:after="0"/>
              <w:jc w:val="center"/>
              <w:rPr>
                <w:b/>
                <w:i/>
              </w:rPr>
            </w:pPr>
            <w:r w:rsidRPr="00D91AE9">
              <w:rPr>
                <w:b/>
                <w:bCs/>
              </w:rPr>
              <w:t>201</w:t>
            </w:r>
            <w:r w:rsidR="00776F4C">
              <w:rPr>
                <w:b/>
                <w:bCs/>
              </w:rPr>
              <w:t>8</w:t>
            </w:r>
            <w:r w:rsidRPr="00D91AE9">
              <w:rPr>
                <w:b/>
                <w:bCs/>
              </w:rPr>
              <w:t>.</w:t>
            </w:r>
            <w:r w:rsidR="004078BF">
              <w:rPr>
                <w:b/>
                <w:bCs/>
              </w:rPr>
              <w:t>g.</w:t>
            </w:r>
          </w:p>
        </w:tc>
        <w:tc>
          <w:tcPr>
            <w:tcW w:w="1311" w:type="dxa"/>
            <w:tcBorders>
              <w:bottom w:val="single" w:sz="4" w:space="0" w:color="auto"/>
            </w:tcBorders>
            <w:vAlign w:val="center"/>
          </w:tcPr>
          <w:p w14:paraId="24E980C0" w14:textId="025F86F9" w:rsidR="009A72C5" w:rsidRPr="00D91AE9" w:rsidRDefault="009A72C5" w:rsidP="00336B59">
            <w:pPr>
              <w:pStyle w:val="naisf"/>
              <w:spacing w:before="0" w:after="0"/>
              <w:jc w:val="center"/>
              <w:rPr>
                <w:b/>
                <w:i/>
              </w:rPr>
            </w:pPr>
            <w:r w:rsidRPr="00D91AE9">
              <w:rPr>
                <w:b/>
                <w:bCs/>
              </w:rPr>
              <w:t>201</w:t>
            </w:r>
            <w:r w:rsidR="00776F4C">
              <w:rPr>
                <w:b/>
                <w:bCs/>
              </w:rPr>
              <w:t>9</w:t>
            </w:r>
            <w:r w:rsidRPr="00D91AE9">
              <w:rPr>
                <w:b/>
                <w:bCs/>
              </w:rPr>
              <w:t>.</w:t>
            </w:r>
            <w:r w:rsidR="004078BF">
              <w:rPr>
                <w:b/>
                <w:bCs/>
              </w:rPr>
              <w:t>g.</w:t>
            </w:r>
          </w:p>
        </w:tc>
        <w:tc>
          <w:tcPr>
            <w:tcW w:w="1380" w:type="dxa"/>
            <w:vAlign w:val="center"/>
          </w:tcPr>
          <w:p w14:paraId="2CFCF9C0" w14:textId="25C9A798" w:rsidR="009A72C5" w:rsidRPr="00D91AE9" w:rsidRDefault="00776F4C" w:rsidP="00336B59">
            <w:pPr>
              <w:pStyle w:val="naisf"/>
              <w:spacing w:before="0" w:after="0"/>
              <w:jc w:val="center"/>
              <w:rPr>
                <w:b/>
                <w:i/>
              </w:rPr>
            </w:pPr>
            <w:r>
              <w:rPr>
                <w:b/>
                <w:bCs/>
              </w:rPr>
              <w:t>2020</w:t>
            </w:r>
            <w:r w:rsidR="009A72C5" w:rsidRPr="00D91AE9">
              <w:rPr>
                <w:b/>
                <w:bCs/>
              </w:rPr>
              <w:t>.</w:t>
            </w:r>
            <w:r w:rsidR="004078BF">
              <w:rPr>
                <w:b/>
                <w:bCs/>
              </w:rPr>
              <w:t>g.</w:t>
            </w:r>
          </w:p>
        </w:tc>
      </w:tr>
      <w:tr w:rsidR="009A72C5" w:rsidRPr="00D91AE9" w14:paraId="79215584" w14:textId="77777777" w:rsidTr="00FC44D0">
        <w:trPr>
          <w:jc w:val="center"/>
        </w:trPr>
        <w:tc>
          <w:tcPr>
            <w:tcW w:w="2177" w:type="dxa"/>
            <w:vMerge/>
            <w:tcBorders>
              <w:right w:val="single" w:sz="4" w:space="0" w:color="auto"/>
            </w:tcBorders>
            <w:vAlign w:val="center"/>
          </w:tcPr>
          <w:p w14:paraId="04A6F2A7" w14:textId="77777777" w:rsidR="009A72C5" w:rsidRPr="00D91AE9" w:rsidRDefault="009A72C5" w:rsidP="00DD2EFA">
            <w:pPr>
              <w:pStyle w:val="naisf"/>
              <w:spacing w:before="0" w:after="0"/>
              <w:jc w:val="center"/>
              <w:rPr>
                <w:b/>
                <w:i/>
              </w:rPr>
            </w:pPr>
          </w:p>
        </w:tc>
        <w:tc>
          <w:tcPr>
            <w:tcW w:w="1252" w:type="dxa"/>
            <w:tcBorders>
              <w:top w:val="single" w:sz="4" w:space="0" w:color="auto"/>
              <w:left w:val="single" w:sz="4" w:space="0" w:color="auto"/>
              <w:bottom w:val="single" w:sz="4" w:space="0" w:color="auto"/>
              <w:right w:val="single" w:sz="4" w:space="0" w:color="auto"/>
            </w:tcBorders>
            <w:vAlign w:val="center"/>
          </w:tcPr>
          <w:p w14:paraId="13B79B28" w14:textId="77777777" w:rsidR="009A72C5" w:rsidRPr="00D91AE9" w:rsidRDefault="009A72C5" w:rsidP="00DD2EFA">
            <w:pPr>
              <w:pStyle w:val="naisf"/>
              <w:spacing w:before="0" w:after="0"/>
              <w:ind w:firstLine="0"/>
              <w:rPr>
                <w:b/>
                <w:i/>
              </w:rPr>
            </w:pPr>
            <w:r w:rsidRPr="00D91AE9">
              <w:t>saskaņā ar valsts budžetu kārtējam gadam</w:t>
            </w:r>
          </w:p>
        </w:tc>
        <w:tc>
          <w:tcPr>
            <w:tcW w:w="1332" w:type="dxa"/>
            <w:tcBorders>
              <w:top w:val="single" w:sz="4" w:space="0" w:color="auto"/>
              <w:left w:val="single" w:sz="4" w:space="0" w:color="auto"/>
              <w:bottom w:val="single" w:sz="4" w:space="0" w:color="auto"/>
              <w:right w:val="single" w:sz="4" w:space="0" w:color="auto"/>
            </w:tcBorders>
            <w:vAlign w:val="center"/>
          </w:tcPr>
          <w:p w14:paraId="05C80E4B" w14:textId="77777777" w:rsidR="009A72C5" w:rsidRPr="00D91AE9" w:rsidRDefault="009A72C5" w:rsidP="00DD2EFA">
            <w:pPr>
              <w:pStyle w:val="naisf"/>
              <w:spacing w:before="0" w:after="0"/>
              <w:ind w:firstLine="0"/>
              <w:rPr>
                <w:b/>
                <w:i/>
              </w:rPr>
            </w:pPr>
            <w:r w:rsidRPr="00D91AE9">
              <w:t xml:space="preserve">izmaiņas kārtējā gadā, salīdzinot ar valsts budžetu </w:t>
            </w:r>
            <w:r w:rsidRPr="00D91AE9">
              <w:lastRenderedPageBreak/>
              <w:t>kārtējam gadam</w:t>
            </w:r>
          </w:p>
        </w:tc>
        <w:tc>
          <w:tcPr>
            <w:tcW w:w="1311" w:type="dxa"/>
            <w:tcBorders>
              <w:top w:val="single" w:sz="4" w:space="0" w:color="auto"/>
              <w:left w:val="single" w:sz="4" w:space="0" w:color="auto"/>
              <w:bottom w:val="single" w:sz="4" w:space="0" w:color="auto"/>
              <w:right w:val="single" w:sz="4" w:space="0" w:color="auto"/>
            </w:tcBorders>
            <w:vAlign w:val="center"/>
          </w:tcPr>
          <w:p w14:paraId="66D8FC79" w14:textId="63EAB69E" w:rsidR="009A72C5" w:rsidRPr="009922A4" w:rsidRDefault="009A72C5" w:rsidP="00DD2EFA">
            <w:pPr>
              <w:pStyle w:val="naisf"/>
              <w:spacing w:before="0" w:after="0"/>
              <w:ind w:firstLine="0"/>
              <w:rPr>
                <w:i/>
              </w:rPr>
            </w:pPr>
            <w:r w:rsidRPr="009922A4">
              <w:lastRenderedPageBreak/>
              <w:t>iz</w:t>
            </w:r>
            <w:r w:rsidR="004078BF" w:rsidRPr="009922A4">
              <w:t>maiņas, salīdzinot ar kārtējo (2017.</w:t>
            </w:r>
            <w:r w:rsidRPr="009922A4">
              <w:t>) gadu</w:t>
            </w:r>
          </w:p>
        </w:tc>
        <w:tc>
          <w:tcPr>
            <w:tcW w:w="1311" w:type="dxa"/>
            <w:tcBorders>
              <w:top w:val="single" w:sz="4" w:space="0" w:color="auto"/>
              <w:left w:val="single" w:sz="4" w:space="0" w:color="auto"/>
              <w:bottom w:val="single" w:sz="4" w:space="0" w:color="auto"/>
            </w:tcBorders>
            <w:vAlign w:val="center"/>
          </w:tcPr>
          <w:p w14:paraId="2D5AA291" w14:textId="69B29F54" w:rsidR="009A72C5" w:rsidRPr="009922A4" w:rsidRDefault="009A72C5" w:rsidP="00DD2EFA">
            <w:pPr>
              <w:pStyle w:val="naisf"/>
              <w:spacing w:before="0" w:after="0"/>
              <w:ind w:firstLine="0"/>
              <w:rPr>
                <w:i/>
              </w:rPr>
            </w:pPr>
            <w:r w:rsidRPr="009922A4">
              <w:t>iz</w:t>
            </w:r>
            <w:r w:rsidR="004078BF" w:rsidRPr="009922A4">
              <w:t>maiņas, salīdzinot ar kārtējo (2017.</w:t>
            </w:r>
            <w:r w:rsidRPr="009922A4">
              <w:t>) gadu</w:t>
            </w:r>
          </w:p>
        </w:tc>
        <w:tc>
          <w:tcPr>
            <w:tcW w:w="1380" w:type="dxa"/>
            <w:vAlign w:val="center"/>
          </w:tcPr>
          <w:p w14:paraId="091B5891" w14:textId="3BF5498D" w:rsidR="009A72C5" w:rsidRPr="009922A4" w:rsidRDefault="009A72C5" w:rsidP="00DD2EFA">
            <w:pPr>
              <w:pStyle w:val="naisf"/>
              <w:spacing w:before="0" w:after="0"/>
              <w:ind w:firstLine="0"/>
              <w:rPr>
                <w:i/>
              </w:rPr>
            </w:pPr>
            <w:r w:rsidRPr="009922A4">
              <w:t>iz</w:t>
            </w:r>
            <w:r w:rsidR="004078BF" w:rsidRPr="009922A4">
              <w:t>maiņas, salīdzinot ar kārtējo (2017.</w:t>
            </w:r>
            <w:r w:rsidRPr="009922A4">
              <w:t>) gadu</w:t>
            </w:r>
          </w:p>
        </w:tc>
      </w:tr>
      <w:tr w:rsidR="009A72C5" w:rsidRPr="00D91AE9" w14:paraId="47FAACF9" w14:textId="77777777" w:rsidTr="00FC44D0">
        <w:trPr>
          <w:jc w:val="center"/>
        </w:trPr>
        <w:tc>
          <w:tcPr>
            <w:tcW w:w="2177" w:type="dxa"/>
            <w:vAlign w:val="center"/>
          </w:tcPr>
          <w:p w14:paraId="0EDA948E" w14:textId="77777777" w:rsidR="009A72C5" w:rsidRPr="001C62D2" w:rsidRDefault="009A72C5" w:rsidP="001C62D2">
            <w:pPr>
              <w:pStyle w:val="naisf"/>
              <w:spacing w:before="0" w:after="0"/>
              <w:ind w:firstLine="0"/>
              <w:jc w:val="center"/>
              <w:rPr>
                <w:color w:val="000000"/>
              </w:rPr>
            </w:pPr>
            <w:r w:rsidRPr="001C62D2">
              <w:rPr>
                <w:color w:val="000000"/>
              </w:rPr>
              <w:lastRenderedPageBreak/>
              <w:t>1</w:t>
            </w:r>
          </w:p>
        </w:tc>
        <w:tc>
          <w:tcPr>
            <w:tcW w:w="1252" w:type="dxa"/>
            <w:tcBorders>
              <w:top w:val="single" w:sz="4" w:space="0" w:color="auto"/>
            </w:tcBorders>
            <w:vAlign w:val="center"/>
          </w:tcPr>
          <w:p w14:paraId="7281B8C4" w14:textId="77777777" w:rsidR="009A72C5" w:rsidRPr="001C62D2" w:rsidRDefault="009A72C5" w:rsidP="001C62D2">
            <w:pPr>
              <w:pStyle w:val="naisf"/>
              <w:spacing w:before="0" w:after="0"/>
              <w:ind w:firstLine="0"/>
              <w:jc w:val="center"/>
              <w:rPr>
                <w:color w:val="000000"/>
              </w:rPr>
            </w:pPr>
            <w:r w:rsidRPr="001C62D2">
              <w:rPr>
                <w:color w:val="000000"/>
              </w:rPr>
              <w:t>2</w:t>
            </w:r>
          </w:p>
        </w:tc>
        <w:tc>
          <w:tcPr>
            <w:tcW w:w="1332" w:type="dxa"/>
            <w:tcBorders>
              <w:top w:val="single" w:sz="4" w:space="0" w:color="auto"/>
            </w:tcBorders>
            <w:vAlign w:val="center"/>
          </w:tcPr>
          <w:p w14:paraId="759A2558" w14:textId="77777777" w:rsidR="009A72C5" w:rsidRPr="001C62D2" w:rsidRDefault="009A72C5" w:rsidP="001C62D2">
            <w:pPr>
              <w:pStyle w:val="naisf"/>
              <w:spacing w:before="0" w:after="0"/>
              <w:ind w:firstLine="0"/>
              <w:jc w:val="center"/>
              <w:rPr>
                <w:color w:val="000000"/>
              </w:rPr>
            </w:pPr>
            <w:r w:rsidRPr="001C62D2">
              <w:rPr>
                <w:color w:val="000000"/>
              </w:rPr>
              <w:t>3</w:t>
            </w:r>
          </w:p>
        </w:tc>
        <w:tc>
          <w:tcPr>
            <w:tcW w:w="1311" w:type="dxa"/>
            <w:tcBorders>
              <w:top w:val="single" w:sz="4" w:space="0" w:color="auto"/>
            </w:tcBorders>
            <w:vAlign w:val="center"/>
          </w:tcPr>
          <w:p w14:paraId="3597A1C5" w14:textId="77777777" w:rsidR="009A72C5" w:rsidRPr="001C62D2" w:rsidRDefault="009A72C5" w:rsidP="001C62D2">
            <w:pPr>
              <w:pStyle w:val="naisf"/>
              <w:spacing w:before="0" w:after="0"/>
              <w:ind w:firstLine="0"/>
              <w:jc w:val="center"/>
              <w:rPr>
                <w:color w:val="000000"/>
              </w:rPr>
            </w:pPr>
            <w:r w:rsidRPr="001C62D2">
              <w:rPr>
                <w:color w:val="000000"/>
              </w:rPr>
              <w:t>4</w:t>
            </w:r>
          </w:p>
        </w:tc>
        <w:tc>
          <w:tcPr>
            <w:tcW w:w="1311" w:type="dxa"/>
            <w:tcBorders>
              <w:top w:val="single" w:sz="4" w:space="0" w:color="auto"/>
            </w:tcBorders>
            <w:vAlign w:val="center"/>
          </w:tcPr>
          <w:p w14:paraId="1525E5B3" w14:textId="77777777" w:rsidR="009A72C5" w:rsidRPr="001C62D2" w:rsidRDefault="009A72C5" w:rsidP="001C62D2">
            <w:pPr>
              <w:pStyle w:val="naisf"/>
              <w:spacing w:before="0" w:after="0"/>
              <w:ind w:firstLine="0"/>
              <w:jc w:val="center"/>
              <w:rPr>
                <w:color w:val="000000"/>
              </w:rPr>
            </w:pPr>
            <w:r w:rsidRPr="001C62D2">
              <w:rPr>
                <w:color w:val="000000"/>
              </w:rPr>
              <w:t>5</w:t>
            </w:r>
          </w:p>
        </w:tc>
        <w:tc>
          <w:tcPr>
            <w:tcW w:w="1380" w:type="dxa"/>
            <w:vAlign w:val="center"/>
          </w:tcPr>
          <w:p w14:paraId="69E9C36A" w14:textId="77777777" w:rsidR="009A72C5" w:rsidRPr="001C62D2" w:rsidRDefault="009A72C5" w:rsidP="001C62D2">
            <w:pPr>
              <w:pStyle w:val="naisf"/>
              <w:spacing w:before="0" w:after="0"/>
              <w:ind w:firstLine="0"/>
              <w:jc w:val="center"/>
              <w:rPr>
                <w:color w:val="000000"/>
              </w:rPr>
            </w:pPr>
            <w:r w:rsidRPr="001C62D2">
              <w:rPr>
                <w:color w:val="000000"/>
              </w:rPr>
              <w:t>6</w:t>
            </w:r>
          </w:p>
        </w:tc>
      </w:tr>
      <w:tr w:rsidR="005E57D7" w:rsidRPr="00D91AE9" w14:paraId="500B75B9" w14:textId="77777777" w:rsidTr="00FC44D0">
        <w:trPr>
          <w:trHeight w:val="379"/>
          <w:jc w:val="center"/>
        </w:trPr>
        <w:tc>
          <w:tcPr>
            <w:tcW w:w="2177" w:type="dxa"/>
          </w:tcPr>
          <w:p w14:paraId="76CAA2C5" w14:textId="77777777" w:rsidR="005E57D7" w:rsidRPr="00C2761A" w:rsidRDefault="005E57D7" w:rsidP="005E57D7">
            <w:pPr>
              <w:pStyle w:val="naisf"/>
              <w:spacing w:before="0" w:after="0"/>
              <w:ind w:firstLine="0"/>
              <w:rPr>
                <w:i/>
              </w:rPr>
            </w:pPr>
            <w:r w:rsidRPr="00C2761A">
              <w:t>1.Budžeta ieņēmumi:</w:t>
            </w:r>
          </w:p>
        </w:tc>
        <w:tc>
          <w:tcPr>
            <w:tcW w:w="1252" w:type="dxa"/>
            <w:vAlign w:val="center"/>
          </w:tcPr>
          <w:p w14:paraId="56D3695C" w14:textId="77777777" w:rsidR="005E57D7" w:rsidRPr="00C2761A" w:rsidRDefault="005E57D7" w:rsidP="005E57D7">
            <w:pPr>
              <w:pStyle w:val="naisf"/>
              <w:spacing w:before="0" w:after="0"/>
              <w:ind w:firstLine="0"/>
              <w:jc w:val="center"/>
            </w:pPr>
            <w:r w:rsidRPr="00C2761A">
              <w:t>0</w:t>
            </w:r>
          </w:p>
        </w:tc>
        <w:tc>
          <w:tcPr>
            <w:tcW w:w="1332" w:type="dxa"/>
            <w:vAlign w:val="center"/>
          </w:tcPr>
          <w:p w14:paraId="077DC9C3" w14:textId="77777777" w:rsidR="005E57D7" w:rsidRPr="00C2761A" w:rsidRDefault="005E57D7" w:rsidP="005E57D7">
            <w:pPr>
              <w:pStyle w:val="naisf"/>
              <w:spacing w:before="0" w:after="0"/>
              <w:ind w:firstLine="0"/>
              <w:jc w:val="center"/>
            </w:pPr>
            <w:r>
              <w:t>0</w:t>
            </w:r>
          </w:p>
        </w:tc>
        <w:tc>
          <w:tcPr>
            <w:tcW w:w="1311" w:type="dxa"/>
            <w:shd w:val="clear" w:color="auto" w:fill="auto"/>
            <w:vAlign w:val="center"/>
          </w:tcPr>
          <w:p w14:paraId="7FB2016C" w14:textId="66F176D7" w:rsidR="005E57D7" w:rsidRPr="0014168F" w:rsidRDefault="00A70AB0" w:rsidP="005E57D7">
            <w:pPr>
              <w:pStyle w:val="naisf"/>
              <w:spacing w:before="0" w:after="0"/>
              <w:ind w:firstLine="0"/>
              <w:jc w:val="center"/>
            </w:pPr>
            <w:r>
              <w:t>919 275</w:t>
            </w:r>
          </w:p>
        </w:tc>
        <w:tc>
          <w:tcPr>
            <w:tcW w:w="1311" w:type="dxa"/>
            <w:shd w:val="clear" w:color="auto" w:fill="auto"/>
            <w:vAlign w:val="center"/>
          </w:tcPr>
          <w:p w14:paraId="6AED864A" w14:textId="0A8663ED" w:rsidR="005E57D7" w:rsidRPr="0014168F" w:rsidRDefault="00A70AB0" w:rsidP="005E57D7">
            <w:pPr>
              <w:pStyle w:val="naisf"/>
              <w:spacing w:before="0" w:after="0"/>
              <w:ind w:firstLine="0"/>
              <w:jc w:val="center"/>
            </w:pPr>
            <w:r>
              <w:t>1 838 550</w:t>
            </w:r>
          </w:p>
        </w:tc>
        <w:tc>
          <w:tcPr>
            <w:tcW w:w="1380" w:type="dxa"/>
            <w:shd w:val="clear" w:color="auto" w:fill="auto"/>
            <w:vAlign w:val="center"/>
          </w:tcPr>
          <w:p w14:paraId="3545C10A" w14:textId="2153287F" w:rsidR="005E57D7" w:rsidRPr="0014168F" w:rsidRDefault="00A70AB0" w:rsidP="005E57D7">
            <w:pPr>
              <w:jc w:val="center"/>
            </w:pPr>
            <w:r>
              <w:t>1 838 550</w:t>
            </w:r>
          </w:p>
        </w:tc>
      </w:tr>
      <w:tr w:rsidR="002E62FD" w:rsidRPr="00D91AE9" w14:paraId="23537B1A" w14:textId="77777777" w:rsidTr="008F6D17">
        <w:trPr>
          <w:trHeight w:val="379"/>
          <w:jc w:val="center"/>
        </w:trPr>
        <w:tc>
          <w:tcPr>
            <w:tcW w:w="2177" w:type="dxa"/>
          </w:tcPr>
          <w:p w14:paraId="62B012EC" w14:textId="77777777" w:rsidR="002E62FD" w:rsidRPr="00C2761A" w:rsidRDefault="002E62FD" w:rsidP="002E62FD">
            <w:r w:rsidRPr="00C2761A">
              <w:rPr>
                <w:rFonts w:eastAsia="Calibri"/>
              </w:rPr>
              <w:t>1.1. valsts pamatbudžets, tai skaitā ieņēmumi no maksas pakalpojumiem un citi pašu ieņēmumi</w:t>
            </w:r>
          </w:p>
        </w:tc>
        <w:tc>
          <w:tcPr>
            <w:tcW w:w="1252" w:type="dxa"/>
            <w:vAlign w:val="center"/>
          </w:tcPr>
          <w:p w14:paraId="17D2C3F9" w14:textId="77777777" w:rsidR="002E62FD" w:rsidRPr="00C2761A" w:rsidRDefault="002E62FD" w:rsidP="002E62FD">
            <w:pPr>
              <w:pStyle w:val="naisf"/>
              <w:spacing w:before="0" w:after="0"/>
              <w:ind w:firstLine="0"/>
              <w:jc w:val="center"/>
            </w:pPr>
            <w:r w:rsidRPr="00C2761A">
              <w:rPr>
                <w:rFonts w:eastAsia="Calibri"/>
              </w:rPr>
              <w:t>0</w:t>
            </w:r>
          </w:p>
        </w:tc>
        <w:tc>
          <w:tcPr>
            <w:tcW w:w="1332" w:type="dxa"/>
            <w:vAlign w:val="center"/>
          </w:tcPr>
          <w:p w14:paraId="0BB4F1F0" w14:textId="77777777" w:rsidR="002E62FD" w:rsidRPr="00C2761A" w:rsidRDefault="002E62FD" w:rsidP="002E62FD">
            <w:pPr>
              <w:pStyle w:val="naisf"/>
              <w:spacing w:before="0" w:after="0"/>
              <w:ind w:firstLine="0"/>
              <w:jc w:val="center"/>
            </w:pPr>
            <w:r>
              <w:t>0</w:t>
            </w:r>
          </w:p>
        </w:tc>
        <w:tc>
          <w:tcPr>
            <w:tcW w:w="1311" w:type="dxa"/>
            <w:shd w:val="clear" w:color="auto" w:fill="auto"/>
            <w:vAlign w:val="center"/>
          </w:tcPr>
          <w:p w14:paraId="37B24CCB" w14:textId="5CD73970" w:rsidR="002E62FD" w:rsidRPr="0014168F" w:rsidRDefault="00A70AB0" w:rsidP="002E62FD">
            <w:pPr>
              <w:pStyle w:val="naisf"/>
              <w:spacing w:before="0" w:after="0"/>
              <w:ind w:firstLine="0"/>
              <w:jc w:val="center"/>
            </w:pPr>
            <w:r>
              <w:t>919 275</w:t>
            </w:r>
          </w:p>
        </w:tc>
        <w:tc>
          <w:tcPr>
            <w:tcW w:w="1311" w:type="dxa"/>
            <w:shd w:val="clear" w:color="auto" w:fill="auto"/>
            <w:vAlign w:val="center"/>
          </w:tcPr>
          <w:p w14:paraId="4E38E1F6" w14:textId="73CE1C1E" w:rsidR="002E62FD" w:rsidRPr="0014168F" w:rsidRDefault="00A70AB0" w:rsidP="002E62FD">
            <w:pPr>
              <w:pStyle w:val="naisf"/>
              <w:spacing w:before="0" w:after="0"/>
              <w:ind w:firstLine="0"/>
              <w:jc w:val="center"/>
            </w:pPr>
            <w:r>
              <w:t>1 838 550</w:t>
            </w:r>
          </w:p>
        </w:tc>
        <w:tc>
          <w:tcPr>
            <w:tcW w:w="1380" w:type="dxa"/>
            <w:shd w:val="clear" w:color="auto" w:fill="auto"/>
            <w:vAlign w:val="center"/>
          </w:tcPr>
          <w:p w14:paraId="77416884" w14:textId="3DB3307A" w:rsidR="002E62FD" w:rsidRPr="0014168F" w:rsidRDefault="00A70AB0" w:rsidP="002E62FD">
            <w:pPr>
              <w:jc w:val="center"/>
            </w:pPr>
            <w:r>
              <w:t>1 838 550</w:t>
            </w:r>
          </w:p>
        </w:tc>
      </w:tr>
      <w:tr w:rsidR="00A70AB0" w:rsidRPr="00D91AE9" w14:paraId="173C099B" w14:textId="77777777" w:rsidTr="007D18FC">
        <w:trPr>
          <w:trHeight w:val="379"/>
          <w:jc w:val="center"/>
        </w:trPr>
        <w:tc>
          <w:tcPr>
            <w:tcW w:w="2229" w:type="dxa"/>
          </w:tcPr>
          <w:p w14:paraId="54A664B1" w14:textId="77777777" w:rsidR="00A70AB0" w:rsidRPr="00C2761A" w:rsidRDefault="00A70AB0" w:rsidP="00A70AB0">
            <w:r w:rsidRPr="00C2761A">
              <w:rPr>
                <w:rFonts w:eastAsia="Calibri"/>
              </w:rPr>
              <w:t>1.2. valsts speciālais budžets</w:t>
            </w:r>
          </w:p>
        </w:tc>
        <w:tc>
          <w:tcPr>
            <w:tcW w:w="1273" w:type="dxa"/>
            <w:vAlign w:val="center"/>
          </w:tcPr>
          <w:p w14:paraId="0E71C8C0" w14:textId="77777777" w:rsidR="00A70AB0" w:rsidRPr="00C2761A" w:rsidRDefault="00A70AB0" w:rsidP="00A70AB0">
            <w:pPr>
              <w:pStyle w:val="naisf"/>
              <w:spacing w:before="0" w:after="0"/>
              <w:ind w:firstLine="0"/>
              <w:jc w:val="center"/>
            </w:pPr>
            <w:r w:rsidRPr="00C2761A">
              <w:rPr>
                <w:rFonts w:eastAsia="Calibri"/>
              </w:rPr>
              <w:t>0</w:t>
            </w:r>
          </w:p>
        </w:tc>
        <w:tc>
          <w:tcPr>
            <w:tcW w:w="1352" w:type="dxa"/>
            <w:vAlign w:val="center"/>
          </w:tcPr>
          <w:p w14:paraId="3E2F1730" w14:textId="77777777" w:rsidR="00A70AB0" w:rsidRPr="00C2761A" w:rsidRDefault="00A70AB0" w:rsidP="00A70AB0">
            <w:pPr>
              <w:pStyle w:val="naisf"/>
              <w:spacing w:before="0" w:after="0"/>
              <w:ind w:firstLine="0"/>
              <w:jc w:val="center"/>
            </w:pPr>
            <w:r w:rsidRPr="00C2761A">
              <w:rPr>
                <w:rFonts w:eastAsia="Calibri"/>
              </w:rPr>
              <w:t>0</w:t>
            </w:r>
          </w:p>
        </w:tc>
        <w:tc>
          <w:tcPr>
            <w:tcW w:w="1276" w:type="dxa"/>
            <w:shd w:val="clear" w:color="auto" w:fill="auto"/>
            <w:vAlign w:val="center"/>
          </w:tcPr>
          <w:p w14:paraId="2F995113" w14:textId="03CDAF77" w:rsidR="00A70AB0" w:rsidRPr="0014168F" w:rsidRDefault="00A70AB0" w:rsidP="00A70AB0">
            <w:pPr>
              <w:pStyle w:val="naisf"/>
              <w:spacing w:before="0" w:after="0"/>
              <w:ind w:firstLine="0"/>
              <w:jc w:val="center"/>
            </w:pPr>
            <w:r w:rsidRPr="00511AF6">
              <w:rPr>
                <w:rFonts w:eastAsia="Calibri"/>
              </w:rPr>
              <w:t>0</w:t>
            </w:r>
          </w:p>
        </w:tc>
        <w:tc>
          <w:tcPr>
            <w:tcW w:w="1246" w:type="dxa"/>
            <w:shd w:val="clear" w:color="auto" w:fill="auto"/>
            <w:vAlign w:val="center"/>
          </w:tcPr>
          <w:p w14:paraId="27C80811" w14:textId="62DEFA6B" w:rsidR="00A70AB0" w:rsidRPr="0014168F" w:rsidRDefault="00A70AB0" w:rsidP="00A70AB0">
            <w:pPr>
              <w:pStyle w:val="naisf"/>
              <w:spacing w:before="0" w:after="0"/>
              <w:ind w:firstLine="0"/>
              <w:jc w:val="center"/>
            </w:pPr>
            <w:r w:rsidRPr="00511AF6">
              <w:rPr>
                <w:rFonts w:eastAsia="Calibri"/>
              </w:rPr>
              <w:t>0</w:t>
            </w:r>
          </w:p>
        </w:tc>
        <w:tc>
          <w:tcPr>
            <w:tcW w:w="1387" w:type="dxa"/>
            <w:shd w:val="clear" w:color="auto" w:fill="auto"/>
            <w:vAlign w:val="center"/>
          </w:tcPr>
          <w:p w14:paraId="3FEA3690" w14:textId="072C3562" w:rsidR="00A70AB0" w:rsidRPr="0014168F" w:rsidRDefault="00A70AB0" w:rsidP="00A70AB0">
            <w:pPr>
              <w:pStyle w:val="naisf"/>
              <w:spacing w:before="0" w:after="0"/>
              <w:ind w:firstLine="0"/>
              <w:jc w:val="center"/>
            </w:pPr>
            <w:r w:rsidRPr="00511AF6">
              <w:rPr>
                <w:rFonts w:eastAsia="Calibri"/>
              </w:rPr>
              <w:t>0</w:t>
            </w:r>
          </w:p>
        </w:tc>
      </w:tr>
      <w:tr w:rsidR="00A70AB0" w:rsidRPr="00D91AE9" w14:paraId="2AA91597" w14:textId="77777777" w:rsidTr="007D18FC">
        <w:trPr>
          <w:trHeight w:val="379"/>
          <w:jc w:val="center"/>
        </w:trPr>
        <w:tc>
          <w:tcPr>
            <w:tcW w:w="2177" w:type="dxa"/>
          </w:tcPr>
          <w:p w14:paraId="75494A3C" w14:textId="77777777" w:rsidR="00A70AB0" w:rsidRPr="00C2761A" w:rsidRDefault="00A70AB0" w:rsidP="00A70AB0">
            <w:r w:rsidRPr="00C2761A">
              <w:rPr>
                <w:rFonts w:eastAsia="Calibri"/>
              </w:rPr>
              <w:t>1.3. pašvaldību budžets</w:t>
            </w:r>
          </w:p>
        </w:tc>
        <w:tc>
          <w:tcPr>
            <w:tcW w:w="1252" w:type="dxa"/>
            <w:vAlign w:val="center"/>
          </w:tcPr>
          <w:p w14:paraId="17B1D237" w14:textId="77777777" w:rsidR="00A70AB0" w:rsidRPr="00C2761A" w:rsidRDefault="00A70AB0" w:rsidP="00A70AB0">
            <w:pPr>
              <w:pStyle w:val="naisf"/>
              <w:spacing w:before="0" w:after="0"/>
              <w:ind w:firstLine="0"/>
              <w:jc w:val="center"/>
            </w:pPr>
            <w:r w:rsidRPr="00C2761A">
              <w:rPr>
                <w:rFonts w:eastAsia="Calibri"/>
              </w:rPr>
              <w:t>0</w:t>
            </w:r>
          </w:p>
        </w:tc>
        <w:tc>
          <w:tcPr>
            <w:tcW w:w="1332" w:type="dxa"/>
            <w:vAlign w:val="center"/>
          </w:tcPr>
          <w:p w14:paraId="1BDA498C" w14:textId="77777777" w:rsidR="00A70AB0" w:rsidRPr="00C2761A" w:rsidRDefault="00A70AB0" w:rsidP="00A70AB0">
            <w:pPr>
              <w:pStyle w:val="naisf"/>
              <w:spacing w:before="0" w:after="0"/>
              <w:ind w:firstLine="0"/>
              <w:jc w:val="center"/>
            </w:pPr>
            <w:r w:rsidRPr="00C2761A">
              <w:rPr>
                <w:rFonts w:eastAsia="Calibri"/>
              </w:rPr>
              <w:t>0</w:t>
            </w:r>
          </w:p>
        </w:tc>
        <w:tc>
          <w:tcPr>
            <w:tcW w:w="1311" w:type="dxa"/>
            <w:shd w:val="clear" w:color="auto" w:fill="auto"/>
            <w:vAlign w:val="center"/>
          </w:tcPr>
          <w:p w14:paraId="204430DD" w14:textId="04D10CA6" w:rsidR="00A70AB0" w:rsidRPr="0014168F" w:rsidRDefault="00A70AB0" w:rsidP="00A70AB0">
            <w:pPr>
              <w:pStyle w:val="naisf"/>
              <w:spacing w:before="0" w:after="0"/>
              <w:ind w:firstLine="0"/>
              <w:jc w:val="center"/>
            </w:pPr>
            <w:r w:rsidRPr="00511AF6">
              <w:rPr>
                <w:rFonts w:eastAsia="Calibri"/>
              </w:rPr>
              <w:t>0</w:t>
            </w:r>
          </w:p>
        </w:tc>
        <w:tc>
          <w:tcPr>
            <w:tcW w:w="1311" w:type="dxa"/>
            <w:shd w:val="clear" w:color="auto" w:fill="auto"/>
            <w:vAlign w:val="center"/>
          </w:tcPr>
          <w:p w14:paraId="7313602E" w14:textId="1F39CAF7" w:rsidR="00A70AB0" w:rsidRPr="0014168F" w:rsidRDefault="00A70AB0" w:rsidP="00A70AB0">
            <w:pPr>
              <w:pStyle w:val="naisf"/>
              <w:spacing w:before="0" w:after="0"/>
              <w:ind w:firstLine="0"/>
              <w:jc w:val="center"/>
            </w:pPr>
            <w:r w:rsidRPr="00511AF6">
              <w:rPr>
                <w:rFonts w:eastAsia="Calibri"/>
              </w:rPr>
              <w:t>0</w:t>
            </w:r>
          </w:p>
        </w:tc>
        <w:tc>
          <w:tcPr>
            <w:tcW w:w="1380" w:type="dxa"/>
            <w:shd w:val="clear" w:color="auto" w:fill="auto"/>
            <w:vAlign w:val="center"/>
          </w:tcPr>
          <w:p w14:paraId="495DB301" w14:textId="4608A74D" w:rsidR="00A70AB0" w:rsidRPr="0014168F" w:rsidRDefault="00A70AB0" w:rsidP="00A70AB0">
            <w:pPr>
              <w:pStyle w:val="naisf"/>
              <w:spacing w:before="0" w:after="0"/>
              <w:ind w:firstLine="0"/>
              <w:jc w:val="center"/>
            </w:pPr>
            <w:r w:rsidRPr="00511AF6">
              <w:rPr>
                <w:rFonts w:eastAsia="Calibri"/>
              </w:rPr>
              <w:t>0</w:t>
            </w:r>
          </w:p>
        </w:tc>
      </w:tr>
      <w:tr w:rsidR="00B00B68" w:rsidRPr="00D91AE9" w14:paraId="3CC881E8" w14:textId="77777777" w:rsidTr="00A70AB0">
        <w:trPr>
          <w:jc w:val="center"/>
        </w:trPr>
        <w:tc>
          <w:tcPr>
            <w:tcW w:w="2177" w:type="dxa"/>
          </w:tcPr>
          <w:p w14:paraId="33AE0EBC" w14:textId="77777777" w:rsidR="00B00B68" w:rsidRPr="00C2761A" w:rsidRDefault="00B00B68" w:rsidP="00B00B68">
            <w:r w:rsidRPr="00C2761A">
              <w:t>2. Budžeta izdevumi:</w:t>
            </w:r>
          </w:p>
        </w:tc>
        <w:tc>
          <w:tcPr>
            <w:tcW w:w="1252" w:type="dxa"/>
            <w:vAlign w:val="center"/>
          </w:tcPr>
          <w:p w14:paraId="377803B6" w14:textId="77777777" w:rsidR="00B00B68" w:rsidRPr="00C2761A" w:rsidRDefault="00B00B68" w:rsidP="00B00B68">
            <w:pPr>
              <w:pStyle w:val="naisf"/>
              <w:spacing w:before="0" w:after="0"/>
              <w:ind w:firstLine="0"/>
              <w:jc w:val="center"/>
            </w:pPr>
            <w:r w:rsidRPr="00C2761A">
              <w:t>0</w:t>
            </w:r>
          </w:p>
        </w:tc>
        <w:tc>
          <w:tcPr>
            <w:tcW w:w="1332" w:type="dxa"/>
            <w:vAlign w:val="center"/>
          </w:tcPr>
          <w:p w14:paraId="1233268D" w14:textId="77777777" w:rsidR="00B00B68" w:rsidRPr="00C2761A" w:rsidRDefault="00B00B68" w:rsidP="00B00B68">
            <w:pPr>
              <w:pStyle w:val="naisf"/>
              <w:spacing w:before="0" w:after="0"/>
              <w:ind w:firstLine="0"/>
              <w:jc w:val="center"/>
            </w:pPr>
            <w:r>
              <w:t>0</w:t>
            </w:r>
          </w:p>
        </w:tc>
        <w:tc>
          <w:tcPr>
            <w:tcW w:w="1311" w:type="dxa"/>
            <w:shd w:val="clear" w:color="auto" w:fill="auto"/>
            <w:vAlign w:val="center"/>
          </w:tcPr>
          <w:p w14:paraId="4F5AA2FF" w14:textId="7F7D3672" w:rsidR="00B00B68" w:rsidRPr="00A70AB0" w:rsidRDefault="00A70AB0" w:rsidP="00B00B68">
            <w:pPr>
              <w:pStyle w:val="naisf"/>
              <w:spacing w:before="0" w:after="0"/>
              <w:ind w:firstLine="0"/>
              <w:jc w:val="center"/>
            </w:pPr>
            <w:r w:rsidRPr="00A70AB0">
              <w:t>1 081 500</w:t>
            </w:r>
          </w:p>
        </w:tc>
        <w:tc>
          <w:tcPr>
            <w:tcW w:w="1311" w:type="dxa"/>
            <w:shd w:val="clear" w:color="auto" w:fill="auto"/>
            <w:vAlign w:val="center"/>
          </w:tcPr>
          <w:p w14:paraId="632BFE2E" w14:textId="321CD7F4" w:rsidR="00B00B68" w:rsidRPr="00A70AB0" w:rsidRDefault="00A70AB0" w:rsidP="00B00B68">
            <w:pPr>
              <w:pStyle w:val="naisf"/>
              <w:spacing w:before="0" w:after="0"/>
              <w:ind w:firstLine="0"/>
              <w:jc w:val="center"/>
            </w:pPr>
            <w:r w:rsidRPr="00A70AB0">
              <w:t>2 163 000</w:t>
            </w:r>
          </w:p>
        </w:tc>
        <w:tc>
          <w:tcPr>
            <w:tcW w:w="1380" w:type="dxa"/>
            <w:shd w:val="clear" w:color="auto" w:fill="auto"/>
            <w:vAlign w:val="center"/>
          </w:tcPr>
          <w:p w14:paraId="29C319FB" w14:textId="601ED5DE" w:rsidR="00B00B68" w:rsidRPr="00A70AB0" w:rsidRDefault="00A70AB0" w:rsidP="00B00B68">
            <w:pPr>
              <w:pStyle w:val="naisf"/>
              <w:spacing w:before="0" w:after="0"/>
              <w:ind w:firstLine="0"/>
              <w:jc w:val="center"/>
            </w:pPr>
            <w:r w:rsidRPr="00A70AB0">
              <w:t>2 163 000</w:t>
            </w:r>
          </w:p>
        </w:tc>
      </w:tr>
      <w:tr w:rsidR="00A70AB0" w:rsidRPr="00D91AE9" w14:paraId="2A970205" w14:textId="77777777" w:rsidTr="007D18FC">
        <w:trPr>
          <w:jc w:val="center"/>
        </w:trPr>
        <w:tc>
          <w:tcPr>
            <w:tcW w:w="2177" w:type="dxa"/>
          </w:tcPr>
          <w:p w14:paraId="732C854F" w14:textId="77777777" w:rsidR="00A70AB0" w:rsidRPr="00C2761A" w:rsidRDefault="00A70AB0" w:rsidP="00A70AB0">
            <w:r w:rsidRPr="00C2761A">
              <w:rPr>
                <w:rFonts w:eastAsia="Calibri"/>
              </w:rPr>
              <w:t>2.1. valsts pamatbudžets</w:t>
            </w:r>
          </w:p>
        </w:tc>
        <w:tc>
          <w:tcPr>
            <w:tcW w:w="1252" w:type="dxa"/>
            <w:vAlign w:val="center"/>
          </w:tcPr>
          <w:p w14:paraId="0E031459" w14:textId="77777777" w:rsidR="00A70AB0" w:rsidRPr="00C2761A" w:rsidRDefault="00A70AB0" w:rsidP="00A70AB0">
            <w:pPr>
              <w:pStyle w:val="naisf"/>
              <w:spacing w:before="0" w:after="0"/>
              <w:ind w:firstLine="0"/>
              <w:jc w:val="center"/>
            </w:pPr>
            <w:r w:rsidRPr="00C2761A">
              <w:rPr>
                <w:rFonts w:eastAsia="Calibri"/>
              </w:rPr>
              <w:t>0</w:t>
            </w:r>
          </w:p>
        </w:tc>
        <w:tc>
          <w:tcPr>
            <w:tcW w:w="1332" w:type="dxa"/>
            <w:vAlign w:val="center"/>
          </w:tcPr>
          <w:p w14:paraId="27305C7F" w14:textId="77777777" w:rsidR="00A70AB0" w:rsidRPr="00C2761A" w:rsidRDefault="00A70AB0" w:rsidP="00A70AB0">
            <w:pPr>
              <w:pStyle w:val="naisf"/>
              <w:spacing w:before="0" w:after="0"/>
              <w:ind w:firstLine="0"/>
              <w:jc w:val="center"/>
            </w:pPr>
            <w:r>
              <w:t>0</w:t>
            </w:r>
          </w:p>
        </w:tc>
        <w:tc>
          <w:tcPr>
            <w:tcW w:w="1311" w:type="dxa"/>
            <w:shd w:val="clear" w:color="auto" w:fill="auto"/>
            <w:vAlign w:val="center"/>
          </w:tcPr>
          <w:p w14:paraId="05593687" w14:textId="550F5D91" w:rsidR="00A70AB0" w:rsidRPr="0014168F" w:rsidRDefault="00A70AB0" w:rsidP="00A70AB0">
            <w:pPr>
              <w:pStyle w:val="naisf"/>
              <w:spacing w:before="0" w:after="0"/>
              <w:ind w:firstLine="0"/>
              <w:jc w:val="center"/>
              <w:rPr>
                <w:highlight w:val="yellow"/>
              </w:rPr>
            </w:pPr>
            <w:r w:rsidRPr="00A70AB0">
              <w:t>1 081 500</w:t>
            </w:r>
          </w:p>
        </w:tc>
        <w:tc>
          <w:tcPr>
            <w:tcW w:w="1311" w:type="dxa"/>
            <w:shd w:val="clear" w:color="auto" w:fill="auto"/>
            <w:vAlign w:val="center"/>
          </w:tcPr>
          <w:p w14:paraId="4A8D89F9" w14:textId="52326053" w:rsidR="00A70AB0" w:rsidRPr="0014168F" w:rsidRDefault="00A70AB0" w:rsidP="00A70AB0">
            <w:pPr>
              <w:pStyle w:val="naisf"/>
              <w:spacing w:before="0" w:after="0"/>
              <w:ind w:firstLine="0"/>
              <w:jc w:val="center"/>
              <w:rPr>
                <w:highlight w:val="yellow"/>
              </w:rPr>
            </w:pPr>
            <w:r w:rsidRPr="00AD4755">
              <w:t>2 163 000</w:t>
            </w:r>
          </w:p>
        </w:tc>
        <w:tc>
          <w:tcPr>
            <w:tcW w:w="1380" w:type="dxa"/>
            <w:shd w:val="clear" w:color="auto" w:fill="auto"/>
            <w:vAlign w:val="center"/>
          </w:tcPr>
          <w:p w14:paraId="32F2E063" w14:textId="71A624E5" w:rsidR="00A70AB0" w:rsidRPr="0014168F" w:rsidRDefault="00A70AB0" w:rsidP="00A70AB0">
            <w:pPr>
              <w:pStyle w:val="naisf"/>
              <w:spacing w:before="0" w:after="0"/>
              <w:ind w:firstLine="0"/>
              <w:jc w:val="center"/>
              <w:rPr>
                <w:highlight w:val="yellow"/>
              </w:rPr>
            </w:pPr>
            <w:r w:rsidRPr="00AD4755">
              <w:t>2 163 000</w:t>
            </w:r>
          </w:p>
        </w:tc>
      </w:tr>
      <w:tr w:rsidR="00A70AB0" w:rsidRPr="00D91AE9" w14:paraId="6E9198D2" w14:textId="77777777" w:rsidTr="007D18FC">
        <w:trPr>
          <w:jc w:val="center"/>
        </w:trPr>
        <w:tc>
          <w:tcPr>
            <w:tcW w:w="2177" w:type="dxa"/>
          </w:tcPr>
          <w:p w14:paraId="7E353B4D" w14:textId="77777777" w:rsidR="00A70AB0" w:rsidRPr="00C2761A" w:rsidRDefault="00A70AB0" w:rsidP="00A70AB0">
            <w:r w:rsidRPr="00C2761A">
              <w:rPr>
                <w:rFonts w:eastAsia="Calibri"/>
              </w:rPr>
              <w:t>2.2. valsts speciālais budžets</w:t>
            </w:r>
          </w:p>
        </w:tc>
        <w:tc>
          <w:tcPr>
            <w:tcW w:w="1252" w:type="dxa"/>
            <w:vAlign w:val="center"/>
          </w:tcPr>
          <w:p w14:paraId="5B30EFBC" w14:textId="77777777" w:rsidR="00A70AB0" w:rsidRPr="00C2761A" w:rsidRDefault="00A70AB0" w:rsidP="00A70AB0">
            <w:pPr>
              <w:pStyle w:val="naisf"/>
              <w:spacing w:before="0" w:after="0"/>
              <w:ind w:firstLine="0"/>
              <w:jc w:val="center"/>
            </w:pPr>
            <w:r w:rsidRPr="00C2761A">
              <w:rPr>
                <w:rFonts w:eastAsia="Calibri"/>
              </w:rPr>
              <w:t>0</w:t>
            </w:r>
          </w:p>
        </w:tc>
        <w:tc>
          <w:tcPr>
            <w:tcW w:w="1332" w:type="dxa"/>
            <w:vAlign w:val="center"/>
          </w:tcPr>
          <w:p w14:paraId="7F69D563" w14:textId="77777777" w:rsidR="00A70AB0" w:rsidRPr="00C2761A" w:rsidRDefault="00A70AB0" w:rsidP="00A70AB0">
            <w:pPr>
              <w:pStyle w:val="naisf"/>
              <w:spacing w:before="0" w:after="0"/>
              <w:ind w:firstLine="0"/>
              <w:jc w:val="center"/>
            </w:pPr>
            <w:r w:rsidRPr="00C2761A">
              <w:rPr>
                <w:rFonts w:eastAsia="Calibri"/>
              </w:rPr>
              <w:t>0</w:t>
            </w:r>
          </w:p>
        </w:tc>
        <w:tc>
          <w:tcPr>
            <w:tcW w:w="1311" w:type="dxa"/>
            <w:shd w:val="clear" w:color="auto" w:fill="auto"/>
            <w:vAlign w:val="center"/>
          </w:tcPr>
          <w:p w14:paraId="1A2C2BDB" w14:textId="3824A42A" w:rsidR="00A70AB0" w:rsidRPr="0014168F" w:rsidRDefault="00A70AB0" w:rsidP="00A70AB0">
            <w:pPr>
              <w:pStyle w:val="naisf"/>
              <w:spacing w:before="0" w:after="0"/>
              <w:ind w:firstLine="0"/>
              <w:jc w:val="center"/>
            </w:pPr>
            <w:r w:rsidRPr="000D4F08">
              <w:rPr>
                <w:rFonts w:eastAsia="Calibri"/>
              </w:rPr>
              <w:t>0</w:t>
            </w:r>
          </w:p>
        </w:tc>
        <w:tc>
          <w:tcPr>
            <w:tcW w:w="1311" w:type="dxa"/>
            <w:shd w:val="clear" w:color="auto" w:fill="auto"/>
            <w:vAlign w:val="center"/>
          </w:tcPr>
          <w:p w14:paraId="2B9B31D3" w14:textId="46812413" w:rsidR="00A70AB0" w:rsidRPr="0014168F" w:rsidRDefault="00A70AB0" w:rsidP="00A70AB0">
            <w:pPr>
              <w:pStyle w:val="naisf"/>
              <w:spacing w:before="0" w:after="0"/>
              <w:ind w:firstLine="0"/>
              <w:jc w:val="center"/>
            </w:pPr>
            <w:r w:rsidRPr="000D4F08">
              <w:rPr>
                <w:rFonts w:eastAsia="Calibri"/>
              </w:rPr>
              <w:t>0</w:t>
            </w:r>
          </w:p>
        </w:tc>
        <w:tc>
          <w:tcPr>
            <w:tcW w:w="1380" w:type="dxa"/>
            <w:shd w:val="clear" w:color="auto" w:fill="auto"/>
            <w:vAlign w:val="center"/>
          </w:tcPr>
          <w:p w14:paraId="7BD32724" w14:textId="50EC5398" w:rsidR="00A70AB0" w:rsidRPr="0014168F" w:rsidRDefault="00A70AB0" w:rsidP="00A70AB0">
            <w:pPr>
              <w:pStyle w:val="naisf"/>
              <w:spacing w:before="0" w:after="0"/>
              <w:ind w:firstLine="0"/>
              <w:jc w:val="center"/>
            </w:pPr>
            <w:r w:rsidRPr="000D4F08">
              <w:rPr>
                <w:rFonts w:eastAsia="Calibri"/>
              </w:rPr>
              <w:t>0</w:t>
            </w:r>
          </w:p>
        </w:tc>
      </w:tr>
      <w:tr w:rsidR="00A70AB0" w:rsidRPr="00D91AE9" w14:paraId="33DD3F9C" w14:textId="77777777" w:rsidTr="007D18FC">
        <w:trPr>
          <w:jc w:val="center"/>
        </w:trPr>
        <w:tc>
          <w:tcPr>
            <w:tcW w:w="2177" w:type="dxa"/>
          </w:tcPr>
          <w:p w14:paraId="62A09D28" w14:textId="77777777" w:rsidR="00A70AB0" w:rsidRPr="00C2761A" w:rsidRDefault="00A70AB0" w:rsidP="00A70AB0">
            <w:r w:rsidRPr="00C2761A">
              <w:rPr>
                <w:rFonts w:eastAsia="Calibri"/>
              </w:rPr>
              <w:t>2.3. pašvaldību budžets</w:t>
            </w:r>
          </w:p>
        </w:tc>
        <w:tc>
          <w:tcPr>
            <w:tcW w:w="1252" w:type="dxa"/>
            <w:vAlign w:val="center"/>
          </w:tcPr>
          <w:p w14:paraId="46BA04E3" w14:textId="77777777" w:rsidR="00A70AB0" w:rsidRPr="00C2761A" w:rsidRDefault="00A70AB0" w:rsidP="00A70AB0">
            <w:pPr>
              <w:pStyle w:val="naisf"/>
              <w:spacing w:before="0" w:after="0"/>
              <w:ind w:firstLine="0"/>
              <w:jc w:val="center"/>
            </w:pPr>
            <w:r w:rsidRPr="00C2761A">
              <w:rPr>
                <w:rFonts w:eastAsia="Calibri"/>
              </w:rPr>
              <w:t>0</w:t>
            </w:r>
          </w:p>
        </w:tc>
        <w:tc>
          <w:tcPr>
            <w:tcW w:w="1332" w:type="dxa"/>
            <w:vAlign w:val="center"/>
          </w:tcPr>
          <w:p w14:paraId="695A4DE2" w14:textId="77777777" w:rsidR="00A70AB0" w:rsidRPr="00C2761A" w:rsidRDefault="00A70AB0" w:rsidP="00A70AB0">
            <w:pPr>
              <w:pStyle w:val="naisf"/>
              <w:spacing w:before="0" w:after="0"/>
              <w:ind w:firstLine="0"/>
              <w:jc w:val="center"/>
            </w:pPr>
            <w:r w:rsidRPr="00C2761A">
              <w:rPr>
                <w:rFonts w:eastAsia="Calibri"/>
              </w:rPr>
              <w:t>0</w:t>
            </w:r>
          </w:p>
        </w:tc>
        <w:tc>
          <w:tcPr>
            <w:tcW w:w="1311" w:type="dxa"/>
            <w:shd w:val="clear" w:color="auto" w:fill="auto"/>
            <w:vAlign w:val="center"/>
          </w:tcPr>
          <w:p w14:paraId="486AB3A3" w14:textId="70BABA11" w:rsidR="00A70AB0" w:rsidRPr="0014168F" w:rsidRDefault="00A70AB0" w:rsidP="00A70AB0">
            <w:pPr>
              <w:pStyle w:val="naisf"/>
              <w:spacing w:before="0" w:after="0"/>
              <w:ind w:firstLine="0"/>
              <w:jc w:val="center"/>
            </w:pPr>
            <w:r w:rsidRPr="000D4F08">
              <w:rPr>
                <w:rFonts w:eastAsia="Calibri"/>
              </w:rPr>
              <w:t>0</w:t>
            </w:r>
          </w:p>
        </w:tc>
        <w:tc>
          <w:tcPr>
            <w:tcW w:w="1311" w:type="dxa"/>
            <w:shd w:val="clear" w:color="auto" w:fill="auto"/>
            <w:vAlign w:val="center"/>
          </w:tcPr>
          <w:p w14:paraId="407A5A91" w14:textId="6351B728" w:rsidR="00A70AB0" w:rsidRPr="0014168F" w:rsidRDefault="00A70AB0" w:rsidP="00A70AB0">
            <w:pPr>
              <w:pStyle w:val="naisf"/>
              <w:spacing w:before="0" w:after="0"/>
              <w:ind w:firstLine="0"/>
              <w:jc w:val="center"/>
            </w:pPr>
            <w:r w:rsidRPr="000D4F08">
              <w:rPr>
                <w:rFonts w:eastAsia="Calibri"/>
              </w:rPr>
              <w:t>0</w:t>
            </w:r>
          </w:p>
        </w:tc>
        <w:tc>
          <w:tcPr>
            <w:tcW w:w="1380" w:type="dxa"/>
            <w:shd w:val="clear" w:color="auto" w:fill="auto"/>
            <w:vAlign w:val="center"/>
          </w:tcPr>
          <w:p w14:paraId="30F14B29" w14:textId="154FD4CC" w:rsidR="00A70AB0" w:rsidRPr="0014168F" w:rsidRDefault="00A70AB0" w:rsidP="00A70AB0">
            <w:pPr>
              <w:pStyle w:val="naisf"/>
              <w:spacing w:before="0" w:after="0"/>
              <w:ind w:firstLine="0"/>
              <w:jc w:val="center"/>
            </w:pPr>
            <w:r w:rsidRPr="000D4F08">
              <w:rPr>
                <w:rFonts w:eastAsia="Calibri"/>
              </w:rPr>
              <w:t>0</w:t>
            </w:r>
          </w:p>
        </w:tc>
      </w:tr>
      <w:tr w:rsidR="00A66EFE" w:rsidRPr="00D91AE9" w14:paraId="2FAB24E8" w14:textId="77777777" w:rsidTr="00A70AB0">
        <w:trPr>
          <w:jc w:val="center"/>
        </w:trPr>
        <w:tc>
          <w:tcPr>
            <w:tcW w:w="2177" w:type="dxa"/>
          </w:tcPr>
          <w:p w14:paraId="49DE03BC" w14:textId="77777777" w:rsidR="00A66EFE" w:rsidRPr="00C2761A" w:rsidRDefault="00A66EFE" w:rsidP="00A66EFE">
            <w:r w:rsidRPr="00C2761A">
              <w:t>3. Finansiālā ietekme:</w:t>
            </w:r>
          </w:p>
        </w:tc>
        <w:tc>
          <w:tcPr>
            <w:tcW w:w="1252" w:type="dxa"/>
            <w:shd w:val="clear" w:color="auto" w:fill="auto"/>
            <w:vAlign w:val="center"/>
          </w:tcPr>
          <w:p w14:paraId="654228BF" w14:textId="77777777" w:rsidR="00A66EFE" w:rsidRPr="00C2761A" w:rsidRDefault="00A66EFE" w:rsidP="00A66EFE">
            <w:pPr>
              <w:pStyle w:val="naisf"/>
              <w:spacing w:before="0" w:after="0"/>
              <w:ind w:firstLine="0"/>
              <w:jc w:val="center"/>
            </w:pPr>
            <w:r w:rsidRPr="00C2761A">
              <w:t>0</w:t>
            </w:r>
          </w:p>
        </w:tc>
        <w:tc>
          <w:tcPr>
            <w:tcW w:w="1332" w:type="dxa"/>
            <w:shd w:val="clear" w:color="auto" w:fill="auto"/>
            <w:vAlign w:val="center"/>
          </w:tcPr>
          <w:p w14:paraId="36222558" w14:textId="77777777" w:rsidR="00A66EFE" w:rsidRPr="003C4140" w:rsidRDefault="00A66EFE" w:rsidP="00A66EFE">
            <w:pPr>
              <w:pStyle w:val="naisf"/>
              <w:spacing w:before="0" w:after="0"/>
              <w:ind w:firstLine="0"/>
              <w:jc w:val="center"/>
            </w:pPr>
            <w:r>
              <w:t>0</w:t>
            </w:r>
          </w:p>
        </w:tc>
        <w:tc>
          <w:tcPr>
            <w:tcW w:w="1311" w:type="dxa"/>
            <w:shd w:val="clear" w:color="auto" w:fill="auto"/>
            <w:vAlign w:val="center"/>
          </w:tcPr>
          <w:p w14:paraId="56FF6168" w14:textId="04B23B6B" w:rsidR="00A66EFE" w:rsidRPr="0014168F" w:rsidRDefault="00A70AB0" w:rsidP="00A66EFE">
            <w:pPr>
              <w:pStyle w:val="naisf"/>
              <w:spacing w:before="0" w:after="0"/>
              <w:ind w:firstLine="0"/>
              <w:jc w:val="center"/>
            </w:pPr>
            <w:r>
              <w:t>-162 225</w:t>
            </w:r>
          </w:p>
        </w:tc>
        <w:tc>
          <w:tcPr>
            <w:tcW w:w="1311" w:type="dxa"/>
            <w:shd w:val="clear" w:color="auto" w:fill="auto"/>
            <w:vAlign w:val="center"/>
          </w:tcPr>
          <w:p w14:paraId="1E48B4B7" w14:textId="75B252D2" w:rsidR="00A66EFE" w:rsidRPr="0014168F" w:rsidRDefault="00A70AB0" w:rsidP="00A66EFE">
            <w:pPr>
              <w:pStyle w:val="naisf"/>
              <w:spacing w:before="0" w:after="0"/>
              <w:ind w:firstLine="0"/>
              <w:jc w:val="center"/>
            </w:pPr>
            <w:r>
              <w:t>-324 450</w:t>
            </w:r>
          </w:p>
        </w:tc>
        <w:tc>
          <w:tcPr>
            <w:tcW w:w="1380" w:type="dxa"/>
            <w:shd w:val="clear" w:color="auto" w:fill="auto"/>
            <w:vAlign w:val="center"/>
          </w:tcPr>
          <w:p w14:paraId="66499377" w14:textId="2D3D0734" w:rsidR="00A66EFE" w:rsidRPr="0014168F" w:rsidRDefault="00A70AB0" w:rsidP="00A66EFE">
            <w:pPr>
              <w:pStyle w:val="naisf"/>
              <w:spacing w:before="0" w:after="0"/>
              <w:ind w:firstLine="0"/>
              <w:jc w:val="center"/>
            </w:pPr>
            <w:r>
              <w:t>-324 450</w:t>
            </w:r>
          </w:p>
        </w:tc>
      </w:tr>
      <w:tr w:rsidR="00FC44D0" w:rsidRPr="00D91AE9" w14:paraId="07E849A9" w14:textId="77777777" w:rsidTr="007D18FC">
        <w:trPr>
          <w:jc w:val="center"/>
        </w:trPr>
        <w:tc>
          <w:tcPr>
            <w:tcW w:w="2177" w:type="dxa"/>
          </w:tcPr>
          <w:p w14:paraId="53B3A89A" w14:textId="77777777" w:rsidR="00FC44D0" w:rsidRPr="00C2761A" w:rsidRDefault="00FC44D0" w:rsidP="00FC44D0">
            <w:r w:rsidRPr="00C2761A">
              <w:rPr>
                <w:rFonts w:eastAsia="Calibri"/>
              </w:rPr>
              <w:t>3.1. valsts pamatbudžets</w:t>
            </w:r>
          </w:p>
        </w:tc>
        <w:tc>
          <w:tcPr>
            <w:tcW w:w="1252" w:type="dxa"/>
            <w:shd w:val="clear" w:color="auto" w:fill="auto"/>
            <w:vAlign w:val="center"/>
          </w:tcPr>
          <w:p w14:paraId="2E58115C" w14:textId="77777777" w:rsidR="00FC44D0" w:rsidRPr="00C2761A" w:rsidRDefault="00FC44D0" w:rsidP="00FC44D0">
            <w:pPr>
              <w:pStyle w:val="naisf"/>
              <w:spacing w:before="0" w:after="0"/>
              <w:ind w:firstLine="0"/>
              <w:jc w:val="center"/>
            </w:pPr>
            <w:r w:rsidRPr="00C2761A">
              <w:rPr>
                <w:rFonts w:eastAsia="Calibri"/>
              </w:rPr>
              <w:t>0</w:t>
            </w:r>
          </w:p>
        </w:tc>
        <w:tc>
          <w:tcPr>
            <w:tcW w:w="1332" w:type="dxa"/>
            <w:shd w:val="clear" w:color="auto" w:fill="auto"/>
            <w:vAlign w:val="center"/>
          </w:tcPr>
          <w:p w14:paraId="039EC21A" w14:textId="77777777" w:rsidR="00FC44D0" w:rsidRPr="003C4140" w:rsidRDefault="00FC44D0" w:rsidP="00FC44D0">
            <w:pPr>
              <w:pStyle w:val="naisf"/>
              <w:spacing w:before="0" w:after="0"/>
              <w:ind w:firstLine="0"/>
              <w:jc w:val="center"/>
            </w:pPr>
            <w:r>
              <w:t>0</w:t>
            </w:r>
          </w:p>
        </w:tc>
        <w:tc>
          <w:tcPr>
            <w:tcW w:w="1311" w:type="dxa"/>
            <w:shd w:val="clear" w:color="auto" w:fill="auto"/>
            <w:vAlign w:val="center"/>
          </w:tcPr>
          <w:p w14:paraId="7C892473" w14:textId="4D51BB4D" w:rsidR="00FC44D0" w:rsidRPr="0014168F" w:rsidRDefault="00FC44D0" w:rsidP="00FC44D0">
            <w:pPr>
              <w:pStyle w:val="naisf"/>
              <w:spacing w:before="0" w:after="0"/>
              <w:ind w:firstLine="0"/>
              <w:jc w:val="center"/>
            </w:pPr>
            <w:r>
              <w:t>-162 225</w:t>
            </w:r>
          </w:p>
        </w:tc>
        <w:tc>
          <w:tcPr>
            <w:tcW w:w="1311" w:type="dxa"/>
            <w:shd w:val="clear" w:color="auto" w:fill="auto"/>
            <w:vAlign w:val="center"/>
          </w:tcPr>
          <w:p w14:paraId="34485B25" w14:textId="3FC71E49" w:rsidR="00FC44D0" w:rsidRPr="0014168F" w:rsidRDefault="00FC44D0" w:rsidP="00FC44D0">
            <w:pPr>
              <w:pStyle w:val="naisf"/>
              <w:spacing w:before="0" w:after="0"/>
              <w:ind w:firstLine="0"/>
              <w:jc w:val="center"/>
            </w:pPr>
            <w:r w:rsidRPr="002367DF">
              <w:t>-324 450</w:t>
            </w:r>
          </w:p>
        </w:tc>
        <w:tc>
          <w:tcPr>
            <w:tcW w:w="1380" w:type="dxa"/>
            <w:shd w:val="clear" w:color="auto" w:fill="auto"/>
            <w:vAlign w:val="center"/>
          </w:tcPr>
          <w:p w14:paraId="56DD6E96" w14:textId="54E1B4C7" w:rsidR="00FC44D0" w:rsidRPr="0014168F" w:rsidRDefault="00FC44D0" w:rsidP="00FC44D0">
            <w:pPr>
              <w:pStyle w:val="naisf"/>
              <w:spacing w:before="0" w:after="0"/>
              <w:ind w:firstLine="0"/>
              <w:jc w:val="center"/>
            </w:pPr>
            <w:r w:rsidRPr="002367DF">
              <w:t>-324 450</w:t>
            </w:r>
          </w:p>
        </w:tc>
      </w:tr>
      <w:tr w:rsidR="00FC44D0" w:rsidRPr="00D91AE9" w14:paraId="52E16D12" w14:textId="77777777" w:rsidTr="007D18FC">
        <w:trPr>
          <w:jc w:val="center"/>
        </w:trPr>
        <w:tc>
          <w:tcPr>
            <w:tcW w:w="2177" w:type="dxa"/>
          </w:tcPr>
          <w:p w14:paraId="755E91B6" w14:textId="77777777" w:rsidR="00FC44D0" w:rsidRPr="00C2761A" w:rsidRDefault="00FC44D0" w:rsidP="00FC44D0">
            <w:r w:rsidRPr="00C2761A">
              <w:rPr>
                <w:rFonts w:eastAsia="Calibri"/>
              </w:rPr>
              <w:t>3.2. speciālais budžets</w:t>
            </w:r>
          </w:p>
        </w:tc>
        <w:tc>
          <w:tcPr>
            <w:tcW w:w="1252" w:type="dxa"/>
            <w:shd w:val="clear" w:color="auto" w:fill="auto"/>
            <w:vAlign w:val="center"/>
          </w:tcPr>
          <w:p w14:paraId="4808F199" w14:textId="77777777" w:rsidR="00FC44D0" w:rsidRPr="00C2761A" w:rsidRDefault="00FC44D0" w:rsidP="00FC44D0">
            <w:pPr>
              <w:pStyle w:val="naisf"/>
              <w:spacing w:before="0" w:after="0"/>
              <w:ind w:firstLine="0"/>
              <w:jc w:val="center"/>
            </w:pPr>
            <w:r w:rsidRPr="00C2761A">
              <w:rPr>
                <w:rFonts w:eastAsia="Calibri"/>
              </w:rPr>
              <w:t>0</w:t>
            </w:r>
          </w:p>
        </w:tc>
        <w:tc>
          <w:tcPr>
            <w:tcW w:w="1332" w:type="dxa"/>
            <w:shd w:val="clear" w:color="auto" w:fill="auto"/>
            <w:vAlign w:val="center"/>
          </w:tcPr>
          <w:p w14:paraId="1A294570" w14:textId="77777777" w:rsidR="00FC44D0" w:rsidRPr="00C2761A" w:rsidRDefault="00FC44D0" w:rsidP="00FC44D0">
            <w:pPr>
              <w:pStyle w:val="naisf"/>
              <w:spacing w:before="0" w:after="0"/>
              <w:ind w:firstLine="0"/>
              <w:jc w:val="center"/>
            </w:pPr>
            <w:r w:rsidRPr="00C2761A">
              <w:rPr>
                <w:rFonts w:eastAsia="Calibri"/>
              </w:rPr>
              <w:t>0</w:t>
            </w:r>
          </w:p>
        </w:tc>
        <w:tc>
          <w:tcPr>
            <w:tcW w:w="1311" w:type="dxa"/>
            <w:shd w:val="clear" w:color="auto" w:fill="auto"/>
            <w:vAlign w:val="center"/>
          </w:tcPr>
          <w:p w14:paraId="3C599EC6" w14:textId="6EF380DE" w:rsidR="00FC44D0" w:rsidRPr="0014168F" w:rsidRDefault="00FC44D0" w:rsidP="00FC44D0">
            <w:pPr>
              <w:pStyle w:val="naisf"/>
              <w:spacing w:before="0" w:after="0"/>
              <w:ind w:firstLine="0"/>
              <w:jc w:val="center"/>
            </w:pPr>
            <w:r w:rsidRPr="00C172A6">
              <w:rPr>
                <w:rFonts w:eastAsia="Calibri"/>
              </w:rPr>
              <w:t>0</w:t>
            </w:r>
          </w:p>
        </w:tc>
        <w:tc>
          <w:tcPr>
            <w:tcW w:w="1311" w:type="dxa"/>
            <w:shd w:val="clear" w:color="auto" w:fill="auto"/>
            <w:vAlign w:val="center"/>
          </w:tcPr>
          <w:p w14:paraId="552CD789" w14:textId="465702EE" w:rsidR="00FC44D0" w:rsidRPr="0014168F" w:rsidRDefault="00FC44D0" w:rsidP="00FC44D0">
            <w:pPr>
              <w:pStyle w:val="naisf"/>
              <w:spacing w:before="0" w:after="0"/>
              <w:ind w:firstLine="0"/>
              <w:jc w:val="center"/>
            </w:pPr>
            <w:r w:rsidRPr="00C172A6">
              <w:rPr>
                <w:rFonts w:eastAsia="Calibri"/>
              </w:rPr>
              <w:t>0</w:t>
            </w:r>
          </w:p>
        </w:tc>
        <w:tc>
          <w:tcPr>
            <w:tcW w:w="1380" w:type="dxa"/>
            <w:shd w:val="clear" w:color="auto" w:fill="auto"/>
            <w:vAlign w:val="center"/>
          </w:tcPr>
          <w:p w14:paraId="34559928" w14:textId="73B33472" w:rsidR="00FC44D0" w:rsidRPr="0014168F" w:rsidRDefault="00FC44D0" w:rsidP="00FC44D0">
            <w:pPr>
              <w:pStyle w:val="naisf"/>
              <w:spacing w:before="0" w:after="0"/>
              <w:ind w:firstLine="0"/>
              <w:jc w:val="center"/>
            </w:pPr>
            <w:r w:rsidRPr="00C172A6">
              <w:rPr>
                <w:rFonts w:eastAsia="Calibri"/>
              </w:rPr>
              <w:t>0</w:t>
            </w:r>
          </w:p>
        </w:tc>
      </w:tr>
      <w:tr w:rsidR="00FC44D0" w:rsidRPr="00D91AE9" w14:paraId="716FC394" w14:textId="77777777" w:rsidTr="007D18FC">
        <w:trPr>
          <w:jc w:val="center"/>
        </w:trPr>
        <w:tc>
          <w:tcPr>
            <w:tcW w:w="2177" w:type="dxa"/>
          </w:tcPr>
          <w:p w14:paraId="2D2227B4" w14:textId="77777777" w:rsidR="00FC44D0" w:rsidRPr="00C2761A" w:rsidRDefault="00FC44D0" w:rsidP="00FC44D0">
            <w:r w:rsidRPr="00C2761A">
              <w:rPr>
                <w:rFonts w:eastAsia="Calibri"/>
              </w:rPr>
              <w:t>3.3. pašvaldību budžets</w:t>
            </w:r>
          </w:p>
        </w:tc>
        <w:tc>
          <w:tcPr>
            <w:tcW w:w="1252" w:type="dxa"/>
            <w:shd w:val="clear" w:color="auto" w:fill="auto"/>
            <w:vAlign w:val="center"/>
          </w:tcPr>
          <w:p w14:paraId="1259E7E7" w14:textId="77777777" w:rsidR="00FC44D0" w:rsidRPr="00C2761A" w:rsidRDefault="00FC44D0" w:rsidP="00FC44D0">
            <w:pPr>
              <w:pStyle w:val="naisf"/>
              <w:spacing w:before="0" w:after="0"/>
              <w:ind w:firstLine="0"/>
              <w:jc w:val="center"/>
            </w:pPr>
            <w:r w:rsidRPr="00C2761A">
              <w:rPr>
                <w:rFonts w:eastAsia="Calibri"/>
              </w:rPr>
              <w:t>0</w:t>
            </w:r>
          </w:p>
        </w:tc>
        <w:tc>
          <w:tcPr>
            <w:tcW w:w="1332" w:type="dxa"/>
            <w:shd w:val="clear" w:color="auto" w:fill="auto"/>
            <w:vAlign w:val="center"/>
          </w:tcPr>
          <w:p w14:paraId="1E2255A6" w14:textId="77777777" w:rsidR="00FC44D0" w:rsidRPr="00C2761A" w:rsidRDefault="00FC44D0" w:rsidP="00FC44D0">
            <w:pPr>
              <w:pStyle w:val="naisf"/>
              <w:spacing w:before="0" w:after="0"/>
              <w:ind w:firstLine="0"/>
              <w:jc w:val="center"/>
            </w:pPr>
            <w:r w:rsidRPr="00C2761A">
              <w:rPr>
                <w:rFonts w:eastAsia="Calibri"/>
              </w:rPr>
              <w:t>0</w:t>
            </w:r>
          </w:p>
        </w:tc>
        <w:tc>
          <w:tcPr>
            <w:tcW w:w="1311" w:type="dxa"/>
            <w:shd w:val="clear" w:color="auto" w:fill="auto"/>
            <w:vAlign w:val="center"/>
          </w:tcPr>
          <w:p w14:paraId="263C74C8" w14:textId="0EA3AE3A" w:rsidR="00FC44D0" w:rsidRPr="0014168F" w:rsidRDefault="00FC44D0" w:rsidP="00FC44D0">
            <w:pPr>
              <w:pStyle w:val="naisf"/>
              <w:spacing w:before="0" w:after="0"/>
              <w:ind w:firstLine="0"/>
              <w:jc w:val="center"/>
            </w:pPr>
            <w:r w:rsidRPr="00C172A6">
              <w:rPr>
                <w:rFonts w:eastAsia="Calibri"/>
              </w:rPr>
              <w:t>0</w:t>
            </w:r>
          </w:p>
        </w:tc>
        <w:tc>
          <w:tcPr>
            <w:tcW w:w="1311" w:type="dxa"/>
            <w:shd w:val="clear" w:color="auto" w:fill="auto"/>
            <w:vAlign w:val="center"/>
          </w:tcPr>
          <w:p w14:paraId="7858EE53" w14:textId="13183084" w:rsidR="00FC44D0" w:rsidRPr="0014168F" w:rsidRDefault="00FC44D0" w:rsidP="00FC44D0">
            <w:pPr>
              <w:pStyle w:val="naisf"/>
              <w:spacing w:before="0" w:after="0"/>
              <w:ind w:firstLine="0"/>
              <w:jc w:val="center"/>
            </w:pPr>
            <w:r w:rsidRPr="00C172A6">
              <w:rPr>
                <w:rFonts w:eastAsia="Calibri"/>
              </w:rPr>
              <w:t>0</w:t>
            </w:r>
          </w:p>
        </w:tc>
        <w:tc>
          <w:tcPr>
            <w:tcW w:w="1380" w:type="dxa"/>
            <w:shd w:val="clear" w:color="auto" w:fill="auto"/>
            <w:vAlign w:val="center"/>
          </w:tcPr>
          <w:p w14:paraId="06BBE5E9" w14:textId="3CEFF5CC" w:rsidR="00FC44D0" w:rsidRPr="0014168F" w:rsidRDefault="00FC44D0" w:rsidP="00FC44D0">
            <w:pPr>
              <w:pStyle w:val="naisf"/>
              <w:spacing w:before="0" w:after="0"/>
              <w:ind w:firstLine="0"/>
              <w:jc w:val="center"/>
            </w:pPr>
            <w:r w:rsidRPr="00C172A6">
              <w:rPr>
                <w:rFonts w:eastAsia="Calibri"/>
              </w:rPr>
              <w:t>0</w:t>
            </w:r>
          </w:p>
        </w:tc>
      </w:tr>
      <w:tr w:rsidR="008F6D17" w:rsidRPr="00D91AE9" w14:paraId="0818B5CB" w14:textId="77777777" w:rsidTr="007D18FC">
        <w:trPr>
          <w:trHeight w:val="1380"/>
          <w:jc w:val="center"/>
        </w:trPr>
        <w:tc>
          <w:tcPr>
            <w:tcW w:w="2177" w:type="dxa"/>
          </w:tcPr>
          <w:p w14:paraId="67AEFDD9" w14:textId="77777777" w:rsidR="008F6D17" w:rsidRPr="00C2761A" w:rsidRDefault="008F6D17" w:rsidP="008F6D17">
            <w:r w:rsidRPr="00C2761A">
              <w:t xml:space="preserve">4. </w:t>
            </w:r>
            <w:r w:rsidRPr="001B623C">
              <w:t>Finanšu līdzekļi papildu izdevumu finansēšanai</w:t>
            </w:r>
            <w:r w:rsidRPr="00C2761A">
              <w:t xml:space="preserve"> (kompensējošu izdevumu samazinājumu norāda ar "+" zīmi)</w:t>
            </w:r>
          </w:p>
        </w:tc>
        <w:tc>
          <w:tcPr>
            <w:tcW w:w="1252" w:type="dxa"/>
            <w:vAlign w:val="center"/>
          </w:tcPr>
          <w:p w14:paraId="3F4D5C0D" w14:textId="6F7DF5FB" w:rsidR="008F6D17" w:rsidRPr="009922A4" w:rsidRDefault="008F6D17" w:rsidP="008F6D17">
            <w:pPr>
              <w:pStyle w:val="naisf"/>
              <w:spacing w:before="0" w:after="0"/>
              <w:ind w:firstLine="0"/>
              <w:jc w:val="center"/>
            </w:pPr>
            <w:r w:rsidRPr="009922A4">
              <w:t>0</w:t>
            </w:r>
          </w:p>
        </w:tc>
        <w:tc>
          <w:tcPr>
            <w:tcW w:w="1332" w:type="dxa"/>
            <w:vAlign w:val="center"/>
          </w:tcPr>
          <w:p w14:paraId="15D13FFC" w14:textId="4E52A19B" w:rsidR="008F6D17" w:rsidRPr="009922A4" w:rsidRDefault="008F6D17" w:rsidP="008F6D17">
            <w:pPr>
              <w:jc w:val="center"/>
            </w:pPr>
            <w:r w:rsidRPr="009922A4">
              <w:t>0</w:t>
            </w:r>
          </w:p>
        </w:tc>
        <w:tc>
          <w:tcPr>
            <w:tcW w:w="1311" w:type="dxa"/>
            <w:vAlign w:val="center"/>
          </w:tcPr>
          <w:p w14:paraId="1790512F" w14:textId="06023F68" w:rsidR="008F6D17" w:rsidRPr="009922A4" w:rsidRDefault="008F6D17" w:rsidP="007D18FC">
            <w:pPr>
              <w:jc w:val="center"/>
            </w:pPr>
            <w:r>
              <w:t>162 225</w:t>
            </w:r>
          </w:p>
        </w:tc>
        <w:tc>
          <w:tcPr>
            <w:tcW w:w="1311" w:type="dxa"/>
            <w:vAlign w:val="center"/>
          </w:tcPr>
          <w:p w14:paraId="1687391D" w14:textId="42E93926" w:rsidR="008F6D17" w:rsidRPr="0014168F" w:rsidRDefault="008F6D17" w:rsidP="008F6D17">
            <w:pPr>
              <w:jc w:val="center"/>
            </w:pPr>
            <w:r w:rsidRPr="00372E42">
              <w:t>324 450</w:t>
            </w:r>
          </w:p>
        </w:tc>
        <w:tc>
          <w:tcPr>
            <w:tcW w:w="1380" w:type="dxa"/>
            <w:vAlign w:val="center"/>
          </w:tcPr>
          <w:p w14:paraId="5CA6DA7C" w14:textId="6DA8EECA" w:rsidR="008F6D17" w:rsidRPr="0014168F" w:rsidRDefault="008F6D17" w:rsidP="008F6D17">
            <w:pPr>
              <w:jc w:val="center"/>
            </w:pPr>
            <w:r w:rsidRPr="00372E42">
              <w:t>324 450</w:t>
            </w:r>
          </w:p>
        </w:tc>
      </w:tr>
      <w:tr w:rsidR="00FC44D0" w:rsidRPr="00D91AE9" w14:paraId="3830E293" w14:textId="77777777" w:rsidTr="007D18FC">
        <w:trPr>
          <w:jc w:val="center"/>
        </w:trPr>
        <w:tc>
          <w:tcPr>
            <w:tcW w:w="2177" w:type="dxa"/>
          </w:tcPr>
          <w:p w14:paraId="3702F20E" w14:textId="77777777" w:rsidR="00FC44D0" w:rsidRPr="00D91AE9" w:rsidRDefault="00FC44D0" w:rsidP="00FC44D0">
            <w:r w:rsidRPr="00D91AE9">
              <w:t>5. Precizēta finansiālā ietekme:</w:t>
            </w:r>
          </w:p>
        </w:tc>
        <w:tc>
          <w:tcPr>
            <w:tcW w:w="1252" w:type="dxa"/>
            <w:vAlign w:val="center"/>
          </w:tcPr>
          <w:p w14:paraId="070CDD9A" w14:textId="77777777" w:rsidR="00FC44D0" w:rsidRPr="00D91AE9" w:rsidRDefault="00FC44D0" w:rsidP="00FC44D0">
            <w:pPr>
              <w:pStyle w:val="naisf"/>
              <w:spacing w:before="0" w:after="0"/>
              <w:jc w:val="left"/>
            </w:pPr>
            <w:r w:rsidRPr="00D91AE9">
              <w:t>0</w:t>
            </w:r>
          </w:p>
        </w:tc>
        <w:tc>
          <w:tcPr>
            <w:tcW w:w="1332" w:type="dxa"/>
            <w:vAlign w:val="center"/>
          </w:tcPr>
          <w:p w14:paraId="139E209C" w14:textId="77777777" w:rsidR="00FC44D0" w:rsidRPr="00D91AE9" w:rsidRDefault="00FC44D0" w:rsidP="00FC44D0">
            <w:pPr>
              <w:pStyle w:val="naisf"/>
              <w:spacing w:before="0" w:after="0"/>
              <w:jc w:val="left"/>
            </w:pPr>
            <w:r w:rsidRPr="00D91AE9">
              <w:t>0</w:t>
            </w:r>
          </w:p>
        </w:tc>
        <w:tc>
          <w:tcPr>
            <w:tcW w:w="1311" w:type="dxa"/>
            <w:vAlign w:val="center"/>
          </w:tcPr>
          <w:p w14:paraId="3455B4F9" w14:textId="2D1A1326" w:rsidR="00FC44D0" w:rsidRPr="00D91AE9" w:rsidRDefault="00FC44D0" w:rsidP="00FC44D0">
            <w:pPr>
              <w:jc w:val="center"/>
            </w:pPr>
            <w:r w:rsidRPr="00F52F22">
              <w:rPr>
                <w:rFonts w:eastAsia="Calibri"/>
              </w:rPr>
              <w:t>0</w:t>
            </w:r>
          </w:p>
        </w:tc>
        <w:tc>
          <w:tcPr>
            <w:tcW w:w="1311" w:type="dxa"/>
            <w:vAlign w:val="center"/>
          </w:tcPr>
          <w:p w14:paraId="570C860E" w14:textId="5C5D5771" w:rsidR="00FC44D0" w:rsidRPr="00D91AE9" w:rsidRDefault="00FC44D0" w:rsidP="00FC44D0">
            <w:pPr>
              <w:jc w:val="center"/>
            </w:pPr>
            <w:r w:rsidRPr="00F52F22">
              <w:rPr>
                <w:rFonts w:eastAsia="Calibri"/>
              </w:rPr>
              <w:t>0</w:t>
            </w:r>
          </w:p>
        </w:tc>
        <w:tc>
          <w:tcPr>
            <w:tcW w:w="1380" w:type="dxa"/>
            <w:vAlign w:val="center"/>
          </w:tcPr>
          <w:p w14:paraId="167F9983" w14:textId="03F08490" w:rsidR="00FC44D0" w:rsidRPr="00D91AE9" w:rsidRDefault="00FC44D0" w:rsidP="00FC44D0">
            <w:pPr>
              <w:jc w:val="center"/>
            </w:pPr>
            <w:r w:rsidRPr="00F52F22">
              <w:rPr>
                <w:rFonts w:eastAsia="Calibri"/>
              </w:rPr>
              <w:t>0</w:t>
            </w:r>
          </w:p>
        </w:tc>
      </w:tr>
      <w:tr w:rsidR="009A72C5" w:rsidRPr="00D91AE9" w14:paraId="26C1F2E6" w14:textId="77777777" w:rsidTr="00A70AB0">
        <w:trPr>
          <w:trHeight w:val="835"/>
          <w:jc w:val="center"/>
        </w:trPr>
        <w:tc>
          <w:tcPr>
            <w:tcW w:w="2177" w:type="dxa"/>
            <w:shd w:val="clear" w:color="auto" w:fill="auto"/>
          </w:tcPr>
          <w:p w14:paraId="4670ECC8" w14:textId="77777777" w:rsidR="009A72C5" w:rsidRPr="00D91AE9" w:rsidRDefault="009A72C5" w:rsidP="00DD2EFA">
            <w:r w:rsidRPr="00D91AE9">
              <w:t>6. Detalizēts ieņēmumu un izdevumu aprēķins (ja nepie</w:t>
            </w:r>
            <w:r w:rsidRPr="00D91AE9">
              <w:softHyphen/>
              <w:t xml:space="preserve">ciešams, detalizētu ieņēmumu un izdevumu aprēķinu </w:t>
            </w:r>
            <w:r w:rsidRPr="00D91AE9">
              <w:lastRenderedPageBreak/>
              <w:t>var pie</w:t>
            </w:r>
            <w:r w:rsidRPr="00D91AE9">
              <w:softHyphen/>
              <w:t>vienot anotācijas pielikumā):</w:t>
            </w:r>
          </w:p>
        </w:tc>
        <w:tc>
          <w:tcPr>
            <w:tcW w:w="6586" w:type="dxa"/>
            <w:gridSpan w:val="5"/>
            <w:vMerge w:val="restart"/>
            <w:shd w:val="clear" w:color="auto" w:fill="auto"/>
            <w:vAlign w:val="center"/>
          </w:tcPr>
          <w:p w14:paraId="4C537746" w14:textId="415BAE8B" w:rsidR="00944C1D" w:rsidRPr="00C2761A" w:rsidRDefault="00944C1D" w:rsidP="007D18FC">
            <w:pPr>
              <w:jc w:val="both"/>
              <w:rPr>
                <w:lang w:bidi="lo-LA"/>
              </w:rPr>
            </w:pPr>
            <w:r w:rsidRPr="00C2761A">
              <w:rPr>
                <w:lang w:bidi="lo-LA"/>
              </w:rPr>
              <w:lastRenderedPageBreak/>
              <w:t>8.2.</w:t>
            </w:r>
            <w:r>
              <w:rPr>
                <w:lang w:bidi="lo-LA"/>
              </w:rPr>
              <w:t>1</w:t>
            </w:r>
            <w:r w:rsidRPr="00C2761A">
              <w:rPr>
                <w:lang w:bidi="lo-LA"/>
              </w:rPr>
              <w:t xml:space="preserve">. SAM </w:t>
            </w:r>
            <w:r w:rsidR="00AE22C0">
              <w:rPr>
                <w:lang w:bidi="lo-LA"/>
              </w:rPr>
              <w:t>plānotais kopējais finansējums (kopējās attiecināmās izmaksas) ir</w:t>
            </w:r>
            <w:r w:rsidR="00AE22C0">
              <w:t xml:space="preserve"> </w:t>
            </w:r>
            <w:r w:rsidRPr="00C2761A">
              <w:rPr>
                <w:lang w:bidi="lo-LA"/>
              </w:rPr>
              <w:t>1</w:t>
            </w:r>
            <w:r>
              <w:rPr>
                <w:lang w:bidi="lo-LA"/>
              </w:rPr>
              <w:t>0</w:t>
            </w:r>
            <w:r w:rsidRPr="00C2761A">
              <w:rPr>
                <w:lang w:bidi="lo-LA"/>
              </w:rPr>
              <w:t> </w:t>
            </w:r>
            <w:r w:rsidR="00AE22C0">
              <w:rPr>
                <w:lang w:bidi="lo-LA"/>
              </w:rPr>
              <w:t>815</w:t>
            </w:r>
            <w:r w:rsidRPr="00C2761A">
              <w:rPr>
                <w:lang w:bidi="lo-LA"/>
              </w:rPr>
              <w:t> </w:t>
            </w:r>
            <w:r w:rsidR="00AE22C0">
              <w:rPr>
                <w:lang w:bidi="lo-LA"/>
              </w:rPr>
              <w:t>000</w:t>
            </w:r>
            <w:r w:rsidRPr="00C2761A">
              <w:rPr>
                <w:lang w:bidi="lo-LA"/>
              </w:rPr>
              <w:t xml:space="preserve"> </w:t>
            </w:r>
            <w:r w:rsidRPr="00C2761A">
              <w:rPr>
                <w:i/>
                <w:lang w:bidi="lo-LA"/>
              </w:rPr>
              <w:t>euro</w:t>
            </w:r>
            <w:r w:rsidRPr="00C2761A">
              <w:rPr>
                <w:lang w:bidi="lo-LA"/>
              </w:rPr>
              <w:t xml:space="preserve">, tai skaitā ESF finansējums </w:t>
            </w:r>
            <w:r w:rsidR="00AE22C0">
              <w:rPr>
                <w:lang w:bidi="lo-LA"/>
              </w:rPr>
              <w:t>9</w:t>
            </w:r>
            <w:r w:rsidRPr="00C2761A">
              <w:rPr>
                <w:lang w:bidi="lo-LA"/>
              </w:rPr>
              <w:t> </w:t>
            </w:r>
            <w:r w:rsidR="00AE22C0">
              <w:rPr>
                <w:lang w:bidi="lo-LA"/>
              </w:rPr>
              <w:t>192</w:t>
            </w:r>
            <w:r w:rsidRPr="00C2761A">
              <w:rPr>
                <w:lang w:bidi="lo-LA"/>
              </w:rPr>
              <w:t> </w:t>
            </w:r>
            <w:r w:rsidR="00AE22C0">
              <w:rPr>
                <w:lang w:bidi="lo-LA"/>
              </w:rPr>
              <w:t>750</w:t>
            </w:r>
            <w:r w:rsidRPr="00C2761A">
              <w:rPr>
                <w:lang w:bidi="lo-LA"/>
              </w:rPr>
              <w:t xml:space="preserve"> </w:t>
            </w:r>
            <w:r w:rsidRPr="00C2761A">
              <w:rPr>
                <w:i/>
                <w:lang w:bidi="lo-LA"/>
              </w:rPr>
              <w:t>euro</w:t>
            </w:r>
            <w:r w:rsidRPr="00C2761A">
              <w:rPr>
                <w:lang w:bidi="lo-LA"/>
              </w:rPr>
              <w:t xml:space="preserve"> un valsts budžeta finansējums </w:t>
            </w:r>
            <w:r>
              <w:rPr>
                <w:lang w:bidi="lo-LA"/>
              </w:rPr>
              <w:t xml:space="preserve">1 </w:t>
            </w:r>
            <w:r w:rsidR="00AE22C0">
              <w:rPr>
                <w:lang w:bidi="lo-LA"/>
              </w:rPr>
              <w:t>622</w:t>
            </w:r>
            <w:r w:rsidRPr="00C2761A">
              <w:rPr>
                <w:lang w:bidi="lo-LA"/>
              </w:rPr>
              <w:t> </w:t>
            </w:r>
            <w:r w:rsidR="00AE22C0">
              <w:rPr>
                <w:lang w:bidi="lo-LA"/>
              </w:rPr>
              <w:t>25</w:t>
            </w:r>
            <w:r w:rsidRPr="00C2761A">
              <w:rPr>
                <w:lang w:bidi="lo-LA"/>
              </w:rPr>
              <w:t xml:space="preserve">0 </w:t>
            </w:r>
            <w:r w:rsidRPr="00C2761A">
              <w:rPr>
                <w:i/>
                <w:lang w:bidi="lo-LA"/>
              </w:rPr>
              <w:t>euro</w:t>
            </w:r>
            <w:r w:rsidRPr="00C2761A">
              <w:rPr>
                <w:lang w:bidi="lo-LA"/>
              </w:rPr>
              <w:t xml:space="preserve">. </w:t>
            </w:r>
          </w:p>
          <w:p w14:paraId="39138528" w14:textId="2D1136EC" w:rsidR="00944C1D" w:rsidRDefault="00944C1D" w:rsidP="007D18FC">
            <w:pPr>
              <w:jc w:val="both"/>
              <w:rPr>
                <w:lang w:bidi="lo-LA"/>
              </w:rPr>
            </w:pPr>
            <w:r w:rsidRPr="00C2761A">
              <w:rPr>
                <w:lang w:bidi="lo-LA"/>
              </w:rPr>
              <w:t>Budžeta ieņēmumi ir finansējuma ESF daļa 85 procentu apmērā no projekt</w:t>
            </w:r>
            <w:r w:rsidR="00AE22C0">
              <w:rPr>
                <w:lang w:bidi="lo-LA"/>
              </w:rPr>
              <w:t>u</w:t>
            </w:r>
            <w:r w:rsidRPr="00C2761A">
              <w:rPr>
                <w:lang w:bidi="lo-LA"/>
              </w:rPr>
              <w:t xml:space="preserve"> attiecināmām izmaksām. Budž</w:t>
            </w:r>
            <w:r w:rsidR="00286D2F">
              <w:rPr>
                <w:lang w:bidi="lo-LA"/>
              </w:rPr>
              <w:t>eta izdevumi ir kopējie projektu</w:t>
            </w:r>
            <w:r w:rsidRPr="00C2761A">
              <w:rPr>
                <w:lang w:bidi="lo-LA"/>
              </w:rPr>
              <w:t xml:space="preserve"> ieviešanai nepieciešamie publiskā finansējuma (ESF un </w:t>
            </w:r>
            <w:r w:rsidRPr="00C2761A">
              <w:rPr>
                <w:lang w:bidi="lo-LA"/>
              </w:rPr>
              <w:lastRenderedPageBreak/>
              <w:t>valsts budžeta) līdzekļi</w:t>
            </w:r>
            <w:r w:rsidR="00286D2F">
              <w:rPr>
                <w:lang w:bidi="lo-LA"/>
              </w:rPr>
              <w:t xml:space="preserve"> 100 procentu apmērā no projektu</w:t>
            </w:r>
            <w:r w:rsidRPr="00C2761A">
              <w:rPr>
                <w:lang w:bidi="lo-LA"/>
              </w:rPr>
              <w:t xml:space="preserve"> attiecināmām izmaksām. </w:t>
            </w:r>
          </w:p>
          <w:p w14:paraId="22D27E12" w14:textId="6E453991" w:rsidR="00286D2F" w:rsidRDefault="00286D2F" w:rsidP="007D18FC">
            <w:pPr>
              <w:jc w:val="both"/>
              <w:rPr>
                <w:lang w:bidi="lo-LA"/>
              </w:rPr>
            </w:pPr>
            <w:r>
              <w:rPr>
                <w:lang w:bidi="lo-LA"/>
              </w:rPr>
              <w:t>8.2.1. SAM īsteno divās projektu iesniegumu atlases kārtās par visu 8.2.1.</w:t>
            </w:r>
            <w:r w:rsidR="002A6154">
              <w:rPr>
                <w:lang w:bidi="lo-LA"/>
              </w:rPr>
              <w:t xml:space="preserve"> </w:t>
            </w:r>
            <w:r>
              <w:rPr>
                <w:lang w:bidi="lo-LA"/>
              </w:rPr>
              <w:t>SAM pieejamo finansējumu.</w:t>
            </w:r>
          </w:p>
          <w:p w14:paraId="217AAB19" w14:textId="14033C97" w:rsidR="00286D2F" w:rsidRDefault="00AE22C0" w:rsidP="00841191">
            <w:pPr>
              <w:jc w:val="both"/>
              <w:rPr>
                <w:lang w:bidi="lo-LA"/>
              </w:rPr>
            </w:pPr>
            <w:r>
              <w:rPr>
                <w:lang w:bidi="lo-LA"/>
              </w:rPr>
              <w:t>Projektus plānots indikatīvi ieviest no 201</w:t>
            </w:r>
            <w:r w:rsidR="00286D2F">
              <w:rPr>
                <w:lang w:bidi="lo-LA"/>
              </w:rPr>
              <w:t>8</w:t>
            </w:r>
            <w:r>
              <w:rPr>
                <w:lang w:bidi="lo-LA"/>
              </w:rPr>
              <w:t>.gada I</w:t>
            </w:r>
            <w:r w:rsidR="00286D2F">
              <w:rPr>
                <w:lang w:bidi="lo-LA"/>
              </w:rPr>
              <w:t>II</w:t>
            </w:r>
            <w:r>
              <w:rPr>
                <w:lang w:bidi="lo-LA"/>
              </w:rPr>
              <w:t xml:space="preserve"> ceturkšņa līdz 202</w:t>
            </w:r>
            <w:r w:rsidR="00286D2F">
              <w:rPr>
                <w:lang w:bidi="lo-LA"/>
              </w:rPr>
              <w:t>3</w:t>
            </w:r>
            <w:r>
              <w:rPr>
                <w:lang w:bidi="lo-LA"/>
              </w:rPr>
              <w:t xml:space="preserve">.gada IV ceturksnim (projektu īstenošanas laiks </w:t>
            </w:r>
            <w:r w:rsidR="00286D2F">
              <w:rPr>
                <w:lang w:bidi="lo-LA"/>
              </w:rPr>
              <w:t>indikatīvi 3</w:t>
            </w:r>
            <w:r>
              <w:rPr>
                <w:lang w:bidi="lo-LA"/>
              </w:rPr>
              <w:t>–</w:t>
            </w:r>
            <w:r w:rsidR="00286D2F">
              <w:rPr>
                <w:lang w:bidi="lo-LA"/>
              </w:rPr>
              <w:t>5</w:t>
            </w:r>
            <w:r>
              <w:rPr>
                <w:lang w:bidi="lo-LA"/>
              </w:rPr>
              <w:t xml:space="preserve"> gadi). </w:t>
            </w:r>
          </w:p>
          <w:p w14:paraId="69E082AB" w14:textId="7AE732B5" w:rsidR="00AE22C0" w:rsidRDefault="00286D2F" w:rsidP="007D18FC">
            <w:pPr>
              <w:autoSpaceDE w:val="0"/>
              <w:autoSpaceDN w:val="0"/>
              <w:adjustRightInd w:val="0"/>
              <w:jc w:val="both"/>
              <w:rPr>
                <w:lang w:bidi="lo-LA"/>
              </w:rPr>
            </w:pPr>
            <w:r w:rsidRPr="007D18FC">
              <w:rPr>
                <w:b/>
              </w:rPr>
              <w:t>2018. gadā</w:t>
            </w:r>
            <w:r>
              <w:t xml:space="preserve"> tiek plānots finansējums </w:t>
            </w:r>
            <w:r w:rsidR="00A50AB7">
              <w:t>1</w:t>
            </w:r>
            <w:r>
              <w:t xml:space="preserve">0 procentu apmērā no kopējā plānotā finansējuma, t.i., </w:t>
            </w:r>
            <w:r w:rsidR="00841191">
              <w:rPr>
                <w:color w:val="000000"/>
              </w:rPr>
              <w:t>1</w:t>
            </w:r>
            <w:r>
              <w:rPr>
                <w:color w:val="000000"/>
              </w:rPr>
              <w:t> </w:t>
            </w:r>
            <w:r w:rsidR="00841191">
              <w:rPr>
                <w:color w:val="000000"/>
              </w:rPr>
              <w:t>081</w:t>
            </w:r>
            <w:r>
              <w:rPr>
                <w:color w:val="000000"/>
              </w:rPr>
              <w:t xml:space="preserve"> 5</w:t>
            </w:r>
            <w:r w:rsidR="00841191">
              <w:rPr>
                <w:color w:val="000000"/>
              </w:rPr>
              <w:t>00</w:t>
            </w:r>
            <w:r>
              <w:t xml:space="preserve"> </w:t>
            </w:r>
            <w:r>
              <w:rPr>
                <w:i/>
              </w:rPr>
              <w:t>euro</w:t>
            </w:r>
            <w:r>
              <w:t xml:space="preserve"> gadā</w:t>
            </w:r>
            <w:r>
              <w:rPr>
                <w:i/>
              </w:rPr>
              <w:t xml:space="preserve"> </w:t>
            </w:r>
            <w:r>
              <w:t xml:space="preserve">(t.sk. </w:t>
            </w:r>
            <w:r w:rsidR="00A50AB7">
              <w:t>ESF</w:t>
            </w:r>
            <w:r>
              <w:t xml:space="preserve"> </w:t>
            </w:r>
            <w:r w:rsidR="00841191">
              <w:rPr>
                <w:color w:val="000000"/>
              </w:rPr>
              <w:t>919</w:t>
            </w:r>
            <w:r>
              <w:rPr>
                <w:color w:val="000000"/>
              </w:rPr>
              <w:t xml:space="preserve"> </w:t>
            </w:r>
            <w:r w:rsidR="00841191">
              <w:rPr>
                <w:color w:val="000000"/>
              </w:rPr>
              <w:t>275</w:t>
            </w:r>
            <w:r>
              <w:t xml:space="preserve"> </w:t>
            </w:r>
            <w:r>
              <w:rPr>
                <w:i/>
              </w:rPr>
              <w:t>euro</w:t>
            </w:r>
            <w:r>
              <w:t xml:space="preserve">, valsts budžets </w:t>
            </w:r>
            <w:r w:rsidR="00841191">
              <w:rPr>
                <w:color w:val="000000"/>
              </w:rPr>
              <w:t>162</w:t>
            </w:r>
            <w:r>
              <w:rPr>
                <w:color w:val="000000"/>
              </w:rPr>
              <w:t> </w:t>
            </w:r>
            <w:r w:rsidR="00841191">
              <w:rPr>
                <w:color w:val="000000"/>
              </w:rPr>
              <w:t>225</w:t>
            </w:r>
            <w:r>
              <w:rPr>
                <w:color w:val="000000"/>
              </w:rPr>
              <w:t xml:space="preserve"> </w:t>
            </w:r>
            <w:r>
              <w:rPr>
                <w:i/>
              </w:rPr>
              <w:t>euro</w:t>
            </w:r>
            <w:r>
              <w:t xml:space="preserve">), </w:t>
            </w:r>
            <w:r w:rsidRPr="007D18FC">
              <w:rPr>
                <w:b/>
              </w:rPr>
              <w:t>2019. gadā</w:t>
            </w:r>
            <w:r>
              <w:t xml:space="preserve"> - 20 procenti, t.i., </w:t>
            </w:r>
            <w:r w:rsidR="00841191">
              <w:rPr>
                <w:color w:val="000000"/>
              </w:rPr>
              <w:t>2</w:t>
            </w:r>
            <w:r>
              <w:rPr>
                <w:color w:val="000000"/>
              </w:rPr>
              <w:t> </w:t>
            </w:r>
            <w:r w:rsidR="00841191">
              <w:rPr>
                <w:color w:val="000000"/>
              </w:rPr>
              <w:t>163</w:t>
            </w:r>
            <w:r>
              <w:rPr>
                <w:color w:val="000000"/>
              </w:rPr>
              <w:t xml:space="preserve"> </w:t>
            </w:r>
            <w:r w:rsidR="00841191">
              <w:rPr>
                <w:color w:val="000000"/>
              </w:rPr>
              <w:t>000</w:t>
            </w:r>
            <w:r>
              <w:t xml:space="preserve"> </w:t>
            </w:r>
            <w:r>
              <w:rPr>
                <w:i/>
              </w:rPr>
              <w:t>euro</w:t>
            </w:r>
            <w:r>
              <w:t xml:space="preserve"> (t.sk. </w:t>
            </w:r>
            <w:r w:rsidR="00A50AB7">
              <w:t>ESF</w:t>
            </w:r>
            <w:r>
              <w:t xml:space="preserve"> </w:t>
            </w:r>
            <w:r w:rsidR="00841191">
              <w:rPr>
                <w:color w:val="000000"/>
              </w:rPr>
              <w:t>1</w:t>
            </w:r>
            <w:r>
              <w:rPr>
                <w:color w:val="000000"/>
              </w:rPr>
              <w:t> </w:t>
            </w:r>
            <w:r w:rsidR="00841191">
              <w:rPr>
                <w:color w:val="000000"/>
              </w:rPr>
              <w:t>838</w:t>
            </w:r>
            <w:r>
              <w:rPr>
                <w:color w:val="000000"/>
              </w:rPr>
              <w:t xml:space="preserve"> </w:t>
            </w:r>
            <w:r w:rsidR="00841191">
              <w:rPr>
                <w:color w:val="000000"/>
              </w:rPr>
              <w:t>550</w:t>
            </w:r>
            <w:r>
              <w:t xml:space="preserve"> </w:t>
            </w:r>
            <w:r>
              <w:rPr>
                <w:i/>
              </w:rPr>
              <w:t>euro</w:t>
            </w:r>
            <w:r>
              <w:t xml:space="preserve">, valsts budžets </w:t>
            </w:r>
            <w:r w:rsidR="00841191">
              <w:rPr>
                <w:color w:val="000000"/>
              </w:rPr>
              <w:t>324</w:t>
            </w:r>
            <w:r>
              <w:rPr>
                <w:color w:val="000000"/>
              </w:rPr>
              <w:t> </w:t>
            </w:r>
            <w:r w:rsidR="00841191">
              <w:rPr>
                <w:color w:val="000000"/>
              </w:rPr>
              <w:t>450</w:t>
            </w:r>
            <w:r>
              <w:rPr>
                <w:color w:val="000000"/>
              </w:rPr>
              <w:t xml:space="preserve"> </w:t>
            </w:r>
            <w:r>
              <w:rPr>
                <w:i/>
              </w:rPr>
              <w:t>euro</w:t>
            </w:r>
            <w:r>
              <w:t xml:space="preserve">), </w:t>
            </w:r>
            <w:r w:rsidRPr="007D18FC">
              <w:rPr>
                <w:b/>
              </w:rPr>
              <w:t>2020. gadā</w:t>
            </w:r>
            <w:r>
              <w:t xml:space="preserve"> - </w:t>
            </w:r>
            <w:r w:rsidR="00841191">
              <w:t xml:space="preserve">20 procenti, t.i., </w:t>
            </w:r>
            <w:r w:rsidR="00841191">
              <w:rPr>
                <w:color w:val="000000"/>
              </w:rPr>
              <w:t>2 163 000</w:t>
            </w:r>
            <w:r w:rsidR="00841191">
              <w:t xml:space="preserve"> </w:t>
            </w:r>
            <w:r w:rsidR="00841191">
              <w:rPr>
                <w:i/>
              </w:rPr>
              <w:t>euro</w:t>
            </w:r>
            <w:r w:rsidR="00841191">
              <w:t xml:space="preserve"> (t.sk. ESF </w:t>
            </w:r>
            <w:r w:rsidR="00841191">
              <w:rPr>
                <w:color w:val="000000"/>
              </w:rPr>
              <w:t>1 838 550</w:t>
            </w:r>
            <w:r w:rsidR="00841191">
              <w:t xml:space="preserve"> </w:t>
            </w:r>
            <w:r w:rsidR="00841191">
              <w:rPr>
                <w:i/>
              </w:rPr>
              <w:t>euro</w:t>
            </w:r>
            <w:r w:rsidR="00841191">
              <w:t xml:space="preserve">, valsts budžets </w:t>
            </w:r>
            <w:r w:rsidR="00841191">
              <w:rPr>
                <w:color w:val="000000"/>
              </w:rPr>
              <w:t xml:space="preserve">324 450 </w:t>
            </w:r>
            <w:r w:rsidR="00841191">
              <w:rPr>
                <w:i/>
              </w:rPr>
              <w:t>euro</w:t>
            </w:r>
            <w:r w:rsidR="00841191">
              <w:t>)</w:t>
            </w:r>
            <w:r>
              <w:t xml:space="preserve">, </w:t>
            </w:r>
            <w:r w:rsidRPr="007D18FC">
              <w:rPr>
                <w:b/>
              </w:rPr>
              <w:t>2021. gadā</w:t>
            </w:r>
            <w:r>
              <w:t xml:space="preserve"> – </w:t>
            </w:r>
            <w:r w:rsidR="00841191">
              <w:t xml:space="preserve">20 procenti, t.i., </w:t>
            </w:r>
            <w:r w:rsidR="00841191">
              <w:rPr>
                <w:color w:val="000000"/>
              </w:rPr>
              <w:t>2 163 000</w:t>
            </w:r>
            <w:r w:rsidR="00841191">
              <w:t xml:space="preserve"> </w:t>
            </w:r>
            <w:r w:rsidR="00841191">
              <w:rPr>
                <w:i/>
              </w:rPr>
              <w:t>euro</w:t>
            </w:r>
            <w:r w:rsidR="00841191">
              <w:t xml:space="preserve"> (t.sk. ESF </w:t>
            </w:r>
            <w:r w:rsidR="00841191">
              <w:rPr>
                <w:color w:val="000000"/>
              </w:rPr>
              <w:t>1 838 550</w:t>
            </w:r>
            <w:r w:rsidR="00841191">
              <w:t xml:space="preserve"> </w:t>
            </w:r>
            <w:r w:rsidR="00841191">
              <w:rPr>
                <w:i/>
              </w:rPr>
              <w:t>euro</w:t>
            </w:r>
            <w:r w:rsidR="00841191">
              <w:t xml:space="preserve">, valsts budžets </w:t>
            </w:r>
            <w:r w:rsidR="00841191">
              <w:rPr>
                <w:color w:val="000000"/>
              </w:rPr>
              <w:t xml:space="preserve">324 450 </w:t>
            </w:r>
            <w:r w:rsidR="00841191">
              <w:rPr>
                <w:i/>
              </w:rPr>
              <w:t>euro</w:t>
            </w:r>
            <w:r w:rsidR="00841191">
              <w:t>)</w:t>
            </w:r>
            <w:r>
              <w:t xml:space="preserve">, </w:t>
            </w:r>
            <w:r w:rsidRPr="007D18FC">
              <w:rPr>
                <w:b/>
              </w:rPr>
              <w:t>2022. gadā</w:t>
            </w:r>
            <w:r>
              <w:t xml:space="preserve"> – </w:t>
            </w:r>
            <w:r w:rsidR="00841191">
              <w:t xml:space="preserve">20 procenti, t.i., </w:t>
            </w:r>
            <w:r w:rsidR="00841191">
              <w:rPr>
                <w:color w:val="000000"/>
              </w:rPr>
              <w:t>2 163 000</w:t>
            </w:r>
            <w:r w:rsidR="00841191">
              <w:t xml:space="preserve"> </w:t>
            </w:r>
            <w:r w:rsidR="00841191">
              <w:rPr>
                <w:i/>
              </w:rPr>
              <w:t>euro</w:t>
            </w:r>
            <w:r w:rsidR="00841191">
              <w:t xml:space="preserve"> (t.sk. ESF </w:t>
            </w:r>
            <w:r w:rsidR="00841191">
              <w:rPr>
                <w:color w:val="000000"/>
              </w:rPr>
              <w:t>1 838 550</w:t>
            </w:r>
            <w:r w:rsidR="00841191">
              <w:t xml:space="preserve"> </w:t>
            </w:r>
            <w:r w:rsidR="00841191">
              <w:rPr>
                <w:i/>
              </w:rPr>
              <w:t>euro</w:t>
            </w:r>
            <w:r w:rsidR="00841191">
              <w:t xml:space="preserve">, valsts budžets </w:t>
            </w:r>
            <w:r w:rsidR="00841191">
              <w:rPr>
                <w:color w:val="000000"/>
              </w:rPr>
              <w:t xml:space="preserve">324 450 </w:t>
            </w:r>
            <w:r w:rsidR="00841191">
              <w:rPr>
                <w:i/>
              </w:rPr>
              <w:t>euro</w:t>
            </w:r>
            <w:r w:rsidR="00841191">
              <w:t>)</w:t>
            </w:r>
            <w:r>
              <w:t xml:space="preserve">, </w:t>
            </w:r>
            <w:r w:rsidRPr="007D18FC">
              <w:rPr>
                <w:b/>
              </w:rPr>
              <w:t>2023. gadā</w:t>
            </w:r>
            <w:r>
              <w:t xml:space="preserve"> – 10 procenti, t.i., </w:t>
            </w:r>
            <w:r w:rsidR="00841191">
              <w:rPr>
                <w:color w:val="000000"/>
              </w:rPr>
              <w:t>1 081 500</w:t>
            </w:r>
            <w:r w:rsidR="00841191">
              <w:t xml:space="preserve"> </w:t>
            </w:r>
            <w:r w:rsidR="00841191">
              <w:rPr>
                <w:i/>
              </w:rPr>
              <w:t>euro</w:t>
            </w:r>
            <w:r w:rsidR="00841191">
              <w:t xml:space="preserve"> gadā</w:t>
            </w:r>
            <w:r w:rsidR="00841191">
              <w:rPr>
                <w:i/>
              </w:rPr>
              <w:t xml:space="preserve"> </w:t>
            </w:r>
            <w:r w:rsidR="00841191">
              <w:t xml:space="preserve">(t.sk. ESF </w:t>
            </w:r>
            <w:r w:rsidR="00841191">
              <w:rPr>
                <w:color w:val="000000"/>
              </w:rPr>
              <w:t>919 275</w:t>
            </w:r>
            <w:r w:rsidR="00841191">
              <w:t xml:space="preserve"> </w:t>
            </w:r>
            <w:r w:rsidR="00841191">
              <w:rPr>
                <w:i/>
              </w:rPr>
              <w:t>euro</w:t>
            </w:r>
            <w:r w:rsidR="00841191">
              <w:t xml:space="preserve">, valsts budžets </w:t>
            </w:r>
            <w:r w:rsidR="00841191">
              <w:rPr>
                <w:color w:val="000000"/>
              </w:rPr>
              <w:t xml:space="preserve">162 225 </w:t>
            </w:r>
            <w:r w:rsidR="00841191">
              <w:rPr>
                <w:i/>
              </w:rPr>
              <w:t>euro</w:t>
            </w:r>
            <w:r w:rsidR="00841191">
              <w:t>)</w:t>
            </w:r>
            <w:r>
              <w:t>.</w:t>
            </w:r>
          </w:p>
          <w:p w14:paraId="1398B878" w14:textId="77777777" w:rsidR="00AE22C0" w:rsidRPr="00C2761A" w:rsidRDefault="00AE22C0" w:rsidP="007D18FC">
            <w:pPr>
              <w:jc w:val="both"/>
              <w:rPr>
                <w:lang w:bidi="lo-LA"/>
              </w:rPr>
            </w:pPr>
          </w:p>
          <w:p w14:paraId="517B410F" w14:textId="37D1776D" w:rsidR="005E57D7" w:rsidRPr="002A4D0D" w:rsidRDefault="005E57D7" w:rsidP="00841191">
            <w:pPr>
              <w:autoSpaceDE w:val="0"/>
              <w:autoSpaceDN w:val="0"/>
              <w:adjustRightInd w:val="0"/>
              <w:jc w:val="both"/>
              <w:rPr>
                <w:b/>
                <w:color w:val="000000" w:themeColor="text1"/>
              </w:rPr>
            </w:pPr>
            <w:r w:rsidRPr="002A4D0D">
              <w:rPr>
                <w:color w:val="000000" w:themeColor="text1"/>
              </w:rPr>
              <w:t>Budžeta</w:t>
            </w:r>
            <w:r w:rsidR="00776F4C" w:rsidRPr="002A4D0D">
              <w:rPr>
                <w:color w:val="000000" w:themeColor="text1"/>
              </w:rPr>
              <w:t xml:space="preserve"> ilgtermiņa saistībās </w:t>
            </w:r>
            <w:r w:rsidR="009E72E9" w:rsidRPr="002A4D0D">
              <w:rPr>
                <w:color w:val="000000" w:themeColor="text1"/>
              </w:rPr>
              <w:t xml:space="preserve">no 2017. </w:t>
            </w:r>
            <w:r w:rsidR="004078BF" w:rsidRPr="002A4D0D">
              <w:rPr>
                <w:color w:val="000000" w:themeColor="text1"/>
              </w:rPr>
              <w:t>–</w:t>
            </w:r>
            <w:r w:rsidR="009E72E9" w:rsidRPr="002A4D0D">
              <w:rPr>
                <w:color w:val="000000" w:themeColor="text1"/>
              </w:rPr>
              <w:t xml:space="preserve"> 2023</w:t>
            </w:r>
            <w:r w:rsidRPr="002A4D0D">
              <w:rPr>
                <w:color w:val="000000" w:themeColor="text1"/>
              </w:rPr>
              <w:t>. ga</w:t>
            </w:r>
            <w:r w:rsidR="004647F1" w:rsidRPr="002A4D0D">
              <w:rPr>
                <w:color w:val="000000" w:themeColor="text1"/>
              </w:rPr>
              <w:t xml:space="preserve">dam šobrīd finansējums </w:t>
            </w:r>
            <w:r w:rsidR="00543315" w:rsidRPr="002A4D0D">
              <w:rPr>
                <w:color w:val="000000" w:themeColor="text1"/>
              </w:rPr>
              <w:t>8.2.1. SAM</w:t>
            </w:r>
            <w:r w:rsidRPr="002A4D0D">
              <w:rPr>
                <w:color w:val="000000" w:themeColor="text1"/>
              </w:rPr>
              <w:t xml:space="preserve"> nav paredzēts. </w:t>
            </w:r>
            <w:r w:rsidR="00543315" w:rsidRPr="002A4D0D">
              <w:rPr>
                <w:color w:val="000000" w:themeColor="text1"/>
              </w:rPr>
              <w:t>8.2.1. SAM</w:t>
            </w:r>
            <w:r w:rsidR="00860B84" w:rsidRPr="002A4D0D">
              <w:rPr>
                <w:color w:val="000000" w:themeColor="text1"/>
              </w:rPr>
              <w:t xml:space="preserve"> īstenošanai n</w:t>
            </w:r>
            <w:r w:rsidRPr="002A4D0D">
              <w:rPr>
                <w:color w:val="000000" w:themeColor="text1"/>
              </w:rPr>
              <w:t xml:space="preserve">epieciešamais finansējums </w:t>
            </w:r>
            <w:r w:rsidR="00860B84" w:rsidRPr="002A4D0D">
              <w:rPr>
                <w:color w:val="000000" w:themeColor="text1"/>
              </w:rPr>
              <w:t>2018. – 2023. gadam tiks iestrādāts budžeta ilgtermiņa saistībās likumprojekta „Par vidēja termiņa budžeta ietvaru 2018., 2019. un 2020.gadam” sagatavošanas laikā.</w:t>
            </w:r>
          </w:p>
          <w:p w14:paraId="007BC1AE" w14:textId="3D87071A" w:rsidR="009A72C5" w:rsidRPr="002D230A" w:rsidRDefault="005E57D7" w:rsidP="00D3763D">
            <w:pPr>
              <w:autoSpaceDE w:val="0"/>
              <w:autoSpaceDN w:val="0"/>
              <w:adjustRightInd w:val="0"/>
              <w:jc w:val="both"/>
            </w:pPr>
            <w:r w:rsidRPr="002A4D0D">
              <w:rPr>
                <w:color w:val="000000" w:themeColor="text1"/>
              </w:rPr>
              <w:t xml:space="preserve">Finansējuma sadalījums pa gadiem </w:t>
            </w:r>
            <w:r w:rsidR="00776F4C" w:rsidRPr="002A4D0D">
              <w:rPr>
                <w:color w:val="000000" w:themeColor="text1"/>
              </w:rPr>
              <w:t>norādīts indikatīvi un var tikt precizēts</w:t>
            </w:r>
            <w:r w:rsidRPr="002A4D0D">
              <w:rPr>
                <w:color w:val="000000" w:themeColor="text1"/>
              </w:rPr>
              <w:t xml:space="preserve">, ņemot vērā faktiski izlietoto finansējumu un atlases </w:t>
            </w:r>
            <w:r w:rsidR="000C1578" w:rsidRPr="002A4D0D">
              <w:rPr>
                <w:color w:val="000000" w:themeColor="text1"/>
              </w:rPr>
              <w:t xml:space="preserve">kārtu </w:t>
            </w:r>
            <w:r w:rsidRPr="002A4D0D">
              <w:rPr>
                <w:color w:val="000000" w:themeColor="text1"/>
              </w:rPr>
              <w:t xml:space="preserve">ietvaros apstiprināto </w:t>
            </w:r>
            <w:r w:rsidR="00D3763D">
              <w:rPr>
                <w:color w:val="000000" w:themeColor="text1"/>
              </w:rPr>
              <w:t>projektu iesniegumu</w:t>
            </w:r>
            <w:r w:rsidRPr="002A4D0D">
              <w:rPr>
                <w:color w:val="000000" w:themeColor="text1"/>
              </w:rPr>
              <w:t xml:space="preserve"> </w:t>
            </w:r>
            <w:r w:rsidRPr="00D3763D">
              <w:t>skaitu.</w:t>
            </w:r>
          </w:p>
        </w:tc>
      </w:tr>
      <w:tr w:rsidR="009A72C5" w:rsidRPr="00D91AE9" w14:paraId="1B250363" w14:textId="77777777" w:rsidTr="00A70AB0">
        <w:trPr>
          <w:jc w:val="center"/>
        </w:trPr>
        <w:tc>
          <w:tcPr>
            <w:tcW w:w="2177" w:type="dxa"/>
          </w:tcPr>
          <w:p w14:paraId="79902E5B" w14:textId="77777777" w:rsidR="009A72C5" w:rsidRPr="00D91AE9" w:rsidRDefault="009A72C5" w:rsidP="00DD2EFA">
            <w:r w:rsidRPr="00D91AE9">
              <w:lastRenderedPageBreak/>
              <w:t>6.1. detalizēts ieņēmumu aprēķins</w:t>
            </w:r>
          </w:p>
        </w:tc>
        <w:tc>
          <w:tcPr>
            <w:tcW w:w="6586" w:type="dxa"/>
            <w:gridSpan w:val="5"/>
            <w:vMerge/>
          </w:tcPr>
          <w:p w14:paraId="2B4F455E" w14:textId="77777777" w:rsidR="009A72C5" w:rsidRPr="00E76644" w:rsidRDefault="009A72C5" w:rsidP="00DD2EFA">
            <w:pPr>
              <w:pStyle w:val="naisf"/>
              <w:spacing w:before="0" w:after="0"/>
              <w:ind w:left="57" w:right="113"/>
              <w:rPr>
                <w:i/>
              </w:rPr>
            </w:pPr>
          </w:p>
        </w:tc>
      </w:tr>
      <w:tr w:rsidR="009A72C5" w:rsidRPr="00D91AE9" w14:paraId="5CBCEF1B" w14:textId="77777777" w:rsidTr="00A70AB0">
        <w:trPr>
          <w:trHeight w:val="4812"/>
          <w:jc w:val="center"/>
        </w:trPr>
        <w:tc>
          <w:tcPr>
            <w:tcW w:w="2177" w:type="dxa"/>
          </w:tcPr>
          <w:p w14:paraId="75FFB771" w14:textId="77777777" w:rsidR="009A72C5" w:rsidRPr="00FA7D96" w:rsidRDefault="009A72C5" w:rsidP="004647F1">
            <w:r w:rsidRPr="00D91AE9">
              <w:t>6.2. detalizēts izdevumu aprēķins</w:t>
            </w:r>
          </w:p>
        </w:tc>
        <w:tc>
          <w:tcPr>
            <w:tcW w:w="6586" w:type="dxa"/>
            <w:gridSpan w:val="5"/>
            <w:vMerge/>
          </w:tcPr>
          <w:p w14:paraId="6E2D5904" w14:textId="77777777" w:rsidR="009A72C5" w:rsidRPr="00E76644" w:rsidRDefault="009A72C5" w:rsidP="00DD2EFA">
            <w:pPr>
              <w:pStyle w:val="naisf"/>
              <w:spacing w:before="0" w:after="0"/>
              <w:ind w:left="57" w:right="113"/>
              <w:rPr>
                <w:i/>
              </w:rPr>
            </w:pPr>
          </w:p>
        </w:tc>
      </w:tr>
      <w:tr w:rsidR="009A72C5" w:rsidRPr="00D91AE9" w14:paraId="56D96FFD" w14:textId="77777777" w:rsidTr="00A70AB0">
        <w:trPr>
          <w:trHeight w:val="556"/>
          <w:jc w:val="center"/>
        </w:trPr>
        <w:tc>
          <w:tcPr>
            <w:tcW w:w="2177" w:type="dxa"/>
          </w:tcPr>
          <w:p w14:paraId="572DB400" w14:textId="77777777" w:rsidR="009A72C5" w:rsidRPr="00D91AE9" w:rsidRDefault="009A72C5" w:rsidP="00DD2EFA">
            <w:r w:rsidRPr="00D91AE9">
              <w:t>7. Cita informācija</w:t>
            </w:r>
          </w:p>
        </w:tc>
        <w:tc>
          <w:tcPr>
            <w:tcW w:w="6586" w:type="dxa"/>
            <w:gridSpan w:val="5"/>
          </w:tcPr>
          <w:p w14:paraId="0F5F51FF" w14:textId="2A57DF46" w:rsidR="009A72C5" w:rsidRPr="004271BE" w:rsidRDefault="005E57D7" w:rsidP="00543315">
            <w:pPr>
              <w:jc w:val="both"/>
            </w:pPr>
            <w:r w:rsidRPr="002A4D0D">
              <w:rPr>
                <w:color w:val="000000" w:themeColor="text1"/>
              </w:rPr>
              <w:t xml:space="preserve">Nepieciešamais finansējums </w:t>
            </w:r>
            <w:r w:rsidR="00543315" w:rsidRPr="002A4D0D">
              <w:rPr>
                <w:color w:val="000000" w:themeColor="text1"/>
              </w:rPr>
              <w:t>8.2.1. SAM</w:t>
            </w:r>
            <w:r w:rsidR="00776F4C" w:rsidRPr="002A4D0D">
              <w:rPr>
                <w:color w:val="000000" w:themeColor="text1"/>
              </w:rPr>
              <w:t xml:space="preserve"> īstenošanai pēc projektu iesniegumu apstiprināšanas </w:t>
            </w:r>
            <w:r w:rsidRPr="002A4D0D">
              <w:rPr>
                <w:color w:val="000000" w:themeColor="text1"/>
              </w:rPr>
              <w:t xml:space="preserve">tiks pieprasīts normatīvajos </w:t>
            </w:r>
            <w:r w:rsidR="004647F1" w:rsidRPr="002A4D0D">
              <w:rPr>
                <w:color w:val="000000" w:themeColor="text1"/>
              </w:rPr>
              <w:t>aktos noteiktajā kārtībā no 74.</w:t>
            </w:r>
            <w:r w:rsidR="00BA0E1E" w:rsidRPr="002A4D0D">
              <w:rPr>
                <w:color w:val="000000" w:themeColor="text1"/>
              </w:rPr>
              <w:t xml:space="preserve"> </w:t>
            </w:r>
            <w:r w:rsidRPr="002A4D0D">
              <w:rPr>
                <w:color w:val="000000" w:themeColor="text1"/>
              </w:rPr>
              <w:t>resora “Gadskārtējā valsts budžeta izpildes procesā pārdalāmais finansējums” budžeta programmas 80.00.00 “Nesadalītais finansējums Eiropas Savienības politiku instrumentu un pārējās ārvalstu finanšu palīdzības līdzfinansēto projektu un pasākumu īstenošanai”.</w:t>
            </w:r>
          </w:p>
        </w:tc>
      </w:tr>
    </w:tbl>
    <w:p w14:paraId="6EAA1A45" w14:textId="77777777" w:rsidR="009A72C5" w:rsidRDefault="009A72C5" w:rsidP="009A72C5"/>
    <w:p w14:paraId="0EBEAF59" w14:textId="77777777" w:rsidR="009A72C5" w:rsidRPr="00D91AE9" w:rsidRDefault="009A72C5" w:rsidP="009A72C5"/>
    <w:tbl>
      <w:tblPr>
        <w:tblW w:w="8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6"/>
        <w:gridCol w:w="2161"/>
        <w:gridCol w:w="198"/>
        <w:gridCol w:w="406"/>
        <w:gridCol w:w="1772"/>
        <w:gridCol w:w="1359"/>
        <w:gridCol w:w="817"/>
        <w:gridCol w:w="120"/>
        <w:gridCol w:w="1845"/>
      </w:tblGrid>
      <w:tr w:rsidR="009A72C5" w:rsidRPr="00D91AE9" w14:paraId="3C8B46C0" w14:textId="77777777" w:rsidTr="00BB1E8E">
        <w:trPr>
          <w:trHeight w:val="421"/>
          <w:jc w:val="center"/>
        </w:trPr>
        <w:tc>
          <w:tcPr>
            <w:tcW w:w="8914" w:type="dxa"/>
            <w:gridSpan w:val="9"/>
            <w:tcBorders>
              <w:top w:val="single" w:sz="4" w:space="0" w:color="auto"/>
              <w:left w:val="single" w:sz="4" w:space="0" w:color="auto"/>
              <w:bottom w:val="single" w:sz="4" w:space="0" w:color="auto"/>
              <w:right w:val="single" w:sz="4" w:space="0" w:color="auto"/>
            </w:tcBorders>
            <w:vAlign w:val="center"/>
          </w:tcPr>
          <w:p w14:paraId="44599A8F" w14:textId="77777777" w:rsidR="009A72C5" w:rsidRPr="00D91AE9" w:rsidRDefault="009A72C5" w:rsidP="00DD2EFA">
            <w:pPr>
              <w:rPr>
                <w:b/>
              </w:rPr>
            </w:pPr>
            <w:r w:rsidRPr="00D91AE9">
              <w:rPr>
                <w:b/>
              </w:rPr>
              <w:t>V. Tiesību akta projekta atbilstība Latvijas Republikas starptautiskajām saistībām</w:t>
            </w:r>
          </w:p>
        </w:tc>
      </w:tr>
      <w:tr w:rsidR="009A72C5" w:rsidRPr="00D91AE9" w14:paraId="5F57A7B1" w14:textId="77777777" w:rsidTr="00BB1E8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36" w:type="dxa"/>
            <w:tcBorders>
              <w:top w:val="outset" w:sz="6" w:space="0" w:color="auto"/>
              <w:left w:val="outset" w:sz="6" w:space="0" w:color="auto"/>
              <w:bottom w:val="outset" w:sz="6" w:space="0" w:color="auto"/>
              <w:right w:val="outset" w:sz="6" w:space="0" w:color="auto"/>
            </w:tcBorders>
          </w:tcPr>
          <w:p w14:paraId="462615AE" w14:textId="77777777" w:rsidR="009A72C5" w:rsidRPr="00D91AE9" w:rsidRDefault="009A72C5" w:rsidP="00DD2EFA">
            <w:r w:rsidRPr="00D91AE9">
              <w:t>1.</w:t>
            </w:r>
          </w:p>
        </w:tc>
        <w:tc>
          <w:tcPr>
            <w:tcW w:w="2765" w:type="dxa"/>
            <w:gridSpan w:val="3"/>
            <w:tcBorders>
              <w:top w:val="outset" w:sz="6" w:space="0" w:color="auto"/>
              <w:left w:val="outset" w:sz="6" w:space="0" w:color="auto"/>
              <w:bottom w:val="outset" w:sz="6" w:space="0" w:color="auto"/>
              <w:right w:val="outset" w:sz="6" w:space="0" w:color="auto"/>
            </w:tcBorders>
          </w:tcPr>
          <w:p w14:paraId="3E1A9D90" w14:textId="77777777" w:rsidR="009A72C5" w:rsidRPr="00D91AE9" w:rsidRDefault="009A72C5" w:rsidP="00DD2EFA">
            <w:r w:rsidRPr="00D91AE9">
              <w:t>Saistības pret Eiropas Savienību</w:t>
            </w:r>
          </w:p>
        </w:tc>
        <w:tc>
          <w:tcPr>
            <w:tcW w:w="5913" w:type="dxa"/>
            <w:gridSpan w:val="5"/>
            <w:tcBorders>
              <w:top w:val="outset" w:sz="6" w:space="0" w:color="auto"/>
              <w:left w:val="outset" w:sz="6" w:space="0" w:color="auto"/>
              <w:bottom w:val="outset" w:sz="6" w:space="0" w:color="auto"/>
              <w:right w:val="outset" w:sz="6" w:space="0" w:color="auto"/>
            </w:tcBorders>
          </w:tcPr>
          <w:p w14:paraId="271803D4" w14:textId="34505E87" w:rsidR="003774F4" w:rsidRPr="002A4D0D" w:rsidRDefault="00AA1184" w:rsidP="00AA1184">
            <w:pPr>
              <w:ind w:right="113"/>
              <w:jc w:val="both"/>
              <w:rPr>
                <w:color w:val="000000" w:themeColor="text1"/>
              </w:rPr>
            </w:pPr>
            <w:r w:rsidRPr="002A4D0D">
              <w:rPr>
                <w:color w:val="000000" w:themeColor="text1"/>
              </w:rPr>
              <w:t>Eiropas Parlamenta un Padomes 2013.gada 17.decembra regula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(turpmāk – Regula Nr.1303/2013).</w:t>
            </w:r>
          </w:p>
        </w:tc>
      </w:tr>
      <w:tr w:rsidR="009A72C5" w:rsidRPr="00D91AE9" w14:paraId="0D3BE2D4" w14:textId="77777777" w:rsidTr="00BB1E8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36" w:type="dxa"/>
            <w:tcBorders>
              <w:top w:val="outset" w:sz="6" w:space="0" w:color="auto"/>
              <w:left w:val="outset" w:sz="6" w:space="0" w:color="auto"/>
              <w:bottom w:val="outset" w:sz="6" w:space="0" w:color="auto"/>
              <w:right w:val="outset" w:sz="6" w:space="0" w:color="auto"/>
            </w:tcBorders>
          </w:tcPr>
          <w:p w14:paraId="40C91CAC" w14:textId="77777777" w:rsidR="009A72C5" w:rsidRPr="00D91AE9" w:rsidRDefault="009A72C5" w:rsidP="00DD2EFA">
            <w:r w:rsidRPr="00D91AE9">
              <w:lastRenderedPageBreak/>
              <w:t>2.</w:t>
            </w:r>
          </w:p>
        </w:tc>
        <w:tc>
          <w:tcPr>
            <w:tcW w:w="2765" w:type="dxa"/>
            <w:gridSpan w:val="3"/>
            <w:tcBorders>
              <w:top w:val="outset" w:sz="6" w:space="0" w:color="auto"/>
              <w:left w:val="outset" w:sz="6" w:space="0" w:color="auto"/>
              <w:bottom w:val="outset" w:sz="6" w:space="0" w:color="auto"/>
              <w:right w:val="outset" w:sz="6" w:space="0" w:color="auto"/>
            </w:tcBorders>
          </w:tcPr>
          <w:p w14:paraId="7E5DD77C" w14:textId="77777777" w:rsidR="009A72C5" w:rsidRPr="00D91AE9" w:rsidRDefault="009A72C5" w:rsidP="00DD2EFA">
            <w:r w:rsidRPr="00D91AE9">
              <w:t>Citas starptautiskās saistības</w:t>
            </w:r>
          </w:p>
        </w:tc>
        <w:tc>
          <w:tcPr>
            <w:tcW w:w="5913" w:type="dxa"/>
            <w:gridSpan w:val="5"/>
            <w:tcBorders>
              <w:top w:val="outset" w:sz="6" w:space="0" w:color="auto"/>
              <w:left w:val="outset" w:sz="6" w:space="0" w:color="auto"/>
              <w:bottom w:val="outset" w:sz="6" w:space="0" w:color="auto"/>
              <w:right w:val="outset" w:sz="6" w:space="0" w:color="auto"/>
            </w:tcBorders>
          </w:tcPr>
          <w:p w14:paraId="7120AA8D" w14:textId="77777777" w:rsidR="009A72C5" w:rsidRPr="002A4D0D" w:rsidRDefault="009A72C5" w:rsidP="00DD2EFA">
            <w:pPr>
              <w:ind w:left="57" w:right="113"/>
              <w:jc w:val="both"/>
              <w:rPr>
                <w:color w:val="000000" w:themeColor="text1"/>
              </w:rPr>
            </w:pPr>
            <w:r w:rsidRPr="002A4D0D">
              <w:rPr>
                <w:color w:val="000000" w:themeColor="text1"/>
              </w:rPr>
              <w:t>Noteikumu projekts šo jomu neskar.</w:t>
            </w:r>
          </w:p>
        </w:tc>
      </w:tr>
      <w:tr w:rsidR="009A72C5" w:rsidRPr="00D91AE9" w14:paraId="311F6AF0" w14:textId="77777777" w:rsidTr="00BB1E8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36" w:type="dxa"/>
            <w:tcBorders>
              <w:top w:val="outset" w:sz="6" w:space="0" w:color="auto"/>
              <w:left w:val="outset" w:sz="6" w:space="0" w:color="auto"/>
              <w:bottom w:val="outset" w:sz="6" w:space="0" w:color="auto"/>
              <w:right w:val="outset" w:sz="6" w:space="0" w:color="auto"/>
            </w:tcBorders>
          </w:tcPr>
          <w:p w14:paraId="4D799F61" w14:textId="77777777" w:rsidR="009A72C5" w:rsidRPr="00D91AE9" w:rsidRDefault="009A72C5" w:rsidP="00DD2EFA">
            <w:r w:rsidRPr="00D91AE9">
              <w:t>3.</w:t>
            </w:r>
          </w:p>
        </w:tc>
        <w:tc>
          <w:tcPr>
            <w:tcW w:w="2765" w:type="dxa"/>
            <w:gridSpan w:val="3"/>
            <w:tcBorders>
              <w:top w:val="outset" w:sz="6" w:space="0" w:color="auto"/>
              <w:left w:val="outset" w:sz="6" w:space="0" w:color="auto"/>
              <w:bottom w:val="outset" w:sz="6" w:space="0" w:color="auto"/>
              <w:right w:val="outset" w:sz="6" w:space="0" w:color="auto"/>
            </w:tcBorders>
          </w:tcPr>
          <w:p w14:paraId="4DE42733" w14:textId="77777777" w:rsidR="009A72C5" w:rsidRPr="00D91AE9" w:rsidRDefault="009A72C5" w:rsidP="00DD2EFA">
            <w:r w:rsidRPr="00D91AE9">
              <w:t>Cita informācija</w:t>
            </w:r>
          </w:p>
        </w:tc>
        <w:tc>
          <w:tcPr>
            <w:tcW w:w="5913" w:type="dxa"/>
            <w:gridSpan w:val="5"/>
            <w:tcBorders>
              <w:top w:val="outset" w:sz="6" w:space="0" w:color="auto"/>
              <w:left w:val="outset" w:sz="6" w:space="0" w:color="auto"/>
              <w:bottom w:val="outset" w:sz="6" w:space="0" w:color="auto"/>
              <w:right w:val="outset" w:sz="6" w:space="0" w:color="auto"/>
            </w:tcBorders>
          </w:tcPr>
          <w:p w14:paraId="734B8D48" w14:textId="77777777" w:rsidR="009A72C5" w:rsidRPr="002A4D0D" w:rsidRDefault="00AA1184" w:rsidP="00AA1184">
            <w:pPr>
              <w:ind w:left="57" w:right="113"/>
              <w:jc w:val="both"/>
              <w:rPr>
                <w:color w:val="000000" w:themeColor="text1"/>
              </w:rPr>
            </w:pPr>
            <w:r w:rsidRPr="002A4D0D">
              <w:rPr>
                <w:color w:val="000000" w:themeColor="text1"/>
              </w:rPr>
              <w:t>Saskaņā ar Darbības programmas „Izaugsme un nodarbinātība” 7.pielikumā „Koordinācija ar Eiropas Savienības stratēģiju Baltijas jūras reģionam minēto, 8.2.1. SAM ietvaros koordinācija ar ES stratēģiju Baltijas jūras reģionam nav paredzēta.</w:t>
            </w:r>
          </w:p>
          <w:p w14:paraId="08E59F56" w14:textId="46A6F68E" w:rsidR="00B22679" w:rsidRPr="002A4D0D" w:rsidRDefault="00023402" w:rsidP="00B22679">
            <w:pPr>
              <w:ind w:left="57" w:right="113"/>
              <w:jc w:val="both"/>
              <w:rPr>
                <w:color w:val="000000" w:themeColor="text1"/>
              </w:rPr>
            </w:pPr>
            <w:r w:rsidRPr="002A4D0D">
              <w:rPr>
                <w:color w:val="000000" w:themeColor="text1"/>
              </w:rPr>
              <w:t xml:space="preserve">Vienlaikus 8.2.1. SAM </w:t>
            </w:r>
            <w:r w:rsidR="004E14F1" w:rsidRPr="002A4D0D">
              <w:rPr>
                <w:color w:val="000000" w:themeColor="text1"/>
              </w:rPr>
              <w:t xml:space="preserve">īstenošana </w:t>
            </w:r>
            <w:r w:rsidRPr="002A4D0D">
              <w:rPr>
                <w:color w:val="000000" w:themeColor="text1"/>
              </w:rPr>
              <w:t>atbilst  ES stratēģij</w:t>
            </w:r>
            <w:r w:rsidR="00B22679" w:rsidRPr="002A4D0D">
              <w:rPr>
                <w:color w:val="000000" w:themeColor="text1"/>
              </w:rPr>
              <w:t>as</w:t>
            </w:r>
            <w:r w:rsidRPr="002A4D0D">
              <w:rPr>
                <w:color w:val="000000" w:themeColor="text1"/>
              </w:rPr>
              <w:t xml:space="preserve"> Baltijas jūras reģionam</w:t>
            </w:r>
            <w:r w:rsidR="00B22679" w:rsidRPr="002A4D0D">
              <w:rPr>
                <w:color w:val="000000" w:themeColor="text1"/>
              </w:rPr>
              <w:t xml:space="preserve"> (līdz 2020.gadam) izglītības politikas jomas darbības “Starptautiskā ekselence augstākajā izglītībā un zinātnē” apakšdarbībām:</w:t>
            </w:r>
          </w:p>
          <w:p w14:paraId="65BBF2DE" w14:textId="3C786420" w:rsidR="00023402" w:rsidRPr="002A4D0D" w:rsidRDefault="00B22679" w:rsidP="00B22679">
            <w:pPr>
              <w:pStyle w:val="ListParagraph"/>
              <w:numPr>
                <w:ilvl w:val="0"/>
                <w:numId w:val="24"/>
              </w:numPr>
              <w:ind w:right="113"/>
              <w:rPr>
                <w:color w:val="000000" w:themeColor="text1"/>
              </w:rPr>
            </w:pPr>
            <w:r w:rsidRPr="002A4D0D">
              <w:rPr>
                <w:color w:val="000000" w:themeColor="text1"/>
              </w:rPr>
              <w:t>veicināt sadarbību kopējās augstākās izglītības, zinātnes un pētniecības politikas īstenošanai Baltijas jūras reģionā;</w:t>
            </w:r>
          </w:p>
          <w:p w14:paraId="44C0BCFF" w14:textId="2D5DBEE1" w:rsidR="00B22679" w:rsidRPr="002A4D0D" w:rsidRDefault="00B22679" w:rsidP="00B22679">
            <w:pPr>
              <w:pStyle w:val="ListParagraph"/>
              <w:numPr>
                <w:ilvl w:val="0"/>
                <w:numId w:val="24"/>
              </w:numPr>
              <w:ind w:right="113"/>
              <w:rPr>
                <w:color w:val="000000" w:themeColor="text1"/>
              </w:rPr>
            </w:pPr>
            <w:r w:rsidRPr="002A4D0D">
              <w:rPr>
                <w:color w:val="000000" w:themeColor="text1"/>
              </w:rPr>
              <w:t>piesaistīt studentus un pētniekus ārpus Baltijas jūras reģiona augstākās izglītības iegūšanai un pētnieciskās darbības veikšanai reģionā.</w:t>
            </w:r>
          </w:p>
        </w:tc>
      </w:tr>
      <w:tr w:rsidR="009A72C5" w:rsidRPr="00D91AE9" w14:paraId="391FD11E" w14:textId="77777777" w:rsidTr="00BB1E8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364"/>
          <w:jc w:val="center"/>
        </w:trPr>
        <w:tc>
          <w:tcPr>
            <w:tcW w:w="8914" w:type="dxa"/>
            <w:gridSpan w:val="9"/>
            <w:tcBorders>
              <w:top w:val="outset" w:sz="6" w:space="0" w:color="auto"/>
              <w:left w:val="outset" w:sz="6" w:space="0" w:color="auto"/>
              <w:bottom w:val="outset" w:sz="6" w:space="0" w:color="auto"/>
              <w:right w:val="outset" w:sz="6" w:space="0" w:color="auto"/>
            </w:tcBorders>
            <w:vAlign w:val="center"/>
          </w:tcPr>
          <w:p w14:paraId="1D564D09" w14:textId="76612C26" w:rsidR="009A72C5" w:rsidRPr="00D91AE9" w:rsidRDefault="009A72C5" w:rsidP="00DD2EFA">
            <w:pPr>
              <w:rPr>
                <w:b/>
              </w:rPr>
            </w:pPr>
            <w:r w:rsidRPr="00D91AE9">
              <w:rPr>
                <w:b/>
              </w:rPr>
              <w:t>1.tabula</w:t>
            </w:r>
          </w:p>
          <w:p w14:paraId="12D60F90" w14:textId="77777777" w:rsidR="009A72C5" w:rsidRPr="00D91AE9" w:rsidRDefault="009A72C5" w:rsidP="00DD2EFA">
            <w:r w:rsidRPr="00D91AE9">
              <w:rPr>
                <w:b/>
              </w:rPr>
              <w:t>Tiesību akta projekta atbilstība ES tiesību aktiem</w:t>
            </w:r>
          </w:p>
        </w:tc>
      </w:tr>
      <w:tr w:rsidR="009A72C5" w:rsidRPr="00D91AE9" w14:paraId="50CA1F8A" w14:textId="77777777" w:rsidTr="00BB1E8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397" w:type="dxa"/>
            <w:gridSpan w:val="2"/>
            <w:tcBorders>
              <w:top w:val="outset" w:sz="6" w:space="0" w:color="auto"/>
              <w:left w:val="outset" w:sz="6" w:space="0" w:color="auto"/>
              <w:bottom w:val="outset" w:sz="6" w:space="0" w:color="auto"/>
              <w:right w:val="single" w:sz="4" w:space="0" w:color="auto"/>
            </w:tcBorders>
          </w:tcPr>
          <w:p w14:paraId="14A64285" w14:textId="77777777" w:rsidR="009A72C5" w:rsidRPr="00D91AE9" w:rsidRDefault="009A72C5" w:rsidP="00DD2EFA">
            <w:r w:rsidRPr="00D91AE9">
              <w:t>Attiecīgā ES tiesību akta datums, numurs un nosaukums</w:t>
            </w:r>
          </w:p>
        </w:tc>
        <w:tc>
          <w:tcPr>
            <w:tcW w:w="4672" w:type="dxa"/>
            <w:gridSpan w:val="6"/>
            <w:tcBorders>
              <w:top w:val="single" w:sz="4" w:space="0" w:color="auto"/>
              <w:left w:val="single" w:sz="4" w:space="0" w:color="auto"/>
              <w:bottom w:val="single" w:sz="4" w:space="0" w:color="auto"/>
            </w:tcBorders>
          </w:tcPr>
          <w:p w14:paraId="6CDDC792" w14:textId="5593B86E" w:rsidR="004D6858" w:rsidRPr="002A4D0D" w:rsidRDefault="00AC56C6" w:rsidP="00DD2EFA">
            <w:pPr>
              <w:rPr>
                <w:color w:val="000000" w:themeColor="text1"/>
              </w:rPr>
            </w:pPr>
            <w:r w:rsidRPr="002A4D0D">
              <w:rPr>
                <w:color w:val="000000" w:themeColor="text1"/>
              </w:rPr>
              <w:t>Regula Nr.1303/2013.</w:t>
            </w:r>
          </w:p>
        </w:tc>
        <w:tc>
          <w:tcPr>
            <w:tcW w:w="1845" w:type="dxa"/>
          </w:tcPr>
          <w:p w14:paraId="133E1C23" w14:textId="77777777" w:rsidR="009A72C5" w:rsidRPr="00D91AE9" w:rsidRDefault="009A72C5" w:rsidP="00DD2EFA"/>
        </w:tc>
      </w:tr>
      <w:tr w:rsidR="009A72C5" w:rsidRPr="00D91AE9" w14:paraId="126B0294" w14:textId="77777777" w:rsidTr="00BB1E8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397" w:type="dxa"/>
            <w:gridSpan w:val="2"/>
            <w:tcBorders>
              <w:top w:val="outset" w:sz="6" w:space="0" w:color="auto"/>
              <w:left w:val="outset" w:sz="6" w:space="0" w:color="auto"/>
              <w:bottom w:val="outset" w:sz="6" w:space="0" w:color="auto"/>
              <w:right w:val="outset" w:sz="6" w:space="0" w:color="auto"/>
            </w:tcBorders>
            <w:vAlign w:val="center"/>
          </w:tcPr>
          <w:p w14:paraId="7528CD24" w14:textId="5588267F" w:rsidR="009A72C5" w:rsidRPr="00D91AE9" w:rsidRDefault="009A72C5" w:rsidP="00DD2EFA">
            <w:r w:rsidRPr="00D91AE9">
              <w:t>A</w:t>
            </w:r>
          </w:p>
        </w:tc>
        <w:tc>
          <w:tcPr>
            <w:tcW w:w="2376" w:type="dxa"/>
            <w:gridSpan w:val="3"/>
            <w:tcBorders>
              <w:top w:val="outset" w:sz="6" w:space="0" w:color="auto"/>
              <w:left w:val="outset" w:sz="6" w:space="0" w:color="auto"/>
              <w:bottom w:val="outset" w:sz="6" w:space="0" w:color="auto"/>
              <w:right w:val="outset" w:sz="6" w:space="0" w:color="auto"/>
            </w:tcBorders>
            <w:vAlign w:val="center"/>
          </w:tcPr>
          <w:p w14:paraId="3952E061" w14:textId="77777777" w:rsidR="009A72C5" w:rsidRPr="00D91AE9" w:rsidRDefault="009A72C5" w:rsidP="00DD2EFA">
            <w:r w:rsidRPr="00D91AE9">
              <w:t>B</w:t>
            </w:r>
          </w:p>
        </w:tc>
        <w:tc>
          <w:tcPr>
            <w:tcW w:w="2176" w:type="dxa"/>
            <w:gridSpan w:val="2"/>
            <w:tcBorders>
              <w:top w:val="outset" w:sz="6" w:space="0" w:color="auto"/>
              <w:left w:val="outset" w:sz="6" w:space="0" w:color="auto"/>
              <w:bottom w:val="outset" w:sz="6" w:space="0" w:color="auto"/>
              <w:right w:val="outset" w:sz="6" w:space="0" w:color="auto"/>
            </w:tcBorders>
            <w:vAlign w:val="center"/>
          </w:tcPr>
          <w:p w14:paraId="3B76BE48" w14:textId="77777777" w:rsidR="009A72C5" w:rsidRPr="00D91AE9" w:rsidRDefault="009A72C5" w:rsidP="00DD2EFA">
            <w:r w:rsidRPr="00D91AE9">
              <w:t>C</w:t>
            </w:r>
          </w:p>
        </w:tc>
        <w:tc>
          <w:tcPr>
            <w:tcW w:w="1965" w:type="dxa"/>
            <w:gridSpan w:val="2"/>
            <w:tcBorders>
              <w:top w:val="outset" w:sz="6" w:space="0" w:color="auto"/>
              <w:left w:val="outset" w:sz="6" w:space="0" w:color="auto"/>
              <w:bottom w:val="outset" w:sz="6" w:space="0" w:color="auto"/>
              <w:right w:val="outset" w:sz="6" w:space="0" w:color="auto"/>
            </w:tcBorders>
            <w:vAlign w:val="center"/>
          </w:tcPr>
          <w:p w14:paraId="556EB037" w14:textId="77777777" w:rsidR="009A72C5" w:rsidRPr="00D91AE9" w:rsidRDefault="009A72C5" w:rsidP="00DD2EFA">
            <w:r w:rsidRPr="00D91AE9">
              <w:t>D</w:t>
            </w:r>
          </w:p>
        </w:tc>
      </w:tr>
      <w:tr w:rsidR="009A72C5" w:rsidRPr="00D91AE9" w14:paraId="6071ECEF" w14:textId="77777777" w:rsidTr="00BB1E8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397" w:type="dxa"/>
            <w:gridSpan w:val="2"/>
            <w:tcBorders>
              <w:top w:val="outset" w:sz="6" w:space="0" w:color="auto"/>
              <w:left w:val="outset" w:sz="6" w:space="0" w:color="auto"/>
              <w:bottom w:val="outset" w:sz="6" w:space="0" w:color="auto"/>
              <w:right w:val="outset" w:sz="6" w:space="0" w:color="auto"/>
            </w:tcBorders>
          </w:tcPr>
          <w:p w14:paraId="2E4E9E04" w14:textId="77777777" w:rsidR="009A72C5" w:rsidRPr="00D91AE9" w:rsidRDefault="009A72C5" w:rsidP="00DD2EFA">
            <w:r w:rsidRPr="00D91AE9">
              <w:t>Attiecīgā ES tiesību akta panta numurs (uzskaitot katru tiesību akta vienību – pantu, daļu, punktu, apakšpunktu)</w:t>
            </w:r>
          </w:p>
        </w:tc>
        <w:tc>
          <w:tcPr>
            <w:tcW w:w="2376" w:type="dxa"/>
            <w:gridSpan w:val="3"/>
            <w:tcBorders>
              <w:top w:val="outset" w:sz="6" w:space="0" w:color="auto"/>
              <w:left w:val="outset" w:sz="6" w:space="0" w:color="auto"/>
              <w:bottom w:val="outset" w:sz="6" w:space="0" w:color="auto"/>
              <w:right w:val="outset" w:sz="6" w:space="0" w:color="auto"/>
            </w:tcBorders>
          </w:tcPr>
          <w:p w14:paraId="1910C66A" w14:textId="77777777" w:rsidR="009A72C5" w:rsidRPr="00D91AE9" w:rsidRDefault="009A72C5" w:rsidP="00DD2EFA">
            <w:r w:rsidRPr="00D91AE9">
              <w:t>Projekta vienība, kas pārņem vai ievieš katru šīs tabulas A ailē minēto ES tiesību akta vienību, vai tiesību akts, kur attiecīgā ES tiesību akta vienība pārņemta vai ieviesta</w:t>
            </w:r>
          </w:p>
        </w:tc>
        <w:tc>
          <w:tcPr>
            <w:tcW w:w="2176" w:type="dxa"/>
            <w:gridSpan w:val="2"/>
            <w:tcBorders>
              <w:top w:val="outset" w:sz="6" w:space="0" w:color="auto"/>
              <w:left w:val="outset" w:sz="6" w:space="0" w:color="auto"/>
              <w:bottom w:val="outset" w:sz="6" w:space="0" w:color="auto"/>
              <w:right w:val="outset" w:sz="6" w:space="0" w:color="auto"/>
            </w:tcBorders>
          </w:tcPr>
          <w:p w14:paraId="33988482" w14:textId="77777777" w:rsidR="009A72C5" w:rsidRPr="00D91AE9" w:rsidRDefault="009A72C5" w:rsidP="00DD2EFA">
            <w:r w:rsidRPr="00D91AE9">
              <w:t>Informācija par to, vai šīs tabulas A ailē minētās ES tiesību akta vienības tiek pārņemtas vai ieviestas pilnībā vai daļēji.</w:t>
            </w:r>
          </w:p>
          <w:p w14:paraId="7D204B4F" w14:textId="77777777" w:rsidR="009A72C5" w:rsidRPr="00D91AE9" w:rsidRDefault="009A72C5" w:rsidP="00DD2EFA">
            <w:r w:rsidRPr="00D91AE9">
              <w:t>Ja attiecīgā ES tiesību akta vienība tiek pārņemta vai ieviesta daļēji, sniedz attiecīgu skaidrojumu, kā arī precīzi norāda, kad un kādā veidā ES tiesību akta vienība tiks pārņemta vai ieviesta pilnībā.</w:t>
            </w:r>
          </w:p>
          <w:p w14:paraId="5AF61EF7" w14:textId="77777777" w:rsidR="009A72C5" w:rsidRPr="00D91AE9" w:rsidRDefault="009A72C5" w:rsidP="00DD2EFA">
            <w:r w:rsidRPr="00D91AE9">
              <w:t>Norāda institūciju, kas ir atbildīga par šo saistību izpildi pilnībā</w:t>
            </w:r>
          </w:p>
        </w:tc>
        <w:tc>
          <w:tcPr>
            <w:tcW w:w="1965" w:type="dxa"/>
            <w:gridSpan w:val="2"/>
            <w:tcBorders>
              <w:top w:val="outset" w:sz="6" w:space="0" w:color="auto"/>
              <w:left w:val="outset" w:sz="6" w:space="0" w:color="auto"/>
              <w:bottom w:val="outset" w:sz="6" w:space="0" w:color="auto"/>
              <w:right w:val="outset" w:sz="6" w:space="0" w:color="auto"/>
            </w:tcBorders>
          </w:tcPr>
          <w:p w14:paraId="2F0EE0F1" w14:textId="77777777" w:rsidR="009A72C5" w:rsidRPr="00D91AE9" w:rsidRDefault="009A72C5" w:rsidP="00DD2EFA">
            <w:r w:rsidRPr="00D91AE9">
              <w:t>Informācija par to, vai šīs tabulas B ailē minētās projekta vienības paredz stingrākas prasības nekā šīs tabulas A ailē minētās ES tiesību akta vienības.</w:t>
            </w:r>
          </w:p>
          <w:p w14:paraId="68D85703" w14:textId="77777777" w:rsidR="009A72C5" w:rsidRPr="00D91AE9" w:rsidRDefault="009A72C5" w:rsidP="00DD2EFA">
            <w:r w:rsidRPr="00D91AE9">
              <w:t>Ja projekts satur stingrā</w:t>
            </w:r>
            <w:r w:rsidRPr="00D91AE9">
              <w:softHyphen/>
              <w:t>kas prasības nekā attie</w:t>
            </w:r>
            <w:r w:rsidRPr="00D91AE9">
              <w:softHyphen/>
              <w:t>cīgais ES tiesību akts, norāda pamatojumu un samērīgumu.</w:t>
            </w:r>
          </w:p>
          <w:p w14:paraId="4E8F09A5" w14:textId="77777777" w:rsidR="009A72C5" w:rsidRPr="00D91AE9" w:rsidRDefault="009A72C5" w:rsidP="00DD2EFA">
            <w:r w:rsidRPr="00D91AE9">
              <w:t xml:space="preserve">Norāda iespējamās alternatīvas (t.sk. alternatīvas, kas neparedz tiesiskā regulējuma izstrādi) – kādos gadījumos būtu iespējams </w:t>
            </w:r>
            <w:r w:rsidRPr="00D91AE9">
              <w:lastRenderedPageBreak/>
              <w:t>izvairīties no stingrāku prasību noteikšanas, nekā paredzēts attiecīgajos ES tiesību aktos</w:t>
            </w:r>
          </w:p>
        </w:tc>
      </w:tr>
      <w:tr w:rsidR="003B3A52" w:rsidRPr="00D91AE9" w14:paraId="11268695" w14:textId="77777777" w:rsidTr="007D18F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397" w:type="dxa"/>
            <w:gridSpan w:val="2"/>
            <w:tcBorders>
              <w:top w:val="outset" w:sz="6" w:space="0" w:color="auto"/>
              <w:left w:val="outset" w:sz="6" w:space="0" w:color="auto"/>
              <w:bottom w:val="outset" w:sz="6" w:space="0" w:color="auto"/>
              <w:right w:val="outset" w:sz="6" w:space="0" w:color="auto"/>
            </w:tcBorders>
          </w:tcPr>
          <w:p w14:paraId="08D2680B" w14:textId="5A4CC3BD" w:rsidR="003B3A52" w:rsidRPr="00DB2C3C" w:rsidRDefault="003B3A52" w:rsidP="00DB2C3C">
            <w:pPr>
              <w:spacing w:before="10"/>
              <w:ind w:left="113" w:right="113"/>
              <w:jc w:val="both"/>
            </w:pPr>
            <w:r w:rsidRPr="00DB2C3C">
              <w:lastRenderedPageBreak/>
              <w:t>Regulas Nr.</w:t>
            </w:r>
            <w:r w:rsidR="00D315A7" w:rsidRPr="00DB2C3C">
              <w:t xml:space="preserve"> 1303/2013. </w:t>
            </w:r>
            <w:r w:rsidR="00DB2C3C" w:rsidRPr="00DB2C3C">
              <w:t>XII pielikuma 2.2.apakšpunkts</w:t>
            </w:r>
            <w:r w:rsidR="00DB2C3C">
              <w:t>.</w:t>
            </w:r>
          </w:p>
        </w:tc>
        <w:tc>
          <w:tcPr>
            <w:tcW w:w="2376" w:type="dxa"/>
            <w:gridSpan w:val="3"/>
            <w:tcBorders>
              <w:top w:val="outset" w:sz="6" w:space="0" w:color="auto"/>
              <w:left w:val="outset" w:sz="6" w:space="0" w:color="auto"/>
              <w:bottom w:val="outset" w:sz="6" w:space="0" w:color="auto"/>
              <w:right w:val="outset" w:sz="6" w:space="0" w:color="auto"/>
            </w:tcBorders>
          </w:tcPr>
          <w:p w14:paraId="0AEE1FD4" w14:textId="244732E4" w:rsidR="003B3A52" w:rsidRPr="00DB2C3C" w:rsidRDefault="003B3A52" w:rsidP="0098637E">
            <w:pPr>
              <w:spacing w:before="10"/>
              <w:ind w:left="113" w:right="113"/>
              <w:jc w:val="both"/>
            </w:pPr>
            <w:r w:rsidRPr="007D18FC">
              <w:t xml:space="preserve">Noteikumu projekta </w:t>
            </w:r>
            <w:r w:rsidR="0098637E">
              <w:t>40</w:t>
            </w:r>
            <w:r w:rsidR="00DB2C3C" w:rsidRPr="007D18FC">
              <w:t>.</w:t>
            </w:r>
            <w:r w:rsidRPr="007D18FC">
              <w:t>punkts</w:t>
            </w:r>
            <w:r w:rsidR="00DB2C3C">
              <w:t>.</w:t>
            </w:r>
          </w:p>
        </w:tc>
        <w:tc>
          <w:tcPr>
            <w:tcW w:w="2176" w:type="dxa"/>
            <w:gridSpan w:val="2"/>
            <w:tcBorders>
              <w:top w:val="outset" w:sz="6" w:space="0" w:color="auto"/>
              <w:left w:val="outset" w:sz="6" w:space="0" w:color="auto"/>
              <w:bottom w:val="outset" w:sz="6" w:space="0" w:color="auto"/>
              <w:right w:val="outset" w:sz="6" w:space="0" w:color="auto"/>
            </w:tcBorders>
          </w:tcPr>
          <w:p w14:paraId="6C47B379" w14:textId="6BE37ED5" w:rsidR="003B3A52" w:rsidRPr="00DB2C3C" w:rsidRDefault="00D315A7" w:rsidP="00D315A7">
            <w:pPr>
              <w:spacing w:before="10"/>
              <w:ind w:left="113" w:right="113"/>
              <w:jc w:val="both"/>
            </w:pPr>
            <w:r w:rsidRPr="00DB2C3C">
              <w:t>Vienība tiek ieviesta pilnībā. Atbildīgā institūcija –finansējuma saņēmējs</w:t>
            </w:r>
            <w:r w:rsidR="00DB2C3C" w:rsidRPr="00DB2C3C">
              <w:t>.</w:t>
            </w:r>
          </w:p>
        </w:tc>
        <w:tc>
          <w:tcPr>
            <w:tcW w:w="1965" w:type="dxa"/>
            <w:gridSpan w:val="2"/>
            <w:tcBorders>
              <w:top w:val="outset" w:sz="6" w:space="0" w:color="auto"/>
              <w:left w:val="outset" w:sz="6" w:space="0" w:color="auto"/>
              <w:bottom w:val="outset" w:sz="6" w:space="0" w:color="auto"/>
              <w:right w:val="outset" w:sz="6" w:space="0" w:color="auto"/>
            </w:tcBorders>
          </w:tcPr>
          <w:p w14:paraId="15BD1049" w14:textId="07E2B63E" w:rsidR="003B3A52" w:rsidRPr="00DB2C3C" w:rsidRDefault="00DB2C3C" w:rsidP="003B3A52">
            <w:pPr>
              <w:spacing w:before="10"/>
              <w:ind w:left="113" w:right="113"/>
              <w:jc w:val="both"/>
            </w:pPr>
            <w:r w:rsidRPr="00DB2C3C">
              <w:t>N</w:t>
            </w:r>
            <w:r w:rsidR="003B3A52" w:rsidRPr="00DB2C3C">
              <w:t>eparedz stingrākas prasības</w:t>
            </w:r>
            <w:r w:rsidRPr="00DB2C3C">
              <w:t>.</w:t>
            </w:r>
          </w:p>
        </w:tc>
      </w:tr>
      <w:tr w:rsidR="00526EDD" w:rsidRPr="00D91AE9" w14:paraId="40A26DDA" w14:textId="77777777" w:rsidTr="00BB1E8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397" w:type="dxa"/>
            <w:gridSpan w:val="2"/>
            <w:tcBorders>
              <w:top w:val="outset" w:sz="6" w:space="0" w:color="auto"/>
              <w:left w:val="outset" w:sz="6" w:space="0" w:color="auto"/>
              <w:bottom w:val="outset" w:sz="6" w:space="0" w:color="auto"/>
              <w:right w:val="outset" w:sz="6" w:space="0" w:color="auto"/>
            </w:tcBorders>
          </w:tcPr>
          <w:p w14:paraId="3EA41C5D" w14:textId="77777777" w:rsidR="00526EDD" w:rsidRPr="00526EDD" w:rsidRDefault="00526EDD" w:rsidP="00526EDD">
            <w:r w:rsidRPr="00526EDD">
              <w:t>Kā ir izmantota ES tiesību aktā paredzētā rīcības brīvība dalīb</w:t>
            </w:r>
            <w:r w:rsidRPr="00526EDD">
              <w:softHyphen/>
              <w:t>valstij pārņemt vai ieviest noteiktas ES tiesību akta normas?</w:t>
            </w:r>
          </w:p>
          <w:p w14:paraId="38E10476" w14:textId="77777777" w:rsidR="00526EDD" w:rsidRPr="00526EDD" w:rsidRDefault="00526EDD" w:rsidP="00526EDD">
            <w:r w:rsidRPr="00526EDD">
              <w:t>Kādēļ?</w:t>
            </w:r>
          </w:p>
        </w:tc>
        <w:tc>
          <w:tcPr>
            <w:tcW w:w="6517" w:type="dxa"/>
            <w:gridSpan w:val="7"/>
            <w:tcBorders>
              <w:top w:val="outset" w:sz="6" w:space="0" w:color="auto"/>
              <w:left w:val="outset" w:sz="6" w:space="0" w:color="auto"/>
              <w:bottom w:val="outset" w:sz="6" w:space="0" w:color="auto"/>
              <w:right w:val="outset" w:sz="6" w:space="0" w:color="auto"/>
            </w:tcBorders>
          </w:tcPr>
          <w:p w14:paraId="2B74F331" w14:textId="77777777" w:rsidR="00526EDD" w:rsidRPr="00526EDD" w:rsidRDefault="00526EDD" w:rsidP="00526EDD">
            <w:r w:rsidRPr="00526EDD">
              <w:t>Noteikumu projekts šo jomu neskar.</w:t>
            </w:r>
          </w:p>
        </w:tc>
      </w:tr>
      <w:tr w:rsidR="00526EDD" w:rsidRPr="00D91AE9" w14:paraId="4BD8999B" w14:textId="77777777" w:rsidTr="00BB1E8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397" w:type="dxa"/>
            <w:gridSpan w:val="2"/>
            <w:tcBorders>
              <w:top w:val="outset" w:sz="6" w:space="0" w:color="auto"/>
              <w:left w:val="outset" w:sz="6" w:space="0" w:color="auto"/>
              <w:bottom w:val="outset" w:sz="6" w:space="0" w:color="auto"/>
              <w:right w:val="outset" w:sz="6" w:space="0" w:color="auto"/>
            </w:tcBorders>
          </w:tcPr>
          <w:p w14:paraId="325D0FE0" w14:textId="77777777" w:rsidR="00526EDD" w:rsidRPr="00D91AE9" w:rsidRDefault="00526EDD" w:rsidP="00526EDD">
            <w:r w:rsidRPr="00D91AE9">
              <w:t>Saistības sniegt paziņojumu ES insti</w:t>
            </w:r>
            <w:r w:rsidRPr="00D91AE9">
              <w:softHyphen/>
              <w:t>tūcijām un ES dalīb</w:t>
            </w:r>
            <w:r w:rsidRPr="00D91AE9">
              <w:softHyphen/>
              <w:t>valstīm atbilstoši normatīvajiem aktiem, kas regulē informācijas sniegšanu par tehnisko noteikumu, valsts atbalsta piešķir</w:t>
            </w:r>
            <w:r w:rsidRPr="00D91AE9">
              <w:softHyphen/>
              <w:t>šanas un finanšu noteikumu (attiecībā uz monetāro politiku) projektiem</w:t>
            </w:r>
          </w:p>
        </w:tc>
        <w:tc>
          <w:tcPr>
            <w:tcW w:w="6517" w:type="dxa"/>
            <w:gridSpan w:val="7"/>
            <w:tcBorders>
              <w:top w:val="outset" w:sz="6" w:space="0" w:color="auto"/>
              <w:left w:val="outset" w:sz="6" w:space="0" w:color="auto"/>
              <w:bottom w:val="outset" w:sz="6" w:space="0" w:color="auto"/>
              <w:right w:val="outset" w:sz="6" w:space="0" w:color="auto"/>
            </w:tcBorders>
          </w:tcPr>
          <w:p w14:paraId="3736C963" w14:textId="7A15FD4C" w:rsidR="00526EDD" w:rsidRPr="00D91AE9" w:rsidRDefault="00D315A7" w:rsidP="00526EDD">
            <w:pPr>
              <w:ind w:right="85"/>
              <w:jc w:val="both"/>
            </w:pPr>
            <w:r w:rsidRPr="00D315A7">
              <w:rPr>
                <w:iCs/>
              </w:rPr>
              <w:t>Noteikumu projekts šo jomu neskar.</w:t>
            </w:r>
          </w:p>
        </w:tc>
      </w:tr>
      <w:tr w:rsidR="00526EDD" w:rsidRPr="00D91AE9" w14:paraId="1F3DFA06" w14:textId="77777777" w:rsidTr="00BB1E8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397" w:type="dxa"/>
            <w:gridSpan w:val="2"/>
            <w:tcBorders>
              <w:top w:val="outset" w:sz="6" w:space="0" w:color="auto"/>
              <w:left w:val="outset" w:sz="6" w:space="0" w:color="auto"/>
              <w:bottom w:val="outset" w:sz="6" w:space="0" w:color="auto"/>
              <w:right w:val="outset" w:sz="6" w:space="0" w:color="auto"/>
            </w:tcBorders>
          </w:tcPr>
          <w:p w14:paraId="4F89A374" w14:textId="77777777" w:rsidR="00526EDD" w:rsidRPr="00D91AE9" w:rsidRDefault="00526EDD" w:rsidP="00526EDD">
            <w:r w:rsidRPr="00D91AE9">
              <w:t>Cita informācija</w:t>
            </w:r>
          </w:p>
        </w:tc>
        <w:tc>
          <w:tcPr>
            <w:tcW w:w="6517" w:type="dxa"/>
            <w:gridSpan w:val="7"/>
            <w:tcBorders>
              <w:top w:val="outset" w:sz="6" w:space="0" w:color="auto"/>
              <w:left w:val="outset" w:sz="6" w:space="0" w:color="auto"/>
              <w:bottom w:val="outset" w:sz="6" w:space="0" w:color="auto"/>
              <w:right w:val="outset" w:sz="6" w:space="0" w:color="auto"/>
            </w:tcBorders>
          </w:tcPr>
          <w:p w14:paraId="6E50724E" w14:textId="55D9A49C" w:rsidR="00526EDD" w:rsidRPr="007D18FC" w:rsidRDefault="00526EDD" w:rsidP="00526EDD">
            <w:pPr>
              <w:ind w:right="85"/>
              <w:jc w:val="both"/>
              <w:rPr>
                <w:highlight w:val="yellow"/>
              </w:rPr>
            </w:pPr>
            <w:r w:rsidRPr="007D18FC">
              <w:t>Nav</w:t>
            </w:r>
            <w:r w:rsidR="00DB2C3C">
              <w:t>.</w:t>
            </w:r>
          </w:p>
        </w:tc>
      </w:tr>
      <w:tr w:rsidR="00526EDD" w:rsidRPr="00D91AE9" w14:paraId="6B94B16B" w14:textId="77777777" w:rsidTr="00BB1E8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8914" w:type="dxa"/>
            <w:gridSpan w:val="9"/>
            <w:tcBorders>
              <w:top w:val="outset" w:sz="6" w:space="0" w:color="auto"/>
              <w:left w:val="outset" w:sz="6" w:space="0" w:color="auto"/>
              <w:bottom w:val="outset" w:sz="6" w:space="0" w:color="auto"/>
              <w:right w:val="outset" w:sz="6" w:space="0" w:color="auto"/>
            </w:tcBorders>
            <w:vAlign w:val="center"/>
          </w:tcPr>
          <w:p w14:paraId="27AD6A02" w14:textId="77777777" w:rsidR="00526EDD" w:rsidRPr="00D91AE9" w:rsidRDefault="00526EDD" w:rsidP="00526EDD">
            <w:pPr>
              <w:jc w:val="both"/>
              <w:rPr>
                <w:b/>
              </w:rPr>
            </w:pPr>
            <w:r w:rsidRPr="00D91AE9">
              <w:rPr>
                <w:b/>
              </w:rPr>
              <w:t>2.tabula</w:t>
            </w:r>
          </w:p>
          <w:p w14:paraId="42C8A08C" w14:textId="77777777" w:rsidR="00526EDD" w:rsidRPr="00D91AE9" w:rsidRDefault="00526EDD" w:rsidP="00526EDD">
            <w:pPr>
              <w:jc w:val="both"/>
              <w:rPr>
                <w:b/>
              </w:rPr>
            </w:pPr>
            <w:r w:rsidRPr="00D91AE9">
              <w:rPr>
                <w:b/>
              </w:rPr>
              <w:t>Ar tiesību akta projektu izpildītās vai uzņemtās saistības, kas izriet no starptautiskajiem tiesību aktiem vai starptautiskas institūcijas vai organizācijas dokumentiem.</w:t>
            </w:r>
          </w:p>
          <w:p w14:paraId="25C40230" w14:textId="77777777" w:rsidR="00526EDD" w:rsidRPr="00D91AE9" w:rsidRDefault="00526EDD" w:rsidP="00526EDD">
            <w:pPr>
              <w:jc w:val="both"/>
              <w:rPr>
                <w:b/>
              </w:rPr>
            </w:pPr>
            <w:r w:rsidRPr="00D91AE9">
              <w:rPr>
                <w:b/>
              </w:rPr>
              <w:t>Pasākumi šo saistību izpildei</w:t>
            </w:r>
          </w:p>
        </w:tc>
      </w:tr>
      <w:tr w:rsidR="00526EDD" w:rsidRPr="00D91AE9" w14:paraId="2DBD6820" w14:textId="77777777" w:rsidTr="00BB1E8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595" w:type="dxa"/>
            <w:gridSpan w:val="3"/>
            <w:tcBorders>
              <w:top w:val="outset" w:sz="6" w:space="0" w:color="auto"/>
              <w:left w:val="outset" w:sz="6" w:space="0" w:color="auto"/>
              <w:bottom w:val="outset" w:sz="6" w:space="0" w:color="auto"/>
              <w:right w:val="outset" w:sz="6" w:space="0" w:color="auto"/>
            </w:tcBorders>
            <w:vAlign w:val="center"/>
          </w:tcPr>
          <w:p w14:paraId="426748BD" w14:textId="77777777" w:rsidR="00526EDD" w:rsidRPr="00D91AE9" w:rsidRDefault="00526EDD" w:rsidP="00526EDD">
            <w:r w:rsidRPr="00D91AE9">
              <w:t>Attiecīgā starptautiskā tiesību akta vai starptautiskas institūcijas vai organizācijas dokumenta (turpmāk – starptautiskais dokuments) datums, numurs un nosaukums</w:t>
            </w:r>
          </w:p>
        </w:tc>
        <w:tc>
          <w:tcPr>
            <w:tcW w:w="6319" w:type="dxa"/>
            <w:gridSpan w:val="6"/>
            <w:tcBorders>
              <w:top w:val="outset" w:sz="6" w:space="0" w:color="auto"/>
              <w:left w:val="outset" w:sz="6" w:space="0" w:color="auto"/>
              <w:bottom w:val="outset" w:sz="6" w:space="0" w:color="auto"/>
              <w:right w:val="outset" w:sz="6" w:space="0" w:color="auto"/>
            </w:tcBorders>
          </w:tcPr>
          <w:p w14:paraId="0F5E3FAC" w14:textId="77777777" w:rsidR="00526EDD" w:rsidRPr="00D91AE9" w:rsidRDefault="00526EDD" w:rsidP="00526EDD">
            <w:r w:rsidRPr="00D91AE9">
              <w:t>Noteikumu projekts šo jomu neskar.</w:t>
            </w:r>
          </w:p>
        </w:tc>
      </w:tr>
      <w:tr w:rsidR="00526EDD" w:rsidRPr="00D91AE9" w14:paraId="2DB18784" w14:textId="77777777" w:rsidTr="00BB1E8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595" w:type="dxa"/>
            <w:gridSpan w:val="3"/>
            <w:tcBorders>
              <w:top w:val="outset" w:sz="6" w:space="0" w:color="auto"/>
              <w:left w:val="outset" w:sz="6" w:space="0" w:color="auto"/>
              <w:bottom w:val="outset" w:sz="6" w:space="0" w:color="auto"/>
              <w:right w:val="outset" w:sz="6" w:space="0" w:color="auto"/>
            </w:tcBorders>
            <w:vAlign w:val="center"/>
          </w:tcPr>
          <w:p w14:paraId="565067C5" w14:textId="77777777" w:rsidR="00526EDD" w:rsidRPr="00D91AE9" w:rsidRDefault="00526EDD" w:rsidP="00526EDD">
            <w:r w:rsidRPr="00D91AE9">
              <w:lastRenderedPageBreak/>
              <w:t>A</w:t>
            </w:r>
          </w:p>
        </w:tc>
        <w:tc>
          <w:tcPr>
            <w:tcW w:w="3537" w:type="dxa"/>
            <w:gridSpan w:val="3"/>
            <w:tcBorders>
              <w:top w:val="outset" w:sz="6" w:space="0" w:color="auto"/>
              <w:left w:val="outset" w:sz="6" w:space="0" w:color="auto"/>
              <w:bottom w:val="outset" w:sz="6" w:space="0" w:color="auto"/>
              <w:right w:val="outset" w:sz="6" w:space="0" w:color="auto"/>
            </w:tcBorders>
            <w:vAlign w:val="center"/>
          </w:tcPr>
          <w:p w14:paraId="65A9C9BB" w14:textId="77777777" w:rsidR="00526EDD" w:rsidRPr="00D91AE9" w:rsidRDefault="00526EDD" w:rsidP="00526EDD">
            <w:r w:rsidRPr="00D91AE9">
              <w:t>B</w:t>
            </w:r>
          </w:p>
        </w:tc>
        <w:tc>
          <w:tcPr>
            <w:tcW w:w="2782" w:type="dxa"/>
            <w:gridSpan w:val="3"/>
            <w:tcBorders>
              <w:top w:val="outset" w:sz="6" w:space="0" w:color="auto"/>
              <w:left w:val="outset" w:sz="6" w:space="0" w:color="auto"/>
              <w:bottom w:val="outset" w:sz="6" w:space="0" w:color="auto"/>
              <w:right w:val="outset" w:sz="6" w:space="0" w:color="auto"/>
            </w:tcBorders>
            <w:vAlign w:val="center"/>
          </w:tcPr>
          <w:p w14:paraId="3DACEA9E" w14:textId="77777777" w:rsidR="00526EDD" w:rsidRPr="00D91AE9" w:rsidRDefault="00526EDD" w:rsidP="00526EDD">
            <w:r w:rsidRPr="00D91AE9">
              <w:t>C</w:t>
            </w:r>
          </w:p>
        </w:tc>
      </w:tr>
      <w:tr w:rsidR="00526EDD" w:rsidRPr="00D91AE9" w14:paraId="0B3E0962" w14:textId="77777777" w:rsidTr="00BB1E8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595" w:type="dxa"/>
            <w:gridSpan w:val="3"/>
            <w:tcBorders>
              <w:top w:val="outset" w:sz="6" w:space="0" w:color="auto"/>
              <w:left w:val="outset" w:sz="6" w:space="0" w:color="auto"/>
              <w:bottom w:val="outset" w:sz="6" w:space="0" w:color="auto"/>
              <w:right w:val="outset" w:sz="6" w:space="0" w:color="auto"/>
            </w:tcBorders>
          </w:tcPr>
          <w:p w14:paraId="0EA89DCF" w14:textId="77777777" w:rsidR="00526EDD" w:rsidRPr="00D91AE9" w:rsidRDefault="00526EDD" w:rsidP="00526EDD">
            <w:r w:rsidRPr="00D91AE9">
              <w:t>Starptautiskās saistības (pēc būtības), kas izriet no norādītā starptautiskā dokumenta.</w:t>
            </w:r>
          </w:p>
          <w:p w14:paraId="75BAD348" w14:textId="77777777" w:rsidR="00526EDD" w:rsidRPr="00D91AE9" w:rsidRDefault="00526EDD" w:rsidP="00526EDD">
            <w:r w:rsidRPr="00D91AE9">
              <w:t>Konkrēti veicamie pasākumi vai uzdevumi, kas nepieciešami šo starptautisko saistību izpildei</w:t>
            </w:r>
          </w:p>
        </w:tc>
        <w:tc>
          <w:tcPr>
            <w:tcW w:w="3537" w:type="dxa"/>
            <w:gridSpan w:val="3"/>
            <w:tcBorders>
              <w:top w:val="outset" w:sz="6" w:space="0" w:color="auto"/>
              <w:left w:val="outset" w:sz="6" w:space="0" w:color="auto"/>
              <w:bottom w:val="outset" w:sz="6" w:space="0" w:color="auto"/>
              <w:right w:val="outset" w:sz="6" w:space="0" w:color="auto"/>
            </w:tcBorders>
          </w:tcPr>
          <w:p w14:paraId="1B485D21" w14:textId="77777777" w:rsidR="00526EDD" w:rsidRPr="00D91AE9" w:rsidRDefault="00526EDD" w:rsidP="00526EDD">
            <w:r w:rsidRPr="00D91AE9">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782" w:type="dxa"/>
            <w:gridSpan w:val="3"/>
            <w:tcBorders>
              <w:top w:val="outset" w:sz="6" w:space="0" w:color="auto"/>
              <w:left w:val="outset" w:sz="6" w:space="0" w:color="auto"/>
              <w:bottom w:val="outset" w:sz="6" w:space="0" w:color="auto"/>
              <w:right w:val="outset" w:sz="6" w:space="0" w:color="auto"/>
            </w:tcBorders>
          </w:tcPr>
          <w:p w14:paraId="42298B16" w14:textId="77777777" w:rsidR="00526EDD" w:rsidRPr="00D91AE9" w:rsidRDefault="00526EDD" w:rsidP="00526EDD">
            <w:r w:rsidRPr="00D91AE9">
              <w:t>Informācija par to, vai starptautiskās saistības, kas minētas šīs tabulas A ailē, tiek izpildītas pilnībā vai daļēji.</w:t>
            </w:r>
          </w:p>
          <w:p w14:paraId="4EC9AB80" w14:textId="77777777" w:rsidR="00526EDD" w:rsidRPr="00D91AE9" w:rsidRDefault="00526EDD" w:rsidP="00526EDD">
            <w:r w:rsidRPr="00D91AE9">
              <w:t>Ja attiecīgās starptautiskās saistības tiek izpildītas daļēji, sniedz skaidrojumu, kā arī precīzi norāda, kad un kādā veidā starptautiskās saistības tiks izpildītas pilnībā.</w:t>
            </w:r>
          </w:p>
          <w:p w14:paraId="29C5258B" w14:textId="77777777" w:rsidR="00526EDD" w:rsidRPr="00D91AE9" w:rsidRDefault="00526EDD" w:rsidP="00526EDD">
            <w:r w:rsidRPr="00D91AE9">
              <w:t>Norāda institūciju, kas ir atbildīga par šo saistību izpildi pilnībā</w:t>
            </w:r>
          </w:p>
        </w:tc>
      </w:tr>
      <w:tr w:rsidR="00526EDD" w:rsidRPr="00D91AE9" w14:paraId="5C50FECB" w14:textId="77777777" w:rsidTr="00BB1E8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595" w:type="dxa"/>
            <w:gridSpan w:val="3"/>
            <w:tcBorders>
              <w:top w:val="outset" w:sz="6" w:space="0" w:color="auto"/>
              <w:left w:val="outset" w:sz="6" w:space="0" w:color="auto"/>
              <w:bottom w:val="outset" w:sz="6" w:space="0" w:color="auto"/>
              <w:right w:val="outset" w:sz="6" w:space="0" w:color="auto"/>
            </w:tcBorders>
          </w:tcPr>
          <w:p w14:paraId="65FABDCE" w14:textId="77777777" w:rsidR="00526EDD" w:rsidRPr="00D91AE9" w:rsidRDefault="00526EDD" w:rsidP="00526EDD">
            <w:r w:rsidRPr="00D91AE9">
              <w:t>Noteikumu projekts šo jomu neskar.</w:t>
            </w:r>
          </w:p>
        </w:tc>
        <w:tc>
          <w:tcPr>
            <w:tcW w:w="3537" w:type="dxa"/>
            <w:gridSpan w:val="3"/>
            <w:tcBorders>
              <w:top w:val="outset" w:sz="6" w:space="0" w:color="auto"/>
              <w:left w:val="outset" w:sz="6" w:space="0" w:color="auto"/>
              <w:bottom w:val="outset" w:sz="6" w:space="0" w:color="auto"/>
              <w:right w:val="outset" w:sz="6" w:space="0" w:color="auto"/>
            </w:tcBorders>
          </w:tcPr>
          <w:p w14:paraId="5F50736E" w14:textId="77777777" w:rsidR="00526EDD" w:rsidRPr="00D91AE9" w:rsidRDefault="00526EDD" w:rsidP="00526EDD">
            <w:r w:rsidRPr="00D91AE9">
              <w:t>Noteikumu projekts šo jomu neskar.</w:t>
            </w:r>
          </w:p>
        </w:tc>
        <w:tc>
          <w:tcPr>
            <w:tcW w:w="2782" w:type="dxa"/>
            <w:gridSpan w:val="3"/>
            <w:tcBorders>
              <w:top w:val="outset" w:sz="6" w:space="0" w:color="auto"/>
              <w:left w:val="outset" w:sz="6" w:space="0" w:color="auto"/>
              <w:bottom w:val="outset" w:sz="6" w:space="0" w:color="auto"/>
              <w:right w:val="outset" w:sz="6" w:space="0" w:color="auto"/>
            </w:tcBorders>
          </w:tcPr>
          <w:p w14:paraId="2C693CDF" w14:textId="77777777" w:rsidR="00526EDD" w:rsidRPr="00D91AE9" w:rsidRDefault="00526EDD" w:rsidP="00526EDD">
            <w:r w:rsidRPr="00D91AE9">
              <w:t>Noteikumu projekts šo jomu neskar.</w:t>
            </w:r>
          </w:p>
        </w:tc>
      </w:tr>
      <w:tr w:rsidR="00526EDD" w:rsidRPr="00D91AE9" w14:paraId="79C35EFD" w14:textId="77777777" w:rsidTr="00BB1E8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595" w:type="dxa"/>
            <w:gridSpan w:val="3"/>
            <w:tcBorders>
              <w:top w:val="outset" w:sz="6" w:space="0" w:color="auto"/>
              <w:left w:val="outset" w:sz="6" w:space="0" w:color="auto"/>
              <w:bottom w:val="outset" w:sz="6" w:space="0" w:color="auto"/>
              <w:right w:val="outset" w:sz="6" w:space="0" w:color="auto"/>
            </w:tcBorders>
          </w:tcPr>
          <w:p w14:paraId="2A4B8C09" w14:textId="77777777" w:rsidR="00526EDD" w:rsidRPr="00D91AE9" w:rsidRDefault="00526EDD" w:rsidP="00526EDD">
            <w:r w:rsidRPr="00D91AE9">
              <w:t>Vai starptautiskajā dokumentā paredzētās saistības nav pretrunā ar jau esošajām Latvijas Republikas starptautis</w:t>
            </w:r>
            <w:r w:rsidRPr="00D91AE9">
              <w:softHyphen/>
              <w:t>kajām saistībām</w:t>
            </w:r>
          </w:p>
        </w:tc>
        <w:tc>
          <w:tcPr>
            <w:tcW w:w="6319" w:type="dxa"/>
            <w:gridSpan w:val="6"/>
            <w:tcBorders>
              <w:top w:val="outset" w:sz="6" w:space="0" w:color="auto"/>
              <w:left w:val="outset" w:sz="6" w:space="0" w:color="auto"/>
              <w:bottom w:val="outset" w:sz="6" w:space="0" w:color="auto"/>
              <w:right w:val="outset" w:sz="6" w:space="0" w:color="auto"/>
            </w:tcBorders>
          </w:tcPr>
          <w:p w14:paraId="2F480A64" w14:textId="77777777" w:rsidR="00526EDD" w:rsidRPr="00D91AE9" w:rsidRDefault="00526EDD" w:rsidP="00526EDD">
            <w:r w:rsidRPr="00D91AE9">
              <w:t>Noteikumu projekts šo jomu neskar.</w:t>
            </w:r>
          </w:p>
        </w:tc>
      </w:tr>
      <w:tr w:rsidR="00526EDD" w:rsidRPr="00D91AE9" w14:paraId="282DA80E" w14:textId="77777777" w:rsidTr="00BB1E8E">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595" w:type="dxa"/>
            <w:gridSpan w:val="3"/>
            <w:tcBorders>
              <w:top w:val="outset" w:sz="6" w:space="0" w:color="auto"/>
              <w:left w:val="outset" w:sz="6" w:space="0" w:color="auto"/>
              <w:bottom w:val="outset" w:sz="6" w:space="0" w:color="auto"/>
              <w:right w:val="outset" w:sz="6" w:space="0" w:color="auto"/>
            </w:tcBorders>
          </w:tcPr>
          <w:p w14:paraId="572006BF" w14:textId="77777777" w:rsidR="00526EDD" w:rsidRPr="00D91AE9" w:rsidRDefault="00526EDD" w:rsidP="00526EDD">
            <w:r w:rsidRPr="00D91AE9">
              <w:t>Cita informācija</w:t>
            </w:r>
          </w:p>
        </w:tc>
        <w:tc>
          <w:tcPr>
            <w:tcW w:w="6319" w:type="dxa"/>
            <w:gridSpan w:val="6"/>
            <w:tcBorders>
              <w:top w:val="outset" w:sz="6" w:space="0" w:color="auto"/>
              <w:left w:val="outset" w:sz="6" w:space="0" w:color="auto"/>
              <w:bottom w:val="outset" w:sz="6" w:space="0" w:color="auto"/>
              <w:right w:val="outset" w:sz="6" w:space="0" w:color="auto"/>
            </w:tcBorders>
          </w:tcPr>
          <w:p w14:paraId="02AFAA87" w14:textId="19F79A4A" w:rsidR="00526EDD" w:rsidRPr="00D91AE9" w:rsidRDefault="00C044BA" w:rsidP="00AA1184">
            <w:r w:rsidRPr="00C044BA">
              <w:t>Nav.</w:t>
            </w:r>
          </w:p>
        </w:tc>
      </w:tr>
    </w:tbl>
    <w:p w14:paraId="7A94DE9A" w14:textId="77777777" w:rsidR="009A72C5" w:rsidRPr="00D91AE9" w:rsidRDefault="009A72C5" w:rsidP="009A72C5"/>
    <w:tbl>
      <w:tblPr>
        <w:tblW w:w="5338" w:type="pct"/>
        <w:tblInd w:w="-29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662"/>
        <w:gridCol w:w="2769"/>
        <w:gridCol w:w="5783"/>
      </w:tblGrid>
      <w:tr w:rsidR="009A72C5" w:rsidRPr="00D91AE9" w14:paraId="195BA7A9" w14:textId="77777777" w:rsidTr="00A40F6D">
        <w:tc>
          <w:tcPr>
            <w:tcW w:w="9214" w:type="dxa"/>
            <w:gridSpan w:val="3"/>
            <w:tcBorders>
              <w:top w:val="outset" w:sz="6" w:space="0" w:color="000000"/>
              <w:left w:val="outset" w:sz="6" w:space="0" w:color="000000"/>
              <w:bottom w:val="outset" w:sz="6" w:space="0" w:color="000000"/>
              <w:right w:val="outset" w:sz="6" w:space="0" w:color="000000"/>
            </w:tcBorders>
          </w:tcPr>
          <w:p w14:paraId="3C2CAFA9" w14:textId="77777777" w:rsidR="009A72C5" w:rsidRPr="00D91AE9" w:rsidRDefault="009A72C5" w:rsidP="00DD2EFA">
            <w:pPr>
              <w:spacing w:before="100" w:beforeAutospacing="1" w:after="100" w:afterAutospacing="1"/>
              <w:jc w:val="center"/>
              <w:rPr>
                <w:b/>
                <w:bCs/>
              </w:rPr>
            </w:pPr>
            <w:r w:rsidRPr="00D91AE9">
              <w:rPr>
                <w:b/>
                <w:bCs/>
              </w:rPr>
              <w:t xml:space="preserve">VI. </w:t>
            </w:r>
            <w:r w:rsidRPr="00D91AE9">
              <w:rPr>
                <w:b/>
              </w:rPr>
              <w:t>Sabiedrības līdzdalība un komunikācijas aktivitātes</w:t>
            </w:r>
          </w:p>
        </w:tc>
      </w:tr>
      <w:tr w:rsidR="009A72C5" w:rsidRPr="00D91AE9" w14:paraId="4881AD21" w14:textId="77777777" w:rsidTr="00A40F6D">
        <w:tc>
          <w:tcPr>
            <w:tcW w:w="662" w:type="dxa"/>
            <w:tcBorders>
              <w:top w:val="outset" w:sz="6" w:space="0" w:color="000000"/>
              <w:left w:val="outset" w:sz="6" w:space="0" w:color="000000"/>
              <w:bottom w:val="outset" w:sz="6" w:space="0" w:color="000000"/>
              <w:right w:val="outset" w:sz="6" w:space="0" w:color="000000"/>
            </w:tcBorders>
          </w:tcPr>
          <w:p w14:paraId="6C3BB9E3" w14:textId="77777777" w:rsidR="009A72C5" w:rsidRPr="00D91AE9" w:rsidRDefault="009A72C5" w:rsidP="00DD2EFA">
            <w:pPr>
              <w:spacing w:before="100" w:beforeAutospacing="1" w:after="100" w:afterAutospacing="1"/>
              <w:jc w:val="center"/>
            </w:pPr>
            <w:r w:rsidRPr="00D91AE9">
              <w:t>1.</w:t>
            </w:r>
          </w:p>
        </w:tc>
        <w:tc>
          <w:tcPr>
            <w:tcW w:w="2769" w:type="dxa"/>
            <w:tcBorders>
              <w:top w:val="outset" w:sz="6" w:space="0" w:color="000000"/>
              <w:left w:val="outset" w:sz="6" w:space="0" w:color="000000"/>
              <w:bottom w:val="outset" w:sz="6" w:space="0" w:color="000000"/>
              <w:right w:val="outset" w:sz="6" w:space="0" w:color="000000"/>
            </w:tcBorders>
          </w:tcPr>
          <w:p w14:paraId="4A571BD8" w14:textId="77777777" w:rsidR="009A72C5" w:rsidRPr="00D91AE9" w:rsidRDefault="009A72C5" w:rsidP="00DD2EFA">
            <w:pPr>
              <w:spacing w:before="100" w:beforeAutospacing="1" w:after="100" w:afterAutospacing="1"/>
            </w:pPr>
            <w:r w:rsidRPr="00D91AE9">
              <w:t>Plānotās sabiedrības līdzdalības un komunikācijas aktivitātes saistībā ar projektu</w:t>
            </w:r>
          </w:p>
        </w:tc>
        <w:tc>
          <w:tcPr>
            <w:tcW w:w="5783" w:type="dxa"/>
            <w:tcBorders>
              <w:top w:val="outset" w:sz="6" w:space="0" w:color="000000"/>
              <w:left w:val="outset" w:sz="6" w:space="0" w:color="000000"/>
              <w:bottom w:val="outset" w:sz="6" w:space="0" w:color="000000"/>
              <w:right w:val="outset" w:sz="6" w:space="0" w:color="000000"/>
            </w:tcBorders>
          </w:tcPr>
          <w:p w14:paraId="56337799" w14:textId="5D073079" w:rsidR="00DB2C3C" w:rsidRPr="00C858D8" w:rsidRDefault="00DB2C3C" w:rsidP="00DB2C3C">
            <w:pPr>
              <w:shd w:val="clear" w:color="auto" w:fill="FFFFFF"/>
              <w:jc w:val="both"/>
              <w:rPr>
                <w:bCs/>
              </w:rPr>
            </w:pPr>
            <w:r w:rsidRPr="00C2761A">
              <w:rPr>
                <w:bCs/>
              </w:rPr>
              <w:t>Sabiedrības pārstāvji varē</w:t>
            </w:r>
            <w:r>
              <w:rPr>
                <w:bCs/>
              </w:rPr>
              <w:t>s</w:t>
            </w:r>
            <w:r w:rsidRPr="00C2761A">
              <w:rPr>
                <w:bCs/>
              </w:rPr>
              <w:t xml:space="preserve"> līdzdarboties noteikumu projekta izstrādē, sniedzot atzinumu un viedokli par </w:t>
            </w:r>
            <w:r w:rsidRPr="00C2761A">
              <w:t>ES struktūrfondu un Kohēzijas fonda 2014.-2020.gada plānošanas perioda Izglītības, prasmju un mūžizglītības</w:t>
            </w:r>
            <w:r w:rsidRPr="00C2761A">
              <w:rPr>
                <w:b/>
                <w:bCs/>
              </w:rPr>
              <w:t xml:space="preserve"> </w:t>
            </w:r>
            <w:r w:rsidRPr="00C2761A">
              <w:t xml:space="preserve">prioritārā virziena </w:t>
            </w:r>
            <w:r w:rsidRPr="00C2761A">
              <w:rPr>
                <w:bCs/>
              </w:rPr>
              <w:t xml:space="preserve">apakškomitejā iesniegtajiem projektu iesniegumu vērtēšanas kritērijiem, kritēriju piemērošanas metodiku, kā arī par </w:t>
            </w:r>
            <w:r w:rsidRPr="00C858D8">
              <w:rPr>
                <w:bCs/>
              </w:rPr>
              <w:t>Valsts sekretāru sanāksmē izsludināto noteikumu projektu.</w:t>
            </w:r>
          </w:p>
          <w:p w14:paraId="4E19F812" w14:textId="77777777" w:rsidR="00DB2C3C" w:rsidRDefault="00DB2C3C" w:rsidP="002A4D0D">
            <w:pPr>
              <w:shd w:val="clear" w:color="auto" w:fill="FFFFFF"/>
              <w:ind w:right="74"/>
              <w:jc w:val="both"/>
              <w:rPr>
                <w:bCs/>
              </w:rPr>
            </w:pPr>
          </w:p>
          <w:p w14:paraId="06035287" w14:textId="6A4752F2" w:rsidR="009A72C5" w:rsidRPr="00D91AE9" w:rsidRDefault="00C044BA" w:rsidP="00155679">
            <w:pPr>
              <w:tabs>
                <w:tab w:val="num" w:pos="0"/>
              </w:tabs>
              <w:ind w:right="74"/>
              <w:jc w:val="both"/>
            </w:pPr>
            <w:r w:rsidRPr="002A4D0D">
              <w:rPr>
                <w:bCs/>
                <w:color w:val="000000" w:themeColor="text1"/>
              </w:rPr>
              <w:t>8.2.1. SAM</w:t>
            </w:r>
            <w:r w:rsidR="007B5016" w:rsidRPr="002A4D0D">
              <w:rPr>
                <w:bCs/>
                <w:color w:val="000000" w:themeColor="text1"/>
              </w:rPr>
              <w:t xml:space="preserve"> ietvaros</w:t>
            </w:r>
            <w:r w:rsidR="007B5016" w:rsidRPr="002A4D0D">
              <w:rPr>
                <w:color w:val="000000" w:themeColor="text1"/>
              </w:rPr>
              <w:t xml:space="preserve"> ī</w:t>
            </w:r>
            <w:r w:rsidR="009A72C5" w:rsidRPr="002A4D0D">
              <w:rPr>
                <w:color w:val="000000" w:themeColor="text1"/>
              </w:rPr>
              <w:t>stenojot projektu</w:t>
            </w:r>
            <w:r w:rsidR="00A40F6D" w:rsidRPr="002A4D0D">
              <w:rPr>
                <w:color w:val="000000" w:themeColor="text1"/>
              </w:rPr>
              <w:t>,</w:t>
            </w:r>
            <w:r w:rsidR="007B5016" w:rsidRPr="002A4D0D">
              <w:rPr>
                <w:color w:val="000000" w:themeColor="text1"/>
              </w:rPr>
              <w:t xml:space="preserve"> finansējuma saņēmēji</w:t>
            </w:r>
            <w:r w:rsidR="009A72C5" w:rsidRPr="002A4D0D">
              <w:rPr>
                <w:color w:val="000000" w:themeColor="text1"/>
              </w:rPr>
              <w:t xml:space="preserve"> nodrošina informā</w:t>
            </w:r>
            <w:r w:rsidR="00A40F6D" w:rsidRPr="002A4D0D">
              <w:rPr>
                <w:color w:val="000000" w:themeColor="text1"/>
              </w:rPr>
              <w:t>cijas un publicitātes pasākumus</w:t>
            </w:r>
            <w:r w:rsidR="007B5016" w:rsidRPr="002A4D0D">
              <w:rPr>
                <w:color w:val="000000" w:themeColor="text1"/>
              </w:rPr>
              <w:t>,</w:t>
            </w:r>
            <w:r w:rsidR="00061DB4" w:rsidRPr="002A4D0D">
              <w:rPr>
                <w:color w:val="000000" w:themeColor="text1"/>
              </w:rPr>
              <w:t xml:space="preserve"> atbilstoši </w:t>
            </w:r>
            <w:r w:rsidR="009A72C5" w:rsidRPr="002A4D0D">
              <w:rPr>
                <w:color w:val="000000" w:themeColor="text1"/>
              </w:rPr>
              <w:t xml:space="preserve">normatīvajiem aktiem par kārtību, kādā </w:t>
            </w:r>
            <w:r w:rsidR="00155679" w:rsidRPr="002A4D0D">
              <w:rPr>
                <w:color w:val="000000" w:themeColor="text1"/>
              </w:rPr>
              <w:t>ES</w:t>
            </w:r>
            <w:r w:rsidR="009A72C5" w:rsidRPr="002A4D0D">
              <w:rPr>
                <w:color w:val="000000" w:themeColor="text1"/>
              </w:rPr>
              <w:t xml:space="preserve"> struktūrfondu un Kohēzi</w:t>
            </w:r>
            <w:r w:rsidR="004647F1" w:rsidRPr="002A4D0D">
              <w:rPr>
                <w:color w:val="000000" w:themeColor="text1"/>
              </w:rPr>
              <w:t>jas fonda ieviešanā 2014.–2020.</w:t>
            </w:r>
            <w:r w:rsidR="00BA0E1E" w:rsidRPr="002A4D0D">
              <w:rPr>
                <w:color w:val="000000" w:themeColor="text1"/>
              </w:rPr>
              <w:t xml:space="preserve"> </w:t>
            </w:r>
            <w:r w:rsidR="009A72C5" w:rsidRPr="002A4D0D">
              <w:rPr>
                <w:color w:val="000000" w:themeColor="text1"/>
              </w:rPr>
              <w:t>gada plānošanas periodā nodrošināma komunikācijas un vizuālās identitātes prasību ievērošana.</w:t>
            </w:r>
          </w:p>
        </w:tc>
      </w:tr>
      <w:tr w:rsidR="00A40F6D" w:rsidRPr="00D91AE9" w14:paraId="5F199631" w14:textId="77777777" w:rsidTr="00A40F6D">
        <w:tc>
          <w:tcPr>
            <w:tcW w:w="662" w:type="dxa"/>
            <w:tcBorders>
              <w:top w:val="outset" w:sz="6" w:space="0" w:color="000000"/>
              <w:left w:val="outset" w:sz="6" w:space="0" w:color="000000"/>
              <w:bottom w:val="outset" w:sz="6" w:space="0" w:color="000000"/>
              <w:right w:val="outset" w:sz="6" w:space="0" w:color="000000"/>
            </w:tcBorders>
          </w:tcPr>
          <w:p w14:paraId="31DBABA6" w14:textId="77777777" w:rsidR="00A40F6D" w:rsidRPr="00D91AE9" w:rsidRDefault="00A40F6D" w:rsidP="00A40F6D">
            <w:pPr>
              <w:spacing w:before="100" w:beforeAutospacing="1" w:after="100" w:afterAutospacing="1"/>
              <w:jc w:val="center"/>
            </w:pPr>
            <w:r w:rsidRPr="00D91AE9">
              <w:t>2.</w:t>
            </w:r>
          </w:p>
        </w:tc>
        <w:tc>
          <w:tcPr>
            <w:tcW w:w="2769" w:type="dxa"/>
            <w:tcBorders>
              <w:top w:val="outset" w:sz="6" w:space="0" w:color="000000"/>
              <w:left w:val="outset" w:sz="6" w:space="0" w:color="000000"/>
              <w:bottom w:val="outset" w:sz="6" w:space="0" w:color="000000"/>
              <w:right w:val="outset" w:sz="6" w:space="0" w:color="000000"/>
            </w:tcBorders>
          </w:tcPr>
          <w:p w14:paraId="5354BEEB" w14:textId="77777777" w:rsidR="00A40F6D" w:rsidRPr="00D91AE9" w:rsidRDefault="00A40F6D" w:rsidP="00A40F6D">
            <w:pPr>
              <w:spacing w:before="100" w:beforeAutospacing="1" w:after="100" w:afterAutospacing="1"/>
            </w:pPr>
            <w:r w:rsidRPr="00D91AE9">
              <w:t>Sabiedrības līdzdalība projekta izstrādē</w:t>
            </w:r>
          </w:p>
        </w:tc>
        <w:tc>
          <w:tcPr>
            <w:tcW w:w="5783" w:type="dxa"/>
            <w:tcBorders>
              <w:top w:val="outset" w:sz="6" w:space="0" w:color="000000"/>
              <w:left w:val="outset" w:sz="6" w:space="0" w:color="000000"/>
              <w:bottom w:val="outset" w:sz="6" w:space="0" w:color="000000"/>
              <w:right w:val="outset" w:sz="6" w:space="0" w:color="000000"/>
            </w:tcBorders>
          </w:tcPr>
          <w:p w14:paraId="752D1F60" w14:textId="77DB6B7E" w:rsidR="00A40F6D" w:rsidRPr="00C858D8" w:rsidRDefault="00A40F6D" w:rsidP="00DB2C3C">
            <w:pPr>
              <w:spacing w:before="75" w:after="75"/>
              <w:jc w:val="both"/>
            </w:pPr>
            <w:r w:rsidRPr="007D18FC">
              <w:rPr>
                <w:bCs/>
                <w:color w:val="000000" w:themeColor="text1"/>
              </w:rPr>
              <w:t xml:space="preserve">Sabiedrības līdzdalība </w:t>
            </w:r>
            <w:r w:rsidR="00F10D97" w:rsidRPr="007D18FC">
              <w:rPr>
                <w:bCs/>
                <w:color w:val="000000" w:themeColor="text1"/>
              </w:rPr>
              <w:t>noteikumu projekta izstrādē tik</w:t>
            </w:r>
            <w:r w:rsidR="00DB2C3C" w:rsidRPr="007D18FC">
              <w:rPr>
                <w:bCs/>
                <w:color w:val="000000" w:themeColor="text1"/>
              </w:rPr>
              <w:t>s</w:t>
            </w:r>
            <w:r w:rsidRPr="007D18FC">
              <w:rPr>
                <w:bCs/>
                <w:color w:val="000000" w:themeColor="text1"/>
              </w:rPr>
              <w:t xml:space="preserve"> nodrošināta, ievietojot noteikumu projektu tīmekļa vietnē</w:t>
            </w:r>
            <w:r w:rsidR="004E14F1" w:rsidRPr="007D18FC">
              <w:rPr>
                <w:bCs/>
                <w:color w:val="000000" w:themeColor="text1"/>
              </w:rPr>
              <w:t xml:space="preserve"> </w:t>
            </w:r>
            <w:hyperlink r:id="rId9" w:history="1">
              <w:r w:rsidR="004E14F1" w:rsidRPr="007D18FC">
                <w:rPr>
                  <w:color w:val="000000" w:themeColor="text1"/>
                </w:rPr>
                <w:t>www.izm.gov.lv</w:t>
              </w:r>
            </w:hyperlink>
            <w:r w:rsidR="004E14F1" w:rsidRPr="007D18FC">
              <w:rPr>
                <w:bCs/>
                <w:color w:val="000000" w:themeColor="text1"/>
              </w:rPr>
              <w:t xml:space="preserve"> un</w:t>
            </w:r>
            <w:r w:rsidRPr="007D18FC">
              <w:rPr>
                <w:bCs/>
                <w:color w:val="000000" w:themeColor="text1"/>
              </w:rPr>
              <w:t xml:space="preserve"> aicinot sabiedrības pārstāvjus rakstiski </w:t>
            </w:r>
            <w:r w:rsidRPr="007D18FC">
              <w:rPr>
                <w:bCs/>
                <w:color w:val="000000" w:themeColor="text1"/>
              </w:rPr>
              <w:lastRenderedPageBreak/>
              <w:t xml:space="preserve">sniegt viedokli par noteikumu projektu tā izstrādes stadijā – nosūtot elektroniski uz e-pastu: </w:t>
            </w:r>
            <w:hyperlink r:id="rId10" w:history="1">
              <w:r w:rsidRPr="007D18FC">
                <w:rPr>
                  <w:color w:val="000000" w:themeColor="text1"/>
                </w:rPr>
                <w:t>pasts@izm.gov.lv</w:t>
              </w:r>
            </w:hyperlink>
            <w:r w:rsidRPr="007D18FC">
              <w:rPr>
                <w:bCs/>
                <w:color w:val="000000" w:themeColor="text1"/>
              </w:rPr>
              <w:t xml:space="preserve"> vai sniedzot viedokli klātienē.</w:t>
            </w:r>
          </w:p>
        </w:tc>
      </w:tr>
      <w:tr w:rsidR="00A40F6D" w:rsidRPr="00D91AE9" w14:paraId="222A8861" w14:textId="77777777" w:rsidTr="00A40F6D">
        <w:tc>
          <w:tcPr>
            <w:tcW w:w="662" w:type="dxa"/>
            <w:tcBorders>
              <w:top w:val="outset" w:sz="6" w:space="0" w:color="000000"/>
              <w:left w:val="outset" w:sz="6" w:space="0" w:color="000000"/>
              <w:bottom w:val="outset" w:sz="6" w:space="0" w:color="000000"/>
              <w:right w:val="outset" w:sz="6" w:space="0" w:color="000000"/>
            </w:tcBorders>
          </w:tcPr>
          <w:p w14:paraId="73A3BA6D" w14:textId="1E01FE7B" w:rsidR="00A40F6D" w:rsidRPr="00D91AE9" w:rsidRDefault="00A40F6D" w:rsidP="00A40F6D">
            <w:pPr>
              <w:spacing w:before="100" w:beforeAutospacing="1" w:after="100" w:afterAutospacing="1"/>
              <w:jc w:val="center"/>
            </w:pPr>
            <w:r w:rsidRPr="00D91AE9">
              <w:lastRenderedPageBreak/>
              <w:t>3.</w:t>
            </w:r>
          </w:p>
        </w:tc>
        <w:tc>
          <w:tcPr>
            <w:tcW w:w="2769" w:type="dxa"/>
            <w:tcBorders>
              <w:top w:val="outset" w:sz="6" w:space="0" w:color="000000"/>
              <w:left w:val="outset" w:sz="6" w:space="0" w:color="000000"/>
              <w:bottom w:val="outset" w:sz="6" w:space="0" w:color="000000"/>
              <w:right w:val="outset" w:sz="6" w:space="0" w:color="000000"/>
            </w:tcBorders>
          </w:tcPr>
          <w:p w14:paraId="6B33E5A0" w14:textId="77777777" w:rsidR="00A40F6D" w:rsidRPr="00D91AE9" w:rsidRDefault="00A40F6D" w:rsidP="00A40F6D">
            <w:pPr>
              <w:spacing w:before="100" w:beforeAutospacing="1" w:after="100" w:afterAutospacing="1"/>
            </w:pPr>
            <w:r w:rsidRPr="00D91AE9">
              <w:t>Sabiedrības līdzdalības rezultāti</w:t>
            </w:r>
          </w:p>
        </w:tc>
        <w:tc>
          <w:tcPr>
            <w:tcW w:w="5783" w:type="dxa"/>
            <w:tcBorders>
              <w:top w:val="outset" w:sz="6" w:space="0" w:color="000000"/>
              <w:left w:val="outset" w:sz="6" w:space="0" w:color="000000"/>
              <w:bottom w:val="outset" w:sz="6" w:space="0" w:color="000000"/>
              <w:right w:val="outset" w:sz="6" w:space="0" w:color="000000"/>
            </w:tcBorders>
          </w:tcPr>
          <w:p w14:paraId="40FD190C" w14:textId="797F833E" w:rsidR="00A40F6D" w:rsidRDefault="00A40F6D" w:rsidP="00A40F6D">
            <w:pPr>
              <w:ind w:right="73"/>
              <w:jc w:val="both"/>
              <w:rPr>
                <w:bCs/>
              </w:rPr>
            </w:pPr>
            <w:r w:rsidRPr="00D91AE9">
              <w:t xml:space="preserve">Noteikumu </w:t>
            </w:r>
            <w:r w:rsidR="00D00915">
              <w:t>projekt</w:t>
            </w:r>
            <w:r w:rsidR="00DB2C3C">
              <w:t xml:space="preserve">u plānots izsludināt </w:t>
            </w:r>
            <w:r w:rsidR="00DB2C3C" w:rsidRPr="00D91AE9">
              <w:rPr>
                <w:bCs/>
              </w:rPr>
              <w:t xml:space="preserve">Valsts sekretāru </w:t>
            </w:r>
            <w:r w:rsidR="00DB2C3C" w:rsidRPr="004B39F6">
              <w:rPr>
                <w:bCs/>
              </w:rPr>
              <w:t xml:space="preserve">sanāksmē </w:t>
            </w:r>
            <w:r w:rsidR="00D00915">
              <w:t>2017</w:t>
            </w:r>
            <w:r w:rsidRPr="004271BE">
              <w:t>.</w:t>
            </w:r>
            <w:r w:rsidR="00BA0E1E">
              <w:t xml:space="preserve"> </w:t>
            </w:r>
            <w:r w:rsidR="00D00915">
              <w:t xml:space="preserve">gada </w:t>
            </w:r>
            <w:r w:rsidR="00DB2C3C">
              <w:t>28.septembrī</w:t>
            </w:r>
            <w:r w:rsidRPr="004B39F6">
              <w:rPr>
                <w:bCs/>
              </w:rPr>
              <w:t>.</w:t>
            </w:r>
            <w:r w:rsidRPr="00D91AE9">
              <w:rPr>
                <w:bCs/>
              </w:rPr>
              <w:t xml:space="preserve"> </w:t>
            </w:r>
          </w:p>
          <w:p w14:paraId="48B6A6D1" w14:textId="3FC14E3E" w:rsidR="00A40F6D" w:rsidRPr="00D91AE9" w:rsidRDefault="00A40F6D" w:rsidP="00593077">
            <w:pPr>
              <w:ind w:right="73"/>
              <w:jc w:val="both"/>
              <w:rPr>
                <w:b/>
              </w:rPr>
            </w:pPr>
            <w:r w:rsidRPr="00965251">
              <w:t>Partneru un ieinteresēto organizāciju izte</w:t>
            </w:r>
            <w:r>
              <w:t>iktie iebildumi un priekšlikumi</w:t>
            </w:r>
            <w:r w:rsidRPr="00965251">
              <w:t xml:space="preserve"> </w:t>
            </w:r>
            <w:r w:rsidR="00DB2C3C">
              <w:t xml:space="preserve">tiks </w:t>
            </w:r>
            <w:r w:rsidRPr="00965251">
              <w:t>analizēti un iestrādāti noteikumu projektā</w:t>
            </w:r>
            <w:r w:rsidR="00D00915">
              <w:t>.</w:t>
            </w:r>
          </w:p>
        </w:tc>
      </w:tr>
      <w:tr w:rsidR="00A40F6D" w:rsidRPr="00D91AE9" w14:paraId="2303A0AB" w14:textId="77777777" w:rsidTr="00A40F6D">
        <w:tc>
          <w:tcPr>
            <w:tcW w:w="662" w:type="dxa"/>
            <w:tcBorders>
              <w:top w:val="outset" w:sz="6" w:space="0" w:color="000000"/>
              <w:left w:val="outset" w:sz="6" w:space="0" w:color="000000"/>
              <w:bottom w:val="outset" w:sz="6" w:space="0" w:color="000000"/>
              <w:right w:val="outset" w:sz="6" w:space="0" w:color="000000"/>
            </w:tcBorders>
          </w:tcPr>
          <w:p w14:paraId="54BEACA8" w14:textId="77777777" w:rsidR="00A40F6D" w:rsidRPr="00D91AE9" w:rsidRDefault="00A40F6D" w:rsidP="00A40F6D">
            <w:pPr>
              <w:spacing w:before="100" w:beforeAutospacing="1" w:after="100" w:afterAutospacing="1"/>
              <w:jc w:val="center"/>
            </w:pPr>
            <w:r w:rsidRPr="00D91AE9">
              <w:t>4.</w:t>
            </w:r>
          </w:p>
        </w:tc>
        <w:tc>
          <w:tcPr>
            <w:tcW w:w="2769" w:type="dxa"/>
            <w:tcBorders>
              <w:top w:val="outset" w:sz="6" w:space="0" w:color="000000"/>
              <w:left w:val="outset" w:sz="6" w:space="0" w:color="000000"/>
              <w:bottom w:val="outset" w:sz="6" w:space="0" w:color="000000"/>
              <w:right w:val="outset" w:sz="6" w:space="0" w:color="000000"/>
            </w:tcBorders>
          </w:tcPr>
          <w:p w14:paraId="31F28472" w14:textId="77777777" w:rsidR="00A40F6D" w:rsidRPr="00D91AE9" w:rsidRDefault="00A40F6D" w:rsidP="00A40F6D">
            <w:pPr>
              <w:spacing w:before="100" w:beforeAutospacing="1" w:after="100" w:afterAutospacing="1"/>
            </w:pPr>
            <w:r w:rsidRPr="00D91AE9">
              <w:t>Cita informācija</w:t>
            </w:r>
          </w:p>
        </w:tc>
        <w:tc>
          <w:tcPr>
            <w:tcW w:w="5783" w:type="dxa"/>
            <w:tcBorders>
              <w:top w:val="outset" w:sz="6" w:space="0" w:color="000000"/>
              <w:left w:val="outset" w:sz="6" w:space="0" w:color="000000"/>
              <w:bottom w:val="outset" w:sz="6" w:space="0" w:color="000000"/>
              <w:right w:val="outset" w:sz="6" w:space="0" w:color="000000"/>
            </w:tcBorders>
          </w:tcPr>
          <w:p w14:paraId="3FCFD3F8" w14:textId="77777777" w:rsidR="00A40F6D" w:rsidRPr="00D91AE9" w:rsidRDefault="00A40F6D" w:rsidP="00A40F6D">
            <w:pPr>
              <w:spacing w:before="100" w:beforeAutospacing="1" w:after="100" w:afterAutospacing="1"/>
              <w:rPr>
                <w:iCs/>
              </w:rPr>
            </w:pPr>
            <w:r w:rsidRPr="00D91AE9">
              <w:rPr>
                <w:iCs/>
              </w:rPr>
              <w:t>Nav</w:t>
            </w:r>
            <w:r w:rsidR="00D00915">
              <w:rPr>
                <w:iCs/>
              </w:rPr>
              <w:t>.</w:t>
            </w:r>
          </w:p>
        </w:tc>
      </w:tr>
    </w:tbl>
    <w:p w14:paraId="5D379636" w14:textId="77777777" w:rsidR="009A72C5" w:rsidRPr="00D91AE9" w:rsidRDefault="009A72C5" w:rsidP="009A72C5"/>
    <w:tbl>
      <w:tblPr>
        <w:tblW w:w="5338" w:type="pct"/>
        <w:tblInd w:w="-29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641"/>
        <w:gridCol w:w="3485"/>
        <w:gridCol w:w="5088"/>
      </w:tblGrid>
      <w:tr w:rsidR="009A72C5" w:rsidRPr="00D91AE9" w14:paraId="35F05E7D" w14:textId="77777777" w:rsidTr="00DD2EFA">
        <w:tc>
          <w:tcPr>
            <w:tcW w:w="5000" w:type="pct"/>
            <w:gridSpan w:val="3"/>
            <w:tcBorders>
              <w:top w:val="outset" w:sz="6" w:space="0" w:color="000000"/>
              <w:left w:val="outset" w:sz="6" w:space="0" w:color="000000"/>
              <w:bottom w:val="outset" w:sz="6" w:space="0" w:color="000000"/>
              <w:right w:val="outset" w:sz="6" w:space="0" w:color="000000"/>
            </w:tcBorders>
          </w:tcPr>
          <w:p w14:paraId="388A8A82" w14:textId="77777777" w:rsidR="009A72C5" w:rsidRPr="00D91AE9" w:rsidRDefault="009A72C5" w:rsidP="00DD2EFA">
            <w:pPr>
              <w:pStyle w:val="NormalWeb"/>
              <w:jc w:val="both"/>
              <w:rPr>
                <w:b/>
                <w:bCs/>
              </w:rPr>
            </w:pPr>
            <w:r w:rsidRPr="00D91AE9">
              <w:rPr>
                <w:b/>
                <w:bCs/>
              </w:rPr>
              <w:t xml:space="preserve">VII. </w:t>
            </w:r>
            <w:r w:rsidRPr="00D91AE9">
              <w:rPr>
                <w:b/>
              </w:rPr>
              <w:t>Tiesību akta projekta izpildes nodrošināšana un tās ietekme uz institūcijām</w:t>
            </w:r>
          </w:p>
        </w:tc>
      </w:tr>
      <w:tr w:rsidR="009A72C5" w:rsidRPr="0014168F" w14:paraId="7CBBE639" w14:textId="77777777" w:rsidTr="00DD2EFA">
        <w:tc>
          <w:tcPr>
            <w:tcW w:w="348" w:type="pct"/>
            <w:tcBorders>
              <w:top w:val="outset" w:sz="6" w:space="0" w:color="000000"/>
              <w:left w:val="outset" w:sz="6" w:space="0" w:color="000000"/>
              <w:bottom w:val="outset" w:sz="6" w:space="0" w:color="000000"/>
              <w:right w:val="outset" w:sz="6" w:space="0" w:color="000000"/>
            </w:tcBorders>
          </w:tcPr>
          <w:p w14:paraId="6165C344" w14:textId="77777777" w:rsidR="009A72C5" w:rsidRPr="00D91AE9" w:rsidRDefault="009A72C5" w:rsidP="00DD2EFA">
            <w:pPr>
              <w:spacing w:before="100" w:beforeAutospacing="1" w:after="100" w:afterAutospacing="1"/>
              <w:jc w:val="center"/>
            </w:pPr>
            <w:r w:rsidRPr="00D91AE9">
              <w:t>1.</w:t>
            </w:r>
          </w:p>
        </w:tc>
        <w:tc>
          <w:tcPr>
            <w:tcW w:w="1891" w:type="pct"/>
            <w:tcBorders>
              <w:top w:val="outset" w:sz="6" w:space="0" w:color="000000"/>
              <w:left w:val="outset" w:sz="6" w:space="0" w:color="000000"/>
              <w:bottom w:val="outset" w:sz="6" w:space="0" w:color="000000"/>
              <w:right w:val="outset" w:sz="6" w:space="0" w:color="000000"/>
            </w:tcBorders>
          </w:tcPr>
          <w:p w14:paraId="1800EA16" w14:textId="77777777" w:rsidR="009A72C5" w:rsidRPr="00D91AE9" w:rsidRDefault="009A72C5" w:rsidP="00DD2EFA">
            <w:pPr>
              <w:spacing w:before="100" w:beforeAutospacing="1" w:after="100" w:afterAutospacing="1"/>
            </w:pPr>
            <w:r w:rsidRPr="00D91AE9">
              <w:t>Projekta izpildē iesaistītās institūcijas</w:t>
            </w:r>
          </w:p>
        </w:tc>
        <w:tc>
          <w:tcPr>
            <w:tcW w:w="2760" w:type="pct"/>
            <w:tcBorders>
              <w:top w:val="outset" w:sz="6" w:space="0" w:color="000000"/>
              <w:left w:val="outset" w:sz="6" w:space="0" w:color="000000"/>
              <w:bottom w:val="outset" w:sz="6" w:space="0" w:color="000000"/>
              <w:right w:val="outset" w:sz="6" w:space="0" w:color="000000"/>
            </w:tcBorders>
          </w:tcPr>
          <w:p w14:paraId="2B8BBC8D" w14:textId="5A780A67" w:rsidR="008E22D1" w:rsidRPr="002A4D0D" w:rsidRDefault="009A72C5" w:rsidP="008E22D1">
            <w:pPr>
              <w:ind w:right="74"/>
              <w:jc w:val="both"/>
              <w:rPr>
                <w:color w:val="000000" w:themeColor="text1"/>
              </w:rPr>
            </w:pPr>
            <w:r w:rsidRPr="002A4D0D">
              <w:rPr>
                <w:color w:val="000000" w:themeColor="text1"/>
              </w:rPr>
              <w:t xml:space="preserve">Atbildīgās iestādes funkcijas pilda </w:t>
            </w:r>
            <w:r w:rsidR="00A20BF7">
              <w:rPr>
                <w:color w:val="000000" w:themeColor="text1"/>
              </w:rPr>
              <w:t>IZM</w:t>
            </w:r>
            <w:r w:rsidRPr="002A4D0D">
              <w:rPr>
                <w:color w:val="000000" w:themeColor="text1"/>
              </w:rPr>
              <w:t xml:space="preserve">, sadarbības iestādes funkcijas – Centrālā finanšu un līgumu aģentūra. </w:t>
            </w:r>
          </w:p>
          <w:p w14:paraId="529D6F19" w14:textId="2BDAD8A9" w:rsidR="00D00915" w:rsidRPr="002A4D0D" w:rsidRDefault="008E22D1" w:rsidP="007D18FC">
            <w:pPr>
              <w:ind w:right="74"/>
              <w:jc w:val="both"/>
              <w:rPr>
                <w:color w:val="000000" w:themeColor="text1"/>
              </w:rPr>
            </w:pPr>
            <w:r w:rsidRPr="002A4D0D">
              <w:rPr>
                <w:color w:val="000000" w:themeColor="text1"/>
              </w:rPr>
              <w:t xml:space="preserve">Finansējuma saņēmēji ir augstākās izglītības institūcijas, tai skaitā koledžas. Sadarbības partneri ir </w:t>
            </w:r>
            <w:r w:rsidRPr="002A4D0D">
              <w:rPr>
                <w:bCs/>
                <w:iCs/>
                <w:color w:val="000000" w:themeColor="text1"/>
              </w:rPr>
              <w:t xml:space="preserve">augstākās izglītības institūcijas, tai skaitā koledžas, </w:t>
            </w:r>
            <w:r w:rsidR="00231F4E" w:rsidRPr="002A4D0D">
              <w:rPr>
                <w:color w:val="000000" w:themeColor="text1"/>
              </w:rPr>
              <w:t>z</w:t>
            </w:r>
            <w:r w:rsidRPr="002A4D0D">
              <w:rPr>
                <w:color w:val="000000" w:themeColor="text1"/>
              </w:rPr>
              <w:t>inātniskās institūcijas. Sadarbības partneris var būt arī ārvalstu augstākās izglītības institūcija.</w:t>
            </w:r>
          </w:p>
        </w:tc>
      </w:tr>
      <w:tr w:rsidR="009A72C5" w:rsidRPr="00D91AE9" w14:paraId="273B7202" w14:textId="77777777" w:rsidTr="00DD2EFA">
        <w:tc>
          <w:tcPr>
            <w:tcW w:w="348" w:type="pct"/>
            <w:tcBorders>
              <w:top w:val="outset" w:sz="6" w:space="0" w:color="000000"/>
              <w:left w:val="outset" w:sz="6" w:space="0" w:color="000000"/>
              <w:bottom w:val="outset" w:sz="6" w:space="0" w:color="000000"/>
              <w:right w:val="outset" w:sz="6" w:space="0" w:color="000000"/>
            </w:tcBorders>
          </w:tcPr>
          <w:p w14:paraId="4F7C183C" w14:textId="77777777" w:rsidR="009A72C5" w:rsidRPr="00D91AE9" w:rsidRDefault="009A72C5" w:rsidP="00DD2EFA">
            <w:pPr>
              <w:spacing w:before="100" w:beforeAutospacing="1" w:after="100" w:afterAutospacing="1"/>
              <w:jc w:val="center"/>
            </w:pPr>
            <w:r w:rsidRPr="00D91AE9">
              <w:t>2.</w:t>
            </w:r>
          </w:p>
        </w:tc>
        <w:tc>
          <w:tcPr>
            <w:tcW w:w="1891" w:type="pct"/>
            <w:tcBorders>
              <w:top w:val="outset" w:sz="6" w:space="0" w:color="000000"/>
              <w:left w:val="outset" w:sz="6" w:space="0" w:color="000000"/>
              <w:bottom w:val="outset" w:sz="6" w:space="0" w:color="000000"/>
              <w:right w:val="outset" w:sz="6" w:space="0" w:color="000000"/>
            </w:tcBorders>
          </w:tcPr>
          <w:p w14:paraId="66BA95A1" w14:textId="77777777" w:rsidR="009A72C5" w:rsidRPr="00D91AE9" w:rsidRDefault="009A72C5" w:rsidP="00DD2EFA">
            <w:r w:rsidRPr="00D91AE9">
              <w:t xml:space="preserve">Projekta izpildes ietekme uz pārvaldes funkcijām un institucionālo struktūru. </w:t>
            </w:r>
          </w:p>
          <w:p w14:paraId="1F0B278B" w14:textId="77777777" w:rsidR="009A72C5" w:rsidRPr="00D91AE9" w:rsidRDefault="009A72C5" w:rsidP="00DD2EFA">
            <w:pPr>
              <w:spacing w:before="100" w:beforeAutospacing="1" w:after="100" w:afterAutospacing="1"/>
            </w:pPr>
            <w:r w:rsidRPr="00D91AE9">
              <w:t>Jaunu institūciju izveide, esošu institūciju likvidācija vai reorganizācija, to ietekme uz institūcijas cilvēkresursiem</w:t>
            </w:r>
          </w:p>
        </w:tc>
        <w:tc>
          <w:tcPr>
            <w:tcW w:w="2760" w:type="pct"/>
            <w:tcBorders>
              <w:top w:val="outset" w:sz="6" w:space="0" w:color="000000"/>
              <w:left w:val="outset" w:sz="6" w:space="0" w:color="000000"/>
              <w:bottom w:val="outset" w:sz="6" w:space="0" w:color="000000"/>
              <w:right w:val="outset" w:sz="6" w:space="0" w:color="000000"/>
            </w:tcBorders>
          </w:tcPr>
          <w:p w14:paraId="09F8C21C" w14:textId="77777777" w:rsidR="009A72C5" w:rsidRPr="002A4D0D" w:rsidRDefault="009A72C5" w:rsidP="00DD2EFA">
            <w:pPr>
              <w:spacing w:before="100" w:beforeAutospacing="1" w:after="100" w:afterAutospacing="1"/>
              <w:jc w:val="both"/>
              <w:rPr>
                <w:b/>
                <w:color w:val="000000" w:themeColor="text1"/>
              </w:rPr>
            </w:pPr>
            <w:r w:rsidRPr="002A4D0D">
              <w:rPr>
                <w:color w:val="000000" w:themeColor="text1"/>
              </w:rPr>
              <w:t>Noteikumu projekts tiks īstenots esošo institūciju un cilvēkresursu ietvaros.</w:t>
            </w:r>
          </w:p>
        </w:tc>
      </w:tr>
      <w:tr w:rsidR="009A72C5" w:rsidRPr="00D91AE9" w14:paraId="3AF74CA0" w14:textId="77777777" w:rsidTr="00DD2EFA">
        <w:tc>
          <w:tcPr>
            <w:tcW w:w="348" w:type="pct"/>
            <w:tcBorders>
              <w:top w:val="outset" w:sz="6" w:space="0" w:color="000000"/>
              <w:left w:val="outset" w:sz="6" w:space="0" w:color="000000"/>
              <w:bottom w:val="outset" w:sz="6" w:space="0" w:color="000000"/>
              <w:right w:val="outset" w:sz="6" w:space="0" w:color="000000"/>
            </w:tcBorders>
          </w:tcPr>
          <w:p w14:paraId="2E91754B" w14:textId="77777777" w:rsidR="009A72C5" w:rsidRPr="00D91AE9" w:rsidRDefault="009A72C5" w:rsidP="00DD2EFA">
            <w:pPr>
              <w:spacing w:before="100" w:beforeAutospacing="1" w:after="100" w:afterAutospacing="1"/>
              <w:jc w:val="center"/>
            </w:pPr>
            <w:r w:rsidRPr="00D91AE9">
              <w:t>3.</w:t>
            </w:r>
          </w:p>
        </w:tc>
        <w:tc>
          <w:tcPr>
            <w:tcW w:w="1891" w:type="pct"/>
            <w:tcBorders>
              <w:top w:val="outset" w:sz="6" w:space="0" w:color="000000"/>
              <w:left w:val="outset" w:sz="6" w:space="0" w:color="000000"/>
              <w:bottom w:val="outset" w:sz="6" w:space="0" w:color="000000"/>
              <w:right w:val="outset" w:sz="6" w:space="0" w:color="000000"/>
            </w:tcBorders>
          </w:tcPr>
          <w:p w14:paraId="1D4D8B6D" w14:textId="77777777" w:rsidR="009A72C5" w:rsidRPr="00D91AE9" w:rsidRDefault="009A72C5" w:rsidP="00DD2EFA">
            <w:pPr>
              <w:spacing w:before="100" w:beforeAutospacing="1" w:after="100" w:afterAutospacing="1"/>
            </w:pPr>
            <w:r w:rsidRPr="00D91AE9">
              <w:t>Cita informācija</w:t>
            </w:r>
          </w:p>
        </w:tc>
        <w:tc>
          <w:tcPr>
            <w:tcW w:w="2760" w:type="pct"/>
            <w:tcBorders>
              <w:top w:val="outset" w:sz="6" w:space="0" w:color="000000"/>
              <w:left w:val="outset" w:sz="6" w:space="0" w:color="000000"/>
              <w:bottom w:val="outset" w:sz="6" w:space="0" w:color="000000"/>
              <w:right w:val="outset" w:sz="6" w:space="0" w:color="000000"/>
            </w:tcBorders>
          </w:tcPr>
          <w:p w14:paraId="42EA8B85" w14:textId="1DE5AC7A" w:rsidR="009A72C5" w:rsidRPr="00D91AE9" w:rsidRDefault="009A72C5" w:rsidP="00DD2EFA">
            <w:pPr>
              <w:spacing w:before="100" w:beforeAutospacing="1" w:after="100" w:afterAutospacing="1"/>
            </w:pPr>
            <w:r w:rsidRPr="00D91AE9">
              <w:t>Nav</w:t>
            </w:r>
            <w:r w:rsidR="00DB2C3C">
              <w:t>.</w:t>
            </w:r>
          </w:p>
        </w:tc>
      </w:tr>
    </w:tbl>
    <w:p w14:paraId="3C4371C3" w14:textId="77777777" w:rsidR="009A72C5" w:rsidRPr="00D91AE9" w:rsidRDefault="009A72C5" w:rsidP="009A72C5"/>
    <w:p w14:paraId="2353BE2F" w14:textId="3C3258D8" w:rsidR="009A72C5" w:rsidRDefault="000D42F2" w:rsidP="009A72C5">
      <w:r>
        <w:t>Anotācijas IV sadaļa – noteikumu projekts šo jomu neskar.</w:t>
      </w:r>
    </w:p>
    <w:p w14:paraId="2BFB24F1" w14:textId="77777777" w:rsidR="00956B56" w:rsidRDefault="00956B56" w:rsidP="009A72C5"/>
    <w:p w14:paraId="328C23CF" w14:textId="77777777" w:rsidR="00231F4E" w:rsidRPr="00D91AE9" w:rsidRDefault="00231F4E" w:rsidP="009A72C5"/>
    <w:p w14:paraId="5EB3E84B" w14:textId="4B83867D" w:rsidR="009A72C5" w:rsidRPr="00D91AE9" w:rsidRDefault="009A72C5" w:rsidP="009A72C5">
      <w:pPr>
        <w:jc w:val="both"/>
      </w:pPr>
      <w:r>
        <w:t>Izglītības un zinātnes ministrs</w:t>
      </w:r>
      <w:r w:rsidRPr="00D91AE9">
        <w:t xml:space="preserve">                       </w:t>
      </w:r>
      <w:r w:rsidR="00155679">
        <w:t xml:space="preserve">                               </w:t>
      </w:r>
      <w:r w:rsidRPr="00D91AE9">
        <w:tab/>
      </w:r>
      <w:r w:rsidR="00155679">
        <w:t xml:space="preserve">Kārlis </w:t>
      </w:r>
      <w:r w:rsidRPr="003E6E13">
        <w:t>Šadurskis</w:t>
      </w:r>
    </w:p>
    <w:p w14:paraId="36E36036" w14:textId="77777777" w:rsidR="009A72C5" w:rsidRPr="00D91AE9" w:rsidRDefault="009A72C5" w:rsidP="009A72C5">
      <w:pPr>
        <w:pStyle w:val="naiskr"/>
        <w:tabs>
          <w:tab w:val="left" w:pos="6870"/>
        </w:tabs>
        <w:spacing w:before="0" w:after="0"/>
      </w:pPr>
    </w:p>
    <w:p w14:paraId="4BEEBEB9" w14:textId="77777777" w:rsidR="009A72C5" w:rsidRPr="00D91AE9" w:rsidRDefault="009A72C5" w:rsidP="009A72C5">
      <w:pPr>
        <w:pStyle w:val="naiskr"/>
        <w:tabs>
          <w:tab w:val="left" w:pos="6870"/>
        </w:tabs>
        <w:spacing w:before="0" w:after="0"/>
      </w:pPr>
    </w:p>
    <w:p w14:paraId="4C636831" w14:textId="04934DFA" w:rsidR="009A72C5" w:rsidRDefault="003D68B4" w:rsidP="00497ED0">
      <w:pPr>
        <w:contextualSpacing/>
        <w:jc w:val="both"/>
        <w:rPr>
          <w:sz w:val="20"/>
          <w:szCs w:val="20"/>
        </w:rPr>
      </w:pPr>
      <w:r w:rsidRPr="003D68B4">
        <w:rPr>
          <w:rFonts w:eastAsia="PMingLiU"/>
        </w:rPr>
        <w:t xml:space="preserve">Vizē: </w:t>
      </w:r>
      <w:r w:rsidR="00497ED0">
        <w:rPr>
          <w:rFonts w:eastAsia="PMingLiU"/>
        </w:rPr>
        <w:t>Valsts sekretāre</w:t>
      </w:r>
      <w:r w:rsidR="00497ED0">
        <w:rPr>
          <w:rFonts w:eastAsia="PMingLiU"/>
        </w:rPr>
        <w:tab/>
      </w:r>
      <w:r w:rsidR="00497ED0">
        <w:rPr>
          <w:rFonts w:eastAsia="PMingLiU"/>
        </w:rPr>
        <w:tab/>
      </w:r>
      <w:r w:rsidR="00497ED0">
        <w:rPr>
          <w:rFonts w:eastAsia="PMingLiU"/>
        </w:rPr>
        <w:tab/>
      </w:r>
      <w:r w:rsidRPr="003D68B4">
        <w:rPr>
          <w:rFonts w:eastAsia="PMingLiU"/>
        </w:rPr>
        <w:t xml:space="preserve">                                </w:t>
      </w:r>
      <w:r>
        <w:rPr>
          <w:rFonts w:eastAsia="PMingLiU"/>
        </w:rPr>
        <w:tab/>
      </w:r>
      <w:r>
        <w:rPr>
          <w:rFonts w:eastAsia="PMingLiU"/>
        </w:rPr>
        <w:tab/>
      </w:r>
      <w:r w:rsidR="00497ED0">
        <w:rPr>
          <w:rFonts w:eastAsia="PMingLiU"/>
        </w:rPr>
        <w:t>Līga Lejiņa</w:t>
      </w:r>
    </w:p>
    <w:p w14:paraId="1CA10FF9" w14:textId="77777777" w:rsidR="009A72C5" w:rsidRDefault="009A72C5" w:rsidP="009A72C5">
      <w:pPr>
        <w:contextualSpacing/>
        <w:jc w:val="both"/>
        <w:rPr>
          <w:sz w:val="20"/>
          <w:szCs w:val="20"/>
        </w:rPr>
      </w:pPr>
    </w:p>
    <w:p w14:paraId="7878D8A9" w14:textId="77777777" w:rsidR="0097057D" w:rsidRDefault="0097057D" w:rsidP="009A72C5">
      <w:pPr>
        <w:contextualSpacing/>
        <w:jc w:val="both"/>
        <w:rPr>
          <w:sz w:val="20"/>
          <w:szCs w:val="20"/>
        </w:rPr>
      </w:pPr>
    </w:p>
    <w:p w14:paraId="4F1CBF4F" w14:textId="77777777" w:rsidR="0097057D" w:rsidRDefault="0097057D" w:rsidP="009A72C5">
      <w:pPr>
        <w:contextualSpacing/>
        <w:jc w:val="both"/>
        <w:rPr>
          <w:sz w:val="20"/>
          <w:szCs w:val="20"/>
        </w:rPr>
      </w:pPr>
    </w:p>
    <w:p w14:paraId="1CE4138A" w14:textId="77777777" w:rsidR="0097057D" w:rsidRDefault="0097057D" w:rsidP="009A72C5">
      <w:pPr>
        <w:contextualSpacing/>
        <w:jc w:val="both"/>
        <w:rPr>
          <w:sz w:val="20"/>
          <w:szCs w:val="20"/>
        </w:rPr>
      </w:pPr>
    </w:p>
    <w:p w14:paraId="74CE66CD" w14:textId="77777777" w:rsidR="0097057D" w:rsidRDefault="0097057D" w:rsidP="009A72C5">
      <w:pPr>
        <w:contextualSpacing/>
        <w:jc w:val="both"/>
        <w:rPr>
          <w:sz w:val="20"/>
          <w:szCs w:val="20"/>
        </w:rPr>
      </w:pPr>
    </w:p>
    <w:p w14:paraId="2D4AC63A" w14:textId="77777777" w:rsidR="0097057D" w:rsidRDefault="0097057D" w:rsidP="009A72C5">
      <w:pPr>
        <w:contextualSpacing/>
        <w:jc w:val="both"/>
        <w:rPr>
          <w:sz w:val="20"/>
          <w:szCs w:val="20"/>
        </w:rPr>
      </w:pPr>
    </w:p>
    <w:p w14:paraId="28A36D5F" w14:textId="77777777" w:rsidR="0097057D" w:rsidRDefault="0097057D" w:rsidP="009A72C5">
      <w:pPr>
        <w:contextualSpacing/>
        <w:jc w:val="both"/>
        <w:rPr>
          <w:sz w:val="20"/>
          <w:szCs w:val="20"/>
        </w:rPr>
      </w:pPr>
    </w:p>
    <w:p w14:paraId="20A7A83C" w14:textId="77777777" w:rsidR="0097057D" w:rsidRDefault="0097057D" w:rsidP="009A72C5">
      <w:pPr>
        <w:contextualSpacing/>
        <w:jc w:val="both"/>
        <w:rPr>
          <w:sz w:val="20"/>
          <w:szCs w:val="20"/>
        </w:rPr>
      </w:pPr>
    </w:p>
    <w:p w14:paraId="5AEDCDA7" w14:textId="77777777" w:rsidR="0097057D" w:rsidRDefault="0097057D" w:rsidP="009A72C5">
      <w:pPr>
        <w:contextualSpacing/>
        <w:jc w:val="both"/>
        <w:rPr>
          <w:sz w:val="20"/>
          <w:szCs w:val="20"/>
        </w:rPr>
      </w:pPr>
    </w:p>
    <w:p w14:paraId="6FF760EC" w14:textId="77777777" w:rsidR="0097057D" w:rsidRDefault="0097057D" w:rsidP="009A72C5">
      <w:pPr>
        <w:contextualSpacing/>
        <w:jc w:val="both"/>
        <w:rPr>
          <w:sz w:val="20"/>
          <w:szCs w:val="20"/>
        </w:rPr>
      </w:pPr>
    </w:p>
    <w:p w14:paraId="004E3519" w14:textId="77777777" w:rsidR="0097057D" w:rsidRDefault="0097057D" w:rsidP="009A72C5">
      <w:pPr>
        <w:contextualSpacing/>
        <w:jc w:val="both"/>
        <w:rPr>
          <w:sz w:val="20"/>
          <w:szCs w:val="20"/>
        </w:rPr>
      </w:pPr>
    </w:p>
    <w:p w14:paraId="69EE73B5" w14:textId="441A3D0E" w:rsidR="009A72C5" w:rsidRPr="00D91AE9" w:rsidRDefault="009A72C5" w:rsidP="009A72C5">
      <w:pPr>
        <w:pStyle w:val="Header"/>
        <w:tabs>
          <w:tab w:val="left" w:pos="2340"/>
        </w:tabs>
        <w:rPr>
          <w:sz w:val="20"/>
          <w:szCs w:val="20"/>
        </w:rPr>
      </w:pPr>
      <w:r w:rsidRPr="00D91AE9">
        <w:rPr>
          <w:sz w:val="20"/>
          <w:szCs w:val="20"/>
        </w:rPr>
        <w:lastRenderedPageBreak/>
        <w:fldChar w:fldCharType="begin"/>
      </w:r>
      <w:r w:rsidRPr="00D91AE9">
        <w:rPr>
          <w:sz w:val="20"/>
          <w:szCs w:val="20"/>
        </w:rPr>
        <w:instrText xml:space="preserve"> DATE  \@ "dd.MM.yyyy H:mm"  \* MERGEFORMAT </w:instrText>
      </w:r>
      <w:r w:rsidRPr="00D91AE9">
        <w:rPr>
          <w:sz w:val="20"/>
          <w:szCs w:val="20"/>
        </w:rPr>
        <w:fldChar w:fldCharType="separate"/>
      </w:r>
      <w:r w:rsidR="001962D2">
        <w:rPr>
          <w:noProof/>
          <w:sz w:val="20"/>
          <w:szCs w:val="20"/>
        </w:rPr>
        <w:t>26.09.2017 10:52</w:t>
      </w:r>
      <w:r w:rsidRPr="00D91AE9">
        <w:rPr>
          <w:sz w:val="20"/>
          <w:szCs w:val="20"/>
        </w:rPr>
        <w:fldChar w:fldCharType="end"/>
      </w:r>
    </w:p>
    <w:p w14:paraId="743BC20E" w14:textId="56F96423" w:rsidR="00593077" w:rsidRPr="00EE1C0A" w:rsidRDefault="0098637E" w:rsidP="00593077">
      <w:pPr>
        <w:spacing w:line="252" w:lineRule="auto"/>
        <w:rPr>
          <w:sz w:val="20"/>
          <w:szCs w:val="20"/>
        </w:rPr>
      </w:pPr>
      <w:r>
        <w:rPr>
          <w:sz w:val="20"/>
          <w:szCs w:val="20"/>
        </w:rPr>
        <w:t>61</w:t>
      </w:r>
      <w:r w:rsidR="001962D2">
        <w:rPr>
          <w:sz w:val="20"/>
          <w:szCs w:val="20"/>
        </w:rPr>
        <w:t>38</w:t>
      </w:r>
    </w:p>
    <w:p w14:paraId="715B983A" w14:textId="10D850AA" w:rsidR="009A72C5" w:rsidRPr="00BD7B17" w:rsidRDefault="00B31A3B" w:rsidP="009A72C5">
      <w:pPr>
        <w:pStyle w:val="Header"/>
        <w:tabs>
          <w:tab w:val="left" w:pos="2340"/>
        </w:tabs>
        <w:rPr>
          <w:sz w:val="20"/>
          <w:szCs w:val="20"/>
        </w:rPr>
      </w:pPr>
      <w:r>
        <w:rPr>
          <w:sz w:val="20"/>
          <w:szCs w:val="20"/>
        </w:rPr>
        <w:t>I.Kalva</w:t>
      </w:r>
      <w:r w:rsidR="009A72C5" w:rsidRPr="00BD7B17">
        <w:rPr>
          <w:sz w:val="20"/>
          <w:szCs w:val="20"/>
        </w:rPr>
        <w:t xml:space="preserve">, </w:t>
      </w:r>
    </w:p>
    <w:p w14:paraId="61EBCDB3" w14:textId="77777777" w:rsidR="009A72C5" w:rsidRPr="00BD7B17" w:rsidRDefault="009A72C5" w:rsidP="009A72C5">
      <w:pPr>
        <w:jc w:val="both"/>
        <w:rPr>
          <w:sz w:val="20"/>
          <w:szCs w:val="20"/>
        </w:rPr>
      </w:pPr>
      <w:r w:rsidRPr="00BD7B17">
        <w:rPr>
          <w:sz w:val="20"/>
          <w:szCs w:val="20"/>
        </w:rPr>
        <w:t>Izglītības un zinātnes ministrijas</w:t>
      </w:r>
    </w:p>
    <w:p w14:paraId="2E3F23C5" w14:textId="77777777" w:rsidR="009A72C5" w:rsidRDefault="009A72C5" w:rsidP="009A72C5">
      <w:pPr>
        <w:jc w:val="both"/>
        <w:rPr>
          <w:sz w:val="20"/>
          <w:szCs w:val="20"/>
        </w:rPr>
      </w:pPr>
      <w:r w:rsidRPr="00BD7B17">
        <w:rPr>
          <w:sz w:val="20"/>
          <w:szCs w:val="20"/>
        </w:rPr>
        <w:t>Struktūrfondu departamenta</w:t>
      </w:r>
      <w:bookmarkStart w:id="1" w:name="_GoBack"/>
      <w:bookmarkEnd w:id="1"/>
    </w:p>
    <w:p w14:paraId="474C0AF1" w14:textId="424938C9" w:rsidR="009A72C5" w:rsidRDefault="009A72C5" w:rsidP="009A72C5">
      <w:pPr>
        <w:jc w:val="both"/>
        <w:rPr>
          <w:sz w:val="20"/>
          <w:szCs w:val="20"/>
        </w:rPr>
      </w:pPr>
      <w:r>
        <w:rPr>
          <w:sz w:val="20"/>
          <w:szCs w:val="20"/>
        </w:rPr>
        <w:t xml:space="preserve">vecākā </w:t>
      </w:r>
      <w:r w:rsidR="00B31A3B">
        <w:rPr>
          <w:sz w:val="20"/>
          <w:szCs w:val="20"/>
        </w:rPr>
        <w:t>eksperte</w:t>
      </w:r>
      <w:r>
        <w:rPr>
          <w:sz w:val="20"/>
          <w:szCs w:val="20"/>
        </w:rPr>
        <w:t xml:space="preserve"> </w:t>
      </w:r>
    </w:p>
    <w:p w14:paraId="4B4C993D" w14:textId="3A890F73" w:rsidR="009A72C5" w:rsidRDefault="009A72C5" w:rsidP="009A72C5">
      <w:pPr>
        <w:jc w:val="both"/>
        <w:rPr>
          <w:sz w:val="20"/>
          <w:szCs w:val="20"/>
        </w:rPr>
      </w:pPr>
      <w:r>
        <w:rPr>
          <w:sz w:val="20"/>
          <w:szCs w:val="20"/>
        </w:rPr>
        <w:t>tālr.: 67047</w:t>
      </w:r>
      <w:r w:rsidR="00B31A3B">
        <w:rPr>
          <w:sz w:val="20"/>
          <w:szCs w:val="20"/>
        </w:rPr>
        <w:t>941</w:t>
      </w:r>
    </w:p>
    <w:p w14:paraId="5B5912B8" w14:textId="3D519616" w:rsidR="00B31A3B" w:rsidRDefault="009A72C5" w:rsidP="009A72C5">
      <w:pPr>
        <w:tabs>
          <w:tab w:val="left" w:pos="927"/>
        </w:tabs>
        <w:rPr>
          <w:sz w:val="20"/>
          <w:szCs w:val="20"/>
        </w:rPr>
      </w:pPr>
      <w:r>
        <w:rPr>
          <w:sz w:val="20"/>
          <w:szCs w:val="20"/>
        </w:rPr>
        <w:t xml:space="preserve">e-pasts: </w:t>
      </w:r>
      <w:hyperlink r:id="rId11" w:history="1">
        <w:r w:rsidR="00B31A3B" w:rsidRPr="00870587">
          <w:rPr>
            <w:rStyle w:val="Hyperlink"/>
            <w:sz w:val="20"/>
            <w:szCs w:val="20"/>
          </w:rPr>
          <w:t>Inese.Kalva@izm.gov.lv</w:t>
        </w:r>
      </w:hyperlink>
    </w:p>
    <w:p w14:paraId="0B46FC9D" w14:textId="77777777" w:rsidR="009A72C5" w:rsidRDefault="009A72C5" w:rsidP="009A72C5">
      <w:pPr>
        <w:tabs>
          <w:tab w:val="left" w:pos="927"/>
        </w:tabs>
        <w:rPr>
          <w:sz w:val="20"/>
          <w:szCs w:val="20"/>
        </w:rPr>
      </w:pPr>
    </w:p>
    <w:p w14:paraId="3D55BA26" w14:textId="7C2CE379" w:rsidR="009A72C5" w:rsidRPr="00BD7B17" w:rsidRDefault="00B31A3B" w:rsidP="009A72C5">
      <w:pPr>
        <w:pStyle w:val="Header"/>
        <w:tabs>
          <w:tab w:val="left" w:pos="2340"/>
        </w:tabs>
        <w:rPr>
          <w:sz w:val="20"/>
          <w:szCs w:val="20"/>
        </w:rPr>
      </w:pPr>
      <w:r>
        <w:rPr>
          <w:sz w:val="20"/>
          <w:szCs w:val="20"/>
        </w:rPr>
        <w:t>V.Abizāre - Vagre</w:t>
      </w:r>
      <w:r w:rsidR="009A72C5" w:rsidRPr="00BD7B17">
        <w:rPr>
          <w:sz w:val="20"/>
          <w:szCs w:val="20"/>
        </w:rPr>
        <w:t xml:space="preserve">, </w:t>
      </w:r>
    </w:p>
    <w:p w14:paraId="1CD3169A" w14:textId="77777777" w:rsidR="009A72C5" w:rsidRPr="00BD7B17" w:rsidRDefault="009A72C5" w:rsidP="009A72C5">
      <w:pPr>
        <w:jc w:val="both"/>
        <w:rPr>
          <w:sz w:val="20"/>
          <w:szCs w:val="20"/>
        </w:rPr>
      </w:pPr>
      <w:r w:rsidRPr="00BD7B17">
        <w:rPr>
          <w:sz w:val="20"/>
          <w:szCs w:val="20"/>
        </w:rPr>
        <w:t>Izglītības un zinātnes ministrijas</w:t>
      </w:r>
    </w:p>
    <w:p w14:paraId="6916E0C5" w14:textId="77777777" w:rsidR="009A72C5" w:rsidRDefault="009A72C5" w:rsidP="009A72C5">
      <w:pPr>
        <w:jc w:val="both"/>
        <w:rPr>
          <w:sz w:val="20"/>
          <w:szCs w:val="20"/>
        </w:rPr>
      </w:pPr>
      <w:r w:rsidRPr="00BD7B17">
        <w:rPr>
          <w:sz w:val="20"/>
          <w:szCs w:val="20"/>
        </w:rPr>
        <w:t>Struktūrfondu departamenta</w:t>
      </w:r>
    </w:p>
    <w:p w14:paraId="2DB9C2B4" w14:textId="1249A268" w:rsidR="009A72C5" w:rsidRDefault="009A72C5" w:rsidP="009A72C5">
      <w:pPr>
        <w:jc w:val="both"/>
        <w:rPr>
          <w:sz w:val="20"/>
          <w:szCs w:val="20"/>
        </w:rPr>
      </w:pPr>
      <w:r>
        <w:rPr>
          <w:sz w:val="20"/>
          <w:szCs w:val="20"/>
        </w:rPr>
        <w:t xml:space="preserve">vecākā </w:t>
      </w:r>
      <w:r w:rsidR="00B31A3B">
        <w:rPr>
          <w:sz w:val="20"/>
          <w:szCs w:val="20"/>
        </w:rPr>
        <w:t>referente</w:t>
      </w:r>
      <w:r>
        <w:rPr>
          <w:sz w:val="20"/>
          <w:szCs w:val="20"/>
        </w:rPr>
        <w:t xml:space="preserve"> </w:t>
      </w:r>
    </w:p>
    <w:p w14:paraId="4A6F44C3" w14:textId="3E0D879B" w:rsidR="009A72C5" w:rsidRDefault="009A72C5" w:rsidP="009A72C5">
      <w:pPr>
        <w:jc w:val="both"/>
        <w:rPr>
          <w:sz w:val="20"/>
          <w:szCs w:val="20"/>
        </w:rPr>
      </w:pPr>
      <w:r>
        <w:rPr>
          <w:sz w:val="20"/>
          <w:szCs w:val="20"/>
        </w:rPr>
        <w:t>tālr.: 6704786</w:t>
      </w:r>
      <w:r w:rsidR="00B31A3B">
        <w:rPr>
          <w:sz w:val="20"/>
          <w:szCs w:val="20"/>
        </w:rPr>
        <w:t>4</w:t>
      </w:r>
    </w:p>
    <w:p w14:paraId="0C2D018E" w14:textId="31B5DDF0" w:rsidR="009A72C5" w:rsidRPr="00E638A8" w:rsidRDefault="009A72C5" w:rsidP="009A72C5">
      <w:pPr>
        <w:tabs>
          <w:tab w:val="left" w:pos="927"/>
        </w:tabs>
      </w:pPr>
      <w:r>
        <w:rPr>
          <w:sz w:val="20"/>
          <w:szCs w:val="20"/>
        </w:rPr>
        <w:t xml:space="preserve">e-pasts: </w:t>
      </w:r>
      <w:hyperlink r:id="rId12" w:history="1">
        <w:r w:rsidR="00B31A3B" w:rsidRPr="00870587">
          <w:rPr>
            <w:rStyle w:val="Hyperlink"/>
            <w:sz w:val="20"/>
            <w:szCs w:val="20"/>
          </w:rPr>
          <w:t>Vesma.Abizare-Vagre@izm.gov.lv</w:t>
        </w:r>
      </w:hyperlink>
    </w:p>
    <w:p w14:paraId="35A16ED7" w14:textId="798549C5" w:rsidR="00B075D9" w:rsidRDefault="00B075D9"/>
    <w:sectPr w:rsidR="00B075D9" w:rsidSect="00DD2EFA">
      <w:headerReference w:type="even" r:id="rId13"/>
      <w:headerReference w:type="default" r:id="rId14"/>
      <w:footerReference w:type="default" r:id="rId15"/>
      <w:footerReference w:type="first" r:id="rId16"/>
      <w:pgSz w:w="11906" w:h="16838"/>
      <w:pgMar w:top="1418" w:right="1416" w:bottom="851" w:left="1843" w:header="709" w:footer="9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620CF" w14:textId="77777777" w:rsidR="000B3CD0" w:rsidRDefault="000B3CD0" w:rsidP="009A72C5">
      <w:r>
        <w:separator/>
      </w:r>
    </w:p>
  </w:endnote>
  <w:endnote w:type="continuationSeparator" w:id="0">
    <w:p w14:paraId="03C1BEF8" w14:textId="77777777" w:rsidR="000B3CD0" w:rsidRDefault="000B3CD0" w:rsidP="009A7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BC18A" w14:textId="38BDA26F" w:rsidR="009661B9" w:rsidRPr="00510A0C" w:rsidRDefault="009661B9" w:rsidP="00DD2EFA">
    <w:pPr>
      <w:jc w:val="both"/>
      <w:rPr>
        <w:sz w:val="20"/>
        <w:szCs w:val="20"/>
      </w:rPr>
    </w:pPr>
    <w:r w:rsidRPr="00510A0C">
      <w:rPr>
        <w:sz w:val="20"/>
        <w:szCs w:val="20"/>
      </w:rPr>
      <w:t>IZMAnot_</w:t>
    </w:r>
    <w:r w:rsidR="0012277E">
      <w:rPr>
        <w:sz w:val="20"/>
        <w:szCs w:val="20"/>
      </w:rPr>
      <w:t>2</w:t>
    </w:r>
    <w:r w:rsidR="0097057D">
      <w:rPr>
        <w:sz w:val="20"/>
        <w:szCs w:val="20"/>
      </w:rPr>
      <w:t>6</w:t>
    </w:r>
    <w:r w:rsidR="0012277E">
      <w:rPr>
        <w:sz w:val="20"/>
        <w:szCs w:val="20"/>
      </w:rPr>
      <w:t>0917_SAM</w:t>
    </w:r>
    <w:r>
      <w:rPr>
        <w:sz w:val="20"/>
        <w:szCs w:val="20"/>
      </w:rPr>
      <w:t>821</w:t>
    </w:r>
    <w:r w:rsidRPr="00510A0C">
      <w:rPr>
        <w:sz w:val="20"/>
        <w:szCs w:val="20"/>
      </w:rPr>
      <w:t>; Ministru kabineta noteikumu projekta „</w:t>
    </w:r>
    <w:r w:rsidRPr="005651E9">
      <w:rPr>
        <w:sz w:val="20"/>
        <w:szCs w:val="20"/>
      </w:rPr>
      <w:t>Darbības programmas „Izaugsme un nodarbinātība”</w:t>
    </w:r>
    <w:r>
      <w:rPr>
        <w:sz w:val="20"/>
        <w:szCs w:val="20"/>
      </w:rPr>
      <w:t xml:space="preserve"> </w:t>
    </w:r>
    <w:r w:rsidRPr="00B606F8">
      <w:rPr>
        <w:sz w:val="20"/>
        <w:szCs w:val="20"/>
      </w:rPr>
      <w:t xml:space="preserve">8.2.1. specifiskā atbalsta mērķa „Samazināt studiju programmu fragmentāciju un stiprināt resursu koplietošanu” </w:t>
    </w:r>
    <w:r w:rsidR="00780384" w:rsidRPr="00780384">
      <w:rPr>
        <w:sz w:val="20"/>
        <w:szCs w:val="20"/>
      </w:rPr>
      <w:t xml:space="preserve">pirmās un otrās projektu iesniegumu atlases kārtas </w:t>
    </w:r>
    <w:r w:rsidRPr="00B606F8">
      <w:rPr>
        <w:sz w:val="20"/>
        <w:szCs w:val="20"/>
      </w:rPr>
      <w:t>īstenošanas noteikumi”</w:t>
    </w:r>
    <w:r w:rsidRPr="005651E9">
      <w:rPr>
        <w:sz w:val="20"/>
        <w:szCs w:val="20"/>
      </w:rPr>
      <w:t xml:space="preserve"> sākotnējās</w:t>
    </w:r>
    <w:r w:rsidRPr="00510A0C">
      <w:rPr>
        <w:sz w:val="20"/>
        <w:szCs w:val="20"/>
      </w:rPr>
      <w:t xml:space="preserve"> ietekmes novērtējuma ziņojums (anotācija)</w:t>
    </w:r>
  </w:p>
  <w:p w14:paraId="3FFCB994" w14:textId="77777777" w:rsidR="009661B9" w:rsidRPr="00B554E7" w:rsidRDefault="009661B9" w:rsidP="00DD2E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8A950" w14:textId="3DBE3CD0" w:rsidR="009661B9" w:rsidRPr="00510A0C" w:rsidRDefault="009661B9" w:rsidP="00DD2EFA">
    <w:pPr>
      <w:jc w:val="both"/>
      <w:rPr>
        <w:sz w:val="20"/>
        <w:szCs w:val="20"/>
      </w:rPr>
    </w:pPr>
    <w:r w:rsidRPr="00B606F8">
      <w:rPr>
        <w:sz w:val="20"/>
        <w:szCs w:val="20"/>
      </w:rPr>
      <w:t>IZMAnot_</w:t>
    </w:r>
    <w:r w:rsidR="0012277E">
      <w:rPr>
        <w:sz w:val="20"/>
        <w:szCs w:val="20"/>
      </w:rPr>
      <w:t>2</w:t>
    </w:r>
    <w:r w:rsidR="0097057D">
      <w:rPr>
        <w:sz w:val="20"/>
        <w:szCs w:val="20"/>
      </w:rPr>
      <w:t>6</w:t>
    </w:r>
    <w:r w:rsidR="0012277E">
      <w:rPr>
        <w:sz w:val="20"/>
        <w:szCs w:val="20"/>
      </w:rPr>
      <w:t>0917_SAM</w:t>
    </w:r>
    <w:r w:rsidRPr="00B606F8">
      <w:rPr>
        <w:sz w:val="20"/>
        <w:szCs w:val="20"/>
      </w:rPr>
      <w:t xml:space="preserve">821; Ministru kabineta noteikumu projekta „Darbības programmas „Izaugsme un nodarbinātība” 8.2.1. specifiskā atbalsta mērķa „Samazināt studiju programmu fragmentāciju un stiprināt resursu koplietošanu” </w:t>
    </w:r>
    <w:r w:rsidR="00780384" w:rsidRPr="00780384">
      <w:rPr>
        <w:sz w:val="20"/>
        <w:szCs w:val="20"/>
      </w:rPr>
      <w:t xml:space="preserve">pirmās un otrās projektu iesniegumu atlases kārtas </w:t>
    </w:r>
    <w:r w:rsidRPr="00B606F8">
      <w:rPr>
        <w:sz w:val="20"/>
        <w:szCs w:val="20"/>
      </w:rPr>
      <w:t>īstenošanas noteikumi”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957DC" w14:textId="77777777" w:rsidR="000B3CD0" w:rsidRDefault="000B3CD0" w:rsidP="009A72C5">
      <w:r>
        <w:separator/>
      </w:r>
    </w:p>
  </w:footnote>
  <w:footnote w:type="continuationSeparator" w:id="0">
    <w:p w14:paraId="5DE613C2" w14:textId="77777777" w:rsidR="000B3CD0" w:rsidRDefault="000B3CD0" w:rsidP="009A72C5">
      <w:r>
        <w:continuationSeparator/>
      </w:r>
    </w:p>
  </w:footnote>
  <w:footnote w:id="1">
    <w:p w14:paraId="4845952A" w14:textId="38F18E33" w:rsidR="009661B9" w:rsidRDefault="009661B9">
      <w:pPr>
        <w:pStyle w:val="FootnoteText"/>
      </w:pPr>
      <w:r>
        <w:rPr>
          <w:rStyle w:val="FootnoteReference"/>
        </w:rPr>
        <w:footnoteRef/>
      </w:r>
      <w:r>
        <w:t xml:space="preserve"> </w:t>
      </w:r>
      <w:hyperlink r:id="rId1" w:history="1">
        <w:r w:rsidRPr="003C1F11">
          <w:rPr>
            <w:rStyle w:val="Hyperlink"/>
          </w:rPr>
          <w:t>http://polsis.mk.gov.lv/documents/4247</w:t>
        </w:r>
      </w:hyperlink>
    </w:p>
  </w:footnote>
  <w:footnote w:id="2">
    <w:p w14:paraId="2361CEB8" w14:textId="47F58243" w:rsidR="009661B9" w:rsidRDefault="009661B9">
      <w:pPr>
        <w:pStyle w:val="FootnoteText"/>
      </w:pPr>
      <w:r>
        <w:rPr>
          <w:rStyle w:val="FootnoteReference"/>
        </w:rPr>
        <w:footnoteRef/>
      </w:r>
      <w:r>
        <w:t xml:space="preserve"> </w:t>
      </w:r>
      <w:r w:rsidRPr="00AA4605">
        <w:t>http://polsis.mk.gov.lv/documents/4781</w:t>
      </w:r>
    </w:p>
  </w:footnote>
  <w:footnote w:id="3">
    <w:p w14:paraId="2A0568DB" w14:textId="77777777" w:rsidR="009661B9" w:rsidRDefault="009661B9" w:rsidP="004D76FF">
      <w:pPr>
        <w:pStyle w:val="FootnoteText"/>
      </w:pPr>
      <w:r>
        <w:rPr>
          <w:rStyle w:val="FootnoteReference"/>
        </w:rPr>
        <w:footnoteRef/>
      </w:r>
      <w:r>
        <w:t xml:space="preserve"> </w:t>
      </w:r>
      <w:r w:rsidRPr="00AA4605">
        <w:t>http://polsis.mk.gov.lv/view.do?id=4608</w:t>
      </w:r>
    </w:p>
  </w:footnote>
  <w:footnote w:id="4">
    <w:p w14:paraId="5CBF99D9" w14:textId="38B288BC" w:rsidR="009661B9" w:rsidRDefault="009661B9" w:rsidP="00312FFA">
      <w:pPr>
        <w:pStyle w:val="FootnoteText"/>
      </w:pPr>
      <w:r>
        <w:rPr>
          <w:rStyle w:val="FootnoteReference"/>
        </w:rPr>
        <w:footnoteRef/>
      </w:r>
      <w:r>
        <w:t xml:space="preserve"> Moderna un nākotnes darba tirgus prasībām atbilstoša izglītības sistēma, kas veicina tautsaimniecības transformāciju un VSS prioritāšu īstenošanai nepieciešamo kompetenču, uzņēmējspējas un radošuma attīstību visos izglītības līmeņos</w:t>
      </w:r>
    </w:p>
  </w:footnote>
  <w:footnote w:id="5">
    <w:p w14:paraId="7F6E578B" w14:textId="57B7FE22" w:rsidR="009661B9" w:rsidRDefault="009661B9" w:rsidP="00312FFA">
      <w:pPr>
        <w:pStyle w:val="FootnoteText"/>
      </w:pPr>
      <w:r>
        <w:rPr>
          <w:rStyle w:val="FootnoteReference"/>
        </w:rPr>
        <w:footnoteRef/>
      </w:r>
      <w:r>
        <w:t xml:space="preserve"> Attīstīta zināšanu bāze un cilvēkkapitāls zināšanu jomās, kurās Latvijai ir salīdzinošās priekšrocības un kas ir nozīmīgas tautsaimniecības transformācijas procesā</w:t>
      </w:r>
    </w:p>
  </w:footnote>
  <w:footnote w:id="6">
    <w:p w14:paraId="0C0C3DCE" w14:textId="76B583B4" w:rsidR="009661B9" w:rsidRDefault="009661B9">
      <w:pPr>
        <w:pStyle w:val="FootnoteText"/>
      </w:pPr>
      <w:r>
        <w:rPr>
          <w:rStyle w:val="FootnoteReference"/>
        </w:rPr>
        <w:footnoteRef/>
      </w:r>
      <w:r>
        <w:t xml:space="preserve"> </w:t>
      </w:r>
      <w:r w:rsidRPr="00894EFE">
        <w:t>Pārskats par augstākās izglītības studiju programmu izvērtēšanas rezultātiem un priekšlikumi turpmākai studiju programmu, sagrupētu studiju virzienos, pilnveidei, uzlabošanai, attīstīšanai, konsolidācijai, slēgšanai, resursu efektīvai izmantošanai un finansēšanai no valsts budžeta līdzekļiem; Augstākās izglītības padome, Rīga, 2013 (pieejams – www.aip.lv/getfile-pdf.php?art=Projekta%20gala%20ZINOJUMS_13_05_2013)</w:t>
      </w:r>
    </w:p>
  </w:footnote>
  <w:footnote w:id="7">
    <w:p w14:paraId="6DE19D85" w14:textId="3C41F02F" w:rsidR="009661B9" w:rsidRDefault="009661B9">
      <w:pPr>
        <w:pStyle w:val="FootnoteText"/>
      </w:pPr>
      <w:r>
        <w:rPr>
          <w:rStyle w:val="FootnoteReference"/>
        </w:rPr>
        <w:footnoteRef/>
      </w:r>
      <w:r>
        <w:t xml:space="preserve"> </w:t>
      </w:r>
      <w:r w:rsidRPr="00666680">
        <w:t>http://www.esfondi.lv/izvertejumi-1</w:t>
      </w:r>
    </w:p>
  </w:footnote>
  <w:footnote w:id="8">
    <w:p w14:paraId="57A88648" w14:textId="77777777" w:rsidR="009661B9" w:rsidRDefault="009661B9" w:rsidP="00A46890">
      <w:pPr>
        <w:pStyle w:val="FootnoteText"/>
      </w:pPr>
      <w:r>
        <w:rPr>
          <w:rStyle w:val="FootnoteReference"/>
        </w:rPr>
        <w:footnoteRef/>
      </w:r>
      <w:r>
        <w:t xml:space="preserve"> </w:t>
      </w:r>
      <w:hyperlink r:id="rId2" w:history="1">
        <w:r w:rsidRPr="00780E6B">
          <w:rPr>
            <w:rStyle w:val="Hyperlink"/>
          </w:rPr>
          <w:t>http://tap.mk.gov.lv/mk/mksedes/saraksts/protokols/?protokols=2017-03-28</w:t>
        </w:r>
      </w:hyperlink>
    </w:p>
  </w:footnote>
  <w:footnote w:id="9">
    <w:p w14:paraId="77344A46" w14:textId="77777777" w:rsidR="009661B9" w:rsidRDefault="009661B9" w:rsidP="00A46890">
      <w:pPr>
        <w:pStyle w:val="FootnoteText"/>
      </w:pPr>
      <w:r>
        <w:rPr>
          <w:rStyle w:val="FootnoteReference"/>
        </w:rPr>
        <w:footnoteRef/>
      </w:r>
      <w:r>
        <w:t xml:space="preserve"> </w:t>
      </w:r>
      <w:r w:rsidRPr="00DF6FED">
        <w:t>Pieejam</w:t>
      </w:r>
      <w:r>
        <w:t>a</w:t>
      </w:r>
      <w:r w:rsidRPr="00DF6FED">
        <w:t xml:space="preserve">: </w:t>
      </w:r>
      <w:hyperlink r:id="rId3" w:history="1">
        <w:r w:rsidRPr="002B21E5">
          <w:rPr>
            <w:rStyle w:val="Hyperlink"/>
          </w:rPr>
          <w:t>http://tap.mk.gov.lv/lv/mk/tap/?pid=40409969&amp;mode=mk&amp;date=2017-03-28</w:t>
        </w:r>
      </w:hyperlink>
    </w:p>
  </w:footnote>
  <w:footnote w:id="10">
    <w:p w14:paraId="54BFD364" w14:textId="014E411B" w:rsidR="009661B9" w:rsidRDefault="009661B9">
      <w:pPr>
        <w:pStyle w:val="FootnoteText"/>
      </w:pPr>
      <w:r>
        <w:rPr>
          <w:rStyle w:val="FootnoteReference"/>
        </w:rPr>
        <w:footnoteRef/>
      </w:r>
      <w:r>
        <w:t xml:space="preserve"> </w:t>
      </w:r>
      <w:r w:rsidRPr="00C66124">
        <w:t>http://viaa.gov.lv/lat/ek_izgl_programmas_iniciativas/erasmusplus/eramus_plus_magistr/kopigas_mag_progr/</w:t>
      </w:r>
    </w:p>
  </w:footnote>
  <w:footnote w:id="11">
    <w:p w14:paraId="32A9D4D3" w14:textId="5684CA24" w:rsidR="009661B9" w:rsidRDefault="009661B9">
      <w:pPr>
        <w:pStyle w:val="FootnoteText"/>
      </w:pPr>
      <w:r>
        <w:rPr>
          <w:rStyle w:val="FootnoteReference"/>
        </w:rPr>
        <w:footnoteRef/>
      </w:r>
      <w:r>
        <w:t xml:space="preserve"> </w:t>
      </w:r>
      <w:hyperlink r:id="rId4" w:history="1">
        <w:r w:rsidRPr="00D62965">
          <w:rPr>
            <w:rStyle w:val="Hyperlink"/>
          </w:rPr>
          <w:t>http://ec.europa.eu/programmes/erasmus-plus/sites/erasmusplus/files/files/resources/erasmus-plus-programme-guide_lv.pdf</w:t>
        </w:r>
      </w:hyperlink>
      <w:r>
        <w:t>, sk. 156.-157.lp.</w:t>
      </w:r>
    </w:p>
  </w:footnote>
  <w:footnote w:id="12">
    <w:p w14:paraId="7F232475" w14:textId="1099C359" w:rsidR="009661B9" w:rsidRDefault="009661B9">
      <w:pPr>
        <w:pStyle w:val="FootnoteText"/>
      </w:pPr>
      <w:r>
        <w:rPr>
          <w:rStyle w:val="FootnoteReference"/>
        </w:rPr>
        <w:footnoteRef/>
      </w:r>
      <w:r>
        <w:t xml:space="preserve"> </w:t>
      </w:r>
      <w:hyperlink r:id="rId5" w:history="1">
        <w:r w:rsidRPr="00870587">
          <w:rPr>
            <w:rStyle w:val="Hyperlink"/>
          </w:rPr>
          <w:t>https://www.makroekonomika.lv/pakalpojumu-eksporta-nozime-latvijas-ekonomika</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39442" w14:textId="77777777" w:rsidR="009661B9" w:rsidRDefault="009661B9" w:rsidP="00DD2EF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7B75E7" w14:textId="77777777" w:rsidR="009661B9" w:rsidRDefault="009661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A7AA8" w14:textId="77777777" w:rsidR="009661B9" w:rsidRDefault="009661B9" w:rsidP="00DD2EF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62D2">
      <w:rPr>
        <w:rStyle w:val="PageNumber"/>
        <w:noProof/>
      </w:rPr>
      <w:t>21</w:t>
    </w:r>
    <w:r>
      <w:rPr>
        <w:rStyle w:val="PageNumber"/>
      </w:rPr>
      <w:fldChar w:fldCharType="end"/>
    </w:r>
  </w:p>
  <w:p w14:paraId="7C5038F3" w14:textId="77777777" w:rsidR="009661B9" w:rsidRDefault="009661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4pt;height:31.3pt" o:bullet="t">
        <v:imagedata r:id="rId1" o:title="JL_Images-05"/>
      </v:shape>
    </w:pict>
  </w:numPicBullet>
  <w:numPicBullet w:numPicBulletId="1">
    <w:pict>
      <v:shape id="_x0000_i1027" type="#_x0000_t75" style="width:15.9pt;height:23.4pt" o:bullet="t">
        <v:imagedata r:id="rId2" o:title="imageedit_2_5296672355"/>
      </v:shape>
    </w:pict>
  </w:numPicBullet>
  <w:abstractNum w:abstractNumId="0">
    <w:nsid w:val="061A4103"/>
    <w:multiLevelType w:val="hybridMultilevel"/>
    <w:tmpl w:val="0AAEFFD2"/>
    <w:lvl w:ilvl="0" w:tplc="CFBAD348">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128248B9"/>
    <w:multiLevelType w:val="hybridMultilevel"/>
    <w:tmpl w:val="B54EE062"/>
    <w:lvl w:ilvl="0" w:tplc="CA04B37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nsid w:val="12F320D9"/>
    <w:multiLevelType w:val="hybridMultilevel"/>
    <w:tmpl w:val="3C666FE0"/>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8953FEA"/>
    <w:multiLevelType w:val="multilevel"/>
    <w:tmpl w:val="27426B8A"/>
    <w:lvl w:ilvl="0">
      <w:start w:val="1"/>
      <w:numFmt w:val="decimal"/>
      <w:pStyle w:val="1pakapesvirsraksts"/>
      <w:lvlText w:val="%1."/>
      <w:lvlJc w:val="left"/>
      <w:pPr>
        <w:ind w:left="720" w:hanging="360"/>
      </w:pPr>
      <w:rPr>
        <w:rFonts w:cs="Times New Roman"/>
      </w:rPr>
    </w:lvl>
    <w:lvl w:ilvl="1">
      <w:start w:val="1"/>
      <w:numFmt w:val="decimal"/>
      <w:pStyle w:val="2pakapesvirsraksts"/>
      <w:isLgl/>
      <w:lvlText w:val="%1.%2."/>
      <w:lvlJc w:val="left"/>
      <w:pPr>
        <w:ind w:left="547" w:hanging="405"/>
      </w:pPr>
      <w:rPr>
        <w:rFonts w:cs="Times New Roman"/>
      </w:rPr>
    </w:lvl>
    <w:lvl w:ilvl="2">
      <w:start w:val="1"/>
      <w:numFmt w:val="decimal"/>
      <w:pStyle w:val="3pakapesvirsraksts"/>
      <w:isLgl/>
      <w:lvlText w:val="%1.%2.%3."/>
      <w:lvlJc w:val="left"/>
      <w:pPr>
        <w:ind w:left="862" w:hanging="720"/>
      </w:pPr>
      <w:rPr>
        <w:rFonts w:cs="Times New Roman"/>
      </w:rPr>
    </w:lvl>
    <w:lvl w:ilvl="3">
      <w:start w:val="1"/>
      <w:numFmt w:val="decimal"/>
      <w:pStyle w:val="4pakapesvirsraksts"/>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
    <w:nsid w:val="1B5D05F6"/>
    <w:multiLevelType w:val="hybridMultilevel"/>
    <w:tmpl w:val="DEE6B8F4"/>
    <w:lvl w:ilvl="0" w:tplc="FECEDAD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nsid w:val="22403488"/>
    <w:multiLevelType w:val="multilevel"/>
    <w:tmpl w:val="2ED053F2"/>
    <w:lvl w:ilvl="0">
      <w:start w:val="1"/>
      <w:numFmt w:val="decimal"/>
      <w:lvlText w:val="%1."/>
      <w:lvlJc w:val="left"/>
      <w:pPr>
        <w:ind w:left="2062" w:hanging="360"/>
      </w:pPr>
      <w:rPr>
        <w:rFonts w:hint="default"/>
      </w:rPr>
    </w:lvl>
    <w:lvl w:ilvl="1">
      <w:start w:val="1"/>
      <w:numFmt w:val="lowerLetter"/>
      <w:lvlText w:val="%2."/>
      <w:lvlJc w:val="left"/>
      <w:pPr>
        <w:ind w:left="6386" w:hanging="432"/>
      </w:pPr>
      <w:rPr>
        <w:rFonts w:ascii="Times New Roman" w:eastAsia="Times New Roman" w:hAnsi="Times New Roman" w:cs="Times New Roman"/>
        <w:b w:val="0"/>
        <w:strike w:val="0"/>
      </w:rPr>
    </w:lvl>
    <w:lvl w:ilvl="2">
      <w:start w:val="1"/>
      <w:numFmt w:val="decimal"/>
      <w:lvlText w:val="%3)"/>
      <w:lvlJc w:val="left"/>
      <w:pPr>
        <w:ind w:left="4626" w:hanging="504"/>
      </w:pPr>
      <w:rPr>
        <w:rFonts w:ascii="Times New Roman" w:eastAsia="Times New Roman" w:hAnsi="Times New Roman" w:cs="Times New Roman"/>
      </w:rPr>
    </w:lvl>
    <w:lvl w:ilvl="3">
      <w:start w:val="1"/>
      <w:numFmt w:val="decimal"/>
      <w:lvlText w:val="%1.%2.%3.%4."/>
      <w:lvlJc w:val="left"/>
      <w:pPr>
        <w:ind w:left="5130" w:hanging="648"/>
      </w:pPr>
      <w:rPr>
        <w:rFonts w:hint="default"/>
      </w:rPr>
    </w:lvl>
    <w:lvl w:ilvl="4">
      <w:start w:val="1"/>
      <w:numFmt w:val="decimal"/>
      <w:lvlText w:val="%1.%2.%3.%4.%5."/>
      <w:lvlJc w:val="left"/>
      <w:pPr>
        <w:ind w:left="5634" w:hanging="792"/>
      </w:pPr>
      <w:rPr>
        <w:rFonts w:hint="default"/>
      </w:rPr>
    </w:lvl>
    <w:lvl w:ilvl="5">
      <w:start w:val="1"/>
      <w:numFmt w:val="decimal"/>
      <w:lvlText w:val="%1.%2.%3.%4.%5.%6."/>
      <w:lvlJc w:val="left"/>
      <w:pPr>
        <w:ind w:left="6138" w:hanging="936"/>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146" w:hanging="1224"/>
      </w:pPr>
      <w:rPr>
        <w:rFonts w:hint="default"/>
      </w:rPr>
    </w:lvl>
    <w:lvl w:ilvl="8">
      <w:start w:val="1"/>
      <w:numFmt w:val="decimal"/>
      <w:lvlText w:val="%1.%2.%3.%4.%5.%6.%7.%8.%9."/>
      <w:lvlJc w:val="left"/>
      <w:pPr>
        <w:ind w:left="7722" w:hanging="1440"/>
      </w:pPr>
      <w:rPr>
        <w:rFonts w:hint="default"/>
      </w:rPr>
    </w:lvl>
  </w:abstractNum>
  <w:abstractNum w:abstractNumId="6">
    <w:nsid w:val="263920B5"/>
    <w:multiLevelType w:val="hybridMultilevel"/>
    <w:tmpl w:val="FA70503E"/>
    <w:lvl w:ilvl="0" w:tplc="B53670B2">
      <w:start w:val="1"/>
      <w:numFmt w:val="bullet"/>
      <w:lvlText w:val="-"/>
      <w:lvlJc w:val="left"/>
      <w:pPr>
        <w:tabs>
          <w:tab w:val="num" w:pos="720"/>
        </w:tabs>
        <w:ind w:left="720" w:hanging="360"/>
      </w:pPr>
      <w:rPr>
        <w:rFonts w:ascii="Times New Roman" w:hAnsi="Times New Roman" w:hint="default"/>
      </w:rPr>
    </w:lvl>
    <w:lvl w:ilvl="1" w:tplc="E50EDAAA" w:tentative="1">
      <w:start w:val="1"/>
      <w:numFmt w:val="bullet"/>
      <w:lvlText w:val="-"/>
      <w:lvlJc w:val="left"/>
      <w:pPr>
        <w:tabs>
          <w:tab w:val="num" w:pos="1440"/>
        </w:tabs>
        <w:ind w:left="1440" w:hanging="360"/>
      </w:pPr>
      <w:rPr>
        <w:rFonts w:ascii="Times New Roman" w:hAnsi="Times New Roman" w:hint="default"/>
      </w:rPr>
    </w:lvl>
    <w:lvl w:ilvl="2" w:tplc="28584654" w:tentative="1">
      <w:start w:val="1"/>
      <w:numFmt w:val="bullet"/>
      <w:lvlText w:val="-"/>
      <w:lvlJc w:val="left"/>
      <w:pPr>
        <w:tabs>
          <w:tab w:val="num" w:pos="2160"/>
        </w:tabs>
        <w:ind w:left="2160" w:hanging="360"/>
      </w:pPr>
      <w:rPr>
        <w:rFonts w:ascii="Times New Roman" w:hAnsi="Times New Roman" w:hint="default"/>
      </w:rPr>
    </w:lvl>
    <w:lvl w:ilvl="3" w:tplc="70284B60" w:tentative="1">
      <w:start w:val="1"/>
      <w:numFmt w:val="bullet"/>
      <w:lvlText w:val="-"/>
      <w:lvlJc w:val="left"/>
      <w:pPr>
        <w:tabs>
          <w:tab w:val="num" w:pos="2880"/>
        </w:tabs>
        <w:ind w:left="2880" w:hanging="360"/>
      </w:pPr>
      <w:rPr>
        <w:rFonts w:ascii="Times New Roman" w:hAnsi="Times New Roman" w:hint="default"/>
      </w:rPr>
    </w:lvl>
    <w:lvl w:ilvl="4" w:tplc="328EBBB2" w:tentative="1">
      <w:start w:val="1"/>
      <w:numFmt w:val="bullet"/>
      <w:lvlText w:val="-"/>
      <w:lvlJc w:val="left"/>
      <w:pPr>
        <w:tabs>
          <w:tab w:val="num" w:pos="3600"/>
        </w:tabs>
        <w:ind w:left="3600" w:hanging="360"/>
      </w:pPr>
      <w:rPr>
        <w:rFonts w:ascii="Times New Roman" w:hAnsi="Times New Roman" w:hint="default"/>
      </w:rPr>
    </w:lvl>
    <w:lvl w:ilvl="5" w:tplc="12D27B8A" w:tentative="1">
      <w:start w:val="1"/>
      <w:numFmt w:val="bullet"/>
      <w:lvlText w:val="-"/>
      <w:lvlJc w:val="left"/>
      <w:pPr>
        <w:tabs>
          <w:tab w:val="num" w:pos="4320"/>
        </w:tabs>
        <w:ind w:left="4320" w:hanging="360"/>
      </w:pPr>
      <w:rPr>
        <w:rFonts w:ascii="Times New Roman" w:hAnsi="Times New Roman" w:hint="default"/>
      </w:rPr>
    </w:lvl>
    <w:lvl w:ilvl="6" w:tplc="FBE4E2AE" w:tentative="1">
      <w:start w:val="1"/>
      <w:numFmt w:val="bullet"/>
      <w:lvlText w:val="-"/>
      <w:lvlJc w:val="left"/>
      <w:pPr>
        <w:tabs>
          <w:tab w:val="num" w:pos="5040"/>
        </w:tabs>
        <w:ind w:left="5040" w:hanging="360"/>
      </w:pPr>
      <w:rPr>
        <w:rFonts w:ascii="Times New Roman" w:hAnsi="Times New Roman" w:hint="default"/>
      </w:rPr>
    </w:lvl>
    <w:lvl w:ilvl="7" w:tplc="E53007B6" w:tentative="1">
      <w:start w:val="1"/>
      <w:numFmt w:val="bullet"/>
      <w:lvlText w:val="-"/>
      <w:lvlJc w:val="left"/>
      <w:pPr>
        <w:tabs>
          <w:tab w:val="num" w:pos="5760"/>
        </w:tabs>
        <w:ind w:left="5760" w:hanging="360"/>
      </w:pPr>
      <w:rPr>
        <w:rFonts w:ascii="Times New Roman" w:hAnsi="Times New Roman" w:hint="default"/>
      </w:rPr>
    </w:lvl>
    <w:lvl w:ilvl="8" w:tplc="13F64084" w:tentative="1">
      <w:start w:val="1"/>
      <w:numFmt w:val="bullet"/>
      <w:lvlText w:val="-"/>
      <w:lvlJc w:val="left"/>
      <w:pPr>
        <w:tabs>
          <w:tab w:val="num" w:pos="6480"/>
        </w:tabs>
        <w:ind w:left="6480" w:hanging="360"/>
      </w:pPr>
      <w:rPr>
        <w:rFonts w:ascii="Times New Roman" w:hAnsi="Times New Roman" w:hint="default"/>
      </w:rPr>
    </w:lvl>
  </w:abstractNum>
  <w:abstractNum w:abstractNumId="7">
    <w:nsid w:val="2BD8263A"/>
    <w:multiLevelType w:val="hybridMultilevel"/>
    <w:tmpl w:val="8FB80442"/>
    <w:lvl w:ilvl="0" w:tplc="223A7BCA">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8">
    <w:nsid w:val="325D5AE9"/>
    <w:multiLevelType w:val="hybridMultilevel"/>
    <w:tmpl w:val="C040CA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78945C4"/>
    <w:multiLevelType w:val="hybridMultilevel"/>
    <w:tmpl w:val="22F2FDCC"/>
    <w:lvl w:ilvl="0" w:tplc="F88CC50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nsid w:val="39774B87"/>
    <w:multiLevelType w:val="hybridMultilevel"/>
    <w:tmpl w:val="46AA40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9827329"/>
    <w:multiLevelType w:val="hybridMultilevel"/>
    <w:tmpl w:val="CCEC3474"/>
    <w:lvl w:ilvl="0" w:tplc="CDA4A210">
      <w:start w:val="5"/>
      <w:numFmt w:val="bullet"/>
      <w:lvlText w:val="-"/>
      <w:lvlJc w:val="left"/>
      <w:pPr>
        <w:ind w:left="417" w:hanging="360"/>
      </w:pPr>
      <w:rPr>
        <w:rFonts w:ascii="Times New Roman" w:eastAsia="Times New Roman" w:hAnsi="Times New Roman" w:cs="Times New Roman" w:hint="default"/>
        <w:sz w:val="28"/>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2">
    <w:nsid w:val="39FC3664"/>
    <w:multiLevelType w:val="hybridMultilevel"/>
    <w:tmpl w:val="92F43BA0"/>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nsid w:val="3D466F26"/>
    <w:multiLevelType w:val="hybridMultilevel"/>
    <w:tmpl w:val="562EAF06"/>
    <w:lvl w:ilvl="0" w:tplc="E1BA40AC">
      <w:numFmt w:val="bullet"/>
      <w:pStyle w:val="BulletsF"/>
      <w:lvlText w:val="•"/>
      <w:lvlJc w:val="left"/>
      <w:pPr>
        <w:ind w:left="1069" w:hanging="360"/>
      </w:pPr>
      <w:rPr>
        <w:rFonts w:ascii="Times New Roman" w:eastAsia="Times New Roman" w:hAnsi="Times New Roman" w:hint="default"/>
        <w:i/>
        <w:color w:val="4F81BD"/>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B547AB"/>
    <w:multiLevelType w:val="hybridMultilevel"/>
    <w:tmpl w:val="7466D56C"/>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430B32DD"/>
    <w:multiLevelType w:val="hybridMultilevel"/>
    <w:tmpl w:val="FF76F1A2"/>
    <w:lvl w:ilvl="0" w:tplc="1112617E">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5349508E"/>
    <w:multiLevelType w:val="hybridMultilevel"/>
    <w:tmpl w:val="8F52E6CE"/>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58C2588"/>
    <w:multiLevelType w:val="multilevel"/>
    <w:tmpl w:val="03901DA6"/>
    <w:lvl w:ilvl="0">
      <w:start w:val="1"/>
      <w:numFmt w:val="bullet"/>
      <w:pStyle w:val="CCBullet"/>
      <w:lvlText w:val=""/>
      <w:lvlPicBulletId w:val="0"/>
      <w:lvlJc w:val="left"/>
      <w:pPr>
        <w:ind w:left="1080" w:hanging="360"/>
      </w:pPr>
      <w:rPr>
        <w:rFonts w:ascii="Symbol" w:hAnsi="Symbol" w:hint="default"/>
        <w:b/>
        <w:i w:val="0"/>
        <w:color w:val="auto"/>
        <w:sz w:val="28"/>
        <w:szCs w:val="16"/>
      </w:rPr>
    </w:lvl>
    <w:lvl w:ilvl="1">
      <w:start w:val="1"/>
      <w:numFmt w:val="bullet"/>
      <w:lvlText w:val=""/>
      <w:lvlPicBulletId w:val="1"/>
      <w:lvlJc w:val="left"/>
      <w:pPr>
        <w:ind w:left="1800" w:hanging="360"/>
      </w:pPr>
      <w:rPr>
        <w:rFonts w:ascii="Symbol" w:hAnsi="Symbol" w:hint="default"/>
        <w:color w:val="auto"/>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8">
    <w:nsid w:val="660478B7"/>
    <w:multiLevelType w:val="hybridMultilevel"/>
    <w:tmpl w:val="A38EE90E"/>
    <w:lvl w:ilvl="0" w:tplc="04260005">
      <w:start w:val="1"/>
      <w:numFmt w:val="bullet"/>
      <w:lvlText w:val=""/>
      <w:lvlJc w:val="left"/>
      <w:pPr>
        <w:ind w:left="1860" w:hanging="360"/>
      </w:pPr>
      <w:rPr>
        <w:rFonts w:ascii="Wingdings" w:hAnsi="Wingdings"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9">
    <w:nsid w:val="68F24D8A"/>
    <w:multiLevelType w:val="hybridMultilevel"/>
    <w:tmpl w:val="C5DAB34A"/>
    <w:lvl w:ilvl="0" w:tplc="9252EC9C">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nsid w:val="690F39CA"/>
    <w:multiLevelType w:val="multilevel"/>
    <w:tmpl w:val="2ED053F2"/>
    <w:lvl w:ilvl="0">
      <w:start w:val="1"/>
      <w:numFmt w:val="decimal"/>
      <w:lvlText w:val="%1."/>
      <w:lvlJc w:val="left"/>
      <w:pPr>
        <w:ind w:left="2062" w:hanging="360"/>
      </w:pPr>
      <w:rPr>
        <w:rFonts w:hint="default"/>
      </w:rPr>
    </w:lvl>
    <w:lvl w:ilvl="1">
      <w:start w:val="1"/>
      <w:numFmt w:val="lowerLetter"/>
      <w:lvlText w:val="%2."/>
      <w:lvlJc w:val="left"/>
      <w:pPr>
        <w:ind w:left="6386" w:hanging="432"/>
      </w:pPr>
      <w:rPr>
        <w:rFonts w:ascii="Times New Roman" w:eastAsia="Times New Roman" w:hAnsi="Times New Roman" w:cs="Times New Roman"/>
        <w:b w:val="0"/>
        <w:strike w:val="0"/>
      </w:rPr>
    </w:lvl>
    <w:lvl w:ilvl="2">
      <w:start w:val="1"/>
      <w:numFmt w:val="decimal"/>
      <w:lvlText w:val="%3)"/>
      <w:lvlJc w:val="left"/>
      <w:pPr>
        <w:ind w:left="4626" w:hanging="504"/>
      </w:pPr>
      <w:rPr>
        <w:rFonts w:ascii="Times New Roman" w:eastAsia="Times New Roman" w:hAnsi="Times New Roman" w:cs="Times New Roman"/>
      </w:rPr>
    </w:lvl>
    <w:lvl w:ilvl="3">
      <w:start w:val="1"/>
      <w:numFmt w:val="decimal"/>
      <w:lvlText w:val="%1.%2.%3.%4."/>
      <w:lvlJc w:val="left"/>
      <w:pPr>
        <w:ind w:left="5130" w:hanging="648"/>
      </w:pPr>
      <w:rPr>
        <w:rFonts w:hint="default"/>
      </w:rPr>
    </w:lvl>
    <w:lvl w:ilvl="4">
      <w:start w:val="1"/>
      <w:numFmt w:val="decimal"/>
      <w:lvlText w:val="%1.%2.%3.%4.%5."/>
      <w:lvlJc w:val="left"/>
      <w:pPr>
        <w:ind w:left="5634" w:hanging="792"/>
      </w:pPr>
      <w:rPr>
        <w:rFonts w:hint="default"/>
      </w:rPr>
    </w:lvl>
    <w:lvl w:ilvl="5">
      <w:start w:val="1"/>
      <w:numFmt w:val="decimal"/>
      <w:lvlText w:val="%1.%2.%3.%4.%5.%6."/>
      <w:lvlJc w:val="left"/>
      <w:pPr>
        <w:ind w:left="6138" w:hanging="936"/>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146" w:hanging="1224"/>
      </w:pPr>
      <w:rPr>
        <w:rFonts w:hint="default"/>
      </w:rPr>
    </w:lvl>
    <w:lvl w:ilvl="8">
      <w:start w:val="1"/>
      <w:numFmt w:val="decimal"/>
      <w:lvlText w:val="%1.%2.%3.%4.%5.%6.%7.%8.%9."/>
      <w:lvlJc w:val="left"/>
      <w:pPr>
        <w:ind w:left="7722" w:hanging="1440"/>
      </w:pPr>
      <w:rPr>
        <w:rFonts w:hint="default"/>
      </w:rPr>
    </w:lvl>
  </w:abstractNum>
  <w:abstractNum w:abstractNumId="21">
    <w:nsid w:val="6B87585E"/>
    <w:multiLevelType w:val="multilevel"/>
    <w:tmpl w:val="03901DA6"/>
    <w:lvl w:ilvl="0">
      <w:start w:val="1"/>
      <w:numFmt w:val="bullet"/>
      <w:lvlText w:val=""/>
      <w:lvlPicBulletId w:val="0"/>
      <w:lvlJc w:val="left"/>
      <w:pPr>
        <w:ind w:left="1080" w:hanging="360"/>
      </w:pPr>
      <w:rPr>
        <w:rFonts w:ascii="Symbol" w:hAnsi="Symbol" w:hint="default"/>
        <w:b/>
        <w:i w:val="0"/>
        <w:color w:val="auto"/>
        <w:sz w:val="28"/>
        <w:szCs w:val="16"/>
      </w:rPr>
    </w:lvl>
    <w:lvl w:ilvl="1">
      <w:start w:val="1"/>
      <w:numFmt w:val="bullet"/>
      <w:lvlText w:val=""/>
      <w:lvlPicBulletId w:val="1"/>
      <w:lvlJc w:val="left"/>
      <w:pPr>
        <w:ind w:left="1800" w:hanging="360"/>
      </w:pPr>
      <w:rPr>
        <w:rFonts w:ascii="Symbol" w:hAnsi="Symbol" w:hint="default"/>
        <w:color w:val="auto"/>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2">
    <w:nsid w:val="6F167356"/>
    <w:multiLevelType w:val="hybridMultilevel"/>
    <w:tmpl w:val="A89858F4"/>
    <w:lvl w:ilvl="0" w:tplc="B272764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78510B08"/>
    <w:multiLevelType w:val="hybridMultilevel"/>
    <w:tmpl w:val="A436138E"/>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9A206004">
      <w:start w:val="1"/>
      <w:numFmt w:val="lowerLetter"/>
      <w:lvlText w:val="%3)"/>
      <w:lvlJc w:val="right"/>
      <w:pPr>
        <w:ind w:left="2160" w:hanging="180"/>
      </w:pPr>
      <w:rPr>
        <w:rFonts w:ascii="Times New Roman" w:eastAsia="Times New Roman" w:hAnsi="Times New Roman" w:cs="Times New Roman"/>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79311CE3"/>
    <w:multiLevelType w:val="hybridMultilevel"/>
    <w:tmpl w:val="AB661908"/>
    <w:lvl w:ilvl="0" w:tplc="A998D974">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68AACE2A">
      <w:start w:val="1"/>
      <w:numFmt w:val="decimal"/>
      <w:lvlText w:val="%3)"/>
      <w:lvlJc w:val="right"/>
      <w:pPr>
        <w:ind w:left="2160" w:hanging="180"/>
      </w:pPr>
      <w:rPr>
        <w:rFonts w:ascii="Times New Roman" w:eastAsia="Times New Roman" w:hAnsi="Times New Roman" w:cs="Times New Roman"/>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7BFF30FE"/>
    <w:multiLevelType w:val="multilevel"/>
    <w:tmpl w:val="3626B4FA"/>
    <w:lvl w:ilvl="0">
      <w:start w:val="1"/>
      <w:numFmt w:val="decimal"/>
      <w:lvlText w:val="%1."/>
      <w:lvlJc w:val="left"/>
      <w:pPr>
        <w:ind w:left="1429"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6">
    <w:nsid w:val="7ECE776E"/>
    <w:multiLevelType w:val="multilevel"/>
    <w:tmpl w:val="2338A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1"/>
  </w:num>
  <w:num w:numId="3">
    <w:abstractNumId w:val="13"/>
  </w:num>
  <w:num w:numId="4">
    <w:abstractNumId w:val="20"/>
  </w:num>
  <w:num w:numId="5">
    <w:abstractNumId w:val="16"/>
  </w:num>
  <w:num w:numId="6">
    <w:abstractNumId w:val="3"/>
  </w:num>
  <w:num w:numId="7">
    <w:abstractNumId w:val="24"/>
  </w:num>
  <w:num w:numId="8">
    <w:abstractNumId w:val="2"/>
  </w:num>
  <w:num w:numId="9">
    <w:abstractNumId w:val="23"/>
  </w:num>
  <w:num w:numId="10">
    <w:abstractNumId w:val="5"/>
  </w:num>
  <w:num w:numId="11">
    <w:abstractNumId w:val="0"/>
  </w:num>
  <w:num w:numId="12">
    <w:abstractNumId w:val="19"/>
  </w:num>
  <w:num w:numId="13">
    <w:abstractNumId w:val="4"/>
  </w:num>
  <w:num w:numId="14">
    <w:abstractNumId w:val="22"/>
  </w:num>
  <w:num w:numId="15">
    <w:abstractNumId w:val="9"/>
  </w:num>
  <w:num w:numId="16">
    <w:abstractNumId w:val="1"/>
  </w:num>
  <w:num w:numId="17">
    <w:abstractNumId w:val="8"/>
  </w:num>
  <w:num w:numId="18">
    <w:abstractNumId w:val="10"/>
  </w:num>
  <w:num w:numId="19">
    <w:abstractNumId w:val="25"/>
  </w:num>
  <w:num w:numId="20">
    <w:abstractNumId w:val="18"/>
  </w:num>
  <w:num w:numId="21">
    <w:abstractNumId w:val="17"/>
  </w:num>
  <w:num w:numId="22">
    <w:abstractNumId w:val="21"/>
  </w:num>
  <w:num w:numId="23">
    <w:abstractNumId w:val="15"/>
  </w:num>
  <w:num w:numId="24">
    <w:abstractNumId w:val="7"/>
  </w:num>
  <w:num w:numId="25">
    <w:abstractNumId w:val="26"/>
  </w:num>
  <w:num w:numId="26">
    <w:abstractNumId w:val="6"/>
  </w:num>
  <w:num w:numId="2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2C5"/>
    <w:rsid w:val="00000661"/>
    <w:rsid w:val="000113AC"/>
    <w:rsid w:val="00017FA3"/>
    <w:rsid w:val="00020014"/>
    <w:rsid w:val="00022F70"/>
    <w:rsid w:val="00023402"/>
    <w:rsid w:val="00023893"/>
    <w:rsid w:val="00026512"/>
    <w:rsid w:val="000313BC"/>
    <w:rsid w:val="00036ADC"/>
    <w:rsid w:val="000376D6"/>
    <w:rsid w:val="00040238"/>
    <w:rsid w:val="000405BA"/>
    <w:rsid w:val="00041498"/>
    <w:rsid w:val="000506CF"/>
    <w:rsid w:val="0006025E"/>
    <w:rsid w:val="00061DB4"/>
    <w:rsid w:val="00063405"/>
    <w:rsid w:val="00063864"/>
    <w:rsid w:val="00063D88"/>
    <w:rsid w:val="0006481E"/>
    <w:rsid w:val="0006633B"/>
    <w:rsid w:val="000708BD"/>
    <w:rsid w:val="00072477"/>
    <w:rsid w:val="00075581"/>
    <w:rsid w:val="00084236"/>
    <w:rsid w:val="0008501B"/>
    <w:rsid w:val="00086A35"/>
    <w:rsid w:val="00087305"/>
    <w:rsid w:val="00087368"/>
    <w:rsid w:val="00087447"/>
    <w:rsid w:val="000876BA"/>
    <w:rsid w:val="0009266F"/>
    <w:rsid w:val="0009556C"/>
    <w:rsid w:val="000966D7"/>
    <w:rsid w:val="00096D59"/>
    <w:rsid w:val="000A47E4"/>
    <w:rsid w:val="000A5878"/>
    <w:rsid w:val="000B1528"/>
    <w:rsid w:val="000B3CD0"/>
    <w:rsid w:val="000B4634"/>
    <w:rsid w:val="000B78D6"/>
    <w:rsid w:val="000C1578"/>
    <w:rsid w:val="000C4951"/>
    <w:rsid w:val="000C4ACF"/>
    <w:rsid w:val="000D1858"/>
    <w:rsid w:val="000D3676"/>
    <w:rsid w:val="000D3CBD"/>
    <w:rsid w:val="000D406D"/>
    <w:rsid w:val="000D42CE"/>
    <w:rsid w:val="000D42F2"/>
    <w:rsid w:val="000D5F17"/>
    <w:rsid w:val="000E08B6"/>
    <w:rsid w:val="000E0C78"/>
    <w:rsid w:val="000E1A1B"/>
    <w:rsid w:val="000E278F"/>
    <w:rsid w:val="000F244D"/>
    <w:rsid w:val="000F4569"/>
    <w:rsid w:val="000F480C"/>
    <w:rsid w:val="001005A5"/>
    <w:rsid w:val="00100AAA"/>
    <w:rsid w:val="00100DAA"/>
    <w:rsid w:val="00103B93"/>
    <w:rsid w:val="00104C4F"/>
    <w:rsid w:val="00113ECC"/>
    <w:rsid w:val="00115642"/>
    <w:rsid w:val="001174E6"/>
    <w:rsid w:val="00121797"/>
    <w:rsid w:val="0012277E"/>
    <w:rsid w:val="00127208"/>
    <w:rsid w:val="001278F2"/>
    <w:rsid w:val="00135DD2"/>
    <w:rsid w:val="001370E4"/>
    <w:rsid w:val="00140A5B"/>
    <w:rsid w:val="0014168F"/>
    <w:rsid w:val="00142751"/>
    <w:rsid w:val="001464E3"/>
    <w:rsid w:val="001519F3"/>
    <w:rsid w:val="00152231"/>
    <w:rsid w:val="00155679"/>
    <w:rsid w:val="00157D74"/>
    <w:rsid w:val="001618E5"/>
    <w:rsid w:val="00161C8B"/>
    <w:rsid w:val="00166F78"/>
    <w:rsid w:val="0017162C"/>
    <w:rsid w:val="00176233"/>
    <w:rsid w:val="00177055"/>
    <w:rsid w:val="00182865"/>
    <w:rsid w:val="00187E50"/>
    <w:rsid w:val="00190C19"/>
    <w:rsid w:val="001949FC"/>
    <w:rsid w:val="001962D2"/>
    <w:rsid w:val="00196637"/>
    <w:rsid w:val="0019713D"/>
    <w:rsid w:val="00197FB3"/>
    <w:rsid w:val="001A4B3E"/>
    <w:rsid w:val="001B26E9"/>
    <w:rsid w:val="001B4CF9"/>
    <w:rsid w:val="001B623C"/>
    <w:rsid w:val="001B72AA"/>
    <w:rsid w:val="001C0069"/>
    <w:rsid w:val="001C04B7"/>
    <w:rsid w:val="001C061F"/>
    <w:rsid w:val="001C39FB"/>
    <w:rsid w:val="001C4B28"/>
    <w:rsid w:val="001C62D2"/>
    <w:rsid w:val="001C66F7"/>
    <w:rsid w:val="001D5A17"/>
    <w:rsid w:val="001D6303"/>
    <w:rsid w:val="001D7512"/>
    <w:rsid w:val="001E4226"/>
    <w:rsid w:val="001E4C26"/>
    <w:rsid w:val="001E536C"/>
    <w:rsid w:val="001E5680"/>
    <w:rsid w:val="001E7BA2"/>
    <w:rsid w:val="001F4E26"/>
    <w:rsid w:val="001F7204"/>
    <w:rsid w:val="00206A1E"/>
    <w:rsid w:val="0022688F"/>
    <w:rsid w:val="00226894"/>
    <w:rsid w:val="002306BD"/>
    <w:rsid w:val="00231F4E"/>
    <w:rsid w:val="00232313"/>
    <w:rsid w:val="00234CA7"/>
    <w:rsid w:val="002355E4"/>
    <w:rsid w:val="00236989"/>
    <w:rsid w:val="00251494"/>
    <w:rsid w:val="00251DD6"/>
    <w:rsid w:val="002570BB"/>
    <w:rsid w:val="00257B2B"/>
    <w:rsid w:val="00263844"/>
    <w:rsid w:val="00273A36"/>
    <w:rsid w:val="002760B7"/>
    <w:rsid w:val="0027669E"/>
    <w:rsid w:val="002808B1"/>
    <w:rsid w:val="00286D2F"/>
    <w:rsid w:val="00287098"/>
    <w:rsid w:val="00291866"/>
    <w:rsid w:val="00292A73"/>
    <w:rsid w:val="00296D6F"/>
    <w:rsid w:val="00296DF5"/>
    <w:rsid w:val="00296FBB"/>
    <w:rsid w:val="00297F95"/>
    <w:rsid w:val="002A1146"/>
    <w:rsid w:val="002A2795"/>
    <w:rsid w:val="002A2C6C"/>
    <w:rsid w:val="002A4537"/>
    <w:rsid w:val="002A46FA"/>
    <w:rsid w:val="002A4D0D"/>
    <w:rsid w:val="002A6154"/>
    <w:rsid w:val="002A7F83"/>
    <w:rsid w:val="002B199E"/>
    <w:rsid w:val="002B3804"/>
    <w:rsid w:val="002B4D66"/>
    <w:rsid w:val="002C0EE6"/>
    <w:rsid w:val="002C7316"/>
    <w:rsid w:val="002C7EB9"/>
    <w:rsid w:val="002D1437"/>
    <w:rsid w:val="002D2854"/>
    <w:rsid w:val="002D5678"/>
    <w:rsid w:val="002D6316"/>
    <w:rsid w:val="002E0AAA"/>
    <w:rsid w:val="002E2644"/>
    <w:rsid w:val="002E5508"/>
    <w:rsid w:val="002E62FD"/>
    <w:rsid w:val="002F1574"/>
    <w:rsid w:val="002F159A"/>
    <w:rsid w:val="002F6136"/>
    <w:rsid w:val="002F7655"/>
    <w:rsid w:val="002F7A71"/>
    <w:rsid w:val="002F7FBD"/>
    <w:rsid w:val="00303048"/>
    <w:rsid w:val="00305C45"/>
    <w:rsid w:val="00312FFA"/>
    <w:rsid w:val="00316DA5"/>
    <w:rsid w:val="00321787"/>
    <w:rsid w:val="003268BB"/>
    <w:rsid w:val="00333DF0"/>
    <w:rsid w:val="003346B2"/>
    <w:rsid w:val="00336B59"/>
    <w:rsid w:val="00342457"/>
    <w:rsid w:val="00342635"/>
    <w:rsid w:val="00342B5E"/>
    <w:rsid w:val="00342DD0"/>
    <w:rsid w:val="00347F57"/>
    <w:rsid w:val="00353055"/>
    <w:rsid w:val="003538CB"/>
    <w:rsid w:val="00355258"/>
    <w:rsid w:val="00355DCC"/>
    <w:rsid w:val="00363751"/>
    <w:rsid w:val="00364BF9"/>
    <w:rsid w:val="00366EA9"/>
    <w:rsid w:val="00371DB6"/>
    <w:rsid w:val="00371DC1"/>
    <w:rsid w:val="00372C9B"/>
    <w:rsid w:val="003760C3"/>
    <w:rsid w:val="003774F4"/>
    <w:rsid w:val="00380382"/>
    <w:rsid w:val="0038114B"/>
    <w:rsid w:val="003815A5"/>
    <w:rsid w:val="00382D36"/>
    <w:rsid w:val="003855A4"/>
    <w:rsid w:val="00387DE2"/>
    <w:rsid w:val="0039245E"/>
    <w:rsid w:val="0039499E"/>
    <w:rsid w:val="00395C7D"/>
    <w:rsid w:val="00397073"/>
    <w:rsid w:val="0039764E"/>
    <w:rsid w:val="003A26F0"/>
    <w:rsid w:val="003A5A12"/>
    <w:rsid w:val="003A5E94"/>
    <w:rsid w:val="003B3537"/>
    <w:rsid w:val="003B3A52"/>
    <w:rsid w:val="003B524E"/>
    <w:rsid w:val="003C0AF5"/>
    <w:rsid w:val="003C1833"/>
    <w:rsid w:val="003C5D6F"/>
    <w:rsid w:val="003D1F68"/>
    <w:rsid w:val="003D356B"/>
    <w:rsid w:val="003D49AB"/>
    <w:rsid w:val="003D5E85"/>
    <w:rsid w:val="003D660B"/>
    <w:rsid w:val="003D68B4"/>
    <w:rsid w:val="003E1987"/>
    <w:rsid w:val="003F0E1E"/>
    <w:rsid w:val="003F109D"/>
    <w:rsid w:val="003F3244"/>
    <w:rsid w:val="003F5557"/>
    <w:rsid w:val="003F7229"/>
    <w:rsid w:val="00402FF0"/>
    <w:rsid w:val="004078BF"/>
    <w:rsid w:val="00421DCA"/>
    <w:rsid w:val="0043430C"/>
    <w:rsid w:val="004426EB"/>
    <w:rsid w:val="004461CB"/>
    <w:rsid w:val="00456192"/>
    <w:rsid w:val="004567F6"/>
    <w:rsid w:val="00462FB9"/>
    <w:rsid w:val="004647F1"/>
    <w:rsid w:val="0047495B"/>
    <w:rsid w:val="00474DE3"/>
    <w:rsid w:val="004771AE"/>
    <w:rsid w:val="00482C9E"/>
    <w:rsid w:val="00494019"/>
    <w:rsid w:val="00494903"/>
    <w:rsid w:val="00495214"/>
    <w:rsid w:val="00495B7A"/>
    <w:rsid w:val="00496B0B"/>
    <w:rsid w:val="00497ED0"/>
    <w:rsid w:val="004A3E36"/>
    <w:rsid w:val="004B39F6"/>
    <w:rsid w:val="004B61FF"/>
    <w:rsid w:val="004B7F40"/>
    <w:rsid w:val="004C05E6"/>
    <w:rsid w:val="004C369A"/>
    <w:rsid w:val="004D131A"/>
    <w:rsid w:val="004D226E"/>
    <w:rsid w:val="004D6858"/>
    <w:rsid w:val="004D6952"/>
    <w:rsid w:val="004D76FF"/>
    <w:rsid w:val="004E0F83"/>
    <w:rsid w:val="004E14F1"/>
    <w:rsid w:val="004E6278"/>
    <w:rsid w:val="004F187A"/>
    <w:rsid w:val="004F470A"/>
    <w:rsid w:val="004F4B83"/>
    <w:rsid w:val="004F72DE"/>
    <w:rsid w:val="005055C9"/>
    <w:rsid w:val="00512CE9"/>
    <w:rsid w:val="00514DE7"/>
    <w:rsid w:val="00515B59"/>
    <w:rsid w:val="00524664"/>
    <w:rsid w:val="00526EDD"/>
    <w:rsid w:val="0053128D"/>
    <w:rsid w:val="00533593"/>
    <w:rsid w:val="00535985"/>
    <w:rsid w:val="00536007"/>
    <w:rsid w:val="00537697"/>
    <w:rsid w:val="0054260A"/>
    <w:rsid w:val="00543315"/>
    <w:rsid w:val="0054514A"/>
    <w:rsid w:val="00546345"/>
    <w:rsid w:val="00550A00"/>
    <w:rsid w:val="00555EF1"/>
    <w:rsid w:val="00557D4B"/>
    <w:rsid w:val="005636A6"/>
    <w:rsid w:val="00564C2C"/>
    <w:rsid w:val="005651E9"/>
    <w:rsid w:val="00580FAC"/>
    <w:rsid w:val="00585567"/>
    <w:rsid w:val="0058721B"/>
    <w:rsid w:val="00593077"/>
    <w:rsid w:val="0059406A"/>
    <w:rsid w:val="00596204"/>
    <w:rsid w:val="005A16EB"/>
    <w:rsid w:val="005B0A0B"/>
    <w:rsid w:val="005B19B9"/>
    <w:rsid w:val="005B37D8"/>
    <w:rsid w:val="005B3840"/>
    <w:rsid w:val="005B413B"/>
    <w:rsid w:val="005C2ECF"/>
    <w:rsid w:val="005C4E7D"/>
    <w:rsid w:val="005C7C46"/>
    <w:rsid w:val="005D359F"/>
    <w:rsid w:val="005D42AC"/>
    <w:rsid w:val="005D6BB4"/>
    <w:rsid w:val="005D712B"/>
    <w:rsid w:val="005E0F38"/>
    <w:rsid w:val="005E57D7"/>
    <w:rsid w:val="005E6641"/>
    <w:rsid w:val="005E7379"/>
    <w:rsid w:val="005F03C1"/>
    <w:rsid w:val="005F1A67"/>
    <w:rsid w:val="006034D2"/>
    <w:rsid w:val="00604607"/>
    <w:rsid w:val="00607AFA"/>
    <w:rsid w:val="00613066"/>
    <w:rsid w:val="0061738F"/>
    <w:rsid w:val="00621531"/>
    <w:rsid w:val="0062442C"/>
    <w:rsid w:val="00624576"/>
    <w:rsid w:val="006274AB"/>
    <w:rsid w:val="00627D43"/>
    <w:rsid w:val="00630EEF"/>
    <w:rsid w:val="006318D7"/>
    <w:rsid w:val="00635F23"/>
    <w:rsid w:val="00641898"/>
    <w:rsid w:val="00643668"/>
    <w:rsid w:val="0064691B"/>
    <w:rsid w:val="0065248E"/>
    <w:rsid w:val="00664A99"/>
    <w:rsid w:val="00666680"/>
    <w:rsid w:val="00667871"/>
    <w:rsid w:val="00671FE8"/>
    <w:rsid w:val="00680356"/>
    <w:rsid w:val="006835B8"/>
    <w:rsid w:val="00686155"/>
    <w:rsid w:val="00686802"/>
    <w:rsid w:val="00687F58"/>
    <w:rsid w:val="00691D43"/>
    <w:rsid w:val="006A071E"/>
    <w:rsid w:val="006A2F64"/>
    <w:rsid w:val="006A407C"/>
    <w:rsid w:val="006A6277"/>
    <w:rsid w:val="006A64B3"/>
    <w:rsid w:val="006C05CD"/>
    <w:rsid w:val="006C162C"/>
    <w:rsid w:val="006D01F6"/>
    <w:rsid w:val="006D30C2"/>
    <w:rsid w:val="006D56F4"/>
    <w:rsid w:val="006D77AB"/>
    <w:rsid w:val="006E4C7A"/>
    <w:rsid w:val="006E5ED8"/>
    <w:rsid w:val="006F0401"/>
    <w:rsid w:val="006F363D"/>
    <w:rsid w:val="006F505F"/>
    <w:rsid w:val="00701EE6"/>
    <w:rsid w:val="0070203A"/>
    <w:rsid w:val="00703A02"/>
    <w:rsid w:val="007047C5"/>
    <w:rsid w:val="00712C5A"/>
    <w:rsid w:val="0071339C"/>
    <w:rsid w:val="00726668"/>
    <w:rsid w:val="00731123"/>
    <w:rsid w:val="00731466"/>
    <w:rsid w:val="00733EF7"/>
    <w:rsid w:val="00742290"/>
    <w:rsid w:val="0074472A"/>
    <w:rsid w:val="00746E4E"/>
    <w:rsid w:val="00746F1E"/>
    <w:rsid w:val="00764083"/>
    <w:rsid w:val="007660C5"/>
    <w:rsid w:val="00766EF8"/>
    <w:rsid w:val="007745EF"/>
    <w:rsid w:val="00776F4C"/>
    <w:rsid w:val="0077730B"/>
    <w:rsid w:val="00780384"/>
    <w:rsid w:val="00782418"/>
    <w:rsid w:val="00786C4B"/>
    <w:rsid w:val="007927D1"/>
    <w:rsid w:val="007964D8"/>
    <w:rsid w:val="007A7F74"/>
    <w:rsid w:val="007B0CD0"/>
    <w:rsid w:val="007B1450"/>
    <w:rsid w:val="007B4B7C"/>
    <w:rsid w:val="007B5016"/>
    <w:rsid w:val="007B678F"/>
    <w:rsid w:val="007B6B13"/>
    <w:rsid w:val="007B7EDC"/>
    <w:rsid w:val="007C072E"/>
    <w:rsid w:val="007C0EA2"/>
    <w:rsid w:val="007C1E94"/>
    <w:rsid w:val="007C3402"/>
    <w:rsid w:val="007C5B02"/>
    <w:rsid w:val="007C5D2E"/>
    <w:rsid w:val="007C6CC1"/>
    <w:rsid w:val="007D00FB"/>
    <w:rsid w:val="007D18FC"/>
    <w:rsid w:val="007D2323"/>
    <w:rsid w:val="007D7934"/>
    <w:rsid w:val="007E05BB"/>
    <w:rsid w:val="007E73A6"/>
    <w:rsid w:val="007F13C1"/>
    <w:rsid w:val="007F1804"/>
    <w:rsid w:val="00801B6C"/>
    <w:rsid w:val="00804844"/>
    <w:rsid w:val="00810701"/>
    <w:rsid w:val="00810BBF"/>
    <w:rsid w:val="0081164C"/>
    <w:rsid w:val="00814A88"/>
    <w:rsid w:val="00817ADD"/>
    <w:rsid w:val="00825F39"/>
    <w:rsid w:val="00831883"/>
    <w:rsid w:val="008331C8"/>
    <w:rsid w:val="008342F2"/>
    <w:rsid w:val="00835A27"/>
    <w:rsid w:val="00835F70"/>
    <w:rsid w:val="008375E4"/>
    <w:rsid w:val="00841191"/>
    <w:rsid w:val="00846244"/>
    <w:rsid w:val="00846258"/>
    <w:rsid w:val="008524DF"/>
    <w:rsid w:val="0085552D"/>
    <w:rsid w:val="008569A9"/>
    <w:rsid w:val="00860B84"/>
    <w:rsid w:val="00865D15"/>
    <w:rsid w:val="00874E85"/>
    <w:rsid w:val="0088705A"/>
    <w:rsid w:val="00893C39"/>
    <w:rsid w:val="00894EFE"/>
    <w:rsid w:val="00897269"/>
    <w:rsid w:val="008A051C"/>
    <w:rsid w:val="008A4ED2"/>
    <w:rsid w:val="008B148D"/>
    <w:rsid w:val="008B14B0"/>
    <w:rsid w:val="008B249A"/>
    <w:rsid w:val="008B36C4"/>
    <w:rsid w:val="008B4A17"/>
    <w:rsid w:val="008B5B7D"/>
    <w:rsid w:val="008C287D"/>
    <w:rsid w:val="008C4B0A"/>
    <w:rsid w:val="008D27B9"/>
    <w:rsid w:val="008E22D1"/>
    <w:rsid w:val="008E350A"/>
    <w:rsid w:val="008E469A"/>
    <w:rsid w:val="008E5E46"/>
    <w:rsid w:val="008F2765"/>
    <w:rsid w:val="008F69EB"/>
    <w:rsid w:val="008F6D17"/>
    <w:rsid w:val="00900135"/>
    <w:rsid w:val="00900EC1"/>
    <w:rsid w:val="0090644A"/>
    <w:rsid w:val="00906889"/>
    <w:rsid w:val="00907D30"/>
    <w:rsid w:val="00912FA3"/>
    <w:rsid w:val="00915E5F"/>
    <w:rsid w:val="00917AF1"/>
    <w:rsid w:val="009214AA"/>
    <w:rsid w:val="009216DB"/>
    <w:rsid w:val="00925723"/>
    <w:rsid w:val="00927887"/>
    <w:rsid w:val="0093159B"/>
    <w:rsid w:val="00934A42"/>
    <w:rsid w:val="00934F5B"/>
    <w:rsid w:val="00936A5D"/>
    <w:rsid w:val="009406CD"/>
    <w:rsid w:val="0094259F"/>
    <w:rsid w:val="00944985"/>
    <w:rsid w:val="00944C1D"/>
    <w:rsid w:val="00951D79"/>
    <w:rsid w:val="00952A54"/>
    <w:rsid w:val="00955CE0"/>
    <w:rsid w:val="00956661"/>
    <w:rsid w:val="00956B56"/>
    <w:rsid w:val="009607AC"/>
    <w:rsid w:val="009609B3"/>
    <w:rsid w:val="00961207"/>
    <w:rsid w:val="009661B9"/>
    <w:rsid w:val="00966AA9"/>
    <w:rsid w:val="0097057D"/>
    <w:rsid w:val="009737F7"/>
    <w:rsid w:val="00974188"/>
    <w:rsid w:val="0098394C"/>
    <w:rsid w:val="0098637E"/>
    <w:rsid w:val="00990D54"/>
    <w:rsid w:val="00990E99"/>
    <w:rsid w:val="009922A4"/>
    <w:rsid w:val="009954FD"/>
    <w:rsid w:val="00996F16"/>
    <w:rsid w:val="009A2488"/>
    <w:rsid w:val="009A5892"/>
    <w:rsid w:val="009A59FF"/>
    <w:rsid w:val="009A6032"/>
    <w:rsid w:val="009A72C5"/>
    <w:rsid w:val="009B1426"/>
    <w:rsid w:val="009B28CE"/>
    <w:rsid w:val="009B2AD0"/>
    <w:rsid w:val="009B2E90"/>
    <w:rsid w:val="009C19B2"/>
    <w:rsid w:val="009C62E4"/>
    <w:rsid w:val="009C6800"/>
    <w:rsid w:val="009D0B23"/>
    <w:rsid w:val="009D36E1"/>
    <w:rsid w:val="009D4994"/>
    <w:rsid w:val="009D588F"/>
    <w:rsid w:val="009D6B83"/>
    <w:rsid w:val="009D7645"/>
    <w:rsid w:val="009E0FC5"/>
    <w:rsid w:val="009E1412"/>
    <w:rsid w:val="009E143E"/>
    <w:rsid w:val="009E49B0"/>
    <w:rsid w:val="009E52AE"/>
    <w:rsid w:val="009E72E9"/>
    <w:rsid w:val="009F125C"/>
    <w:rsid w:val="009F18E1"/>
    <w:rsid w:val="009F511F"/>
    <w:rsid w:val="009F75C1"/>
    <w:rsid w:val="009F7626"/>
    <w:rsid w:val="00A050BA"/>
    <w:rsid w:val="00A067D4"/>
    <w:rsid w:val="00A11E21"/>
    <w:rsid w:val="00A11E64"/>
    <w:rsid w:val="00A133DC"/>
    <w:rsid w:val="00A134A6"/>
    <w:rsid w:val="00A201BC"/>
    <w:rsid w:val="00A20BF7"/>
    <w:rsid w:val="00A20C29"/>
    <w:rsid w:val="00A21213"/>
    <w:rsid w:val="00A23E1C"/>
    <w:rsid w:val="00A31D1C"/>
    <w:rsid w:val="00A324A2"/>
    <w:rsid w:val="00A334A9"/>
    <w:rsid w:val="00A3505C"/>
    <w:rsid w:val="00A3681C"/>
    <w:rsid w:val="00A40F6D"/>
    <w:rsid w:val="00A45CC3"/>
    <w:rsid w:val="00A46890"/>
    <w:rsid w:val="00A46D09"/>
    <w:rsid w:val="00A50AB7"/>
    <w:rsid w:val="00A55415"/>
    <w:rsid w:val="00A60F2F"/>
    <w:rsid w:val="00A64937"/>
    <w:rsid w:val="00A6536B"/>
    <w:rsid w:val="00A662FB"/>
    <w:rsid w:val="00A66EFE"/>
    <w:rsid w:val="00A67B99"/>
    <w:rsid w:val="00A70AB0"/>
    <w:rsid w:val="00A735F8"/>
    <w:rsid w:val="00A91E43"/>
    <w:rsid w:val="00A94611"/>
    <w:rsid w:val="00A95BD5"/>
    <w:rsid w:val="00A96E94"/>
    <w:rsid w:val="00AA1184"/>
    <w:rsid w:val="00AA173D"/>
    <w:rsid w:val="00AA366D"/>
    <w:rsid w:val="00AA4605"/>
    <w:rsid w:val="00AA57B9"/>
    <w:rsid w:val="00AA6448"/>
    <w:rsid w:val="00AA7D2B"/>
    <w:rsid w:val="00AB086A"/>
    <w:rsid w:val="00AB16CD"/>
    <w:rsid w:val="00AB563E"/>
    <w:rsid w:val="00AC1E84"/>
    <w:rsid w:val="00AC226D"/>
    <w:rsid w:val="00AC3149"/>
    <w:rsid w:val="00AC40C6"/>
    <w:rsid w:val="00AC56C6"/>
    <w:rsid w:val="00AD05FE"/>
    <w:rsid w:val="00AD0E02"/>
    <w:rsid w:val="00AD2DA1"/>
    <w:rsid w:val="00AE22C0"/>
    <w:rsid w:val="00AF1941"/>
    <w:rsid w:val="00AF49AD"/>
    <w:rsid w:val="00AF520F"/>
    <w:rsid w:val="00B00B68"/>
    <w:rsid w:val="00B039EC"/>
    <w:rsid w:val="00B075D9"/>
    <w:rsid w:val="00B105B5"/>
    <w:rsid w:val="00B11706"/>
    <w:rsid w:val="00B11A62"/>
    <w:rsid w:val="00B124DD"/>
    <w:rsid w:val="00B1388D"/>
    <w:rsid w:val="00B13927"/>
    <w:rsid w:val="00B16945"/>
    <w:rsid w:val="00B1698D"/>
    <w:rsid w:val="00B179C8"/>
    <w:rsid w:val="00B17AEC"/>
    <w:rsid w:val="00B20736"/>
    <w:rsid w:val="00B20F97"/>
    <w:rsid w:val="00B22679"/>
    <w:rsid w:val="00B22F8E"/>
    <w:rsid w:val="00B2403B"/>
    <w:rsid w:val="00B31411"/>
    <w:rsid w:val="00B31A3B"/>
    <w:rsid w:val="00B32FDE"/>
    <w:rsid w:val="00B4455D"/>
    <w:rsid w:val="00B45413"/>
    <w:rsid w:val="00B46B01"/>
    <w:rsid w:val="00B50D9D"/>
    <w:rsid w:val="00B53B9E"/>
    <w:rsid w:val="00B606F8"/>
    <w:rsid w:val="00B60A82"/>
    <w:rsid w:val="00B60BAD"/>
    <w:rsid w:val="00B63BF0"/>
    <w:rsid w:val="00B6685D"/>
    <w:rsid w:val="00B67AD6"/>
    <w:rsid w:val="00B7435E"/>
    <w:rsid w:val="00B758A8"/>
    <w:rsid w:val="00B7689E"/>
    <w:rsid w:val="00B76A4C"/>
    <w:rsid w:val="00B8204F"/>
    <w:rsid w:val="00B83AE1"/>
    <w:rsid w:val="00B848E2"/>
    <w:rsid w:val="00B86CB0"/>
    <w:rsid w:val="00B86F4E"/>
    <w:rsid w:val="00BA0A3D"/>
    <w:rsid w:val="00BA0E1E"/>
    <w:rsid w:val="00BA2096"/>
    <w:rsid w:val="00BB1E8E"/>
    <w:rsid w:val="00BB7190"/>
    <w:rsid w:val="00BC2E71"/>
    <w:rsid w:val="00BC3037"/>
    <w:rsid w:val="00BC49A3"/>
    <w:rsid w:val="00BC7F8B"/>
    <w:rsid w:val="00BD0D58"/>
    <w:rsid w:val="00BD6245"/>
    <w:rsid w:val="00BE360D"/>
    <w:rsid w:val="00BE6FB9"/>
    <w:rsid w:val="00BF2C96"/>
    <w:rsid w:val="00C044BA"/>
    <w:rsid w:val="00C07733"/>
    <w:rsid w:val="00C1187A"/>
    <w:rsid w:val="00C12E26"/>
    <w:rsid w:val="00C16A21"/>
    <w:rsid w:val="00C16C02"/>
    <w:rsid w:val="00C212F7"/>
    <w:rsid w:val="00C2155A"/>
    <w:rsid w:val="00C23948"/>
    <w:rsid w:val="00C23F6D"/>
    <w:rsid w:val="00C266B3"/>
    <w:rsid w:val="00C304A2"/>
    <w:rsid w:val="00C3429D"/>
    <w:rsid w:val="00C348BD"/>
    <w:rsid w:val="00C34FB0"/>
    <w:rsid w:val="00C44AF1"/>
    <w:rsid w:val="00C45C03"/>
    <w:rsid w:val="00C45DA6"/>
    <w:rsid w:val="00C473ED"/>
    <w:rsid w:val="00C52A7E"/>
    <w:rsid w:val="00C55F65"/>
    <w:rsid w:val="00C60678"/>
    <w:rsid w:val="00C61322"/>
    <w:rsid w:val="00C646E8"/>
    <w:rsid w:val="00C66124"/>
    <w:rsid w:val="00C73F6E"/>
    <w:rsid w:val="00C7767B"/>
    <w:rsid w:val="00C80177"/>
    <w:rsid w:val="00C81201"/>
    <w:rsid w:val="00C83970"/>
    <w:rsid w:val="00C84AB3"/>
    <w:rsid w:val="00C876CC"/>
    <w:rsid w:val="00C903C7"/>
    <w:rsid w:val="00C92809"/>
    <w:rsid w:val="00C932AB"/>
    <w:rsid w:val="00C938A5"/>
    <w:rsid w:val="00C96099"/>
    <w:rsid w:val="00C9798D"/>
    <w:rsid w:val="00CA3B2C"/>
    <w:rsid w:val="00CA5C86"/>
    <w:rsid w:val="00CA7DBC"/>
    <w:rsid w:val="00CB21B8"/>
    <w:rsid w:val="00CB45B4"/>
    <w:rsid w:val="00CB7457"/>
    <w:rsid w:val="00CC0E59"/>
    <w:rsid w:val="00CC3C87"/>
    <w:rsid w:val="00CC5699"/>
    <w:rsid w:val="00CC71F7"/>
    <w:rsid w:val="00CC73AF"/>
    <w:rsid w:val="00CD333E"/>
    <w:rsid w:val="00CE27EA"/>
    <w:rsid w:val="00CE3C79"/>
    <w:rsid w:val="00CE4E41"/>
    <w:rsid w:val="00D00915"/>
    <w:rsid w:val="00D00CB0"/>
    <w:rsid w:val="00D03185"/>
    <w:rsid w:val="00D03F99"/>
    <w:rsid w:val="00D0699B"/>
    <w:rsid w:val="00D06EE5"/>
    <w:rsid w:val="00D0759B"/>
    <w:rsid w:val="00D07F10"/>
    <w:rsid w:val="00D12F64"/>
    <w:rsid w:val="00D16979"/>
    <w:rsid w:val="00D172B8"/>
    <w:rsid w:val="00D236D6"/>
    <w:rsid w:val="00D23703"/>
    <w:rsid w:val="00D2408B"/>
    <w:rsid w:val="00D240D1"/>
    <w:rsid w:val="00D315A7"/>
    <w:rsid w:val="00D3763D"/>
    <w:rsid w:val="00D3764F"/>
    <w:rsid w:val="00D4089A"/>
    <w:rsid w:val="00D43211"/>
    <w:rsid w:val="00D505E9"/>
    <w:rsid w:val="00D54C65"/>
    <w:rsid w:val="00D57761"/>
    <w:rsid w:val="00D72762"/>
    <w:rsid w:val="00D77C8B"/>
    <w:rsid w:val="00D90D88"/>
    <w:rsid w:val="00D93228"/>
    <w:rsid w:val="00D95CB4"/>
    <w:rsid w:val="00D96B01"/>
    <w:rsid w:val="00D97FA5"/>
    <w:rsid w:val="00DA3BBE"/>
    <w:rsid w:val="00DA506E"/>
    <w:rsid w:val="00DA736C"/>
    <w:rsid w:val="00DB2C3C"/>
    <w:rsid w:val="00DB479F"/>
    <w:rsid w:val="00DB7418"/>
    <w:rsid w:val="00DC061B"/>
    <w:rsid w:val="00DC0FF9"/>
    <w:rsid w:val="00DC1482"/>
    <w:rsid w:val="00DC20FA"/>
    <w:rsid w:val="00DC5C41"/>
    <w:rsid w:val="00DD2EFA"/>
    <w:rsid w:val="00DD3F2C"/>
    <w:rsid w:val="00DD6ECF"/>
    <w:rsid w:val="00DE0950"/>
    <w:rsid w:val="00DE2661"/>
    <w:rsid w:val="00DE5919"/>
    <w:rsid w:val="00DF26A7"/>
    <w:rsid w:val="00DF4345"/>
    <w:rsid w:val="00DF6528"/>
    <w:rsid w:val="00E00701"/>
    <w:rsid w:val="00E00997"/>
    <w:rsid w:val="00E04D12"/>
    <w:rsid w:val="00E062B1"/>
    <w:rsid w:val="00E12D65"/>
    <w:rsid w:val="00E13EED"/>
    <w:rsid w:val="00E13FE4"/>
    <w:rsid w:val="00E22274"/>
    <w:rsid w:val="00E246E9"/>
    <w:rsid w:val="00E253F8"/>
    <w:rsid w:val="00E36598"/>
    <w:rsid w:val="00E36889"/>
    <w:rsid w:val="00E36CE0"/>
    <w:rsid w:val="00E3758B"/>
    <w:rsid w:val="00E44654"/>
    <w:rsid w:val="00E45363"/>
    <w:rsid w:val="00E468EE"/>
    <w:rsid w:val="00E475DA"/>
    <w:rsid w:val="00E47E9D"/>
    <w:rsid w:val="00E51F9C"/>
    <w:rsid w:val="00E56C7D"/>
    <w:rsid w:val="00E60705"/>
    <w:rsid w:val="00E711C7"/>
    <w:rsid w:val="00E718C0"/>
    <w:rsid w:val="00E73ED0"/>
    <w:rsid w:val="00E81F50"/>
    <w:rsid w:val="00E83F56"/>
    <w:rsid w:val="00E83FF0"/>
    <w:rsid w:val="00E859FE"/>
    <w:rsid w:val="00E8605F"/>
    <w:rsid w:val="00E93FC1"/>
    <w:rsid w:val="00E95B84"/>
    <w:rsid w:val="00E97F33"/>
    <w:rsid w:val="00EA3612"/>
    <w:rsid w:val="00EA7CFC"/>
    <w:rsid w:val="00EB10CE"/>
    <w:rsid w:val="00EB1F46"/>
    <w:rsid w:val="00EB2418"/>
    <w:rsid w:val="00EB3416"/>
    <w:rsid w:val="00EB55E0"/>
    <w:rsid w:val="00EB606C"/>
    <w:rsid w:val="00EB60D7"/>
    <w:rsid w:val="00EB66EE"/>
    <w:rsid w:val="00ED526A"/>
    <w:rsid w:val="00ED7716"/>
    <w:rsid w:val="00EE1C0A"/>
    <w:rsid w:val="00F038CC"/>
    <w:rsid w:val="00F044C0"/>
    <w:rsid w:val="00F04F3F"/>
    <w:rsid w:val="00F10D97"/>
    <w:rsid w:val="00F12BC8"/>
    <w:rsid w:val="00F12F83"/>
    <w:rsid w:val="00F13C40"/>
    <w:rsid w:val="00F14744"/>
    <w:rsid w:val="00F14F01"/>
    <w:rsid w:val="00F3049C"/>
    <w:rsid w:val="00F32CB1"/>
    <w:rsid w:val="00F36BA9"/>
    <w:rsid w:val="00F421BB"/>
    <w:rsid w:val="00F428B9"/>
    <w:rsid w:val="00F44C77"/>
    <w:rsid w:val="00F4599C"/>
    <w:rsid w:val="00F46F24"/>
    <w:rsid w:val="00F504F9"/>
    <w:rsid w:val="00F566DE"/>
    <w:rsid w:val="00F61B5A"/>
    <w:rsid w:val="00F6363C"/>
    <w:rsid w:val="00F64AFE"/>
    <w:rsid w:val="00F65C8B"/>
    <w:rsid w:val="00F703E1"/>
    <w:rsid w:val="00F71897"/>
    <w:rsid w:val="00F72516"/>
    <w:rsid w:val="00F72E15"/>
    <w:rsid w:val="00F73F7E"/>
    <w:rsid w:val="00F75197"/>
    <w:rsid w:val="00F76013"/>
    <w:rsid w:val="00F76C5F"/>
    <w:rsid w:val="00F76D08"/>
    <w:rsid w:val="00F81628"/>
    <w:rsid w:val="00F81EA5"/>
    <w:rsid w:val="00F93856"/>
    <w:rsid w:val="00F93BA5"/>
    <w:rsid w:val="00F94084"/>
    <w:rsid w:val="00F94854"/>
    <w:rsid w:val="00FA320C"/>
    <w:rsid w:val="00FB355E"/>
    <w:rsid w:val="00FB584C"/>
    <w:rsid w:val="00FB6FE1"/>
    <w:rsid w:val="00FC1357"/>
    <w:rsid w:val="00FC4398"/>
    <w:rsid w:val="00FC44D0"/>
    <w:rsid w:val="00FD0F36"/>
    <w:rsid w:val="00FD156B"/>
    <w:rsid w:val="00FE0F4D"/>
    <w:rsid w:val="00FE28BD"/>
    <w:rsid w:val="00FE2C48"/>
    <w:rsid w:val="00FE6D67"/>
    <w:rsid w:val="00FF2C2E"/>
    <w:rsid w:val="00FF3600"/>
    <w:rsid w:val="00FF4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35B26"/>
  <w15:chartTrackingRefBased/>
  <w15:docId w15:val="{15222CF0-9C8E-41EB-9BDE-F2D9382BC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2C5"/>
    <w:pPr>
      <w:spacing w:after="0" w:line="240" w:lineRule="auto"/>
    </w:pPr>
    <w:rPr>
      <w:rFonts w:ascii="Times New Roman" w:eastAsia="Times New Roman" w:hAnsi="Times New Roman" w:cs="Times New Roman"/>
      <w:sz w:val="24"/>
      <w:szCs w:val="24"/>
      <w:lang w:val="lv-LV" w:eastAsia="lv-LV"/>
    </w:rPr>
  </w:style>
  <w:style w:type="paragraph" w:styleId="Heading2">
    <w:name w:val="heading 2"/>
    <w:basedOn w:val="Normal"/>
    <w:next w:val="Normal"/>
    <w:link w:val="Heading2Char"/>
    <w:uiPriority w:val="9"/>
    <w:semiHidden/>
    <w:unhideWhenUsed/>
    <w:qFormat/>
    <w:rsid w:val="009A72C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qFormat/>
    <w:rsid w:val="009A72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A72C5"/>
    <w:rPr>
      <w:rFonts w:asciiTheme="majorHAnsi" w:eastAsiaTheme="majorEastAsia" w:hAnsiTheme="majorHAnsi" w:cstheme="majorBidi"/>
      <w:b/>
      <w:bCs/>
      <w:color w:val="5B9BD5" w:themeColor="accent1"/>
      <w:sz w:val="26"/>
      <w:szCs w:val="26"/>
      <w:lang w:val="lv-LV" w:eastAsia="lv-LV"/>
    </w:rPr>
  </w:style>
  <w:style w:type="character" w:customStyle="1" w:styleId="Heading4Char">
    <w:name w:val="Heading 4 Char"/>
    <w:basedOn w:val="DefaultParagraphFont"/>
    <w:link w:val="Heading4"/>
    <w:rsid w:val="009A72C5"/>
    <w:rPr>
      <w:rFonts w:ascii="Times New Roman" w:eastAsia="Times New Roman" w:hAnsi="Times New Roman" w:cs="Times New Roman"/>
      <w:b/>
      <w:bCs/>
      <w:sz w:val="28"/>
      <w:szCs w:val="28"/>
      <w:lang w:val="lv-LV" w:eastAsia="lv-LV"/>
    </w:rPr>
  </w:style>
  <w:style w:type="paragraph" w:customStyle="1" w:styleId="naisf">
    <w:name w:val="naisf"/>
    <w:basedOn w:val="Normal"/>
    <w:rsid w:val="009A72C5"/>
    <w:pPr>
      <w:spacing w:before="75" w:after="75"/>
      <w:ind w:firstLine="375"/>
      <w:jc w:val="both"/>
    </w:pPr>
  </w:style>
  <w:style w:type="paragraph" w:customStyle="1" w:styleId="naisnod">
    <w:name w:val="naisnod"/>
    <w:basedOn w:val="Normal"/>
    <w:rsid w:val="009A72C5"/>
    <w:pPr>
      <w:spacing w:before="150" w:after="150"/>
      <w:jc w:val="center"/>
    </w:pPr>
    <w:rPr>
      <w:b/>
      <w:bCs/>
    </w:rPr>
  </w:style>
  <w:style w:type="paragraph" w:customStyle="1" w:styleId="naislab">
    <w:name w:val="naislab"/>
    <w:basedOn w:val="Normal"/>
    <w:rsid w:val="009A72C5"/>
    <w:pPr>
      <w:spacing w:before="75" w:after="75"/>
      <w:jc w:val="right"/>
    </w:pPr>
  </w:style>
  <w:style w:type="paragraph" w:customStyle="1" w:styleId="naiskr">
    <w:name w:val="naiskr"/>
    <w:basedOn w:val="Normal"/>
    <w:rsid w:val="009A72C5"/>
    <w:pPr>
      <w:spacing w:before="75" w:after="75"/>
    </w:pPr>
  </w:style>
  <w:style w:type="paragraph" w:customStyle="1" w:styleId="naisc">
    <w:name w:val="naisc"/>
    <w:basedOn w:val="Normal"/>
    <w:rsid w:val="009A72C5"/>
    <w:pPr>
      <w:spacing w:before="75" w:after="75"/>
      <w:jc w:val="center"/>
    </w:pPr>
  </w:style>
  <w:style w:type="paragraph" w:styleId="Header">
    <w:name w:val="header"/>
    <w:aliases w:val="18pt Bold"/>
    <w:basedOn w:val="Normal"/>
    <w:link w:val="HeaderChar"/>
    <w:uiPriority w:val="99"/>
    <w:rsid w:val="009A72C5"/>
    <w:pPr>
      <w:tabs>
        <w:tab w:val="center" w:pos="4153"/>
        <w:tab w:val="right" w:pos="8306"/>
      </w:tabs>
    </w:pPr>
  </w:style>
  <w:style w:type="character" w:customStyle="1" w:styleId="HeaderChar">
    <w:name w:val="Header Char"/>
    <w:aliases w:val="18pt Bold Char"/>
    <w:basedOn w:val="DefaultParagraphFont"/>
    <w:link w:val="Header"/>
    <w:uiPriority w:val="99"/>
    <w:rsid w:val="009A72C5"/>
    <w:rPr>
      <w:rFonts w:ascii="Times New Roman" w:eastAsia="Times New Roman" w:hAnsi="Times New Roman" w:cs="Times New Roman"/>
      <w:sz w:val="24"/>
      <w:szCs w:val="24"/>
      <w:lang w:val="lv-LV" w:eastAsia="lv-LV"/>
    </w:rPr>
  </w:style>
  <w:style w:type="character" w:styleId="PageNumber">
    <w:name w:val="page number"/>
    <w:basedOn w:val="DefaultParagraphFont"/>
    <w:rsid w:val="009A72C5"/>
  </w:style>
  <w:style w:type="paragraph" w:styleId="Footer">
    <w:name w:val="footer"/>
    <w:basedOn w:val="Normal"/>
    <w:link w:val="FooterChar"/>
    <w:uiPriority w:val="99"/>
    <w:rsid w:val="009A72C5"/>
    <w:pPr>
      <w:tabs>
        <w:tab w:val="center" w:pos="4153"/>
        <w:tab w:val="right" w:pos="8306"/>
      </w:tabs>
    </w:pPr>
  </w:style>
  <w:style w:type="character" w:customStyle="1" w:styleId="FooterChar">
    <w:name w:val="Footer Char"/>
    <w:basedOn w:val="DefaultParagraphFont"/>
    <w:link w:val="Footer"/>
    <w:uiPriority w:val="99"/>
    <w:rsid w:val="009A72C5"/>
    <w:rPr>
      <w:rFonts w:ascii="Times New Roman" w:eastAsia="Times New Roman" w:hAnsi="Times New Roman" w:cs="Times New Roman"/>
      <w:sz w:val="24"/>
      <w:szCs w:val="24"/>
      <w:lang w:val="lv-LV" w:eastAsia="lv-LV"/>
    </w:rPr>
  </w:style>
  <w:style w:type="paragraph" w:styleId="NormalWeb">
    <w:name w:val="Normal (Web)"/>
    <w:basedOn w:val="Normal"/>
    <w:uiPriority w:val="99"/>
    <w:rsid w:val="009A72C5"/>
    <w:pPr>
      <w:spacing w:before="75" w:after="75"/>
    </w:pPr>
    <w:rPr>
      <w:rFonts w:eastAsia="SimSun"/>
      <w:noProof/>
      <w:lang w:eastAsia="zh-CN"/>
    </w:rPr>
  </w:style>
  <w:style w:type="character" w:styleId="Hyperlink">
    <w:name w:val="Hyperlink"/>
    <w:uiPriority w:val="99"/>
    <w:rsid w:val="009A72C5"/>
    <w:rPr>
      <w:color w:val="0000FF"/>
      <w:u w:val="single"/>
    </w:rPr>
  </w:style>
  <w:style w:type="paragraph" w:styleId="PlainText">
    <w:name w:val="Plain Text"/>
    <w:basedOn w:val="Normal"/>
    <w:link w:val="PlainTextChar"/>
    <w:rsid w:val="009A72C5"/>
    <w:rPr>
      <w:rFonts w:ascii="Courier New" w:hAnsi="Courier New" w:cs="Courier New"/>
      <w:sz w:val="20"/>
      <w:szCs w:val="20"/>
    </w:rPr>
  </w:style>
  <w:style w:type="character" w:customStyle="1" w:styleId="PlainTextChar">
    <w:name w:val="Plain Text Char"/>
    <w:basedOn w:val="DefaultParagraphFont"/>
    <w:link w:val="PlainText"/>
    <w:rsid w:val="009A72C5"/>
    <w:rPr>
      <w:rFonts w:ascii="Courier New" w:eastAsia="Times New Roman" w:hAnsi="Courier New" w:cs="Courier New"/>
      <w:sz w:val="20"/>
      <w:szCs w:val="20"/>
      <w:lang w:val="lv-LV" w:eastAsia="lv-LV"/>
    </w:rPr>
  </w:style>
  <w:style w:type="paragraph" w:styleId="BalloonText">
    <w:name w:val="Balloon Text"/>
    <w:basedOn w:val="Normal"/>
    <w:link w:val="BalloonTextChar"/>
    <w:uiPriority w:val="99"/>
    <w:semiHidden/>
    <w:rsid w:val="009A72C5"/>
    <w:rPr>
      <w:rFonts w:ascii="Tahoma" w:hAnsi="Tahoma" w:cs="Tahoma"/>
      <w:sz w:val="16"/>
      <w:szCs w:val="16"/>
    </w:rPr>
  </w:style>
  <w:style w:type="character" w:customStyle="1" w:styleId="BalloonTextChar">
    <w:name w:val="Balloon Text Char"/>
    <w:basedOn w:val="DefaultParagraphFont"/>
    <w:link w:val="BalloonText"/>
    <w:uiPriority w:val="99"/>
    <w:semiHidden/>
    <w:rsid w:val="009A72C5"/>
    <w:rPr>
      <w:rFonts w:ascii="Tahoma" w:eastAsia="Times New Roman" w:hAnsi="Tahoma" w:cs="Tahoma"/>
      <w:sz w:val="16"/>
      <w:szCs w:val="16"/>
      <w:lang w:val="lv-LV" w:eastAsia="lv-LV"/>
    </w:rPr>
  </w:style>
  <w:style w:type="character" w:styleId="CommentReference">
    <w:name w:val="annotation reference"/>
    <w:uiPriority w:val="99"/>
    <w:rsid w:val="009A72C5"/>
    <w:rPr>
      <w:sz w:val="16"/>
      <w:szCs w:val="16"/>
    </w:rPr>
  </w:style>
  <w:style w:type="paragraph" w:styleId="CommentText">
    <w:name w:val="annotation text"/>
    <w:basedOn w:val="Normal"/>
    <w:link w:val="CommentTextChar"/>
    <w:uiPriority w:val="99"/>
    <w:rsid w:val="009A72C5"/>
    <w:rPr>
      <w:sz w:val="20"/>
      <w:szCs w:val="20"/>
    </w:rPr>
  </w:style>
  <w:style w:type="character" w:customStyle="1" w:styleId="CommentTextChar">
    <w:name w:val="Comment Text Char"/>
    <w:basedOn w:val="DefaultParagraphFont"/>
    <w:link w:val="CommentText"/>
    <w:uiPriority w:val="99"/>
    <w:rsid w:val="009A72C5"/>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rsid w:val="009A72C5"/>
    <w:rPr>
      <w:b/>
      <w:bCs/>
    </w:rPr>
  </w:style>
  <w:style w:type="character" w:customStyle="1" w:styleId="CommentSubjectChar">
    <w:name w:val="Comment Subject Char"/>
    <w:basedOn w:val="CommentTextChar"/>
    <w:link w:val="CommentSubject"/>
    <w:uiPriority w:val="99"/>
    <w:semiHidden/>
    <w:rsid w:val="009A72C5"/>
    <w:rPr>
      <w:rFonts w:ascii="Times New Roman" w:eastAsia="Times New Roman" w:hAnsi="Times New Roman" w:cs="Times New Roman"/>
      <w:b/>
      <w:bCs/>
      <w:sz w:val="20"/>
      <w:szCs w:val="20"/>
      <w:lang w:val="lv-LV" w:eastAsia="lv-LV"/>
    </w:rPr>
  </w:style>
  <w:style w:type="character" w:styleId="Strong">
    <w:name w:val="Strong"/>
    <w:uiPriority w:val="22"/>
    <w:qFormat/>
    <w:rsid w:val="009A72C5"/>
    <w:rPr>
      <w:b/>
      <w:bCs/>
    </w:rPr>
  </w:style>
  <w:style w:type="character" w:styleId="Emphasis">
    <w:name w:val="Emphasis"/>
    <w:uiPriority w:val="20"/>
    <w:qFormat/>
    <w:rsid w:val="009A72C5"/>
    <w:rPr>
      <w:i/>
      <w:iCs/>
    </w:rPr>
  </w:style>
  <w:style w:type="character" w:customStyle="1" w:styleId="ParagraphChar">
    <w:name w:val="Paragraph Char"/>
    <w:link w:val="Paragraph"/>
    <w:locked/>
    <w:rsid w:val="009A72C5"/>
    <w:rPr>
      <w:rFonts w:ascii="Arial" w:hAnsi="Arial" w:cs="Arial"/>
      <w:lang w:val="en-GB" w:eastAsia="fr-FR"/>
    </w:rPr>
  </w:style>
  <w:style w:type="paragraph" w:customStyle="1" w:styleId="Paragraph">
    <w:name w:val="Paragraph"/>
    <w:basedOn w:val="Normal"/>
    <w:link w:val="ParagraphChar"/>
    <w:rsid w:val="009A72C5"/>
    <w:pPr>
      <w:spacing w:before="120" w:after="120"/>
      <w:ind w:left="1418" w:hanging="1418"/>
      <w:jc w:val="both"/>
    </w:pPr>
    <w:rPr>
      <w:rFonts w:ascii="Arial" w:eastAsiaTheme="minorHAnsi" w:hAnsi="Arial" w:cs="Arial"/>
      <w:sz w:val="22"/>
      <w:szCs w:val="22"/>
      <w:lang w:val="en-GB" w:eastAsia="fr-FR"/>
    </w:rPr>
  </w:style>
  <w:style w:type="paragraph" w:customStyle="1" w:styleId="tvhtml">
    <w:name w:val="tv_html"/>
    <w:basedOn w:val="Normal"/>
    <w:rsid w:val="009A72C5"/>
    <w:pPr>
      <w:spacing w:before="100" w:beforeAutospacing="1" w:after="100" w:afterAutospacing="1"/>
    </w:p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rsid w:val="009A72C5"/>
    <w:pPr>
      <w:jc w:val="both"/>
    </w:pPr>
    <w:rPr>
      <w:sz w:val="20"/>
      <w:szCs w:val="20"/>
      <w:lang w:eastAsia="en-US"/>
    </w:rPr>
  </w:style>
  <w:style w:type="character" w:customStyle="1" w:styleId="FootnoteTextChar">
    <w:name w:val="Footnote Text Char"/>
    <w:aliases w:val="Footnote Char,Fußnote Char,Char Char,Char Rakstz. Rakstz. Rakstz. Rakstz. Rakstz. Rakstz. Rakstz. Char,Char Rakstz. Rakstz. Rakstz. Rakstz. Rakstz. Rakstz. Char,single spa Char"/>
    <w:basedOn w:val="DefaultParagraphFont"/>
    <w:link w:val="FootnoteText"/>
    <w:uiPriority w:val="99"/>
    <w:rsid w:val="009A72C5"/>
    <w:rPr>
      <w:rFonts w:ascii="Times New Roman" w:eastAsia="Times New Roman" w:hAnsi="Times New Roman" w:cs="Times New Roman"/>
      <w:sz w:val="20"/>
      <w:szCs w:val="20"/>
      <w:lang w:val="lv-LV"/>
    </w:rPr>
  </w:style>
  <w:style w:type="character" w:styleId="FootnoteReference">
    <w:name w:val="footnote reference"/>
    <w:aliases w:val="Footnote Reference Number,SUPERS,Footnote symbol,Footnote Refernece,ftref,Footnote Reference Superscript,Vēres atsauce,stylish,BVI fnr,Fußnotenzeichen_Raxen,callout,Odwołanie przypisu,Footnotes refss,Ref,de nota al pie,Times 10 Point"/>
    <w:link w:val="CharCharCharChar"/>
    <w:uiPriority w:val="99"/>
    <w:rsid w:val="009A72C5"/>
    <w:rPr>
      <w:rFonts w:ascii="Times New Roman" w:hAnsi="Times New Roman"/>
      <w:vertAlign w:val="superscript"/>
    </w:rPr>
  </w:style>
  <w:style w:type="paragraph" w:styleId="ListParagraph">
    <w:name w:val="List Paragraph"/>
    <w:aliases w:val="2,Strip,H&amp;P List Paragraph,Colorful List - Accent 12"/>
    <w:basedOn w:val="Normal"/>
    <w:link w:val="ListParagraphChar"/>
    <w:uiPriority w:val="34"/>
    <w:qFormat/>
    <w:rsid w:val="009A72C5"/>
    <w:pPr>
      <w:ind w:left="720"/>
      <w:contextualSpacing/>
      <w:jc w:val="both"/>
    </w:pPr>
    <w:rPr>
      <w:szCs w:val="20"/>
      <w:lang w:eastAsia="en-US"/>
    </w:rPr>
  </w:style>
  <w:style w:type="character" w:customStyle="1" w:styleId="ListParagraphChar">
    <w:name w:val="List Paragraph Char"/>
    <w:aliases w:val="2 Char,Strip Char,H&amp;P List Paragraph Char,Colorful List - Accent 12 Char"/>
    <w:link w:val="ListParagraph"/>
    <w:uiPriority w:val="34"/>
    <w:locked/>
    <w:rsid w:val="009A72C5"/>
    <w:rPr>
      <w:rFonts w:ascii="Times New Roman" w:eastAsia="Times New Roman" w:hAnsi="Times New Roman" w:cs="Times New Roman"/>
      <w:sz w:val="24"/>
      <w:szCs w:val="20"/>
      <w:lang w:val="lv-LV"/>
    </w:rPr>
  </w:style>
  <w:style w:type="paragraph" w:customStyle="1" w:styleId="Default">
    <w:name w:val="Default"/>
    <w:rsid w:val="009A72C5"/>
    <w:pPr>
      <w:autoSpaceDE w:val="0"/>
      <w:autoSpaceDN w:val="0"/>
      <w:adjustRightInd w:val="0"/>
      <w:spacing w:after="0" w:line="240" w:lineRule="auto"/>
    </w:pPr>
    <w:rPr>
      <w:rFonts w:ascii="Times New Roman" w:eastAsia="Calibri" w:hAnsi="Times New Roman" w:cs="Times New Roman"/>
      <w:color w:val="000000"/>
      <w:sz w:val="24"/>
      <w:szCs w:val="24"/>
      <w:lang w:val="lv-LV"/>
    </w:rPr>
  </w:style>
  <w:style w:type="paragraph" w:customStyle="1" w:styleId="CharCharCharChar">
    <w:name w:val="Char Char Char Char"/>
    <w:aliases w:val="Char2"/>
    <w:basedOn w:val="Normal"/>
    <w:next w:val="Normal"/>
    <w:link w:val="FootnoteReference"/>
    <w:uiPriority w:val="99"/>
    <w:rsid w:val="009A72C5"/>
    <w:pPr>
      <w:spacing w:after="160" w:line="240" w:lineRule="exact"/>
      <w:jc w:val="both"/>
      <w:textAlignment w:val="baseline"/>
    </w:pPr>
    <w:rPr>
      <w:rFonts w:eastAsiaTheme="minorHAnsi" w:cstheme="minorBidi"/>
      <w:sz w:val="22"/>
      <w:szCs w:val="22"/>
      <w:vertAlign w:val="superscript"/>
      <w:lang w:val="en-US" w:eastAsia="en-US"/>
    </w:rPr>
  </w:style>
  <w:style w:type="paragraph" w:customStyle="1" w:styleId="H2">
    <w:name w:val="H2"/>
    <w:basedOn w:val="Heading2"/>
    <w:qFormat/>
    <w:rsid w:val="009A72C5"/>
    <w:pPr>
      <w:keepLines w:val="0"/>
      <w:spacing w:before="480" w:after="240"/>
      <w:ind w:left="284" w:right="-29"/>
      <w:jc w:val="center"/>
    </w:pPr>
    <w:rPr>
      <w:rFonts w:ascii="Cambria" w:eastAsia="Times New Roman" w:hAnsi="Cambria" w:cs="Times New Roman"/>
      <w:iCs/>
      <w:color w:val="auto"/>
      <w:sz w:val="28"/>
      <w:szCs w:val="28"/>
    </w:rPr>
  </w:style>
  <w:style w:type="paragraph" w:customStyle="1" w:styleId="tv213">
    <w:name w:val="tv213"/>
    <w:basedOn w:val="Normal"/>
    <w:rsid w:val="009A72C5"/>
    <w:pPr>
      <w:spacing w:before="100" w:beforeAutospacing="1" w:after="100" w:afterAutospacing="1"/>
    </w:pPr>
  </w:style>
  <w:style w:type="character" w:customStyle="1" w:styleId="c5">
    <w:name w:val="c5"/>
    <w:basedOn w:val="DefaultParagraphFont"/>
    <w:rsid w:val="009A72C5"/>
  </w:style>
  <w:style w:type="paragraph" w:customStyle="1" w:styleId="Normal2">
    <w:name w:val="Normal2"/>
    <w:rsid w:val="009A72C5"/>
    <w:pPr>
      <w:spacing w:after="120" w:line="240" w:lineRule="auto"/>
      <w:ind w:firstLine="567"/>
      <w:jc w:val="both"/>
    </w:pPr>
    <w:rPr>
      <w:rFonts w:ascii="Times New Roman" w:eastAsia="Times New Roman" w:hAnsi="Times New Roman" w:cs="Times New Roman"/>
      <w:color w:val="000000"/>
      <w:sz w:val="24"/>
      <w:lang w:val="lv-LV" w:eastAsia="zh-CN" w:bidi="lo-LA"/>
    </w:rPr>
  </w:style>
  <w:style w:type="paragraph" w:styleId="Revision">
    <w:name w:val="Revision"/>
    <w:hidden/>
    <w:uiPriority w:val="99"/>
    <w:semiHidden/>
    <w:rsid w:val="009A72C5"/>
    <w:pPr>
      <w:spacing w:after="0" w:line="240" w:lineRule="auto"/>
    </w:pPr>
    <w:rPr>
      <w:rFonts w:ascii="Times New Roman" w:eastAsia="Times New Roman" w:hAnsi="Times New Roman" w:cs="Times New Roman"/>
      <w:sz w:val="24"/>
      <w:szCs w:val="24"/>
      <w:lang w:val="lv-LV" w:eastAsia="lv-LV"/>
    </w:rPr>
  </w:style>
  <w:style w:type="paragraph" w:styleId="BodyText2">
    <w:name w:val="Body Text 2"/>
    <w:basedOn w:val="Normal"/>
    <w:link w:val="BodyText2Char"/>
    <w:uiPriority w:val="99"/>
    <w:semiHidden/>
    <w:unhideWhenUsed/>
    <w:rsid w:val="009A72C5"/>
    <w:pPr>
      <w:spacing w:after="120" w:line="480" w:lineRule="auto"/>
    </w:pPr>
    <w:rPr>
      <w:rFonts w:ascii="Calibri" w:eastAsia="PMingLiU" w:hAnsi="Calibri"/>
      <w:sz w:val="22"/>
      <w:szCs w:val="22"/>
    </w:rPr>
  </w:style>
  <w:style w:type="character" w:customStyle="1" w:styleId="BodyText2Char">
    <w:name w:val="Body Text 2 Char"/>
    <w:basedOn w:val="DefaultParagraphFont"/>
    <w:link w:val="BodyText2"/>
    <w:uiPriority w:val="99"/>
    <w:semiHidden/>
    <w:rsid w:val="009A72C5"/>
    <w:rPr>
      <w:rFonts w:ascii="Calibri" w:eastAsia="PMingLiU" w:hAnsi="Calibri" w:cs="Times New Roman"/>
      <w:lang w:val="lv-LV" w:eastAsia="lv-LV"/>
    </w:rPr>
  </w:style>
  <w:style w:type="character" w:customStyle="1" w:styleId="apple-converted-space">
    <w:name w:val="apple-converted-space"/>
    <w:basedOn w:val="DefaultParagraphFont"/>
    <w:rsid w:val="009A72C5"/>
  </w:style>
  <w:style w:type="paragraph" w:styleId="TOC3">
    <w:name w:val="toc 3"/>
    <w:basedOn w:val="Normal"/>
    <w:next w:val="Normal"/>
    <w:autoRedefine/>
    <w:uiPriority w:val="39"/>
    <w:semiHidden/>
    <w:unhideWhenUsed/>
    <w:rsid w:val="009A72C5"/>
    <w:pPr>
      <w:tabs>
        <w:tab w:val="left" w:pos="1276"/>
        <w:tab w:val="right" w:leader="dot" w:pos="9395"/>
      </w:tabs>
      <w:spacing w:after="100" w:line="276" w:lineRule="auto"/>
      <w:ind w:left="440"/>
    </w:pPr>
    <w:rPr>
      <w:rFonts w:eastAsia="PMingLiU"/>
      <w:szCs w:val="22"/>
    </w:rPr>
  </w:style>
  <w:style w:type="paragraph" w:customStyle="1" w:styleId="BulletsF">
    <w:name w:val="Bullets F"/>
    <w:basedOn w:val="Normal"/>
    <w:link w:val="BulletsFChar"/>
    <w:qFormat/>
    <w:rsid w:val="009A72C5"/>
    <w:pPr>
      <w:numPr>
        <w:numId w:val="3"/>
      </w:numPr>
      <w:contextualSpacing/>
    </w:pPr>
    <w:rPr>
      <w:sz w:val="20"/>
      <w:lang w:eastAsia="en-US"/>
    </w:rPr>
  </w:style>
  <w:style w:type="character" w:customStyle="1" w:styleId="BulletsFChar">
    <w:name w:val="Bullets F Char"/>
    <w:link w:val="BulletsF"/>
    <w:locked/>
    <w:rsid w:val="009A72C5"/>
    <w:rPr>
      <w:rFonts w:ascii="Times New Roman" w:eastAsia="Times New Roman" w:hAnsi="Times New Roman" w:cs="Times New Roman"/>
      <w:sz w:val="20"/>
      <w:szCs w:val="24"/>
      <w:lang w:val="lv-LV"/>
    </w:rPr>
  </w:style>
  <w:style w:type="paragraph" w:customStyle="1" w:styleId="1pakapesvirsraksts">
    <w:name w:val="1. pakapes virsraksts"/>
    <w:uiPriority w:val="99"/>
    <w:rsid w:val="00726668"/>
    <w:pPr>
      <w:keepNext/>
      <w:keepLines/>
      <w:numPr>
        <w:numId w:val="6"/>
      </w:numPr>
      <w:spacing w:before="360" w:after="240" w:line="240" w:lineRule="auto"/>
      <w:ind w:left="426" w:hanging="426"/>
    </w:pPr>
    <w:rPr>
      <w:rFonts w:ascii="Times New Roman" w:eastAsia="Times New Roman" w:hAnsi="Times New Roman" w:cs="Times New Roman"/>
      <w:b/>
      <w:sz w:val="32"/>
      <w:szCs w:val="24"/>
      <w:lang w:val="lv-LV" w:eastAsia="lv-LV"/>
    </w:rPr>
  </w:style>
  <w:style w:type="paragraph" w:customStyle="1" w:styleId="2pakapesvirsraksts">
    <w:name w:val="2. pakapes virsraksts"/>
    <w:uiPriority w:val="99"/>
    <w:rsid w:val="00726668"/>
    <w:pPr>
      <w:keepNext/>
      <w:keepLines/>
      <w:numPr>
        <w:ilvl w:val="1"/>
        <w:numId w:val="6"/>
      </w:numPr>
      <w:spacing w:after="120" w:line="240" w:lineRule="auto"/>
      <w:ind w:left="426"/>
    </w:pPr>
    <w:rPr>
      <w:rFonts w:ascii="Times New Roman" w:eastAsia="Calibri" w:hAnsi="Times New Roman" w:cs="Times New Roman"/>
      <w:b/>
      <w:sz w:val="24"/>
      <w:lang w:val="lv-LV" w:eastAsia="lv-LV"/>
    </w:rPr>
  </w:style>
  <w:style w:type="paragraph" w:customStyle="1" w:styleId="3pakapesvirsraksts">
    <w:name w:val="3. pakapes virsraksts"/>
    <w:uiPriority w:val="99"/>
    <w:rsid w:val="00726668"/>
    <w:pPr>
      <w:keepNext/>
      <w:keepLines/>
      <w:numPr>
        <w:ilvl w:val="2"/>
        <w:numId w:val="6"/>
      </w:numPr>
      <w:spacing w:after="120" w:line="240" w:lineRule="auto"/>
      <w:ind w:left="709"/>
    </w:pPr>
    <w:rPr>
      <w:rFonts w:ascii="Times New Roman" w:eastAsia="Times New Roman" w:hAnsi="Times New Roman"/>
      <w:b/>
      <w:sz w:val="24"/>
      <w:szCs w:val="32"/>
      <w:lang w:val="lv-LV" w:eastAsia="lv-LV"/>
    </w:rPr>
  </w:style>
  <w:style w:type="paragraph" w:customStyle="1" w:styleId="4pakapesvirsraksts">
    <w:name w:val="4. pakapes virsraksts"/>
    <w:basedOn w:val="3pakapesvirsraksts"/>
    <w:uiPriority w:val="99"/>
    <w:rsid w:val="00726668"/>
    <w:pPr>
      <w:numPr>
        <w:ilvl w:val="3"/>
      </w:numPr>
      <w:tabs>
        <w:tab w:val="num" w:pos="360"/>
        <w:tab w:val="num" w:pos="2880"/>
      </w:tabs>
      <w:ind w:left="2880" w:hanging="360"/>
    </w:pPr>
  </w:style>
  <w:style w:type="paragraph" w:customStyle="1" w:styleId="tv2132">
    <w:name w:val="tv2132"/>
    <w:basedOn w:val="Normal"/>
    <w:rsid w:val="00363751"/>
    <w:pPr>
      <w:spacing w:line="360" w:lineRule="auto"/>
      <w:ind w:firstLine="300"/>
    </w:pPr>
    <w:rPr>
      <w:color w:val="414142"/>
      <w:sz w:val="20"/>
      <w:szCs w:val="20"/>
      <w:lang w:val="en-US" w:eastAsia="en-US"/>
    </w:rPr>
  </w:style>
  <w:style w:type="paragraph" w:styleId="BodyText">
    <w:name w:val="Body Text"/>
    <w:basedOn w:val="Normal"/>
    <w:link w:val="BodyTextChar"/>
    <w:uiPriority w:val="99"/>
    <w:semiHidden/>
    <w:unhideWhenUsed/>
    <w:rsid w:val="00061DB4"/>
    <w:pPr>
      <w:spacing w:after="120"/>
    </w:pPr>
  </w:style>
  <w:style w:type="character" w:customStyle="1" w:styleId="BodyTextChar">
    <w:name w:val="Body Text Char"/>
    <w:basedOn w:val="DefaultParagraphFont"/>
    <w:link w:val="BodyText"/>
    <w:uiPriority w:val="99"/>
    <w:semiHidden/>
    <w:rsid w:val="00061DB4"/>
    <w:rPr>
      <w:rFonts w:ascii="Times New Roman" w:eastAsia="Times New Roman" w:hAnsi="Times New Roman" w:cs="Times New Roman"/>
      <w:sz w:val="24"/>
      <w:szCs w:val="24"/>
      <w:lang w:val="lv-LV" w:eastAsia="lv-LV"/>
    </w:rPr>
  </w:style>
  <w:style w:type="paragraph" w:customStyle="1" w:styleId="CCBullet">
    <w:name w:val="CC Bullet"/>
    <w:basedOn w:val="Normal"/>
    <w:link w:val="CCBulletChar"/>
    <w:qFormat/>
    <w:rsid w:val="00927887"/>
    <w:pPr>
      <w:numPr>
        <w:numId w:val="21"/>
      </w:numPr>
      <w:spacing w:before="120" w:after="120"/>
      <w:jc w:val="both"/>
    </w:pPr>
    <w:rPr>
      <w:rFonts w:ascii="Segoe UI" w:eastAsiaTheme="minorEastAsia" w:hAnsi="Segoe UI"/>
      <w:sz w:val="22"/>
      <w:szCs w:val="22"/>
    </w:rPr>
  </w:style>
  <w:style w:type="character" w:customStyle="1" w:styleId="CCBulletChar">
    <w:name w:val="CC Bullet Char"/>
    <w:basedOn w:val="DefaultParagraphFont"/>
    <w:link w:val="CCBullet"/>
    <w:rsid w:val="00927887"/>
    <w:rPr>
      <w:rFonts w:ascii="Segoe UI" w:eastAsiaTheme="minorEastAsia" w:hAnsi="Segoe UI" w:cs="Times New Roman"/>
      <w:lang w:val="lv-LV" w:eastAsia="lv-LV"/>
    </w:rPr>
  </w:style>
  <w:style w:type="paragraph" w:customStyle="1" w:styleId="CCBodyText">
    <w:name w:val="CC Body Text"/>
    <w:basedOn w:val="Normal"/>
    <w:link w:val="CCBodyTextChar"/>
    <w:qFormat/>
    <w:rsid w:val="00927887"/>
    <w:pPr>
      <w:spacing w:before="120" w:after="120"/>
      <w:jc w:val="both"/>
    </w:pPr>
    <w:rPr>
      <w:rFonts w:ascii="Segoe UI" w:eastAsiaTheme="minorEastAsia" w:hAnsi="Segoe UI"/>
      <w:sz w:val="22"/>
      <w:szCs w:val="22"/>
      <w:lang w:eastAsia="en-US"/>
    </w:rPr>
  </w:style>
  <w:style w:type="character" w:customStyle="1" w:styleId="CCBodyTextChar">
    <w:name w:val="CC Body Text Char"/>
    <w:basedOn w:val="DefaultParagraphFont"/>
    <w:link w:val="CCBodyText"/>
    <w:rsid w:val="00927887"/>
    <w:rPr>
      <w:rFonts w:ascii="Segoe UI" w:eastAsiaTheme="minorEastAsia" w:hAnsi="Segoe UI" w:cs="Times New Roman"/>
      <w:lang w:val="lv-LV"/>
    </w:rPr>
  </w:style>
  <w:style w:type="table" w:styleId="TableGrid">
    <w:name w:val="Table Grid"/>
    <w:basedOn w:val="TableNormal"/>
    <w:uiPriority w:val="39"/>
    <w:rsid w:val="00956B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331412">
      <w:bodyDiv w:val="1"/>
      <w:marLeft w:val="0"/>
      <w:marRight w:val="0"/>
      <w:marTop w:val="0"/>
      <w:marBottom w:val="0"/>
      <w:divBdr>
        <w:top w:val="none" w:sz="0" w:space="0" w:color="auto"/>
        <w:left w:val="none" w:sz="0" w:space="0" w:color="auto"/>
        <w:bottom w:val="none" w:sz="0" w:space="0" w:color="auto"/>
        <w:right w:val="none" w:sz="0" w:space="0" w:color="auto"/>
      </w:divBdr>
    </w:div>
    <w:div w:id="1098284840">
      <w:bodyDiv w:val="1"/>
      <w:marLeft w:val="0"/>
      <w:marRight w:val="0"/>
      <w:marTop w:val="0"/>
      <w:marBottom w:val="0"/>
      <w:divBdr>
        <w:top w:val="none" w:sz="0" w:space="0" w:color="auto"/>
        <w:left w:val="none" w:sz="0" w:space="0" w:color="auto"/>
        <w:bottom w:val="none" w:sz="0" w:space="0" w:color="auto"/>
        <w:right w:val="none" w:sz="0" w:space="0" w:color="auto"/>
      </w:divBdr>
    </w:div>
    <w:div w:id="1174802289">
      <w:bodyDiv w:val="1"/>
      <w:marLeft w:val="0"/>
      <w:marRight w:val="0"/>
      <w:marTop w:val="0"/>
      <w:marBottom w:val="0"/>
      <w:divBdr>
        <w:top w:val="none" w:sz="0" w:space="0" w:color="auto"/>
        <w:left w:val="none" w:sz="0" w:space="0" w:color="auto"/>
        <w:bottom w:val="none" w:sz="0" w:space="0" w:color="auto"/>
        <w:right w:val="none" w:sz="0" w:space="0" w:color="auto"/>
      </w:divBdr>
    </w:div>
    <w:div w:id="1329283359">
      <w:bodyDiv w:val="1"/>
      <w:marLeft w:val="0"/>
      <w:marRight w:val="0"/>
      <w:marTop w:val="0"/>
      <w:marBottom w:val="0"/>
      <w:divBdr>
        <w:top w:val="none" w:sz="0" w:space="0" w:color="auto"/>
        <w:left w:val="none" w:sz="0" w:space="0" w:color="auto"/>
        <w:bottom w:val="none" w:sz="0" w:space="0" w:color="auto"/>
        <w:right w:val="none" w:sz="0" w:space="0" w:color="auto"/>
      </w:divBdr>
    </w:div>
    <w:div w:id="1366829208">
      <w:bodyDiv w:val="1"/>
      <w:marLeft w:val="0"/>
      <w:marRight w:val="0"/>
      <w:marTop w:val="0"/>
      <w:marBottom w:val="0"/>
      <w:divBdr>
        <w:top w:val="none" w:sz="0" w:space="0" w:color="auto"/>
        <w:left w:val="none" w:sz="0" w:space="0" w:color="auto"/>
        <w:bottom w:val="none" w:sz="0" w:space="0" w:color="auto"/>
        <w:right w:val="none" w:sz="0" w:space="0" w:color="auto"/>
      </w:divBdr>
    </w:div>
    <w:div w:id="1367608939">
      <w:bodyDiv w:val="1"/>
      <w:marLeft w:val="0"/>
      <w:marRight w:val="0"/>
      <w:marTop w:val="0"/>
      <w:marBottom w:val="0"/>
      <w:divBdr>
        <w:top w:val="none" w:sz="0" w:space="0" w:color="auto"/>
        <w:left w:val="none" w:sz="0" w:space="0" w:color="auto"/>
        <w:bottom w:val="none" w:sz="0" w:space="0" w:color="auto"/>
        <w:right w:val="none" w:sz="0" w:space="0" w:color="auto"/>
      </w:divBdr>
      <w:divsChild>
        <w:div w:id="1835298367">
          <w:marLeft w:val="274"/>
          <w:marRight w:val="0"/>
          <w:marTop w:val="0"/>
          <w:marBottom w:val="0"/>
          <w:divBdr>
            <w:top w:val="none" w:sz="0" w:space="0" w:color="auto"/>
            <w:left w:val="none" w:sz="0" w:space="0" w:color="auto"/>
            <w:bottom w:val="none" w:sz="0" w:space="0" w:color="auto"/>
            <w:right w:val="none" w:sz="0" w:space="0" w:color="auto"/>
          </w:divBdr>
        </w:div>
        <w:div w:id="1058431557">
          <w:marLeft w:val="274"/>
          <w:marRight w:val="0"/>
          <w:marTop w:val="0"/>
          <w:marBottom w:val="0"/>
          <w:divBdr>
            <w:top w:val="none" w:sz="0" w:space="0" w:color="auto"/>
            <w:left w:val="none" w:sz="0" w:space="0" w:color="auto"/>
            <w:bottom w:val="none" w:sz="0" w:space="0" w:color="auto"/>
            <w:right w:val="none" w:sz="0" w:space="0" w:color="auto"/>
          </w:divBdr>
        </w:div>
        <w:div w:id="1829905953">
          <w:marLeft w:val="274"/>
          <w:marRight w:val="0"/>
          <w:marTop w:val="0"/>
          <w:marBottom w:val="0"/>
          <w:divBdr>
            <w:top w:val="none" w:sz="0" w:space="0" w:color="auto"/>
            <w:left w:val="none" w:sz="0" w:space="0" w:color="auto"/>
            <w:bottom w:val="none" w:sz="0" w:space="0" w:color="auto"/>
            <w:right w:val="none" w:sz="0" w:space="0" w:color="auto"/>
          </w:divBdr>
        </w:div>
      </w:divsChild>
    </w:div>
    <w:div w:id="1910580106">
      <w:bodyDiv w:val="1"/>
      <w:marLeft w:val="0"/>
      <w:marRight w:val="0"/>
      <w:marTop w:val="0"/>
      <w:marBottom w:val="0"/>
      <w:divBdr>
        <w:top w:val="none" w:sz="0" w:space="0" w:color="auto"/>
        <w:left w:val="none" w:sz="0" w:space="0" w:color="auto"/>
        <w:bottom w:val="none" w:sz="0" w:space="0" w:color="auto"/>
        <w:right w:val="none" w:sz="0" w:space="0" w:color="auto"/>
      </w:divBdr>
      <w:divsChild>
        <w:div w:id="1346250592">
          <w:marLeft w:val="274"/>
          <w:marRight w:val="0"/>
          <w:marTop w:val="0"/>
          <w:marBottom w:val="0"/>
          <w:divBdr>
            <w:top w:val="none" w:sz="0" w:space="0" w:color="auto"/>
            <w:left w:val="none" w:sz="0" w:space="0" w:color="auto"/>
            <w:bottom w:val="none" w:sz="0" w:space="0" w:color="auto"/>
            <w:right w:val="none" w:sz="0" w:space="0" w:color="auto"/>
          </w:divBdr>
        </w:div>
        <w:div w:id="1222789951">
          <w:marLeft w:val="274"/>
          <w:marRight w:val="0"/>
          <w:marTop w:val="0"/>
          <w:marBottom w:val="0"/>
          <w:divBdr>
            <w:top w:val="none" w:sz="0" w:space="0" w:color="auto"/>
            <w:left w:val="none" w:sz="0" w:space="0" w:color="auto"/>
            <w:bottom w:val="none" w:sz="0" w:space="0" w:color="auto"/>
            <w:right w:val="none" w:sz="0" w:space="0" w:color="auto"/>
          </w:divBdr>
        </w:div>
        <w:div w:id="35299567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b.gov.lv/statistikas-temas/darba-samaksa-galvenie-raditaji-30270.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esma.Abizare-Vagre@iz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ese.Kalva@iz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asts@izm.gov.lv" TargetMode="External"/><Relationship Id="rId4" Type="http://schemas.openxmlformats.org/officeDocument/2006/relationships/settings" Target="settings.xml"/><Relationship Id="rId9" Type="http://schemas.openxmlformats.org/officeDocument/2006/relationships/hyperlink" Target="http://www.izm.gov.lv"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tap.mk.gov.lv/lv/mk/tap/?pid=40409969&amp;mode=mk&amp;date=2017-03-28" TargetMode="External"/><Relationship Id="rId2" Type="http://schemas.openxmlformats.org/officeDocument/2006/relationships/hyperlink" Target="http://tap.mk.gov.lv/mk/mksedes/saraksts/protokols/?protokols=2017-03-28" TargetMode="External"/><Relationship Id="rId1" Type="http://schemas.openxmlformats.org/officeDocument/2006/relationships/hyperlink" Target="http://polsis.mk.gov.lv/documents/4247" TargetMode="External"/><Relationship Id="rId5" Type="http://schemas.openxmlformats.org/officeDocument/2006/relationships/hyperlink" Target="https://www.makroekonomika.lv/pakalpojumu-eksporta-nozime-latvijas-ekonomika" TargetMode="External"/><Relationship Id="rId4" Type="http://schemas.openxmlformats.org/officeDocument/2006/relationships/hyperlink" Target="http://ec.europa.eu/programmes/erasmus-plus/sites/erasmusplus/files/files/resources/erasmus-plus-programme-guide_lv.pdf"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CC396-2330-4C75-81B9-41D68266B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21</Pages>
  <Words>31663</Words>
  <Characters>18049</Characters>
  <Application>Microsoft Office Word</Application>
  <DocSecurity>0</DocSecurity>
  <Lines>150</Lines>
  <Paragraphs>99</Paragraphs>
  <ScaleCrop>false</ScaleCrop>
  <HeadingPairs>
    <vt:vector size="2" baseType="variant">
      <vt:variant>
        <vt:lpstr>Title</vt:lpstr>
      </vt:variant>
      <vt:variant>
        <vt:i4>1</vt:i4>
      </vt:variant>
    </vt:vector>
  </HeadingPairs>
  <TitlesOfParts>
    <vt:vector size="1" baseType="lpstr">
      <vt:lpstr>Ministru kabineta noteikumu projekta „Darbības programmas „Izaugsme un nodarbinātība” 8.2.1. specifiskā atbalsta mērķa „Samazināt studiju programmu fragmentāciju un stiprināt resursu koplietošanu”</vt:lpstr>
    </vt:vector>
  </TitlesOfParts>
  <Company>Izgl'itibas un zinatnes ministrija</Company>
  <LinksUpToDate>false</LinksUpToDate>
  <CharactersWithSpaces>49613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„Darbības programmas „Izaugsme un nodarbinātība” 8.2.1. specifiskā atbalsta mērķa „Samazināt studiju programmu fragmentāciju un stiprināt resursu koplietošanu”</dc:title>
  <dc:subject>Anotācija</dc:subject>
  <dc:creator>Vēsma Abizāre - Vagre</dc:creator>
  <cp:keywords>tel.67047864, vesma.abizare-vagre@izm.gov.lv</cp:keywords>
  <dc:description>Vesma.Abizare-Vage@izm.gov.lv, 67047864</dc:description>
  <cp:lastModifiedBy>Inese Kalva</cp:lastModifiedBy>
  <cp:revision>4</cp:revision>
  <cp:lastPrinted>2017-09-14T15:01:00Z</cp:lastPrinted>
  <dcterms:created xsi:type="dcterms:W3CDTF">2017-09-26T07:35:00Z</dcterms:created>
  <dcterms:modified xsi:type="dcterms:W3CDTF">2017-09-26T07:52:00Z</dcterms:modified>
</cp:coreProperties>
</file>