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8C8AA" w14:textId="1C56EF0E" w:rsidR="002B247E" w:rsidRPr="004042B5" w:rsidRDefault="002B247E" w:rsidP="007B6E16">
      <w:pPr>
        <w:ind w:firstLine="709"/>
        <w:jc w:val="both"/>
        <w:rPr>
          <w:sz w:val="28"/>
          <w:szCs w:val="28"/>
        </w:rPr>
      </w:pPr>
    </w:p>
    <w:p w14:paraId="4E1DB8F6" w14:textId="77777777" w:rsidR="002B247E" w:rsidRDefault="002B247E" w:rsidP="007B6E16">
      <w:pPr>
        <w:ind w:firstLine="709"/>
        <w:jc w:val="both"/>
        <w:rPr>
          <w:sz w:val="28"/>
          <w:szCs w:val="28"/>
        </w:rPr>
      </w:pPr>
    </w:p>
    <w:p w14:paraId="6CA2F236" w14:textId="77777777" w:rsidR="0019679E" w:rsidRDefault="0019679E" w:rsidP="007B6E16">
      <w:pPr>
        <w:ind w:firstLine="709"/>
        <w:jc w:val="both"/>
        <w:rPr>
          <w:sz w:val="28"/>
          <w:szCs w:val="28"/>
        </w:rPr>
      </w:pPr>
    </w:p>
    <w:p w14:paraId="7396E2EC" w14:textId="7ED9D715" w:rsidR="0019679E" w:rsidRPr="00693240" w:rsidRDefault="0019679E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C0470B">
        <w:rPr>
          <w:sz w:val="28"/>
          <w:szCs w:val="28"/>
        </w:rPr>
        <w:t>29. augustā</w:t>
      </w:r>
      <w:r w:rsidRPr="00693240">
        <w:rPr>
          <w:sz w:val="28"/>
          <w:szCs w:val="28"/>
        </w:rPr>
        <w:tab/>
        <w:t>Noteikumi Nr.</w:t>
      </w:r>
      <w:r w:rsidR="00C0470B">
        <w:rPr>
          <w:sz w:val="28"/>
          <w:szCs w:val="28"/>
        </w:rPr>
        <w:t> 513</w:t>
      </w:r>
    </w:p>
    <w:p w14:paraId="7E8C6F9E" w14:textId="6E00DA25" w:rsidR="0019679E" w:rsidRPr="00693240" w:rsidRDefault="0019679E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C0470B">
        <w:rPr>
          <w:sz w:val="28"/>
          <w:szCs w:val="28"/>
        </w:rPr>
        <w:t>42</w:t>
      </w:r>
      <w:r w:rsidRPr="00693240">
        <w:rPr>
          <w:sz w:val="28"/>
          <w:szCs w:val="28"/>
        </w:rPr>
        <w:t> </w:t>
      </w:r>
      <w:r w:rsidR="00C0470B">
        <w:rPr>
          <w:sz w:val="28"/>
          <w:szCs w:val="28"/>
        </w:rPr>
        <w:t>32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7BE221D8" w14:textId="12A8DF9A" w:rsidR="00C53840" w:rsidRPr="00B83906" w:rsidRDefault="00C53840" w:rsidP="007B6E16">
      <w:pPr>
        <w:ind w:firstLine="709"/>
        <w:jc w:val="both"/>
        <w:rPr>
          <w:sz w:val="28"/>
          <w:szCs w:val="28"/>
        </w:rPr>
      </w:pPr>
    </w:p>
    <w:p w14:paraId="0C92C667" w14:textId="1A7F8BC9" w:rsidR="00C07F8A" w:rsidRPr="00B83906" w:rsidRDefault="00C07F8A" w:rsidP="007B6E16">
      <w:pPr>
        <w:jc w:val="center"/>
        <w:rPr>
          <w:b/>
          <w:sz w:val="28"/>
          <w:szCs w:val="28"/>
        </w:rPr>
      </w:pPr>
      <w:r w:rsidRPr="00B83906">
        <w:rPr>
          <w:b/>
          <w:sz w:val="28"/>
          <w:szCs w:val="28"/>
        </w:rPr>
        <w:t>Grozījum</w:t>
      </w:r>
      <w:r w:rsidR="00C847D4" w:rsidRPr="00B83906">
        <w:rPr>
          <w:b/>
          <w:sz w:val="28"/>
          <w:szCs w:val="28"/>
        </w:rPr>
        <w:t>i</w:t>
      </w:r>
      <w:r w:rsidRPr="00B83906">
        <w:rPr>
          <w:b/>
          <w:sz w:val="28"/>
          <w:szCs w:val="28"/>
        </w:rPr>
        <w:t xml:space="preserve"> Ministru kabineta 20</w:t>
      </w:r>
      <w:r w:rsidR="00D846F1">
        <w:rPr>
          <w:b/>
          <w:sz w:val="28"/>
          <w:szCs w:val="28"/>
        </w:rPr>
        <w:t>01</w:t>
      </w:r>
      <w:r w:rsidRPr="00B83906">
        <w:rPr>
          <w:b/>
          <w:sz w:val="28"/>
          <w:szCs w:val="28"/>
        </w:rPr>
        <w:t>.</w:t>
      </w:r>
      <w:r w:rsidR="0074346C">
        <w:rPr>
          <w:b/>
          <w:sz w:val="28"/>
          <w:szCs w:val="28"/>
        </w:rPr>
        <w:t> </w:t>
      </w:r>
      <w:r w:rsidRPr="00B83906">
        <w:rPr>
          <w:b/>
          <w:sz w:val="28"/>
          <w:szCs w:val="28"/>
        </w:rPr>
        <w:t xml:space="preserve">gada </w:t>
      </w:r>
      <w:r w:rsidR="00D846F1">
        <w:rPr>
          <w:b/>
          <w:sz w:val="28"/>
          <w:szCs w:val="28"/>
        </w:rPr>
        <w:t>28.</w:t>
      </w:r>
      <w:r w:rsidR="0074346C">
        <w:rPr>
          <w:b/>
          <w:sz w:val="28"/>
          <w:szCs w:val="28"/>
        </w:rPr>
        <w:t> </w:t>
      </w:r>
      <w:r w:rsidR="00D846F1">
        <w:rPr>
          <w:b/>
          <w:sz w:val="28"/>
          <w:szCs w:val="28"/>
        </w:rPr>
        <w:t>augusta</w:t>
      </w:r>
      <w:r w:rsidRPr="00B83906">
        <w:rPr>
          <w:b/>
          <w:sz w:val="28"/>
          <w:szCs w:val="28"/>
        </w:rPr>
        <w:t xml:space="preserve"> noteikumos Nr.</w:t>
      </w:r>
      <w:r w:rsidR="00D32230">
        <w:rPr>
          <w:b/>
          <w:sz w:val="28"/>
          <w:szCs w:val="28"/>
        </w:rPr>
        <w:t> </w:t>
      </w:r>
      <w:r w:rsidR="00D846F1">
        <w:rPr>
          <w:b/>
          <w:sz w:val="28"/>
          <w:szCs w:val="28"/>
        </w:rPr>
        <w:t>382</w:t>
      </w:r>
      <w:r w:rsidR="0074346C">
        <w:rPr>
          <w:b/>
          <w:sz w:val="28"/>
          <w:szCs w:val="28"/>
        </w:rPr>
        <w:t> </w:t>
      </w:r>
      <w:r w:rsidR="0019679E">
        <w:rPr>
          <w:b/>
          <w:sz w:val="28"/>
          <w:szCs w:val="28"/>
        </w:rPr>
        <w:t>"</w:t>
      </w:r>
      <w:r w:rsidR="00D32230" w:rsidRPr="00D32230">
        <w:rPr>
          <w:b/>
          <w:sz w:val="28"/>
          <w:szCs w:val="28"/>
        </w:rPr>
        <w:t>Interešu izglītības programmu finansēšanas kārtība</w:t>
      </w:r>
      <w:r w:rsidR="0019679E">
        <w:rPr>
          <w:b/>
          <w:sz w:val="28"/>
          <w:szCs w:val="28"/>
        </w:rPr>
        <w:t>"</w:t>
      </w:r>
    </w:p>
    <w:p w14:paraId="75D227E5" w14:textId="77777777" w:rsidR="00C07F8A" w:rsidRPr="004042B5" w:rsidRDefault="00C07F8A" w:rsidP="007B6E16">
      <w:pPr>
        <w:ind w:firstLine="709"/>
        <w:jc w:val="both"/>
        <w:rPr>
          <w:sz w:val="28"/>
          <w:szCs w:val="28"/>
        </w:rPr>
      </w:pPr>
    </w:p>
    <w:p w14:paraId="1A516B2A" w14:textId="7C057318" w:rsidR="00C07F8A" w:rsidRPr="00B83906" w:rsidRDefault="00C07F8A" w:rsidP="007B6E16">
      <w:pPr>
        <w:ind w:firstLine="709"/>
        <w:jc w:val="right"/>
        <w:rPr>
          <w:sz w:val="28"/>
          <w:szCs w:val="28"/>
        </w:rPr>
      </w:pPr>
      <w:r w:rsidRPr="00B83906">
        <w:rPr>
          <w:sz w:val="28"/>
          <w:szCs w:val="28"/>
        </w:rPr>
        <w:t>Izdot</w:t>
      </w:r>
      <w:r w:rsidR="00C847D4" w:rsidRPr="00B83906">
        <w:rPr>
          <w:sz w:val="28"/>
          <w:szCs w:val="28"/>
        </w:rPr>
        <w:t>i</w:t>
      </w:r>
      <w:r w:rsidRPr="00B83906">
        <w:rPr>
          <w:sz w:val="28"/>
          <w:szCs w:val="28"/>
        </w:rPr>
        <w:t xml:space="preserve"> saskaņā ar</w:t>
      </w:r>
      <w:r w:rsidR="004042B5" w:rsidRPr="004042B5">
        <w:rPr>
          <w:sz w:val="28"/>
          <w:szCs w:val="28"/>
        </w:rPr>
        <w:t xml:space="preserve"> </w:t>
      </w:r>
      <w:r w:rsidR="004042B5" w:rsidRPr="00D32230">
        <w:rPr>
          <w:sz w:val="28"/>
          <w:szCs w:val="28"/>
        </w:rPr>
        <w:t>Izglītības</w:t>
      </w:r>
    </w:p>
    <w:p w14:paraId="3DE8ECD4" w14:textId="6BE8438E" w:rsidR="00204B24" w:rsidRDefault="00D32230" w:rsidP="004042B5">
      <w:pPr>
        <w:tabs>
          <w:tab w:val="left" w:pos="6804"/>
        </w:tabs>
        <w:ind w:firstLine="709"/>
        <w:jc w:val="right"/>
        <w:rPr>
          <w:sz w:val="28"/>
          <w:szCs w:val="28"/>
        </w:rPr>
      </w:pPr>
      <w:r w:rsidRPr="00D32230">
        <w:rPr>
          <w:sz w:val="28"/>
          <w:szCs w:val="28"/>
        </w:rPr>
        <w:t>likuma</w:t>
      </w:r>
      <w:r w:rsidR="004042B5">
        <w:rPr>
          <w:sz w:val="28"/>
          <w:szCs w:val="28"/>
        </w:rPr>
        <w:t xml:space="preserve"> </w:t>
      </w:r>
      <w:r w:rsidRPr="00D32230">
        <w:rPr>
          <w:sz w:val="28"/>
          <w:szCs w:val="28"/>
        </w:rPr>
        <w:t>14.</w:t>
      </w:r>
      <w:r w:rsidR="0019679E">
        <w:rPr>
          <w:sz w:val="28"/>
          <w:szCs w:val="28"/>
        </w:rPr>
        <w:t> </w:t>
      </w:r>
      <w:r w:rsidRPr="00D32230">
        <w:rPr>
          <w:sz w:val="28"/>
          <w:szCs w:val="28"/>
        </w:rPr>
        <w:t>panta 24.</w:t>
      </w:r>
      <w:r w:rsidR="0019679E">
        <w:rPr>
          <w:sz w:val="28"/>
          <w:szCs w:val="28"/>
        </w:rPr>
        <w:t> </w:t>
      </w:r>
      <w:r w:rsidRPr="00D32230">
        <w:rPr>
          <w:sz w:val="28"/>
          <w:szCs w:val="28"/>
        </w:rPr>
        <w:t>punktu</w:t>
      </w:r>
    </w:p>
    <w:p w14:paraId="3566ED91" w14:textId="77777777" w:rsidR="00D32230" w:rsidRPr="00B83906" w:rsidRDefault="00D32230" w:rsidP="003C1C1E">
      <w:pPr>
        <w:tabs>
          <w:tab w:val="left" w:pos="6804"/>
        </w:tabs>
        <w:ind w:firstLine="709"/>
        <w:jc w:val="right"/>
        <w:rPr>
          <w:rFonts w:eastAsiaTheme="minorHAnsi"/>
          <w:sz w:val="28"/>
          <w:szCs w:val="28"/>
        </w:rPr>
      </w:pPr>
    </w:p>
    <w:p w14:paraId="2BD2517D" w14:textId="6E499C94" w:rsidR="007306BD" w:rsidRPr="00B83906" w:rsidRDefault="00673533" w:rsidP="0019679E">
      <w:pPr>
        <w:ind w:firstLine="709"/>
        <w:jc w:val="both"/>
        <w:rPr>
          <w:sz w:val="28"/>
          <w:szCs w:val="28"/>
        </w:rPr>
      </w:pPr>
      <w:r w:rsidRPr="00B83906">
        <w:rPr>
          <w:sz w:val="28"/>
          <w:szCs w:val="28"/>
        </w:rPr>
        <w:t>1.</w:t>
      </w:r>
      <w:r w:rsidR="004042B5">
        <w:rPr>
          <w:sz w:val="28"/>
          <w:szCs w:val="28"/>
        </w:rPr>
        <w:t> </w:t>
      </w:r>
      <w:r w:rsidR="00C07F8A" w:rsidRPr="00B83906">
        <w:rPr>
          <w:sz w:val="28"/>
          <w:szCs w:val="28"/>
        </w:rPr>
        <w:t xml:space="preserve">Izdarīt </w:t>
      </w:r>
      <w:r w:rsidR="00771744" w:rsidRPr="00B83906">
        <w:rPr>
          <w:sz w:val="28"/>
          <w:szCs w:val="28"/>
        </w:rPr>
        <w:t>Ministru kabineta 20</w:t>
      </w:r>
      <w:r w:rsidR="00D32230">
        <w:rPr>
          <w:sz w:val="28"/>
          <w:szCs w:val="28"/>
        </w:rPr>
        <w:t>01</w:t>
      </w:r>
      <w:r w:rsidR="00771744" w:rsidRPr="00B83906">
        <w:rPr>
          <w:sz w:val="28"/>
          <w:szCs w:val="28"/>
        </w:rPr>
        <w:t>.</w:t>
      </w:r>
      <w:r w:rsidR="00C2723A">
        <w:rPr>
          <w:sz w:val="28"/>
          <w:szCs w:val="28"/>
        </w:rPr>
        <w:t> </w:t>
      </w:r>
      <w:r w:rsidR="00771744" w:rsidRPr="00B83906">
        <w:rPr>
          <w:sz w:val="28"/>
          <w:szCs w:val="28"/>
        </w:rPr>
        <w:t xml:space="preserve">gada </w:t>
      </w:r>
      <w:r w:rsidR="00D32230">
        <w:rPr>
          <w:sz w:val="28"/>
          <w:szCs w:val="28"/>
        </w:rPr>
        <w:t>28.</w:t>
      </w:r>
      <w:r w:rsidR="00C2723A">
        <w:rPr>
          <w:sz w:val="28"/>
          <w:szCs w:val="28"/>
        </w:rPr>
        <w:t> </w:t>
      </w:r>
      <w:r w:rsidR="00D32230">
        <w:rPr>
          <w:sz w:val="28"/>
          <w:szCs w:val="28"/>
        </w:rPr>
        <w:t>augusta</w:t>
      </w:r>
      <w:r w:rsidR="00771744" w:rsidRPr="00B83906">
        <w:rPr>
          <w:sz w:val="28"/>
          <w:szCs w:val="28"/>
        </w:rPr>
        <w:t xml:space="preserve"> </w:t>
      </w:r>
      <w:r w:rsidR="00E4599E" w:rsidRPr="00E4599E">
        <w:rPr>
          <w:sz w:val="28"/>
          <w:szCs w:val="28"/>
        </w:rPr>
        <w:t xml:space="preserve">noteikumos </w:t>
      </w:r>
      <w:r w:rsidR="00771744" w:rsidRPr="00B83906">
        <w:rPr>
          <w:sz w:val="28"/>
          <w:szCs w:val="28"/>
        </w:rPr>
        <w:t>Nr.</w:t>
      </w:r>
      <w:r w:rsidR="00C2723A">
        <w:rPr>
          <w:sz w:val="28"/>
          <w:szCs w:val="28"/>
        </w:rPr>
        <w:t> </w:t>
      </w:r>
      <w:r w:rsidR="00D32230">
        <w:rPr>
          <w:sz w:val="28"/>
          <w:szCs w:val="28"/>
        </w:rPr>
        <w:t>382</w:t>
      </w:r>
      <w:r w:rsidR="00771744" w:rsidRPr="00B83906">
        <w:rPr>
          <w:sz w:val="28"/>
          <w:szCs w:val="28"/>
        </w:rPr>
        <w:t xml:space="preserve"> </w:t>
      </w:r>
      <w:r w:rsidR="0019679E">
        <w:rPr>
          <w:sz w:val="28"/>
          <w:szCs w:val="28"/>
        </w:rPr>
        <w:t>"</w:t>
      </w:r>
      <w:r w:rsidR="00D32230" w:rsidRPr="00D32230">
        <w:rPr>
          <w:sz w:val="28"/>
          <w:szCs w:val="28"/>
        </w:rPr>
        <w:t>Interešu izglītības programmu finansēšanas kārtība</w:t>
      </w:r>
      <w:r w:rsidR="0019679E">
        <w:rPr>
          <w:sz w:val="28"/>
          <w:szCs w:val="28"/>
        </w:rPr>
        <w:t>"</w:t>
      </w:r>
      <w:r w:rsidR="00771744" w:rsidRPr="00B83906">
        <w:rPr>
          <w:sz w:val="28"/>
          <w:szCs w:val="28"/>
        </w:rPr>
        <w:t xml:space="preserve"> </w:t>
      </w:r>
      <w:proofErr w:type="gramStart"/>
      <w:r w:rsidR="00771744" w:rsidRPr="00B83906">
        <w:rPr>
          <w:sz w:val="28"/>
          <w:szCs w:val="28"/>
        </w:rPr>
        <w:t>(</w:t>
      </w:r>
      <w:proofErr w:type="gramEnd"/>
      <w:r w:rsidR="00771744" w:rsidRPr="00B83906">
        <w:rPr>
          <w:sz w:val="28"/>
          <w:szCs w:val="28"/>
        </w:rPr>
        <w:t>Latvijas Vēstnesis, 20</w:t>
      </w:r>
      <w:r w:rsidR="00D32230">
        <w:rPr>
          <w:sz w:val="28"/>
          <w:szCs w:val="28"/>
        </w:rPr>
        <w:t>01</w:t>
      </w:r>
      <w:r w:rsidR="00771744" w:rsidRPr="00B83906">
        <w:rPr>
          <w:sz w:val="28"/>
          <w:szCs w:val="28"/>
        </w:rPr>
        <w:t xml:space="preserve">, </w:t>
      </w:r>
      <w:r w:rsidR="00D32230" w:rsidRPr="00816701">
        <w:rPr>
          <w:sz w:val="28"/>
          <w:szCs w:val="28"/>
        </w:rPr>
        <w:t>124</w:t>
      </w:r>
      <w:r w:rsidR="00DF46C1" w:rsidRPr="00816701">
        <w:rPr>
          <w:sz w:val="28"/>
          <w:szCs w:val="28"/>
        </w:rPr>
        <w:t>.</w:t>
      </w:r>
      <w:r w:rsidR="004042B5">
        <w:rPr>
          <w:sz w:val="28"/>
          <w:szCs w:val="28"/>
        </w:rPr>
        <w:t> </w:t>
      </w:r>
      <w:r w:rsidR="00DF46C1" w:rsidRPr="00B83906">
        <w:rPr>
          <w:sz w:val="28"/>
          <w:szCs w:val="28"/>
        </w:rPr>
        <w:t>nr.</w:t>
      </w:r>
      <w:r w:rsidR="002B247E">
        <w:rPr>
          <w:sz w:val="28"/>
          <w:szCs w:val="28"/>
        </w:rPr>
        <w:t xml:space="preserve">; 2009, 98. </w:t>
      </w:r>
      <w:r w:rsidR="004042B5">
        <w:rPr>
          <w:sz w:val="28"/>
          <w:szCs w:val="28"/>
        </w:rPr>
        <w:t> </w:t>
      </w:r>
      <w:r w:rsidR="002B247E">
        <w:rPr>
          <w:sz w:val="28"/>
          <w:szCs w:val="28"/>
        </w:rPr>
        <w:t>nr.</w:t>
      </w:r>
      <w:r w:rsidR="00771744" w:rsidRPr="00B83906">
        <w:rPr>
          <w:sz w:val="28"/>
          <w:szCs w:val="28"/>
        </w:rPr>
        <w:t>) šādu</w:t>
      </w:r>
      <w:r w:rsidR="00C847D4" w:rsidRPr="00B83906">
        <w:rPr>
          <w:sz w:val="28"/>
          <w:szCs w:val="28"/>
        </w:rPr>
        <w:t>s</w:t>
      </w:r>
      <w:r w:rsidR="00771744" w:rsidRPr="00B83906">
        <w:rPr>
          <w:sz w:val="28"/>
          <w:szCs w:val="28"/>
        </w:rPr>
        <w:t xml:space="preserve"> grozījumu</w:t>
      </w:r>
      <w:r w:rsidR="00C847D4" w:rsidRPr="00B83906">
        <w:rPr>
          <w:sz w:val="28"/>
          <w:szCs w:val="28"/>
        </w:rPr>
        <w:t>s:</w:t>
      </w:r>
    </w:p>
    <w:p w14:paraId="4A61CDA1" w14:textId="226CB9C2" w:rsidR="00BD3037" w:rsidRDefault="002B247E" w:rsidP="0019679E">
      <w:pPr>
        <w:pStyle w:val="ListParagraph"/>
        <w:numPr>
          <w:ilvl w:val="1"/>
          <w:numId w:val="3"/>
        </w:numPr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ED1733">
        <w:rPr>
          <w:sz w:val="28"/>
          <w:szCs w:val="28"/>
        </w:rPr>
        <w:t>zteikt</w:t>
      </w:r>
      <w:r w:rsidR="00383720">
        <w:rPr>
          <w:sz w:val="28"/>
          <w:szCs w:val="28"/>
        </w:rPr>
        <w:t xml:space="preserve"> 8.</w:t>
      </w:r>
      <w:r w:rsidR="00C2723A">
        <w:rPr>
          <w:sz w:val="28"/>
          <w:szCs w:val="28"/>
        </w:rPr>
        <w:t> </w:t>
      </w:r>
      <w:r w:rsidR="00383720">
        <w:rPr>
          <w:sz w:val="28"/>
          <w:szCs w:val="28"/>
        </w:rPr>
        <w:t>punktu šādā redakcijā:</w:t>
      </w:r>
    </w:p>
    <w:p w14:paraId="405398B9" w14:textId="77777777" w:rsidR="0019679E" w:rsidRDefault="0019679E" w:rsidP="0019679E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</w:p>
    <w:p w14:paraId="68ADDDA9" w14:textId="4EE4A298" w:rsidR="00BD3037" w:rsidRDefault="0019679E" w:rsidP="0019679E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383720" w:rsidRPr="00BD3037">
        <w:rPr>
          <w:sz w:val="28"/>
          <w:szCs w:val="28"/>
        </w:rPr>
        <w:t xml:space="preserve">8. Izglītības un zinātnes ministrija (turpmāk – ministrija) aprēķina mērķdotāciju pedagogu darba samaksai un valsts sociālās apdrošināšanas obligātajām </w:t>
      </w:r>
      <w:r w:rsidR="00B2258D" w:rsidRPr="00BD3037">
        <w:rPr>
          <w:sz w:val="28"/>
          <w:szCs w:val="28"/>
        </w:rPr>
        <w:t xml:space="preserve">iemaksām </w:t>
      </w:r>
      <w:r w:rsidR="00383720" w:rsidRPr="00BD3037">
        <w:rPr>
          <w:sz w:val="28"/>
          <w:szCs w:val="28"/>
        </w:rPr>
        <w:t>periodam no kārtējā gada 1. septembra līdz nākamā gada 31. augustam atbilstoši izglītojamo skaitam kārtējā gada 1. septembrī vispārējās pamata un vispārējās vidējās izglītības iestādēs attiecīgajā administratīvajā teritorijā.</w:t>
      </w:r>
      <w:r>
        <w:rPr>
          <w:sz w:val="28"/>
          <w:szCs w:val="28"/>
        </w:rPr>
        <w:t>"</w:t>
      </w:r>
      <w:r w:rsidR="00383720" w:rsidRPr="00BD3037">
        <w:rPr>
          <w:sz w:val="28"/>
          <w:szCs w:val="28"/>
        </w:rPr>
        <w:t>;</w:t>
      </w:r>
    </w:p>
    <w:p w14:paraId="6216C533" w14:textId="77777777" w:rsidR="0019679E" w:rsidRDefault="0019679E" w:rsidP="0019679E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</w:p>
    <w:p w14:paraId="539C32EF" w14:textId="343E6E65" w:rsidR="00BD3037" w:rsidRDefault="00383720" w:rsidP="0019679E">
      <w:pPr>
        <w:pStyle w:val="ListParagraph"/>
        <w:numPr>
          <w:ilvl w:val="1"/>
          <w:numId w:val="3"/>
        </w:numPr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BD3037">
        <w:rPr>
          <w:sz w:val="28"/>
          <w:szCs w:val="28"/>
        </w:rPr>
        <w:t xml:space="preserve">papildināt noteikumus ar </w:t>
      </w:r>
      <w:r w:rsidR="00A279A4" w:rsidRPr="00BD3037">
        <w:rPr>
          <w:sz w:val="28"/>
          <w:szCs w:val="28"/>
        </w:rPr>
        <w:t>8.</w:t>
      </w:r>
      <w:r w:rsidR="00A279A4" w:rsidRPr="00BD3037">
        <w:rPr>
          <w:sz w:val="28"/>
          <w:szCs w:val="28"/>
          <w:vertAlign w:val="superscript"/>
        </w:rPr>
        <w:t>1</w:t>
      </w:r>
      <w:r w:rsidR="00A279A4" w:rsidRPr="00BD3037">
        <w:rPr>
          <w:sz w:val="28"/>
          <w:szCs w:val="28"/>
        </w:rPr>
        <w:t> </w:t>
      </w:r>
      <w:r w:rsidRPr="00BD3037">
        <w:rPr>
          <w:sz w:val="28"/>
          <w:szCs w:val="28"/>
        </w:rPr>
        <w:t>punktu šādā redakcijā:</w:t>
      </w:r>
    </w:p>
    <w:p w14:paraId="1E98271F" w14:textId="77777777" w:rsidR="0019679E" w:rsidRDefault="0019679E" w:rsidP="0019679E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007AFDF4" w14:textId="5A1DF5FA" w:rsidR="00BD3037" w:rsidRDefault="0019679E" w:rsidP="0019679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279A4" w:rsidRPr="00BD3037">
        <w:rPr>
          <w:sz w:val="28"/>
          <w:szCs w:val="28"/>
        </w:rPr>
        <w:t>8.</w:t>
      </w:r>
      <w:r w:rsidR="00A279A4" w:rsidRPr="00BD3037">
        <w:rPr>
          <w:sz w:val="28"/>
          <w:szCs w:val="28"/>
          <w:vertAlign w:val="superscript"/>
        </w:rPr>
        <w:t>1</w:t>
      </w:r>
      <w:r w:rsidR="00A279A4" w:rsidRPr="00BD3037">
        <w:rPr>
          <w:sz w:val="28"/>
          <w:szCs w:val="28"/>
        </w:rPr>
        <w:t> Pedagogu darba samaksas noteikumos noteiktajām pedagoga profesionālās darbības kvalitātes piemaksām nepieciešamo finansējumu ministrija aprēķina un sadala pašvaldībām, ņemot vērā:</w:t>
      </w:r>
    </w:p>
    <w:p w14:paraId="6F0FF5F9" w14:textId="0B540119" w:rsidR="00BD3037" w:rsidRDefault="0019679E" w:rsidP="0019679E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E2AEB" w:rsidRPr="00BD3037">
        <w:rPr>
          <w:sz w:val="28"/>
          <w:szCs w:val="28"/>
        </w:rPr>
        <w:t>8.</w:t>
      </w:r>
      <w:r w:rsidR="002E2AEB" w:rsidRPr="00BD3037">
        <w:rPr>
          <w:sz w:val="28"/>
          <w:szCs w:val="28"/>
          <w:vertAlign w:val="superscript"/>
        </w:rPr>
        <w:t>1</w:t>
      </w:r>
      <w:r w:rsidR="004042B5">
        <w:rPr>
          <w:sz w:val="28"/>
          <w:szCs w:val="28"/>
          <w:vertAlign w:val="superscript"/>
        </w:rPr>
        <w:t> </w:t>
      </w:r>
      <w:r w:rsidR="00A279A4" w:rsidRPr="00BD3037">
        <w:rPr>
          <w:sz w:val="28"/>
          <w:szCs w:val="28"/>
        </w:rPr>
        <w:t>1.</w:t>
      </w:r>
      <w:r w:rsidR="004042B5">
        <w:rPr>
          <w:sz w:val="28"/>
          <w:szCs w:val="28"/>
        </w:rPr>
        <w:t> </w:t>
      </w:r>
      <w:r w:rsidR="002E2AEB" w:rsidRPr="00BD3037">
        <w:rPr>
          <w:sz w:val="28"/>
          <w:szCs w:val="28"/>
        </w:rPr>
        <w:t>informāciju</w:t>
      </w:r>
      <w:r w:rsidR="004042B5" w:rsidRPr="00BD3037">
        <w:rPr>
          <w:sz w:val="28"/>
          <w:szCs w:val="28"/>
        </w:rPr>
        <w:t>, ko pašvaldības vai izglītības iestādes līdz attiecīgā gada 5. septembrim ir ievadījušas un apstiprinājušas Valsts izglītības informācijas sistēmā</w:t>
      </w:r>
      <w:r w:rsidR="004042B5">
        <w:rPr>
          <w:sz w:val="28"/>
          <w:szCs w:val="28"/>
        </w:rPr>
        <w:t>,</w:t>
      </w:r>
      <w:r w:rsidR="004042B5" w:rsidRPr="00BD3037">
        <w:rPr>
          <w:sz w:val="28"/>
          <w:szCs w:val="28"/>
        </w:rPr>
        <w:t xml:space="preserve"> </w:t>
      </w:r>
      <w:r w:rsidR="002E2AEB" w:rsidRPr="00BD3037">
        <w:rPr>
          <w:sz w:val="28"/>
          <w:szCs w:val="28"/>
        </w:rPr>
        <w:t xml:space="preserve">par </w:t>
      </w:r>
      <w:r w:rsidR="004042B5">
        <w:rPr>
          <w:sz w:val="28"/>
          <w:szCs w:val="28"/>
        </w:rPr>
        <w:t xml:space="preserve">to </w:t>
      </w:r>
      <w:r w:rsidR="002E2AEB" w:rsidRPr="00BD3037">
        <w:rPr>
          <w:sz w:val="28"/>
          <w:szCs w:val="28"/>
        </w:rPr>
        <w:t>pedagogu</w:t>
      </w:r>
      <w:r w:rsidR="004042B5" w:rsidRPr="004042B5">
        <w:rPr>
          <w:sz w:val="28"/>
          <w:szCs w:val="28"/>
        </w:rPr>
        <w:t xml:space="preserve"> </w:t>
      </w:r>
      <w:r w:rsidR="004042B5" w:rsidRPr="00BD3037">
        <w:rPr>
          <w:sz w:val="28"/>
          <w:szCs w:val="28"/>
        </w:rPr>
        <w:t>darba likmju skaitu kārtējā gada 1. septembrī</w:t>
      </w:r>
      <w:r w:rsidR="002E2AEB" w:rsidRPr="00BD3037">
        <w:rPr>
          <w:sz w:val="28"/>
          <w:szCs w:val="28"/>
        </w:rPr>
        <w:t>, kuri ir ieguvuši 3., 4. un 5. kvalitātes pakāpi;</w:t>
      </w:r>
    </w:p>
    <w:p w14:paraId="284A1B91" w14:textId="0D0C4C58" w:rsidR="00BD3037" w:rsidRDefault="002E2AEB" w:rsidP="0019679E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r w:rsidRPr="00BD3037">
        <w:rPr>
          <w:sz w:val="28"/>
          <w:szCs w:val="28"/>
        </w:rPr>
        <w:t>8.</w:t>
      </w:r>
      <w:r w:rsidRPr="00BD3037">
        <w:rPr>
          <w:sz w:val="28"/>
          <w:szCs w:val="28"/>
          <w:vertAlign w:val="superscript"/>
        </w:rPr>
        <w:t>1</w:t>
      </w:r>
      <w:r w:rsidR="004042B5" w:rsidRPr="004042B5">
        <w:rPr>
          <w:sz w:val="28"/>
          <w:szCs w:val="28"/>
          <w:vertAlign w:val="superscript"/>
        </w:rPr>
        <w:t> </w:t>
      </w:r>
      <w:r w:rsidR="00A279A4" w:rsidRPr="00BD3037">
        <w:rPr>
          <w:sz w:val="28"/>
          <w:szCs w:val="28"/>
        </w:rPr>
        <w:t>2.</w:t>
      </w:r>
      <w:r w:rsidR="004042B5">
        <w:rPr>
          <w:sz w:val="28"/>
          <w:szCs w:val="28"/>
        </w:rPr>
        <w:t> </w:t>
      </w:r>
      <w:r w:rsidR="00A279A4" w:rsidRPr="00BD3037">
        <w:rPr>
          <w:sz w:val="28"/>
          <w:szCs w:val="28"/>
        </w:rPr>
        <w:t>pedagogu darba samaksas noteikumos noteikto piemaksas apmēru;</w:t>
      </w:r>
    </w:p>
    <w:p w14:paraId="1B388512" w14:textId="5314BD69" w:rsidR="00BD3037" w:rsidRDefault="002E2AEB" w:rsidP="0019679E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r w:rsidRPr="00BD3037">
        <w:rPr>
          <w:sz w:val="28"/>
          <w:szCs w:val="28"/>
        </w:rPr>
        <w:t>8.</w:t>
      </w:r>
      <w:r w:rsidRPr="00BD3037">
        <w:rPr>
          <w:sz w:val="28"/>
          <w:szCs w:val="28"/>
          <w:vertAlign w:val="superscript"/>
        </w:rPr>
        <w:t>1</w:t>
      </w:r>
      <w:r w:rsidR="004042B5" w:rsidRPr="004042B5">
        <w:rPr>
          <w:sz w:val="28"/>
          <w:szCs w:val="28"/>
          <w:vertAlign w:val="superscript"/>
        </w:rPr>
        <w:t> </w:t>
      </w:r>
      <w:r w:rsidR="00A279A4" w:rsidRPr="00BD3037">
        <w:rPr>
          <w:sz w:val="28"/>
          <w:szCs w:val="28"/>
        </w:rPr>
        <w:t>3.</w:t>
      </w:r>
      <w:r w:rsidR="004042B5">
        <w:rPr>
          <w:sz w:val="28"/>
          <w:szCs w:val="28"/>
        </w:rPr>
        <w:t> </w:t>
      </w:r>
      <w:r w:rsidR="00A279A4" w:rsidRPr="00BD3037">
        <w:rPr>
          <w:sz w:val="28"/>
          <w:szCs w:val="28"/>
        </w:rPr>
        <w:t>valsts sociālās apdrošināšanas obligātās iemaksas.</w:t>
      </w:r>
      <w:r w:rsidR="0019679E">
        <w:rPr>
          <w:sz w:val="28"/>
          <w:szCs w:val="28"/>
        </w:rPr>
        <w:t>"</w:t>
      </w:r>
      <w:r w:rsidRPr="00BD3037">
        <w:rPr>
          <w:sz w:val="28"/>
          <w:szCs w:val="28"/>
        </w:rPr>
        <w:t>;</w:t>
      </w:r>
    </w:p>
    <w:p w14:paraId="4E2191D3" w14:textId="77777777" w:rsidR="0019679E" w:rsidRDefault="0019679E" w:rsidP="0019679E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</w:p>
    <w:p w14:paraId="1846D27B" w14:textId="57C8A984" w:rsidR="00BD3037" w:rsidRDefault="00D32230" w:rsidP="0019679E">
      <w:pPr>
        <w:pStyle w:val="ListParagraph"/>
        <w:numPr>
          <w:ilvl w:val="1"/>
          <w:numId w:val="3"/>
        </w:numPr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BD3037">
        <w:rPr>
          <w:sz w:val="28"/>
          <w:szCs w:val="28"/>
        </w:rPr>
        <w:t xml:space="preserve">papildināt noteikumus ar </w:t>
      </w:r>
      <w:r w:rsidR="002E2AEB" w:rsidRPr="00BD3037">
        <w:rPr>
          <w:sz w:val="28"/>
          <w:szCs w:val="28"/>
        </w:rPr>
        <w:t>10.</w:t>
      </w:r>
      <w:r w:rsidR="002E2AEB" w:rsidRPr="00BD3037">
        <w:rPr>
          <w:sz w:val="28"/>
          <w:szCs w:val="28"/>
          <w:vertAlign w:val="superscript"/>
        </w:rPr>
        <w:t>1</w:t>
      </w:r>
      <w:r w:rsidRPr="00BD3037">
        <w:rPr>
          <w:sz w:val="28"/>
          <w:szCs w:val="28"/>
        </w:rPr>
        <w:t xml:space="preserve"> </w:t>
      </w:r>
      <w:r w:rsidR="002B247E">
        <w:rPr>
          <w:sz w:val="28"/>
          <w:szCs w:val="28"/>
        </w:rPr>
        <w:t xml:space="preserve">un </w:t>
      </w:r>
      <w:r w:rsidR="002B247E" w:rsidRPr="00BD3037">
        <w:rPr>
          <w:sz w:val="28"/>
          <w:szCs w:val="28"/>
        </w:rPr>
        <w:t>10.</w:t>
      </w:r>
      <w:r w:rsidR="002B247E" w:rsidRPr="00BD3037">
        <w:rPr>
          <w:sz w:val="28"/>
          <w:szCs w:val="28"/>
          <w:vertAlign w:val="superscript"/>
        </w:rPr>
        <w:t>2</w:t>
      </w:r>
      <w:r w:rsidR="002B247E">
        <w:rPr>
          <w:sz w:val="28"/>
          <w:szCs w:val="28"/>
        </w:rPr>
        <w:t> </w:t>
      </w:r>
      <w:r w:rsidRPr="00BD3037">
        <w:rPr>
          <w:sz w:val="28"/>
          <w:szCs w:val="28"/>
        </w:rPr>
        <w:t xml:space="preserve">punktu </w:t>
      </w:r>
      <w:r w:rsidR="006C1B3E" w:rsidRPr="00BD3037">
        <w:rPr>
          <w:sz w:val="28"/>
          <w:szCs w:val="28"/>
        </w:rPr>
        <w:t>šādā redakcijā:</w:t>
      </w:r>
    </w:p>
    <w:p w14:paraId="78E42304" w14:textId="77777777" w:rsidR="0019679E" w:rsidRDefault="0019679E" w:rsidP="0019679E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lv-LV"/>
        </w:rPr>
      </w:pPr>
    </w:p>
    <w:p w14:paraId="0588F90C" w14:textId="7B762978" w:rsidR="00BD3037" w:rsidRDefault="0019679E" w:rsidP="0019679E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"</w:t>
      </w:r>
      <w:r w:rsidR="002E2AEB" w:rsidRPr="00BD3037">
        <w:rPr>
          <w:sz w:val="28"/>
          <w:szCs w:val="28"/>
          <w:lang w:eastAsia="lv-LV"/>
        </w:rPr>
        <w:t>10.</w:t>
      </w:r>
      <w:r w:rsidR="002E2AEB" w:rsidRPr="00BD3037">
        <w:rPr>
          <w:sz w:val="28"/>
          <w:szCs w:val="28"/>
          <w:vertAlign w:val="superscript"/>
          <w:lang w:eastAsia="lv-LV"/>
        </w:rPr>
        <w:t>1</w:t>
      </w:r>
      <w:r w:rsidR="00FE77EF" w:rsidRPr="00FE77EF">
        <w:rPr>
          <w:sz w:val="28"/>
          <w:szCs w:val="28"/>
          <w:lang w:eastAsia="lv-LV"/>
        </w:rPr>
        <w:t> </w:t>
      </w:r>
      <w:r w:rsidR="002B247E">
        <w:rPr>
          <w:sz w:val="28"/>
          <w:szCs w:val="28"/>
          <w:lang w:eastAsia="lv-LV"/>
        </w:rPr>
        <w:t>P</w:t>
      </w:r>
      <w:r w:rsidR="00061134" w:rsidRPr="00BD3037">
        <w:rPr>
          <w:sz w:val="28"/>
          <w:szCs w:val="28"/>
          <w:lang w:eastAsia="lv-LV"/>
        </w:rPr>
        <w:t>ašvaldības līdz kārtējā gada 15.</w:t>
      </w:r>
      <w:r w:rsidR="00D32230" w:rsidRPr="00BD3037">
        <w:rPr>
          <w:sz w:val="28"/>
          <w:szCs w:val="28"/>
          <w:lang w:eastAsia="lv-LV"/>
        </w:rPr>
        <w:t> </w:t>
      </w:r>
      <w:r w:rsidR="00061134" w:rsidRPr="00BD3037">
        <w:rPr>
          <w:sz w:val="28"/>
          <w:szCs w:val="28"/>
          <w:lang w:eastAsia="lv-LV"/>
        </w:rPr>
        <w:t>septembrim</w:t>
      </w:r>
      <w:r w:rsidR="00240E2D" w:rsidRPr="00BD3037">
        <w:rPr>
          <w:sz w:val="28"/>
          <w:szCs w:val="28"/>
          <w:lang w:eastAsia="lv-LV"/>
        </w:rPr>
        <w:t xml:space="preserve"> sagatavo pārskatu par mērķdotācijas izlietojumu par periodu no kārtējā gada 1.</w:t>
      </w:r>
      <w:r w:rsidR="00D32230" w:rsidRPr="00BD3037">
        <w:rPr>
          <w:sz w:val="28"/>
          <w:szCs w:val="28"/>
          <w:lang w:eastAsia="lv-LV"/>
        </w:rPr>
        <w:t> </w:t>
      </w:r>
      <w:r w:rsidR="00240E2D" w:rsidRPr="00BD3037">
        <w:rPr>
          <w:sz w:val="28"/>
          <w:szCs w:val="28"/>
          <w:lang w:eastAsia="lv-LV"/>
        </w:rPr>
        <w:t xml:space="preserve">janvāra līdz </w:t>
      </w:r>
      <w:r w:rsidR="00240E2D" w:rsidRPr="00BD3037">
        <w:rPr>
          <w:sz w:val="28"/>
          <w:szCs w:val="28"/>
          <w:lang w:eastAsia="lv-LV"/>
        </w:rPr>
        <w:lastRenderedPageBreak/>
        <w:t>31.</w:t>
      </w:r>
      <w:r w:rsidR="00D32230" w:rsidRPr="00BD3037">
        <w:rPr>
          <w:sz w:val="28"/>
          <w:szCs w:val="28"/>
          <w:lang w:eastAsia="lv-LV"/>
        </w:rPr>
        <w:t> </w:t>
      </w:r>
      <w:r w:rsidR="00240E2D" w:rsidRPr="00BD3037">
        <w:rPr>
          <w:sz w:val="28"/>
          <w:szCs w:val="28"/>
          <w:lang w:eastAsia="lv-LV"/>
        </w:rPr>
        <w:t xml:space="preserve">augustam </w:t>
      </w:r>
      <w:r w:rsidR="00AA74B7" w:rsidRPr="00BD3037">
        <w:rPr>
          <w:sz w:val="28"/>
          <w:szCs w:val="28"/>
          <w:lang w:eastAsia="lv-LV"/>
        </w:rPr>
        <w:t xml:space="preserve">un </w:t>
      </w:r>
      <w:r w:rsidR="00240E2D" w:rsidRPr="00BD3037">
        <w:rPr>
          <w:sz w:val="28"/>
          <w:szCs w:val="28"/>
          <w:lang w:eastAsia="lv-LV"/>
        </w:rPr>
        <w:t xml:space="preserve">līdz nākamā gada </w:t>
      </w:r>
      <w:r w:rsidR="00061134" w:rsidRPr="00BD3037">
        <w:rPr>
          <w:sz w:val="28"/>
          <w:szCs w:val="28"/>
          <w:lang w:eastAsia="lv-LV"/>
        </w:rPr>
        <w:t>15.</w:t>
      </w:r>
      <w:r w:rsidR="00D32230" w:rsidRPr="00BD3037">
        <w:rPr>
          <w:sz w:val="28"/>
          <w:szCs w:val="28"/>
          <w:lang w:eastAsia="lv-LV"/>
        </w:rPr>
        <w:t> </w:t>
      </w:r>
      <w:r w:rsidR="00061134" w:rsidRPr="00BD3037">
        <w:rPr>
          <w:sz w:val="28"/>
          <w:szCs w:val="28"/>
          <w:lang w:eastAsia="lv-LV"/>
        </w:rPr>
        <w:t>janvārim</w:t>
      </w:r>
      <w:r w:rsidR="00240E2D" w:rsidRPr="00BD3037">
        <w:rPr>
          <w:sz w:val="28"/>
          <w:szCs w:val="28"/>
          <w:lang w:eastAsia="lv-LV"/>
        </w:rPr>
        <w:t xml:space="preserve"> </w:t>
      </w:r>
      <w:r w:rsidR="00B937E6" w:rsidRPr="00BD3037">
        <w:rPr>
          <w:sz w:val="28"/>
          <w:szCs w:val="28"/>
          <w:lang w:eastAsia="lv-LV"/>
        </w:rPr>
        <w:t>–</w:t>
      </w:r>
      <w:r w:rsidR="00240E2D" w:rsidRPr="00BD3037">
        <w:rPr>
          <w:sz w:val="28"/>
          <w:szCs w:val="28"/>
          <w:lang w:eastAsia="lv-LV"/>
        </w:rPr>
        <w:t xml:space="preserve"> par periodu no iepriekšējā gada 1.</w:t>
      </w:r>
      <w:r w:rsidR="00D32230" w:rsidRPr="00BD3037">
        <w:rPr>
          <w:sz w:val="28"/>
          <w:szCs w:val="28"/>
          <w:lang w:eastAsia="lv-LV"/>
        </w:rPr>
        <w:t> </w:t>
      </w:r>
      <w:r w:rsidR="00240E2D" w:rsidRPr="00BD3037">
        <w:rPr>
          <w:sz w:val="28"/>
          <w:szCs w:val="28"/>
          <w:lang w:eastAsia="lv-LV"/>
        </w:rPr>
        <w:t>septembra līdz 31.</w:t>
      </w:r>
      <w:r w:rsidR="00D32230" w:rsidRPr="00BD3037">
        <w:rPr>
          <w:sz w:val="28"/>
          <w:szCs w:val="28"/>
          <w:lang w:eastAsia="lv-LV"/>
        </w:rPr>
        <w:t> </w:t>
      </w:r>
      <w:r w:rsidR="00240E2D" w:rsidRPr="00BD3037">
        <w:rPr>
          <w:sz w:val="28"/>
          <w:szCs w:val="28"/>
          <w:lang w:eastAsia="lv-LV"/>
        </w:rPr>
        <w:t xml:space="preserve">decembrim </w:t>
      </w:r>
      <w:r w:rsidR="00061134" w:rsidRPr="00BD3037">
        <w:rPr>
          <w:sz w:val="28"/>
          <w:szCs w:val="28"/>
          <w:lang w:eastAsia="lv-LV"/>
        </w:rPr>
        <w:t>atbilstoši normatīvajos aktos budžeta izdevumu klasifikācijas jomā noteiktajai atalgojuma klasifikācijai (</w:t>
      </w:r>
      <w:hyperlink r:id="rId9" w:anchor="piel1" w:tgtFrame="_blank" w:history="1">
        <w:r w:rsidR="00061134" w:rsidRPr="00BD3037">
          <w:rPr>
            <w:sz w:val="28"/>
            <w:szCs w:val="28"/>
            <w:lang w:eastAsia="lv-LV"/>
          </w:rPr>
          <w:t>pielikums</w:t>
        </w:r>
      </w:hyperlink>
      <w:r w:rsidR="00061134" w:rsidRPr="00BD3037">
        <w:rPr>
          <w:sz w:val="28"/>
          <w:szCs w:val="28"/>
          <w:lang w:eastAsia="lv-LV"/>
        </w:rPr>
        <w:t>) un</w:t>
      </w:r>
      <w:r w:rsidR="00631891">
        <w:rPr>
          <w:sz w:val="28"/>
          <w:szCs w:val="28"/>
          <w:lang w:eastAsia="lv-LV"/>
        </w:rPr>
        <w:t xml:space="preserve"> iesniedz </w:t>
      </w:r>
      <w:r w:rsidR="00D32230" w:rsidRPr="00BD3037">
        <w:rPr>
          <w:sz w:val="28"/>
          <w:szCs w:val="28"/>
          <w:lang w:eastAsia="lv-LV"/>
        </w:rPr>
        <w:t>to m</w:t>
      </w:r>
      <w:r w:rsidR="00047A6A" w:rsidRPr="00BD3037">
        <w:rPr>
          <w:sz w:val="28"/>
          <w:szCs w:val="28"/>
          <w:lang w:eastAsia="lv-LV"/>
        </w:rPr>
        <w:t xml:space="preserve">inistriju, centrālo valsts iestāžu un pašvaldību budžeta pārskatu informācijas sistēmā (turpmāk – </w:t>
      </w:r>
      <w:proofErr w:type="spellStart"/>
      <w:r w:rsidR="00047A6A" w:rsidRPr="00BD3037">
        <w:rPr>
          <w:sz w:val="28"/>
          <w:szCs w:val="28"/>
          <w:lang w:eastAsia="lv-LV"/>
        </w:rPr>
        <w:t>ePārskat</w:t>
      </w:r>
      <w:r w:rsidR="002B247E">
        <w:rPr>
          <w:sz w:val="28"/>
          <w:szCs w:val="28"/>
          <w:lang w:eastAsia="lv-LV"/>
        </w:rPr>
        <w:t>u</w:t>
      </w:r>
      <w:proofErr w:type="spellEnd"/>
      <w:r w:rsidR="002B247E">
        <w:rPr>
          <w:sz w:val="28"/>
          <w:szCs w:val="28"/>
          <w:lang w:eastAsia="lv-LV"/>
        </w:rPr>
        <w:t xml:space="preserve"> sistēma</w:t>
      </w:r>
      <w:r w:rsidR="00047A6A" w:rsidRPr="00BD3037">
        <w:rPr>
          <w:sz w:val="28"/>
          <w:szCs w:val="28"/>
          <w:lang w:eastAsia="lv-LV"/>
        </w:rPr>
        <w:t>).</w:t>
      </w:r>
      <w:r w:rsidR="00BC3DD0" w:rsidRPr="00BD3037">
        <w:rPr>
          <w:sz w:val="28"/>
          <w:szCs w:val="28"/>
          <w:lang w:eastAsia="lv-LV"/>
        </w:rPr>
        <w:t xml:space="preserve"> A</w:t>
      </w:r>
      <w:r w:rsidR="00061134" w:rsidRPr="00BD3037">
        <w:rPr>
          <w:sz w:val="28"/>
          <w:szCs w:val="28"/>
          <w:lang w:eastAsia="lv-LV"/>
        </w:rPr>
        <w:t>pstiprinot pārskatu</w:t>
      </w:r>
      <w:r w:rsidR="00047A6A" w:rsidRPr="00BD3037">
        <w:rPr>
          <w:sz w:val="28"/>
          <w:szCs w:val="28"/>
          <w:lang w:eastAsia="lv-LV"/>
        </w:rPr>
        <w:t xml:space="preserve"> </w:t>
      </w:r>
      <w:proofErr w:type="spellStart"/>
      <w:r w:rsidR="00047A6A" w:rsidRPr="00BD3037">
        <w:rPr>
          <w:sz w:val="28"/>
          <w:szCs w:val="28"/>
          <w:lang w:eastAsia="lv-LV"/>
        </w:rPr>
        <w:t>ePārskatu</w:t>
      </w:r>
      <w:proofErr w:type="spellEnd"/>
      <w:r w:rsidR="00047A6A" w:rsidRPr="00BD3037">
        <w:rPr>
          <w:sz w:val="28"/>
          <w:szCs w:val="28"/>
          <w:lang w:eastAsia="lv-LV"/>
        </w:rPr>
        <w:t xml:space="preserve"> sistēmā</w:t>
      </w:r>
      <w:r w:rsidR="00061134" w:rsidRPr="00BD3037">
        <w:rPr>
          <w:sz w:val="28"/>
          <w:szCs w:val="28"/>
          <w:lang w:eastAsia="lv-LV"/>
        </w:rPr>
        <w:t>, pašvaldības vadītājs vai viņa pilnvarotā persona apliecina, ka mērķdotācija izlietota atbilstoši mērķim – pedagogu darba samaksai un valsts sociālās apdrošināšanas obligātajām iemaksām</w:t>
      </w:r>
      <w:r w:rsidR="00ED6FF3" w:rsidRPr="00BD3037">
        <w:rPr>
          <w:sz w:val="28"/>
          <w:szCs w:val="28"/>
          <w:lang w:eastAsia="lv-LV"/>
        </w:rPr>
        <w:t xml:space="preserve">. </w:t>
      </w:r>
      <w:r w:rsidR="00792134" w:rsidRPr="00BD3037">
        <w:rPr>
          <w:sz w:val="28"/>
          <w:szCs w:val="28"/>
          <w:lang w:eastAsia="lv-LV"/>
        </w:rPr>
        <w:t>M</w:t>
      </w:r>
      <w:r w:rsidR="00D32230" w:rsidRPr="00BD3037">
        <w:rPr>
          <w:sz w:val="28"/>
          <w:szCs w:val="28"/>
          <w:lang w:eastAsia="lv-LV"/>
        </w:rPr>
        <w:t xml:space="preserve">inistrija </w:t>
      </w:r>
      <w:r w:rsidR="00ED6FF3" w:rsidRPr="00BD3037">
        <w:rPr>
          <w:sz w:val="28"/>
          <w:szCs w:val="28"/>
          <w:lang w:eastAsia="lv-LV"/>
        </w:rPr>
        <w:t xml:space="preserve">viena mēneša laikā pārbauda un apstiprina pašvaldības iesniegtos un apstiprinātos pārskatus </w:t>
      </w:r>
      <w:proofErr w:type="spellStart"/>
      <w:r w:rsidR="00ED6FF3" w:rsidRPr="00BD3037">
        <w:rPr>
          <w:sz w:val="28"/>
          <w:szCs w:val="28"/>
          <w:lang w:eastAsia="lv-LV"/>
        </w:rPr>
        <w:t>ePārskatu</w:t>
      </w:r>
      <w:proofErr w:type="spellEnd"/>
      <w:r w:rsidR="00ED6FF3" w:rsidRPr="00BD3037">
        <w:rPr>
          <w:sz w:val="28"/>
          <w:szCs w:val="28"/>
          <w:lang w:eastAsia="lv-LV"/>
        </w:rPr>
        <w:t xml:space="preserve"> sistēmā.</w:t>
      </w:r>
    </w:p>
    <w:p w14:paraId="7F21ED28" w14:textId="77777777" w:rsidR="00FE77EF" w:rsidRDefault="00FE77EF" w:rsidP="0019679E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</w:p>
    <w:p w14:paraId="2BD304DC" w14:textId="3857E37D" w:rsidR="00BD3037" w:rsidRDefault="002E2AEB" w:rsidP="0019679E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r w:rsidRPr="00BD3037">
        <w:rPr>
          <w:sz w:val="28"/>
          <w:szCs w:val="28"/>
        </w:rPr>
        <w:t>10.</w:t>
      </w:r>
      <w:r w:rsidRPr="00BD3037">
        <w:rPr>
          <w:sz w:val="28"/>
          <w:szCs w:val="28"/>
          <w:vertAlign w:val="superscript"/>
        </w:rPr>
        <w:t>2</w:t>
      </w:r>
      <w:r w:rsidRPr="00BD3037">
        <w:rPr>
          <w:sz w:val="28"/>
          <w:szCs w:val="28"/>
        </w:rPr>
        <w:t> </w:t>
      </w:r>
      <w:r w:rsidR="0083472D" w:rsidRPr="00BD3037">
        <w:rPr>
          <w:sz w:val="28"/>
          <w:szCs w:val="28"/>
        </w:rPr>
        <w:t>Ja novadu un republikas pilsētu pašvaldību pārskatos, kas iesniedzami līdz 15.</w:t>
      </w:r>
      <w:r w:rsidR="00A279A4" w:rsidRPr="00BD3037">
        <w:rPr>
          <w:sz w:val="28"/>
          <w:szCs w:val="28"/>
        </w:rPr>
        <w:t> janvārim,</w:t>
      </w:r>
      <w:r w:rsidR="0083472D" w:rsidRPr="00BD3037">
        <w:rPr>
          <w:sz w:val="28"/>
          <w:szCs w:val="28"/>
        </w:rPr>
        <w:t xml:space="preserve"> </w:t>
      </w:r>
      <w:r w:rsidR="00FE77EF">
        <w:rPr>
          <w:sz w:val="28"/>
          <w:szCs w:val="28"/>
        </w:rPr>
        <w:t>no</w:t>
      </w:r>
      <w:r w:rsidR="00A279A4" w:rsidRPr="00BD3037">
        <w:rPr>
          <w:sz w:val="28"/>
          <w:szCs w:val="28"/>
        </w:rPr>
        <w:t xml:space="preserve">rādītais atlikums atbilstoši </w:t>
      </w:r>
      <w:r w:rsidR="0083472D" w:rsidRPr="00BD3037">
        <w:rPr>
          <w:sz w:val="28"/>
          <w:szCs w:val="28"/>
        </w:rPr>
        <w:t>ail</w:t>
      </w:r>
      <w:r w:rsidR="00606952">
        <w:rPr>
          <w:sz w:val="28"/>
          <w:szCs w:val="28"/>
        </w:rPr>
        <w:t>ei</w:t>
      </w:r>
      <w:r w:rsidR="0083472D" w:rsidRPr="00BD3037">
        <w:rPr>
          <w:sz w:val="28"/>
          <w:szCs w:val="28"/>
        </w:rPr>
        <w:t xml:space="preserve"> </w:t>
      </w:r>
      <w:r w:rsidR="0019679E">
        <w:rPr>
          <w:sz w:val="28"/>
          <w:szCs w:val="28"/>
        </w:rPr>
        <w:t>"</w:t>
      </w:r>
      <w:r w:rsidR="0083472D" w:rsidRPr="00BD3037">
        <w:rPr>
          <w:sz w:val="28"/>
          <w:szCs w:val="28"/>
        </w:rPr>
        <w:t>Atlikums uz pārskata perioda beigām</w:t>
      </w:r>
      <w:r w:rsidR="0019679E">
        <w:rPr>
          <w:sz w:val="28"/>
          <w:szCs w:val="28"/>
        </w:rPr>
        <w:t>"</w:t>
      </w:r>
      <w:r w:rsidR="0083472D" w:rsidRPr="00BD3037">
        <w:rPr>
          <w:sz w:val="28"/>
          <w:szCs w:val="28"/>
        </w:rPr>
        <w:t xml:space="preserve"> pārsniedz viena procenta apmēru no pašvaldībai piešķirtās mērķdotācijas iepriekšējā budžeta gadā, ministrija samazina mērķdotāciju pārsniegtās summas apmērā laika periodam no kārtējā budžeta gada 1.</w:t>
      </w:r>
      <w:r w:rsidR="00A279A4" w:rsidRPr="00BD3037">
        <w:rPr>
          <w:sz w:val="28"/>
          <w:szCs w:val="28"/>
        </w:rPr>
        <w:t> </w:t>
      </w:r>
      <w:r w:rsidR="0083472D" w:rsidRPr="00BD3037">
        <w:rPr>
          <w:sz w:val="28"/>
          <w:szCs w:val="28"/>
        </w:rPr>
        <w:t>septembra līdz 31.</w:t>
      </w:r>
      <w:r w:rsidR="00A279A4" w:rsidRPr="00BD3037">
        <w:rPr>
          <w:sz w:val="28"/>
          <w:szCs w:val="28"/>
        </w:rPr>
        <w:t> </w:t>
      </w:r>
      <w:r w:rsidR="0083472D" w:rsidRPr="00BD3037">
        <w:rPr>
          <w:sz w:val="28"/>
          <w:szCs w:val="28"/>
        </w:rPr>
        <w:t>decembrim</w:t>
      </w:r>
      <w:r w:rsidR="00BD5B79" w:rsidRPr="00BD3037">
        <w:rPr>
          <w:sz w:val="28"/>
          <w:szCs w:val="28"/>
        </w:rPr>
        <w:t>.</w:t>
      </w:r>
      <w:r w:rsidR="0019679E">
        <w:rPr>
          <w:sz w:val="28"/>
          <w:szCs w:val="28"/>
        </w:rPr>
        <w:t>"</w:t>
      </w:r>
      <w:r w:rsidR="00BD3037" w:rsidRPr="00BD3037">
        <w:rPr>
          <w:sz w:val="28"/>
          <w:szCs w:val="28"/>
        </w:rPr>
        <w:t>;</w:t>
      </w:r>
    </w:p>
    <w:p w14:paraId="632048B6" w14:textId="77777777" w:rsidR="0019679E" w:rsidRDefault="0019679E" w:rsidP="0019679E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</w:p>
    <w:p w14:paraId="7C609976" w14:textId="7473C14A" w:rsidR="00BD3037" w:rsidRPr="00E63ACF" w:rsidRDefault="00BD3037" w:rsidP="0019679E">
      <w:pPr>
        <w:pStyle w:val="ListParagraph"/>
        <w:numPr>
          <w:ilvl w:val="1"/>
          <w:numId w:val="3"/>
        </w:numPr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E63ACF">
        <w:rPr>
          <w:sz w:val="28"/>
          <w:szCs w:val="28"/>
        </w:rPr>
        <w:t>papildināt noteikumus ar pielikumu šādā redakcijā:</w:t>
      </w:r>
    </w:p>
    <w:p w14:paraId="0FA9E33C" w14:textId="77777777" w:rsidR="00E63ACF" w:rsidRDefault="00E63ACF" w:rsidP="0019679E">
      <w:pPr>
        <w:jc w:val="right"/>
        <w:rPr>
          <w:rFonts w:eastAsiaTheme="minorHAnsi"/>
        </w:rPr>
      </w:pPr>
    </w:p>
    <w:p w14:paraId="4E17566A" w14:textId="7C1938A1" w:rsidR="00E63ACF" w:rsidRPr="0019679E" w:rsidRDefault="0019679E" w:rsidP="0019679E">
      <w:pPr>
        <w:jc w:val="right"/>
        <w:rPr>
          <w:rFonts w:eastAsiaTheme="minorHAnsi"/>
          <w:sz w:val="28"/>
        </w:rPr>
      </w:pPr>
      <w:r>
        <w:rPr>
          <w:rFonts w:eastAsiaTheme="minorHAnsi"/>
          <w:sz w:val="28"/>
        </w:rPr>
        <w:t>"</w:t>
      </w:r>
      <w:r w:rsidR="00E63ACF" w:rsidRPr="0019679E">
        <w:rPr>
          <w:rFonts w:eastAsiaTheme="minorHAnsi"/>
          <w:sz w:val="28"/>
        </w:rPr>
        <w:t>Pielikums</w:t>
      </w:r>
    </w:p>
    <w:p w14:paraId="705B0150" w14:textId="77777777" w:rsidR="00E63ACF" w:rsidRPr="0019679E" w:rsidRDefault="00E63ACF" w:rsidP="0019679E">
      <w:pPr>
        <w:jc w:val="right"/>
        <w:rPr>
          <w:rFonts w:eastAsiaTheme="minorHAnsi"/>
          <w:sz w:val="28"/>
        </w:rPr>
      </w:pPr>
      <w:r w:rsidRPr="0019679E">
        <w:rPr>
          <w:rFonts w:eastAsiaTheme="minorHAnsi"/>
          <w:sz w:val="28"/>
        </w:rPr>
        <w:t>Ministru kabineta</w:t>
      </w:r>
    </w:p>
    <w:p w14:paraId="160983F9" w14:textId="46C8E54B" w:rsidR="0019679E" w:rsidRPr="0019679E" w:rsidRDefault="00E63ACF" w:rsidP="0019679E">
      <w:pPr>
        <w:jc w:val="right"/>
        <w:rPr>
          <w:rFonts w:eastAsiaTheme="minorHAnsi"/>
          <w:sz w:val="28"/>
        </w:rPr>
      </w:pPr>
      <w:r w:rsidRPr="0019679E">
        <w:rPr>
          <w:rFonts w:eastAsiaTheme="minorHAnsi"/>
          <w:sz w:val="28"/>
        </w:rPr>
        <w:t>2001.</w:t>
      </w:r>
      <w:r w:rsidR="0019679E">
        <w:rPr>
          <w:rFonts w:eastAsiaTheme="minorHAnsi"/>
          <w:sz w:val="28"/>
        </w:rPr>
        <w:t> </w:t>
      </w:r>
      <w:r w:rsidRPr="0019679E">
        <w:rPr>
          <w:rFonts w:eastAsiaTheme="minorHAnsi"/>
          <w:sz w:val="28"/>
        </w:rPr>
        <w:t>gada 28.</w:t>
      </w:r>
      <w:r w:rsidR="0019679E">
        <w:rPr>
          <w:rFonts w:eastAsiaTheme="minorHAnsi"/>
          <w:sz w:val="28"/>
        </w:rPr>
        <w:t> </w:t>
      </w:r>
      <w:r w:rsidRPr="0019679E">
        <w:rPr>
          <w:rFonts w:eastAsiaTheme="minorHAnsi"/>
          <w:sz w:val="28"/>
        </w:rPr>
        <w:t xml:space="preserve">augusta </w:t>
      </w:r>
    </w:p>
    <w:p w14:paraId="6E4E4DF9" w14:textId="4FB3FB9F" w:rsidR="00E63ACF" w:rsidRPr="0019679E" w:rsidRDefault="00E63ACF" w:rsidP="0019679E">
      <w:pPr>
        <w:jc w:val="right"/>
        <w:rPr>
          <w:rFonts w:eastAsiaTheme="minorHAnsi"/>
          <w:sz w:val="28"/>
        </w:rPr>
      </w:pPr>
      <w:r w:rsidRPr="0019679E">
        <w:rPr>
          <w:rFonts w:eastAsiaTheme="minorHAnsi"/>
          <w:sz w:val="28"/>
        </w:rPr>
        <w:t>noteikumiem Nr.</w:t>
      </w:r>
      <w:r w:rsidR="0019679E">
        <w:rPr>
          <w:rFonts w:eastAsiaTheme="minorHAnsi"/>
          <w:sz w:val="28"/>
        </w:rPr>
        <w:t> </w:t>
      </w:r>
      <w:r w:rsidRPr="0019679E">
        <w:rPr>
          <w:rFonts w:eastAsiaTheme="minorHAnsi"/>
          <w:sz w:val="28"/>
        </w:rPr>
        <w:t>382</w:t>
      </w:r>
    </w:p>
    <w:p w14:paraId="4D1249A9" w14:textId="77777777" w:rsidR="00E63ACF" w:rsidRPr="0027056D" w:rsidRDefault="00E63ACF" w:rsidP="00E63ACF">
      <w:pPr>
        <w:jc w:val="right"/>
        <w:rPr>
          <w:rFonts w:eastAsiaTheme="minorHAnsi"/>
          <w:sz w:val="28"/>
          <w:szCs w:val="28"/>
        </w:rPr>
      </w:pPr>
    </w:p>
    <w:p w14:paraId="51A0AA24" w14:textId="77777777" w:rsidR="00E63ACF" w:rsidRPr="0027056D" w:rsidRDefault="00E63ACF" w:rsidP="00E63ACF">
      <w:pPr>
        <w:jc w:val="center"/>
        <w:rPr>
          <w:rFonts w:eastAsiaTheme="minorHAnsi"/>
          <w:b/>
          <w:sz w:val="28"/>
          <w:szCs w:val="28"/>
        </w:rPr>
      </w:pPr>
      <w:r w:rsidRPr="0027056D">
        <w:rPr>
          <w:rFonts w:eastAsiaTheme="minorHAnsi"/>
          <w:b/>
          <w:sz w:val="28"/>
          <w:szCs w:val="28"/>
        </w:rPr>
        <w:t>Pārskats par mērķdotācijas izlietojumu</w:t>
      </w:r>
    </w:p>
    <w:p w14:paraId="1BAC0770" w14:textId="77777777" w:rsidR="00E63ACF" w:rsidRPr="00712C39" w:rsidRDefault="00E63ACF" w:rsidP="00E63ACF">
      <w:pPr>
        <w:jc w:val="right"/>
        <w:rPr>
          <w:rFonts w:eastAsiaTheme="minorHAnsi"/>
        </w:rPr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1611"/>
        <w:gridCol w:w="4026"/>
        <w:gridCol w:w="3492"/>
      </w:tblGrid>
      <w:tr w:rsidR="00E63ACF" w:rsidRPr="00712C39" w14:paraId="25E119D5" w14:textId="77777777" w:rsidTr="00FE77EF">
        <w:trPr>
          <w:trHeight w:val="300"/>
        </w:trPr>
        <w:tc>
          <w:tcPr>
            <w:tcW w:w="5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1DCB" w14:textId="54A09269" w:rsidR="00E63ACF" w:rsidRPr="00712C39" w:rsidRDefault="00E63ACF" w:rsidP="00DC2DA4">
            <w:pPr>
              <w:rPr>
                <w:color w:val="000000"/>
                <w:lang w:eastAsia="lv-LV"/>
              </w:rPr>
            </w:pPr>
            <w:r w:rsidRPr="00712C39">
              <w:rPr>
                <w:color w:val="000000"/>
                <w:lang w:eastAsia="lv-LV"/>
              </w:rPr>
              <w:t>Datu apkopošanas pam</w:t>
            </w:r>
            <w:r>
              <w:rPr>
                <w:color w:val="000000"/>
                <w:lang w:eastAsia="lv-LV"/>
              </w:rPr>
              <w:t xml:space="preserve">atojums – Ministru kabineta </w:t>
            </w:r>
            <w:r w:rsidRPr="00E36846">
              <w:rPr>
                <w:color w:val="000000"/>
                <w:lang w:eastAsia="lv-LV"/>
              </w:rPr>
              <w:t>2001.</w:t>
            </w:r>
            <w:r w:rsidR="0019679E">
              <w:rPr>
                <w:color w:val="000000"/>
                <w:lang w:eastAsia="lv-LV"/>
              </w:rPr>
              <w:t> </w:t>
            </w:r>
            <w:r w:rsidRPr="00E36846">
              <w:rPr>
                <w:color w:val="000000"/>
                <w:lang w:eastAsia="lv-LV"/>
              </w:rPr>
              <w:t>gada 28.</w:t>
            </w:r>
            <w:r w:rsidR="0019679E">
              <w:rPr>
                <w:color w:val="000000"/>
                <w:lang w:eastAsia="lv-LV"/>
              </w:rPr>
              <w:t> </w:t>
            </w:r>
            <w:r w:rsidRPr="00E36846">
              <w:rPr>
                <w:color w:val="000000"/>
                <w:lang w:eastAsia="lv-LV"/>
              </w:rPr>
              <w:t>augusta noteikum</w:t>
            </w:r>
            <w:r>
              <w:rPr>
                <w:color w:val="000000"/>
                <w:lang w:eastAsia="lv-LV"/>
              </w:rPr>
              <w:t>i</w:t>
            </w:r>
            <w:r w:rsidRPr="00E36846">
              <w:rPr>
                <w:color w:val="000000"/>
                <w:lang w:eastAsia="lv-LV"/>
              </w:rPr>
              <w:t xml:space="preserve"> Nr.</w:t>
            </w:r>
            <w:r w:rsidR="0019679E">
              <w:rPr>
                <w:color w:val="000000"/>
                <w:lang w:eastAsia="lv-LV"/>
              </w:rPr>
              <w:t> </w:t>
            </w:r>
            <w:r w:rsidRPr="00E36846">
              <w:rPr>
                <w:color w:val="000000"/>
                <w:lang w:eastAsia="lv-LV"/>
              </w:rPr>
              <w:t xml:space="preserve">382 </w:t>
            </w:r>
            <w:r w:rsidR="0019679E">
              <w:rPr>
                <w:color w:val="000000"/>
                <w:lang w:eastAsia="lv-LV"/>
              </w:rPr>
              <w:t>"</w:t>
            </w:r>
            <w:r w:rsidRPr="00E36846">
              <w:rPr>
                <w:color w:val="000000"/>
                <w:lang w:eastAsia="lv-LV"/>
              </w:rPr>
              <w:t>Interešu izglītības programmu finansēšanas kārtība</w:t>
            </w:r>
            <w:r w:rsidR="0019679E">
              <w:rPr>
                <w:color w:val="000000"/>
                <w:lang w:eastAsia="lv-LV"/>
              </w:rPr>
              <w:t>"</w:t>
            </w:r>
            <w:r w:rsidRPr="00E36846">
              <w:rPr>
                <w:color w:val="000000"/>
                <w:lang w:eastAsia="lv-LV"/>
              </w:rPr>
              <w:t xml:space="preserve"> </w:t>
            </w:r>
            <w:r w:rsidRPr="00712C39">
              <w:rPr>
                <w:color w:val="000000"/>
                <w:lang w:eastAsia="lv-LV"/>
              </w:rPr>
              <w:t>d</w:t>
            </w:r>
            <w:r>
              <w:rPr>
                <w:color w:val="000000"/>
                <w:lang w:eastAsia="lv-LV"/>
              </w:rPr>
              <w:t>od tiesības pieprasīt šos datus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C0DF" w14:textId="34B2115F" w:rsidR="00E63ACF" w:rsidRPr="00712C39" w:rsidRDefault="00E63ACF" w:rsidP="00DC2DA4">
            <w:pPr>
              <w:jc w:val="right"/>
              <w:rPr>
                <w:color w:val="000000"/>
                <w:lang w:eastAsia="lv-LV"/>
              </w:rPr>
            </w:pPr>
            <w:r w:rsidRPr="00712C39">
              <w:rPr>
                <w:color w:val="000000"/>
                <w:lang w:eastAsia="lv-LV"/>
              </w:rPr>
              <w:t>Veidlapa Nr.</w:t>
            </w:r>
            <w:r w:rsidR="00FE77EF">
              <w:rPr>
                <w:color w:val="000000"/>
                <w:lang w:eastAsia="lv-LV"/>
              </w:rPr>
              <w:t xml:space="preserve"> </w:t>
            </w:r>
            <w:r w:rsidRPr="00712C39">
              <w:rPr>
                <w:color w:val="000000"/>
                <w:lang w:eastAsia="lv-LV"/>
              </w:rPr>
              <w:t>IZM_MERK_PED</w:t>
            </w:r>
          </w:p>
        </w:tc>
      </w:tr>
      <w:tr w:rsidR="00E63ACF" w:rsidRPr="00712C39" w14:paraId="32825CA2" w14:textId="77777777" w:rsidTr="00FE77EF">
        <w:trPr>
          <w:trHeight w:val="1260"/>
        </w:trPr>
        <w:tc>
          <w:tcPr>
            <w:tcW w:w="5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CCA8" w14:textId="77777777" w:rsidR="00E63ACF" w:rsidRPr="00712C39" w:rsidRDefault="00E63ACF" w:rsidP="00DC2DA4">
            <w:pPr>
              <w:rPr>
                <w:color w:val="000000"/>
                <w:lang w:eastAsia="lv-LV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1F6D" w14:textId="77777777" w:rsidR="00E63ACF" w:rsidRPr="00712C39" w:rsidRDefault="00E63ACF" w:rsidP="00DC2DA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12C39">
              <w:rPr>
                <w:b/>
                <w:bCs/>
                <w:color w:val="000000"/>
                <w:lang w:eastAsia="lv-LV"/>
              </w:rPr>
              <w:t>Pārskats par mērķdotācijas novadu un republikas pilsētu pašvaldībām izlietojumu</w:t>
            </w:r>
          </w:p>
        </w:tc>
      </w:tr>
      <w:tr w:rsidR="00E63ACF" w:rsidRPr="00712C39" w14:paraId="5609FBC2" w14:textId="77777777" w:rsidTr="00FE77EF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889FE" w14:textId="77777777" w:rsidR="00E63ACF" w:rsidRPr="00712C39" w:rsidRDefault="00E63ACF" w:rsidP="00DC2DA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2B8A2" w14:textId="77777777" w:rsidR="00E63ACF" w:rsidRPr="00712C39" w:rsidRDefault="00E63ACF" w:rsidP="00DC2DA4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1CCC9" w14:textId="77777777" w:rsidR="00E63ACF" w:rsidRPr="00712C39" w:rsidRDefault="00E63ACF" w:rsidP="00DC2DA4">
            <w:pPr>
              <w:rPr>
                <w:sz w:val="20"/>
                <w:szCs w:val="20"/>
                <w:lang w:eastAsia="lv-LV"/>
              </w:rPr>
            </w:pPr>
          </w:p>
        </w:tc>
      </w:tr>
      <w:tr w:rsidR="00E63ACF" w:rsidRPr="00712C39" w14:paraId="69FA05B1" w14:textId="77777777" w:rsidTr="00FE77EF">
        <w:trPr>
          <w:trHeight w:val="31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18EB" w14:textId="77777777" w:rsidR="00E63ACF" w:rsidRPr="00712C39" w:rsidRDefault="00E63ACF" w:rsidP="00DC2DA4">
            <w:pPr>
              <w:rPr>
                <w:lang w:eastAsia="lv-LV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C83C" w14:textId="77777777" w:rsidR="00E63ACF" w:rsidRPr="00712C39" w:rsidRDefault="00E63ACF" w:rsidP="00DC2DA4">
            <w:pPr>
              <w:rPr>
                <w:lang w:eastAsia="lv-LV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8FF9" w14:textId="77777777" w:rsidR="00E63ACF" w:rsidRPr="00712C39" w:rsidRDefault="00E63ACF" w:rsidP="00DC2DA4">
            <w:pPr>
              <w:jc w:val="center"/>
              <w:rPr>
                <w:color w:val="000000"/>
                <w:lang w:eastAsia="lv-LV"/>
              </w:rPr>
            </w:pPr>
            <w:r w:rsidRPr="00712C39">
              <w:rPr>
                <w:color w:val="000000"/>
                <w:lang w:eastAsia="lv-LV"/>
              </w:rPr>
              <w:t>KODI</w:t>
            </w:r>
          </w:p>
        </w:tc>
      </w:tr>
      <w:tr w:rsidR="00E63ACF" w:rsidRPr="00712C39" w14:paraId="75B07E36" w14:textId="77777777" w:rsidTr="00FE77EF">
        <w:trPr>
          <w:trHeight w:val="300"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4705" w14:textId="77777777" w:rsidR="00E63ACF" w:rsidRPr="00712C39" w:rsidRDefault="00E63ACF" w:rsidP="00DC2DA4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5DFC" w14:textId="77777777" w:rsidR="00E63ACF" w:rsidRPr="00712C39" w:rsidRDefault="00E63ACF" w:rsidP="00DC2DA4">
            <w:pPr>
              <w:jc w:val="center"/>
              <w:rPr>
                <w:color w:val="000000"/>
                <w:lang w:eastAsia="lv-LV"/>
              </w:rPr>
            </w:pPr>
            <w:r w:rsidRPr="00712C39">
              <w:rPr>
                <w:color w:val="000000"/>
                <w:lang w:eastAsia="lv-LV"/>
              </w:rPr>
              <w:t> </w:t>
            </w:r>
          </w:p>
        </w:tc>
      </w:tr>
      <w:tr w:rsidR="00E63ACF" w:rsidRPr="0027056D" w14:paraId="13013404" w14:textId="77777777" w:rsidTr="00FE77EF">
        <w:trPr>
          <w:trHeight w:val="376"/>
        </w:trPr>
        <w:tc>
          <w:tcPr>
            <w:tcW w:w="5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6CC84" w14:textId="77777777" w:rsidR="00E63ACF" w:rsidRPr="0027056D" w:rsidRDefault="00E63ACF" w:rsidP="00DC2DA4">
            <w:pPr>
              <w:jc w:val="center"/>
              <w:rPr>
                <w:sz w:val="20"/>
                <w:szCs w:val="20"/>
                <w:lang w:eastAsia="lv-LV"/>
              </w:rPr>
            </w:pPr>
            <w:r w:rsidRPr="0027056D">
              <w:rPr>
                <w:sz w:val="20"/>
                <w:szCs w:val="20"/>
                <w:lang w:eastAsia="lv-LV"/>
              </w:rPr>
              <w:t>(pašvaldības nosaukums)</w:t>
            </w: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90D6" w14:textId="77777777" w:rsidR="00E63ACF" w:rsidRPr="0027056D" w:rsidRDefault="00E63ACF" w:rsidP="00DC2D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27056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E63ACF" w:rsidRPr="00712C39" w14:paraId="76732907" w14:textId="77777777" w:rsidTr="00FE77EF">
        <w:trPr>
          <w:trHeight w:val="376"/>
        </w:trPr>
        <w:tc>
          <w:tcPr>
            <w:tcW w:w="5637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303541DD" w14:textId="77777777" w:rsidR="00E63ACF" w:rsidRPr="0027056D" w:rsidRDefault="00E63ACF" w:rsidP="00DC2DA4">
            <w:pPr>
              <w:jc w:val="center"/>
              <w:rPr>
                <w:sz w:val="20"/>
                <w:szCs w:val="20"/>
                <w:lang w:eastAsia="lv-LV"/>
              </w:rPr>
            </w:pPr>
            <w:r w:rsidRPr="0027056D">
              <w:rPr>
                <w:sz w:val="20"/>
                <w:szCs w:val="20"/>
                <w:lang w:eastAsia="lv-LV"/>
              </w:rPr>
              <w:t>(pārskata periods)</w:t>
            </w:r>
          </w:p>
        </w:tc>
        <w:tc>
          <w:tcPr>
            <w:tcW w:w="34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62C8EE9" w14:textId="77777777" w:rsidR="00E63ACF" w:rsidRPr="00712C39" w:rsidRDefault="00E63ACF" w:rsidP="00DC2DA4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188A163E" w14:textId="77777777" w:rsidR="0027056D" w:rsidRDefault="0027056D">
      <w:r>
        <w:br w:type="page"/>
      </w:r>
    </w:p>
    <w:tbl>
      <w:tblPr>
        <w:tblW w:w="13763" w:type="dxa"/>
        <w:tblLook w:val="04A0" w:firstRow="1" w:lastRow="0" w:firstColumn="1" w:lastColumn="0" w:noHBand="0" w:noVBand="1"/>
      </w:tblPr>
      <w:tblGrid>
        <w:gridCol w:w="1585"/>
        <w:gridCol w:w="1500"/>
        <w:gridCol w:w="1308"/>
        <w:gridCol w:w="719"/>
        <w:gridCol w:w="808"/>
        <w:gridCol w:w="3303"/>
        <w:gridCol w:w="282"/>
        <w:gridCol w:w="2894"/>
        <w:gridCol w:w="1364"/>
      </w:tblGrid>
      <w:tr w:rsidR="00E63ACF" w:rsidRPr="00712C39" w14:paraId="314AA62D" w14:textId="77777777" w:rsidTr="00594AD9">
        <w:trPr>
          <w:trHeight w:val="300"/>
        </w:trPr>
        <w:tc>
          <w:tcPr>
            <w:tcW w:w="1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EE13" w14:textId="6894338A" w:rsidR="00E63ACF" w:rsidRPr="00712C39" w:rsidRDefault="00E63ACF" w:rsidP="00DC2DA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081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248C" w14:textId="77777777" w:rsidR="00E63ACF" w:rsidRPr="00712C39" w:rsidRDefault="00E63ACF" w:rsidP="00DC2DA4">
            <w:pPr>
              <w:rPr>
                <w:lang w:eastAsia="lv-LV"/>
              </w:rPr>
            </w:pPr>
          </w:p>
        </w:tc>
        <w:tc>
          <w:tcPr>
            <w:tcW w:w="1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D9F0" w14:textId="77777777" w:rsidR="00E63ACF" w:rsidRPr="00712C39" w:rsidRDefault="00E63ACF" w:rsidP="00DC2DA4">
            <w:pPr>
              <w:jc w:val="right"/>
              <w:rPr>
                <w:i/>
                <w:iCs/>
                <w:color w:val="000000"/>
                <w:lang w:eastAsia="lv-LV"/>
              </w:rPr>
            </w:pPr>
            <w:proofErr w:type="spellStart"/>
            <w:r w:rsidRPr="00712C39">
              <w:rPr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27056D">
              <w:rPr>
                <w:iCs/>
                <w:color w:val="000000"/>
                <w:lang w:eastAsia="lv-LV"/>
              </w:rPr>
              <w:t>, centi</w:t>
            </w:r>
          </w:p>
        </w:tc>
      </w:tr>
      <w:tr w:rsidR="00E63ACF" w:rsidRPr="00712C39" w14:paraId="26EB4ED5" w14:textId="77777777" w:rsidTr="00594AD9">
        <w:trPr>
          <w:gridAfter w:val="3"/>
          <w:wAfter w:w="4540" w:type="dxa"/>
          <w:trHeight w:val="1837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EBF5" w14:textId="77777777" w:rsidR="00E63ACF" w:rsidRPr="00712C39" w:rsidRDefault="00E63ACF" w:rsidP="00DC2D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color w:val="000000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E728" w14:textId="77777777" w:rsidR="00E63ACF" w:rsidRPr="00712C39" w:rsidRDefault="00E63ACF" w:rsidP="00DC2D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color w:val="000000"/>
                <w:sz w:val="20"/>
                <w:szCs w:val="20"/>
                <w:lang w:eastAsia="lv-LV"/>
              </w:rPr>
              <w:t>Posteņa nosaukums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9224" w14:textId="0C734694" w:rsidR="00E63ACF" w:rsidRDefault="00E63ACF" w:rsidP="00DC2D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62.</w:t>
            </w:r>
            <w:r w:rsidR="0027056D">
              <w:rPr>
                <w:color w:val="000000"/>
                <w:sz w:val="20"/>
                <w:szCs w:val="20"/>
                <w:lang w:eastAsia="lv-LV"/>
              </w:rPr>
              <w:t> </w:t>
            </w:r>
            <w:r>
              <w:rPr>
                <w:color w:val="000000"/>
                <w:sz w:val="20"/>
                <w:szCs w:val="20"/>
                <w:lang w:eastAsia="lv-LV"/>
              </w:rPr>
              <w:t>resora</w:t>
            </w:r>
          </w:p>
          <w:p w14:paraId="60B45A26" w14:textId="77777777" w:rsidR="00E63ACF" w:rsidRDefault="00E63ACF" w:rsidP="00DC2D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programma </w:t>
            </w:r>
            <w:r w:rsidRPr="00712C39">
              <w:rPr>
                <w:color w:val="000000"/>
                <w:sz w:val="20"/>
                <w:szCs w:val="20"/>
                <w:lang w:eastAsia="lv-LV"/>
              </w:rPr>
              <w:t>05.00.00.</w:t>
            </w:r>
          </w:p>
          <w:p w14:paraId="01F3534D" w14:textId="41183B05" w:rsidR="00E63ACF" w:rsidRDefault="0019679E" w:rsidP="00DC2D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  <w:r w:rsidR="00E63ACF" w:rsidRPr="00712C39">
              <w:rPr>
                <w:color w:val="000000"/>
                <w:sz w:val="20"/>
                <w:szCs w:val="20"/>
                <w:lang w:eastAsia="lv-LV"/>
              </w:rPr>
              <w:t xml:space="preserve">Mērķdotācija pašvaldībām </w:t>
            </w:r>
            <w:r w:rsidR="0027056D">
              <w:rPr>
                <w:color w:val="000000"/>
                <w:sz w:val="20"/>
                <w:szCs w:val="20"/>
                <w:lang w:eastAsia="lv-LV"/>
              </w:rPr>
              <w:t>–</w:t>
            </w:r>
            <w:r w:rsidR="00E63ACF" w:rsidRPr="00712C39">
              <w:rPr>
                <w:color w:val="000000"/>
                <w:sz w:val="20"/>
                <w:szCs w:val="20"/>
                <w:lang w:eastAsia="lv-LV"/>
              </w:rPr>
              <w:t xml:space="preserve"> pašvaldību izglītības iestāžu pedagogu darba samaksai un VSAOI</w:t>
            </w:r>
            <w:r>
              <w:rPr>
                <w:color w:val="000000"/>
                <w:sz w:val="20"/>
                <w:szCs w:val="20"/>
                <w:lang w:eastAsia="lv-LV"/>
              </w:rPr>
              <w:t>"</w:t>
            </w:r>
          </w:p>
          <w:p w14:paraId="6ECF6F3C" w14:textId="599D117F" w:rsidR="00E63ACF" w:rsidRPr="00712C39" w:rsidRDefault="00E63ACF" w:rsidP="00DC2D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(interešu izglītība)</w:t>
            </w:r>
          </w:p>
        </w:tc>
      </w:tr>
      <w:tr w:rsidR="00E63ACF" w:rsidRPr="00712C39" w14:paraId="6BA08872" w14:textId="77777777" w:rsidTr="00594AD9">
        <w:trPr>
          <w:gridAfter w:val="3"/>
          <w:wAfter w:w="4540" w:type="dxa"/>
          <w:trHeight w:val="31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F980" w14:textId="77777777" w:rsidR="00E63ACF" w:rsidRPr="00712C39" w:rsidRDefault="00E63ACF" w:rsidP="00DC2DA4">
            <w:pPr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712C39">
              <w:rPr>
                <w:color w:val="000000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4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7F37" w14:textId="77777777" w:rsidR="00E63ACF" w:rsidRPr="00712C39" w:rsidRDefault="00E63ACF" w:rsidP="00DC2DA4">
            <w:pPr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712C39">
              <w:rPr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210C" w14:textId="77777777" w:rsidR="00E63ACF" w:rsidRPr="00712C39" w:rsidRDefault="00E63ACF" w:rsidP="00DC2DA4">
            <w:pPr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712C39">
              <w:rPr>
                <w:color w:val="000000"/>
                <w:sz w:val="18"/>
                <w:szCs w:val="18"/>
                <w:lang w:eastAsia="lv-LV"/>
              </w:rPr>
              <w:t>1</w:t>
            </w:r>
          </w:p>
        </w:tc>
      </w:tr>
      <w:tr w:rsidR="00E63ACF" w:rsidRPr="00712C39" w14:paraId="4CCC8E80" w14:textId="77777777" w:rsidTr="00594AD9">
        <w:trPr>
          <w:gridAfter w:val="3"/>
          <w:wAfter w:w="4540" w:type="dxa"/>
          <w:trHeight w:val="30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F7B60" w14:textId="77777777" w:rsidR="00E63ACF" w:rsidRPr="00712C39" w:rsidRDefault="00E63ACF" w:rsidP="00DC2DA4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712C39">
              <w:rPr>
                <w:b/>
                <w:bCs/>
                <w:color w:val="000000"/>
                <w:sz w:val="20"/>
                <w:szCs w:val="20"/>
                <w:lang w:eastAsia="lv-LV"/>
              </w:rPr>
              <w:t>ATL_sak</w:t>
            </w:r>
            <w:proofErr w:type="spellEnd"/>
          </w:p>
        </w:tc>
        <w:tc>
          <w:tcPr>
            <w:tcW w:w="4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CBA69" w14:textId="77777777" w:rsidR="00E63ACF" w:rsidRPr="00712C39" w:rsidRDefault="00E63ACF" w:rsidP="00DC2D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color w:val="000000"/>
                <w:sz w:val="20"/>
                <w:szCs w:val="20"/>
                <w:lang w:eastAsia="lv-LV"/>
              </w:rPr>
              <w:t>Atlikums uz pārskata perioda sākumu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3240" w14:textId="77777777" w:rsidR="00E63ACF" w:rsidRPr="00712C39" w:rsidRDefault="00E63ACF" w:rsidP="00DC2D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E63ACF" w:rsidRPr="00712C39" w14:paraId="6297D77B" w14:textId="77777777" w:rsidTr="00594AD9">
        <w:trPr>
          <w:gridAfter w:val="3"/>
          <w:wAfter w:w="4540" w:type="dxa"/>
          <w:trHeight w:val="477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3A8C1" w14:textId="77777777" w:rsidR="00E63ACF" w:rsidRPr="00712C39" w:rsidRDefault="00E63ACF" w:rsidP="00DC2DA4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b/>
                <w:bCs/>
                <w:color w:val="000000"/>
                <w:sz w:val="20"/>
                <w:szCs w:val="20"/>
                <w:lang w:eastAsia="lv-LV"/>
              </w:rPr>
              <w:t>MERK_DOT</w:t>
            </w: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DCF4C" w14:textId="77777777" w:rsidR="00E63ACF" w:rsidRPr="00712C39" w:rsidRDefault="00E63ACF" w:rsidP="00DC2D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color w:val="000000"/>
                <w:sz w:val="20"/>
                <w:szCs w:val="20"/>
                <w:lang w:eastAsia="lv-LV"/>
              </w:rPr>
              <w:t>Saņemts pārskata periodā/ Mērķdotācija</w:t>
            </w:r>
            <w:r w:rsidRPr="00712C39">
              <w:rPr>
                <w:color w:val="000000"/>
                <w:sz w:val="20"/>
                <w:szCs w:val="20"/>
                <w:lang w:eastAsia="lv-LV"/>
              </w:rPr>
              <w:br/>
              <w:t>(saņemts no IZM)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98FB" w14:textId="77777777" w:rsidR="00E63ACF" w:rsidRPr="00712C39" w:rsidRDefault="00E63ACF" w:rsidP="00DC2D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E63ACF" w:rsidRPr="00712C39" w14:paraId="17EDF7CD" w14:textId="77777777" w:rsidTr="00594AD9">
        <w:trPr>
          <w:gridAfter w:val="3"/>
          <w:wAfter w:w="4540" w:type="dxa"/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28516" w14:textId="77777777" w:rsidR="00E63ACF" w:rsidRPr="00712C39" w:rsidRDefault="00E63ACF" w:rsidP="00DC2DA4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b/>
                <w:bCs/>
                <w:color w:val="000000"/>
                <w:sz w:val="20"/>
                <w:szCs w:val="20"/>
                <w:lang w:eastAsia="lv-LV"/>
              </w:rPr>
              <w:t>1000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*</w:t>
            </w: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8A36B" w14:textId="62B2DE53" w:rsidR="00E63ACF" w:rsidRPr="00712C39" w:rsidRDefault="00E63ACF" w:rsidP="00DC2D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color w:val="000000"/>
                <w:sz w:val="20"/>
                <w:szCs w:val="20"/>
                <w:lang w:eastAsia="lv-LV"/>
              </w:rPr>
              <w:t>Atlīdzība pedagogi</w:t>
            </w:r>
            <w:r w:rsidR="00945D4F">
              <w:rPr>
                <w:color w:val="000000"/>
                <w:sz w:val="20"/>
                <w:szCs w:val="20"/>
                <w:lang w:eastAsia="lv-LV"/>
              </w:rPr>
              <w:t>em</w:t>
            </w:r>
            <w:r w:rsidRPr="00712C39">
              <w:rPr>
                <w:color w:val="000000"/>
                <w:sz w:val="20"/>
                <w:szCs w:val="20"/>
                <w:lang w:eastAsia="lv-LV"/>
              </w:rPr>
              <w:t xml:space="preserve"> kopā (1100+1200)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EE41" w14:textId="77777777" w:rsidR="00E63ACF" w:rsidRPr="00712C39" w:rsidRDefault="00E63ACF" w:rsidP="00DC2D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E63ACF" w:rsidRPr="00712C39" w14:paraId="3E03D4C3" w14:textId="77777777" w:rsidTr="00594AD9">
        <w:trPr>
          <w:gridAfter w:val="3"/>
          <w:wAfter w:w="4540" w:type="dxa"/>
          <w:trHeight w:val="30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83231" w14:textId="77777777" w:rsidR="00E63ACF" w:rsidRPr="00712C39" w:rsidRDefault="00E63ACF" w:rsidP="00DC2DA4">
            <w:pPr>
              <w:ind w:firstLineChars="100" w:firstLine="200"/>
              <w:rPr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4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A368D" w14:textId="03080E31" w:rsidR="00E63ACF" w:rsidRPr="00712C39" w:rsidRDefault="00E63ACF" w:rsidP="00DC2DA4">
            <w:pPr>
              <w:ind w:firstLineChars="100" w:firstLine="200"/>
              <w:rPr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color w:val="000000"/>
                <w:sz w:val="20"/>
                <w:szCs w:val="20"/>
                <w:lang w:eastAsia="lv-LV"/>
              </w:rPr>
              <w:t>Atalgojums, t.</w:t>
            </w:r>
            <w:r w:rsidR="00945D4F">
              <w:rPr>
                <w:color w:val="000000"/>
                <w:sz w:val="20"/>
                <w:szCs w:val="20"/>
                <w:lang w:eastAsia="lv-LV"/>
              </w:rPr>
              <w:t> </w:t>
            </w:r>
            <w:r w:rsidRPr="00712C39">
              <w:rPr>
                <w:color w:val="000000"/>
                <w:sz w:val="20"/>
                <w:szCs w:val="20"/>
                <w:lang w:eastAsia="lv-LV"/>
              </w:rPr>
              <w:t>sk. (informācijai):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9445" w14:textId="77777777" w:rsidR="00E63ACF" w:rsidRPr="00712C39" w:rsidRDefault="00E63ACF" w:rsidP="00DC2D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E63ACF" w:rsidRPr="00712C39" w14:paraId="0E8FAECF" w14:textId="77777777" w:rsidTr="00594AD9">
        <w:trPr>
          <w:gridAfter w:val="3"/>
          <w:wAfter w:w="4540" w:type="dxa"/>
          <w:trHeight w:val="231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6116F" w14:textId="77777777" w:rsidR="00E63ACF" w:rsidRPr="00712C39" w:rsidRDefault="00E63ACF" w:rsidP="00DC2DA4">
            <w:pPr>
              <w:ind w:firstLineChars="200" w:firstLine="40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</w:t>
            </w:r>
            <w:r w:rsidRPr="00712C39">
              <w:rPr>
                <w:color w:val="000000"/>
                <w:sz w:val="20"/>
                <w:szCs w:val="20"/>
                <w:lang w:eastAsia="lv-LV"/>
              </w:rPr>
              <w:t>.kv</w:t>
            </w:r>
          </w:p>
        </w:tc>
        <w:tc>
          <w:tcPr>
            <w:tcW w:w="4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7ABEF" w14:textId="671520D3" w:rsidR="00E63ACF" w:rsidRPr="00464056" w:rsidRDefault="00E63ACF" w:rsidP="00DC2DA4">
            <w:pPr>
              <w:ind w:firstLineChars="300" w:firstLine="60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 xml:space="preserve">par </w:t>
            </w:r>
            <w:r w:rsidRPr="00464056">
              <w:rPr>
                <w:sz w:val="20"/>
                <w:szCs w:val="20"/>
                <w:lang w:eastAsia="lv-LV"/>
              </w:rPr>
              <w:t>3.</w:t>
            </w:r>
            <w:r w:rsidR="00945D4F">
              <w:rPr>
                <w:sz w:val="20"/>
                <w:szCs w:val="20"/>
                <w:lang w:eastAsia="lv-LV"/>
              </w:rPr>
              <w:t> </w:t>
            </w:r>
            <w:r w:rsidRPr="00464056">
              <w:rPr>
                <w:sz w:val="20"/>
                <w:szCs w:val="20"/>
                <w:lang w:eastAsia="lv-LV"/>
              </w:rPr>
              <w:t>kvalitātes pakāpi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DD25" w14:textId="77777777" w:rsidR="00E63ACF" w:rsidRPr="00712C39" w:rsidRDefault="00E63ACF" w:rsidP="00DC2D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E63ACF" w:rsidRPr="00712C39" w14:paraId="2E267310" w14:textId="77777777" w:rsidTr="00594AD9">
        <w:trPr>
          <w:gridAfter w:val="3"/>
          <w:wAfter w:w="4540" w:type="dxa"/>
          <w:trHeight w:val="277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1F0EC" w14:textId="77777777" w:rsidR="00E63ACF" w:rsidRPr="00712C39" w:rsidRDefault="00E63ACF" w:rsidP="00DC2DA4">
            <w:pPr>
              <w:ind w:firstLineChars="200" w:firstLine="40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</w:t>
            </w:r>
            <w:r w:rsidRPr="00712C39">
              <w:rPr>
                <w:color w:val="000000"/>
                <w:sz w:val="20"/>
                <w:szCs w:val="20"/>
                <w:lang w:eastAsia="lv-LV"/>
              </w:rPr>
              <w:t>.kv</w:t>
            </w:r>
          </w:p>
        </w:tc>
        <w:tc>
          <w:tcPr>
            <w:tcW w:w="4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470A4" w14:textId="3099333F" w:rsidR="00E63ACF" w:rsidRPr="00464056" w:rsidRDefault="00E63ACF" w:rsidP="00DC2DA4">
            <w:pPr>
              <w:ind w:firstLineChars="300" w:firstLine="60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 xml:space="preserve">par </w:t>
            </w:r>
            <w:r w:rsidRPr="00464056">
              <w:rPr>
                <w:sz w:val="20"/>
                <w:szCs w:val="20"/>
                <w:lang w:eastAsia="lv-LV"/>
              </w:rPr>
              <w:t>4.</w:t>
            </w:r>
            <w:r w:rsidR="00945D4F">
              <w:rPr>
                <w:sz w:val="20"/>
                <w:szCs w:val="20"/>
                <w:lang w:eastAsia="lv-LV"/>
              </w:rPr>
              <w:t> </w:t>
            </w:r>
            <w:r w:rsidRPr="00464056">
              <w:rPr>
                <w:sz w:val="20"/>
                <w:szCs w:val="20"/>
                <w:lang w:eastAsia="lv-LV"/>
              </w:rPr>
              <w:t>kvalitātes pakāpi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146C" w14:textId="77777777" w:rsidR="00E63ACF" w:rsidRPr="00712C39" w:rsidRDefault="00E63ACF" w:rsidP="00DC2D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E63ACF" w:rsidRPr="00712C39" w14:paraId="519F08B2" w14:textId="77777777" w:rsidTr="00594AD9">
        <w:trPr>
          <w:gridAfter w:val="3"/>
          <w:wAfter w:w="4540" w:type="dxa"/>
          <w:trHeight w:val="267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90229" w14:textId="77777777" w:rsidR="00E63ACF" w:rsidRPr="00712C39" w:rsidRDefault="00E63ACF" w:rsidP="00DC2DA4">
            <w:pPr>
              <w:ind w:firstLineChars="200" w:firstLine="40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</w:t>
            </w:r>
            <w:r w:rsidRPr="00712C39">
              <w:rPr>
                <w:color w:val="000000"/>
                <w:sz w:val="20"/>
                <w:szCs w:val="20"/>
                <w:lang w:eastAsia="lv-LV"/>
              </w:rPr>
              <w:t>.kv</w:t>
            </w:r>
          </w:p>
        </w:tc>
        <w:tc>
          <w:tcPr>
            <w:tcW w:w="4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48E1A" w14:textId="004FB448" w:rsidR="00E63ACF" w:rsidRPr="00464056" w:rsidRDefault="00E63ACF" w:rsidP="00DC2DA4">
            <w:pPr>
              <w:ind w:firstLineChars="300" w:firstLine="60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 xml:space="preserve">par </w:t>
            </w:r>
            <w:r w:rsidRPr="00464056">
              <w:rPr>
                <w:sz w:val="20"/>
                <w:szCs w:val="20"/>
                <w:lang w:eastAsia="lv-LV"/>
              </w:rPr>
              <w:t>5.</w:t>
            </w:r>
            <w:r w:rsidR="00945D4F">
              <w:rPr>
                <w:sz w:val="20"/>
                <w:szCs w:val="20"/>
                <w:lang w:eastAsia="lv-LV"/>
              </w:rPr>
              <w:t> </w:t>
            </w:r>
            <w:r w:rsidRPr="00464056">
              <w:rPr>
                <w:sz w:val="20"/>
                <w:szCs w:val="20"/>
                <w:lang w:eastAsia="lv-LV"/>
              </w:rPr>
              <w:t>kvalitātes pakāpi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3F8D" w14:textId="77777777" w:rsidR="00E63ACF" w:rsidRPr="00712C39" w:rsidRDefault="00E63ACF" w:rsidP="00DC2D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E63ACF" w:rsidRPr="00712C39" w14:paraId="33DEBAB8" w14:textId="77777777" w:rsidTr="00594AD9">
        <w:trPr>
          <w:gridAfter w:val="3"/>
          <w:wAfter w:w="4540" w:type="dxa"/>
          <w:trHeight w:val="271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D73E5" w14:textId="77777777" w:rsidR="00E63ACF" w:rsidRPr="00712C39" w:rsidRDefault="00E63ACF" w:rsidP="00DC2DA4">
            <w:pPr>
              <w:ind w:firstLineChars="100" w:firstLine="200"/>
              <w:rPr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color w:val="000000"/>
                <w:sz w:val="20"/>
                <w:szCs w:val="20"/>
                <w:lang w:eastAsia="lv-LV"/>
              </w:rPr>
              <w:t>1140</w:t>
            </w:r>
          </w:p>
        </w:tc>
        <w:tc>
          <w:tcPr>
            <w:tcW w:w="4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1339" w14:textId="77777777" w:rsidR="00E63ACF" w:rsidRPr="00712C39" w:rsidRDefault="00E63ACF" w:rsidP="00DC2DA4">
            <w:pPr>
              <w:ind w:firstLineChars="300" w:firstLine="600"/>
              <w:rPr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color w:val="000000"/>
                <w:sz w:val="20"/>
                <w:szCs w:val="20"/>
                <w:lang w:eastAsia="lv-LV"/>
              </w:rPr>
              <w:t>Piemaksas, prēmijas un naudas balvas: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554A" w14:textId="77777777" w:rsidR="00E63ACF" w:rsidRPr="00712C39" w:rsidRDefault="00E63ACF" w:rsidP="00DC2D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E63ACF" w:rsidRPr="00712C39" w14:paraId="185CC675" w14:textId="77777777" w:rsidTr="00594AD9">
        <w:trPr>
          <w:gridAfter w:val="3"/>
          <w:wAfter w:w="4540" w:type="dxa"/>
          <w:trHeight w:val="431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DFF96" w14:textId="77777777" w:rsidR="00E63ACF" w:rsidRPr="00712C39" w:rsidRDefault="00E63ACF" w:rsidP="00DC2DA4">
            <w:pPr>
              <w:ind w:firstLineChars="200" w:firstLine="400"/>
              <w:rPr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color w:val="000000"/>
                <w:sz w:val="20"/>
                <w:szCs w:val="20"/>
                <w:lang w:eastAsia="lv-LV"/>
              </w:rPr>
              <w:t>1145</w:t>
            </w:r>
          </w:p>
        </w:tc>
        <w:tc>
          <w:tcPr>
            <w:tcW w:w="4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2CFB1" w14:textId="77777777" w:rsidR="00E63ACF" w:rsidRPr="00712C39" w:rsidRDefault="00E63ACF" w:rsidP="00DC2DA4">
            <w:pPr>
              <w:ind w:leftChars="440" w:left="1056" w:firstLine="1"/>
              <w:rPr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color w:val="000000"/>
                <w:sz w:val="20"/>
                <w:szCs w:val="20"/>
                <w:lang w:eastAsia="lv-LV"/>
              </w:rPr>
              <w:t>Piemaksa par darbu īpašos apstākļos, speciālās piemaksas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ADF8" w14:textId="77777777" w:rsidR="00E63ACF" w:rsidRPr="00712C39" w:rsidRDefault="00E63ACF" w:rsidP="00DC2D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E63ACF" w:rsidRPr="00712C39" w14:paraId="332AFCA0" w14:textId="77777777" w:rsidTr="00594AD9">
        <w:trPr>
          <w:gridAfter w:val="3"/>
          <w:wAfter w:w="4540" w:type="dxa"/>
          <w:trHeight w:val="30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6354C" w14:textId="77777777" w:rsidR="00E63ACF" w:rsidRPr="00712C39" w:rsidRDefault="00E63ACF" w:rsidP="00DC2DA4">
            <w:pPr>
              <w:ind w:firstLineChars="200" w:firstLine="400"/>
              <w:rPr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color w:val="000000"/>
                <w:sz w:val="20"/>
                <w:szCs w:val="20"/>
                <w:lang w:eastAsia="lv-LV"/>
              </w:rPr>
              <w:t>1146</w:t>
            </w:r>
          </w:p>
        </w:tc>
        <w:tc>
          <w:tcPr>
            <w:tcW w:w="4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76EB2" w14:textId="77777777" w:rsidR="00E63ACF" w:rsidRPr="00712C39" w:rsidRDefault="00E63ACF" w:rsidP="00DC2DA4">
            <w:pPr>
              <w:ind w:leftChars="440" w:left="1056" w:firstLine="1"/>
              <w:rPr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color w:val="000000"/>
                <w:sz w:val="20"/>
                <w:szCs w:val="20"/>
                <w:lang w:eastAsia="lv-LV"/>
              </w:rPr>
              <w:t>Piemaksa par personisko darba ieguldījumu un darba kvalitāti</w:t>
            </w:r>
            <w:r w:rsidRPr="00712C39">
              <w:rPr>
                <w:color w:val="000000"/>
                <w:sz w:val="20"/>
                <w:szCs w:val="20"/>
                <w:lang w:eastAsia="lv-LV"/>
              </w:rPr>
              <w:br/>
              <w:t>(izņemot piemaksas par kvalitātes pakāpi)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76A8" w14:textId="77777777" w:rsidR="00E63ACF" w:rsidRPr="00712C39" w:rsidRDefault="00E63ACF" w:rsidP="00DC2D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E63ACF" w:rsidRPr="00712C39" w14:paraId="50F991BA" w14:textId="77777777" w:rsidTr="00594AD9">
        <w:trPr>
          <w:gridAfter w:val="3"/>
          <w:wAfter w:w="4540" w:type="dxa"/>
          <w:trHeight w:val="273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A47B1" w14:textId="77777777" w:rsidR="00E63ACF" w:rsidRPr="00712C39" w:rsidRDefault="00E63ACF" w:rsidP="00DC2DA4">
            <w:pPr>
              <w:ind w:firstLineChars="200" w:firstLine="400"/>
              <w:rPr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D024E" w14:textId="77777777" w:rsidR="00E63ACF" w:rsidRPr="00712C39" w:rsidRDefault="00E63ACF" w:rsidP="00DC2DA4">
            <w:pPr>
              <w:ind w:left="970"/>
              <w:rPr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3C3D" w14:textId="77777777" w:rsidR="00E63ACF" w:rsidRPr="00712C39" w:rsidRDefault="00E63ACF" w:rsidP="00DC2D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E63ACF" w:rsidRPr="00712C39" w14:paraId="0AB06A96" w14:textId="77777777" w:rsidTr="00594AD9">
        <w:trPr>
          <w:gridAfter w:val="3"/>
          <w:wAfter w:w="4540" w:type="dxa"/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874CC" w14:textId="77777777" w:rsidR="00E63ACF" w:rsidRPr="00712C39" w:rsidRDefault="00E63ACF" w:rsidP="00DC2DA4">
            <w:pPr>
              <w:ind w:firstLineChars="200" w:firstLine="400"/>
              <w:rPr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582FD" w14:textId="77777777" w:rsidR="00E63ACF" w:rsidRPr="00712C39" w:rsidRDefault="00E63ACF" w:rsidP="00DC2DA4">
            <w:pPr>
              <w:ind w:left="970"/>
              <w:rPr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E552" w14:textId="77777777" w:rsidR="00E63ACF" w:rsidRPr="00712C39" w:rsidRDefault="00E63ACF" w:rsidP="00DC2D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E63ACF" w:rsidRPr="00712C39" w14:paraId="5F0CAC41" w14:textId="77777777" w:rsidTr="00594AD9">
        <w:trPr>
          <w:gridAfter w:val="3"/>
          <w:wAfter w:w="4540" w:type="dxa"/>
          <w:trHeight w:val="816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5B045" w14:textId="77777777" w:rsidR="00E63ACF" w:rsidRPr="00712C39" w:rsidRDefault="00E63ACF" w:rsidP="00DC2DA4">
            <w:pPr>
              <w:ind w:firstLineChars="200" w:firstLine="400"/>
              <w:rPr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color w:val="000000"/>
                <w:sz w:val="20"/>
                <w:szCs w:val="20"/>
                <w:lang w:eastAsia="lv-LV"/>
              </w:rPr>
              <w:t>1149</w:t>
            </w: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80E3F" w14:textId="77777777" w:rsidR="00E63ACF" w:rsidRPr="00712C39" w:rsidRDefault="00E63ACF" w:rsidP="00DC2DA4">
            <w:pPr>
              <w:ind w:leftChars="440" w:left="1056" w:firstLine="1"/>
              <w:rPr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color w:val="000000"/>
                <w:sz w:val="20"/>
                <w:szCs w:val="20"/>
                <w:lang w:eastAsia="lv-LV"/>
              </w:rPr>
              <w:t>Citas normatīvajos aktos noteiktās piemaksas, kas nav iepriekš klasificētas</w:t>
            </w:r>
            <w:r w:rsidRPr="00712C39">
              <w:rPr>
                <w:color w:val="000000"/>
                <w:sz w:val="20"/>
                <w:szCs w:val="20"/>
                <w:lang w:eastAsia="lv-LV"/>
              </w:rPr>
              <w:br/>
              <w:t>(izņemot piemaksas par kvalitātes pakāpi)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7627" w14:textId="77777777" w:rsidR="00E63ACF" w:rsidRPr="00712C39" w:rsidRDefault="00E63ACF" w:rsidP="00DC2D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E63ACF" w:rsidRPr="00712C39" w14:paraId="3BA3D871" w14:textId="77777777" w:rsidTr="00594AD9">
        <w:trPr>
          <w:gridAfter w:val="3"/>
          <w:wAfter w:w="4540" w:type="dxa"/>
          <w:trHeight w:val="51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91DA6" w14:textId="77777777" w:rsidR="00E63ACF" w:rsidRPr="00712C39" w:rsidRDefault="00E63ACF" w:rsidP="00DC2DA4">
            <w:pPr>
              <w:ind w:firstLineChars="100" w:firstLine="200"/>
              <w:rPr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color w:val="000000"/>
                <w:sz w:val="20"/>
                <w:szCs w:val="20"/>
                <w:lang w:eastAsia="lv-LV"/>
              </w:rPr>
              <w:t>1200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*</w:t>
            </w: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3093A" w14:textId="77777777" w:rsidR="00E63ACF" w:rsidRPr="00712C39" w:rsidRDefault="00E63ACF" w:rsidP="00DC2DA4">
            <w:pPr>
              <w:ind w:left="261"/>
              <w:rPr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B816" w14:textId="77777777" w:rsidR="00E63ACF" w:rsidRPr="00712C39" w:rsidRDefault="00E63ACF" w:rsidP="00DC2D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E63ACF" w:rsidRPr="00712C39" w14:paraId="7DF36F76" w14:textId="77777777" w:rsidTr="00594AD9">
        <w:trPr>
          <w:gridAfter w:val="3"/>
          <w:wAfter w:w="4540" w:type="dxa"/>
          <w:trHeight w:val="249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34696" w14:textId="77777777" w:rsidR="00E63ACF" w:rsidRPr="00712C39" w:rsidRDefault="00E63ACF" w:rsidP="00DC2DA4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712C39">
              <w:rPr>
                <w:b/>
                <w:bCs/>
                <w:color w:val="000000"/>
                <w:sz w:val="20"/>
                <w:szCs w:val="20"/>
                <w:lang w:eastAsia="lv-LV"/>
              </w:rPr>
              <w:t>ATL_beig</w:t>
            </w:r>
            <w:proofErr w:type="spellEnd"/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7B2AC" w14:textId="77777777" w:rsidR="00E63ACF" w:rsidRPr="00712C39" w:rsidRDefault="00E63ACF" w:rsidP="00DC2D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color w:val="000000"/>
                <w:sz w:val="20"/>
                <w:szCs w:val="20"/>
                <w:lang w:eastAsia="lv-LV"/>
              </w:rPr>
              <w:t>Atlikums uz pārskata perioda beigām (</w:t>
            </w:r>
            <w:proofErr w:type="spellStart"/>
            <w:r w:rsidRPr="00712C39">
              <w:rPr>
                <w:color w:val="000000"/>
                <w:sz w:val="20"/>
                <w:szCs w:val="20"/>
                <w:lang w:eastAsia="lv-LV"/>
              </w:rPr>
              <w:t>ATL_sak+MERK_DOT-1000)</w:t>
            </w:r>
            <w:proofErr w:type="spellEnd"/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4394" w14:textId="77777777" w:rsidR="00E63ACF" w:rsidRPr="00712C39" w:rsidRDefault="00E63ACF" w:rsidP="00DC2D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E63ACF" w:rsidRPr="00712C39" w14:paraId="499B7C1A" w14:textId="77777777" w:rsidTr="00594AD9">
        <w:trPr>
          <w:gridAfter w:val="3"/>
          <w:wAfter w:w="4540" w:type="dxa"/>
          <w:trHeight w:val="241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7F4E1" w14:textId="77777777" w:rsidR="00E63ACF" w:rsidRPr="00712C39" w:rsidRDefault="00E63ACF" w:rsidP="00DC2DA4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712C39">
              <w:rPr>
                <w:b/>
                <w:bCs/>
                <w:color w:val="000000"/>
                <w:sz w:val="20"/>
                <w:szCs w:val="20"/>
                <w:lang w:eastAsia="lv-LV"/>
              </w:rPr>
              <w:t>ATL_fakt</w:t>
            </w:r>
            <w:proofErr w:type="spellEnd"/>
          </w:p>
        </w:tc>
        <w:tc>
          <w:tcPr>
            <w:tcW w:w="4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A550B" w14:textId="77777777" w:rsidR="00E63ACF" w:rsidRPr="00712C39" w:rsidRDefault="00E63ACF" w:rsidP="00DC2D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color w:val="000000"/>
                <w:sz w:val="20"/>
                <w:szCs w:val="20"/>
                <w:lang w:eastAsia="lv-LV"/>
              </w:rPr>
              <w:t>Faktiskais naudas līdzekļu atlikums uz pārskata perioda beigām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8A33" w14:textId="77777777" w:rsidR="00E63ACF" w:rsidRPr="00712C39" w:rsidRDefault="00E63ACF" w:rsidP="00DC2D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E63ACF" w:rsidRPr="00712C39" w14:paraId="056CA99A" w14:textId="77777777" w:rsidTr="00594AD9">
        <w:trPr>
          <w:gridAfter w:val="3"/>
          <w:wAfter w:w="4540" w:type="dxa"/>
          <w:trHeight w:val="300"/>
        </w:trPr>
        <w:tc>
          <w:tcPr>
            <w:tcW w:w="9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C669" w14:textId="585D48B1" w:rsidR="00E63ACF" w:rsidRPr="00712C39" w:rsidRDefault="00945D4F" w:rsidP="00DC2DA4">
            <w:pPr>
              <w:rPr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Piezīme. </w:t>
            </w:r>
            <w:r w:rsidR="00E63ACF">
              <w:rPr>
                <w:color w:val="000000"/>
                <w:sz w:val="20"/>
                <w:szCs w:val="20"/>
                <w:lang w:eastAsia="lv-LV"/>
              </w:rPr>
              <w:t>*  P</w:t>
            </w:r>
            <w:r w:rsidR="00E63ACF" w:rsidRPr="00B20195">
              <w:rPr>
                <w:color w:val="000000"/>
                <w:sz w:val="20"/>
                <w:szCs w:val="20"/>
                <w:lang w:eastAsia="lv-LV"/>
              </w:rPr>
              <w:t>ēc uzkrāšanas principa</w:t>
            </w:r>
            <w:r>
              <w:rPr>
                <w:color w:val="000000"/>
                <w:sz w:val="20"/>
                <w:szCs w:val="20"/>
                <w:lang w:eastAsia="lv-LV"/>
              </w:rPr>
              <w:t>.</w:t>
            </w:r>
          </w:p>
        </w:tc>
      </w:tr>
      <w:tr w:rsidR="00E63ACF" w:rsidRPr="00945D4F" w14:paraId="573916DF" w14:textId="77777777" w:rsidTr="00594AD9">
        <w:trPr>
          <w:gridAfter w:val="2"/>
          <w:wAfter w:w="4258" w:type="dxa"/>
          <w:trHeight w:val="300"/>
        </w:trPr>
        <w:tc>
          <w:tcPr>
            <w:tcW w:w="9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2B60" w14:textId="77777777" w:rsidR="00E63ACF" w:rsidRDefault="00E63ACF" w:rsidP="00DC2DA4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  <w:p w14:paraId="2BA78493" w14:textId="5A33CD90" w:rsidR="00945D4F" w:rsidRDefault="00945D4F" w:rsidP="00DC2DA4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Paskaidrojums par</w:t>
            </w:r>
            <w:r w:rsidRPr="00945D4F">
              <w:rPr>
                <w:b/>
                <w:color w:val="000000"/>
                <w:sz w:val="20"/>
                <w:szCs w:val="20"/>
                <w:lang w:eastAsia="lv-LV"/>
              </w:rPr>
              <w:t xml:space="preserve"> rindā "Atlikums uz pārskata perioda beigām" iekļaut</w:t>
            </w:r>
            <w:r>
              <w:rPr>
                <w:b/>
                <w:color w:val="000000"/>
                <w:sz w:val="20"/>
                <w:szCs w:val="20"/>
                <w:lang w:eastAsia="lv-LV"/>
              </w:rPr>
              <w:t>aj</w:t>
            </w:r>
            <w:r w:rsidRPr="00945D4F">
              <w:rPr>
                <w:b/>
                <w:color w:val="000000"/>
                <w:sz w:val="20"/>
                <w:szCs w:val="20"/>
                <w:lang w:eastAsia="lv-LV"/>
              </w:rPr>
              <w:t>iem darījumiem</w:t>
            </w:r>
          </w:p>
          <w:p w14:paraId="5893BEB7" w14:textId="5ADEA63A" w:rsidR="00E63ACF" w:rsidRPr="00945D4F" w:rsidRDefault="00E63ACF" w:rsidP="00DC2DA4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5F34" w14:textId="77777777" w:rsidR="00E63ACF" w:rsidRPr="00945D4F" w:rsidRDefault="00E63ACF" w:rsidP="00DC2DA4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E63ACF" w:rsidRPr="00712C39" w14:paraId="7C9C290B" w14:textId="77777777" w:rsidTr="00594AD9">
        <w:trPr>
          <w:gridAfter w:val="2"/>
          <w:wAfter w:w="4258" w:type="dxa"/>
          <w:trHeight w:val="33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B157" w14:textId="77777777" w:rsidR="00E63ACF" w:rsidRPr="00712C39" w:rsidRDefault="00E63ACF" w:rsidP="00DC2D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color w:val="000000"/>
                <w:sz w:val="20"/>
                <w:szCs w:val="20"/>
                <w:lang w:eastAsia="lv-LV"/>
              </w:rPr>
              <w:t>Darījuma apraksts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432D" w14:textId="77777777" w:rsidR="00E63ACF" w:rsidRPr="00712C39" w:rsidRDefault="00E63ACF" w:rsidP="00DC2D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color w:val="000000"/>
                <w:sz w:val="20"/>
                <w:szCs w:val="20"/>
                <w:lang w:eastAsia="lv-LV"/>
              </w:rPr>
              <w:t>Summa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F6C2" w14:textId="77777777" w:rsidR="00E63ACF" w:rsidRPr="00712C39" w:rsidRDefault="00E63ACF" w:rsidP="00DC2D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E63ACF" w:rsidRPr="00712C39" w14:paraId="260ADDC7" w14:textId="77777777" w:rsidTr="00594AD9">
        <w:trPr>
          <w:gridAfter w:val="2"/>
          <w:wAfter w:w="4258" w:type="dxa"/>
          <w:trHeight w:val="540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9086" w14:textId="77777777" w:rsidR="00E63ACF" w:rsidRPr="00712C39" w:rsidRDefault="00E63ACF" w:rsidP="00DC2D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0C2A" w14:textId="77777777" w:rsidR="00E63ACF" w:rsidRPr="00712C39" w:rsidRDefault="00E63ACF" w:rsidP="00DC2D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9CE5" w14:textId="77777777" w:rsidR="00E63ACF" w:rsidRPr="00712C39" w:rsidRDefault="00E63ACF" w:rsidP="00DC2DA4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945D4F" w:rsidRPr="00945D4F" w14:paraId="6A100670" w14:textId="77777777" w:rsidTr="00594AD9">
        <w:trPr>
          <w:gridAfter w:val="2"/>
          <w:wAfter w:w="4258" w:type="dxa"/>
          <w:trHeight w:val="300"/>
        </w:trPr>
        <w:tc>
          <w:tcPr>
            <w:tcW w:w="9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282A" w14:textId="77777777" w:rsidR="00945D4F" w:rsidRDefault="00945D4F" w:rsidP="00AB6CEF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  <w:p w14:paraId="1061EA14" w14:textId="77777777" w:rsidR="00945D4F" w:rsidRDefault="00945D4F" w:rsidP="00AB6CEF">
            <w:pPr>
              <w:rPr>
                <w:b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Paskaidrojums par</w:t>
            </w:r>
            <w:r w:rsidRPr="00945D4F">
              <w:rPr>
                <w:b/>
                <w:color w:val="000000"/>
                <w:sz w:val="20"/>
                <w:szCs w:val="20"/>
                <w:lang w:eastAsia="lv-LV"/>
              </w:rPr>
              <w:t xml:space="preserve"> rindā "Faktiskais naudas līdzekļu atlikums uz pārskata perioda beigām</w:t>
            </w:r>
            <w:r>
              <w:rPr>
                <w:b/>
                <w:color w:val="000000"/>
                <w:sz w:val="20"/>
                <w:szCs w:val="20"/>
                <w:lang w:eastAsia="lv-LV"/>
              </w:rPr>
              <w:t xml:space="preserve">" </w:t>
            </w:r>
          </w:p>
          <w:p w14:paraId="4D88B261" w14:textId="175DAFCD" w:rsidR="00945D4F" w:rsidRDefault="00945D4F" w:rsidP="00AB6CEF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45D4F">
              <w:rPr>
                <w:b/>
                <w:color w:val="000000"/>
                <w:sz w:val="20"/>
                <w:szCs w:val="20"/>
                <w:lang w:eastAsia="lv-LV"/>
              </w:rPr>
              <w:t>iekļaut</w:t>
            </w:r>
            <w:r>
              <w:rPr>
                <w:b/>
                <w:color w:val="000000"/>
                <w:sz w:val="20"/>
                <w:szCs w:val="20"/>
                <w:lang w:eastAsia="lv-LV"/>
              </w:rPr>
              <w:t>aj</w:t>
            </w:r>
            <w:r w:rsidRPr="00945D4F">
              <w:rPr>
                <w:b/>
                <w:color w:val="000000"/>
                <w:sz w:val="20"/>
                <w:szCs w:val="20"/>
                <w:lang w:eastAsia="lv-LV"/>
              </w:rPr>
              <w:t>iem darījumiem</w:t>
            </w:r>
          </w:p>
          <w:p w14:paraId="1030109A" w14:textId="77777777" w:rsidR="00945D4F" w:rsidRPr="00945D4F" w:rsidRDefault="00945D4F" w:rsidP="00AB6CEF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A3DD" w14:textId="77777777" w:rsidR="00945D4F" w:rsidRPr="00945D4F" w:rsidRDefault="00945D4F" w:rsidP="00AB6CEF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E63ACF" w:rsidRPr="00712C39" w14:paraId="7ABDE245" w14:textId="77777777" w:rsidTr="00594AD9">
        <w:trPr>
          <w:gridAfter w:val="2"/>
          <w:wAfter w:w="4258" w:type="dxa"/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8A43" w14:textId="77777777" w:rsidR="00E63ACF" w:rsidRPr="00712C39" w:rsidRDefault="00E63ACF" w:rsidP="00DC2D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color w:val="000000"/>
                <w:sz w:val="20"/>
                <w:szCs w:val="20"/>
                <w:lang w:eastAsia="lv-LV"/>
              </w:rPr>
              <w:t>Darījuma apraksts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F65F" w14:textId="77777777" w:rsidR="00E63ACF" w:rsidRPr="00712C39" w:rsidRDefault="00E63ACF" w:rsidP="00DC2D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color w:val="000000"/>
                <w:sz w:val="20"/>
                <w:szCs w:val="20"/>
                <w:lang w:eastAsia="lv-LV"/>
              </w:rPr>
              <w:t>Summa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6B22" w14:textId="77777777" w:rsidR="00E63ACF" w:rsidRPr="00712C39" w:rsidRDefault="00E63ACF" w:rsidP="00DC2D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E63ACF" w:rsidRPr="00712C39" w14:paraId="63E958ED" w14:textId="77777777" w:rsidTr="00594AD9">
        <w:trPr>
          <w:gridAfter w:val="2"/>
          <w:wAfter w:w="4258" w:type="dxa"/>
          <w:trHeight w:val="600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790F" w14:textId="77777777" w:rsidR="00E63ACF" w:rsidRPr="00712C39" w:rsidRDefault="00E63ACF" w:rsidP="00DC2D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285E" w14:textId="77777777" w:rsidR="00E63ACF" w:rsidRPr="00712C39" w:rsidRDefault="00E63ACF" w:rsidP="00DC2DA4">
            <w:pPr>
              <w:rPr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518D" w14:textId="77777777" w:rsidR="00E63ACF" w:rsidRPr="00712C39" w:rsidRDefault="00E63ACF" w:rsidP="00DC2DA4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594AD9" w:rsidRPr="00712C39" w14:paraId="69D6C339" w14:textId="77777777" w:rsidTr="00594AD9">
        <w:trPr>
          <w:gridAfter w:val="6"/>
          <w:wAfter w:w="9370" w:type="dxa"/>
          <w:trHeight w:val="300"/>
        </w:trPr>
        <w:tc>
          <w:tcPr>
            <w:tcW w:w="43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7AF5" w14:textId="77777777" w:rsidR="00594AD9" w:rsidRPr="00712C39" w:rsidRDefault="00594AD9" w:rsidP="00DC2DA4">
            <w:pPr>
              <w:rPr>
                <w:sz w:val="20"/>
                <w:szCs w:val="20"/>
                <w:lang w:eastAsia="lv-LV"/>
              </w:rPr>
            </w:pPr>
          </w:p>
        </w:tc>
      </w:tr>
      <w:tr w:rsidR="00E63ACF" w:rsidRPr="00712C39" w14:paraId="70D43453" w14:textId="77777777" w:rsidTr="00594AD9">
        <w:trPr>
          <w:gridAfter w:val="3"/>
          <w:wAfter w:w="4540" w:type="dxa"/>
          <w:trHeight w:val="73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40B7" w14:textId="77777777" w:rsidR="00E63ACF" w:rsidRPr="00712C39" w:rsidRDefault="00E63ACF" w:rsidP="00DC2DA4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3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41B929C" w14:textId="77777777" w:rsidR="00E63ACF" w:rsidRPr="00712C39" w:rsidRDefault="00E63ACF" w:rsidP="00DC2DA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12C39">
              <w:rPr>
                <w:b/>
                <w:bCs/>
                <w:color w:val="000000"/>
                <w:sz w:val="20"/>
                <w:szCs w:val="20"/>
                <w:lang w:eastAsia="lv-LV"/>
              </w:rPr>
              <w:t>Apliecinu, ka mērķdotācija izlietota pedagogu darba samaksai un valsts sociālās apdrošināšanas obligātajām iemaksām</w:t>
            </w:r>
          </w:p>
        </w:tc>
      </w:tr>
      <w:tr w:rsidR="00E63ACF" w:rsidRPr="00712C39" w14:paraId="3373FE1B" w14:textId="77777777" w:rsidTr="00594AD9">
        <w:trPr>
          <w:gridAfter w:val="3"/>
          <w:wAfter w:w="4540" w:type="dxa"/>
          <w:trHeight w:val="315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4333" w14:textId="77777777" w:rsidR="00E63ACF" w:rsidRPr="00712C39" w:rsidRDefault="00E63ACF" w:rsidP="00DC2DA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3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6B67F" w14:textId="007FB4CC" w:rsidR="00E63ACF" w:rsidRPr="00594AD9" w:rsidRDefault="00E63ACF" w:rsidP="00594AD9">
            <w:pPr>
              <w:ind w:left="-207"/>
              <w:jc w:val="center"/>
              <w:rPr>
                <w:iCs/>
                <w:color w:val="000000"/>
                <w:sz w:val="20"/>
                <w:szCs w:val="20"/>
                <w:lang w:eastAsia="lv-LV"/>
              </w:rPr>
            </w:pPr>
            <w:r w:rsidRPr="00594AD9">
              <w:rPr>
                <w:iCs/>
                <w:color w:val="000000"/>
                <w:sz w:val="20"/>
                <w:szCs w:val="20"/>
                <w:lang w:eastAsia="lv-LV"/>
              </w:rPr>
              <w:t>(</w:t>
            </w:r>
            <w:r w:rsidR="00594AD9">
              <w:rPr>
                <w:iCs/>
                <w:color w:val="000000"/>
                <w:sz w:val="20"/>
                <w:szCs w:val="20"/>
                <w:lang w:eastAsia="lv-LV"/>
              </w:rPr>
              <w:t>p</w:t>
            </w:r>
            <w:r w:rsidR="00E4599E">
              <w:rPr>
                <w:iCs/>
                <w:color w:val="000000"/>
                <w:sz w:val="20"/>
                <w:szCs w:val="20"/>
                <w:lang w:eastAsia="lv-LV"/>
              </w:rPr>
              <w:t>ašvaldības vadītājs</w:t>
            </w:r>
            <w:r w:rsidRPr="00594AD9">
              <w:rPr>
                <w:iCs/>
                <w:color w:val="000000"/>
                <w:sz w:val="20"/>
                <w:szCs w:val="20"/>
                <w:lang w:eastAsia="lv-LV"/>
              </w:rPr>
              <w:t xml:space="preserve"> vai viņa pilnvarota persona)</w:t>
            </w:r>
          </w:p>
        </w:tc>
      </w:tr>
      <w:tr w:rsidR="00E63ACF" w:rsidRPr="00712C39" w14:paraId="1490D7A7" w14:textId="77777777" w:rsidTr="00594AD9">
        <w:trPr>
          <w:trHeight w:val="300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0EBB" w14:textId="77777777" w:rsidR="00E63ACF" w:rsidRPr="00712C39" w:rsidRDefault="00E63ACF" w:rsidP="00DC2DA4">
            <w:pPr>
              <w:jc w:val="center"/>
              <w:rPr>
                <w:i/>
                <w:iCs/>
                <w:color w:val="000000"/>
                <w:lang w:eastAsia="lv-LV"/>
              </w:rPr>
            </w:pPr>
          </w:p>
        </w:tc>
        <w:tc>
          <w:tcPr>
            <w:tcW w:w="9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C2E5" w14:textId="77777777" w:rsidR="00E63ACF" w:rsidRPr="00712C39" w:rsidRDefault="00E63ACF" w:rsidP="00DC2DA4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B66A" w14:textId="77777777" w:rsidR="00E63ACF" w:rsidRPr="00712C39" w:rsidRDefault="00E63ACF" w:rsidP="00DC2DA4">
            <w:pPr>
              <w:rPr>
                <w:sz w:val="20"/>
                <w:szCs w:val="20"/>
                <w:lang w:eastAsia="lv-LV"/>
              </w:rPr>
            </w:pPr>
          </w:p>
        </w:tc>
      </w:tr>
      <w:tr w:rsidR="00E63ACF" w:rsidRPr="00712C39" w14:paraId="1043CDB1" w14:textId="77777777" w:rsidTr="00594AD9">
        <w:trPr>
          <w:gridAfter w:val="3"/>
          <w:wAfter w:w="4540" w:type="dxa"/>
          <w:trHeight w:val="300"/>
        </w:trPr>
        <w:tc>
          <w:tcPr>
            <w:tcW w:w="9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DEAA" w14:textId="7AB01448" w:rsidR="00E63ACF" w:rsidRPr="00594AD9" w:rsidRDefault="0027056D" w:rsidP="00E4599E">
            <w:pPr>
              <w:jc w:val="center"/>
              <w:rPr>
                <w:color w:val="000000"/>
                <w:lang w:eastAsia="lv-LV"/>
              </w:rPr>
            </w:pPr>
            <w:r w:rsidRPr="00594AD9">
              <w:rPr>
                <w:color w:val="000000"/>
                <w:lang w:eastAsia="lv-LV"/>
              </w:rPr>
              <w:t xml:space="preserve">Šis dokuments ir sagatavots un elektroniski parakstīts </w:t>
            </w:r>
            <w:proofErr w:type="spellStart"/>
            <w:r w:rsidRPr="00594AD9">
              <w:rPr>
                <w:color w:val="000000"/>
                <w:lang w:eastAsia="lv-LV"/>
              </w:rPr>
              <w:t>ePārskatu</w:t>
            </w:r>
            <w:proofErr w:type="spellEnd"/>
            <w:r w:rsidRPr="00594AD9">
              <w:rPr>
                <w:color w:val="000000"/>
                <w:lang w:eastAsia="lv-LV"/>
              </w:rPr>
              <w:t xml:space="preserve"> sistēmā</w:t>
            </w:r>
            <w:r w:rsidR="00594AD9">
              <w:rPr>
                <w:color w:val="000000"/>
                <w:lang w:eastAsia="lv-LV"/>
              </w:rPr>
              <w:t>"</w:t>
            </w:r>
            <w:r w:rsidRPr="00594AD9">
              <w:rPr>
                <w:color w:val="000000"/>
                <w:lang w:eastAsia="lv-LV"/>
              </w:rPr>
              <w:t>.</w:t>
            </w:r>
          </w:p>
        </w:tc>
      </w:tr>
    </w:tbl>
    <w:p w14:paraId="5D328132" w14:textId="24721183" w:rsidR="00B42C39" w:rsidRPr="00B83906" w:rsidRDefault="00B42C39" w:rsidP="00E4599E">
      <w:pPr>
        <w:ind w:left="709"/>
        <w:jc w:val="both"/>
        <w:rPr>
          <w:sz w:val="28"/>
          <w:szCs w:val="28"/>
        </w:rPr>
      </w:pPr>
    </w:p>
    <w:p w14:paraId="74803081" w14:textId="0F6536DD" w:rsidR="00673533" w:rsidRPr="0074346C" w:rsidRDefault="0074346C" w:rsidP="00E4599E">
      <w:pPr>
        <w:pStyle w:val="ListParagraph"/>
        <w:numPr>
          <w:ilvl w:val="0"/>
          <w:numId w:val="3"/>
        </w:numPr>
        <w:tabs>
          <w:tab w:val="righ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Noteikumi stājas spēkā 2017. gada 1. </w:t>
      </w:r>
      <w:r w:rsidRPr="0074346C">
        <w:rPr>
          <w:sz w:val="28"/>
          <w:szCs w:val="28"/>
        </w:rPr>
        <w:t>septembrī.</w:t>
      </w:r>
    </w:p>
    <w:p w14:paraId="3D759E9F" w14:textId="77777777" w:rsidR="0074346C" w:rsidRDefault="0074346C" w:rsidP="00E4599E">
      <w:pPr>
        <w:jc w:val="both"/>
        <w:rPr>
          <w:sz w:val="28"/>
          <w:szCs w:val="28"/>
        </w:rPr>
      </w:pPr>
    </w:p>
    <w:p w14:paraId="5DAEE898" w14:textId="77777777" w:rsidR="007E43C8" w:rsidRDefault="007E43C8" w:rsidP="00E4599E">
      <w:pPr>
        <w:ind w:firstLine="709"/>
        <w:jc w:val="both"/>
        <w:rPr>
          <w:sz w:val="28"/>
          <w:szCs w:val="28"/>
        </w:rPr>
      </w:pPr>
    </w:p>
    <w:p w14:paraId="0EB22E54" w14:textId="77777777" w:rsidR="0019679E" w:rsidRPr="00B83906" w:rsidRDefault="0019679E" w:rsidP="007B6E16">
      <w:pPr>
        <w:ind w:firstLine="709"/>
        <w:jc w:val="both"/>
        <w:rPr>
          <w:sz w:val="28"/>
          <w:szCs w:val="28"/>
        </w:rPr>
      </w:pPr>
    </w:p>
    <w:p w14:paraId="6FF74347" w14:textId="77777777" w:rsidR="0019679E" w:rsidRPr="00640887" w:rsidRDefault="0019679E" w:rsidP="0027056D">
      <w:pPr>
        <w:tabs>
          <w:tab w:val="left" w:pos="6804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7BDCE2F1" w14:textId="77777777" w:rsidR="0019679E" w:rsidRPr="00640887" w:rsidRDefault="0019679E" w:rsidP="0027056D">
      <w:pPr>
        <w:tabs>
          <w:tab w:val="left" w:pos="4678"/>
          <w:tab w:val="left" w:pos="6804"/>
        </w:tabs>
        <w:rPr>
          <w:sz w:val="28"/>
        </w:rPr>
      </w:pPr>
    </w:p>
    <w:p w14:paraId="63FB23D2" w14:textId="77777777" w:rsidR="0019679E" w:rsidRPr="00640887" w:rsidRDefault="0019679E" w:rsidP="0027056D">
      <w:pPr>
        <w:tabs>
          <w:tab w:val="left" w:pos="4678"/>
          <w:tab w:val="left" w:pos="6804"/>
        </w:tabs>
        <w:rPr>
          <w:sz w:val="28"/>
        </w:rPr>
      </w:pPr>
    </w:p>
    <w:p w14:paraId="349A1B43" w14:textId="77777777" w:rsidR="0019679E" w:rsidRPr="00640887" w:rsidRDefault="0019679E" w:rsidP="0027056D">
      <w:pPr>
        <w:tabs>
          <w:tab w:val="left" w:pos="4678"/>
          <w:tab w:val="left" w:pos="6804"/>
        </w:tabs>
        <w:rPr>
          <w:sz w:val="28"/>
        </w:rPr>
      </w:pPr>
    </w:p>
    <w:p w14:paraId="1714A95E" w14:textId="77777777" w:rsidR="0019679E" w:rsidRPr="00640887" w:rsidRDefault="0019679E" w:rsidP="0027056D">
      <w:pPr>
        <w:tabs>
          <w:tab w:val="left" w:pos="3686"/>
          <w:tab w:val="left" w:pos="6804"/>
        </w:tabs>
        <w:ind w:firstLine="709"/>
        <w:rPr>
          <w:sz w:val="28"/>
        </w:rPr>
      </w:pPr>
      <w:r w:rsidRPr="00640887">
        <w:rPr>
          <w:sz w:val="28"/>
        </w:rPr>
        <w:t xml:space="preserve">Izglītības un zinātnes ministrs </w:t>
      </w:r>
      <w:r w:rsidRPr="00640887">
        <w:rPr>
          <w:sz w:val="28"/>
        </w:rPr>
        <w:tab/>
        <w:t>Kārlis Šadurskis</w:t>
      </w:r>
    </w:p>
    <w:p w14:paraId="469A84D7" w14:textId="51F2F03D" w:rsidR="00EC70E9" w:rsidRDefault="00EC70E9" w:rsidP="007B6E16">
      <w:pPr>
        <w:ind w:firstLine="709"/>
        <w:jc w:val="both"/>
        <w:rPr>
          <w:sz w:val="28"/>
          <w:szCs w:val="28"/>
        </w:rPr>
      </w:pPr>
    </w:p>
    <w:p w14:paraId="30E70BF1" w14:textId="77777777" w:rsidR="00EC70E9" w:rsidRDefault="00EC70E9" w:rsidP="007B6E16">
      <w:pPr>
        <w:ind w:firstLine="709"/>
        <w:jc w:val="both"/>
        <w:rPr>
          <w:sz w:val="28"/>
          <w:szCs w:val="28"/>
        </w:rPr>
      </w:pPr>
    </w:p>
    <w:sectPr w:rsidR="00EC70E9" w:rsidSect="004042B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518F6" w14:textId="77777777" w:rsidR="00961DC1" w:rsidRDefault="00961DC1" w:rsidP="00805F5D">
      <w:r>
        <w:separator/>
      </w:r>
    </w:p>
  </w:endnote>
  <w:endnote w:type="continuationSeparator" w:id="0">
    <w:p w14:paraId="428EF6EA" w14:textId="77777777" w:rsidR="00961DC1" w:rsidRDefault="00961DC1" w:rsidP="0080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0C00B" w14:textId="77777777" w:rsidR="00D77B22" w:rsidRDefault="00D77B22" w:rsidP="00D77B22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B61D8" w14:textId="6815AC2D" w:rsidR="0019679E" w:rsidRPr="0019679E" w:rsidRDefault="0019679E">
    <w:pPr>
      <w:pStyle w:val="Footer"/>
      <w:rPr>
        <w:sz w:val="16"/>
        <w:szCs w:val="16"/>
      </w:rPr>
    </w:pPr>
    <w:r w:rsidRPr="0019679E">
      <w:rPr>
        <w:sz w:val="16"/>
        <w:szCs w:val="16"/>
      </w:rPr>
      <w:t>N1824_7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89541" w14:textId="4EB2ACD7" w:rsidR="0019679E" w:rsidRPr="0019679E" w:rsidRDefault="0019679E">
    <w:pPr>
      <w:pStyle w:val="Footer"/>
      <w:rPr>
        <w:sz w:val="16"/>
        <w:szCs w:val="16"/>
      </w:rPr>
    </w:pPr>
    <w:r w:rsidRPr="0019679E">
      <w:rPr>
        <w:sz w:val="16"/>
        <w:szCs w:val="16"/>
      </w:rPr>
      <w:t>N1824_7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5A301" w14:textId="77777777" w:rsidR="00961DC1" w:rsidRDefault="00961DC1" w:rsidP="00805F5D">
      <w:r>
        <w:separator/>
      </w:r>
    </w:p>
  </w:footnote>
  <w:footnote w:type="continuationSeparator" w:id="0">
    <w:p w14:paraId="65B8E765" w14:textId="77777777" w:rsidR="00961DC1" w:rsidRDefault="00961DC1" w:rsidP="00805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0739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19DA23" w14:textId="75907501" w:rsidR="00251859" w:rsidRDefault="0025185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3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3D26BAC" w14:textId="77777777" w:rsidR="00D77B22" w:rsidRDefault="00D77B22" w:rsidP="00D77B22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ACE9F" w14:textId="77777777" w:rsidR="0019679E" w:rsidRDefault="0019679E">
    <w:pPr>
      <w:pStyle w:val="Header"/>
    </w:pPr>
  </w:p>
  <w:p w14:paraId="27F35768" w14:textId="7ACF3841" w:rsidR="0019679E" w:rsidRDefault="0019679E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2F4B70B3" wp14:editId="276C24DF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147"/>
    <w:multiLevelType w:val="hybridMultilevel"/>
    <w:tmpl w:val="CAA0140E"/>
    <w:lvl w:ilvl="0" w:tplc="4230B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7601F1"/>
    <w:multiLevelType w:val="multilevel"/>
    <w:tmpl w:val="4E50DC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7925754"/>
    <w:multiLevelType w:val="hybridMultilevel"/>
    <w:tmpl w:val="F96A10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40"/>
    <w:rsid w:val="000061D8"/>
    <w:rsid w:val="0001759B"/>
    <w:rsid w:val="00023EA7"/>
    <w:rsid w:val="00026DC6"/>
    <w:rsid w:val="000275CA"/>
    <w:rsid w:val="00041728"/>
    <w:rsid w:val="000444ED"/>
    <w:rsid w:val="00047A6A"/>
    <w:rsid w:val="00061134"/>
    <w:rsid w:val="00064C7B"/>
    <w:rsid w:val="0006567B"/>
    <w:rsid w:val="0006590C"/>
    <w:rsid w:val="000663BF"/>
    <w:rsid w:val="000826B5"/>
    <w:rsid w:val="000946FD"/>
    <w:rsid w:val="000B01B5"/>
    <w:rsid w:val="000B3CDE"/>
    <w:rsid w:val="000C3196"/>
    <w:rsid w:val="000C6FCC"/>
    <w:rsid w:val="000E446A"/>
    <w:rsid w:val="000E5F52"/>
    <w:rsid w:val="00100FF2"/>
    <w:rsid w:val="00106A81"/>
    <w:rsid w:val="00113488"/>
    <w:rsid w:val="00113FBC"/>
    <w:rsid w:val="001158DD"/>
    <w:rsid w:val="00123869"/>
    <w:rsid w:val="00123B61"/>
    <w:rsid w:val="0015005B"/>
    <w:rsid w:val="00150DCD"/>
    <w:rsid w:val="00154629"/>
    <w:rsid w:val="00161657"/>
    <w:rsid w:val="00180BE3"/>
    <w:rsid w:val="001831F4"/>
    <w:rsid w:val="00192F27"/>
    <w:rsid w:val="001949F0"/>
    <w:rsid w:val="001954EB"/>
    <w:rsid w:val="0019679E"/>
    <w:rsid w:val="0019739A"/>
    <w:rsid w:val="001B0BE5"/>
    <w:rsid w:val="001B1EDC"/>
    <w:rsid w:val="001C0DCB"/>
    <w:rsid w:val="001C1D4B"/>
    <w:rsid w:val="001C4A8C"/>
    <w:rsid w:val="001C5E97"/>
    <w:rsid w:val="001D48CB"/>
    <w:rsid w:val="001D49D6"/>
    <w:rsid w:val="001E27DB"/>
    <w:rsid w:val="001F2114"/>
    <w:rsid w:val="001F2C58"/>
    <w:rsid w:val="001F31BE"/>
    <w:rsid w:val="002011DF"/>
    <w:rsid w:val="00204B24"/>
    <w:rsid w:val="00213E6B"/>
    <w:rsid w:val="00220148"/>
    <w:rsid w:val="002269CF"/>
    <w:rsid w:val="00235F19"/>
    <w:rsid w:val="00237B7B"/>
    <w:rsid w:val="00240E2D"/>
    <w:rsid w:val="00250E22"/>
    <w:rsid w:val="00251859"/>
    <w:rsid w:val="0025235E"/>
    <w:rsid w:val="0027056D"/>
    <w:rsid w:val="00272EA4"/>
    <w:rsid w:val="002763E7"/>
    <w:rsid w:val="0028723C"/>
    <w:rsid w:val="002A2452"/>
    <w:rsid w:val="002A648E"/>
    <w:rsid w:val="002B247E"/>
    <w:rsid w:val="002C1ED9"/>
    <w:rsid w:val="002D176C"/>
    <w:rsid w:val="002D2EF3"/>
    <w:rsid w:val="002D352F"/>
    <w:rsid w:val="002D526F"/>
    <w:rsid w:val="002E1960"/>
    <w:rsid w:val="002E2AEB"/>
    <w:rsid w:val="002E4351"/>
    <w:rsid w:val="002E561C"/>
    <w:rsid w:val="002E73E1"/>
    <w:rsid w:val="003003D6"/>
    <w:rsid w:val="00303FA1"/>
    <w:rsid w:val="003052CA"/>
    <w:rsid w:val="00312F7E"/>
    <w:rsid w:val="00317902"/>
    <w:rsid w:val="00325659"/>
    <w:rsid w:val="00330EE5"/>
    <w:rsid w:val="0033483D"/>
    <w:rsid w:val="0034633E"/>
    <w:rsid w:val="00351F0A"/>
    <w:rsid w:val="00362157"/>
    <w:rsid w:val="00383720"/>
    <w:rsid w:val="0038400C"/>
    <w:rsid w:val="00384CF5"/>
    <w:rsid w:val="00385795"/>
    <w:rsid w:val="00395B3B"/>
    <w:rsid w:val="003969EC"/>
    <w:rsid w:val="003A62F0"/>
    <w:rsid w:val="003A7146"/>
    <w:rsid w:val="003A7E23"/>
    <w:rsid w:val="003B350B"/>
    <w:rsid w:val="003C1C1E"/>
    <w:rsid w:val="003F2C73"/>
    <w:rsid w:val="004042B5"/>
    <w:rsid w:val="00407016"/>
    <w:rsid w:val="004231C6"/>
    <w:rsid w:val="00423504"/>
    <w:rsid w:val="00430F1A"/>
    <w:rsid w:val="00431296"/>
    <w:rsid w:val="0043275D"/>
    <w:rsid w:val="00440C31"/>
    <w:rsid w:val="0044267F"/>
    <w:rsid w:val="0044326D"/>
    <w:rsid w:val="0045463A"/>
    <w:rsid w:val="004575E9"/>
    <w:rsid w:val="004601F3"/>
    <w:rsid w:val="00463A7E"/>
    <w:rsid w:val="00467351"/>
    <w:rsid w:val="00472162"/>
    <w:rsid w:val="00476ECA"/>
    <w:rsid w:val="004A139C"/>
    <w:rsid w:val="004A2B4D"/>
    <w:rsid w:val="004B18FB"/>
    <w:rsid w:val="004C20D3"/>
    <w:rsid w:val="004C2198"/>
    <w:rsid w:val="004C3F9E"/>
    <w:rsid w:val="004D6485"/>
    <w:rsid w:val="004E37B5"/>
    <w:rsid w:val="004E3EEB"/>
    <w:rsid w:val="0050518F"/>
    <w:rsid w:val="0051197B"/>
    <w:rsid w:val="00512135"/>
    <w:rsid w:val="0051373A"/>
    <w:rsid w:val="00520214"/>
    <w:rsid w:val="005220D4"/>
    <w:rsid w:val="00526C8E"/>
    <w:rsid w:val="00555289"/>
    <w:rsid w:val="005600D6"/>
    <w:rsid w:val="00561E46"/>
    <w:rsid w:val="00566B2E"/>
    <w:rsid w:val="00573268"/>
    <w:rsid w:val="005778F9"/>
    <w:rsid w:val="005811E3"/>
    <w:rsid w:val="00583AA1"/>
    <w:rsid w:val="005871BC"/>
    <w:rsid w:val="005933FA"/>
    <w:rsid w:val="00594AD9"/>
    <w:rsid w:val="005A643C"/>
    <w:rsid w:val="005B3BE1"/>
    <w:rsid w:val="005C2ABD"/>
    <w:rsid w:val="005D444D"/>
    <w:rsid w:val="005E7F8E"/>
    <w:rsid w:val="005F15D5"/>
    <w:rsid w:val="005F16B9"/>
    <w:rsid w:val="005F6379"/>
    <w:rsid w:val="00606952"/>
    <w:rsid w:val="00631891"/>
    <w:rsid w:val="006345BD"/>
    <w:rsid w:val="006365B5"/>
    <w:rsid w:val="00665FF3"/>
    <w:rsid w:val="00673533"/>
    <w:rsid w:val="00682490"/>
    <w:rsid w:val="00684F34"/>
    <w:rsid w:val="00686C9F"/>
    <w:rsid w:val="006B1B42"/>
    <w:rsid w:val="006C0240"/>
    <w:rsid w:val="006C1B3E"/>
    <w:rsid w:val="006C3190"/>
    <w:rsid w:val="006C3259"/>
    <w:rsid w:val="006D512C"/>
    <w:rsid w:val="006E18AB"/>
    <w:rsid w:val="006E35DB"/>
    <w:rsid w:val="006E5A2B"/>
    <w:rsid w:val="00702844"/>
    <w:rsid w:val="0070780D"/>
    <w:rsid w:val="00712BA2"/>
    <w:rsid w:val="007217C6"/>
    <w:rsid w:val="007306BD"/>
    <w:rsid w:val="00733F55"/>
    <w:rsid w:val="00741B66"/>
    <w:rsid w:val="0074346C"/>
    <w:rsid w:val="00743A16"/>
    <w:rsid w:val="00744CA8"/>
    <w:rsid w:val="00756DE3"/>
    <w:rsid w:val="00771566"/>
    <w:rsid w:val="00771744"/>
    <w:rsid w:val="00785F42"/>
    <w:rsid w:val="00792134"/>
    <w:rsid w:val="007961D7"/>
    <w:rsid w:val="007962B1"/>
    <w:rsid w:val="007A41F8"/>
    <w:rsid w:val="007A4F25"/>
    <w:rsid w:val="007B3C98"/>
    <w:rsid w:val="007B6E16"/>
    <w:rsid w:val="007E43C8"/>
    <w:rsid w:val="007F463A"/>
    <w:rsid w:val="007F653B"/>
    <w:rsid w:val="00805F5D"/>
    <w:rsid w:val="00805FC2"/>
    <w:rsid w:val="008116EA"/>
    <w:rsid w:val="00816701"/>
    <w:rsid w:val="00817087"/>
    <w:rsid w:val="00832070"/>
    <w:rsid w:val="0083472D"/>
    <w:rsid w:val="00835237"/>
    <w:rsid w:val="008460FF"/>
    <w:rsid w:val="00865A42"/>
    <w:rsid w:val="0087065B"/>
    <w:rsid w:val="008819EE"/>
    <w:rsid w:val="0088453F"/>
    <w:rsid w:val="00897DB0"/>
    <w:rsid w:val="008A1A47"/>
    <w:rsid w:val="008B26D0"/>
    <w:rsid w:val="008B716D"/>
    <w:rsid w:val="008C3B65"/>
    <w:rsid w:val="008C50A2"/>
    <w:rsid w:val="008C554A"/>
    <w:rsid w:val="008C6D13"/>
    <w:rsid w:val="008D483F"/>
    <w:rsid w:val="008F223A"/>
    <w:rsid w:val="008F4427"/>
    <w:rsid w:val="009045A4"/>
    <w:rsid w:val="0090525E"/>
    <w:rsid w:val="00910CEF"/>
    <w:rsid w:val="00925512"/>
    <w:rsid w:val="009372BE"/>
    <w:rsid w:val="00945A9B"/>
    <w:rsid w:val="00945D4F"/>
    <w:rsid w:val="009463C3"/>
    <w:rsid w:val="00951050"/>
    <w:rsid w:val="009514A8"/>
    <w:rsid w:val="00952484"/>
    <w:rsid w:val="00953270"/>
    <w:rsid w:val="00954CBD"/>
    <w:rsid w:val="00955447"/>
    <w:rsid w:val="00961DC1"/>
    <w:rsid w:val="00970D4E"/>
    <w:rsid w:val="00973D5D"/>
    <w:rsid w:val="0098108F"/>
    <w:rsid w:val="00981229"/>
    <w:rsid w:val="00984628"/>
    <w:rsid w:val="00985C42"/>
    <w:rsid w:val="009A3D3A"/>
    <w:rsid w:val="009A589C"/>
    <w:rsid w:val="009C2B33"/>
    <w:rsid w:val="009C3EA4"/>
    <w:rsid w:val="009D354F"/>
    <w:rsid w:val="009F35B5"/>
    <w:rsid w:val="009F60BA"/>
    <w:rsid w:val="009F716B"/>
    <w:rsid w:val="00A02F4C"/>
    <w:rsid w:val="00A07358"/>
    <w:rsid w:val="00A279A4"/>
    <w:rsid w:val="00A31C20"/>
    <w:rsid w:val="00A35237"/>
    <w:rsid w:val="00A46119"/>
    <w:rsid w:val="00A47B9F"/>
    <w:rsid w:val="00A52696"/>
    <w:rsid w:val="00A54671"/>
    <w:rsid w:val="00A56C04"/>
    <w:rsid w:val="00A56FFD"/>
    <w:rsid w:val="00A64E4F"/>
    <w:rsid w:val="00A654E5"/>
    <w:rsid w:val="00A70910"/>
    <w:rsid w:val="00A74900"/>
    <w:rsid w:val="00A81542"/>
    <w:rsid w:val="00A83942"/>
    <w:rsid w:val="00A85A22"/>
    <w:rsid w:val="00AA240C"/>
    <w:rsid w:val="00AA74B7"/>
    <w:rsid w:val="00AB0C5C"/>
    <w:rsid w:val="00AB2D81"/>
    <w:rsid w:val="00AC3B03"/>
    <w:rsid w:val="00AC3F9B"/>
    <w:rsid w:val="00AE26F5"/>
    <w:rsid w:val="00AE3B04"/>
    <w:rsid w:val="00AF26AE"/>
    <w:rsid w:val="00AF5707"/>
    <w:rsid w:val="00AF65F2"/>
    <w:rsid w:val="00B0508A"/>
    <w:rsid w:val="00B13E9D"/>
    <w:rsid w:val="00B15726"/>
    <w:rsid w:val="00B167F6"/>
    <w:rsid w:val="00B204EA"/>
    <w:rsid w:val="00B2258D"/>
    <w:rsid w:val="00B2395F"/>
    <w:rsid w:val="00B25DE9"/>
    <w:rsid w:val="00B35E34"/>
    <w:rsid w:val="00B42C39"/>
    <w:rsid w:val="00B43682"/>
    <w:rsid w:val="00B44267"/>
    <w:rsid w:val="00B50468"/>
    <w:rsid w:val="00B57A7D"/>
    <w:rsid w:val="00B57CF2"/>
    <w:rsid w:val="00B7469C"/>
    <w:rsid w:val="00B75D8C"/>
    <w:rsid w:val="00B83906"/>
    <w:rsid w:val="00B937E6"/>
    <w:rsid w:val="00B93FBA"/>
    <w:rsid w:val="00BC3BB3"/>
    <w:rsid w:val="00BC3DD0"/>
    <w:rsid w:val="00BC5993"/>
    <w:rsid w:val="00BD3037"/>
    <w:rsid w:val="00BD5B79"/>
    <w:rsid w:val="00BD6923"/>
    <w:rsid w:val="00BE0FA4"/>
    <w:rsid w:val="00BE13A5"/>
    <w:rsid w:val="00BE4795"/>
    <w:rsid w:val="00BE6FD8"/>
    <w:rsid w:val="00BE7019"/>
    <w:rsid w:val="00BF1FFC"/>
    <w:rsid w:val="00BF74A6"/>
    <w:rsid w:val="00C03D98"/>
    <w:rsid w:val="00C0470B"/>
    <w:rsid w:val="00C07F8A"/>
    <w:rsid w:val="00C11F92"/>
    <w:rsid w:val="00C14636"/>
    <w:rsid w:val="00C2723A"/>
    <w:rsid w:val="00C272D2"/>
    <w:rsid w:val="00C470F3"/>
    <w:rsid w:val="00C53840"/>
    <w:rsid w:val="00C62CB4"/>
    <w:rsid w:val="00C802FD"/>
    <w:rsid w:val="00C847D4"/>
    <w:rsid w:val="00C87926"/>
    <w:rsid w:val="00C91D80"/>
    <w:rsid w:val="00C9553A"/>
    <w:rsid w:val="00C9561D"/>
    <w:rsid w:val="00CA2BB2"/>
    <w:rsid w:val="00CA2D6D"/>
    <w:rsid w:val="00CA3188"/>
    <w:rsid w:val="00CA31ED"/>
    <w:rsid w:val="00CC619A"/>
    <w:rsid w:val="00CD2EF7"/>
    <w:rsid w:val="00CD6EEC"/>
    <w:rsid w:val="00CE3CD3"/>
    <w:rsid w:val="00CF2867"/>
    <w:rsid w:val="00CF3CF7"/>
    <w:rsid w:val="00D06A2E"/>
    <w:rsid w:val="00D138D5"/>
    <w:rsid w:val="00D15F17"/>
    <w:rsid w:val="00D24856"/>
    <w:rsid w:val="00D309A2"/>
    <w:rsid w:val="00D32230"/>
    <w:rsid w:val="00D357E7"/>
    <w:rsid w:val="00D66AB8"/>
    <w:rsid w:val="00D73261"/>
    <w:rsid w:val="00D77B22"/>
    <w:rsid w:val="00D77CD1"/>
    <w:rsid w:val="00D846F1"/>
    <w:rsid w:val="00D85384"/>
    <w:rsid w:val="00D86AED"/>
    <w:rsid w:val="00D870A8"/>
    <w:rsid w:val="00D878EE"/>
    <w:rsid w:val="00D914F9"/>
    <w:rsid w:val="00D921EC"/>
    <w:rsid w:val="00DA0B6D"/>
    <w:rsid w:val="00DA2031"/>
    <w:rsid w:val="00DB0D60"/>
    <w:rsid w:val="00DB390C"/>
    <w:rsid w:val="00DB7CAF"/>
    <w:rsid w:val="00DC5029"/>
    <w:rsid w:val="00DC5497"/>
    <w:rsid w:val="00DC75BB"/>
    <w:rsid w:val="00DD5736"/>
    <w:rsid w:val="00DF0DFC"/>
    <w:rsid w:val="00DF3279"/>
    <w:rsid w:val="00DF46C1"/>
    <w:rsid w:val="00E033C7"/>
    <w:rsid w:val="00E167E4"/>
    <w:rsid w:val="00E24CD9"/>
    <w:rsid w:val="00E3001E"/>
    <w:rsid w:val="00E40127"/>
    <w:rsid w:val="00E4599E"/>
    <w:rsid w:val="00E503D0"/>
    <w:rsid w:val="00E50A5D"/>
    <w:rsid w:val="00E57B3D"/>
    <w:rsid w:val="00E615CA"/>
    <w:rsid w:val="00E61A62"/>
    <w:rsid w:val="00E63ACF"/>
    <w:rsid w:val="00E76B6A"/>
    <w:rsid w:val="00E920DE"/>
    <w:rsid w:val="00E933B7"/>
    <w:rsid w:val="00E95B76"/>
    <w:rsid w:val="00EB4485"/>
    <w:rsid w:val="00EB6424"/>
    <w:rsid w:val="00EB6DAF"/>
    <w:rsid w:val="00EC198F"/>
    <w:rsid w:val="00EC70E9"/>
    <w:rsid w:val="00EC745C"/>
    <w:rsid w:val="00ED1733"/>
    <w:rsid w:val="00ED6FF3"/>
    <w:rsid w:val="00EF20FE"/>
    <w:rsid w:val="00F011FC"/>
    <w:rsid w:val="00F06ED8"/>
    <w:rsid w:val="00F22A4B"/>
    <w:rsid w:val="00F23E3B"/>
    <w:rsid w:val="00F263E3"/>
    <w:rsid w:val="00F30668"/>
    <w:rsid w:val="00F37542"/>
    <w:rsid w:val="00F5390D"/>
    <w:rsid w:val="00F56D5C"/>
    <w:rsid w:val="00F70EF6"/>
    <w:rsid w:val="00F80502"/>
    <w:rsid w:val="00F83835"/>
    <w:rsid w:val="00F85AB0"/>
    <w:rsid w:val="00F90062"/>
    <w:rsid w:val="00FA4F29"/>
    <w:rsid w:val="00FA54ED"/>
    <w:rsid w:val="00FD20A8"/>
    <w:rsid w:val="00FE00DF"/>
    <w:rsid w:val="00FE77EF"/>
    <w:rsid w:val="00FF426B"/>
    <w:rsid w:val="00FF5212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72E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5F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F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5F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F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61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0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2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3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1BE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1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859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8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6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2132">
    <w:name w:val="tv2132"/>
    <w:basedOn w:val="Normal"/>
    <w:rsid w:val="00A56FFD"/>
    <w:pPr>
      <w:spacing w:line="360" w:lineRule="auto"/>
      <w:ind w:firstLine="300"/>
    </w:pPr>
    <w:rPr>
      <w:color w:val="414142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5F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F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5F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F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61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0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2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3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1BE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1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859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8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6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2132">
    <w:name w:val="tv2132"/>
    <w:basedOn w:val="Normal"/>
    <w:rsid w:val="00A56FFD"/>
    <w:pPr>
      <w:spacing w:line="360" w:lineRule="auto"/>
      <w:ind w:firstLine="300"/>
    </w:pPr>
    <w:rPr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1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283668-par-valsts-budzeta-merkdotaciju-pedagogu-darba-samaksai-pasvaldibu-visparejas-izglitibas-iestades-un-valsts-augstskolu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3FF47-7098-4E01-8093-E614E279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3428</Words>
  <Characters>1954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Izgl'itibas un zinatnes ministrija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 Trokša</dc:creator>
  <cp:lastModifiedBy>Leontīne Babkina</cp:lastModifiedBy>
  <cp:revision>13</cp:revision>
  <cp:lastPrinted>2017-08-25T08:22:00Z</cp:lastPrinted>
  <dcterms:created xsi:type="dcterms:W3CDTF">2017-08-22T13:31:00Z</dcterms:created>
  <dcterms:modified xsi:type="dcterms:W3CDTF">2017-08-30T08:16:00Z</dcterms:modified>
</cp:coreProperties>
</file>