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55" w:rsidRPr="00EE1BB2" w:rsidRDefault="00BD2307" w:rsidP="00BD2307">
      <w:pPr>
        <w:jc w:val="center"/>
        <w:rPr>
          <w:b/>
          <w:bCs/>
        </w:rPr>
      </w:pPr>
      <w:r w:rsidRPr="00EE1BB2">
        <w:t>Minis</w:t>
      </w:r>
      <w:r w:rsidR="00CD4F9C" w:rsidRPr="00EE1BB2">
        <w:t>tru kabineta noteikumu projekta</w:t>
      </w:r>
    </w:p>
    <w:p w:rsidR="00D80882" w:rsidRPr="00EE1BB2" w:rsidRDefault="004543A6" w:rsidP="004543A6">
      <w:pPr>
        <w:jc w:val="center"/>
        <w:rPr>
          <w:b/>
          <w:szCs w:val="28"/>
        </w:rPr>
      </w:pPr>
      <w:r w:rsidRPr="008B1AE3">
        <w:rPr>
          <w:b/>
          <w:szCs w:val="28"/>
        </w:rPr>
        <w:t>Grozījum</w:t>
      </w:r>
      <w:r>
        <w:rPr>
          <w:b/>
          <w:szCs w:val="28"/>
        </w:rPr>
        <w:t>s</w:t>
      </w:r>
      <w:r w:rsidRPr="008B1AE3">
        <w:rPr>
          <w:b/>
          <w:szCs w:val="28"/>
        </w:rPr>
        <w:t xml:space="preserve"> Ministru kabineta 2015.gada 24.novembra noteikumos Nr.656 „Noteikumi par minimālās mēneša darba algas apmēru normāl</w:t>
      </w:r>
      <w:r>
        <w:rPr>
          <w:b/>
          <w:szCs w:val="28"/>
        </w:rPr>
        <w:t>ā</w:t>
      </w:r>
      <w:r w:rsidRPr="008B1AE3">
        <w:rPr>
          <w:b/>
          <w:szCs w:val="28"/>
        </w:rPr>
        <w:t xml:space="preserve"> darba laika ietvaros un minimālās stundas tarifa likmes aprēķināšanu”</w:t>
      </w:r>
    </w:p>
    <w:p w:rsidR="00430DCC" w:rsidRPr="00EE1BB2" w:rsidRDefault="002F584F" w:rsidP="00167AE7">
      <w:pPr>
        <w:jc w:val="center"/>
        <w:rPr>
          <w:szCs w:val="28"/>
        </w:rPr>
      </w:pPr>
      <w:r w:rsidRPr="00EE1BB2">
        <w:t>sākotnējās ietekmes novērtējuma ziņojums (</w:t>
      </w:r>
      <w:r w:rsidR="00CD4F9C" w:rsidRPr="00EE1BB2">
        <w:rPr>
          <w:szCs w:val="28"/>
        </w:rPr>
        <w:t>anotācija</w:t>
      </w:r>
      <w:r w:rsidRPr="00EE1BB2">
        <w:rPr>
          <w:szCs w:val="28"/>
        </w:rPr>
        <w:t>)</w:t>
      </w:r>
    </w:p>
    <w:p w:rsidR="00CD4F9C" w:rsidRDefault="00CD4F9C" w:rsidP="00124129">
      <w:pPr>
        <w:rPr>
          <w:szCs w:val="28"/>
        </w:rPr>
      </w:pPr>
    </w:p>
    <w:p w:rsidR="00F24D71" w:rsidRDefault="00F24D71" w:rsidP="00124129">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F24D71" w:rsidRPr="00D42CC4" w:rsidTr="00342C2B">
        <w:tc>
          <w:tcPr>
            <w:tcW w:w="0" w:type="auto"/>
            <w:gridSpan w:val="3"/>
            <w:tcBorders>
              <w:top w:val="outset" w:sz="6" w:space="0" w:color="auto"/>
              <w:bottom w:val="single" w:sz="4" w:space="0" w:color="auto"/>
            </w:tcBorders>
            <w:vAlign w:val="center"/>
          </w:tcPr>
          <w:p w:rsidR="00F24D71" w:rsidRPr="00D42CC4" w:rsidRDefault="00F24D71" w:rsidP="00342C2B">
            <w:pPr>
              <w:pStyle w:val="naisnod"/>
              <w:ind w:left="360"/>
            </w:pPr>
            <w:r w:rsidRPr="00D42CC4">
              <w:t>I</w:t>
            </w:r>
            <w:r>
              <w:t>.</w:t>
            </w:r>
            <w:r w:rsidRPr="00D42CC4">
              <w:t xml:space="preserve"> Tiesību akta projekta izstrādes nepieciešamība</w:t>
            </w:r>
          </w:p>
        </w:tc>
      </w:tr>
      <w:tr w:rsidR="00F24D71" w:rsidRPr="00D42CC4" w:rsidTr="00342C2B">
        <w:tc>
          <w:tcPr>
            <w:tcW w:w="444" w:type="pct"/>
            <w:tcBorders>
              <w:top w:val="single" w:sz="4" w:space="0" w:color="auto"/>
              <w:left w:val="single" w:sz="4" w:space="0" w:color="auto"/>
              <w:bottom w:val="single" w:sz="4" w:space="0" w:color="auto"/>
              <w:right w:val="single" w:sz="4" w:space="0" w:color="auto"/>
            </w:tcBorders>
            <w:vAlign w:val="center"/>
          </w:tcPr>
          <w:p w:rsidR="00F24D71" w:rsidRPr="00D42CC4" w:rsidRDefault="00F24D71" w:rsidP="00342C2B">
            <w:pPr>
              <w:pStyle w:val="naiskr"/>
              <w:ind w:left="180" w:hanging="180"/>
              <w:jc w:val="center"/>
            </w:pPr>
            <w:r w:rsidRPr="00D42CC4">
              <w:t>1.</w:t>
            </w:r>
          </w:p>
        </w:tc>
        <w:tc>
          <w:tcPr>
            <w:tcW w:w="1216" w:type="pct"/>
            <w:tcBorders>
              <w:top w:val="single" w:sz="4" w:space="0" w:color="auto"/>
              <w:left w:val="single" w:sz="4" w:space="0" w:color="auto"/>
              <w:bottom w:val="single" w:sz="4" w:space="0" w:color="auto"/>
              <w:right w:val="single" w:sz="4" w:space="0" w:color="auto"/>
            </w:tcBorders>
            <w:vAlign w:val="center"/>
          </w:tcPr>
          <w:p w:rsidR="00F24D71" w:rsidRPr="00D42CC4" w:rsidRDefault="00F24D71" w:rsidP="00342C2B">
            <w:pPr>
              <w:pStyle w:val="naiskr"/>
              <w:ind w:left="180" w:hanging="10"/>
            </w:pPr>
            <w:r w:rsidRPr="00D42CC4">
              <w:t>Pamatojums</w:t>
            </w:r>
          </w:p>
        </w:tc>
        <w:tc>
          <w:tcPr>
            <w:tcW w:w="3340" w:type="pct"/>
            <w:tcBorders>
              <w:top w:val="single" w:sz="4" w:space="0" w:color="auto"/>
              <w:left w:val="single" w:sz="4" w:space="0" w:color="auto"/>
              <w:bottom w:val="single" w:sz="4" w:space="0" w:color="auto"/>
              <w:right w:val="single" w:sz="4" w:space="0" w:color="auto"/>
            </w:tcBorders>
          </w:tcPr>
          <w:p w:rsidR="00F24D71" w:rsidRPr="004E5D19" w:rsidRDefault="00212D76" w:rsidP="002438A4">
            <w:pPr>
              <w:jc w:val="both"/>
              <w:rPr>
                <w:sz w:val="24"/>
              </w:rPr>
            </w:pPr>
            <w:r>
              <w:rPr>
                <w:sz w:val="24"/>
              </w:rPr>
              <w:t>S</w:t>
            </w:r>
            <w:r w:rsidRPr="004E5D19">
              <w:rPr>
                <w:sz w:val="24"/>
              </w:rPr>
              <w:t xml:space="preserve">askaņā ar Ministru kabineta </w:t>
            </w:r>
            <w:r w:rsidRPr="004E5D19">
              <w:rPr>
                <w:bCs/>
                <w:sz w:val="24"/>
                <w:shd w:val="clear" w:color="auto" w:fill="FFFFFF"/>
              </w:rPr>
              <w:t xml:space="preserve">2017.gada 9.maija (prot. Nr.23, </w:t>
            </w:r>
            <w:bookmarkStart w:id="0" w:name="21"/>
            <w:r w:rsidRPr="004E5D19">
              <w:rPr>
                <w:sz w:val="24"/>
              </w:rPr>
              <w:t>21.§</w:t>
            </w:r>
            <w:bookmarkEnd w:id="0"/>
            <w:r w:rsidRPr="004E5D19">
              <w:rPr>
                <w:sz w:val="24"/>
              </w:rPr>
              <w:t xml:space="preserve">) sēdē nolemto, </w:t>
            </w:r>
            <w:r w:rsidRPr="004E5D19">
              <w:rPr>
                <w:bCs/>
                <w:sz w:val="24"/>
              </w:rPr>
              <w:t>Ministru kabineta 2017.gada 24.maija rīkojuma Nr.245 „Par Valsts nodokļu politikas pamatnostādnēm 2018.–2021.gadam”</w:t>
            </w:r>
            <w:r w:rsidRPr="004E5D19">
              <w:rPr>
                <w:sz w:val="24"/>
              </w:rPr>
              <w:t xml:space="preserve"> pamatnostādņu 1.3.1.uzdevumu un Ministru kabineta 2016.gada 18.augusta noteikumu Nr.563 „Minimālās mēneša darba algas noteikšanas un pārskatīšanas kārtība” 10.1.apakšpunktu </w:t>
            </w:r>
            <w:r w:rsidRPr="000D53FA">
              <w:rPr>
                <w:sz w:val="24"/>
              </w:rPr>
              <w:t>un Ministru kabineta 2017.</w:t>
            </w:r>
            <w:r w:rsidR="00D45C19">
              <w:rPr>
                <w:sz w:val="24"/>
              </w:rPr>
              <w:t>gada 4.jūlija (prot. Nr.33, 41.</w:t>
            </w:r>
            <w:r w:rsidRPr="000D53FA">
              <w:rPr>
                <w:sz w:val="24"/>
              </w:rPr>
              <w:t>§</w:t>
            </w:r>
            <w:r>
              <w:rPr>
                <w:sz w:val="24"/>
              </w:rPr>
              <w:t xml:space="preserve"> 5.p.</w:t>
            </w:r>
            <w:r w:rsidRPr="000D53FA">
              <w:rPr>
                <w:sz w:val="24"/>
              </w:rPr>
              <w:t xml:space="preserve">) sēdē nolemto, ka Ministru kabinets atbalsta Nacionālās trīspusējās sadarbības padomes pieņemto lēmumu par minimālās </w:t>
            </w:r>
            <w:r>
              <w:rPr>
                <w:sz w:val="24"/>
              </w:rPr>
              <w:t xml:space="preserve">mēneša darba </w:t>
            </w:r>
            <w:r w:rsidRPr="000D53FA">
              <w:rPr>
                <w:sz w:val="24"/>
              </w:rPr>
              <w:t xml:space="preserve">algas paaugstināšanu – 430 </w:t>
            </w:r>
            <w:proofErr w:type="spellStart"/>
            <w:r w:rsidRPr="000D53FA">
              <w:rPr>
                <w:i/>
                <w:sz w:val="24"/>
              </w:rPr>
              <w:t>euro</w:t>
            </w:r>
            <w:proofErr w:type="spellEnd"/>
            <w:r w:rsidRPr="000D53FA">
              <w:rPr>
                <w:sz w:val="24"/>
              </w:rPr>
              <w:t xml:space="preserve"> ar 2018.gadu, Labklājības ministrijai jāizstrādā un jāiesniedz noteiktā kārtībā Ministru</w:t>
            </w:r>
            <w:r w:rsidRPr="004E5D19">
              <w:rPr>
                <w:sz w:val="24"/>
              </w:rPr>
              <w:t xml:space="preserve"> kabinetā</w:t>
            </w:r>
            <w:r w:rsidRPr="004E5D19">
              <w:rPr>
                <w:color w:val="000000"/>
                <w:sz w:val="24"/>
              </w:rPr>
              <w:t xml:space="preserve"> </w:t>
            </w:r>
            <w:r w:rsidRPr="004E5D19">
              <w:rPr>
                <w:spacing w:val="-2"/>
                <w:sz w:val="24"/>
              </w:rPr>
              <w:t>grozījumi Ministru kabineta noteikumos par minimālās mēneša darba algas apmēru normāla darba laika ietvaros un minimālās stundas tarifa likmes aprēķināšanu</w:t>
            </w:r>
            <w:r w:rsidRPr="004E5D19">
              <w:rPr>
                <w:sz w:val="24"/>
              </w:rPr>
              <w:t xml:space="preserve">, kurā </w:t>
            </w:r>
            <w:r w:rsidRPr="004E5D19">
              <w:rPr>
                <w:color w:val="000000"/>
                <w:sz w:val="24"/>
              </w:rPr>
              <w:t xml:space="preserve">minimālā mēneša darba alga tiek noteikta 430 </w:t>
            </w:r>
            <w:proofErr w:type="spellStart"/>
            <w:r w:rsidRPr="000D53FA">
              <w:rPr>
                <w:i/>
                <w:color w:val="000000"/>
                <w:sz w:val="24"/>
              </w:rPr>
              <w:t>euro</w:t>
            </w:r>
            <w:proofErr w:type="spellEnd"/>
            <w:r w:rsidRPr="004E5D19">
              <w:rPr>
                <w:color w:val="000000"/>
                <w:sz w:val="24"/>
              </w:rPr>
              <w:t xml:space="preserve"> apmērā sākot ar 2018.gada 1.janvāri.</w:t>
            </w:r>
          </w:p>
        </w:tc>
      </w:tr>
      <w:tr w:rsidR="00F24D71" w:rsidRPr="00D42CC4" w:rsidTr="00342C2B">
        <w:tc>
          <w:tcPr>
            <w:tcW w:w="444" w:type="pct"/>
            <w:tcBorders>
              <w:top w:val="single" w:sz="4" w:space="0" w:color="auto"/>
              <w:left w:val="single" w:sz="4" w:space="0" w:color="auto"/>
              <w:bottom w:val="single" w:sz="4" w:space="0" w:color="auto"/>
              <w:right w:val="single" w:sz="4" w:space="0" w:color="auto"/>
            </w:tcBorders>
            <w:vAlign w:val="center"/>
          </w:tcPr>
          <w:p w:rsidR="00F24D71" w:rsidRPr="00D42CC4" w:rsidRDefault="00F24D71" w:rsidP="00342C2B">
            <w:pPr>
              <w:pStyle w:val="naiskr"/>
              <w:ind w:left="180" w:hanging="180"/>
              <w:jc w:val="center"/>
            </w:pPr>
            <w:r w:rsidRPr="00D42CC4">
              <w:t>2.</w:t>
            </w:r>
          </w:p>
        </w:tc>
        <w:tc>
          <w:tcPr>
            <w:tcW w:w="1216" w:type="pct"/>
            <w:tcBorders>
              <w:top w:val="single" w:sz="4" w:space="0" w:color="auto"/>
              <w:left w:val="single" w:sz="4" w:space="0" w:color="auto"/>
              <w:bottom w:val="single" w:sz="4" w:space="0" w:color="auto"/>
              <w:right w:val="single" w:sz="4" w:space="0" w:color="auto"/>
            </w:tcBorders>
            <w:vAlign w:val="center"/>
          </w:tcPr>
          <w:p w:rsidR="00F24D71" w:rsidRPr="00D42CC4" w:rsidRDefault="00F24D71" w:rsidP="00342C2B">
            <w:pPr>
              <w:pStyle w:val="naiskr"/>
              <w:ind w:left="180" w:hanging="10"/>
            </w:pPr>
            <w:r w:rsidRPr="00DD49B6">
              <w:t>Pašreizējā situācija un problēmas, kuru risināšanai tiesību akta projekts izstrādāts, tiesiskā regulējuma mērķis un būtība</w:t>
            </w:r>
          </w:p>
        </w:tc>
        <w:tc>
          <w:tcPr>
            <w:tcW w:w="3340" w:type="pct"/>
            <w:tcBorders>
              <w:top w:val="single" w:sz="4" w:space="0" w:color="auto"/>
              <w:left w:val="single" w:sz="4" w:space="0" w:color="auto"/>
              <w:bottom w:val="single" w:sz="4" w:space="0" w:color="auto"/>
              <w:right w:val="single" w:sz="4" w:space="0" w:color="auto"/>
            </w:tcBorders>
          </w:tcPr>
          <w:p w:rsidR="00212D76" w:rsidRPr="003317D9" w:rsidRDefault="00212D76" w:rsidP="00212D76">
            <w:pPr>
              <w:pStyle w:val="Footer"/>
              <w:tabs>
                <w:tab w:val="clear" w:pos="4153"/>
                <w:tab w:val="clear" w:pos="8306"/>
              </w:tabs>
              <w:jc w:val="both"/>
              <w:rPr>
                <w:sz w:val="24"/>
              </w:rPr>
            </w:pPr>
            <w:r w:rsidRPr="003317D9">
              <w:rPr>
                <w:sz w:val="24"/>
              </w:rPr>
              <w:t>Pašreiz Ministru kabineta 201</w:t>
            </w:r>
            <w:r>
              <w:rPr>
                <w:sz w:val="24"/>
              </w:rPr>
              <w:t>5</w:t>
            </w:r>
            <w:r w:rsidRPr="003317D9">
              <w:rPr>
                <w:sz w:val="24"/>
              </w:rPr>
              <w:t xml:space="preserve">.gada </w:t>
            </w:r>
            <w:r>
              <w:rPr>
                <w:sz w:val="24"/>
              </w:rPr>
              <w:t>24.novembra</w:t>
            </w:r>
            <w:r w:rsidRPr="003317D9">
              <w:rPr>
                <w:sz w:val="24"/>
              </w:rPr>
              <w:t xml:space="preserve"> noteikumi Nr.</w:t>
            </w:r>
            <w:r w:rsidRPr="007E240F">
              <w:rPr>
                <w:sz w:val="24"/>
              </w:rPr>
              <w:t xml:space="preserve">656 „Noteikumi par minimālās mēneša darba algas apmēru normālā darba laika ietvaros un minimālās stundas tarifa likmes aprēķināšanu” </w:t>
            </w:r>
            <w:r>
              <w:rPr>
                <w:sz w:val="24"/>
              </w:rPr>
              <w:t xml:space="preserve">(turpmāk – noteikumi 656) </w:t>
            </w:r>
            <w:r w:rsidRPr="007E240F">
              <w:rPr>
                <w:sz w:val="24"/>
              </w:rPr>
              <w:t>nosaka, ka minimālā mēneša darba alga ir 3</w:t>
            </w:r>
            <w:r>
              <w:rPr>
                <w:sz w:val="24"/>
              </w:rPr>
              <w:t>8</w:t>
            </w:r>
            <w:r w:rsidRPr="007E240F">
              <w:rPr>
                <w:sz w:val="24"/>
              </w:rPr>
              <w:t xml:space="preserve">0 </w:t>
            </w:r>
            <w:proofErr w:type="spellStart"/>
            <w:r w:rsidRPr="007E240F">
              <w:rPr>
                <w:i/>
                <w:sz w:val="24"/>
              </w:rPr>
              <w:t>euro</w:t>
            </w:r>
            <w:proofErr w:type="spellEnd"/>
            <w:r w:rsidRPr="003317D9">
              <w:rPr>
                <w:sz w:val="24"/>
              </w:rPr>
              <w:t>.</w:t>
            </w:r>
          </w:p>
          <w:p w:rsidR="00212D76" w:rsidRDefault="00212D76" w:rsidP="00212D76">
            <w:pPr>
              <w:jc w:val="both"/>
              <w:rPr>
                <w:sz w:val="24"/>
              </w:rPr>
            </w:pPr>
            <w:r w:rsidRPr="004E5D19">
              <w:rPr>
                <w:bCs/>
                <w:sz w:val="24"/>
                <w:shd w:val="clear" w:color="auto" w:fill="FFFFFF"/>
              </w:rPr>
              <w:t>Finanšu ministrija</w:t>
            </w:r>
            <w:r w:rsidRPr="004E5D19">
              <w:rPr>
                <w:iCs/>
                <w:sz w:val="24"/>
              </w:rPr>
              <w:t xml:space="preserve"> kopīgi ar valdības sociālajiem un sadarbības partneriem</w:t>
            </w:r>
            <w:r w:rsidRPr="004E5D19">
              <w:rPr>
                <w:bCs/>
                <w:sz w:val="24"/>
                <w:shd w:val="clear" w:color="auto" w:fill="FFFFFF"/>
              </w:rPr>
              <w:t xml:space="preserve"> izstrādāj</w:t>
            </w:r>
            <w:r>
              <w:rPr>
                <w:bCs/>
                <w:sz w:val="24"/>
                <w:shd w:val="clear" w:color="auto" w:fill="FFFFFF"/>
              </w:rPr>
              <w:t>a</w:t>
            </w:r>
            <w:r w:rsidRPr="004E5D19">
              <w:rPr>
                <w:bCs/>
                <w:sz w:val="24"/>
                <w:shd w:val="clear" w:color="auto" w:fill="FFFFFF"/>
              </w:rPr>
              <w:t xml:space="preserve"> pamatnostādņu projektu „Valsts nodokļu politikas pamatnostādnes 2018.-2021.gadam” (turpmāk – pamatnostādnes)</w:t>
            </w:r>
            <w:r>
              <w:rPr>
                <w:bCs/>
                <w:sz w:val="24"/>
                <w:shd w:val="clear" w:color="auto" w:fill="FFFFFF"/>
              </w:rPr>
              <w:t>. Pamatnostādnes</w:t>
            </w:r>
            <w:r w:rsidRPr="004E5D19">
              <w:rPr>
                <w:bCs/>
                <w:sz w:val="24"/>
                <w:shd w:val="clear" w:color="auto" w:fill="FFFFFF"/>
              </w:rPr>
              <w:t xml:space="preserve"> tika </w:t>
            </w:r>
            <w:proofErr w:type="gramStart"/>
            <w:r>
              <w:rPr>
                <w:bCs/>
                <w:sz w:val="24"/>
                <w:shd w:val="clear" w:color="auto" w:fill="FFFFFF"/>
              </w:rPr>
              <w:t>atbalstītas</w:t>
            </w:r>
            <w:r w:rsidRPr="004E5D19">
              <w:rPr>
                <w:bCs/>
                <w:sz w:val="24"/>
                <w:shd w:val="clear" w:color="auto" w:fill="FFFFFF"/>
              </w:rPr>
              <w:t xml:space="preserve"> Ministru</w:t>
            </w:r>
            <w:proofErr w:type="gramEnd"/>
            <w:r w:rsidRPr="004E5D19">
              <w:rPr>
                <w:bCs/>
                <w:sz w:val="24"/>
                <w:shd w:val="clear" w:color="auto" w:fill="FFFFFF"/>
              </w:rPr>
              <w:t xml:space="preserve"> kabineta 2017.gada 9.maija (prot. Nr.23, </w:t>
            </w:r>
            <w:r w:rsidRPr="004E5D19">
              <w:rPr>
                <w:sz w:val="24"/>
              </w:rPr>
              <w:t>21.§) sēdē ar 2017.gada</w:t>
            </w:r>
            <w:r w:rsidRPr="004E5D19">
              <w:rPr>
                <w:bCs/>
                <w:sz w:val="24"/>
                <w:lang w:eastAsia="lv-LV"/>
              </w:rPr>
              <w:t xml:space="preserve"> 24.maij</w:t>
            </w:r>
            <w:r>
              <w:rPr>
                <w:bCs/>
                <w:sz w:val="24"/>
                <w:lang w:eastAsia="lv-LV"/>
              </w:rPr>
              <w:t>a</w:t>
            </w:r>
            <w:r w:rsidRPr="004E5D19">
              <w:rPr>
                <w:bCs/>
                <w:sz w:val="24"/>
                <w:lang w:eastAsia="lv-LV"/>
              </w:rPr>
              <w:t xml:space="preserve"> Ministru kabineta rīkojum</w:t>
            </w:r>
            <w:r>
              <w:rPr>
                <w:bCs/>
                <w:sz w:val="24"/>
                <w:lang w:eastAsia="lv-LV"/>
              </w:rPr>
              <w:t>u</w:t>
            </w:r>
            <w:r w:rsidRPr="004E5D19">
              <w:rPr>
                <w:bCs/>
                <w:sz w:val="24"/>
                <w:lang w:eastAsia="lv-LV"/>
              </w:rPr>
              <w:t xml:space="preserve"> Nr.245 </w:t>
            </w:r>
            <w:r>
              <w:rPr>
                <w:bCs/>
                <w:sz w:val="24"/>
                <w:lang w:eastAsia="lv-LV"/>
              </w:rPr>
              <w:t>„</w:t>
            </w:r>
            <w:r w:rsidRPr="004E5D19">
              <w:rPr>
                <w:bCs/>
                <w:sz w:val="24"/>
                <w:lang w:eastAsia="lv-LV"/>
              </w:rPr>
              <w:t xml:space="preserve">Par Valsts nodokļu politikas pamatnostādnēm 2018.–2021.gadam”. </w:t>
            </w:r>
            <w:r>
              <w:rPr>
                <w:bCs/>
                <w:sz w:val="24"/>
                <w:lang w:eastAsia="lv-LV"/>
              </w:rPr>
              <w:t>P</w:t>
            </w:r>
            <w:r w:rsidRPr="004E5D19">
              <w:rPr>
                <w:sz w:val="24"/>
              </w:rPr>
              <w:t>amatnostād</w:t>
            </w:r>
            <w:r>
              <w:rPr>
                <w:sz w:val="24"/>
              </w:rPr>
              <w:t>ņu V nodaļas „Rīcības virzieni un uzdevumi”</w:t>
            </w:r>
            <w:r w:rsidRPr="004E5D19">
              <w:rPr>
                <w:sz w:val="24"/>
              </w:rPr>
              <w:t xml:space="preserve"> 1.3.1.uzdevums paredz paaugstināt valstī minimālo mēneša darba algu no 380 </w:t>
            </w:r>
            <w:proofErr w:type="spellStart"/>
            <w:r w:rsidRPr="000D53FA">
              <w:rPr>
                <w:i/>
                <w:sz w:val="24"/>
              </w:rPr>
              <w:t>euro</w:t>
            </w:r>
            <w:proofErr w:type="spellEnd"/>
            <w:r w:rsidRPr="004E5D19">
              <w:rPr>
                <w:sz w:val="24"/>
              </w:rPr>
              <w:t xml:space="preserve"> līdz 430 </w:t>
            </w:r>
            <w:proofErr w:type="spellStart"/>
            <w:r w:rsidRPr="000D53FA">
              <w:rPr>
                <w:i/>
                <w:sz w:val="24"/>
              </w:rPr>
              <w:t>euro</w:t>
            </w:r>
            <w:proofErr w:type="spellEnd"/>
            <w:r w:rsidRPr="004E5D19">
              <w:rPr>
                <w:sz w:val="24"/>
              </w:rPr>
              <w:t xml:space="preserve"> sākot ar 2018.gada 1.janvāri.</w:t>
            </w:r>
          </w:p>
          <w:p w:rsidR="00212D76" w:rsidRPr="004E5D19" w:rsidRDefault="00212D76" w:rsidP="00212D76">
            <w:pPr>
              <w:jc w:val="both"/>
              <w:rPr>
                <w:sz w:val="24"/>
              </w:rPr>
            </w:pPr>
            <w:r>
              <w:rPr>
                <w:sz w:val="24"/>
              </w:rPr>
              <w:t xml:space="preserve">Pamatnostādnes tika izskatītas Nacionālās trīspusējās sadarbības padomes (NTSP) 2017.gada 29.jūnija sēdē, un NTSP locekļi pieņēma lēmumu, ka valstī minimālā mēneša darba alga tiek paaugstināta no 380 </w:t>
            </w:r>
            <w:proofErr w:type="spellStart"/>
            <w:r w:rsidRPr="000D53FA">
              <w:rPr>
                <w:i/>
                <w:sz w:val="24"/>
              </w:rPr>
              <w:t>euro</w:t>
            </w:r>
            <w:proofErr w:type="spellEnd"/>
            <w:r>
              <w:rPr>
                <w:sz w:val="24"/>
              </w:rPr>
              <w:t xml:space="preserve"> līdz 430 </w:t>
            </w:r>
            <w:proofErr w:type="spellStart"/>
            <w:r w:rsidRPr="000D53FA">
              <w:rPr>
                <w:i/>
                <w:sz w:val="24"/>
              </w:rPr>
              <w:t>euro</w:t>
            </w:r>
            <w:proofErr w:type="spellEnd"/>
            <w:r>
              <w:rPr>
                <w:sz w:val="24"/>
              </w:rPr>
              <w:t xml:space="preserve"> sākot ar 2018.gada 1.janvāri un tā paliek nemainīga trīs gadus, kā </w:t>
            </w:r>
            <w:r>
              <w:rPr>
                <w:sz w:val="24"/>
              </w:rPr>
              <w:lastRenderedPageBreak/>
              <w:t xml:space="preserve">noteikts </w:t>
            </w:r>
            <w:r w:rsidRPr="00C41F16">
              <w:rPr>
                <w:sz w:val="24"/>
              </w:rPr>
              <w:t>Ministru kabineta 2017.gada 4.jūlija</w:t>
            </w:r>
            <w:r>
              <w:rPr>
                <w:sz w:val="24"/>
              </w:rPr>
              <w:t xml:space="preserve"> lēmumā</w:t>
            </w:r>
            <w:r w:rsidR="00D45C19">
              <w:rPr>
                <w:sz w:val="24"/>
              </w:rPr>
              <w:t xml:space="preserve"> (prot. Nr.33, 41.</w:t>
            </w:r>
            <w:r w:rsidRPr="00C41F16">
              <w:rPr>
                <w:sz w:val="24"/>
              </w:rPr>
              <w:t>§ 5.p.)</w:t>
            </w:r>
            <w:r>
              <w:rPr>
                <w:sz w:val="24"/>
              </w:rPr>
              <w:t>.</w:t>
            </w:r>
          </w:p>
          <w:p w:rsidR="00212D76" w:rsidRPr="004E5D19" w:rsidRDefault="00212D76" w:rsidP="00212D76">
            <w:pPr>
              <w:jc w:val="both"/>
              <w:rPr>
                <w:bCs/>
                <w:sz w:val="24"/>
              </w:rPr>
            </w:pPr>
          </w:p>
          <w:p w:rsidR="00F24D71" w:rsidRPr="003317D9" w:rsidRDefault="00212D76" w:rsidP="00D45C19">
            <w:pPr>
              <w:jc w:val="both"/>
              <w:rPr>
                <w:sz w:val="24"/>
              </w:rPr>
            </w:pPr>
            <w:r w:rsidRPr="003317D9">
              <w:rPr>
                <w:sz w:val="24"/>
              </w:rPr>
              <w:t xml:space="preserve">Lai nodrošinātu tiesisku pamatu minimālās mēneša darba algas </w:t>
            </w:r>
            <w:r>
              <w:rPr>
                <w:sz w:val="24"/>
              </w:rPr>
              <w:t xml:space="preserve">apmēram </w:t>
            </w:r>
            <w:r w:rsidRPr="003317D9">
              <w:rPr>
                <w:sz w:val="24"/>
              </w:rPr>
              <w:t xml:space="preserve">un minimālās stundas tarifa likmes </w:t>
            </w:r>
            <w:r>
              <w:rPr>
                <w:sz w:val="24"/>
              </w:rPr>
              <w:t>aprēķināšanai</w:t>
            </w:r>
            <w:r w:rsidRPr="003317D9">
              <w:rPr>
                <w:sz w:val="24"/>
              </w:rPr>
              <w:t xml:space="preserve"> </w:t>
            </w:r>
            <w:r>
              <w:rPr>
                <w:sz w:val="24"/>
              </w:rPr>
              <w:t>Labklājības ministrija izstrādājusi Ministru kabineta noteikumu projektu „G</w:t>
            </w:r>
            <w:r w:rsidRPr="003317D9">
              <w:rPr>
                <w:sz w:val="24"/>
              </w:rPr>
              <w:t xml:space="preserve">rozījums </w:t>
            </w:r>
            <w:r>
              <w:rPr>
                <w:sz w:val="24"/>
              </w:rPr>
              <w:t xml:space="preserve">Ministru kabineta </w:t>
            </w:r>
            <w:r w:rsidRPr="00422743">
              <w:rPr>
                <w:sz w:val="24"/>
              </w:rPr>
              <w:t xml:space="preserve">2015.gada 24.novembra </w:t>
            </w:r>
            <w:r w:rsidRPr="003317D9">
              <w:rPr>
                <w:sz w:val="24"/>
              </w:rPr>
              <w:t>noteikum</w:t>
            </w:r>
            <w:r>
              <w:rPr>
                <w:sz w:val="24"/>
              </w:rPr>
              <w:t>os Nr.656</w:t>
            </w:r>
            <w:r w:rsidRPr="00422743">
              <w:rPr>
                <w:sz w:val="24"/>
              </w:rPr>
              <w:t>„Noteikumi par minimālās mēneša darba algas apmēru normālā darba laika ietvaros un minimālās stundas tarifa likmes aprēķināšanu”</w:t>
            </w:r>
            <w:r w:rsidR="000E7A5E">
              <w:rPr>
                <w:sz w:val="24"/>
              </w:rPr>
              <w:t>”</w:t>
            </w:r>
            <w:r>
              <w:rPr>
                <w:sz w:val="24"/>
              </w:rPr>
              <w:t xml:space="preserve"> (turpmāk </w:t>
            </w:r>
            <w:r w:rsidR="00D45C19">
              <w:rPr>
                <w:sz w:val="24"/>
              </w:rPr>
              <w:t>–</w:t>
            </w:r>
            <w:r>
              <w:rPr>
                <w:sz w:val="24"/>
              </w:rPr>
              <w:t xml:space="preserve"> projekts)</w:t>
            </w:r>
            <w:r w:rsidRPr="003317D9">
              <w:rPr>
                <w:sz w:val="24"/>
              </w:rPr>
              <w:t xml:space="preserve">, </w:t>
            </w:r>
            <w:r>
              <w:rPr>
                <w:sz w:val="24"/>
              </w:rPr>
              <w:t>lai</w:t>
            </w:r>
            <w:r w:rsidRPr="003317D9">
              <w:rPr>
                <w:sz w:val="24"/>
              </w:rPr>
              <w:t xml:space="preserve"> noteik</w:t>
            </w:r>
            <w:r>
              <w:rPr>
                <w:sz w:val="24"/>
              </w:rPr>
              <w:t>tu</w:t>
            </w:r>
            <w:r w:rsidRPr="003317D9">
              <w:rPr>
                <w:sz w:val="24"/>
              </w:rPr>
              <w:t xml:space="preserve"> minimālo mēneša </w:t>
            </w:r>
            <w:r w:rsidRPr="00E75E11">
              <w:rPr>
                <w:sz w:val="24"/>
              </w:rPr>
              <w:t xml:space="preserve">darba algu </w:t>
            </w:r>
            <w:r>
              <w:rPr>
                <w:sz w:val="24"/>
              </w:rPr>
              <w:t>430</w:t>
            </w:r>
            <w:r w:rsidRPr="00E75E11">
              <w:rPr>
                <w:sz w:val="24"/>
              </w:rPr>
              <w:t xml:space="preserve"> </w:t>
            </w:r>
            <w:proofErr w:type="spellStart"/>
            <w:r w:rsidRPr="00E75E11">
              <w:rPr>
                <w:i/>
                <w:sz w:val="24"/>
              </w:rPr>
              <w:t>euro</w:t>
            </w:r>
            <w:proofErr w:type="spellEnd"/>
            <w:r w:rsidRPr="00E75E11">
              <w:rPr>
                <w:sz w:val="24"/>
              </w:rPr>
              <w:t xml:space="preserve"> apmērā</w:t>
            </w:r>
            <w:r>
              <w:rPr>
                <w:sz w:val="24"/>
              </w:rPr>
              <w:t xml:space="preserve"> sākot ar 2018.gada 1.janvāri.</w:t>
            </w:r>
          </w:p>
        </w:tc>
      </w:tr>
      <w:tr w:rsidR="00F24D71" w:rsidRPr="00D42CC4" w:rsidTr="00342C2B">
        <w:tc>
          <w:tcPr>
            <w:tcW w:w="444" w:type="pct"/>
            <w:tcBorders>
              <w:top w:val="single" w:sz="4" w:space="0" w:color="auto"/>
              <w:left w:val="single" w:sz="4" w:space="0" w:color="auto"/>
              <w:bottom w:val="single" w:sz="4" w:space="0" w:color="auto"/>
              <w:right w:val="single" w:sz="4" w:space="0" w:color="auto"/>
            </w:tcBorders>
            <w:vAlign w:val="center"/>
          </w:tcPr>
          <w:p w:rsidR="00F24D71" w:rsidRPr="00D42CC4" w:rsidRDefault="00F24D71" w:rsidP="00342C2B">
            <w:pPr>
              <w:pStyle w:val="naiskr"/>
              <w:ind w:left="180" w:hanging="180"/>
              <w:jc w:val="center"/>
            </w:pPr>
            <w:r w:rsidRPr="00D42CC4">
              <w:lastRenderedPageBreak/>
              <w:t>3.</w:t>
            </w:r>
          </w:p>
        </w:tc>
        <w:tc>
          <w:tcPr>
            <w:tcW w:w="1216" w:type="pct"/>
            <w:tcBorders>
              <w:top w:val="single" w:sz="4" w:space="0" w:color="auto"/>
              <w:left w:val="single" w:sz="4" w:space="0" w:color="auto"/>
              <w:bottom w:val="single" w:sz="4" w:space="0" w:color="auto"/>
              <w:right w:val="single" w:sz="4" w:space="0" w:color="auto"/>
            </w:tcBorders>
            <w:vAlign w:val="center"/>
          </w:tcPr>
          <w:p w:rsidR="00F24D71" w:rsidRPr="006047B8" w:rsidRDefault="00F24D71" w:rsidP="00342C2B">
            <w:pPr>
              <w:pStyle w:val="naiskr"/>
              <w:ind w:left="180" w:hanging="10"/>
            </w:pPr>
            <w:r w:rsidRPr="006047B8">
              <w:t>Projekta izstrādē iesaistītās institūcijas</w:t>
            </w:r>
          </w:p>
        </w:tc>
        <w:tc>
          <w:tcPr>
            <w:tcW w:w="3340" w:type="pct"/>
            <w:tcBorders>
              <w:top w:val="single" w:sz="4" w:space="0" w:color="auto"/>
              <w:left w:val="single" w:sz="4" w:space="0" w:color="auto"/>
              <w:bottom w:val="single" w:sz="4" w:space="0" w:color="auto"/>
              <w:right w:val="single" w:sz="4" w:space="0" w:color="auto"/>
            </w:tcBorders>
            <w:vAlign w:val="center"/>
          </w:tcPr>
          <w:p w:rsidR="009A542D" w:rsidRPr="00D42CC4" w:rsidRDefault="00212D76" w:rsidP="00013687">
            <w:pPr>
              <w:spacing w:after="60"/>
              <w:jc w:val="both"/>
              <w:rPr>
                <w:sz w:val="24"/>
              </w:rPr>
            </w:pPr>
            <w:r w:rsidRPr="000D53FA">
              <w:rPr>
                <w:iCs/>
                <w:sz w:val="24"/>
              </w:rPr>
              <w:t xml:space="preserve">Projekta izstrādē piedalījās Finanšu ministrija, </w:t>
            </w:r>
            <w:r w:rsidRPr="000D53FA">
              <w:rPr>
                <w:sz w:val="24"/>
                <w:lang w:eastAsia="lv-LV"/>
              </w:rPr>
              <w:t xml:space="preserve">kas sagatavoja aprēķinus </w:t>
            </w:r>
            <w:r w:rsidRPr="000D53FA">
              <w:rPr>
                <w:b/>
                <w:sz w:val="24"/>
                <w:lang w:eastAsia="lv-LV"/>
              </w:rPr>
              <w:t xml:space="preserve">par papildu nepieciešamiem ieņēmumiem un izdevumiem </w:t>
            </w:r>
            <w:r w:rsidRPr="000D53FA">
              <w:rPr>
                <w:sz w:val="24"/>
                <w:lang w:eastAsia="lv-LV"/>
              </w:rPr>
              <w:t>valsts pamatbudžetā un pašvaldību budžetos, paaugstinot minimāl</w:t>
            </w:r>
            <w:r>
              <w:rPr>
                <w:sz w:val="24"/>
                <w:lang w:eastAsia="lv-LV"/>
              </w:rPr>
              <w:t>ās</w:t>
            </w:r>
            <w:r w:rsidRPr="000D53FA">
              <w:rPr>
                <w:sz w:val="24"/>
                <w:lang w:eastAsia="lv-LV"/>
              </w:rPr>
              <w:t xml:space="preserve"> mēneša darba algas apmēru no 380</w:t>
            </w:r>
            <w:r>
              <w:rPr>
                <w:sz w:val="24"/>
                <w:lang w:eastAsia="lv-LV"/>
              </w:rPr>
              <w:t> </w:t>
            </w:r>
            <w:proofErr w:type="spellStart"/>
            <w:r w:rsidRPr="000D53FA">
              <w:rPr>
                <w:i/>
                <w:sz w:val="24"/>
                <w:lang w:eastAsia="lv-LV"/>
              </w:rPr>
              <w:t>euro</w:t>
            </w:r>
            <w:proofErr w:type="spellEnd"/>
            <w:r w:rsidRPr="000D53FA">
              <w:rPr>
                <w:sz w:val="24"/>
                <w:lang w:eastAsia="lv-LV"/>
              </w:rPr>
              <w:t xml:space="preserve"> uz 430 </w:t>
            </w:r>
            <w:proofErr w:type="spellStart"/>
            <w:r w:rsidRPr="000D53FA">
              <w:rPr>
                <w:i/>
                <w:sz w:val="24"/>
                <w:lang w:eastAsia="lv-LV"/>
              </w:rPr>
              <w:t>euro</w:t>
            </w:r>
            <w:proofErr w:type="spellEnd"/>
            <w:r w:rsidRPr="000D53FA">
              <w:rPr>
                <w:sz w:val="24"/>
                <w:lang w:eastAsia="lv-LV"/>
              </w:rPr>
              <w:t xml:space="preserve"> sākot ar 2018.gada 1.janvāri</w:t>
            </w:r>
            <w:r>
              <w:rPr>
                <w:sz w:val="24"/>
                <w:lang w:eastAsia="lv-LV"/>
              </w:rPr>
              <w:t>.</w:t>
            </w:r>
          </w:p>
        </w:tc>
      </w:tr>
      <w:tr w:rsidR="005816B3" w:rsidRPr="00D42CC4" w:rsidTr="00342C2B">
        <w:tc>
          <w:tcPr>
            <w:tcW w:w="444" w:type="pct"/>
            <w:tcBorders>
              <w:top w:val="single" w:sz="4" w:space="0" w:color="auto"/>
              <w:left w:val="single" w:sz="4" w:space="0" w:color="auto"/>
              <w:bottom w:val="single" w:sz="4" w:space="0" w:color="auto"/>
              <w:right w:val="single" w:sz="4" w:space="0" w:color="auto"/>
            </w:tcBorders>
            <w:vAlign w:val="center"/>
          </w:tcPr>
          <w:p w:rsidR="005816B3" w:rsidRPr="00D42CC4" w:rsidRDefault="005816B3" w:rsidP="00342C2B">
            <w:pPr>
              <w:pStyle w:val="naiskr"/>
              <w:ind w:left="180" w:hanging="180"/>
              <w:jc w:val="center"/>
            </w:pPr>
            <w:r>
              <w:t>4</w:t>
            </w:r>
            <w:r w:rsidRPr="00D42CC4">
              <w:t>.</w:t>
            </w:r>
          </w:p>
        </w:tc>
        <w:tc>
          <w:tcPr>
            <w:tcW w:w="1216" w:type="pct"/>
            <w:tcBorders>
              <w:top w:val="single" w:sz="4" w:space="0" w:color="auto"/>
              <w:left w:val="single" w:sz="4" w:space="0" w:color="auto"/>
              <w:bottom w:val="single" w:sz="4" w:space="0" w:color="auto"/>
              <w:right w:val="single" w:sz="4" w:space="0" w:color="auto"/>
            </w:tcBorders>
            <w:vAlign w:val="center"/>
          </w:tcPr>
          <w:p w:rsidR="005816B3" w:rsidRPr="00D42CC4" w:rsidRDefault="005816B3" w:rsidP="00342C2B">
            <w:pPr>
              <w:pStyle w:val="naiskr"/>
              <w:ind w:left="180" w:hanging="10"/>
            </w:pPr>
            <w:r w:rsidRPr="00D42CC4">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5816B3" w:rsidRPr="00D42CC4" w:rsidRDefault="007331E0" w:rsidP="00817D7B">
            <w:pPr>
              <w:jc w:val="both"/>
              <w:rPr>
                <w:iCs/>
                <w:sz w:val="24"/>
              </w:rPr>
            </w:pPr>
            <w:r>
              <w:rPr>
                <w:rFonts w:eastAsia="Batang"/>
                <w:color w:val="000000"/>
                <w:sz w:val="24"/>
                <w:lang w:eastAsia="ko-KR"/>
              </w:rPr>
              <w:t>Nav.</w:t>
            </w:r>
          </w:p>
        </w:tc>
      </w:tr>
    </w:tbl>
    <w:p w:rsidR="00212D76" w:rsidRDefault="00212D76" w:rsidP="00124F71">
      <w:pPr>
        <w:rPr>
          <w:szCs w:val="28"/>
        </w:rPr>
      </w:pPr>
    </w:p>
    <w:p w:rsidR="00265833" w:rsidRPr="00D42CC4" w:rsidRDefault="00265833" w:rsidP="00124F71">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124F71" w:rsidRPr="00D42CC4" w:rsidTr="00342C2B">
        <w:tc>
          <w:tcPr>
            <w:tcW w:w="5000" w:type="pct"/>
            <w:gridSpan w:val="3"/>
            <w:tcBorders>
              <w:top w:val="single" w:sz="4" w:space="0" w:color="auto"/>
              <w:left w:val="single" w:sz="4" w:space="0" w:color="auto"/>
              <w:bottom w:val="single" w:sz="4" w:space="0" w:color="auto"/>
              <w:right w:val="single" w:sz="4" w:space="0" w:color="auto"/>
            </w:tcBorders>
            <w:vAlign w:val="center"/>
          </w:tcPr>
          <w:p w:rsidR="00124F71" w:rsidRPr="0058204F" w:rsidRDefault="00124F71" w:rsidP="00342C2B">
            <w:pPr>
              <w:pStyle w:val="naisnod"/>
              <w:spacing w:before="0" w:after="0"/>
              <w:ind w:left="57" w:right="57"/>
            </w:pPr>
            <w:r w:rsidRPr="0058204F">
              <w:t>II</w:t>
            </w:r>
            <w:r>
              <w:t>.</w:t>
            </w:r>
            <w:r w:rsidRPr="0058204F">
              <w:t xml:space="preserve"> Tiesību akta projekta ietekme uz sabiedrību, tautsaimniecības attīstību</w:t>
            </w:r>
          </w:p>
          <w:p w:rsidR="00124F71" w:rsidRPr="00D42CC4" w:rsidRDefault="00124F71" w:rsidP="00342C2B">
            <w:pPr>
              <w:jc w:val="center"/>
              <w:rPr>
                <w:b/>
                <w:iCs/>
                <w:sz w:val="24"/>
              </w:rPr>
            </w:pPr>
            <w:r w:rsidRPr="0058204F">
              <w:rPr>
                <w:b/>
                <w:sz w:val="24"/>
              </w:rPr>
              <w:t>un administratīvo slogu</w:t>
            </w:r>
          </w:p>
        </w:tc>
      </w:tr>
      <w:tr w:rsidR="00124F71" w:rsidRPr="00D42CC4" w:rsidTr="00342C2B">
        <w:tc>
          <w:tcPr>
            <w:tcW w:w="444" w:type="pct"/>
            <w:tcBorders>
              <w:top w:val="single" w:sz="4" w:space="0" w:color="auto"/>
              <w:left w:val="single" w:sz="4" w:space="0" w:color="auto"/>
              <w:bottom w:val="single" w:sz="4" w:space="0" w:color="auto"/>
              <w:right w:val="single" w:sz="4" w:space="0" w:color="auto"/>
            </w:tcBorders>
            <w:vAlign w:val="center"/>
          </w:tcPr>
          <w:p w:rsidR="00124F71" w:rsidRPr="00D42CC4" w:rsidRDefault="00124F71" w:rsidP="00342C2B">
            <w:pPr>
              <w:pStyle w:val="naiskr"/>
              <w:ind w:left="180" w:hanging="180"/>
              <w:jc w:val="center"/>
            </w:pPr>
            <w:r w:rsidRPr="00D42CC4">
              <w:t>1.</w:t>
            </w:r>
          </w:p>
        </w:tc>
        <w:tc>
          <w:tcPr>
            <w:tcW w:w="1216" w:type="pct"/>
            <w:tcBorders>
              <w:top w:val="single" w:sz="4" w:space="0" w:color="auto"/>
              <w:left w:val="single" w:sz="4" w:space="0" w:color="auto"/>
              <w:bottom w:val="single" w:sz="4" w:space="0" w:color="auto"/>
              <w:right w:val="single" w:sz="4" w:space="0" w:color="auto"/>
            </w:tcBorders>
            <w:vAlign w:val="center"/>
          </w:tcPr>
          <w:p w:rsidR="00124F71" w:rsidRPr="00D42CC4" w:rsidRDefault="00124F71" w:rsidP="00342C2B">
            <w:pPr>
              <w:pStyle w:val="naiskr"/>
              <w:ind w:left="180" w:hanging="10"/>
            </w:pPr>
            <w:r w:rsidRPr="00DD49B6">
              <w:t>Sabiedrības mērķgrupas, kuras tiesiskais regulējums ietekmē vai varētu ietekmēt</w:t>
            </w:r>
          </w:p>
        </w:tc>
        <w:tc>
          <w:tcPr>
            <w:tcW w:w="3340" w:type="pct"/>
            <w:tcBorders>
              <w:top w:val="single" w:sz="4" w:space="0" w:color="auto"/>
              <w:left w:val="single" w:sz="4" w:space="0" w:color="auto"/>
              <w:bottom w:val="single" w:sz="4" w:space="0" w:color="auto"/>
              <w:right w:val="single" w:sz="4" w:space="0" w:color="auto"/>
            </w:tcBorders>
            <w:vAlign w:val="center"/>
          </w:tcPr>
          <w:p w:rsidR="00124F71" w:rsidRPr="00124129" w:rsidRDefault="00124F71" w:rsidP="00342C2B">
            <w:pPr>
              <w:jc w:val="both"/>
              <w:rPr>
                <w:sz w:val="24"/>
                <w:u w:val="single"/>
              </w:rPr>
            </w:pPr>
            <w:r w:rsidRPr="00124129">
              <w:rPr>
                <w:sz w:val="24"/>
                <w:u w:val="single"/>
              </w:rPr>
              <w:t>Darba ņēmēji:</w:t>
            </w:r>
          </w:p>
          <w:p w:rsidR="00124F71" w:rsidRPr="004A45D7" w:rsidRDefault="00124F71" w:rsidP="00342C2B">
            <w:pPr>
              <w:jc w:val="both"/>
              <w:rPr>
                <w:sz w:val="24"/>
              </w:rPr>
            </w:pPr>
            <w:r w:rsidRPr="00423EBD">
              <w:rPr>
                <w:sz w:val="24"/>
              </w:rPr>
              <w:t xml:space="preserve">Līdz 2009.gadam </w:t>
            </w:r>
            <w:r>
              <w:rPr>
                <w:sz w:val="24"/>
              </w:rPr>
              <w:t xml:space="preserve">Centrālā statistikas pārvalde (turpmāk – </w:t>
            </w:r>
            <w:r w:rsidRPr="00423EBD">
              <w:rPr>
                <w:sz w:val="24"/>
              </w:rPr>
              <w:t>CSP</w:t>
            </w:r>
            <w:r>
              <w:rPr>
                <w:sz w:val="24"/>
              </w:rPr>
              <w:t>)</w:t>
            </w:r>
            <w:r w:rsidRPr="00423EBD">
              <w:rPr>
                <w:sz w:val="24"/>
              </w:rPr>
              <w:t xml:space="preserve"> sniedza Labklājības ministrijai datus par darbinieku skaita sadalījumu pēc </w:t>
            </w:r>
            <w:r w:rsidRPr="00423EBD">
              <w:rPr>
                <w:i/>
                <w:sz w:val="24"/>
              </w:rPr>
              <w:t>mēneša bruto darba samaksas apmēra</w:t>
            </w:r>
            <w:r w:rsidRPr="00423EBD">
              <w:rPr>
                <w:sz w:val="24"/>
              </w:rPr>
              <w:t xml:space="preserve">, to salīdzinot ar minimālo mēneša darba algu. </w:t>
            </w:r>
            <w:r w:rsidRPr="00423EBD">
              <w:rPr>
                <w:bCs/>
                <w:sz w:val="24"/>
                <w:u w:val="single"/>
              </w:rPr>
              <w:t>CSP vairs minētos datus nevāc un neapkopo.</w:t>
            </w:r>
            <w:r w:rsidRPr="00423EBD">
              <w:rPr>
                <w:bCs/>
                <w:sz w:val="24"/>
              </w:rPr>
              <w:t xml:space="preserve"> Tā vietā CSP var sniegt līdzvērtīgus datus par darba ņēmēju skaita sadalījumu pēc </w:t>
            </w:r>
            <w:r w:rsidRPr="00423EBD">
              <w:rPr>
                <w:bCs/>
                <w:i/>
                <w:sz w:val="24"/>
              </w:rPr>
              <w:t>mēneša bruto darba ienākumiem</w:t>
            </w:r>
            <w:r w:rsidRPr="00423EBD">
              <w:rPr>
                <w:bCs/>
                <w:sz w:val="24"/>
              </w:rPr>
              <w:t>,</w:t>
            </w:r>
            <w:r w:rsidRPr="00423EBD">
              <w:rPr>
                <w:sz w:val="24"/>
              </w:rPr>
              <w:t xml:space="preserve"> to salīdzinot ar minimālo mēneša darba algu. </w:t>
            </w:r>
            <w:r w:rsidRPr="004A45D7">
              <w:rPr>
                <w:sz w:val="24"/>
              </w:rPr>
              <w:t>Dati par darba ņēmēju skaita sadalījumu pēc darba ienākumiem iegūti, apkopojot Valsts ieņēmumu dienestā iesniegtos darba devēju ziņojumus par valsts sociālās apdrošināšanas obligātajām iemaksām no darba ņēmēju darba ienākumiem, iedzīvotāju ienākuma nodokli un uzņēmējdarbības riska valsts nodevu pārskata mēnesī „Ziņojums par valsts sociālās apdrošināšanas obligātajām iemaksām no darba ņēmēju darba ienākumiem, iedzīvotāju ienākuma nodokli un uzņēmējdarbības riska valsts nodevu pārskata mēnesī”.</w:t>
            </w:r>
            <w:r>
              <w:rPr>
                <w:sz w:val="24"/>
              </w:rPr>
              <w:t xml:space="preserve"> </w:t>
            </w:r>
            <w:r w:rsidRPr="004A45D7">
              <w:rPr>
                <w:sz w:val="24"/>
              </w:rPr>
              <w:t xml:space="preserve">Tā kā pēc darba devēju ikmēneša ziņojumiem par katru darba ņēmēju nevar noteikt, vai viņš strādā normālo vai nepilnu darba laiku, darba ņēmēju skaitā iekļauti visi darba ņēmēji, kuriem pārskata periodā aprēķināti darba ienākumi, neskatoties uz nostrādāto stundu skaitu. </w:t>
            </w:r>
            <w:r w:rsidR="00896FAA" w:rsidRPr="004A45D7">
              <w:rPr>
                <w:sz w:val="24"/>
              </w:rPr>
              <w:t>Turklāt</w:t>
            </w:r>
            <w:r w:rsidRPr="004A45D7">
              <w:rPr>
                <w:sz w:val="24"/>
              </w:rPr>
              <w:t>, viena persona iekļauta tikai vienu reizi, summējot ienākumus pie visiem darba devējiem.</w:t>
            </w:r>
          </w:p>
          <w:p w:rsidR="005C32ED" w:rsidRPr="005326E0" w:rsidRDefault="00FF46E3" w:rsidP="005C32ED">
            <w:pPr>
              <w:jc w:val="both"/>
              <w:rPr>
                <w:sz w:val="24"/>
              </w:rPr>
            </w:pPr>
            <w:r>
              <w:rPr>
                <w:sz w:val="24"/>
              </w:rPr>
              <w:lastRenderedPageBreak/>
              <w:t>Pēdējie CSP statistikas dati u</w:t>
            </w:r>
            <w:r w:rsidR="005C32ED">
              <w:rPr>
                <w:sz w:val="24"/>
              </w:rPr>
              <w:t xml:space="preserve">z </w:t>
            </w:r>
            <w:r w:rsidR="005C32ED" w:rsidRPr="005326E0">
              <w:rPr>
                <w:sz w:val="24"/>
              </w:rPr>
              <w:t>201</w:t>
            </w:r>
            <w:r w:rsidR="007C22E5">
              <w:rPr>
                <w:sz w:val="24"/>
              </w:rPr>
              <w:t>7</w:t>
            </w:r>
            <w:r w:rsidR="005C32ED" w:rsidRPr="005326E0">
              <w:rPr>
                <w:sz w:val="24"/>
              </w:rPr>
              <w:t xml:space="preserve">.gada </w:t>
            </w:r>
            <w:r w:rsidR="00E641C2">
              <w:rPr>
                <w:sz w:val="24"/>
              </w:rPr>
              <w:t>martu</w:t>
            </w:r>
            <w:r>
              <w:rPr>
                <w:sz w:val="24"/>
              </w:rPr>
              <w:t>:</w:t>
            </w:r>
            <w:r w:rsidR="00F8483A">
              <w:rPr>
                <w:sz w:val="24"/>
              </w:rPr>
              <w:t xml:space="preserve"> </w:t>
            </w:r>
            <w:r w:rsidR="00F8483A" w:rsidRPr="005326E0">
              <w:rPr>
                <w:sz w:val="24"/>
              </w:rPr>
              <w:t>–</w:t>
            </w:r>
            <w:r w:rsidR="00F8483A">
              <w:rPr>
                <w:sz w:val="24"/>
              </w:rPr>
              <w:t xml:space="preserve"> d</w:t>
            </w:r>
            <w:r w:rsidR="005C32ED" w:rsidRPr="005326E0">
              <w:rPr>
                <w:sz w:val="24"/>
              </w:rPr>
              <w:t xml:space="preserve">arba ņēmēju skaits, kuriem darba ienākumi </w:t>
            </w:r>
            <w:r w:rsidR="005C32ED">
              <w:rPr>
                <w:sz w:val="24"/>
              </w:rPr>
              <w:t xml:space="preserve">ir </w:t>
            </w:r>
            <w:r w:rsidR="005C32ED" w:rsidRPr="005326E0">
              <w:rPr>
                <w:sz w:val="24"/>
              </w:rPr>
              <w:t xml:space="preserve">minimālās mēneša darba algas apmērā </w:t>
            </w:r>
            <w:r w:rsidR="005C32ED">
              <w:rPr>
                <w:sz w:val="24"/>
              </w:rPr>
              <w:t>3</w:t>
            </w:r>
            <w:r w:rsidR="007C22E5">
              <w:rPr>
                <w:sz w:val="24"/>
              </w:rPr>
              <w:t>8</w:t>
            </w:r>
            <w:r w:rsidR="005C32ED">
              <w:rPr>
                <w:sz w:val="24"/>
              </w:rPr>
              <w:t xml:space="preserve">0 </w:t>
            </w:r>
            <w:proofErr w:type="spellStart"/>
            <w:r w:rsidR="005C32ED" w:rsidRPr="00F61081">
              <w:rPr>
                <w:i/>
                <w:sz w:val="24"/>
              </w:rPr>
              <w:t>euro</w:t>
            </w:r>
            <w:proofErr w:type="spellEnd"/>
            <w:r w:rsidR="005C32ED" w:rsidRPr="005326E0">
              <w:rPr>
                <w:sz w:val="24"/>
              </w:rPr>
              <w:t xml:space="preserve"> un mazāk</w:t>
            </w:r>
            <w:r w:rsidR="005C32ED">
              <w:rPr>
                <w:sz w:val="24"/>
              </w:rPr>
              <w:t>,</w:t>
            </w:r>
            <w:r w:rsidR="005C32ED" w:rsidRPr="005326E0">
              <w:rPr>
                <w:sz w:val="24"/>
              </w:rPr>
              <w:t xml:space="preserve"> bija </w:t>
            </w:r>
            <w:r>
              <w:rPr>
                <w:b/>
                <w:sz w:val="24"/>
              </w:rPr>
              <w:t>1</w:t>
            </w:r>
            <w:r w:rsidR="00E641C2">
              <w:rPr>
                <w:b/>
                <w:sz w:val="24"/>
              </w:rPr>
              <w:t>62</w:t>
            </w:r>
            <w:r>
              <w:rPr>
                <w:b/>
                <w:sz w:val="24"/>
              </w:rPr>
              <w:t>,</w:t>
            </w:r>
            <w:r w:rsidR="007C22E5">
              <w:rPr>
                <w:b/>
                <w:sz w:val="24"/>
              </w:rPr>
              <w:t>7</w:t>
            </w:r>
            <w:r>
              <w:rPr>
                <w:b/>
                <w:sz w:val="24"/>
              </w:rPr>
              <w:t> </w:t>
            </w:r>
            <w:r w:rsidR="005C32ED" w:rsidRPr="005326E0">
              <w:rPr>
                <w:b/>
                <w:sz w:val="24"/>
              </w:rPr>
              <w:t>tūkst. cilvēku</w:t>
            </w:r>
            <w:r w:rsidR="005C32ED" w:rsidRPr="005326E0">
              <w:rPr>
                <w:bCs/>
                <w:sz w:val="24"/>
              </w:rPr>
              <w:t>,</w:t>
            </w:r>
            <w:r w:rsidR="005C32ED" w:rsidRPr="005326E0">
              <w:rPr>
                <w:sz w:val="24"/>
              </w:rPr>
              <w:t xml:space="preserve"> tai skaitā privātajā sektorā – </w:t>
            </w:r>
            <w:r>
              <w:rPr>
                <w:b/>
                <w:sz w:val="24"/>
              </w:rPr>
              <w:t>1</w:t>
            </w:r>
            <w:r w:rsidR="00E641C2">
              <w:rPr>
                <w:b/>
                <w:sz w:val="24"/>
              </w:rPr>
              <w:t>3</w:t>
            </w:r>
            <w:r w:rsidR="007C22E5">
              <w:rPr>
                <w:b/>
                <w:sz w:val="24"/>
              </w:rPr>
              <w:t>1</w:t>
            </w:r>
            <w:r>
              <w:rPr>
                <w:b/>
                <w:sz w:val="24"/>
              </w:rPr>
              <w:t>,</w:t>
            </w:r>
            <w:r w:rsidR="007C22E5">
              <w:rPr>
                <w:b/>
                <w:sz w:val="24"/>
              </w:rPr>
              <w:t>2</w:t>
            </w:r>
            <w:r>
              <w:rPr>
                <w:b/>
                <w:sz w:val="24"/>
              </w:rPr>
              <w:t> </w:t>
            </w:r>
            <w:r w:rsidR="005C32ED" w:rsidRPr="005326E0">
              <w:rPr>
                <w:b/>
                <w:sz w:val="24"/>
              </w:rPr>
              <w:t xml:space="preserve">tūkst. </w:t>
            </w:r>
            <w:r w:rsidRPr="005326E0">
              <w:rPr>
                <w:b/>
                <w:sz w:val="24"/>
              </w:rPr>
              <w:t>cilvēku</w:t>
            </w:r>
            <w:r w:rsidRPr="005326E0">
              <w:rPr>
                <w:sz w:val="24"/>
              </w:rPr>
              <w:t xml:space="preserve"> </w:t>
            </w:r>
            <w:r w:rsidR="005C32ED" w:rsidRPr="005326E0">
              <w:rPr>
                <w:sz w:val="24"/>
              </w:rPr>
              <w:t xml:space="preserve">un sabiedriskajā sektorā – </w:t>
            </w:r>
            <w:r w:rsidR="00E641C2">
              <w:rPr>
                <w:b/>
                <w:sz w:val="24"/>
              </w:rPr>
              <w:t>29</w:t>
            </w:r>
            <w:r>
              <w:rPr>
                <w:b/>
                <w:sz w:val="24"/>
              </w:rPr>
              <w:t>,</w:t>
            </w:r>
            <w:r w:rsidR="00E641C2">
              <w:rPr>
                <w:b/>
                <w:sz w:val="24"/>
              </w:rPr>
              <w:t>1</w:t>
            </w:r>
            <w:r w:rsidR="005C32ED" w:rsidRPr="005326E0">
              <w:rPr>
                <w:b/>
                <w:sz w:val="24"/>
              </w:rPr>
              <w:t xml:space="preserve"> tūkst.</w:t>
            </w:r>
            <w:r w:rsidR="005C32ED" w:rsidRPr="005326E0">
              <w:rPr>
                <w:sz w:val="24"/>
              </w:rPr>
              <w:t xml:space="preserve"> </w:t>
            </w:r>
            <w:r>
              <w:rPr>
                <w:sz w:val="24"/>
              </w:rPr>
              <w:t>c</w:t>
            </w:r>
            <w:r w:rsidRPr="005326E0">
              <w:rPr>
                <w:b/>
                <w:sz w:val="24"/>
              </w:rPr>
              <w:t>ilvēku</w:t>
            </w:r>
            <w:r>
              <w:rPr>
                <w:sz w:val="24"/>
              </w:rPr>
              <w:t xml:space="preserve">. </w:t>
            </w:r>
            <w:r w:rsidR="005C32ED">
              <w:rPr>
                <w:sz w:val="24"/>
              </w:rPr>
              <w:t>Savukārt</w:t>
            </w:r>
            <w:r w:rsidR="005C32ED" w:rsidRPr="005326E0">
              <w:rPr>
                <w:sz w:val="24"/>
              </w:rPr>
              <w:t xml:space="preserve"> darba ņēmēju skaits, kuriem darba ienākumi bija tieši minimālās mēneša darba algas apmērā</w:t>
            </w:r>
            <w:r w:rsidR="005C32ED">
              <w:rPr>
                <w:sz w:val="24"/>
              </w:rPr>
              <w:t xml:space="preserve">, uz </w:t>
            </w:r>
            <w:r w:rsidR="005C32ED" w:rsidRPr="005326E0">
              <w:rPr>
                <w:sz w:val="24"/>
              </w:rPr>
              <w:t>201</w:t>
            </w:r>
            <w:r w:rsidR="007C22E5">
              <w:rPr>
                <w:sz w:val="24"/>
              </w:rPr>
              <w:t>7</w:t>
            </w:r>
            <w:r w:rsidR="005C32ED" w:rsidRPr="005326E0">
              <w:rPr>
                <w:sz w:val="24"/>
              </w:rPr>
              <w:t xml:space="preserve">.gada </w:t>
            </w:r>
            <w:r w:rsidR="00E641C2">
              <w:rPr>
                <w:sz w:val="24"/>
              </w:rPr>
              <w:t>martā</w:t>
            </w:r>
            <w:r w:rsidR="005C32ED" w:rsidRPr="005326E0">
              <w:rPr>
                <w:sz w:val="24"/>
              </w:rPr>
              <w:t xml:space="preserve"> bija </w:t>
            </w:r>
            <w:r w:rsidR="00E641C2">
              <w:rPr>
                <w:sz w:val="24"/>
              </w:rPr>
              <w:t>29</w:t>
            </w:r>
            <w:r>
              <w:rPr>
                <w:sz w:val="24"/>
              </w:rPr>
              <w:t>,</w:t>
            </w:r>
            <w:r w:rsidR="00E641C2">
              <w:rPr>
                <w:sz w:val="24"/>
              </w:rPr>
              <w:t>6</w:t>
            </w:r>
            <w:r w:rsidR="001E16F0">
              <w:rPr>
                <w:sz w:val="24"/>
              </w:rPr>
              <w:t> </w:t>
            </w:r>
            <w:r w:rsidR="005C32ED" w:rsidRPr="005326E0">
              <w:rPr>
                <w:sz w:val="24"/>
              </w:rPr>
              <w:t>tūkst</w:t>
            </w:r>
            <w:r>
              <w:rPr>
                <w:sz w:val="24"/>
              </w:rPr>
              <w:t>. cilvēku</w:t>
            </w:r>
            <w:r w:rsidR="005C32ED" w:rsidRPr="005326E0">
              <w:rPr>
                <w:sz w:val="24"/>
              </w:rPr>
              <w:t xml:space="preserve">, tai skaitā privātajā sektorā – </w:t>
            </w:r>
            <w:r w:rsidR="00E641C2">
              <w:rPr>
                <w:sz w:val="24"/>
              </w:rPr>
              <w:t>23</w:t>
            </w:r>
            <w:r>
              <w:rPr>
                <w:sz w:val="24"/>
              </w:rPr>
              <w:t>,</w:t>
            </w:r>
            <w:r w:rsidR="00E641C2">
              <w:rPr>
                <w:sz w:val="24"/>
              </w:rPr>
              <w:t>4</w:t>
            </w:r>
            <w:r w:rsidR="005C32ED" w:rsidRPr="005326E0">
              <w:rPr>
                <w:sz w:val="24"/>
              </w:rPr>
              <w:t xml:space="preserve"> tūkst.</w:t>
            </w:r>
            <w:r>
              <w:rPr>
                <w:sz w:val="24"/>
              </w:rPr>
              <w:t xml:space="preserve"> cilvēku</w:t>
            </w:r>
            <w:r w:rsidR="005C32ED">
              <w:rPr>
                <w:sz w:val="24"/>
              </w:rPr>
              <w:t xml:space="preserve"> </w:t>
            </w:r>
            <w:r w:rsidR="005C32ED" w:rsidRPr="005326E0">
              <w:rPr>
                <w:sz w:val="24"/>
              </w:rPr>
              <w:t xml:space="preserve">un sabiedriskajā sektorā – </w:t>
            </w:r>
            <w:r w:rsidR="00E641C2">
              <w:rPr>
                <w:sz w:val="24"/>
              </w:rPr>
              <w:t>5</w:t>
            </w:r>
            <w:r>
              <w:rPr>
                <w:sz w:val="24"/>
              </w:rPr>
              <w:t>,</w:t>
            </w:r>
            <w:r w:rsidR="00E641C2">
              <w:rPr>
                <w:sz w:val="24"/>
              </w:rPr>
              <w:t>8</w:t>
            </w:r>
            <w:r>
              <w:rPr>
                <w:sz w:val="24"/>
              </w:rPr>
              <w:t> </w:t>
            </w:r>
            <w:r w:rsidR="005C32ED" w:rsidRPr="005326E0">
              <w:rPr>
                <w:sz w:val="24"/>
              </w:rPr>
              <w:t>tūkst</w:t>
            </w:r>
            <w:r>
              <w:rPr>
                <w:sz w:val="24"/>
              </w:rPr>
              <w:t xml:space="preserve"> cilvēku</w:t>
            </w:r>
            <w:r w:rsidR="005C32ED" w:rsidRPr="005326E0">
              <w:rPr>
                <w:sz w:val="24"/>
              </w:rPr>
              <w:t>.</w:t>
            </w:r>
          </w:p>
          <w:p w:rsidR="00124F71" w:rsidRDefault="00124F71" w:rsidP="00342C2B">
            <w:pPr>
              <w:jc w:val="both"/>
              <w:rPr>
                <w:sz w:val="24"/>
              </w:rPr>
            </w:pPr>
          </w:p>
          <w:p w:rsidR="00124F71" w:rsidRPr="00124129" w:rsidRDefault="00124F71" w:rsidP="00342C2B">
            <w:pPr>
              <w:jc w:val="both"/>
              <w:rPr>
                <w:sz w:val="24"/>
                <w:u w:val="single"/>
              </w:rPr>
            </w:pPr>
            <w:r w:rsidRPr="00124129">
              <w:rPr>
                <w:sz w:val="24"/>
                <w:u w:val="single"/>
              </w:rPr>
              <w:t>Darba devēji:</w:t>
            </w:r>
          </w:p>
          <w:p w:rsidR="00124F71" w:rsidRDefault="00124F71" w:rsidP="00342C2B">
            <w:pPr>
              <w:jc w:val="both"/>
              <w:rPr>
                <w:iCs/>
                <w:sz w:val="24"/>
              </w:rPr>
            </w:pPr>
            <w:r>
              <w:rPr>
                <w:iCs/>
                <w:sz w:val="24"/>
              </w:rPr>
              <w:t>Noteikumi attiecas arī uz darba devējiem. Saskaņā ar CSP pielietoto metodoloģiju nav konkrēti aprēķināms darba devēju skaits, kas nodarbina darbiniekus un nosaka tiem algu minimālās mēneša darba algas apmērā.</w:t>
            </w:r>
          </w:p>
          <w:p w:rsidR="00E15F32" w:rsidRDefault="00E15F32" w:rsidP="00342C2B">
            <w:pPr>
              <w:jc w:val="both"/>
              <w:rPr>
                <w:sz w:val="24"/>
              </w:rPr>
            </w:pPr>
          </w:p>
          <w:p w:rsidR="00E15F32" w:rsidRPr="00E15F32" w:rsidRDefault="00E15F32" w:rsidP="00342C2B">
            <w:pPr>
              <w:jc w:val="both"/>
              <w:rPr>
                <w:iCs/>
                <w:sz w:val="24"/>
              </w:rPr>
            </w:pPr>
            <w:r w:rsidRPr="00E15F32">
              <w:rPr>
                <w:sz w:val="24"/>
              </w:rPr>
              <w:t>Minimālā mēneša darba alga tiek ņemta vērā kā mērs arī</w:t>
            </w:r>
            <w:r>
              <w:rPr>
                <w:sz w:val="24"/>
              </w:rPr>
              <w:t xml:space="preserve"> dažādās tiesiskajās situācijās </w:t>
            </w:r>
            <w:r w:rsidRPr="00E15F32">
              <w:rPr>
                <w:sz w:val="24"/>
              </w:rPr>
              <w:t>– piemēram, nosakot minimālos uzturlīdzekļus bērnam vai izmaksājot tos no Uzturlīdzekļu garantiju fonda, sodu sistēmā, personas materiālā stāvokļa noteikšanā, zaudējumu apmēra noteikšanā, pabalstu un kompensāciju noteikšanā</w:t>
            </w:r>
            <w:r>
              <w:rPr>
                <w:sz w:val="24"/>
              </w:rPr>
              <w:t>.</w:t>
            </w:r>
          </w:p>
        </w:tc>
      </w:tr>
      <w:tr w:rsidR="00124F71" w:rsidRPr="00D42CC4" w:rsidTr="00342C2B">
        <w:tc>
          <w:tcPr>
            <w:tcW w:w="444" w:type="pct"/>
            <w:tcBorders>
              <w:top w:val="single" w:sz="4" w:space="0" w:color="auto"/>
              <w:left w:val="single" w:sz="4" w:space="0" w:color="auto"/>
              <w:bottom w:val="single" w:sz="4" w:space="0" w:color="auto"/>
              <w:right w:val="single" w:sz="4" w:space="0" w:color="auto"/>
            </w:tcBorders>
            <w:vAlign w:val="center"/>
          </w:tcPr>
          <w:p w:rsidR="00124F71" w:rsidRPr="00D42CC4" w:rsidRDefault="00124F71" w:rsidP="00342C2B">
            <w:pPr>
              <w:pStyle w:val="naiskr"/>
              <w:spacing w:before="0" w:after="0"/>
              <w:ind w:left="180" w:hanging="180"/>
              <w:jc w:val="center"/>
            </w:pPr>
            <w:r w:rsidRPr="00D42CC4">
              <w:lastRenderedPageBreak/>
              <w:t>2.</w:t>
            </w:r>
          </w:p>
        </w:tc>
        <w:tc>
          <w:tcPr>
            <w:tcW w:w="1216" w:type="pct"/>
            <w:tcBorders>
              <w:top w:val="single" w:sz="4" w:space="0" w:color="auto"/>
              <w:left w:val="single" w:sz="4" w:space="0" w:color="auto"/>
              <w:bottom w:val="single" w:sz="4" w:space="0" w:color="auto"/>
              <w:right w:val="single" w:sz="4" w:space="0" w:color="auto"/>
            </w:tcBorders>
            <w:vAlign w:val="center"/>
          </w:tcPr>
          <w:p w:rsidR="00124F71" w:rsidRPr="00D42CC4" w:rsidRDefault="00124F71" w:rsidP="00342C2B">
            <w:pPr>
              <w:pStyle w:val="naiskr"/>
              <w:spacing w:before="0" w:after="0"/>
              <w:ind w:left="180" w:hanging="10"/>
            </w:pPr>
            <w:r w:rsidRPr="00DD49B6">
              <w:t>Tiesiskā regulējuma ietekme uz tautsaimniecību un administratīvo slogu</w:t>
            </w:r>
          </w:p>
        </w:tc>
        <w:tc>
          <w:tcPr>
            <w:tcW w:w="3340" w:type="pct"/>
            <w:tcBorders>
              <w:top w:val="single" w:sz="4" w:space="0" w:color="auto"/>
              <w:left w:val="single" w:sz="4" w:space="0" w:color="auto"/>
              <w:bottom w:val="single" w:sz="4" w:space="0" w:color="auto"/>
              <w:right w:val="single" w:sz="4" w:space="0" w:color="auto"/>
            </w:tcBorders>
            <w:vAlign w:val="center"/>
          </w:tcPr>
          <w:p w:rsidR="00212D76" w:rsidRPr="00A249A4" w:rsidRDefault="00212D76" w:rsidP="00212D76">
            <w:pPr>
              <w:jc w:val="both"/>
              <w:rPr>
                <w:sz w:val="24"/>
              </w:rPr>
            </w:pPr>
            <w:r w:rsidRPr="00A249A4">
              <w:rPr>
                <w:sz w:val="24"/>
              </w:rPr>
              <w:t xml:space="preserve">Paaugstinot minimālo mēneša darba algu, pieaugs darba devēju izdevumi darbinieku darba algas paaugstināšanai (no darbinieku darba algas 430 </w:t>
            </w:r>
            <w:proofErr w:type="spellStart"/>
            <w:r w:rsidRPr="00A249A4">
              <w:rPr>
                <w:i/>
                <w:sz w:val="24"/>
              </w:rPr>
              <w:t>euro</w:t>
            </w:r>
            <w:proofErr w:type="spellEnd"/>
            <w:r w:rsidRPr="00A249A4">
              <w:rPr>
                <w:sz w:val="24"/>
              </w:rPr>
              <w:t xml:space="preserve"> apmērā darba devējam paaugstināsies nodokļu maksājumi – sociālās apdrošināšanas iemaksas (24,09%) par 13,95 </w:t>
            </w:r>
            <w:proofErr w:type="spellStart"/>
            <w:r w:rsidRPr="00A249A4">
              <w:rPr>
                <w:i/>
                <w:sz w:val="24"/>
              </w:rPr>
              <w:t>euro</w:t>
            </w:r>
            <w:proofErr w:type="spellEnd"/>
            <w:r w:rsidRPr="00A249A4">
              <w:rPr>
                <w:sz w:val="24"/>
              </w:rPr>
              <w:t xml:space="preserve"> un papildus darba algas izmaksas darbiniekam – par 50,00 </w:t>
            </w:r>
            <w:proofErr w:type="spellStart"/>
            <w:r w:rsidRPr="00A249A4">
              <w:rPr>
                <w:i/>
                <w:sz w:val="24"/>
              </w:rPr>
              <w:t>euro</w:t>
            </w:r>
            <w:proofErr w:type="spellEnd"/>
            <w:r w:rsidRPr="00A249A4">
              <w:rPr>
                <w:sz w:val="24"/>
              </w:rPr>
              <w:t>).</w:t>
            </w:r>
          </w:p>
          <w:p w:rsidR="00212D76" w:rsidRPr="00A249A4" w:rsidRDefault="00212D76" w:rsidP="00212D76">
            <w:pPr>
              <w:jc w:val="both"/>
              <w:rPr>
                <w:bCs/>
                <w:sz w:val="24"/>
                <w:lang w:eastAsia="lv-LV"/>
              </w:rPr>
            </w:pPr>
            <w:r w:rsidRPr="00A249A4">
              <w:rPr>
                <w:bCs/>
                <w:sz w:val="24"/>
                <w:lang w:eastAsia="lv-LV"/>
              </w:rPr>
              <w:t xml:space="preserve">Darba devēja darbaspēka izmaksas pieaugs tikai par tiem darbiniekiem, kuriem </w:t>
            </w:r>
            <w:proofErr w:type="spellStart"/>
            <w:r w:rsidRPr="00A249A4">
              <w:rPr>
                <w:bCs/>
                <w:sz w:val="24"/>
                <w:lang w:eastAsia="lv-LV"/>
              </w:rPr>
              <w:t>patreiz</w:t>
            </w:r>
            <w:proofErr w:type="spellEnd"/>
            <w:r w:rsidRPr="00A249A4">
              <w:rPr>
                <w:bCs/>
                <w:sz w:val="24"/>
                <w:lang w:eastAsia="lv-LV"/>
              </w:rPr>
              <w:t xml:space="preserve"> ir minimālā mēneša darba alga (380 </w:t>
            </w:r>
            <w:proofErr w:type="spellStart"/>
            <w:r w:rsidRPr="00A249A4">
              <w:rPr>
                <w:bCs/>
                <w:i/>
                <w:sz w:val="24"/>
                <w:lang w:eastAsia="lv-LV"/>
              </w:rPr>
              <w:t>euro</w:t>
            </w:r>
            <w:proofErr w:type="spellEnd"/>
            <w:r w:rsidRPr="00A249A4">
              <w:rPr>
                <w:bCs/>
                <w:sz w:val="24"/>
                <w:lang w:eastAsia="lv-LV"/>
              </w:rPr>
              <w:t>/</w:t>
            </w:r>
            <w:proofErr w:type="spellStart"/>
            <w:r w:rsidRPr="00A249A4">
              <w:rPr>
                <w:bCs/>
                <w:sz w:val="24"/>
                <w:lang w:eastAsia="lv-LV"/>
              </w:rPr>
              <w:t>mēn</w:t>
            </w:r>
            <w:proofErr w:type="spellEnd"/>
            <w:r w:rsidRPr="00A249A4">
              <w:rPr>
                <w:bCs/>
                <w:sz w:val="24"/>
                <w:lang w:eastAsia="lv-LV"/>
              </w:rPr>
              <w:t xml:space="preserve">.) vai alga zemāka par nodokļu reformā noteikto minimālo mēneša darba algu (430 </w:t>
            </w:r>
            <w:proofErr w:type="spellStart"/>
            <w:r w:rsidRPr="00A249A4">
              <w:rPr>
                <w:bCs/>
                <w:i/>
                <w:sz w:val="24"/>
                <w:lang w:eastAsia="lv-LV"/>
              </w:rPr>
              <w:t>euro</w:t>
            </w:r>
            <w:proofErr w:type="spellEnd"/>
            <w:r w:rsidRPr="00A249A4">
              <w:rPr>
                <w:bCs/>
                <w:sz w:val="24"/>
                <w:lang w:eastAsia="lv-LV"/>
              </w:rPr>
              <w:t>/</w:t>
            </w:r>
            <w:proofErr w:type="spellStart"/>
            <w:r w:rsidRPr="00A249A4">
              <w:rPr>
                <w:bCs/>
                <w:sz w:val="24"/>
                <w:lang w:eastAsia="lv-LV"/>
              </w:rPr>
              <w:t>mēn</w:t>
            </w:r>
            <w:proofErr w:type="spellEnd"/>
            <w:r w:rsidRPr="00A249A4">
              <w:rPr>
                <w:bCs/>
                <w:sz w:val="24"/>
                <w:lang w:eastAsia="lv-LV"/>
              </w:rPr>
              <w:t>.). Savukārt darbinieks, kuram palielināsies darba alga no 380 </w:t>
            </w:r>
            <w:proofErr w:type="spellStart"/>
            <w:r w:rsidRPr="00A249A4">
              <w:rPr>
                <w:bCs/>
                <w:i/>
                <w:sz w:val="24"/>
                <w:lang w:eastAsia="lv-LV"/>
              </w:rPr>
              <w:t>euro</w:t>
            </w:r>
            <w:proofErr w:type="spellEnd"/>
            <w:r w:rsidRPr="00A249A4">
              <w:rPr>
                <w:bCs/>
                <w:sz w:val="24"/>
                <w:lang w:eastAsia="lv-LV"/>
              </w:rPr>
              <w:t xml:space="preserve"> mēnesī līdz 430 </w:t>
            </w:r>
            <w:proofErr w:type="spellStart"/>
            <w:r w:rsidRPr="00A249A4">
              <w:rPr>
                <w:bCs/>
                <w:i/>
                <w:sz w:val="24"/>
                <w:lang w:eastAsia="lv-LV"/>
              </w:rPr>
              <w:t>euro</w:t>
            </w:r>
            <w:proofErr w:type="spellEnd"/>
            <w:r w:rsidRPr="00A249A4">
              <w:rPr>
                <w:bCs/>
                <w:sz w:val="24"/>
                <w:lang w:eastAsia="lv-LV"/>
              </w:rPr>
              <w:t xml:space="preserve"> mēnesī, iegūs par 57,83 </w:t>
            </w:r>
            <w:proofErr w:type="spellStart"/>
            <w:r w:rsidRPr="00A249A4">
              <w:rPr>
                <w:bCs/>
                <w:i/>
                <w:sz w:val="24"/>
                <w:lang w:eastAsia="lv-LV"/>
              </w:rPr>
              <w:t>euro</w:t>
            </w:r>
            <w:proofErr w:type="spellEnd"/>
            <w:r w:rsidRPr="00A249A4">
              <w:rPr>
                <w:bCs/>
                <w:sz w:val="24"/>
                <w:lang w:eastAsia="lv-LV"/>
              </w:rPr>
              <w:t xml:space="preserve"> mēnesī vairāk “uz rokas” (aprēķins strādājošajam bez apgādājamajām personām).</w:t>
            </w:r>
          </w:p>
          <w:p w:rsidR="00A249A4" w:rsidRPr="00A249A4" w:rsidRDefault="006D1FC8" w:rsidP="00212D76">
            <w:pPr>
              <w:jc w:val="both"/>
              <w:rPr>
                <w:bCs/>
                <w:sz w:val="24"/>
                <w:lang w:eastAsia="lv-LV"/>
              </w:rPr>
            </w:pPr>
            <w:r>
              <w:rPr>
                <w:bCs/>
                <w:sz w:val="24"/>
                <w:lang w:eastAsia="lv-LV"/>
              </w:rPr>
              <w:t>Minimālās mēneša darba algas paaugstināšana ietekmē tautsaimniecības attīstību un a</w:t>
            </w:r>
            <w:r w:rsidR="00A249A4" w:rsidRPr="00A249A4">
              <w:rPr>
                <w:bCs/>
                <w:sz w:val="24"/>
                <w:lang w:eastAsia="lv-LV"/>
              </w:rPr>
              <w:t xml:space="preserve">nalīze </w:t>
            </w:r>
            <w:r w:rsidR="00A249A4" w:rsidRPr="00A249A4">
              <w:rPr>
                <w:sz w:val="24"/>
              </w:rPr>
              <w:t xml:space="preserve">par </w:t>
            </w:r>
            <w:r w:rsidR="00A249A4" w:rsidRPr="00A249A4">
              <w:rPr>
                <w:bCs/>
                <w:sz w:val="24"/>
                <w:lang w:eastAsia="lv-LV"/>
              </w:rPr>
              <w:t>Ekonomikas</w:t>
            </w:r>
            <w:r w:rsidR="00A249A4" w:rsidRPr="00A249A4">
              <w:rPr>
                <w:sz w:val="24"/>
              </w:rPr>
              <w:t xml:space="preserve"> ministrijas makroekonomiskām prognozēm un ekonomiskās situācijas izmaiņām 2015., 2016., 2017. un 2018.gadā</w:t>
            </w:r>
            <w:r w:rsidR="00A249A4">
              <w:rPr>
                <w:sz w:val="24"/>
              </w:rPr>
              <w:t xml:space="preserve"> sniegta anotācijas pielikumā.</w:t>
            </w:r>
          </w:p>
          <w:p w:rsidR="00A249A4" w:rsidRDefault="00A249A4" w:rsidP="00212D76">
            <w:pPr>
              <w:jc w:val="both"/>
              <w:rPr>
                <w:bCs/>
                <w:sz w:val="24"/>
                <w:lang w:eastAsia="lv-LV"/>
              </w:rPr>
            </w:pPr>
          </w:p>
          <w:p w:rsidR="00212D76" w:rsidRPr="00A249A4" w:rsidRDefault="00212D76" w:rsidP="00212D76">
            <w:pPr>
              <w:jc w:val="both"/>
              <w:rPr>
                <w:bCs/>
                <w:sz w:val="24"/>
                <w:lang w:eastAsia="lv-LV"/>
              </w:rPr>
            </w:pPr>
            <w:r w:rsidRPr="00A249A4">
              <w:rPr>
                <w:bCs/>
                <w:sz w:val="24"/>
                <w:lang w:eastAsia="lv-LV"/>
              </w:rPr>
              <w:t xml:space="preserve">Minimālās mēneša darba algas paaugstinājums šādā apmērā, ja tas tiek realizēts vienlaikus ar būtisku darbaspēka nodokļu sloga samazinājumu, nemazinās uzņēmumu ārējo konkurētspēju, kā arī nepasliktinās uzņēmumu finansiālo situāciju, kas īpaši aktuāli ir Latvijas reģionos, kur kopējais darba samaksas līmenis ir ievērojami zemāks. </w:t>
            </w:r>
          </w:p>
          <w:p w:rsidR="00212D76" w:rsidRPr="00A249A4" w:rsidRDefault="00212D76" w:rsidP="00212D76">
            <w:pPr>
              <w:jc w:val="both"/>
              <w:rPr>
                <w:iCs/>
                <w:sz w:val="24"/>
              </w:rPr>
            </w:pPr>
            <w:r w:rsidRPr="00A249A4">
              <w:rPr>
                <w:sz w:val="24"/>
              </w:rPr>
              <w:t xml:space="preserve">Minimālās mēneša darba algas paaugstināšana uzlabos </w:t>
            </w:r>
            <w:r w:rsidRPr="00A249A4">
              <w:rPr>
                <w:sz w:val="24"/>
              </w:rPr>
              <w:lastRenderedPageBreak/>
              <w:t>konkurētspēju tiem komersantiem, kapitālsabiedrībām, kuri maksā nodokļus no darba algas, kas augstāka par minimālo mēneša darba algu un no visas darba algas (bez „aplokšņu algām”), salīdzinot ar tiem, kuri maksā nodokļus no minimālās mēneša darba algas, bet pārējo atalgojumu izsniedz „aploksnēs”.</w:t>
            </w:r>
          </w:p>
          <w:p w:rsidR="00212D76" w:rsidRPr="00A249A4" w:rsidRDefault="00212D76" w:rsidP="00212D76">
            <w:pPr>
              <w:spacing w:after="60"/>
              <w:jc w:val="both"/>
              <w:rPr>
                <w:sz w:val="24"/>
                <w:lang w:eastAsia="lv-LV"/>
              </w:rPr>
            </w:pPr>
            <w:r w:rsidRPr="00A249A4">
              <w:rPr>
                <w:sz w:val="24"/>
                <w:lang w:eastAsia="lv-LV"/>
              </w:rPr>
              <w:t xml:space="preserve">Minimālās mēneša darba algas paaugstinājums tiek realizēts vienlaikus ar darbaspēka nodokļu sloga samazinājumu, būtiski mazinot šī lēmuma ietekmi uz darbaspēka izmaksu pieaugumu. </w:t>
            </w:r>
          </w:p>
          <w:p w:rsidR="00212D76" w:rsidRPr="00A249A4" w:rsidRDefault="00212D76" w:rsidP="00212D76">
            <w:pPr>
              <w:jc w:val="both"/>
              <w:rPr>
                <w:sz w:val="24"/>
                <w:lang w:eastAsia="lv-LV"/>
              </w:rPr>
            </w:pPr>
            <w:r w:rsidRPr="00A249A4">
              <w:rPr>
                <w:sz w:val="24"/>
                <w:lang w:eastAsia="lv-LV"/>
              </w:rPr>
              <w:t xml:space="preserve">Finanšu ministrijas fiskālie aprēķini saistībā ar minimālās </w:t>
            </w:r>
            <w:r w:rsidR="00D45C19">
              <w:rPr>
                <w:sz w:val="24"/>
                <w:lang w:eastAsia="lv-LV"/>
              </w:rPr>
              <w:t xml:space="preserve">mēneša </w:t>
            </w:r>
            <w:r w:rsidRPr="00A249A4">
              <w:rPr>
                <w:sz w:val="24"/>
                <w:lang w:eastAsia="lv-LV"/>
              </w:rPr>
              <w:t>darba algas palielināšanu tiek veikti, pamatojoties uz 2017.gada 29.jūnija NTSP vienošanos par izmaiņām Ministru kabineta 2017.gada 9.maijā sēdē atbalstīto</w:t>
            </w:r>
            <w:r w:rsidRPr="00A249A4">
              <w:rPr>
                <w:i/>
                <w:sz w:val="24"/>
                <w:lang w:eastAsia="lv-LV"/>
              </w:rPr>
              <w:t xml:space="preserve"> pamatnostādņu </w:t>
            </w:r>
            <w:r w:rsidRPr="00A249A4">
              <w:rPr>
                <w:sz w:val="24"/>
                <w:lang w:eastAsia="lv-LV"/>
              </w:rPr>
              <w:t>nodokļu reformas plānā 2018., 2019. un 2020.gadam:</w:t>
            </w:r>
          </w:p>
          <w:p w:rsidR="00212D76" w:rsidRPr="00A249A4" w:rsidRDefault="00212D76" w:rsidP="00212D76">
            <w:pPr>
              <w:pStyle w:val="ListParagraph"/>
              <w:numPr>
                <w:ilvl w:val="0"/>
                <w:numId w:val="4"/>
              </w:numPr>
              <w:spacing w:before="0" w:after="0" w:line="240" w:lineRule="auto"/>
              <w:ind w:left="465" w:hanging="284"/>
              <w:rPr>
                <w:sz w:val="24"/>
                <w:szCs w:val="24"/>
                <w:lang w:val="lv-LV" w:eastAsia="lv-LV"/>
              </w:rPr>
            </w:pPr>
            <w:r w:rsidRPr="00A249A4">
              <w:rPr>
                <w:b/>
                <w:sz w:val="24"/>
                <w:szCs w:val="24"/>
                <w:lang w:val="lv-LV" w:eastAsia="lv-LV"/>
              </w:rPr>
              <w:t>Iedzīvotāju ienākuma nodoklim</w:t>
            </w:r>
            <w:r w:rsidRPr="00A249A4">
              <w:rPr>
                <w:sz w:val="24"/>
                <w:szCs w:val="24"/>
                <w:lang w:val="lv-LV" w:eastAsia="lv-LV"/>
              </w:rPr>
              <w:t xml:space="preserve"> (turpmāk - IIN) </w:t>
            </w:r>
            <w:r w:rsidRPr="00A249A4">
              <w:rPr>
                <w:b/>
                <w:sz w:val="24"/>
                <w:szCs w:val="24"/>
                <w:lang w:val="lv-LV" w:eastAsia="lv-LV"/>
              </w:rPr>
              <w:t>paredzēts ieviest trīs progresīvās nodokļa likmes un samazināt ienākumu slieksni</w:t>
            </w:r>
            <w:r w:rsidRPr="00A249A4">
              <w:rPr>
                <w:sz w:val="24"/>
                <w:szCs w:val="24"/>
                <w:lang w:val="lv-LV" w:eastAsia="lv-LV"/>
              </w:rPr>
              <w:t xml:space="preserve">, no kura tiek piemērota otrā progresīvā nodokļa likme. Proti, ienākumiem līdz 20 000 </w:t>
            </w:r>
            <w:proofErr w:type="spellStart"/>
            <w:r w:rsidRPr="00A249A4">
              <w:rPr>
                <w:i/>
                <w:sz w:val="24"/>
                <w:szCs w:val="24"/>
                <w:lang w:val="lv-LV" w:eastAsia="lv-LV"/>
              </w:rPr>
              <w:t>euro</w:t>
            </w:r>
            <w:proofErr w:type="spellEnd"/>
            <w:r w:rsidRPr="00A249A4">
              <w:rPr>
                <w:sz w:val="24"/>
                <w:szCs w:val="24"/>
                <w:lang w:val="lv-LV" w:eastAsia="lv-LV"/>
              </w:rPr>
              <w:t xml:space="preserve"> gadā IIN likme 20%, ienākumiem, kas pārsniedz 20 000,00 </w:t>
            </w:r>
            <w:proofErr w:type="spellStart"/>
            <w:r w:rsidRPr="00A249A4">
              <w:rPr>
                <w:i/>
                <w:sz w:val="24"/>
                <w:szCs w:val="24"/>
                <w:lang w:val="lv-LV" w:eastAsia="lv-LV"/>
              </w:rPr>
              <w:t>euro</w:t>
            </w:r>
            <w:proofErr w:type="spellEnd"/>
            <w:r w:rsidRPr="00A249A4">
              <w:rPr>
                <w:i/>
                <w:sz w:val="24"/>
                <w:szCs w:val="24"/>
                <w:lang w:val="lv-LV" w:eastAsia="lv-LV"/>
              </w:rPr>
              <w:t>, bet nepārsniedz</w:t>
            </w:r>
            <w:r w:rsidRPr="00A249A4">
              <w:rPr>
                <w:sz w:val="24"/>
                <w:szCs w:val="24"/>
                <w:lang w:val="lv-LV" w:eastAsia="lv-LV"/>
              </w:rPr>
              <w:t xml:space="preserve"> 55 000 </w:t>
            </w:r>
            <w:proofErr w:type="spellStart"/>
            <w:r w:rsidRPr="00A249A4">
              <w:rPr>
                <w:i/>
                <w:sz w:val="24"/>
                <w:szCs w:val="24"/>
                <w:lang w:val="lv-LV" w:eastAsia="lv-LV"/>
              </w:rPr>
              <w:t>euro</w:t>
            </w:r>
            <w:proofErr w:type="spellEnd"/>
            <w:r w:rsidRPr="00A249A4">
              <w:rPr>
                <w:sz w:val="24"/>
                <w:szCs w:val="24"/>
                <w:lang w:val="lv-LV" w:eastAsia="lv-LV"/>
              </w:rPr>
              <w:t xml:space="preserve"> gadā – 23%, bet ienākumiem, kas pārsniedz 55 000,00 </w:t>
            </w:r>
            <w:proofErr w:type="spellStart"/>
            <w:r w:rsidRPr="00A249A4">
              <w:rPr>
                <w:i/>
                <w:sz w:val="24"/>
                <w:szCs w:val="24"/>
                <w:lang w:val="lv-LV" w:eastAsia="lv-LV"/>
              </w:rPr>
              <w:t>euro</w:t>
            </w:r>
            <w:proofErr w:type="spellEnd"/>
            <w:r w:rsidRPr="00A249A4">
              <w:rPr>
                <w:sz w:val="24"/>
                <w:szCs w:val="24"/>
                <w:lang w:val="lv-LV" w:eastAsia="lv-LV"/>
              </w:rPr>
              <w:t xml:space="preserve"> gadā – 31,4 %.</w:t>
            </w:r>
          </w:p>
          <w:p w:rsidR="00212D76" w:rsidRPr="00A249A4" w:rsidRDefault="00212D76" w:rsidP="00212D76">
            <w:pPr>
              <w:ind w:left="463"/>
              <w:jc w:val="both"/>
              <w:rPr>
                <w:sz w:val="24"/>
                <w:lang w:eastAsia="lv-LV"/>
              </w:rPr>
            </w:pPr>
            <w:r w:rsidRPr="00A249A4">
              <w:rPr>
                <w:sz w:val="24"/>
                <w:lang w:eastAsia="lv-LV"/>
              </w:rPr>
              <w:t xml:space="preserve">Nodokļa likmi 31,4% apmērā nepiemēros algotā darba ienākumiem taksācijas gada laikā. Ienākuma izmaksātājs, no visiem ienākumiem, kas pārsniedz 1 667 </w:t>
            </w:r>
            <w:proofErr w:type="spellStart"/>
            <w:r w:rsidRPr="00A249A4">
              <w:rPr>
                <w:i/>
                <w:sz w:val="24"/>
                <w:lang w:eastAsia="lv-LV"/>
              </w:rPr>
              <w:t>euro</w:t>
            </w:r>
            <w:proofErr w:type="spellEnd"/>
            <w:r w:rsidRPr="00A249A4">
              <w:rPr>
                <w:sz w:val="24"/>
                <w:lang w:eastAsia="lv-LV"/>
              </w:rPr>
              <w:t xml:space="preserve"> mēnesī ieturēs nodokli 23% apmērā, bet ja šie ienākumi pārsniedz 55 000 </w:t>
            </w:r>
            <w:proofErr w:type="spellStart"/>
            <w:r w:rsidRPr="00A249A4">
              <w:rPr>
                <w:i/>
                <w:sz w:val="24"/>
                <w:lang w:eastAsia="lv-LV"/>
              </w:rPr>
              <w:t>euro</w:t>
            </w:r>
            <w:proofErr w:type="spellEnd"/>
            <w:r w:rsidRPr="00A249A4">
              <w:rPr>
                <w:sz w:val="24"/>
                <w:lang w:eastAsia="lv-LV"/>
              </w:rPr>
              <w:t xml:space="preserve"> taksācijas gadā (piemēram, taksācijas gada ienākumi ir 65 000 </w:t>
            </w:r>
            <w:proofErr w:type="spellStart"/>
            <w:r w:rsidRPr="00A249A4">
              <w:rPr>
                <w:i/>
                <w:sz w:val="24"/>
                <w:lang w:eastAsia="lv-LV"/>
              </w:rPr>
              <w:t>euro</w:t>
            </w:r>
            <w:proofErr w:type="spellEnd"/>
            <w:r w:rsidRPr="00A249A4">
              <w:rPr>
                <w:sz w:val="24"/>
                <w:lang w:eastAsia="lv-LV"/>
              </w:rPr>
              <w:t>), nodoklis no taksācijas gada ienākuma tiks aprēķināts un maksāts rezumējošā kārtībā. Par taksācijas gada laikā gūto ienākumu samaksātajā nodoklī tiks ieskaitīta arī solidaritātes nodokļa daļa, kāda normatīvajos aktos noteiktajā kārtībā pārskaitīta kā ieņēmumi no iedzīvotāju ienākuma nodokļa uz iedzīvotāju ienākuma nodokļa sadales kontu.</w:t>
            </w:r>
          </w:p>
          <w:p w:rsidR="00212D76" w:rsidRPr="00A249A4" w:rsidRDefault="00212D76" w:rsidP="00212D76">
            <w:pPr>
              <w:spacing w:after="60"/>
              <w:ind w:left="463"/>
              <w:jc w:val="both"/>
              <w:rPr>
                <w:sz w:val="24"/>
                <w:lang w:eastAsia="lv-LV"/>
              </w:rPr>
            </w:pPr>
            <w:r w:rsidRPr="00A249A4">
              <w:rPr>
                <w:i/>
                <w:sz w:val="24"/>
                <w:lang w:eastAsia="lv-LV"/>
              </w:rPr>
              <w:t>Iepriekš nodokļu reformas piedāvājums paredzēja ieviest divas IIN pamatlikmes – 20% ienākumiem līdz 45 000 </w:t>
            </w:r>
            <w:proofErr w:type="spellStart"/>
            <w:r w:rsidRPr="00A249A4">
              <w:rPr>
                <w:i/>
                <w:sz w:val="24"/>
                <w:lang w:eastAsia="lv-LV"/>
              </w:rPr>
              <w:t>euro</w:t>
            </w:r>
            <w:proofErr w:type="spellEnd"/>
            <w:r w:rsidRPr="00A249A4">
              <w:rPr>
                <w:i/>
                <w:sz w:val="24"/>
                <w:lang w:eastAsia="lv-LV"/>
              </w:rPr>
              <w:t xml:space="preserve"> gadā un 23% ienākumiem virs 45 000 </w:t>
            </w:r>
            <w:proofErr w:type="spellStart"/>
            <w:r w:rsidRPr="00A249A4">
              <w:rPr>
                <w:i/>
                <w:sz w:val="24"/>
                <w:lang w:eastAsia="lv-LV"/>
              </w:rPr>
              <w:t>euro</w:t>
            </w:r>
            <w:proofErr w:type="spellEnd"/>
            <w:r w:rsidRPr="00A249A4">
              <w:rPr>
                <w:i/>
                <w:sz w:val="24"/>
                <w:lang w:eastAsia="lv-LV"/>
              </w:rPr>
              <w:t xml:space="preserve"> gadā</w:t>
            </w:r>
            <w:r w:rsidRPr="00A249A4">
              <w:rPr>
                <w:sz w:val="24"/>
                <w:lang w:eastAsia="lv-LV"/>
              </w:rPr>
              <w:t>.</w:t>
            </w:r>
          </w:p>
          <w:p w:rsidR="00212D76" w:rsidRPr="00A249A4" w:rsidRDefault="00212D76" w:rsidP="00212D76">
            <w:pPr>
              <w:pStyle w:val="ListParagraph"/>
              <w:numPr>
                <w:ilvl w:val="0"/>
                <w:numId w:val="4"/>
              </w:numPr>
              <w:spacing w:before="0" w:after="0" w:line="240" w:lineRule="auto"/>
              <w:ind w:left="465" w:hanging="284"/>
              <w:rPr>
                <w:sz w:val="24"/>
                <w:szCs w:val="24"/>
                <w:lang w:val="lv-LV" w:eastAsia="lv-LV"/>
              </w:rPr>
            </w:pPr>
            <w:r w:rsidRPr="00A249A4">
              <w:rPr>
                <w:b/>
                <w:sz w:val="24"/>
                <w:szCs w:val="24"/>
                <w:lang w:val="lv-LV" w:eastAsia="lv-LV"/>
              </w:rPr>
              <w:t xml:space="preserve">Paredzēts pakāpeniski (trīs gadu laikā) paaugstināt ar IIN neapliekamo diferencēto minimumu </w:t>
            </w:r>
            <w:r w:rsidRPr="00A249A4">
              <w:rPr>
                <w:sz w:val="24"/>
                <w:szCs w:val="24"/>
                <w:lang w:val="lv-LV" w:eastAsia="lv-LV"/>
              </w:rPr>
              <w:t xml:space="preserve">- 2018.gadā 200 </w:t>
            </w:r>
            <w:proofErr w:type="spellStart"/>
            <w:r w:rsidRPr="00A249A4">
              <w:rPr>
                <w:i/>
                <w:sz w:val="24"/>
                <w:szCs w:val="24"/>
                <w:lang w:val="lv-LV" w:eastAsia="lv-LV"/>
              </w:rPr>
              <w:t>euro</w:t>
            </w:r>
            <w:proofErr w:type="spellEnd"/>
            <w:r w:rsidRPr="00A249A4">
              <w:rPr>
                <w:sz w:val="24"/>
                <w:szCs w:val="24"/>
                <w:lang w:val="lv-LV" w:eastAsia="lv-LV"/>
              </w:rPr>
              <w:t xml:space="preserve"> mēnesī, 2019.gadā 230 </w:t>
            </w:r>
            <w:proofErr w:type="spellStart"/>
            <w:r w:rsidRPr="00A249A4">
              <w:rPr>
                <w:i/>
                <w:sz w:val="24"/>
                <w:szCs w:val="24"/>
                <w:lang w:val="lv-LV" w:eastAsia="lv-LV"/>
              </w:rPr>
              <w:t>euro</w:t>
            </w:r>
            <w:proofErr w:type="spellEnd"/>
            <w:r w:rsidRPr="00A249A4">
              <w:rPr>
                <w:sz w:val="24"/>
                <w:szCs w:val="24"/>
                <w:lang w:val="lv-LV" w:eastAsia="lv-LV"/>
              </w:rPr>
              <w:t xml:space="preserve"> mēnesī, 2020.gadā 250 </w:t>
            </w:r>
            <w:proofErr w:type="spellStart"/>
            <w:r w:rsidRPr="00A249A4">
              <w:rPr>
                <w:i/>
                <w:sz w:val="24"/>
                <w:szCs w:val="24"/>
                <w:lang w:val="lv-LV" w:eastAsia="lv-LV"/>
              </w:rPr>
              <w:t>euro</w:t>
            </w:r>
            <w:proofErr w:type="spellEnd"/>
            <w:r w:rsidRPr="00A249A4">
              <w:rPr>
                <w:sz w:val="24"/>
                <w:szCs w:val="24"/>
                <w:lang w:val="lv-LV" w:eastAsia="lv-LV"/>
              </w:rPr>
              <w:t xml:space="preserve"> mēnesī. Tāpat ienākuma robeža, virs kuras neapliekamais minimums netiek piemērots, tiek pakāpeniski paaugstināta: 2018.gadā 1000 </w:t>
            </w:r>
            <w:proofErr w:type="spellStart"/>
            <w:r w:rsidRPr="00A249A4">
              <w:rPr>
                <w:i/>
                <w:sz w:val="24"/>
                <w:szCs w:val="24"/>
                <w:lang w:val="lv-LV" w:eastAsia="lv-LV"/>
              </w:rPr>
              <w:t>euro</w:t>
            </w:r>
            <w:proofErr w:type="spellEnd"/>
            <w:r w:rsidRPr="00A249A4">
              <w:rPr>
                <w:sz w:val="24"/>
                <w:szCs w:val="24"/>
                <w:lang w:val="lv-LV" w:eastAsia="lv-LV"/>
              </w:rPr>
              <w:t xml:space="preserve"> mēnesī, 2019.gadā – 1100 </w:t>
            </w:r>
            <w:proofErr w:type="spellStart"/>
            <w:r w:rsidRPr="00A249A4">
              <w:rPr>
                <w:i/>
                <w:sz w:val="24"/>
                <w:szCs w:val="24"/>
                <w:lang w:val="lv-LV" w:eastAsia="lv-LV"/>
              </w:rPr>
              <w:t>euro</w:t>
            </w:r>
            <w:proofErr w:type="spellEnd"/>
            <w:r w:rsidRPr="00A249A4">
              <w:rPr>
                <w:sz w:val="24"/>
                <w:szCs w:val="24"/>
                <w:lang w:val="lv-LV" w:eastAsia="lv-LV"/>
              </w:rPr>
              <w:t xml:space="preserve"> mēnesī, bet 2020.gadā – 1200 </w:t>
            </w:r>
            <w:proofErr w:type="spellStart"/>
            <w:r w:rsidRPr="00A249A4">
              <w:rPr>
                <w:i/>
                <w:sz w:val="24"/>
                <w:szCs w:val="24"/>
                <w:lang w:val="lv-LV" w:eastAsia="lv-LV"/>
              </w:rPr>
              <w:t>euro</w:t>
            </w:r>
            <w:proofErr w:type="spellEnd"/>
            <w:r w:rsidRPr="00A249A4">
              <w:rPr>
                <w:sz w:val="24"/>
                <w:szCs w:val="24"/>
                <w:lang w:val="lv-LV" w:eastAsia="lv-LV"/>
              </w:rPr>
              <w:t xml:space="preserve"> mēnesī.</w:t>
            </w:r>
          </w:p>
          <w:p w:rsidR="00212D76" w:rsidRPr="00A249A4" w:rsidRDefault="00212D76" w:rsidP="00212D76">
            <w:pPr>
              <w:spacing w:after="60"/>
              <w:ind w:left="463"/>
              <w:jc w:val="both"/>
              <w:rPr>
                <w:sz w:val="24"/>
                <w:lang w:eastAsia="lv-LV"/>
              </w:rPr>
            </w:pPr>
            <w:r w:rsidRPr="00A249A4">
              <w:rPr>
                <w:i/>
                <w:sz w:val="24"/>
                <w:lang w:eastAsia="lv-LV"/>
              </w:rPr>
              <w:t xml:space="preserve">Iepriekš nodokļu reformas piedāvājums paredzēja, ka diferencētais neapliekamais minimums jau 2018.gadā </w:t>
            </w:r>
            <w:r w:rsidRPr="00A249A4">
              <w:rPr>
                <w:i/>
                <w:sz w:val="24"/>
                <w:lang w:eastAsia="lv-LV"/>
              </w:rPr>
              <w:lastRenderedPageBreak/>
              <w:t xml:space="preserve">tiks paaugstināts uz 250 </w:t>
            </w:r>
            <w:proofErr w:type="spellStart"/>
            <w:r w:rsidRPr="00A249A4">
              <w:rPr>
                <w:i/>
                <w:sz w:val="24"/>
                <w:lang w:eastAsia="lv-LV"/>
              </w:rPr>
              <w:t>euro</w:t>
            </w:r>
            <w:proofErr w:type="spellEnd"/>
            <w:r w:rsidRPr="00A249A4">
              <w:rPr>
                <w:i/>
                <w:sz w:val="24"/>
                <w:lang w:eastAsia="lv-LV"/>
              </w:rPr>
              <w:t xml:space="preserve"> mēnesī ar ienākuma robežu 1000 </w:t>
            </w:r>
            <w:proofErr w:type="spellStart"/>
            <w:r w:rsidRPr="00A249A4">
              <w:rPr>
                <w:i/>
                <w:sz w:val="24"/>
                <w:lang w:eastAsia="lv-LV"/>
              </w:rPr>
              <w:t>euro</w:t>
            </w:r>
            <w:proofErr w:type="spellEnd"/>
            <w:r w:rsidRPr="00A249A4">
              <w:rPr>
                <w:i/>
                <w:sz w:val="24"/>
                <w:lang w:eastAsia="lv-LV"/>
              </w:rPr>
              <w:t xml:space="preserve"> mēnesī.</w:t>
            </w:r>
          </w:p>
          <w:p w:rsidR="00212D76" w:rsidRPr="00A249A4" w:rsidRDefault="00212D76" w:rsidP="00212D76">
            <w:pPr>
              <w:pStyle w:val="ListParagraph"/>
              <w:numPr>
                <w:ilvl w:val="0"/>
                <w:numId w:val="4"/>
              </w:numPr>
              <w:spacing w:before="0" w:after="0" w:line="240" w:lineRule="auto"/>
              <w:ind w:left="465" w:hanging="283"/>
              <w:rPr>
                <w:sz w:val="24"/>
                <w:szCs w:val="24"/>
                <w:lang w:val="lv-LV" w:eastAsia="lv-LV"/>
              </w:rPr>
            </w:pPr>
            <w:r w:rsidRPr="00A249A4">
              <w:rPr>
                <w:sz w:val="24"/>
                <w:szCs w:val="24"/>
                <w:lang w:val="lv-LV" w:eastAsia="lv-LV"/>
              </w:rPr>
              <w:t xml:space="preserve">Lai nodrošinātu veselības nozares finansējuma pieaugumu koalīcijas sadarbības padome nolēma, ka </w:t>
            </w:r>
            <w:r w:rsidRPr="00A249A4">
              <w:rPr>
                <w:b/>
                <w:sz w:val="24"/>
                <w:szCs w:val="24"/>
                <w:lang w:val="lv-LV" w:eastAsia="lv-LV"/>
              </w:rPr>
              <w:t>tiks paaugstināta valsts sociālās apdrošināšanas obligāt</w:t>
            </w:r>
            <w:r w:rsidR="00E7754D">
              <w:rPr>
                <w:b/>
                <w:sz w:val="24"/>
                <w:szCs w:val="24"/>
                <w:lang w:val="lv-LV" w:eastAsia="lv-LV"/>
              </w:rPr>
              <w:t>o</w:t>
            </w:r>
            <w:r w:rsidRPr="00A249A4">
              <w:rPr>
                <w:b/>
                <w:sz w:val="24"/>
                <w:szCs w:val="24"/>
                <w:lang w:val="lv-LV" w:eastAsia="lv-LV"/>
              </w:rPr>
              <w:t xml:space="preserve"> iemaks</w:t>
            </w:r>
            <w:r w:rsidR="00E7754D">
              <w:rPr>
                <w:b/>
                <w:sz w:val="24"/>
                <w:szCs w:val="24"/>
                <w:lang w:val="lv-LV" w:eastAsia="lv-LV"/>
              </w:rPr>
              <w:t>u</w:t>
            </w:r>
            <w:r w:rsidRPr="00A249A4">
              <w:rPr>
                <w:b/>
                <w:sz w:val="24"/>
                <w:szCs w:val="24"/>
                <w:lang w:val="lv-LV" w:eastAsia="lv-LV"/>
              </w:rPr>
              <w:t xml:space="preserve"> likme par vienu procentpunktu</w:t>
            </w:r>
            <w:r w:rsidRPr="00A249A4">
              <w:rPr>
                <w:sz w:val="24"/>
                <w:szCs w:val="24"/>
                <w:lang w:val="lv-LV" w:eastAsia="lv-LV"/>
              </w:rPr>
              <w:t xml:space="preserve">, tai skaitā darba devēja likme par 0,5% jeb no 23,59% uz 24,09% un darba ņēmēja likme par 0,5% jeb no 10,5% uz 11%. </w:t>
            </w:r>
          </w:p>
          <w:p w:rsidR="00212D76" w:rsidRPr="00A249A4" w:rsidRDefault="00212D76" w:rsidP="00212D76">
            <w:pPr>
              <w:ind w:left="465"/>
              <w:jc w:val="both"/>
              <w:rPr>
                <w:sz w:val="24"/>
                <w:lang w:eastAsia="lv-LV"/>
              </w:rPr>
            </w:pPr>
            <w:r w:rsidRPr="00A249A4">
              <w:rPr>
                <w:i/>
                <w:sz w:val="24"/>
                <w:lang w:eastAsia="lv-LV"/>
              </w:rPr>
              <w:t xml:space="preserve">Iepriekš nodokļu reformas piedāvājums neparedzēja paaugstināt </w:t>
            </w:r>
            <w:r w:rsidRPr="00A249A4">
              <w:rPr>
                <w:sz w:val="24"/>
                <w:lang w:eastAsia="lv-LV"/>
              </w:rPr>
              <w:t>valsts sociālās apdrošināšanas obligāt</w:t>
            </w:r>
            <w:r w:rsidR="00E7754D">
              <w:rPr>
                <w:sz w:val="24"/>
                <w:lang w:eastAsia="lv-LV"/>
              </w:rPr>
              <w:t>o</w:t>
            </w:r>
            <w:r w:rsidRPr="00A249A4">
              <w:rPr>
                <w:sz w:val="24"/>
                <w:lang w:eastAsia="lv-LV"/>
              </w:rPr>
              <w:t xml:space="preserve"> iemaks</w:t>
            </w:r>
            <w:r w:rsidR="00E7754D">
              <w:rPr>
                <w:sz w:val="24"/>
                <w:lang w:eastAsia="lv-LV"/>
              </w:rPr>
              <w:t>u</w:t>
            </w:r>
            <w:r w:rsidRPr="00A249A4">
              <w:rPr>
                <w:sz w:val="24"/>
                <w:lang w:eastAsia="lv-LV"/>
              </w:rPr>
              <w:t xml:space="preserve"> likmi.</w:t>
            </w:r>
          </w:p>
          <w:p w:rsidR="00212D76" w:rsidRPr="00A249A4" w:rsidRDefault="00212D76" w:rsidP="00212D76">
            <w:pPr>
              <w:jc w:val="both"/>
              <w:rPr>
                <w:iCs/>
                <w:sz w:val="24"/>
              </w:rPr>
            </w:pPr>
          </w:p>
          <w:p w:rsidR="00124F71" w:rsidRPr="00A249A4" w:rsidRDefault="00212D76" w:rsidP="00212D76">
            <w:pPr>
              <w:jc w:val="both"/>
              <w:rPr>
                <w:sz w:val="24"/>
              </w:rPr>
            </w:pPr>
            <w:r w:rsidRPr="00A249A4">
              <w:rPr>
                <w:sz w:val="24"/>
              </w:rPr>
              <w:t>Saskaņā ar Ministru kabineta 2010.gada 7.septembra noteikumu Nr.827 “Noteikumi par valsts sociālās apdrošināšanas obligāto iemaksu veicēju reģistrāciju un ziņojumiem par valsts sociālās apdrošināšanas obligātajām iemaksām un iedzīvotāju ienākuma nodokli” 21.punktu darba devējs nākamajā mēnesī līdz datumam, kas noteikts kā ikmēneša obligāto iemaksu veikšanas termiņš, iesniedz Valsts ieņēmumu dienestā ziņojumu par valsts sociālās apdrošināšanas obligātajām iemaksām no darba ņēmēju darba ienākumiem, iedzīvotāju ienākuma nodokli un uzņēmējdarbības riska valsts nodevu pārskata mēnesī. Tātad minimālās mēneša darba algas apmēra izmaiņas nevar uzskatīt par darba devēja administratīvā sloga palielinājumu, jo informācija par darba ņēmēja darba ienākumiem Valsts ieņēmumu dienestam ir jāsniedz katru mēnesi. Savukārt, pēc jaunās minimālās mēneša darba algas apmēra spēkā stāšanās, slēdzot darba līgumu ar jauno darba ņēmēju, darba devējam, kā par jebkuru citu darba ņēmēja darba ienākumi būs jāpaziņo Valsts ieņēmumu dienestam.</w:t>
            </w:r>
          </w:p>
        </w:tc>
      </w:tr>
      <w:tr w:rsidR="00124F71" w:rsidRPr="00D42CC4" w:rsidTr="00342C2B">
        <w:tc>
          <w:tcPr>
            <w:tcW w:w="444" w:type="pct"/>
            <w:tcBorders>
              <w:top w:val="single" w:sz="4" w:space="0" w:color="auto"/>
              <w:left w:val="single" w:sz="4" w:space="0" w:color="auto"/>
              <w:bottom w:val="single" w:sz="4" w:space="0" w:color="auto"/>
              <w:right w:val="single" w:sz="4" w:space="0" w:color="auto"/>
            </w:tcBorders>
            <w:vAlign w:val="center"/>
          </w:tcPr>
          <w:p w:rsidR="00124F71" w:rsidRPr="00293B08" w:rsidRDefault="00124F71" w:rsidP="00342C2B">
            <w:pPr>
              <w:pStyle w:val="naiskr"/>
              <w:ind w:left="180" w:hanging="180"/>
              <w:jc w:val="center"/>
            </w:pPr>
            <w:r w:rsidRPr="00293B08">
              <w:lastRenderedPageBreak/>
              <w:t>3.</w:t>
            </w:r>
          </w:p>
        </w:tc>
        <w:tc>
          <w:tcPr>
            <w:tcW w:w="1216" w:type="pct"/>
            <w:tcBorders>
              <w:top w:val="single" w:sz="4" w:space="0" w:color="auto"/>
              <w:left w:val="single" w:sz="4" w:space="0" w:color="auto"/>
              <w:bottom w:val="single" w:sz="4" w:space="0" w:color="auto"/>
              <w:right w:val="single" w:sz="4" w:space="0" w:color="auto"/>
            </w:tcBorders>
            <w:vAlign w:val="center"/>
          </w:tcPr>
          <w:p w:rsidR="00124F71" w:rsidRPr="00293B08" w:rsidRDefault="00124F71" w:rsidP="00342C2B">
            <w:pPr>
              <w:pStyle w:val="naiskr"/>
              <w:ind w:left="180" w:hanging="10"/>
            </w:pPr>
            <w:r w:rsidRPr="00293B08">
              <w:t>Administratīvo izmaksu monetārs novērtējums</w:t>
            </w:r>
          </w:p>
        </w:tc>
        <w:tc>
          <w:tcPr>
            <w:tcW w:w="3340" w:type="pct"/>
            <w:tcBorders>
              <w:top w:val="single" w:sz="4" w:space="0" w:color="auto"/>
              <w:left w:val="single" w:sz="4" w:space="0" w:color="auto"/>
              <w:bottom w:val="single" w:sz="4" w:space="0" w:color="auto"/>
              <w:right w:val="single" w:sz="4" w:space="0" w:color="auto"/>
            </w:tcBorders>
            <w:vAlign w:val="center"/>
          </w:tcPr>
          <w:p w:rsidR="00124F71" w:rsidRPr="00D42CC4" w:rsidRDefault="00124F71" w:rsidP="00342C2B">
            <w:pPr>
              <w:jc w:val="both"/>
              <w:rPr>
                <w:iCs/>
                <w:sz w:val="24"/>
              </w:rPr>
            </w:pPr>
            <w:r w:rsidRPr="00D42CC4">
              <w:rPr>
                <w:iCs/>
                <w:sz w:val="24"/>
              </w:rPr>
              <w:t>Projekts šo jomu neskar.</w:t>
            </w:r>
          </w:p>
        </w:tc>
      </w:tr>
      <w:tr w:rsidR="00124F71" w:rsidRPr="00D42CC4" w:rsidTr="00342C2B">
        <w:tc>
          <w:tcPr>
            <w:tcW w:w="444" w:type="pct"/>
            <w:tcBorders>
              <w:top w:val="single" w:sz="4" w:space="0" w:color="auto"/>
              <w:left w:val="single" w:sz="4" w:space="0" w:color="auto"/>
              <w:bottom w:val="single" w:sz="4" w:space="0" w:color="auto"/>
              <w:right w:val="single" w:sz="4" w:space="0" w:color="auto"/>
            </w:tcBorders>
            <w:vAlign w:val="center"/>
          </w:tcPr>
          <w:p w:rsidR="00124F71" w:rsidRPr="00293B08" w:rsidRDefault="00124F71" w:rsidP="00342C2B">
            <w:pPr>
              <w:pStyle w:val="naiskr"/>
              <w:spacing w:before="0" w:after="0"/>
              <w:ind w:left="180" w:hanging="180"/>
              <w:jc w:val="center"/>
            </w:pPr>
            <w:r w:rsidRPr="00293B08">
              <w:t>4.</w:t>
            </w:r>
          </w:p>
        </w:tc>
        <w:tc>
          <w:tcPr>
            <w:tcW w:w="1216" w:type="pct"/>
            <w:tcBorders>
              <w:top w:val="single" w:sz="4" w:space="0" w:color="auto"/>
              <w:left w:val="single" w:sz="4" w:space="0" w:color="auto"/>
              <w:bottom w:val="single" w:sz="4" w:space="0" w:color="auto"/>
              <w:right w:val="single" w:sz="4" w:space="0" w:color="auto"/>
            </w:tcBorders>
            <w:vAlign w:val="center"/>
          </w:tcPr>
          <w:p w:rsidR="00124F71" w:rsidRPr="00293B08" w:rsidRDefault="00124F71" w:rsidP="00342C2B">
            <w:pPr>
              <w:pStyle w:val="naiskr"/>
              <w:spacing w:before="0" w:after="0"/>
              <w:ind w:left="180" w:hanging="10"/>
            </w:pPr>
            <w:r w:rsidRPr="00293B08">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124F71" w:rsidRPr="00D42CC4" w:rsidRDefault="00124F71" w:rsidP="00342C2B">
            <w:pPr>
              <w:rPr>
                <w:sz w:val="24"/>
              </w:rPr>
            </w:pPr>
            <w:r w:rsidRPr="00D42CC4">
              <w:rPr>
                <w:iCs/>
                <w:sz w:val="24"/>
              </w:rPr>
              <w:t>Nav.</w:t>
            </w:r>
          </w:p>
        </w:tc>
      </w:tr>
    </w:tbl>
    <w:p w:rsidR="00A249A4" w:rsidRDefault="00A249A4"/>
    <w:p w:rsidR="00265833" w:rsidRPr="00EE1BB2" w:rsidRDefault="00265833"/>
    <w:tbl>
      <w:tblPr>
        <w:tblW w:w="5004" w:type="pct"/>
        <w:tblInd w:w="-3"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377"/>
        <w:gridCol w:w="505"/>
        <w:gridCol w:w="630"/>
        <w:gridCol w:w="1133"/>
        <w:gridCol w:w="74"/>
        <w:gridCol w:w="1523"/>
        <w:gridCol w:w="1523"/>
        <w:gridCol w:w="1523"/>
      </w:tblGrid>
      <w:tr w:rsidR="00696DE8" w:rsidRPr="00696DE8" w:rsidTr="00613D8C">
        <w:tc>
          <w:tcPr>
            <w:tcW w:w="5000" w:type="pct"/>
            <w:gridSpan w:val="8"/>
            <w:tcBorders>
              <w:top w:val="single" w:sz="4" w:space="0" w:color="auto"/>
              <w:left w:val="single" w:sz="4" w:space="0" w:color="auto"/>
              <w:bottom w:val="single" w:sz="4" w:space="0" w:color="auto"/>
              <w:right w:val="single" w:sz="4" w:space="0" w:color="auto"/>
            </w:tcBorders>
            <w:vAlign w:val="center"/>
          </w:tcPr>
          <w:p w:rsidR="00032E7D" w:rsidRPr="00696DE8" w:rsidRDefault="00032E7D" w:rsidP="00D6423D">
            <w:pPr>
              <w:jc w:val="center"/>
              <w:rPr>
                <w:b/>
                <w:sz w:val="24"/>
              </w:rPr>
            </w:pPr>
            <w:r w:rsidRPr="00696DE8">
              <w:rPr>
                <w:b/>
                <w:sz w:val="24"/>
              </w:rPr>
              <w:br w:type="page"/>
              <w:t xml:space="preserve">III Tiesību </w:t>
            </w:r>
            <w:smartTag w:uri="schemas-tilde-lv/tildestengine" w:element="veidnes">
              <w:smartTagPr>
                <w:attr w:name="text" w:val="akta"/>
                <w:attr w:name="id" w:val="-1"/>
                <w:attr w:name="baseform" w:val="akt|s"/>
              </w:smartTagPr>
              <w:r w:rsidRPr="00696DE8">
                <w:rPr>
                  <w:b/>
                  <w:sz w:val="24"/>
                </w:rPr>
                <w:t>akta</w:t>
              </w:r>
            </w:smartTag>
            <w:r w:rsidRPr="00696DE8">
              <w:rPr>
                <w:b/>
                <w:sz w:val="24"/>
              </w:rPr>
              <w:t xml:space="preserve"> projekta ietekme uz valsts budžetu un pašvaldību budžetiem</w:t>
            </w:r>
          </w:p>
        </w:tc>
      </w:tr>
      <w:tr w:rsidR="00032E7D" w:rsidRPr="00EE1BB2" w:rsidTr="00613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540" w:type="pct"/>
            <w:gridSpan w:val="5"/>
            <w:shd w:val="clear" w:color="auto" w:fill="auto"/>
          </w:tcPr>
          <w:p w:rsidR="00032E7D" w:rsidRPr="00EE1BB2" w:rsidRDefault="00032E7D" w:rsidP="00695C94">
            <w:pPr>
              <w:jc w:val="center"/>
            </w:pPr>
          </w:p>
        </w:tc>
        <w:tc>
          <w:tcPr>
            <w:tcW w:w="2460" w:type="pct"/>
            <w:gridSpan w:val="3"/>
            <w:shd w:val="clear" w:color="auto" w:fill="auto"/>
            <w:vAlign w:val="center"/>
          </w:tcPr>
          <w:p w:rsidR="00032E7D" w:rsidRPr="007B53EB" w:rsidRDefault="007B53EB" w:rsidP="007B53EB">
            <w:pPr>
              <w:jc w:val="center"/>
              <w:rPr>
                <w:i/>
              </w:rPr>
            </w:pPr>
            <w:proofErr w:type="spellStart"/>
            <w:r w:rsidRPr="007B53EB">
              <w:rPr>
                <w:i/>
                <w:sz w:val="22"/>
                <w:szCs w:val="22"/>
              </w:rPr>
              <w:t>E</w:t>
            </w:r>
            <w:r w:rsidR="002749B5" w:rsidRPr="007B53EB">
              <w:rPr>
                <w:i/>
                <w:sz w:val="22"/>
                <w:szCs w:val="22"/>
              </w:rPr>
              <w:t>uro</w:t>
            </w:r>
            <w:proofErr w:type="spellEnd"/>
          </w:p>
        </w:tc>
      </w:tr>
      <w:tr w:rsidR="00032E7D" w:rsidRPr="00EE1BB2" w:rsidTr="00613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vMerge w:val="restart"/>
            <w:shd w:val="clear" w:color="auto" w:fill="auto"/>
            <w:vAlign w:val="center"/>
          </w:tcPr>
          <w:p w:rsidR="00032E7D" w:rsidRPr="00EE1BB2" w:rsidRDefault="00032E7D" w:rsidP="00695C94">
            <w:pPr>
              <w:jc w:val="center"/>
            </w:pPr>
            <w:r w:rsidRPr="00695C94">
              <w:rPr>
                <w:b/>
                <w:sz w:val="22"/>
                <w:szCs w:val="22"/>
              </w:rPr>
              <w:t>Rādītāji</w:t>
            </w:r>
          </w:p>
        </w:tc>
        <w:tc>
          <w:tcPr>
            <w:tcW w:w="1260" w:type="pct"/>
            <w:gridSpan w:val="4"/>
            <w:vMerge w:val="restart"/>
            <w:shd w:val="clear" w:color="auto" w:fill="auto"/>
            <w:vAlign w:val="center"/>
          </w:tcPr>
          <w:p w:rsidR="00032E7D" w:rsidRPr="00EE1BB2" w:rsidRDefault="00032E7D" w:rsidP="00C219EA">
            <w:pPr>
              <w:jc w:val="center"/>
            </w:pPr>
            <w:r w:rsidRPr="00695C94">
              <w:rPr>
                <w:b/>
                <w:sz w:val="22"/>
                <w:szCs w:val="22"/>
              </w:rPr>
              <w:t>201</w:t>
            </w:r>
            <w:r w:rsidR="00C219EA">
              <w:rPr>
                <w:b/>
                <w:sz w:val="22"/>
                <w:szCs w:val="22"/>
              </w:rPr>
              <w:t>7</w:t>
            </w:r>
          </w:p>
        </w:tc>
        <w:tc>
          <w:tcPr>
            <w:tcW w:w="2460" w:type="pct"/>
            <w:gridSpan w:val="3"/>
            <w:shd w:val="clear" w:color="auto" w:fill="auto"/>
            <w:vAlign w:val="center"/>
          </w:tcPr>
          <w:p w:rsidR="00032E7D" w:rsidRPr="00EE1BB2" w:rsidRDefault="00032E7D" w:rsidP="00695C94">
            <w:pPr>
              <w:jc w:val="center"/>
            </w:pPr>
            <w:r w:rsidRPr="00695C94">
              <w:rPr>
                <w:sz w:val="22"/>
                <w:szCs w:val="22"/>
              </w:rPr>
              <w:t>Turpmākie trīs gadi</w:t>
            </w:r>
          </w:p>
        </w:tc>
      </w:tr>
      <w:tr w:rsidR="00032E7D" w:rsidRPr="00695C94" w:rsidTr="00613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vMerge/>
            <w:shd w:val="clear" w:color="auto" w:fill="auto"/>
          </w:tcPr>
          <w:p w:rsidR="00032E7D" w:rsidRPr="00EE1BB2" w:rsidRDefault="00032E7D" w:rsidP="00695C94">
            <w:pPr>
              <w:jc w:val="center"/>
            </w:pPr>
          </w:p>
        </w:tc>
        <w:tc>
          <w:tcPr>
            <w:tcW w:w="1260" w:type="pct"/>
            <w:gridSpan w:val="4"/>
            <w:vMerge/>
            <w:shd w:val="clear" w:color="auto" w:fill="auto"/>
          </w:tcPr>
          <w:p w:rsidR="00032E7D" w:rsidRPr="00695C94" w:rsidRDefault="00032E7D" w:rsidP="00695C94">
            <w:pPr>
              <w:jc w:val="center"/>
              <w:rPr>
                <w:b/>
                <w:sz w:val="22"/>
                <w:szCs w:val="22"/>
              </w:rPr>
            </w:pPr>
          </w:p>
        </w:tc>
        <w:tc>
          <w:tcPr>
            <w:tcW w:w="820" w:type="pct"/>
            <w:shd w:val="clear" w:color="auto" w:fill="auto"/>
            <w:vAlign w:val="bottom"/>
          </w:tcPr>
          <w:p w:rsidR="00032E7D" w:rsidRPr="00695C94" w:rsidRDefault="00032E7D" w:rsidP="00C219EA">
            <w:pPr>
              <w:pStyle w:val="naisf"/>
              <w:spacing w:before="0" w:after="0"/>
              <w:jc w:val="center"/>
              <w:rPr>
                <w:b/>
                <w:i/>
                <w:sz w:val="22"/>
                <w:szCs w:val="22"/>
                <w:lang w:val="lv-LV"/>
              </w:rPr>
            </w:pPr>
            <w:r w:rsidRPr="00695C94">
              <w:rPr>
                <w:b/>
                <w:bCs/>
                <w:sz w:val="22"/>
                <w:szCs w:val="22"/>
                <w:lang w:val="lv-LV"/>
              </w:rPr>
              <w:t>201</w:t>
            </w:r>
            <w:r w:rsidR="00C219EA">
              <w:rPr>
                <w:b/>
                <w:bCs/>
                <w:sz w:val="22"/>
                <w:szCs w:val="22"/>
                <w:lang w:val="lv-LV"/>
              </w:rPr>
              <w:t>8</w:t>
            </w:r>
          </w:p>
        </w:tc>
        <w:tc>
          <w:tcPr>
            <w:tcW w:w="820" w:type="pct"/>
            <w:shd w:val="clear" w:color="auto" w:fill="auto"/>
            <w:vAlign w:val="bottom"/>
          </w:tcPr>
          <w:p w:rsidR="00032E7D" w:rsidRPr="00695C94" w:rsidRDefault="00032E7D" w:rsidP="00C219EA">
            <w:pPr>
              <w:pStyle w:val="naisf"/>
              <w:spacing w:before="0" w:after="0"/>
              <w:jc w:val="center"/>
              <w:rPr>
                <w:b/>
                <w:i/>
                <w:sz w:val="22"/>
                <w:szCs w:val="22"/>
                <w:lang w:val="lv-LV"/>
              </w:rPr>
            </w:pPr>
            <w:r w:rsidRPr="00695C94">
              <w:rPr>
                <w:b/>
                <w:bCs/>
                <w:sz w:val="22"/>
                <w:szCs w:val="22"/>
                <w:lang w:val="lv-LV"/>
              </w:rPr>
              <w:t>201</w:t>
            </w:r>
            <w:r w:rsidR="00C219EA">
              <w:rPr>
                <w:b/>
                <w:bCs/>
                <w:sz w:val="22"/>
                <w:szCs w:val="22"/>
                <w:lang w:val="lv-LV"/>
              </w:rPr>
              <w:t>9</w:t>
            </w:r>
          </w:p>
        </w:tc>
        <w:tc>
          <w:tcPr>
            <w:tcW w:w="821" w:type="pct"/>
            <w:shd w:val="clear" w:color="auto" w:fill="auto"/>
            <w:vAlign w:val="bottom"/>
          </w:tcPr>
          <w:p w:rsidR="00032E7D" w:rsidRPr="00695C94" w:rsidRDefault="00032E7D" w:rsidP="00C219EA">
            <w:pPr>
              <w:pStyle w:val="naisf"/>
              <w:spacing w:before="0" w:after="0"/>
              <w:jc w:val="center"/>
              <w:rPr>
                <w:b/>
                <w:i/>
                <w:sz w:val="22"/>
                <w:szCs w:val="22"/>
                <w:lang w:val="lv-LV"/>
              </w:rPr>
            </w:pPr>
            <w:r w:rsidRPr="00695C94">
              <w:rPr>
                <w:b/>
                <w:bCs/>
                <w:sz w:val="22"/>
                <w:szCs w:val="22"/>
                <w:lang w:val="lv-LV"/>
              </w:rPr>
              <w:t>20</w:t>
            </w:r>
            <w:r w:rsidR="00C219EA">
              <w:rPr>
                <w:b/>
                <w:bCs/>
                <w:sz w:val="22"/>
                <w:szCs w:val="22"/>
                <w:lang w:val="lv-LV"/>
              </w:rPr>
              <w:t>20</w:t>
            </w:r>
          </w:p>
        </w:tc>
      </w:tr>
      <w:tr w:rsidR="00032E7D" w:rsidRPr="00695C94" w:rsidTr="00613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vMerge/>
            <w:shd w:val="clear" w:color="auto" w:fill="auto"/>
            <w:vAlign w:val="bottom"/>
          </w:tcPr>
          <w:p w:rsidR="00032E7D" w:rsidRPr="00695C94" w:rsidRDefault="00032E7D" w:rsidP="00695C94">
            <w:pPr>
              <w:jc w:val="center"/>
              <w:rPr>
                <w:sz w:val="22"/>
                <w:szCs w:val="22"/>
              </w:rPr>
            </w:pPr>
          </w:p>
        </w:tc>
        <w:tc>
          <w:tcPr>
            <w:tcW w:w="611" w:type="pct"/>
            <w:gridSpan w:val="2"/>
            <w:shd w:val="clear" w:color="auto" w:fill="auto"/>
            <w:vAlign w:val="bottom"/>
          </w:tcPr>
          <w:p w:rsidR="00032E7D" w:rsidRPr="00695C94" w:rsidRDefault="00032E7D" w:rsidP="00695C94">
            <w:pPr>
              <w:jc w:val="center"/>
              <w:rPr>
                <w:sz w:val="22"/>
                <w:szCs w:val="22"/>
              </w:rPr>
            </w:pPr>
            <w:r w:rsidRPr="00695C94">
              <w:rPr>
                <w:sz w:val="22"/>
                <w:szCs w:val="22"/>
              </w:rPr>
              <w:t>Saskaņā ar valsts budžetu kārtējam gadam</w:t>
            </w:r>
          </w:p>
        </w:tc>
        <w:tc>
          <w:tcPr>
            <w:tcW w:w="649" w:type="pct"/>
            <w:gridSpan w:val="2"/>
            <w:shd w:val="clear" w:color="auto" w:fill="auto"/>
            <w:vAlign w:val="bottom"/>
          </w:tcPr>
          <w:p w:rsidR="00032E7D" w:rsidRPr="00695C94" w:rsidRDefault="00032E7D" w:rsidP="00695C94">
            <w:pPr>
              <w:jc w:val="center"/>
              <w:rPr>
                <w:sz w:val="22"/>
                <w:szCs w:val="22"/>
              </w:rPr>
            </w:pPr>
            <w:r w:rsidRPr="00695C94">
              <w:rPr>
                <w:sz w:val="22"/>
                <w:szCs w:val="22"/>
              </w:rPr>
              <w:t xml:space="preserve">Izmaiņas kārtējā gadā salīdzinot ar budžetu kārtējam </w:t>
            </w:r>
            <w:r w:rsidRPr="00695C94">
              <w:rPr>
                <w:sz w:val="22"/>
                <w:szCs w:val="22"/>
              </w:rPr>
              <w:lastRenderedPageBreak/>
              <w:t>gadam</w:t>
            </w:r>
          </w:p>
        </w:tc>
        <w:tc>
          <w:tcPr>
            <w:tcW w:w="820" w:type="pct"/>
            <w:shd w:val="clear" w:color="auto" w:fill="auto"/>
            <w:vAlign w:val="bottom"/>
          </w:tcPr>
          <w:p w:rsidR="00032E7D" w:rsidRPr="00695C94" w:rsidRDefault="00032E7D" w:rsidP="001B1F08">
            <w:pPr>
              <w:jc w:val="center"/>
              <w:rPr>
                <w:sz w:val="22"/>
                <w:szCs w:val="22"/>
              </w:rPr>
            </w:pPr>
            <w:r w:rsidRPr="00695C94">
              <w:rPr>
                <w:sz w:val="22"/>
                <w:szCs w:val="22"/>
              </w:rPr>
              <w:lastRenderedPageBreak/>
              <w:t>Izmaiņas salīdzinot ar kārtējo (</w:t>
            </w:r>
            <w:r w:rsidR="001B1F08">
              <w:rPr>
                <w:sz w:val="22"/>
                <w:szCs w:val="22"/>
              </w:rPr>
              <w:t>2017</w:t>
            </w:r>
            <w:r w:rsidRPr="00695C94">
              <w:rPr>
                <w:sz w:val="22"/>
                <w:szCs w:val="22"/>
              </w:rPr>
              <w:t>) gadu</w:t>
            </w:r>
          </w:p>
        </w:tc>
        <w:tc>
          <w:tcPr>
            <w:tcW w:w="820" w:type="pct"/>
            <w:shd w:val="clear" w:color="auto" w:fill="auto"/>
            <w:vAlign w:val="bottom"/>
          </w:tcPr>
          <w:p w:rsidR="00032E7D" w:rsidRPr="00695C94" w:rsidRDefault="00032E7D" w:rsidP="001B1F08">
            <w:pPr>
              <w:jc w:val="center"/>
              <w:rPr>
                <w:sz w:val="22"/>
                <w:szCs w:val="22"/>
              </w:rPr>
            </w:pPr>
            <w:r w:rsidRPr="00695C94">
              <w:rPr>
                <w:sz w:val="22"/>
                <w:szCs w:val="22"/>
              </w:rPr>
              <w:t>Izmaiņas salīdzinot ar kārtējo (</w:t>
            </w:r>
            <w:r w:rsidR="001B1F08">
              <w:rPr>
                <w:sz w:val="22"/>
                <w:szCs w:val="22"/>
              </w:rPr>
              <w:t>2017</w:t>
            </w:r>
            <w:r w:rsidRPr="00695C94">
              <w:rPr>
                <w:sz w:val="22"/>
                <w:szCs w:val="22"/>
              </w:rPr>
              <w:t>) gadu</w:t>
            </w:r>
          </w:p>
        </w:tc>
        <w:tc>
          <w:tcPr>
            <w:tcW w:w="821" w:type="pct"/>
            <w:shd w:val="clear" w:color="auto" w:fill="auto"/>
            <w:vAlign w:val="bottom"/>
          </w:tcPr>
          <w:p w:rsidR="00032E7D" w:rsidRPr="00695C94" w:rsidRDefault="00032E7D" w:rsidP="001B1F08">
            <w:pPr>
              <w:jc w:val="center"/>
              <w:rPr>
                <w:sz w:val="22"/>
                <w:szCs w:val="22"/>
              </w:rPr>
            </w:pPr>
            <w:r w:rsidRPr="00695C94">
              <w:rPr>
                <w:sz w:val="22"/>
                <w:szCs w:val="22"/>
              </w:rPr>
              <w:t>Izmaiņas salīdzinot ar kārtējo (</w:t>
            </w:r>
            <w:r w:rsidR="001B1F08">
              <w:rPr>
                <w:sz w:val="22"/>
                <w:szCs w:val="22"/>
              </w:rPr>
              <w:t>2017</w:t>
            </w:r>
            <w:r w:rsidRPr="00695C94">
              <w:rPr>
                <w:sz w:val="22"/>
                <w:szCs w:val="22"/>
              </w:rPr>
              <w:t>) gadu</w:t>
            </w:r>
          </w:p>
        </w:tc>
      </w:tr>
      <w:tr w:rsidR="00032E7D" w:rsidRPr="00695C94" w:rsidTr="00613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shd w:val="clear" w:color="auto" w:fill="auto"/>
          </w:tcPr>
          <w:p w:rsidR="00032E7D" w:rsidRPr="00695C94" w:rsidRDefault="00032E7D" w:rsidP="00695C94">
            <w:pPr>
              <w:pStyle w:val="naisf"/>
              <w:spacing w:before="0" w:after="0"/>
              <w:jc w:val="center"/>
              <w:rPr>
                <w:b/>
                <w:sz w:val="22"/>
                <w:szCs w:val="22"/>
                <w:lang w:val="lv-LV"/>
              </w:rPr>
            </w:pPr>
            <w:r w:rsidRPr="00695C94">
              <w:rPr>
                <w:b/>
                <w:sz w:val="22"/>
                <w:szCs w:val="22"/>
                <w:lang w:val="lv-LV"/>
              </w:rPr>
              <w:lastRenderedPageBreak/>
              <w:t>1</w:t>
            </w:r>
          </w:p>
        </w:tc>
        <w:tc>
          <w:tcPr>
            <w:tcW w:w="611" w:type="pct"/>
            <w:gridSpan w:val="2"/>
            <w:shd w:val="clear" w:color="auto" w:fill="auto"/>
          </w:tcPr>
          <w:p w:rsidR="00032E7D" w:rsidRPr="00695C94" w:rsidRDefault="00032E7D" w:rsidP="00695C94">
            <w:pPr>
              <w:pStyle w:val="naisf"/>
              <w:spacing w:before="0" w:after="0"/>
              <w:jc w:val="center"/>
              <w:rPr>
                <w:b/>
                <w:sz w:val="22"/>
                <w:szCs w:val="22"/>
                <w:lang w:val="lv-LV"/>
              </w:rPr>
            </w:pPr>
            <w:r w:rsidRPr="00695C94">
              <w:rPr>
                <w:b/>
                <w:sz w:val="22"/>
                <w:szCs w:val="22"/>
                <w:lang w:val="lv-LV"/>
              </w:rPr>
              <w:t>2</w:t>
            </w:r>
          </w:p>
        </w:tc>
        <w:tc>
          <w:tcPr>
            <w:tcW w:w="649" w:type="pct"/>
            <w:gridSpan w:val="2"/>
            <w:shd w:val="clear" w:color="auto" w:fill="auto"/>
          </w:tcPr>
          <w:p w:rsidR="00032E7D" w:rsidRPr="00695C94" w:rsidRDefault="00032E7D" w:rsidP="00695C94">
            <w:pPr>
              <w:pStyle w:val="naisf"/>
              <w:spacing w:before="0" w:after="0"/>
              <w:jc w:val="center"/>
              <w:rPr>
                <w:b/>
                <w:sz w:val="22"/>
                <w:szCs w:val="22"/>
                <w:lang w:val="lv-LV"/>
              </w:rPr>
            </w:pPr>
            <w:r w:rsidRPr="00695C94">
              <w:rPr>
                <w:b/>
                <w:sz w:val="22"/>
                <w:szCs w:val="22"/>
                <w:lang w:val="lv-LV"/>
              </w:rPr>
              <w:t>3</w:t>
            </w:r>
          </w:p>
        </w:tc>
        <w:tc>
          <w:tcPr>
            <w:tcW w:w="820" w:type="pct"/>
            <w:shd w:val="clear" w:color="auto" w:fill="auto"/>
          </w:tcPr>
          <w:p w:rsidR="00032E7D" w:rsidRPr="00695C94" w:rsidRDefault="00032E7D" w:rsidP="00695C94">
            <w:pPr>
              <w:pStyle w:val="naisf"/>
              <w:spacing w:before="0" w:after="0"/>
              <w:jc w:val="center"/>
              <w:rPr>
                <w:b/>
                <w:sz w:val="22"/>
                <w:szCs w:val="22"/>
                <w:lang w:val="lv-LV"/>
              </w:rPr>
            </w:pPr>
            <w:r w:rsidRPr="00695C94">
              <w:rPr>
                <w:b/>
                <w:sz w:val="22"/>
                <w:szCs w:val="22"/>
                <w:lang w:val="lv-LV"/>
              </w:rPr>
              <w:t>4</w:t>
            </w:r>
          </w:p>
        </w:tc>
        <w:tc>
          <w:tcPr>
            <w:tcW w:w="820" w:type="pct"/>
            <w:shd w:val="clear" w:color="auto" w:fill="auto"/>
          </w:tcPr>
          <w:p w:rsidR="00032E7D" w:rsidRPr="00695C94" w:rsidRDefault="00032E7D" w:rsidP="00695C94">
            <w:pPr>
              <w:pStyle w:val="naisf"/>
              <w:spacing w:before="0" w:after="0"/>
              <w:jc w:val="center"/>
              <w:rPr>
                <w:b/>
                <w:sz w:val="22"/>
                <w:szCs w:val="22"/>
                <w:lang w:val="lv-LV"/>
              </w:rPr>
            </w:pPr>
            <w:r w:rsidRPr="00695C94">
              <w:rPr>
                <w:b/>
                <w:sz w:val="22"/>
                <w:szCs w:val="22"/>
                <w:lang w:val="lv-LV"/>
              </w:rPr>
              <w:t>5</w:t>
            </w:r>
          </w:p>
        </w:tc>
        <w:tc>
          <w:tcPr>
            <w:tcW w:w="821" w:type="pct"/>
            <w:shd w:val="clear" w:color="auto" w:fill="auto"/>
          </w:tcPr>
          <w:p w:rsidR="00032E7D" w:rsidRPr="00695C94" w:rsidRDefault="00032E7D" w:rsidP="00695C94">
            <w:pPr>
              <w:pStyle w:val="naisf"/>
              <w:spacing w:before="0" w:after="0"/>
              <w:jc w:val="center"/>
              <w:rPr>
                <w:b/>
                <w:sz w:val="22"/>
                <w:szCs w:val="22"/>
                <w:lang w:val="lv-LV"/>
              </w:rPr>
            </w:pPr>
            <w:r w:rsidRPr="00695C94">
              <w:rPr>
                <w:b/>
                <w:sz w:val="22"/>
                <w:szCs w:val="22"/>
                <w:lang w:val="lv-LV"/>
              </w:rPr>
              <w:t>6</w:t>
            </w:r>
          </w:p>
        </w:tc>
      </w:tr>
      <w:tr w:rsidR="00BA74C5" w:rsidRPr="00695C94" w:rsidTr="00613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shd w:val="clear" w:color="auto" w:fill="auto"/>
          </w:tcPr>
          <w:p w:rsidR="00BA74C5" w:rsidRPr="004A54BF" w:rsidRDefault="00BA74C5" w:rsidP="000E17FF">
            <w:pPr>
              <w:rPr>
                <w:b/>
                <w:sz w:val="24"/>
              </w:rPr>
            </w:pPr>
            <w:r w:rsidRPr="004A54BF">
              <w:rPr>
                <w:b/>
                <w:sz w:val="24"/>
              </w:rPr>
              <w:t>1. Budžeta ieņēmumi</w:t>
            </w:r>
          </w:p>
        </w:tc>
        <w:tc>
          <w:tcPr>
            <w:tcW w:w="611" w:type="pct"/>
            <w:gridSpan w:val="2"/>
            <w:shd w:val="clear" w:color="auto" w:fill="auto"/>
            <w:vAlign w:val="center"/>
          </w:tcPr>
          <w:p w:rsidR="00BA74C5" w:rsidRPr="00F75AFC" w:rsidRDefault="00BA74C5" w:rsidP="00817D7B">
            <w:pPr>
              <w:jc w:val="center"/>
              <w:rPr>
                <w:sz w:val="24"/>
              </w:rPr>
            </w:pPr>
            <w:r w:rsidRPr="00F75AFC">
              <w:rPr>
                <w:sz w:val="24"/>
              </w:rPr>
              <w:t>0</w:t>
            </w:r>
          </w:p>
        </w:tc>
        <w:tc>
          <w:tcPr>
            <w:tcW w:w="649" w:type="pct"/>
            <w:gridSpan w:val="2"/>
            <w:shd w:val="clear" w:color="auto" w:fill="auto"/>
            <w:vAlign w:val="center"/>
          </w:tcPr>
          <w:p w:rsidR="00BA74C5" w:rsidRPr="00F75AFC" w:rsidRDefault="00BA74C5" w:rsidP="00817D7B">
            <w:pPr>
              <w:jc w:val="center"/>
              <w:rPr>
                <w:sz w:val="24"/>
              </w:rPr>
            </w:pPr>
            <w:r w:rsidRPr="00F75AFC">
              <w:rPr>
                <w:sz w:val="24"/>
              </w:rPr>
              <w:t>0</w:t>
            </w:r>
          </w:p>
        </w:tc>
        <w:tc>
          <w:tcPr>
            <w:tcW w:w="820" w:type="pct"/>
            <w:shd w:val="clear" w:color="auto" w:fill="auto"/>
            <w:vAlign w:val="center"/>
          </w:tcPr>
          <w:p w:rsidR="00BA74C5" w:rsidRPr="00BA74C5" w:rsidRDefault="00BA74C5" w:rsidP="00613D8C">
            <w:pPr>
              <w:widowControl w:val="0"/>
              <w:jc w:val="center"/>
              <w:rPr>
                <w:rFonts w:eastAsia="Calibri"/>
                <w:b/>
                <w:sz w:val="24"/>
              </w:rPr>
            </w:pPr>
            <w:r w:rsidRPr="00BA74C5">
              <w:rPr>
                <w:rFonts w:eastAsia="Calibri"/>
                <w:b/>
                <w:sz w:val="24"/>
              </w:rPr>
              <w:t>32 758 000</w:t>
            </w:r>
          </w:p>
        </w:tc>
        <w:tc>
          <w:tcPr>
            <w:tcW w:w="820" w:type="pct"/>
            <w:shd w:val="clear" w:color="auto" w:fill="auto"/>
            <w:vAlign w:val="center"/>
          </w:tcPr>
          <w:p w:rsidR="00BA74C5" w:rsidRPr="00BA74C5" w:rsidRDefault="00BA74C5" w:rsidP="00613D8C">
            <w:pPr>
              <w:widowControl w:val="0"/>
              <w:jc w:val="center"/>
              <w:rPr>
                <w:rFonts w:eastAsia="Calibri"/>
                <w:b/>
                <w:sz w:val="24"/>
              </w:rPr>
            </w:pPr>
            <w:r w:rsidRPr="00BA74C5">
              <w:rPr>
                <w:rFonts w:eastAsia="Calibri"/>
                <w:b/>
                <w:sz w:val="24"/>
              </w:rPr>
              <w:t>32 486 000</w:t>
            </w:r>
          </w:p>
        </w:tc>
        <w:tc>
          <w:tcPr>
            <w:tcW w:w="821" w:type="pct"/>
            <w:shd w:val="clear" w:color="auto" w:fill="auto"/>
            <w:vAlign w:val="center"/>
          </w:tcPr>
          <w:p w:rsidR="00BA74C5" w:rsidRPr="00BA74C5" w:rsidRDefault="00BA74C5" w:rsidP="00613D8C">
            <w:pPr>
              <w:widowControl w:val="0"/>
              <w:jc w:val="center"/>
              <w:rPr>
                <w:rFonts w:eastAsia="Calibri"/>
                <w:b/>
                <w:sz w:val="24"/>
              </w:rPr>
            </w:pPr>
            <w:r w:rsidRPr="00BA74C5">
              <w:rPr>
                <w:rFonts w:eastAsia="Calibri"/>
                <w:b/>
                <w:sz w:val="24"/>
              </w:rPr>
              <w:t>32 305 000</w:t>
            </w:r>
          </w:p>
        </w:tc>
      </w:tr>
      <w:tr w:rsidR="00BA74C5" w:rsidRPr="00695C94" w:rsidTr="00613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shd w:val="clear" w:color="auto" w:fill="auto"/>
          </w:tcPr>
          <w:p w:rsidR="00BA74C5" w:rsidRPr="00695C94" w:rsidRDefault="00BA74C5" w:rsidP="00D6423D">
            <w:pPr>
              <w:rPr>
                <w:sz w:val="22"/>
                <w:szCs w:val="22"/>
              </w:rPr>
            </w:pPr>
            <w:r w:rsidRPr="00695C94">
              <w:rPr>
                <w:sz w:val="22"/>
                <w:szCs w:val="22"/>
              </w:rPr>
              <w:t>1.1. valsts pamatbudžets, tai skaitā ieņēmumi no maksas pakalpojumiem un citi pašu ieņēmumi</w:t>
            </w:r>
          </w:p>
        </w:tc>
        <w:tc>
          <w:tcPr>
            <w:tcW w:w="611" w:type="pct"/>
            <w:gridSpan w:val="2"/>
            <w:shd w:val="clear" w:color="auto" w:fill="auto"/>
            <w:vAlign w:val="center"/>
          </w:tcPr>
          <w:p w:rsidR="00BA74C5" w:rsidRPr="00F75AFC" w:rsidRDefault="00BA74C5" w:rsidP="00817D7B">
            <w:pPr>
              <w:jc w:val="center"/>
              <w:rPr>
                <w:sz w:val="24"/>
              </w:rPr>
            </w:pPr>
            <w:r w:rsidRPr="00F75AFC">
              <w:rPr>
                <w:sz w:val="24"/>
              </w:rPr>
              <w:t>0</w:t>
            </w:r>
          </w:p>
        </w:tc>
        <w:tc>
          <w:tcPr>
            <w:tcW w:w="649" w:type="pct"/>
            <w:gridSpan w:val="2"/>
            <w:shd w:val="clear" w:color="auto" w:fill="auto"/>
            <w:vAlign w:val="center"/>
          </w:tcPr>
          <w:p w:rsidR="00BA74C5" w:rsidRPr="00F75AFC" w:rsidRDefault="00BA74C5" w:rsidP="00817D7B">
            <w:pPr>
              <w:jc w:val="center"/>
              <w:rPr>
                <w:sz w:val="24"/>
              </w:rPr>
            </w:pPr>
            <w:r w:rsidRPr="00F75AFC">
              <w:rPr>
                <w:sz w:val="24"/>
              </w:rPr>
              <w:t>0</w:t>
            </w:r>
          </w:p>
        </w:tc>
        <w:tc>
          <w:tcPr>
            <w:tcW w:w="820" w:type="pct"/>
            <w:shd w:val="clear" w:color="auto" w:fill="auto"/>
            <w:vAlign w:val="center"/>
          </w:tcPr>
          <w:p w:rsidR="00BA74C5" w:rsidRPr="00BA74C5" w:rsidRDefault="00BA74C5" w:rsidP="00613D8C">
            <w:pPr>
              <w:jc w:val="center"/>
              <w:rPr>
                <w:rFonts w:eastAsia="Calibri"/>
                <w:sz w:val="24"/>
              </w:rPr>
            </w:pPr>
            <w:r w:rsidRPr="00BA74C5">
              <w:rPr>
                <w:rFonts w:eastAsia="Calibri"/>
                <w:sz w:val="24"/>
              </w:rPr>
              <w:t>5 762 000</w:t>
            </w:r>
          </w:p>
        </w:tc>
        <w:tc>
          <w:tcPr>
            <w:tcW w:w="820" w:type="pct"/>
            <w:shd w:val="clear" w:color="auto" w:fill="auto"/>
            <w:vAlign w:val="center"/>
          </w:tcPr>
          <w:p w:rsidR="00BA74C5" w:rsidRPr="00BA74C5" w:rsidRDefault="00BA74C5" w:rsidP="00613D8C">
            <w:pPr>
              <w:widowControl w:val="0"/>
              <w:jc w:val="center"/>
              <w:rPr>
                <w:rFonts w:eastAsia="Calibri"/>
                <w:sz w:val="24"/>
              </w:rPr>
            </w:pPr>
            <w:r w:rsidRPr="00BA74C5">
              <w:rPr>
                <w:rFonts w:eastAsia="Calibri"/>
                <w:sz w:val="24"/>
              </w:rPr>
              <w:t>5 724 000</w:t>
            </w:r>
          </w:p>
        </w:tc>
        <w:tc>
          <w:tcPr>
            <w:tcW w:w="821" w:type="pct"/>
            <w:shd w:val="clear" w:color="auto" w:fill="auto"/>
            <w:vAlign w:val="center"/>
          </w:tcPr>
          <w:p w:rsidR="00BA74C5" w:rsidRPr="00BA74C5" w:rsidRDefault="00BA74C5" w:rsidP="00613D8C">
            <w:pPr>
              <w:widowControl w:val="0"/>
              <w:jc w:val="center"/>
              <w:rPr>
                <w:rFonts w:eastAsia="Calibri"/>
                <w:sz w:val="24"/>
              </w:rPr>
            </w:pPr>
            <w:r w:rsidRPr="00BA74C5">
              <w:rPr>
                <w:rFonts w:eastAsia="Calibri"/>
                <w:sz w:val="24"/>
              </w:rPr>
              <w:t>5 698 000</w:t>
            </w:r>
          </w:p>
        </w:tc>
      </w:tr>
      <w:tr w:rsidR="00BA74C5" w:rsidRPr="00695C94" w:rsidTr="00613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shd w:val="clear" w:color="auto" w:fill="auto"/>
          </w:tcPr>
          <w:p w:rsidR="00BA74C5" w:rsidRPr="00695C94" w:rsidRDefault="00BA74C5" w:rsidP="00695C94">
            <w:pPr>
              <w:pStyle w:val="naisf"/>
              <w:spacing w:before="0" w:after="0"/>
              <w:jc w:val="left"/>
              <w:rPr>
                <w:i/>
                <w:sz w:val="22"/>
                <w:szCs w:val="22"/>
                <w:lang w:val="lv-LV"/>
              </w:rPr>
            </w:pPr>
            <w:r w:rsidRPr="00695C94">
              <w:rPr>
                <w:sz w:val="22"/>
                <w:szCs w:val="22"/>
                <w:lang w:val="lv-LV"/>
              </w:rPr>
              <w:t>1.2. valsts speciālais budžets</w:t>
            </w:r>
          </w:p>
        </w:tc>
        <w:tc>
          <w:tcPr>
            <w:tcW w:w="611" w:type="pct"/>
            <w:gridSpan w:val="2"/>
            <w:shd w:val="clear" w:color="auto" w:fill="auto"/>
            <w:vAlign w:val="center"/>
          </w:tcPr>
          <w:p w:rsidR="00BA74C5" w:rsidRPr="00F75AFC" w:rsidRDefault="00BA74C5" w:rsidP="00817D7B">
            <w:pPr>
              <w:jc w:val="center"/>
              <w:rPr>
                <w:sz w:val="24"/>
              </w:rPr>
            </w:pPr>
            <w:r w:rsidRPr="00F75AFC">
              <w:rPr>
                <w:sz w:val="24"/>
              </w:rPr>
              <w:t>0</w:t>
            </w:r>
          </w:p>
        </w:tc>
        <w:tc>
          <w:tcPr>
            <w:tcW w:w="649" w:type="pct"/>
            <w:gridSpan w:val="2"/>
            <w:shd w:val="clear" w:color="auto" w:fill="auto"/>
            <w:vAlign w:val="center"/>
          </w:tcPr>
          <w:p w:rsidR="00BA74C5" w:rsidRPr="00F75AFC" w:rsidRDefault="00BA74C5" w:rsidP="00817D7B">
            <w:pPr>
              <w:jc w:val="center"/>
              <w:rPr>
                <w:sz w:val="24"/>
              </w:rPr>
            </w:pPr>
            <w:r w:rsidRPr="00F75AFC">
              <w:rPr>
                <w:sz w:val="24"/>
              </w:rPr>
              <w:t>0</w:t>
            </w:r>
          </w:p>
        </w:tc>
        <w:tc>
          <w:tcPr>
            <w:tcW w:w="820" w:type="pct"/>
            <w:shd w:val="clear" w:color="auto" w:fill="auto"/>
            <w:vAlign w:val="center"/>
          </w:tcPr>
          <w:p w:rsidR="00BA74C5" w:rsidRPr="00BA74C5" w:rsidRDefault="00BA74C5" w:rsidP="00613D8C">
            <w:pPr>
              <w:widowControl w:val="0"/>
              <w:jc w:val="center"/>
              <w:rPr>
                <w:rFonts w:eastAsia="Calibri"/>
                <w:sz w:val="24"/>
              </w:rPr>
            </w:pPr>
            <w:r w:rsidRPr="00BA74C5">
              <w:rPr>
                <w:rFonts w:eastAsia="Calibri"/>
                <w:sz w:val="24"/>
              </w:rPr>
              <w:t>19 966 000</w:t>
            </w:r>
          </w:p>
        </w:tc>
        <w:tc>
          <w:tcPr>
            <w:tcW w:w="820" w:type="pct"/>
            <w:shd w:val="clear" w:color="auto" w:fill="auto"/>
            <w:vAlign w:val="center"/>
          </w:tcPr>
          <w:p w:rsidR="00BA74C5" w:rsidRPr="00BA74C5" w:rsidRDefault="00BA74C5" w:rsidP="00613D8C">
            <w:pPr>
              <w:widowControl w:val="0"/>
              <w:jc w:val="center"/>
              <w:rPr>
                <w:rFonts w:eastAsia="Calibri"/>
                <w:sz w:val="24"/>
              </w:rPr>
            </w:pPr>
            <w:r w:rsidRPr="00BA74C5">
              <w:rPr>
                <w:rFonts w:eastAsia="Calibri"/>
                <w:sz w:val="24"/>
              </w:rPr>
              <w:t>19 966 000</w:t>
            </w:r>
          </w:p>
        </w:tc>
        <w:tc>
          <w:tcPr>
            <w:tcW w:w="821" w:type="pct"/>
            <w:shd w:val="clear" w:color="auto" w:fill="auto"/>
            <w:vAlign w:val="center"/>
          </w:tcPr>
          <w:p w:rsidR="00BA74C5" w:rsidRPr="00BA74C5" w:rsidRDefault="00BA74C5" w:rsidP="00613D8C">
            <w:pPr>
              <w:widowControl w:val="0"/>
              <w:jc w:val="center"/>
              <w:rPr>
                <w:rFonts w:eastAsia="Calibri"/>
                <w:sz w:val="24"/>
              </w:rPr>
            </w:pPr>
            <w:r w:rsidRPr="00BA74C5">
              <w:rPr>
                <w:rFonts w:eastAsia="Calibri"/>
                <w:sz w:val="24"/>
              </w:rPr>
              <w:t>19 966 000</w:t>
            </w:r>
          </w:p>
        </w:tc>
      </w:tr>
      <w:tr w:rsidR="00BA74C5" w:rsidRPr="00EE1BB2" w:rsidTr="00613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shd w:val="clear" w:color="auto" w:fill="auto"/>
          </w:tcPr>
          <w:p w:rsidR="00BA74C5" w:rsidRPr="00EE1BB2" w:rsidRDefault="00BA74C5" w:rsidP="00D6423D">
            <w:r w:rsidRPr="00695C94">
              <w:rPr>
                <w:sz w:val="22"/>
                <w:szCs w:val="22"/>
              </w:rPr>
              <w:t>1.3. pašvaldību budžets</w:t>
            </w:r>
          </w:p>
        </w:tc>
        <w:tc>
          <w:tcPr>
            <w:tcW w:w="611" w:type="pct"/>
            <w:gridSpan w:val="2"/>
            <w:shd w:val="clear" w:color="auto" w:fill="auto"/>
            <w:vAlign w:val="center"/>
          </w:tcPr>
          <w:p w:rsidR="00BA74C5" w:rsidRPr="00F75AFC" w:rsidRDefault="00BA74C5" w:rsidP="00817D7B">
            <w:pPr>
              <w:jc w:val="center"/>
              <w:rPr>
                <w:sz w:val="24"/>
              </w:rPr>
            </w:pPr>
            <w:r w:rsidRPr="00F75AFC">
              <w:rPr>
                <w:sz w:val="24"/>
              </w:rPr>
              <w:t>0</w:t>
            </w:r>
          </w:p>
        </w:tc>
        <w:tc>
          <w:tcPr>
            <w:tcW w:w="649" w:type="pct"/>
            <w:gridSpan w:val="2"/>
            <w:shd w:val="clear" w:color="auto" w:fill="auto"/>
            <w:vAlign w:val="center"/>
          </w:tcPr>
          <w:p w:rsidR="00BA74C5" w:rsidRPr="00F75AFC" w:rsidRDefault="00BA74C5" w:rsidP="00817D7B">
            <w:pPr>
              <w:jc w:val="center"/>
              <w:rPr>
                <w:sz w:val="24"/>
              </w:rPr>
            </w:pPr>
            <w:r w:rsidRPr="00F75AFC">
              <w:rPr>
                <w:sz w:val="24"/>
              </w:rPr>
              <w:t>0</w:t>
            </w:r>
          </w:p>
        </w:tc>
        <w:tc>
          <w:tcPr>
            <w:tcW w:w="820" w:type="pct"/>
            <w:shd w:val="clear" w:color="auto" w:fill="auto"/>
            <w:vAlign w:val="center"/>
          </w:tcPr>
          <w:p w:rsidR="00BA74C5" w:rsidRPr="00BA74C5" w:rsidRDefault="00BA74C5" w:rsidP="00613D8C">
            <w:pPr>
              <w:widowControl w:val="0"/>
              <w:jc w:val="center"/>
              <w:rPr>
                <w:rFonts w:eastAsia="Calibri"/>
                <w:sz w:val="24"/>
              </w:rPr>
            </w:pPr>
            <w:r w:rsidRPr="00BA74C5">
              <w:rPr>
                <w:rFonts w:eastAsia="Calibri"/>
                <w:sz w:val="24"/>
              </w:rPr>
              <w:t>7 030 000</w:t>
            </w:r>
          </w:p>
        </w:tc>
        <w:tc>
          <w:tcPr>
            <w:tcW w:w="820" w:type="pct"/>
            <w:shd w:val="clear" w:color="auto" w:fill="auto"/>
            <w:vAlign w:val="center"/>
          </w:tcPr>
          <w:p w:rsidR="00BA74C5" w:rsidRPr="00BA74C5" w:rsidRDefault="00BA74C5" w:rsidP="00613D8C">
            <w:pPr>
              <w:widowControl w:val="0"/>
              <w:jc w:val="center"/>
              <w:rPr>
                <w:rFonts w:eastAsia="Calibri"/>
                <w:sz w:val="24"/>
              </w:rPr>
            </w:pPr>
            <w:r w:rsidRPr="00BA74C5">
              <w:rPr>
                <w:rFonts w:eastAsia="Calibri"/>
                <w:sz w:val="24"/>
              </w:rPr>
              <w:t>6 796 000</w:t>
            </w:r>
          </w:p>
        </w:tc>
        <w:tc>
          <w:tcPr>
            <w:tcW w:w="821" w:type="pct"/>
            <w:shd w:val="clear" w:color="auto" w:fill="auto"/>
            <w:vAlign w:val="center"/>
          </w:tcPr>
          <w:p w:rsidR="00BA74C5" w:rsidRPr="00BA74C5" w:rsidRDefault="00BA74C5" w:rsidP="00613D8C">
            <w:pPr>
              <w:widowControl w:val="0"/>
              <w:jc w:val="center"/>
              <w:rPr>
                <w:rFonts w:eastAsia="Calibri"/>
                <w:sz w:val="24"/>
              </w:rPr>
            </w:pPr>
            <w:r w:rsidRPr="00BA74C5">
              <w:rPr>
                <w:rFonts w:eastAsia="Calibri"/>
                <w:sz w:val="24"/>
              </w:rPr>
              <w:t>6 641 000</w:t>
            </w:r>
          </w:p>
        </w:tc>
      </w:tr>
      <w:tr w:rsidR="00BA74C5" w:rsidRPr="00EE1BB2" w:rsidTr="00613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shd w:val="clear" w:color="auto" w:fill="auto"/>
          </w:tcPr>
          <w:p w:rsidR="00BA74C5" w:rsidRPr="004A54BF" w:rsidRDefault="00BA74C5" w:rsidP="000E17FF">
            <w:pPr>
              <w:rPr>
                <w:b/>
                <w:sz w:val="24"/>
              </w:rPr>
            </w:pPr>
            <w:r w:rsidRPr="004A54BF">
              <w:rPr>
                <w:b/>
                <w:sz w:val="24"/>
              </w:rPr>
              <w:t>2. Budžeta izdevumi:</w:t>
            </w:r>
          </w:p>
        </w:tc>
        <w:tc>
          <w:tcPr>
            <w:tcW w:w="611" w:type="pct"/>
            <w:gridSpan w:val="2"/>
            <w:shd w:val="clear" w:color="auto" w:fill="auto"/>
            <w:vAlign w:val="center"/>
          </w:tcPr>
          <w:p w:rsidR="00BA74C5" w:rsidRPr="00F75AFC" w:rsidRDefault="00BA74C5" w:rsidP="00817D7B">
            <w:pPr>
              <w:jc w:val="center"/>
              <w:rPr>
                <w:b/>
                <w:sz w:val="24"/>
              </w:rPr>
            </w:pPr>
            <w:r w:rsidRPr="00F75AFC">
              <w:rPr>
                <w:b/>
                <w:sz w:val="24"/>
              </w:rPr>
              <w:t>0</w:t>
            </w:r>
          </w:p>
        </w:tc>
        <w:tc>
          <w:tcPr>
            <w:tcW w:w="649" w:type="pct"/>
            <w:gridSpan w:val="2"/>
            <w:shd w:val="clear" w:color="auto" w:fill="auto"/>
            <w:vAlign w:val="center"/>
          </w:tcPr>
          <w:p w:rsidR="00BA74C5" w:rsidRPr="00F75AFC" w:rsidRDefault="00BA74C5" w:rsidP="00817D7B">
            <w:pPr>
              <w:jc w:val="center"/>
              <w:rPr>
                <w:b/>
                <w:sz w:val="24"/>
              </w:rPr>
            </w:pPr>
            <w:r w:rsidRPr="00F75AFC">
              <w:rPr>
                <w:b/>
                <w:sz w:val="24"/>
              </w:rPr>
              <w:t>0</w:t>
            </w:r>
          </w:p>
        </w:tc>
        <w:tc>
          <w:tcPr>
            <w:tcW w:w="820" w:type="pct"/>
            <w:shd w:val="clear" w:color="auto" w:fill="auto"/>
            <w:vAlign w:val="center"/>
          </w:tcPr>
          <w:p w:rsidR="00BA74C5" w:rsidRPr="00BA74C5" w:rsidRDefault="00BA74C5" w:rsidP="00613D8C">
            <w:pPr>
              <w:widowControl w:val="0"/>
              <w:jc w:val="center"/>
              <w:rPr>
                <w:rFonts w:eastAsia="Calibri"/>
                <w:b/>
                <w:sz w:val="24"/>
              </w:rPr>
            </w:pPr>
            <w:r w:rsidRPr="00BA74C5">
              <w:rPr>
                <w:rFonts w:eastAsia="Calibri"/>
                <w:b/>
                <w:sz w:val="24"/>
              </w:rPr>
              <w:t>-31 771 000</w:t>
            </w:r>
          </w:p>
        </w:tc>
        <w:tc>
          <w:tcPr>
            <w:tcW w:w="820" w:type="pct"/>
            <w:shd w:val="clear" w:color="auto" w:fill="auto"/>
            <w:vAlign w:val="center"/>
          </w:tcPr>
          <w:p w:rsidR="00BA74C5" w:rsidRPr="00BA74C5" w:rsidRDefault="00BA74C5" w:rsidP="00613D8C">
            <w:pPr>
              <w:widowControl w:val="0"/>
              <w:jc w:val="center"/>
              <w:rPr>
                <w:rFonts w:eastAsia="Calibri"/>
                <w:b/>
                <w:sz w:val="24"/>
              </w:rPr>
            </w:pPr>
            <w:r w:rsidRPr="00BA74C5">
              <w:rPr>
                <w:rFonts w:eastAsia="Calibri"/>
                <w:b/>
                <w:sz w:val="24"/>
              </w:rPr>
              <w:t>-31 771 000</w:t>
            </w:r>
          </w:p>
        </w:tc>
        <w:tc>
          <w:tcPr>
            <w:tcW w:w="821" w:type="pct"/>
            <w:shd w:val="clear" w:color="auto" w:fill="auto"/>
            <w:vAlign w:val="center"/>
          </w:tcPr>
          <w:p w:rsidR="00BA74C5" w:rsidRPr="00BA74C5" w:rsidRDefault="00BA74C5" w:rsidP="00613D8C">
            <w:pPr>
              <w:widowControl w:val="0"/>
              <w:jc w:val="center"/>
              <w:rPr>
                <w:rFonts w:eastAsia="Calibri"/>
                <w:b/>
                <w:sz w:val="24"/>
              </w:rPr>
            </w:pPr>
            <w:r w:rsidRPr="00BA74C5">
              <w:rPr>
                <w:rFonts w:eastAsia="Calibri"/>
                <w:b/>
                <w:sz w:val="24"/>
              </w:rPr>
              <w:t>-31 771 000</w:t>
            </w:r>
          </w:p>
        </w:tc>
      </w:tr>
      <w:tr w:rsidR="00BA74C5" w:rsidRPr="00EE1BB2" w:rsidTr="00613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shd w:val="clear" w:color="auto" w:fill="auto"/>
          </w:tcPr>
          <w:p w:rsidR="00BA74C5" w:rsidRPr="00695C94" w:rsidRDefault="00BA74C5" w:rsidP="00D6423D">
            <w:pPr>
              <w:rPr>
                <w:sz w:val="22"/>
                <w:szCs w:val="22"/>
              </w:rPr>
            </w:pPr>
            <w:r w:rsidRPr="00695C94">
              <w:rPr>
                <w:sz w:val="22"/>
                <w:szCs w:val="22"/>
              </w:rPr>
              <w:t>2.1. valsts pamatbudžets</w:t>
            </w:r>
          </w:p>
        </w:tc>
        <w:tc>
          <w:tcPr>
            <w:tcW w:w="611" w:type="pct"/>
            <w:gridSpan w:val="2"/>
            <w:shd w:val="clear" w:color="auto" w:fill="auto"/>
            <w:vAlign w:val="center"/>
          </w:tcPr>
          <w:p w:rsidR="00BA74C5" w:rsidRPr="00F75AFC" w:rsidRDefault="00BA74C5" w:rsidP="00817D7B">
            <w:pPr>
              <w:jc w:val="center"/>
              <w:rPr>
                <w:sz w:val="24"/>
              </w:rPr>
            </w:pPr>
            <w:r w:rsidRPr="00F75AFC">
              <w:rPr>
                <w:sz w:val="24"/>
              </w:rPr>
              <w:t>0</w:t>
            </w:r>
          </w:p>
        </w:tc>
        <w:tc>
          <w:tcPr>
            <w:tcW w:w="649" w:type="pct"/>
            <w:gridSpan w:val="2"/>
            <w:shd w:val="clear" w:color="auto" w:fill="auto"/>
            <w:vAlign w:val="center"/>
          </w:tcPr>
          <w:p w:rsidR="00BA74C5" w:rsidRPr="00F75AFC" w:rsidRDefault="00BA74C5" w:rsidP="00817D7B">
            <w:pPr>
              <w:jc w:val="center"/>
              <w:rPr>
                <w:sz w:val="24"/>
              </w:rPr>
            </w:pPr>
            <w:r w:rsidRPr="00F75AFC">
              <w:rPr>
                <w:sz w:val="24"/>
              </w:rPr>
              <w:t>0</w:t>
            </w:r>
          </w:p>
        </w:tc>
        <w:tc>
          <w:tcPr>
            <w:tcW w:w="820" w:type="pct"/>
            <w:shd w:val="clear" w:color="auto" w:fill="auto"/>
            <w:vAlign w:val="center"/>
          </w:tcPr>
          <w:p w:rsidR="00BA74C5" w:rsidRPr="00BA74C5" w:rsidRDefault="00BA74C5" w:rsidP="00613D8C">
            <w:pPr>
              <w:widowControl w:val="0"/>
              <w:jc w:val="center"/>
              <w:rPr>
                <w:rFonts w:eastAsia="Calibri"/>
                <w:sz w:val="24"/>
              </w:rPr>
            </w:pPr>
            <w:r w:rsidRPr="00BA74C5">
              <w:rPr>
                <w:rFonts w:eastAsia="Calibri"/>
                <w:sz w:val="24"/>
              </w:rPr>
              <w:t>-24 074 000</w:t>
            </w:r>
          </w:p>
        </w:tc>
        <w:tc>
          <w:tcPr>
            <w:tcW w:w="820" w:type="pct"/>
            <w:shd w:val="clear" w:color="auto" w:fill="auto"/>
            <w:vAlign w:val="center"/>
          </w:tcPr>
          <w:p w:rsidR="00BA74C5" w:rsidRPr="00BA74C5" w:rsidRDefault="00BA74C5" w:rsidP="00613D8C">
            <w:pPr>
              <w:widowControl w:val="0"/>
              <w:jc w:val="center"/>
              <w:rPr>
                <w:rFonts w:eastAsia="Calibri"/>
                <w:sz w:val="24"/>
              </w:rPr>
            </w:pPr>
            <w:r w:rsidRPr="00BA74C5">
              <w:rPr>
                <w:rFonts w:eastAsia="Calibri"/>
                <w:sz w:val="24"/>
              </w:rPr>
              <w:t>-24 074 000</w:t>
            </w:r>
          </w:p>
        </w:tc>
        <w:tc>
          <w:tcPr>
            <w:tcW w:w="821" w:type="pct"/>
            <w:shd w:val="clear" w:color="auto" w:fill="auto"/>
            <w:vAlign w:val="center"/>
          </w:tcPr>
          <w:p w:rsidR="00BA74C5" w:rsidRPr="00BA74C5" w:rsidRDefault="00BA74C5" w:rsidP="00613D8C">
            <w:pPr>
              <w:widowControl w:val="0"/>
              <w:jc w:val="center"/>
              <w:rPr>
                <w:rFonts w:eastAsia="Calibri"/>
                <w:sz w:val="24"/>
              </w:rPr>
            </w:pPr>
            <w:r w:rsidRPr="00BA74C5">
              <w:rPr>
                <w:rFonts w:eastAsia="Calibri"/>
                <w:sz w:val="24"/>
              </w:rPr>
              <w:t>-24 074 000</w:t>
            </w:r>
          </w:p>
        </w:tc>
      </w:tr>
      <w:tr w:rsidR="00BA74C5" w:rsidRPr="00695C94" w:rsidTr="00613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shd w:val="clear" w:color="auto" w:fill="auto"/>
          </w:tcPr>
          <w:p w:rsidR="00BA74C5" w:rsidRPr="00695C94" w:rsidRDefault="00BA74C5" w:rsidP="00D6423D">
            <w:pPr>
              <w:rPr>
                <w:sz w:val="22"/>
                <w:szCs w:val="22"/>
              </w:rPr>
            </w:pPr>
            <w:r w:rsidRPr="00695C94">
              <w:rPr>
                <w:sz w:val="22"/>
                <w:szCs w:val="22"/>
              </w:rPr>
              <w:t>2.2. valsts speciālais budžets</w:t>
            </w:r>
          </w:p>
        </w:tc>
        <w:tc>
          <w:tcPr>
            <w:tcW w:w="611" w:type="pct"/>
            <w:gridSpan w:val="2"/>
            <w:shd w:val="clear" w:color="auto" w:fill="auto"/>
            <w:vAlign w:val="center"/>
          </w:tcPr>
          <w:p w:rsidR="00BA74C5" w:rsidRPr="00F75AFC" w:rsidRDefault="00BA74C5" w:rsidP="00817D7B">
            <w:pPr>
              <w:jc w:val="center"/>
              <w:rPr>
                <w:sz w:val="24"/>
              </w:rPr>
            </w:pPr>
            <w:r w:rsidRPr="00F75AFC">
              <w:rPr>
                <w:sz w:val="24"/>
              </w:rPr>
              <w:t>0</w:t>
            </w:r>
          </w:p>
        </w:tc>
        <w:tc>
          <w:tcPr>
            <w:tcW w:w="649" w:type="pct"/>
            <w:gridSpan w:val="2"/>
            <w:shd w:val="clear" w:color="auto" w:fill="auto"/>
            <w:vAlign w:val="center"/>
          </w:tcPr>
          <w:p w:rsidR="00BA74C5" w:rsidRPr="00F75AFC" w:rsidRDefault="00BA74C5" w:rsidP="00817D7B">
            <w:pPr>
              <w:jc w:val="center"/>
              <w:rPr>
                <w:sz w:val="24"/>
              </w:rPr>
            </w:pPr>
            <w:r w:rsidRPr="00F75AFC">
              <w:rPr>
                <w:sz w:val="24"/>
              </w:rPr>
              <w:t>0</w:t>
            </w:r>
          </w:p>
        </w:tc>
        <w:tc>
          <w:tcPr>
            <w:tcW w:w="820" w:type="pct"/>
            <w:shd w:val="clear" w:color="auto" w:fill="auto"/>
            <w:vAlign w:val="center"/>
          </w:tcPr>
          <w:p w:rsidR="00BA74C5" w:rsidRPr="00BA74C5" w:rsidRDefault="00BA74C5" w:rsidP="00613D8C">
            <w:pPr>
              <w:widowControl w:val="0"/>
              <w:jc w:val="center"/>
              <w:rPr>
                <w:rFonts w:eastAsia="Calibri"/>
                <w:sz w:val="24"/>
              </w:rPr>
            </w:pPr>
            <w:r w:rsidRPr="00BA74C5">
              <w:rPr>
                <w:rFonts w:eastAsia="Calibri"/>
                <w:sz w:val="24"/>
              </w:rPr>
              <w:t>0</w:t>
            </w:r>
          </w:p>
        </w:tc>
        <w:tc>
          <w:tcPr>
            <w:tcW w:w="820" w:type="pct"/>
            <w:shd w:val="clear" w:color="auto" w:fill="auto"/>
            <w:vAlign w:val="center"/>
          </w:tcPr>
          <w:p w:rsidR="00BA74C5" w:rsidRPr="00BA74C5" w:rsidRDefault="00BA74C5" w:rsidP="00613D8C">
            <w:pPr>
              <w:widowControl w:val="0"/>
              <w:jc w:val="center"/>
              <w:rPr>
                <w:rFonts w:eastAsia="Calibri"/>
                <w:sz w:val="24"/>
              </w:rPr>
            </w:pPr>
            <w:r w:rsidRPr="00BA74C5">
              <w:rPr>
                <w:rFonts w:eastAsia="Calibri"/>
                <w:sz w:val="24"/>
              </w:rPr>
              <w:t>0</w:t>
            </w:r>
          </w:p>
        </w:tc>
        <w:tc>
          <w:tcPr>
            <w:tcW w:w="821" w:type="pct"/>
            <w:shd w:val="clear" w:color="auto" w:fill="auto"/>
            <w:vAlign w:val="center"/>
          </w:tcPr>
          <w:p w:rsidR="00BA74C5" w:rsidRPr="00BA74C5" w:rsidRDefault="00BA74C5" w:rsidP="00613D8C">
            <w:pPr>
              <w:widowControl w:val="0"/>
              <w:jc w:val="center"/>
              <w:rPr>
                <w:rFonts w:eastAsia="Calibri"/>
                <w:sz w:val="24"/>
              </w:rPr>
            </w:pPr>
            <w:r w:rsidRPr="00BA74C5">
              <w:rPr>
                <w:rFonts w:eastAsia="Calibri"/>
                <w:sz w:val="24"/>
              </w:rPr>
              <w:t>0</w:t>
            </w:r>
          </w:p>
        </w:tc>
      </w:tr>
      <w:tr w:rsidR="00BA74C5" w:rsidRPr="00EE1BB2" w:rsidTr="00613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shd w:val="clear" w:color="auto" w:fill="auto"/>
          </w:tcPr>
          <w:p w:rsidR="00BA74C5" w:rsidRPr="00695C94" w:rsidRDefault="00BA74C5" w:rsidP="00D6423D">
            <w:pPr>
              <w:rPr>
                <w:sz w:val="22"/>
                <w:szCs w:val="22"/>
              </w:rPr>
            </w:pPr>
            <w:r w:rsidRPr="00695C94">
              <w:rPr>
                <w:sz w:val="22"/>
                <w:szCs w:val="22"/>
              </w:rPr>
              <w:t xml:space="preserve">2.3. pašvaldību budžets </w:t>
            </w:r>
          </w:p>
        </w:tc>
        <w:tc>
          <w:tcPr>
            <w:tcW w:w="611" w:type="pct"/>
            <w:gridSpan w:val="2"/>
            <w:shd w:val="clear" w:color="auto" w:fill="auto"/>
            <w:vAlign w:val="center"/>
          </w:tcPr>
          <w:p w:rsidR="00BA74C5" w:rsidRPr="00F75AFC" w:rsidRDefault="00BA74C5" w:rsidP="00817D7B">
            <w:pPr>
              <w:jc w:val="center"/>
              <w:rPr>
                <w:sz w:val="24"/>
              </w:rPr>
            </w:pPr>
            <w:r w:rsidRPr="00F75AFC">
              <w:rPr>
                <w:sz w:val="24"/>
              </w:rPr>
              <w:t>0</w:t>
            </w:r>
          </w:p>
        </w:tc>
        <w:tc>
          <w:tcPr>
            <w:tcW w:w="649" w:type="pct"/>
            <w:gridSpan w:val="2"/>
            <w:shd w:val="clear" w:color="auto" w:fill="auto"/>
            <w:vAlign w:val="center"/>
          </w:tcPr>
          <w:p w:rsidR="00BA74C5" w:rsidRPr="00F75AFC" w:rsidRDefault="00BA74C5" w:rsidP="00817D7B">
            <w:pPr>
              <w:jc w:val="center"/>
              <w:rPr>
                <w:sz w:val="24"/>
              </w:rPr>
            </w:pPr>
            <w:r w:rsidRPr="00F75AFC">
              <w:rPr>
                <w:sz w:val="24"/>
              </w:rPr>
              <w:t>0</w:t>
            </w:r>
          </w:p>
        </w:tc>
        <w:tc>
          <w:tcPr>
            <w:tcW w:w="820" w:type="pct"/>
            <w:shd w:val="clear" w:color="auto" w:fill="auto"/>
            <w:vAlign w:val="center"/>
          </w:tcPr>
          <w:p w:rsidR="00BA74C5" w:rsidRPr="00BA74C5" w:rsidRDefault="00BA74C5" w:rsidP="00613D8C">
            <w:pPr>
              <w:widowControl w:val="0"/>
              <w:jc w:val="center"/>
              <w:rPr>
                <w:rFonts w:eastAsia="Calibri"/>
                <w:sz w:val="24"/>
              </w:rPr>
            </w:pPr>
            <w:r w:rsidRPr="00BA74C5">
              <w:rPr>
                <w:rFonts w:eastAsia="Calibri"/>
                <w:sz w:val="24"/>
              </w:rPr>
              <w:t>-7 697 000</w:t>
            </w:r>
          </w:p>
        </w:tc>
        <w:tc>
          <w:tcPr>
            <w:tcW w:w="820" w:type="pct"/>
            <w:shd w:val="clear" w:color="auto" w:fill="auto"/>
            <w:vAlign w:val="center"/>
          </w:tcPr>
          <w:p w:rsidR="00BA74C5" w:rsidRPr="00BA74C5" w:rsidRDefault="00BA74C5" w:rsidP="00613D8C">
            <w:pPr>
              <w:widowControl w:val="0"/>
              <w:jc w:val="center"/>
              <w:rPr>
                <w:rFonts w:eastAsia="Calibri"/>
                <w:sz w:val="24"/>
              </w:rPr>
            </w:pPr>
            <w:r w:rsidRPr="00BA74C5">
              <w:rPr>
                <w:rFonts w:eastAsia="Calibri"/>
                <w:sz w:val="24"/>
              </w:rPr>
              <w:t>-7 697 000</w:t>
            </w:r>
          </w:p>
        </w:tc>
        <w:tc>
          <w:tcPr>
            <w:tcW w:w="821" w:type="pct"/>
            <w:shd w:val="clear" w:color="auto" w:fill="auto"/>
            <w:vAlign w:val="center"/>
          </w:tcPr>
          <w:p w:rsidR="00BA74C5" w:rsidRPr="00BA74C5" w:rsidRDefault="00BA74C5" w:rsidP="00613D8C">
            <w:pPr>
              <w:widowControl w:val="0"/>
              <w:jc w:val="center"/>
              <w:rPr>
                <w:rFonts w:eastAsia="Calibri"/>
                <w:sz w:val="24"/>
              </w:rPr>
            </w:pPr>
            <w:r w:rsidRPr="00BA74C5">
              <w:rPr>
                <w:rFonts w:eastAsia="Calibri"/>
                <w:sz w:val="24"/>
              </w:rPr>
              <w:t>-7 697 000</w:t>
            </w:r>
          </w:p>
        </w:tc>
      </w:tr>
      <w:tr w:rsidR="00BA74C5" w:rsidRPr="00EE1BB2" w:rsidTr="00613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shd w:val="clear" w:color="auto" w:fill="auto"/>
          </w:tcPr>
          <w:p w:rsidR="00BA74C5" w:rsidRPr="004A54BF" w:rsidRDefault="00BA74C5" w:rsidP="006626E4">
            <w:pPr>
              <w:rPr>
                <w:b/>
                <w:sz w:val="24"/>
              </w:rPr>
            </w:pPr>
            <w:r w:rsidRPr="004A54BF">
              <w:rPr>
                <w:b/>
                <w:sz w:val="24"/>
              </w:rPr>
              <w:t>3. Finansiālā ietekme:</w:t>
            </w:r>
          </w:p>
        </w:tc>
        <w:tc>
          <w:tcPr>
            <w:tcW w:w="611" w:type="pct"/>
            <w:gridSpan w:val="2"/>
            <w:shd w:val="clear" w:color="auto" w:fill="auto"/>
            <w:vAlign w:val="center"/>
          </w:tcPr>
          <w:p w:rsidR="00BA74C5" w:rsidRPr="00F75AFC" w:rsidRDefault="00BA74C5" w:rsidP="00817D7B">
            <w:pPr>
              <w:jc w:val="center"/>
              <w:rPr>
                <w:sz w:val="24"/>
              </w:rPr>
            </w:pPr>
            <w:r w:rsidRPr="00F75AFC">
              <w:rPr>
                <w:sz w:val="24"/>
              </w:rPr>
              <w:t>0</w:t>
            </w:r>
          </w:p>
        </w:tc>
        <w:tc>
          <w:tcPr>
            <w:tcW w:w="649" w:type="pct"/>
            <w:gridSpan w:val="2"/>
            <w:shd w:val="clear" w:color="auto" w:fill="auto"/>
            <w:vAlign w:val="center"/>
          </w:tcPr>
          <w:p w:rsidR="00BA74C5" w:rsidRPr="00F75AFC" w:rsidRDefault="00BA74C5" w:rsidP="00817D7B">
            <w:pPr>
              <w:jc w:val="center"/>
              <w:rPr>
                <w:sz w:val="24"/>
              </w:rPr>
            </w:pPr>
            <w:r w:rsidRPr="00F75AFC">
              <w:rPr>
                <w:sz w:val="24"/>
              </w:rPr>
              <w:t>0</w:t>
            </w:r>
          </w:p>
        </w:tc>
        <w:tc>
          <w:tcPr>
            <w:tcW w:w="820" w:type="pct"/>
            <w:shd w:val="clear" w:color="auto" w:fill="auto"/>
            <w:vAlign w:val="center"/>
          </w:tcPr>
          <w:p w:rsidR="00BA74C5" w:rsidRPr="00BA74C5" w:rsidRDefault="00BA74C5" w:rsidP="00613D8C">
            <w:pPr>
              <w:widowControl w:val="0"/>
              <w:jc w:val="center"/>
              <w:rPr>
                <w:rFonts w:eastAsia="Calibri"/>
                <w:b/>
                <w:sz w:val="24"/>
              </w:rPr>
            </w:pPr>
            <w:r w:rsidRPr="00BA74C5">
              <w:rPr>
                <w:rFonts w:eastAsia="Calibri"/>
                <w:b/>
                <w:sz w:val="24"/>
              </w:rPr>
              <w:t>987 000</w:t>
            </w:r>
          </w:p>
        </w:tc>
        <w:tc>
          <w:tcPr>
            <w:tcW w:w="820" w:type="pct"/>
            <w:shd w:val="clear" w:color="auto" w:fill="auto"/>
            <w:vAlign w:val="center"/>
          </w:tcPr>
          <w:p w:rsidR="00BA74C5" w:rsidRPr="00BA74C5" w:rsidRDefault="00BA74C5" w:rsidP="00613D8C">
            <w:pPr>
              <w:widowControl w:val="0"/>
              <w:jc w:val="center"/>
              <w:rPr>
                <w:rFonts w:eastAsia="Calibri"/>
                <w:b/>
                <w:sz w:val="24"/>
              </w:rPr>
            </w:pPr>
            <w:r w:rsidRPr="00BA74C5">
              <w:rPr>
                <w:rFonts w:eastAsia="Calibri"/>
                <w:b/>
                <w:sz w:val="24"/>
              </w:rPr>
              <w:t>715 000</w:t>
            </w:r>
          </w:p>
        </w:tc>
        <w:tc>
          <w:tcPr>
            <w:tcW w:w="821" w:type="pct"/>
            <w:shd w:val="clear" w:color="auto" w:fill="auto"/>
            <w:vAlign w:val="center"/>
          </w:tcPr>
          <w:p w:rsidR="00BA74C5" w:rsidRPr="00BA74C5" w:rsidRDefault="00BA74C5" w:rsidP="00613D8C">
            <w:pPr>
              <w:widowControl w:val="0"/>
              <w:jc w:val="center"/>
              <w:rPr>
                <w:rFonts w:eastAsia="Calibri"/>
                <w:b/>
                <w:sz w:val="24"/>
              </w:rPr>
            </w:pPr>
            <w:r w:rsidRPr="00BA74C5">
              <w:rPr>
                <w:rFonts w:eastAsia="Calibri"/>
                <w:b/>
                <w:sz w:val="24"/>
              </w:rPr>
              <w:t>534 000</w:t>
            </w:r>
          </w:p>
        </w:tc>
      </w:tr>
      <w:tr w:rsidR="00BA74C5" w:rsidRPr="00695C94" w:rsidTr="00613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shd w:val="clear" w:color="auto" w:fill="auto"/>
          </w:tcPr>
          <w:p w:rsidR="00BA74C5" w:rsidRPr="00695C94" w:rsidRDefault="00BA74C5" w:rsidP="00695C94">
            <w:pPr>
              <w:jc w:val="both"/>
              <w:rPr>
                <w:sz w:val="22"/>
                <w:szCs w:val="22"/>
              </w:rPr>
            </w:pPr>
            <w:r w:rsidRPr="00695C94">
              <w:rPr>
                <w:sz w:val="22"/>
                <w:szCs w:val="22"/>
              </w:rPr>
              <w:t>3.1. valsts pamatbudžets</w:t>
            </w:r>
          </w:p>
        </w:tc>
        <w:tc>
          <w:tcPr>
            <w:tcW w:w="611" w:type="pct"/>
            <w:gridSpan w:val="2"/>
            <w:shd w:val="clear" w:color="auto" w:fill="auto"/>
            <w:vAlign w:val="center"/>
          </w:tcPr>
          <w:p w:rsidR="00BA74C5" w:rsidRPr="00F75AFC" w:rsidRDefault="00BA74C5" w:rsidP="00817D7B">
            <w:pPr>
              <w:jc w:val="center"/>
              <w:rPr>
                <w:sz w:val="24"/>
              </w:rPr>
            </w:pPr>
            <w:r w:rsidRPr="00F75AFC">
              <w:rPr>
                <w:sz w:val="24"/>
              </w:rPr>
              <w:t>0</w:t>
            </w:r>
          </w:p>
        </w:tc>
        <w:tc>
          <w:tcPr>
            <w:tcW w:w="649" w:type="pct"/>
            <w:gridSpan w:val="2"/>
            <w:shd w:val="clear" w:color="auto" w:fill="auto"/>
            <w:vAlign w:val="center"/>
          </w:tcPr>
          <w:p w:rsidR="00BA74C5" w:rsidRPr="00F75AFC" w:rsidRDefault="00BA74C5" w:rsidP="00817D7B">
            <w:pPr>
              <w:jc w:val="center"/>
              <w:rPr>
                <w:sz w:val="24"/>
              </w:rPr>
            </w:pPr>
            <w:r w:rsidRPr="00F75AFC">
              <w:rPr>
                <w:sz w:val="24"/>
              </w:rPr>
              <w:t>0</w:t>
            </w:r>
          </w:p>
        </w:tc>
        <w:tc>
          <w:tcPr>
            <w:tcW w:w="820" w:type="pct"/>
            <w:shd w:val="clear" w:color="auto" w:fill="auto"/>
            <w:vAlign w:val="center"/>
          </w:tcPr>
          <w:p w:rsidR="00BA74C5" w:rsidRPr="00BA74C5" w:rsidRDefault="00BA74C5" w:rsidP="00613D8C">
            <w:pPr>
              <w:widowControl w:val="0"/>
              <w:jc w:val="center"/>
              <w:rPr>
                <w:rFonts w:eastAsia="Calibri"/>
                <w:sz w:val="24"/>
              </w:rPr>
            </w:pPr>
            <w:r w:rsidRPr="00BA74C5">
              <w:rPr>
                <w:rFonts w:eastAsia="Calibri"/>
                <w:sz w:val="24"/>
              </w:rPr>
              <w:t>-18 312 000</w:t>
            </w:r>
          </w:p>
        </w:tc>
        <w:tc>
          <w:tcPr>
            <w:tcW w:w="820" w:type="pct"/>
            <w:shd w:val="clear" w:color="auto" w:fill="auto"/>
            <w:vAlign w:val="center"/>
          </w:tcPr>
          <w:p w:rsidR="00BA74C5" w:rsidRPr="00BA74C5" w:rsidRDefault="00BA74C5" w:rsidP="00613D8C">
            <w:pPr>
              <w:widowControl w:val="0"/>
              <w:jc w:val="center"/>
              <w:rPr>
                <w:rFonts w:eastAsia="Calibri"/>
                <w:sz w:val="24"/>
              </w:rPr>
            </w:pPr>
            <w:r w:rsidRPr="00BA74C5">
              <w:rPr>
                <w:rFonts w:eastAsia="Calibri"/>
                <w:sz w:val="24"/>
              </w:rPr>
              <w:t>-18 350 000</w:t>
            </w:r>
          </w:p>
        </w:tc>
        <w:tc>
          <w:tcPr>
            <w:tcW w:w="821" w:type="pct"/>
            <w:shd w:val="clear" w:color="auto" w:fill="auto"/>
            <w:vAlign w:val="center"/>
          </w:tcPr>
          <w:p w:rsidR="00BA74C5" w:rsidRPr="00BA74C5" w:rsidRDefault="00BA74C5" w:rsidP="00613D8C">
            <w:pPr>
              <w:widowControl w:val="0"/>
              <w:jc w:val="center"/>
              <w:rPr>
                <w:rFonts w:eastAsia="Calibri"/>
                <w:sz w:val="24"/>
              </w:rPr>
            </w:pPr>
            <w:r w:rsidRPr="00BA74C5">
              <w:rPr>
                <w:rFonts w:eastAsia="Calibri"/>
                <w:sz w:val="24"/>
              </w:rPr>
              <w:t>-18 376 000</w:t>
            </w:r>
          </w:p>
        </w:tc>
      </w:tr>
      <w:tr w:rsidR="00BA74C5" w:rsidRPr="00695C94" w:rsidTr="00613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shd w:val="clear" w:color="auto" w:fill="auto"/>
          </w:tcPr>
          <w:p w:rsidR="00BA74C5" w:rsidRPr="00695C94" w:rsidRDefault="00BA74C5" w:rsidP="00695C94">
            <w:pPr>
              <w:jc w:val="both"/>
              <w:rPr>
                <w:sz w:val="22"/>
                <w:szCs w:val="22"/>
              </w:rPr>
            </w:pPr>
            <w:r w:rsidRPr="00695C94">
              <w:rPr>
                <w:sz w:val="22"/>
                <w:szCs w:val="22"/>
              </w:rPr>
              <w:t>3.2. speciālais budžets</w:t>
            </w:r>
          </w:p>
        </w:tc>
        <w:tc>
          <w:tcPr>
            <w:tcW w:w="611" w:type="pct"/>
            <w:gridSpan w:val="2"/>
            <w:shd w:val="clear" w:color="auto" w:fill="auto"/>
            <w:vAlign w:val="center"/>
          </w:tcPr>
          <w:p w:rsidR="00BA74C5" w:rsidRPr="00F75AFC" w:rsidRDefault="00BA74C5" w:rsidP="00817D7B">
            <w:pPr>
              <w:jc w:val="center"/>
              <w:rPr>
                <w:sz w:val="24"/>
              </w:rPr>
            </w:pPr>
            <w:r w:rsidRPr="00F75AFC">
              <w:rPr>
                <w:sz w:val="24"/>
              </w:rPr>
              <w:t>0</w:t>
            </w:r>
          </w:p>
        </w:tc>
        <w:tc>
          <w:tcPr>
            <w:tcW w:w="649" w:type="pct"/>
            <w:gridSpan w:val="2"/>
            <w:shd w:val="clear" w:color="auto" w:fill="auto"/>
            <w:vAlign w:val="center"/>
          </w:tcPr>
          <w:p w:rsidR="00BA74C5" w:rsidRPr="00F75AFC" w:rsidRDefault="00BA74C5" w:rsidP="00817D7B">
            <w:pPr>
              <w:jc w:val="center"/>
              <w:rPr>
                <w:sz w:val="24"/>
              </w:rPr>
            </w:pPr>
            <w:r w:rsidRPr="00F75AFC">
              <w:rPr>
                <w:sz w:val="24"/>
              </w:rPr>
              <w:t>0</w:t>
            </w:r>
          </w:p>
        </w:tc>
        <w:tc>
          <w:tcPr>
            <w:tcW w:w="820" w:type="pct"/>
            <w:shd w:val="clear" w:color="auto" w:fill="auto"/>
            <w:vAlign w:val="center"/>
          </w:tcPr>
          <w:p w:rsidR="00BA74C5" w:rsidRPr="00BA74C5" w:rsidRDefault="00BA74C5" w:rsidP="00613D8C">
            <w:pPr>
              <w:widowControl w:val="0"/>
              <w:jc w:val="center"/>
              <w:rPr>
                <w:rFonts w:eastAsia="Calibri"/>
                <w:sz w:val="24"/>
              </w:rPr>
            </w:pPr>
            <w:r w:rsidRPr="00BA74C5">
              <w:rPr>
                <w:rFonts w:eastAsia="Calibri"/>
                <w:sz w:val="24"/>
              </w:rPr>
              <w:t>19 966 000</w:t>
            </w:r>
          </w:p>
        </w:tc>
        <w:tc>
          <w:tcPr>
            <w:tcW w:w="820" w:type="pct"/>
            <w:shd w:val="clear" w:color="auto" w:fill="auto"/>
            <w:vAlign w:val="center"/>
          </w:tcPr>
          <w:p w:rsidR="00BA74C5" w:rsidRPr="00BA74C5" w:rsidRDefault="00BA74C5" w:rsidP="00613D8C">
            <w:pPr>
              <w:widowControl w:val="0"/>
              <w:jc w:val="center"/>
              <w:rPr>
                <w:rFonts w:eastAsia="Calibri"/>
                <w:sz w:val="24"/>
              </w:rPr>
            </w:pPr>
            <w:r w:rsidRPr="00BA74C5">
              <w:rPr>
                <w:rFonts w:eastAsia="Calibri"/>
                <w:sz w:val="24"/>
              </w:rPr>
              <w:t>19 966 000</w:t>
            </w:r>
          </w:p>
        </w:tc>
        <w:tc>
          <w:tcPr>
            <w:tcW w:w="821" w:type="pct"/>
            <w:shd w:val="clear" w:color="auto" w:fill="auto"/>
            <w:vAlign w:val="center"/>
          </w:tcPr>
          <w:p w:rsidR="00BA74C5" w:rsidRPr="00BA74C5" w:rsidRDefault="00BA74C5" w:rsidP="00613D8C">
            <w:pPr>
              <w:widowControl w:val="0"/>
              <w:jc w:val="center"/>
              <w:rPr>
                <w:rFonts w:eastAsia="Calibri"/>
                <w:sz w:val="24"/>
              </w:rPr>
            </w:pPr>
            <w:r w:rsidRPr="00BA74C5">
              <w:rPr>
                <w:rFonts w:eastAsia="Calibri"/>
                <w:sz w:val="24"/>
              </w:rPr>
              <w:t>19 966 000</w:t>
            </w:r>
          </w:p>
        </w:tc>
      </w:tr>
      <w:tr w:rsidR="00BA74C5" w:rsidRPr="00695C94" w:rsidTr="00613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shd w:val="clear" w:color="auto" w:fill="auto"/>
          </w:tcPr>
          <w:p w:rsidR="00BA74C5" w:rsidRPr="00695C94" w:rsidRDefault="00BA74C5" w:rsidP="00695C94">
            <w:pPr>
              <w:jc w:val="both"/>
              <w:rPr>
                <w:sz w:val="22"/>
                <w:szCs w:val="22"/>
              </w:rPr>
            </w:pPr>
            <w:r w:rsidRPr="00695C94">
              <w:rPr>
                <w:sz w:val="22"/>
                <w:szCs w:val="22"/>
              </w:rPr>
              <w:t xml:space="preserve">3.3. pašvaldību budžets </w:t>
            </w:r>
          </w:p>
        </w:tc>
        <w:tc>
          <w:tcPr>
            <w:tcW w:w="611" w:type="pct"/>
            <w:gridSpan w:val="2"/>
            <w:shd w:val="clear" w:color="auto" w:fill="auto"/>
            <w:vAlign w:val="center"/>
          </w:tcPr>
          <w:p w:rsidR="00BA74C5" w:rsidRPr="00F75AFC" w:rsidRDefault="00BA74C5" w:rsidP="00817D7B">
            <w:pPr>
              <w:jc w:val="center"/>
              <w:rPr>
                <w:sz w:val="24"/>
              </w:rPr>
            </w:pPr>
            <w:r w:rsidRPr="00F75AFC">
              <w:rPr>
                <w:sz w:val="24"/>
              </w:rPr>
              <w:t>0</w:t>
            </w:r>
          </w:p>
        </w:tc>
        <w:tc>
          <w:tcPr>
            <w:tcW w:w="649" w:type="pct"/>
            <w:gridSpan w:val="2"/>
            <w:shd w:val="clear" w:color="auto" w:fill="auto"/>
            <w:vAlign w:val="center"/>
          </w:tcPr>
          <w:p w:rsidR="00BA74C5" w:rsidRPr="00F75AFC" w:rsidRDefault="00BA74C5" w:rsidP="00817D7B">
            <w:pPr>
              <w:jc w:val="center"/>
              <w:rPr>
                <w:sz w:val="24"/>
              </w:rPr>
            </w:pPr>
            <w:r w:rsidRPr="00F75AFC">
              <w:rPr>
                <w:sz w:val="24"/>
              </w:rPr>
              <w:t>0</w:t>
            </w:r>
          </w:p>
        </w:tc>
        <w:tc>
          <w:tcPr>
            <w:tcW w:w="820" w:type="pct"/>
            <w:shd w:val="clear" w:color="auto" w:fill="auto"/>
            <w:vAlign w:val="center"/>
          </w:tcPr>
          <w:p w:rsidR="00BA74C5" w:rsidRPr="00BA74C5" w:rsidRDefault="00BA74C5" w:rsidP="00613D8C">
            <w:pPr>
              <w:widowControl w:val="0"/>
              <w:jc w:val="center"/>
              <w:rPr>
                <w:rFonts w:eastAsia="Calibri"/>
                <w:sz w:val="24"/>
              </w:rPr>
            </w:pPr>
            <w:r w:rsidRPr="00BA74C5">
              <w:rPr>
                <w:rFonts w:eastAsia="Calibri"/>
                <w:sz w:val="24"/>
              </w:rPr>
              <w:t>-667 000</w:t>
            </w:r>
          </w:p>
        </w:tc>
        <w:tc>
          <w:tcPr>
            <w:tcW w:w="820" w:type="pct"/>
            <w:shd w:val="clear" w:color="auto" w:fill="auto"/>
            <w:vAlign w:val="center"/>
          </w:tcPr>
          <w:p w:rsidR="00BA74C5" w:rsidRPr="00BA74C5" w:rsidRDefault="00BA74C5" w:rsidP="00613D8C">
            <w:pPr>
              <w:widowControl w:val="0"/>
              <w:jc w:val="center"/>
              <w:rPr>
                <w:rFonts w:eastAsia="Calibri"/>
                <w:sz w:val="24"/>
              </w:rPr>
            </w:pPr>
            <w:r w:rsidRPr="00BA74C5">
              <w:rPr>
                <w:rFonts w:eastAsia="Calibri"/>
                <w:sz w:val="24"/>
              </w:rPr>
              <w:t>-901 000</w:t>
            </w:r>
          </w:p>
        </w:tc>
        <w:tc>
          <w:tcPr>
            <w:tcW w:w="821" w:type="pct"/>
            <w:shd w:val="clear" w:color="auto" w:fill="auto"/>
            <w:vAlign w:val="center"/>
          </w:tcPr>
          <w:p w:rsidR="00BA74C5" w:rsidRPr="00BA74C5" w:rsidRDefault="00BA74C5" w:rsidP="00613D8C">
            <w:pPr>
              <w:widowControl w:val="0"/>
              <w:jc w:val="center"/>
              <w:rPr>
                <w:rFonts w:eastAsia="Calibri"/>
                <w:sz w:val="24"/>
              </w:rPr>
            </w:pPr>
            <w:r w:rsidRPr="00BA74C5">
              <w:rPr>
                <w:rFonts w:eastAsia="Calibri"/>
                <w:sz w:val="24"/>
              </w:rPr>
              <w:t>-1 056 000</w:t>
            </w:r>
          </w:p>
        </w:tc>
      </w:tr>
      <w:tr w:rsidR="00BD2499" w:rsidRPr="00695C94" w:rsidTr="00613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shd w:val="clear" w:color="auto" w:fill="auto"/>
          </w:tcPr>
          <w:p w:rsidR="00BD2499" w:rsidRPr="00EE1BB2" w:rsidRDefault="00BD2499" w:rsidP="00BD2499">
            <w:r w:rsidRPr="00695C94">
              <w:rPr>
                <w:sz w:val="22"/>
                <w:szCs w:val="22"/>
              </w:rPr>
              <w:t>4. Finanšu līdzekļi papildu izdevumu finansēšanai (kompensējošu izdevumu samazinājumu norāda ar "+" zīmi)</w:t>
            </w:r>
          </w:p>
        </w:tc>
        <w:tc>
          <w:tcPr>
            <w:tcW w:w="611" w:type="pct"/>
            <w:gridSpan w:val="2"/>
            <w:shd w:val="clear" w:color="auto" w:fill="auto"/>
            <w:vAlign w:val="center"/>
          </w:tcPr>
          <w:p w:rsidR="00BD2499" w:rsidRPr="00DA192B" w:rsidRDefault="00BD2499" w:rsidP="00BD2499">
            <w:pPr>
              <w:jc w:val="center"/>
              <w:rPr>
                <w:b/>
                <w:sz w:val="24"/>
              </w:rPr>
            </w:pPr>
            <w:r w:rsidRPr="00DA192B">
              <w:rPr>
                <w:b/>
                <w:sz w:val="24"/>
              </w:rPr>
              <w:t>x</w:t>
            </w:r>
          </w:p>
        </w:tc>
        <w:tc>
          <w:tcPr>
            <w:tcW w:w="649" w:type="pct"/>
            <w:gridSpan w:val="2"/>
            <w:shd w:val="clear" w:color="auto" w:fill="auto"/>
            <w:vAlign w:val="center"/>
          </w:tcPr>
          <w:p w:rsidR="00BD2499" w:rsidRPr="00DA192B" w:rsidRDefault="005A39FD" w:rsidP="00BD2499">
            <w:pPr>
              <w:jc w:val="center"/>
              <w:rPr>
                <w:sz w:val="24"/>
              </w:rPr>
            </w:pPr>
            <w:r w:rsidRPr="00DA192B">
              <w:rPr>
                <w:sz w:val="24"/>
              </w:rPr>
              <w:t>0</w:t>
            </w:r>
          </w:p>
        </w:tc>
        <w:tc>
          <w:tcPr>
            <w:tcW w:w="820" w:type="pct"/>
            <w:shd w:val="clear" w:color="auto" w:fill="auto"/>
            <w:vAlign w:val="center"/>
          </w:tcPr>
          <w:p w:rsidR="00BD2499" w:rsidRPr="00DA192B" w:rsidRDefault="005A39FD" w:rsidP="00BD2499">
            <w:pPr>
              <w:jc w:val="center"/>
              <w:rPr>
                <w:sz w:val="24"/>
              </w:rPr>
            </w:pPr>
            <w:r w:rsidRPr="00DA192B">
              <w:rPr>
                <w:sz w:val="24"/>
              </w:rPr>
              <w:t>0</w:t>
            </w:r>
          </w:p>
        </w:tc>
        <w:tc>
          <w:tcPr>
            <w:tcW w:w="820" w:type="pct"/>
            <w:shd w:val="clear" w:color="auto" w:fill="auto"/>
            <w:vAlign w:val="center"/>
          </w:tcPr>
          <w:p w:rsidR="00BD2499" w:rsidRPr="00DA192B" w:rsidRDefault="005A39FD" w:rsidP="00BD2499">
            <w:pPr>
              <w:jc w:val="center"/>
              <w:rPr>
                <w:sz w:val="24"/>
              </w:rPr>
            </w:pPr>
            <w:r w:rsidRPr="00DA192B">
              <w:rPr>
                <w:sz w:val="24"/>
              </w:rPr>
              <w:t>0</w:t>
            </w:r>
          </w:p>
        </w:tc>
        <w:tc>
          <w:tcPr>
            <w:tcW w:w="821" w:type="pct"/>
            <w:shd w:val="clear" w:color="auto" w:fill="auto"/>
            <w:vAlign w:val="center"/>
          </w:tcPr>
          <w:p w:rsidR="00BD2499" w:rsidRPr="00DA192B" w:rsidRDefault="005A39FD" w:rsidP="00BD2499">
            <w:pPr>
              <w:jc w:val="center"/>
              <w:rPr>
                <w:sz w:val="24"/>
              </w:rPr>
            </w:pPr>
            <w:r w:rsidRPr="00DA192B">
              <w:rPr>
                <w:sz w:val="24"/>
              </w:rPr>
              <w:t>0</w:t>
            </w:r>
          </w:p>
        </w:tc>
      </w:tr>
      <w:tr w:rsidR="00613D8C" w:rsidRPr="00695C94" w:rsidTr="00613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shd w:val="clear" w:color="auto" w:fill="auto"/>
          </w:tcPr>
          <w:p w:rsidR="00613D8C" w:rsidRPr="00695C94" w:rsidRDefault="00613D8C" w:rsidP="00BD2499">
            <w:pPr>
              <w:rPr>
                <w:sz w:val="22"/>
                <w:szCs w:val="22"/>
              </w:rPr>
            </w:pPr>
            <w:r w:rsidRPr="00695C94">
              <w:rPr>
                <w:sz w:val="22"/>
                <w:szCs w:val="22"/>
              </w:rPr>
              <w:t>5. Precizēta finansiālā ietekme:</w:t>
            </w:r>
          </w:p>
        </w:tc>
        <w:tc>
          <w:tcPr>
            <w:tcW w:w="611" w:type="pct"/>
            <w:gridSpan w:val="2"/>
            <w:vMerge w:val="restart"/>
            <w:shd w:val="clear" w:color="auto" w:fill="auto"/>
            <w:vAlign w:val="center"/>
          </w:tcPr>
          <w:p w:rsidR="00613D8C" w:rsidRPr="00DA192B" w:rsidRDefault="00613D8C" w:rsidP="00613D8C">
            <w:pPr>
              <w:widowControl w:val="0"/>
              <w:jc w:val="center"/>
              <w:rPr>
                <w:b/>
                <w:sz w:val="24"/>
              </w:rPr>
            </w:pPr>
            <w:r w:rsidRPr="00DA192B">
              <w:rPr>
                <w:rFonts w:eastAsia="Calibri"/>
                <w:b/>
                <w:sz w:val="24"/>
              </w:rPr>
              <w:t>x</w:t>
            </w:r>
          </w:p>
        </w:tc>
        <w:tc>
          <w:tcPr>
            <w:tcW w:w="649" w:type="pct"/>
            <w:gridSpan w:val="2"/>
            <w:shd w:val="clear" w:color="auto" w:fill="auto"/>
            <w:vAlign w:val="center"/>
          </w:tcPr>
          <w:p w:rsidR="00613D8C" w:rsidRPr="00DA192B" w:rsidRDefault="00DA192B" w:rsidP="00613D8C">
            <w:pPr>
              <w:widowControl w:val="0"/>
              <w:jc w:val="center"/>
              <w:rPr>
                <w:rFonts w:eastAsia="Calibri"/>
                <w:iCs/>
                <w:sz w:val="24"/>
              </w:rPr>
            </w:pPr>
            <w:r w:rsidRPr="00DA192B">
              <w:rPr>
                <w:rFonts w:eastAsia="Calibri"/>
                <w:iCs/>
                <w:sz w:val="24"/>
              </w:rPr>
              <w:t>0</w:t>
            </w:r>
          </w:p>
        </w:tc>
        <w:tc>
          <w:tcPr>
            <w:tcW w:w="820" w:type="pct"/>
            <w:shd w:val="clear" w:color="auto" w:fill="auto"/>
            <w:vAlign w:val="center"/>
          </w:tcPr>
          <w:p w:rsidR="00613D8C" w:rsidRPr="00DA192B" w:rsidRDefault="00613D8C" w:rsidP="00613D8C">
            <w:pPr>
              <w:widowControl w:val="0"/>
              <w:jc w:val="center"/>
              <w:rPr>
                <w:rFonts w:eastAsia="Calibri"/>
                <w:iCs/>
                <w:sz w:val="24"/>
              </w:rPr>
            </w:pPr>
            <w:r w:rsidRPr="00DA192B">
              <w:rPr>
                <w:rFonts w:eastAsia="Calibri"/>
                <w:b/>
                <w:sz w:val="24"/>
              </w:rPr>
              <w:t>987 000</w:t>
            </w:r>
          </w:p>
        </w:tc>
        <w:tc>
          <w:tcPr>
            <w:tcW w:w="820" w:type="pct"/>
            <w:shd w:val="clear" w:color="auto" w:fill="auto"/>
            <w:vAlign w:val="center"/>
          </w:tcPr>
          <w:p w:rsidR="00613D8C" w:rsidRPr="00DA192B" w:rsidRDefault="00613D8C" w:rsidP="00613D8C">
            <w:pPr>
              <w:widowControl w:val="0"/>
              <w:jc w:val="center"/>
              <w:rPr>
                <w:rFonts w:eastAsia="Calibri"/>
                <w:iCs/>
                <w:sz w:val="24"/>
              </w:rPr>
            </w:pPr>
            <w:r w:rsidRPr="00DA192B">
              <w:rPr>
                <w:rFonts w:eastAsia="Calibri"/>
                <w:b/>
                <w:sz w:val="24"/>
              </w:rPr>
              <w:t>715 000</w:t>
            </w:r>
          </w:p>
        </w:tc>
        <w:tc>
          <w:tcPr>
            <w:tcW w:w="821" w:type="pct"/>
            <w:shd w:val="clear" w:color="auto" w:fill="auto"/>
            <w:vAlign w:val="center"/>
          </w:tcPr>
          <w:p w:rsidR="00613D8C" w:rsidRPr="00DA192B" w:rsidRDefault="00613D8C" w:rsidP="00613D8C">
            <w:pPr>
              <w:widowControl w:val="0"/>
              <w:jc w:val="center"/>
              <w:rPr>
                <w:rFonts w:eastAsia="Calibri"/>
                <w:iCs/>
                <w:sz w:val="24"/>
              </w:rPr>
            </w:pPr>
            <w:r w:rsidRPr="00DA192B">
              <w:rPr>
                <w:rFonts w:eastAsia="Calibri"/>
                <w:b/>
                <w:sz w:val="24"/>
              </w:rPr>
              <w:t>534 000</w:t>
            </w:r>
          </w:p>
        </w:tc>
      </w:tr>
      <w:tr w:rsidR="00613D8C" w:rsidRPr="00695C94" w:rsidTr="00613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shd w:val="clear" w:color="auto" w:fill="auto"/>
          </w:tcPr>
          <w:p w:rsidR="00613D8C" w:rsidRPr="00695C94" w:rsidRDefault="00613D8C" w:rsidP="00BD2499">
            <w:pPr>
              <w:jc w:val="both"/>
              <w:rPr>
                <w:sz w:val="22"/>
                <w:szCs w:val="22"/>
              </w:rPr>
            </w:pPr>
            <w:r w:rsidRPr="00695C94">
              <w:rPr>
                <w:sz w:val="22"/>
                <w:szCs w:val="22"/>
              </w:rPr>
              <w:t>5.1. valsts pamatbudžets</w:t>
            </w:r>
          </w:p>
        </w:tc>
        <w:tc>
          <w:tcPr>
            <w:tcW w:w="611" w:type="pct"/>
            <w:gridSpan w:val="2"/>
            <w:vMerge/>
            <w:shd w:val="clear" w:color="auto" w:fill="auto"/>
          </w:tcPr>
          <w:p w:rsidR="00613D8C" w:rsidRPr="00DA192B" w:rsidRDefault="00613D8C" w:rsidP="00BD2499">
            <w:pPr>
              <w:jc w:val="center"/>
              <w:rPr>
                <w:sz w:val="24"/>
              </w:rPr>
            </w:pPr>
          </w:p>
        </w:tc>
        <w:tc>
          <w:tcPr>
            <w:tcW w:w="649" w:type="pct"/>
            <w:gridSpan w:val="2"/>
            <w:shd w:val="clear" w:color="auto" w:fill="auto"/>
            <w:vAlign w:val="center"/>
          </w:tcPr>
          <w:p w:rsidR="00613D8C" w:rsidRPr="00DA192B" w:rsidRDefault="00DA192B" w:rsidP="00613D8C">
            <w:pPr>
              <w:widowControl w:val="0"/>
              <w:jc w:val="center"/>
              <w:rPr>
                <w:rFonts w:eastAsia="Calibri"/>
                <w:sz w:val="24"/>
              </w:rPr>
            </w:pPr>
            <w:r w:rsidRPr="00DA192B">
              <w:rPr>
                <w:rFonts w:eastAsia="Calibri"/>
                <w:sz w:val="24"/>
              </w:rPr>
              <w:t>0</w:t>
            </w:r>
          </w:p>
        </w:tc>
        <w:tc>
          <w:tcPr>
            <w:tcW w:w="820" w:type="pct"/>
            <w:shd w:val="clear" w:color="auto" w:fill="auto"/>
            <w:vAlign w:val="center"/>
          </w:tcPr>
          <w:p w:rsidR="00613D8C" w:rsidRPr="00DA192B" w:rsidRDefault="00613D8C" w:rsidP="00613D8C">
            <w:pPr>
              <w:widowControl w:val="0"/>
              <w:jc w:val="center"/>
              <w:rPr>
                <w:rFonts w:eastAsia="Calibri"/>
                <w:sz w:val="24"/>
              </w:rPr>
            </w:pPr>
            <w:r w:rsidRPr="00DA192B">
              <w:rPr>
                <w:rFonts w:eastAsia="Calibri"/>
                <w:sz w:val="24"/>
              </w:rPr>
              <w:t>-18 312 000</w:t>
            </w:r>
          </w:p>
        </w:tc>
        <w:tc>
          <w:tcPr>
            <w:tcW w:w="820" w:type="pct"/>
            <w:shd w:val="clear" w:color="auto" w:fill="auto"/>
            <w:vAlign w:val="center"/>
          </w:tcPr>
          <w:p w:rsidR="00613D8C" w:rsidRPr="00DA192B" w:rsidRDefault="00613D8C" w:rsidP="00613D8C">
            <w:pPr>
              <w:widowControl w:val="0"/>
              <w:jc w:val="center"/>
              <w:rPr>
                <w:rFonts w:eastAsia="Calibri"/>
                <w:sz w:val="24"/>
              </w:rPr>
            </w:pPr>
            <w:r w:rsidRPr="00DA192B">
              <w:rPr>
                <w:rFonts w:eastAsia="Calibri"/>
                <w:sz w:val="24"/>
              </w:rPr>
              <w:t>-18 350 000</w:t>
            </w:r>
          </w:p>
        </w:tc>
        <w:tc>
          <w:tcPr>
            <w:tcW w:w="821" w:type="pct"/>
            <w:shd w:val="clear" w:color="auto" w:fill="auto"/>
            <w:vAlign w:val="center"/>
          </w:tcPr>
          <w:p w:rsidR="00613D8C" w:rsidRPr="00DA192B" w:rsidRDefault="00613D8C" w:rsidP="00613D8C">
            <w:pPr>
              <w:widowControl w:val="0"/>
              <w:jc w:val="center"/>
              <w:rPr>
                <w:rFonts w:eastAsia="Calibri"/>
                <w:sz w:val="24"/>
              </w:rPr>
            </w:pPr>
            <w:r w:rsidRPr="00DA192B">
              <w:rPr>
                <w:rFonts w:eastAsia="Calibri"/>
                <w:sz w:val="24"/>
              </w:rPr>
              <w:t>-18 376 000</w:t>
            </w:r>
          </w:p>
        </w:tc>
      </w:tr>
      <w:tr w:rsidR="00613D8C" w:rsidRPr="00695C94" w:rsidTr="00613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shd w:val="clear" w:color="auto" w:fill="auto"/>
          </w:tcPr>
          <w:p w:rsidR="00613D8C" w:rsidRPr="00695C94" w:rsidRDefault="00613D8C" w:rsidP="00BD2499">
            <w:pPr>
              <w:jc w:val="both"/>
              <w:rPr>
                <w:sz w:val="22"/>
                <w:szCs w:val="22"/>
              </w:rPr>
            </w:pPr>
            <w:r w:rsidRPr="00695C94">
              <w:rPr>
                <w:sz w:val="22"/>
                <w:szCs w:val="22"/>
              </w:rPr>
              <w:t>5.2. speciālais budžets</w:t>
            </w:r>
          </w:p>
        </w:tc>
        <w:tc>
          <w:tcPr>
            <w:tcW w:w="611" w:type="pct"/>
            <w:gridSpan w:val="2"/>
            <w:vMerge/>
            <w:shd w:val="clear" w:color="auto" w:fill="auto"/>
          </w:tcPr>
          <w:p w:rsidR="00613D8C" w:rsidRPr="00DA192B" w:rsidRDefault="00613D8C" w:rsidP="00BD2499">
            <w:pPr>
              <w:jc w:val="center"/>
              <w:rPr>
                <w:sz w:val="24"/>
              </w:rPr>
            </w:pPr>
          </w:p>
        </w:tc>
        <w:tc>
          <w:tcPr>
            <w:tcW w:w="649" w:type="pct"/>
            <w:gridSpan w:val="2"/>
            <w:shd w:val="clear" w:color="auto" w:fill="auto"/>
            <w:vAlign w:val="center"/>
          </w:tcPr>
          <w:p w:rsidR="00613D8C" w:rsidRPr="00DA192B" w:rsidRDefault="00DA192B" w:rsidP="00613D8C">
            <w:pPr>
              <w:widowControl w:val="0"/>
              <w:jc w:val="center"/>
              <w:rPr>
                <w:rFonts w:eastAsia="Calibri"/>
                <w:sz w:val="24"/>
              </w:rPr>
            </w:pPr>
            <w:r w:rsidRPr="00DA192B">
              <w:rPr>
                <w:rFonts w:eastAsia="Calibri"/>
                <w:sz w:val="24"/>
              </w:rPr>
              <w:t>0</w:t>
            </w:r>
          </w:p>
        </w:tc>
        <w:tc>
          <w:tcPr>
            <w:tcW w:w="820" w:type="pct"/>
            <w:shd w:val="clear" w:color="auto" w:fill="auto"/>
            <w:vAlign w:val="center"/>
          </w:tcPr>
          <w:p w:rsidR="00613D8C" w:rsidRPr="00DA192B" w:rsidRDefault="00613D8C" w:rsidP="00613D8C">
            <w:pPr>
              <w:widowControl w:val="0"/>
              <w:jc w:val="center"/>
              <w:rPr>
                <w:rFonts w:eastAsia="Calibri"/>
                <w:sz w:val="24"/>
              </w:rPr>
            </w:pPr>
            <w:r w:rsidRPr="00DA192B">
              <w:rPr>
                <w:rFonts w:eastAsia="Calibri"/>
                <w:sz w:val="24"/>
              </w:rPr>
              <w:t>19 966 000</w:t>
            </w:r>
          </w:p>
        </w:tc>
        <w:tc>
          <w:tcPr>
            <w:tcW w:w="820" w:type="pct"/>
            <w:shd w:val="clear" w:color="auto" w:fill="auto"/>
            <w:vAlign w:val="center"/>
          </w:tcPr>
          <w:p w:rsidR="00613D8C" w:rsidRPr="00DA192B" w:rsidRDefault="00613D8C" w:rsidP="00613D8C">
            <w:pPr>
              <w:widowControl w:val="0"/>
              <w:jc w:val="center"/>
              <w:rPr>
                <w:rFonts w:eastAsia="Calibri"/>
                <w:sz w:val="24"/>
              </w:rPr>
            </w:pPr>
            <w:r w:rsidRPr="00DA192B">
              <w:rPr>
                <w:rFonts w:eastAsia="Calibri"/>
                <w:sz w:val="24"/>
              </w:rPr>
              <w:t>19 966 000</w:t>
            </w:r>
          </w:p>
        </w:tc>
        <w:tc>
          <w:tcPr>
            <w:tcW w:w="821" w:type="pct"/>
            <w:shd w:val="clear" w:color="auto" w:fill="auto"/>
            <w:vAlign w:val="center"/>
          </w:tcPr>
          <w:p w:rsidR="00613D8C" w:rsidRPr="00DA192B" w:rsidRDefault="00613D8C" w:rsidP="00613D8C">
            <w:pPr>
              <w:widowControl w:val="0"/>
              <w:jc w:val="center"/>
              <w:rPr>
                <w:rFonts w:eastAsia="Calibri"/>
                <w:sz w:val="24"/>
              </w:rPr>
            </w:pPr>
            <w:r w:rsidRPr="00DA192B">
              <w:rPr>
                <w:rFonts w:eastAsia="Calibri"/>
                <w:sz w:val="24"/>
              </w:rPr>
              <w:t>19 966 000</w:t>
            </w:r>
          </w:p>
        </w:tc>
      </w:tr>
      <w:tr w:rsidR="00613D8C" w:rsidRPr="00695C94" w:rsidTr="00613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shd w:val="clear" w:color="auto" w:fill="auto"/>
          </w:tcPr>
          <w:p w:rsidR="00613D8C" w:rsidRPr="00695C94" w:rsidRDefault="00613D8C" w:rsidP="00BD2499">
            <w:pPr>
              <w:jc w:val="both"/>
              <w:rPr>
                <w:sz w:val="22"/>
                <w:szCs w:val="22"/>
              </w:rPr>
            </w:pPr>
            <w:r w:rsidRPr="00695C94">
              <w:rPr>
                <w:sz w:val="22"/>
                <w:szCs w:val="22"/>
              </w:rPr>
              <w:t xml:space="preserve">5.3. pašvaldību budžets </w:t>
            </w:r>
          </w:p>
        </w:tc>
        <w:tc>
          <w:tcPr>
            <w:tcW w:w="611" w:type="pct"/>
            <w:gridSpan w:val="2"/>
            <w:vMerge/>
            <w:shd w:val="clear" w:color="auto" w:fill="auto"/>
          </w:tcPr>
          <w:p w:rsidR="00613D8C" w:rsidRPr="00DA192B" w:rsidRDefault="00613D8C" w:rsidP="00BD2499">
            <w:pPr>
              <w:jc w:val="center"/>
              <w:rPr>
                <w:sz w:val="24"/>
              </w:rPr>
            </w:pPr>
          </w:p>
        </w:tc>
        <w:tc>
          <w:tcPr>
            <w:tcW w:w="649" w:type="pct"/>
            <w:gridSpan w:val="2"/>
            <w:shd w:val="clear" w:color="auto" w:fill="auto"/>
            <w:vAlign w:val="center"/>
          </w:tcPr>
          <w:p w:rsidR="00613D8C" w:rsidRPr="00DA192B" w:rsidRDefault="00DA192B" w:rsidP="00613D8C">
            <w:pPr>
              <w:widowControl w:val="0"/>
              <w:jc w:val="center"/>
              <w:rPr>
                <w:rFonts w:eastAsia="Calibri"/>
                <w:sz w:val="24"/>
              </w:rPr>
            </w:pPr>
            <w:r w:rsidRPr="00DA192B">
              <w:rPr>
                <w:rFonts w:eastAsia="Calibri"/>
                <w:sz w:val="24"/>
              </w:rPr>
              <w:t>0</w:t>
            </w:r>
          </w:p>
        </w:tc>
        <w:tc>
          <w:tcPr>
            <w:tcW w:w="820" w:type="pct"/>
            <w:shd w:val="clear" w:color="auto" w:fill="auto"/>
            <w:vAlign w:val="center"/>
          </w:tcPr>
          <w:p w:rsidR="00613D8C" w:rsidRPr="00DA192B" w:rsidRDefault="00613D8C" w:rsidP="00613D8C">
            <w:pPr>
              <w:widowControl w:val="0"/>
              <w:jc w:val="center"/>
              <w:rPr>
                <w:rFonts w:eastAsia="Calibri"/>
                <w:sz w:val="24"/>
              </w:rPr>
            </w:pPr>
            <w:r w:rsidRPr="00DA192B">
              <w:rPr>
                <w:rFonts w:eastAsia="Calibri"/>
                <w:sz w:val="24"/>
              </w:rPr>
              <w:t>-667 000</w:t>
            </w:r>
          </w:p>
        </w:tc>
        <w:tc>
          <w:tcPr>
            <w:tcW w:w="820" w:type="pct"/>
            <w:shd w:val="clear" w:color="auto" w:fill="auto"/>
            <w:vAlign w:val="center"/>
          </w:tcPr>
          <w:p w:rsidR="00613D8C" w:rsidRPr="00DA192B" w:rsidRDefault="00613D8C" w:rsidP="00613D8C">
            <w:pPr>
              <w:widowControl w:val="0"/>
              <w:jc w:val="center"/>
              <w:rPr>
                <w:rFonts w:eastAsia="Calibri"/>
                <w:sz w:val="24"/>
              </w:rPr>
            </w:pPr>
            <w:r w:rsidRPr="00DA192B">
              <w:rPr>
                <w:rFonts w:eastAsia="Calibri"/>
                <w:sz w:val="24"/>
              </w:rPr>
              <w:t>-901 000</w:t>
            </w:r>
          </w:p>
        </w:tc>
        <w:tc>
          <w:tcPr>
            <w:tcW w:w="821" w:type="pct"/>
            <w:shd w:val="clear" w:color="auto" w:fill="auto"/>
            <w:vAlign w:val="center"/>
          </w:tcPr>
          <w:p w:rsidR="00613D8C" w:rsidRPr="00DA192B" w:rsidRDefault="00613D8C" w:rsidP="00613D8C">
            <w:pPr>
              <w:widowControl w:val="0"/>
              <w:jc w:val="center"/>
              <w:rPr>
                <w:rFonts w:eastAsia="Calibri"/>
                <w:sz w:val="24"/>
              </w:rPr>
            </w:pPr>
            <w:r w:rsidRPr="00DA192B">
              <w:rPr>
                <w:rFonts w:eastAsia="Calibri"/>
                <w:sz w:val="24"/>
              </w:rPr>
              <w:t>-1 056 000</w:t>
            </w:r>
          </w:p>
        </w:tc>
      </w:tr>
      <w:tr w:rsidR="00613D8C" w:rsidRPr="00695C94" w:rsidTr="00613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5000" w:type="pct"/>
            <w:gridSpan w:val="8"/>
            <w:shd w:val="clear" w:color="auto" w:fill="auto"/>
          </w:tcPr>
          <w:p w:rsidR="00613D8C" w:rsidRPr="00AB5262" w:rsidRDefault="00613D8C" w:rsidP="00BD2499">
            <w:pPr>
              <w:jc w:val="center"/>
              <w:rPr>
                <w:iCs/>
                <w:sz w:val="24"/>
              </w:rPr>
            </w:pPr>
            <w:r w:rsidRPr="00695C94">
              <w:rPr>
                <w:sz w:val="22"/>
                <w:szCs w:val="22"/>
              </w:rPr>
              <w:t>6. Detalizēts ieņēmumu un izdevumu aprēķins (ja nepieciešams, detalizētu ieņēmumu un izdevumu aprēķinu var pievienot anotācijas pielikumā):</w:t>
            </w:r>
          </w:p>
        </w:tc>
      </w:tr>
      <w:tr w:rsidR="00613D8C" w:rsidRPr="00FB751B" w:rsidTr="00613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0"/>
        </w:trPr>
        <w:tc>
          <w:tcPr>
            <w:tcW w:w="2500" w:type="pct"/>
            <w:gridSpan w:val="4"/>
            <w:tcBorders>
              <w:right w:val="single" w:sz="4" w:space="0" w:color="auto"/>
            </w:tcBorders>
            <w:shd w:val="clear" w:color="auto" w:fill="auto"/>
          </w:tcPr>
          <w:p w:rsidR="00613D8C" w:rsidRPr="00FB751B" w:rsidRDefault="00613D8C" w:rsidP="00613D8C">
            <w:pPr>
              <w:rPr>
                <w:rFonts w:eastAsia="Calibri"/>
                <w:b/>
                <w:color w:val="000000"/>
                <w:sz w:val="22"/>
                <w:szCs w:val="22"/>
                <w:lang w:val="en-US"/>
              </w:rPr>
            </w:pPr>
            <w:r w:rsidRPr="00FB751B">
              <w:rPr>
                <w:rFonts w:eastAsia="Calibri"/>
                <w:b/>
                <w:sz w:val="22"/>
                <w:szCs w:val="22"/>
              </w:rPr>
              <w:t>6.1. Detalizēts nodokļu ieņēmumu aprēķins:</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3D8C" w:rsidRPr="00FB751B" w:rsidRDefault="00613D8C" w:rsidP="00613D8C">
            <w:pPr>
              <w:widowControl w:val="0"/>
              <w:jc w:val="center"/>
              <w:rPr>
                <w:rFonts w:eastAsia="Calibri"/>
                <w:b/>
                <w:sz w:val="22"/>
                <w:szCs w:val="22"/>
              </w:rPr>
            </w:pPr>
            <w:r w:rsidRPr="00FB751B">
              <w:rPr>
                <w:rFonts w:eastAsia="Calibri"/>
                <w:b/>
                <w:sz w:val="22"/>
                <w:szCs w:val="22"/>
              </w:rPr>
              <w:t>37 025 000</w:t>
            </w:r>
          </w:p>
        </w:tc>
        <w:tc>
          <w:tcPr>
            <w:tcW w:w="820" w:type="pct"/>
            <w:tcBorders>
              <w:top w:val="single" w:sz="4" w:space="0" w:color="auto"/>
              <w:left w:val="nil"/>
              <w:bottom w:val="single" w:sz="4" w:space="0" w:color="auto"/>
              <w:right w:val="single" w:sz="4" w:space="0" w:color="auto"/>
            </w:tcBorders>
            <w:shd w:val="clear" w:color="auto" w:fill="auto"/>
            <w:vAlign w:val="center"/>
          </w:tcPr>
          <w:p w:rsidR="00613D8C" w:rsidRPr="00FB751B" w:rsidRDefault="00613D8C" w:rsidP="00613D8C">
            <w:pPr>
              <w:widowControl w:val="0"/>
              <w:jc w:val="center"/>
              <w:rPr>
                <w:rFonts w:eastAsia="Calibri"/>
                <w:b/>
                <w:sz w:val="22"/>
                <w:szCs w:val="22"/>
              </w:rPr>
            </w:pPr>
            <w:r w:rsidRPr="00FB751B">
              <w:rPr>
                <w:rFonts w:eastAsia="Calibri"/>
                <w:b/>
                <w:sz w:val="22"/>
                <w:szCs w:val="22"/>
              </w:rPr>
              <w:t>36 753 000</w:t>
            </w:r>
          </w:p>
        </w:tc>
        <w:tc>
          <w:tcPr>
            <w:tcW w:w="821" w:type="pct"/>
            <w:tcBorders>
              <w:top w:val="single" w:sz="4" w:space="0" w:color="auto"/>
              <w:left w:val="nil"/>
              <w:bottom w:val="single" w:sz="4" w:space="0" w:color="auto"/>
              <w:right w:val="single" w:sz="4" w:space="0" w:color="auto"/>
            </w:tcBorders>
            <w:shd w:val="clear" w:color="auto" w:fill="auto"/>
            <w:vAlign w:val="center"/>
          </w:tcPr>
          <w:p w:rsidR="00613D8C" w:rsidRPr="00FB751B" w:rsidRDefault="00613D8C" w:rsidP="00613D8C">
            <w:pPr>
              <w:widowControl w:val="0"/>
              <w:jc w:val="center"/>
              <w:rPr>
                <w:rFonts w:eastAsia="Calibri"/>
                <w:b/>
                <w:sz w:val="22"/>
                <w:szCs w:val="22"/>
              </w:rPr>
            </w:pPr>
            <w:r w:rsidRPr="00FB751B">
              <w:rPr>
                <w:rFonts w:eastAsia="Calibri"/>
                <w:b/>
                <w:sz w:val="22"/>
                <w:szCs w:val="22"/>
              </w:rPr>
              <w:t>36 572 000</w:t>
            </w:r>
          </w:p>
        </w:tc>
      </w:tr>
      <w:tr w:rsidR="00613D8C" w:rsidRPr="00FB751B" w:rsidTr="00613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500" w:type="pct"/>
            <w:gridSpan w:val="4"/>
            <w:tcBorders>
              <w:right w:val="single" w:sz="4" w:space="0" w:color="auto"/>
            </w:tcBorders>
            <w:shd w:val="clear" w:color="auto" w:fill="auto"/>
          </w:tcPr>
          <w:p w:rsidR="00613D8C" w:rsidRPr="00FB751B" w:rsidRDefault="00613D8C" w:rsidP="00613D8C">
            <w:pPr>
              <w:widowControl w:val="0"/>
              <w:ind w:left="426"/>
              <w:rPr>
                <w:rFonts w:eastAsia="Calibri"/>
                <w:sz w:val="22"/>
                <w:szCs w:val="22"/>
              </w:rPr>
            </w:pPr>
            <w:r w:rsidRPr="00FB751B">
              <w:rPr>
                <w:rFonts w:eastAsia="Calibri"/>
                <w:sz w:val="22"/>
                <w:szCs w:val="22"/>
              </w:rPr>
              <w:t>6.1.1. Valsts sociālās apdrošināšanas obligātās iemaksas, t.sk.:</w:t>
            </w:r>
          </w:p>
          <w:p w:rsidR="00613D8C" w:rsidRPr="00FB751B" w:rsidRDefault="00613D8C" w:rsidP="00613D8C">
            <w:pPr>
              <w:widowControl w:val="0"/>
              <w:ind w:left="426" w:firstLine="425"/>
              <w:rPr>
                <w:rFonts w:eastAsia="Calibri"/>
                <w:i/>
                <w:sz w:val="22"/>
                <w:szCs w:val="22"/>
              </w:rPr>
            </w:pPr>
            <w:r w:rsidRPr="00FB751B">
              <w:rPr>
                <w:rFonts w:eastAsia="Calibri"/>
                <w:i/>
                <w:sz w:val="22"/>
                <w:szCs w:val="22"/>
              </w:rPr>
              <w:t>- speciālais budžets</w:t>
            </w:r>
          </w:p>
          <w:p w:rsidR="00613D8C" w:rsidRPr="00FB751B" w:rsidRDefault="00613D8C" w:rsidP="00613D8C">
            <w:pPr>
              <w:rPr>
                <w:rFonts w:eastAsia="Calibri"/>
                <w:color w:val="000000"/>
                <w:sz w:val="22"/>
                <w:szCs w:val="22"/>
                <w:lang w:val="en-US"/>
              </w:rPr>
            </w:pPr>
            <w:r w:rsidRPr="00FB751B">
              <w:rPr>
                <w:rFonts w:eastAsia="Calibri"/>
                <w:i/>
                <w:sz w:val="22"/>
                <w:szCs w:val="22"/>
              </w:rPr>
              <w:t xml:space="preserve">               - valsts fondētās pensiju iemaksas*</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613D8C" w:rsidRPr="00FB751B" w:rsidRDefault="00613D8C" w:rsidP="00613D8C">
            <w:pPr>
              <w:widowControl w:val="0"/>
              <w:jc w:val="center"/>
              <w:rPr>
                <w:rFonts w:eastAsia="Calibri"/>
                <w:b/>
                <w:sz w:val="22"/>
                <w:szCs w:val="22"/>
              </w:rPr>
            </w:pPr>
          </w:p>
          <w:p w:rsidR="00613D8C" w:rsidRPr="00FB751B" w:rsidRDefault="00613D8C" w:rsidP="00613D8C">
            <w:pPr>
              <w:widowControl w:val="0"/>
              <w:jc w:val="center"/>
              <w:rPr>
                <w:rFonts w:eastAsia="Calibri"/>
                <w:b/>
                <w:sz w:val="22"/>
                <w:szCs w:val="22"/>
              </w:rPr>
            </w:pPr>
            <w:r w:rsidRPr="00FB751B">
              <w:rPr>
                <w:rFonts w:eastAsia="Calibri"/>
                <w:b/>
                <w:sz w:val="22"/>
                <w:szCs w:val="22"/>
              </w:rPr>
              <w:t>24 233 000</w:t>
            </w:r>
          </w:p>
          <w:p w:rsidR="00613D8C" w:rsidRPr="00FB751B" w:rsidRDefault="00613D8C" w:rsidP="00613D8C">
            <w:pPr>
              <w:widowControl w:val="0"/>
              <w:jc w:val="center"/>
              <w:rPr>
                <w:rFonts w:eastAsia="Calibri"/>
                <w:sz w:val="22"/>
                <w:szCs w:val="22"/>
              </w:rPr>
            </w:pPr>
            <w:r w:rsidRPr="00FB751B">
              <w:rPr>
                <w:rFonts w:eastAsia="Calibri"/>
                <w:sz w:val="22"/>
                <w:szCs w:val="22"/>
              </w:rPr>
              <w:t>19 966 000</w:t>
            </w:r>
          </w:p>
          <w:p w:rsidR="00613D8C" w:rsidRPr="00FB751B" w:rsidRDefault="00613D8C" w:rsidP="00613D8C">
            <w:pPr>
              <w:widowControl w:val="0"/>
              <w:jc w:val="center"/>
              <w:rPr>
                <w:rFonts w:eastAsia="Calibri"/>
                <w:sz w:val="22"/>
                <w:szCs w:val="22"/>
              </w:rPr>
            </w:pPr>
            <w:r w:rsidRPr="00FB751B">
              <w:rPr>
                <w:rFonts w:eastAsia="Calibri"/>
                <w:sz w:val="22"/>
                <w:szCs w:val="22"/>
              </w:rPr>
              <w:t>4 267 000</w:t>
            </w:r>
          </w:p>
        </w:tc>
        <w:tc>
          <w:tcPr>
            <w:tcW w:w="820" w:type="pct"/>
            <w:tcBorders>
              <w:top w:val="single" w:sz="4" w:space="0" w:color="auto"/>
              <w:left w:val="nil"/>
              <w:bottom w:val="single" w:sz="4" w:space="0" w:color="auto"/>
              <w:right w:val="single" w:sz="4" w:space="0" w:color="auto"/>
            </w:tcBorders>
            <w:shd w:val="clear" w:color="auto" w:fill="auto"/>
          </w:tcPr>
          <w:p w:rsidR="00613D8C" w:rsidRPr="00FB751B" w:rsidRDefault="00613D8C" w:rsidP="00613D8C">
            <w:pPr>
              <w:widowControl w:val="0"/>
              <w:jc w:val="center"/>
              <w:rPr>
                <w:rFonts w:eastAsia="Calibri"/>
                <w:b/>
                <w:sz w:val="22"/>
                <w:szCs w:val="22"/>
              </w:rPr>
            </w:pPr>
          </w:p>
          <w:p w:rsidR="00613D8C" w:rsidRPr="00FB751B" w:rsidRDefault="00613D8C" w:rsidP="00613D8C">
            <w:pPr>
              <w:widowControl w:val="0"/>
              <w:jc w:val="center"/>
              <w:rPr>
                <w:rFonts w:eastAsia="Calibri"/>
                <w:b/>
                <w:sz w:val="22"/>
                <w:szCs w:val="22"/>
              </w:rPr>
            </w:pPr>
            <w:r w:rsidRPr="00FB751B">
              <w:rPr>
                <w:rFonts w:eastAsia="Calibri"/>
                <w:b/>
                <w:sz w:val="22"/>
                <w:szCs w:val="22"/>
              </w:rPr>
              <w:t>24 233 000</w:t>
            </w:r>
          </w:p>
          <w:p w:rsidR="00613D8C" w:rsidRPr="00FB751B" w:rsidRDefault="00613D8C" w:rsidP="00613D8C">
            <w:pPr>
              <w:widowControl w:val="0"/>
              <w:jc w:val="center"/>
              <w:rPr>
                <w:rFonts w:eastAsia="Calibri"/>
                <w:sz w:val="22"/>
                <w:szCs w:val="22"/>
              </w:rPr>
            </w:pPr>
            <w:r w:rsidRPr="00FB751B">
              <w:rPr>
                <w:rFonts w:eastAsia="Calibri"/>
                <w:sz w:val="22"/>
                <w:szCs w:val="22"/>
              </w:rPr>
              <w:t>19 966 000</w:t>
            </w:r>
          </w:p>
          <w:p w:rsidR="00613D8C" w:rsidRPr="00FB751B" w:rsidRDefault="00613D8C" w:rsidP="00613D8C">
            <w:pPr>
              <w:widowControl w:val="0"/>
              <w:jc w:val="center"/>
              <w:rPr>
                <w:rFonts w:eastAsia="Calibri"/>
                <w:sz w:val="22"/>
                <w:szCs w:val="22"/>
              </w:rPr>
            </w:pPr>
            <w:r w:rsidRPr="00FB751B">
              <w:rPr>
                <w:rFonts w:eastAsia="Calibri"/>
                <w:sz w:val="22"/>
                <w:szCs w:val="22"/>
              </w:rPr>
              <w:t>4 267 000</w:t>
            </w:r>
          </w:p>
        </w:tc>
        <w:tc>
          <w:tcPr>
            <w:tcW w:w="821" w:type="pct"/>
            <w:tcBorders>
              <w:top w:val="single" w:sz="4" w:space="0" w:color="auto"/>
              <w:left w:val="nil"/>
              <w:bottom w:val="single" w:sz="4" w:space="0" w:color="auto"/>
              <w:right w:val="single" w:sz="4" w:space="0" w:color="auto"/>
            </w:tcBorders>
            <w:shd w:val="clear" w:color="auto" w:fill="auto"/>
          </w:tcPr>
          <w:p w:rsidR="00613D8C" w:rsidRPr="00FB751B" w:rsidRDefault="00613D8C" w:rsidP="00613D8C">
            <w:pPr>
              <w:widowControl w:val="0"/>
              <w:jc w:val="center"/>
              <w:rPr>
                <w:rFonts w:eastAsia="Calibri"/>
                <w:b/>
                <w:sz w:val="22"/>
                <w:szCs w:val="22"/>
              </w:rPr>
            </w:pPr>
          </w:p>
          <w:p w:rsidR="00613D8C" w:rsidRPr="00FB751B" w:rsidRDefault="00613D8C" w:rsidP="00613D8C">
            <w:pPr>
              <w:widowControl w:val="0"/>
              <w:jc w:val="center"/>
              <w:rPr>
                <w:rFonts w:eastAsia="Calibri"/>
                <w:b/>
                <w:sz w:val="22"/>
                <w:szCs w:val="22"/>
              </w:rPr>
            </w:pPr>
            <w:r w:rsidRPr="00FB751B">
              <w:rPr>
                <w:rFonts w:eastAsia="Calibri"/>
                <w:b/>
                <w:sz w:val="22"/>
                <w:szCs w:val="22"/>
              </w:rPr>
              <w:t>24 233 000</w:t>
            </w:r>
          </w:p>
          <w:p w:rsidR="00613D8C" w:rsidRPr="00FB751B" w:rsidRDefault="00613D8C" w:rsidP="00613D8C">
            <w:pPr>
              <w:widowControl w:val="0"/>
              <w:jc w:val="center"/>
              <w:rPr>
                <w:rFonts w:eastAsia="Calibri"/>
                <w:sz w:val="22"/>
                <w:szCs w:val="22"/>
              </w:rPr>
            </w:pPr>
            <w:r w:rsidRPr="00FB751B">
              <w:rPr>
                <w:rFonts w:eastAsia="Calibri"/>
                <w:sz w:val="22"/>
                <w:szCs w:val="22"/>
              </w:rPr>
              <w:t>19 966 000</w:t>
            </w:r>
          </w:p>
          <w:p w:rsidR="00613D8C" w:rsidRPr="00FB751B" w:rsidRDefault="00613D8C" w:rsidP="00613D8C">
            <w:pPr>
              <w:widowControl w:val="0"/>
              <w:jc w:val="center"/>
              <w:rPr>
                <w:rFonts w:eastAsia="Calibri"/>
                <w:sz w:val="22"/>
                <w:szCs w:val="22"/>
              </w:rPr>
            </w:pPr>
            <w:r w:rsidRPr="00FB751B">
              <w:rPr>
                <w:rFonts w:eastAsia="Calibri"/>
                <w:sz w:val="22"/>
                <w:szCs w:val="22"/>
              </w:rPr>
              <w:t>4 267 000</w:t>
            </w:r>
          </w:p>
        </w:tc>
      </w:tr>
      <w:tr w:rsidR="00613D8C" w:rsidRPr="00FB751B" w:rsidTr="00613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500" w:type="pct"/>
            <w:gridSpan w:val="4"/>
            <w:shd w:val="clear" w:color="auto" w:fill="auto"/>
          </w:tcPr>
          <w:p w:rsidR="00613D8C" w:rsidRPr="00FB751B" w:rsidRDefault="00613D8C" w:rsidP="00613D8C">
            <w:pPr>
              <w:widowControl w:val="0"/>
              <w:ind w:firstLine="426"/>
              <w:rPr>
                <w:rFonts w:eastAsia="Calibri"/>
                <w:iCs/>
                <w:sz w:val="22"/>
                <w:szCs w:val="22"/>
              </w:rPr>
            </w:pPr>
            <w:r w:rsidRPr="00FB751B">
              <w:rPr>
                <w:rFonts w:eastAsia="Calibri"/>
                <w:sz w:val="22"/>
                <w:szCs w:val="22"/>
              </w:rPr>
              <w:t>6.1.2. Iedzīvotāju ienākuma nodoklis</w:t>
            </w:r>
          </w:p>
        </w:tc>
        <w:tc>
          <w:tcPr>
            <w:tcW w:w="860" w:type="pct"/>
            <w:gridSpan w:val="2"/>
            <w:tcBorders>
              <w:top w:val="single" w:sz="4" w:space="0" w:color="auto"/>
            </w:tcBorders>
            <w:shd w:val="clear" w:color="auto" w:fill="auto"/>
          </w:tcPr>
          <w:p w:rsidR="00613D8C" w:rsidRPr="00FB751B" w:rsidRDefault="00613D8C" w:rsidP="00613D8C">
            <w:pPr>
              <w:widowControl w:val="0"/>
              <w:jc w:val="center"/>
              <w:rPr>
                <w:rFonts w:eastAsia="Calibri"/>
                <w:sz w:val="22"/>
                <w:szCs w:val="22"/>
              </w:rPr>
            </w:pPr>
            <w:r w:rsidRPr="00FB751B">
              <w:rPr>
                <w:rFonts w:eastAsia="Calibri"/>
                <w:sz w:val="22"/>
                <w:szCs w:val="22"/>
              </w:rPr>
              <w:t>8 787 000</w:t>
            </w:r>
          </w:p>
        </w:tc>
        <w:tc>
          <w:tcPr>
            <w:tcW w:w="820" w:type="pct"/>
            <w:tcBorders>
              <w:top w:val="single" w:sz="4" w:space="0" w:color="auto"/>
            </w:tcBorders>
            <w:shd w:val="clear" w:color="auto" w:fill="auto"/>
          </w:tcPr>
          <w:p w:rsidR="00613D8C" w:rsidRPr="00FB751B" w:rsidRDefault="00613D8C" w:rsidP="00613D8C">
            <w:pPr>
              <w:widowControl w:val="0"/>
              <w:jc w:val="center"/>
              <w:rPr>
                <w:rFonts w:eastAsia="Calibri"/>
                <w:sz w:val="22"/>
                <w:szCs w:val="22"/>
              </w:rPr>
            </w:pPr>
            <w:r w:rsidRPr="00FB751B">
              <w:rPr>
                <w:rFonts w:eastAsia="Calibri"/>
                <w:sz w:val="22"/>
                <w:szCs w:val="22"/>
              </w:rPr>
              <w:t>8 495 000</w:t>
            </w:r>
          </w:p>
        </w:tc>
        <w:tc>
          <w:tcPr>
            <w:tcW w:w="821" w:type="pct"/>
            <w:tcBorders>
              <w:top w:val="single" w:sz="4" w:space="0" w:color="auto"/>
            </w:tcBorders>
            <w:shd w:val="clear" w:color="auto" w:fill="auto"/>
          </w:tcPr>
          <w:p w:rsidR="00613D8C" w:rsidRPr="00FB751B" w:rsidRDefault="00613D8C" w:rsidP="00613D8C">
            <w:pPr>
              <w:widowControl w:val="0"/>
              <w:jc w:val="center"/>
              <w:rPr>
                <w:rFonts w:eastAsia="Calibri"/>
                <w:sz w:val="22"/>
                <w:szCs w:val="22"/>
              </w:rPr>
            </w:pPr>
            <w:r w:rsidRPr="00FB751B">
              <w:rPr>
                <w:rFonts w:eastAsia="Calibri"/>
                <w:sz w:val="22"/>
                <w:szCs w:val="22"/>
              </w:rPr>
              <w:t>8 301 000</w:t>
            </w:r>
          </w:p>
        </w:tc>
      </w:tr>
      <w:tr w:rsidR="00613D8C" w:rsidRPr="00FB751B" w:rsidTr="00613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11"/>
        </w:trPr>
        <w:tc>
          <w:tcPr>
            <w:tcW w:w="2500" w:type="pct"/>
            <w:gridSpan w:val="4"/>
            <w:shd w:val="clear" w:color="auto" w:fill="auto"/>
          </w:tcPr>
          <w:p w:rsidR="00613D8C" w:rsidRPr="00FB751B" w:rsidRDefault="00613D8C" w:rsidP="00613D8C">
            <w:pPr>
              <w:widowControl w:val="0"/>
              <w:ind w:firstLine="426"/>
              <w:rPr>
                <w:rFonts w:eastAsia="Calibri"/>
                <w:iCs/>
                <w:sz w:val="22"/>
                <w:szCs w:val="22"/>
              </w:rPr>
            </w:pPr>
            <w:r w:rsidRPr="00FB751B">
              <w:rPr>
                <w:rFonts w:eastAsia="Calibri"/>
                <w:sz w:val="22"/>
                <w:szCs w:val="22"/>
              </w:rPr>
              <w:t>6.1.3. Pievienotās vērtības nodoklis</w:t>
            </w:r>
          </w:p>
        </w:tc>
        <w:tc>
          <w:tcPr>
            <w:tcW w:w="860" w:type="pct"/>
            <w:gridSpan w:val="2"/>
            <w:shd w:val="clear" w:color="auto" w:fill="auto"/>
          </w:tcPr>
          <w:p w:rsidR="00613D8C" w:rsidRPr="00FB751B" w:rsidRDefault="00613D8C" w:rsidP="00613D8C">
            <w:pPr>
              <w:widowControl w:val="0"/>
              <w:jc w:val="center"/>
              <w:rPr>
                <w:rFonts w:eastAsia="Calibri"/>
                <w:sz w:val="22"/>
                <w:szCs w:val="22"/>
              </w:rPr>
            </w:pPr>
            <w:r w:rsidRPr="00FB751B">
              <w:rPr>
                <w:rFonts w:eastAsia="Calibri"/>
                <w:sz w:val="22"/>
                <w:szCs w:val="22"/>
              </w:rPr>
              <w:t>4 005 000</w:t>
            </w:r>
          </w:p>
        </w:tc>
        <w:tc>
          <w:tcPr>
            <w:tcW w:w="820" w:type="pct"/>
            <w:shd w:val="clear" w:color="auto" w:fill="auto"/>
          </w:tcPr>
          <w:p w:rsidR="00613D8C" w:rsidRPr="00FB751B" w:rsidRDefault="00613D8C" w:rsidP="00613D8C">
            <w:pPr>
              <w:widowControl w:val="0"/>
              <w:jc w:val="center"/>
              <w:rPr>
                <w:rFonts w:eastAsia="Calibri"/>
                <w:sz w:val="22"/>
                <w:szCs w:val="22"/>
              </w:rPr>
            </w:pPr>
            <w:r w:rsidRPr="00FB751B">
              <w:rPr>
                <w:rFonts w:eastAsia="Calibri"/>
                <w:sz w:val="22"/>
                <w:szCs w:val="22"/>
              </w:rPr>
              <w:t>4 025 000</w:t>
            </w:r>
          </w:p>
        </w:tc>
        <w:tc>
          <w:tcPr>
            <w:tcW w:w="821" w:type="pct"/>
            <w:shd w:val="clear" w:color="auto" w:fill="auto"/>
          </w:tcPr>
          <w:p w:rsidR="00613D8C" w:rsidRPr="00FB751B" w:rsidRDefault="00613D8C" w:rsidP="00613D8C">
            <w:pPr>
              <w:widowControl w:val="0"/>
              <w:jc w:val="center"/>
              <w:rPr>
                <w:rFonts w:eastAsia="Calibri"/>
                <w:sz w:val="22"/>
                <w:szCs w:val="22"/>
              </w:rPr>
            </w:pPr>
            <w:r w:rsidRPr="00FB751B">
              <w:rPr>
                <w:rFonts w:eastAsia="Calibri"/>
                <w:sz w:val="22"/>
                <w:szCs w:val="22"/>
              </w:rPr>
              <w:t>4 038 000</w:t>
            </w:r>
          </w:p>
        </w:tc>
      </w:tr>
      <w:tr w:rsidR="00613D8C" w:rsidRPr="00FB751B" w:rsidTr="00613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500" w:type="pct"/>
            <w:gridSpan w:val="4"/>
            <w:shd w:val="clear" w:color="auto" w:fill="auto"/>
          </w:tcPr>
          <w:p w:rsidR="00613D8C" w:rsidRPr="00FB751B" w:rsidRDefault="00613D8C" w:rsidP="00613D8C">
            <w:pPr>
              <w:widowControl w:val="0"/>
              <w:ind w:firstLine="426"/>
              <w:rPr>
                <w:rFonts w:eastAsia="Calibri"/>
                <w:iCs/>
                <w:sz w:val="22"/>
                <w:szCs w:val="22"/>
              </w:rPr>
            </w:pPr>
            <w:r w:rsidRPr="00FB751B">
              <w:rPr>
                <w:rFonts w:eastAsia="Calibri"/>
                <w:b/>
                <w:sz w:val="22"/>
                <w:szCs w:val="22"/>
              </w:rPr>
              <w:t>6.2. Detalizēts budžeta izdevumu aprēķins:</w:t>
            </w:r>
          </w:p>
        </w:tc>
        <w:tc>
          <w:tcPr>
            <w:tcW w:w="860" w:type="pct"/>
            <w:gridSpan w:val="2"/>
            <w:shd w:val="clear" w:color="auto" w:fill="auto"/>
          </w:tcPr>
          <w:p w:rsidR="00613D8C" w:rsidRPr="00FB751B" w:rsidRDefault="00613D8C" w:rsidP="00613D8C">
            <w:pPr>
              <w:widowControl w:val="0"/>
              <w:jc w:val="center"/>
              <w:rPr>
                <w:rFonts w:eastAsia="Calibri"/>
                <w:sz w:val="22"/>
                <w:szCs w:val="22"/>
              </w:rPr>
            </w:pPr>
            <w:r w:rsidRPr="00FB751B">
              <w:rPr>
                <w:rFonts w:eastAsia="Calibri"/>
                <w:b/>
                <w:sz w:val="22"/>
                <w:szCs w:val="22"/>
              </w:rPr>
              <w:t>-31 771 000</w:t>
            </w:r>
          </w:p>
        </w:tc>
        <w:tc>
          <w:tcPr>
            <w:tcW w:w="820" w:type="pct"/>
            <w:shd w:val="clear" w:color="auto" w:fill="auto"/>
          </w:tcPr>
          <w:p w:rsidR="00613D8C" w:rsidRPr="00FB751B" w:rsidRDefault="00613D8C" w:rsidP="00613D8C">
            <w:pPr>
              <w:widowControl w:val="0"/>
              <w:jc w:val="center"/>
              <w:rPr>
                <w:rFonts w:eastAsia="Calibri"/>
                <w:sz w:val="22"/>
                <w:szCs w:val="22"/>
              </w:rPr>
            </w:pPr>
            <w:r w:rsidRPr="00FB751B">
              <w:rPr>
                <w:rFonts w:eastAsia="Calibri"/>
                <w:b/>
                <w:sz w:val="22"/>
                <w:szCs w:val="22"/>
              </w:rPr>
              <w:t>-31 771 000</w:t>
            </w:r>
          </w:p>
        </w:tc>
        <w:tc>
          <w:tcPr>
            <w:tcW w:w="821" w:type="pct"/>
            <w:shd w:val="clear" w:color="auto" w:fill="auto"/>
          </w:tcPr>
          <w:p w:rsidR="00613D8C" w:rsidRPr="00FB751B" w:rsidRDefault="00613D8C" w:rsidP="00613D8C">
            <w:pPr>
              <w:widowControl w:val="0"/>
              <w:jc w:val="center"/>
              <w:rPr>
                <w:rFonts w:eastAsia="Calibri"/>
                <w:sz w:val="22"/>
                <w:szCs w:val="22"/>
              </w:rPr>
            </w:pPr>
            <w:r w:rsidRPr="00FB751B">
              <w:rPr>
                <w:rFonts w:eastAsia="Calibri"/>
                <w:b/>
                <w:sz w:val="22"/>
                <w:szCs w:val="22"/>
              </w:rPr>
              <w:t>-31 771 000</w:t>
            </w:r>
          </w:p>
        </w:tc>
      </w:tr>
      <w:tr w:rsidR="00613D8C" w:rsidRPr="00FB751B" w:rsidTr="00613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500" w:type="pct"/>
            <w:gridSpan w:val="4"/>
            <w:shd w:val="clear" w:color="auto" w:fill="auto"/>
          </w:tcPr>
          <w:p w:rsidR="00613D8C" w:rsidRPr="00FB751B" w:rsidRDefault="00613D8C" w:rsidP="00613D8C">
            <w:pPr>
              <w:widowControl w:val="0"/>
              <w:ind w:left="426"/>
              <w:rPr>
                <w:rFonts w:eastAsia="Calibri"/>
                <w:b/>
                <w:sz w:val="22"/>
                <w:szCs w:val="22"/>
              </w:rPr>
            </w:pPr>
            <w:r w:rsidRPr="00FB751B">
              <w:rPr>
                <w:rFonts w:eastAsia="Calibri"/>
                <w:b/>
                <w:sz w:val="22"/>
                <w:szCs w:val="22"/>
              </w:rPr>
              <w:t>6.2.1 Plānotais atalgojuma fonda pieaugums valsts un pašvaldību sektorā**, t. sk.:</w:t>
            </w:r>
          </w:p>
        </w:tc>
        <w:tc>
          <w:tcPr>
            <w:tcW w:w="860" w:type="pct"/>
            <w:gridSpan w:val="2"/>
            <w:shd w:val="clear" w:color="auto" w:fill="auto"/>
          </w:tcPr>
          <w:p w:rsidR="00613D8C" w:rsidRPr="00FB751B" w:rsidRDefault="00613D8C" w:rsidP="00613D8C">
            <w:pPr>
              <w:widowControl w:val="0"/>
              <w:jc w:val="center"/>
              <w:rPr>
                <w:rFonts w:eastAsia="Calibri"/>
                <w:sz w:val="22"/>
                <w:szCs w:val="22"/>
              </w:rPr>
            </w:pPr>
          </w:p>
        </w:tc>
        <w:tc>
          <w:tcPr>
            <w:tcW w:w="820" w:type="pct"/>
            <w:shd w:val="clear" w:color="auto" w:fill="auto"/>
          </w:tcPr>
          <w:p w:rsidR="00613D8C" w:rsidRPr="00FB751B" w:rsidRDefault="00613D8C" w:rsidP="00613D8C">
            <w:pPr>
              <w:widowControl w:val="0"/>
              <w:jc w:val="center"/>
              <w:rPr>
                <w:rFonts w:eastAsia="Calibri"/>
                <w:sz w:val="22"/>
                <w:szCs w:val="22"/>
              </w:rPr>
            </w:pPr>
          </w:p>
        </w:tc>
        <w:tc>
          <w:tcPr>
            <w:tcW w:w="821" w:type="pct"/>
            <w:shd w:val="clear" w:color="auto" w:fill="auto"/>
          </w:tcPr>
          <w:p w:rsidR="00613D8C" w:rsidRPr="00FB751B" w:rsidRDefault="00613D8C" w:rsidP="00613D8C">
            <w:pPr>
              <w:widowControl w:val="0"/>
              <w:jc w:val="center"/>
              <w:rPr>
                <w:rFonts w:eastAsia="Calibri"/>
                <w:sz w:val="22"/>
                <w:szCs w:val="22"/>
              </w:rPr>
            </w:pPr>
          </w:p>
        </w:tc>
      </w:tr>
      <w:tr w:rsidR="00613D8C" w:rsidRPr="00FB751B" w:rsidTr="00613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500" w:type="pct"/>
            <w:gridSpan w:val="4"/>
            <w:shd w:val="clear" w:color="auto" w:fill="auto"/>
          </w:tcPr>
          <w:p w:rsidR="00613D8C" w:rsidRPr="00FB751B" w:rsidRDefault="00613D8C" w:rsidP="00613D8C">
            <w:pPr>
              <w:widowControl w:val="0"/>
              <w:numPr>
                <w:ilvl w:val="0"/>
                <w:numId w:val="5"/>
              </w:numPr>
              <w:spacing w:after="200" w:line="276" w:lineRule="auto"/>
              <w:rPr>
                <w:rFonts w:eastAsia="Calibri"/>
                <w:sz w:val="22"/>
                <w:szCs w:val="22"/>
              </w:rPr>
            </w:pPr>
            <w:r w:rsidRPr="00FB751B">
              <w:rPr>
                <w:rFonts w:eastAsia="Calibri"/>
                <w:sz w:val="22"/>
                <w:szCs w:val="22"/>
              </w:rPr>
              <w:t>valsts pamatbudžets</w:t>
            </w:r>
          </w:p>
          <w:p w:rsidR="00613D8C" w:rsidRPr="00FB751B" w:rsidRDefault="00613D8C" w:rsidP="00613D8C">
            <w:pPr>
              <w:widowControl w:val="0"/>
              <w:numPr>
                <w:ilvl w:val="0"/>
                <w:numId w:val="5"/>
              </w:numPr>
              <w:spacing w:after="200" w:line="276" w:lineRule="auto"/>
              <w:rPr>
                <w:rFonts w:eastAsia="Calibri"/>
                <w:i/>
                <w:sz w:val="22"/>
                <w:szCs w:val="22"/>
              </w:rPr>
            </w:pPr>
            <w:r w:rsidRPr="00FB751B">
              <w:rPr>
                <w:rFonts w:eastAsia="Calibri"/>
                <w:sz w:val="22"/>
                <w:szCs w:val="22"/>
              </w:rPr>
              <w:t>pašvaldību budžets</w:t>
            </w:r>
          </w:p>
        </w:tc>
        <w:tc>
          <w:tcPr>
            <w:tcW w:w="860" w:type="pct"/>
            <w:gridSpan w:val="2"/>
            <w:shd w:val="clear" w:color="auto" w:fill="auto"/>
          </w:tcPr>
          <w:p w:rsidR="00613D8C" w:rsidRPr="00FB751B" w:rsidRDefault="00613D8C" w:rsidP="00613D8C">
            <w:pPr>
              <w:widowControl w:val="0"/>
              <w:jc w:val="center"/>
              <w:rPr>
                <w:rFonts w:eastAsia="Calibri"/>
                <w:sz w:val="22"/>
                <w:szCs w:val="22"/>
              </w:rPr>
            </w:pPr>
            <w:r w:rsidRPr="00FB751B">
              <w:rPr>
                <w:rFonts w:eastAsia="Calibri"/>
                <w:sz w:val="22"/>
                <w:szCs w:val="22"/>
              </w:rPr>
              <w:t>-2 278 000</w:t>
            </w:r>
          </w:p>
          <w:p w:rsidR="00613D8C" w:rsidRPr="00FB751B" w:rsidRDefault="00613D8C" w:rsidP="00613D8C">
            <w:pPr>
              <w:widowControl w:val="0"/>
              <w:jc w:val="center"/>
              <w:rPr>
                <w:rFonts w:eastAsia="Calibri"/>
                <w:sz w:val="22"/>
                <w:szCs w:val="22"/>
              </w:rPr>
            </w:pPr>
            <w:r w:rsidRPr="00FB751B">
              <w:rPr>
                <w:rFonts w:eastAsia="Calibri"/>
                <w:sz w:val="22"/>
                <w:szCs w:val="22"/>
              </w:rPr>
              <w:t>-7 697 000</w:t>
            </w:r>
          </w:p>
        </w:tc>
        <w:tc>
          <w:tcPr>
            <w:tcW w:w="820" w:type="pct"/>
            <w:shd w:val="clear" w:color="auto" w:fill="auto"/>
          </w:tcPr>
          <w:p w:rsidR="00613D8C" w:rsidRPr="00FB751B" w:rsidRDefault="00613D8C" w:rsidP="00613D8C">
            <w:pPr>
              <w:widowControl w:val="0"/>
              <w:jc w:val="center"/>
              <w:rPr>
                <w:rFonts w:eastAsia="Calibri"/>
                <w:sz w:val="22"/>
                <w:szCs w:val="22"/>
              </w:rPr>
            </w:pPr>
            <w:r w:rsidRPr="00FB751B">
              <w:rPr>
                <w:rFonts w:eastAsia="Calibri"/>
                <w:sz w:val="22"/>
                <w:szCs w:val="22"/>
              </w:rPr>
              <w:t>-2 278 000</w:t>
            </w:r>
          </w:p>
          <w:p w:rsidR="00613D8C" w:rsidRPr="00FB751B" w:rsidRDefault="00613D8C" w:rsidP="00613D8C">
            <w:pPr>
              <w:widowControl w:val="0"/>
              <w:jc w:val="center"/>
              <w:rPr>
                <w:rFonts w:eastAsia="Calibri"/>
                <w:sz w:val="22"/>
                <w:szCs w:val="22"/>
              </w:rPr>
            </w:pPr>
            <w:r w:rsidRPr="00FB751B">
              <w:rPr>
                <w:rFonts w:eastAsia="Calibri"/>
                <w:sz w:val="22"/>
                <w:szCs w:val="22"/>
              </w:rPr>
              <w:t>-7 697 000</w:t>
            </w:r>
          </w:p>
        </w:tc>
        <w:tc>
          <w:tcPr>
            <w:tcW w:w="821" w:type="pct"/>
            <w:shd w:val="clear" w:color="auto" w:fill="auto"/>
          </w:tcPr>
          <w:p w:rsidR="00613D8C" w:rsidRPr="00FB751B" w:rsidRDefault="00613D8C" w:rsidP="00613D8C">
            <w:pPr>
              <w:widowControl w:val="0"/>
              <w:jc w:val="center"/>
              <w:rPr>
                <w:rFonts w:eastAsia="Calibri"/>
                <w:sz w:val="22"/>
                <w:szCs w:val="22"/>
              </w:rPr>
            </w:pPr>
            <w:r w:rsidRPr="00FB751B">
              <w:rPr>
                <w:rFonts w:eastAsia="Calibri"/>
                <w:sz w:val="22"/>
                <w:szCs w:val="22"/>
              </w:rPr>
              <w:t>-2 278 000</w:t>
            </w:r>
          </w:p>
          <w:p w:rsidR="00613D8C" w:rsidRPr="00FB751B" w:rsidRDefault="00613D8C" w:rsidP="00613D8C">
            <w:pPr>
              <w:widowControl w:val="0"/>
              <w:jc w:val="center"/>
              <w:rPr>
                <w:rFonts w:eastAsia="Calibri"/>
                <w:sz w:val="22"/>
                <w:szCs w:val="22"/>
              </w:rPr>
            </w:pPr>
            <w:r w:rsidRPr="00FB751B">
              <w:rPr>
                <w:rFonts w:eastAsia="Calibri"/>
                <w:sz w:val="22"/>
                <w:szCs w:val="22"/>
              </w:rPr>
              <w:t>-7 697 000</w:t>
            </w:r>
          </w:p>
        </w:tc>
      </w:tr>
      <w:tr w:rsidR="00613D8C" w:rsidRPr="00FB751B" w:rsidTr="00613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500" w:type="pct"/>
            <w:gridSpan w:val="4"/>
            <w:shd w:val="clear" w:color="auto" w:fill="auto"/>
          </w:tcPr>
          <w:p w:rsidR="00613D8C" w:rsidRPr="00FB751B" w:rsidRDefault="00613D8C" w:rsidP="00613D8C">
            <w:pPr>
              <w:widowControl w:val="0"/>
              <w:ind w:left="426"/>
              <w:rPr>
                <w:rFonts w:eastAsia="Calibri"/>
                <w:b/>
                <w:sz w:val="22"/>
                <w:szCs w:val="22"/>
              </w:rPr>
            </w:pPr>
            <w:r w:rsidRPr="00FB751B">
              <w:rPr>
                <w:rFonts w:eastAsia="Calibri"/>
                <w:b/>
                <w:sz w:val="22"/>
                <w:szCs w:val="22"/>
              </w:rPr>
              <w:t>6.2.2 Izdevumi, kas saistīti ar minimālās algas paaugstināšanu</w:t>
            </w:r>
          </w:p>
        </w:tc>
        <w:tc>
          <w:tcPr>
            <w:tcW w:w="860" w:type="pct"/>
            <w:gridSpan w:val="2"/>
            <w:shd w:val="clear" w:color="auto" w:fill="auto"/>
          </w:tcPr>
          <w:p w:rsidR="00613D8C" w:rsidRPr="00FB751B" w:rsidRDefault="00613D8C" w:rsidP="00613D8C">
            <w:pPr>
              <w:widowControl w:val="0"/>
              <w:jc w:val="center"/>
              <w:rPr>
                <w:rFonts w:eastAsia="Calibri"/>
                <w:sz w:val="22"/>
                <w:szCs w:val="22"/>
              </w:rPr>
            </w:pPr>
            <w:r w:rsidRPr="00FB751B">
              <w:rPr>
                <w:rFonts w:eastAsia="Calibri"/>
                <w:sz w:val="22"/>
                <w:szCs w:val="22"/>
              </w:rPr>
              <w:t>-21 796 000</w:t>
            </w:r>
          </w:p>
        </w:tc>
        <w:tc>
          <w:tcPr>
            <w:tcW w:w="820" w:type="pct"/>
            <w:shd w:val="clear" w:color="auto" w:fill="auto"/>
          </w:tcPr>
          <w:p w:rsidR="00613D8C" w:rsidRPr="00FB751B" w:rsidRDefault="00613D8C" w:rsidP="00613D8C">
            <w:pPr>
              <w:widowControl w:val="0"/>
              <w:jc w:val="center"/>
              <w:rPr>
                <w:rFonts w:eastAsia="Calibri"/>
                <w:sz w:val="22"/>
                <w:szCs w:val="22"/>
              </w:rPr>
            </w:pPr>
            <w:r w:rsidRPr="00FB751B">
              <w:rPr>
                <w:rFonts w:eastAsia="Calibri"/>
                <w:sz w:val="22"/>
                <w:szCs w:val="22"/>
              </w:rPr>
              <w:t>-21 796 000</w:t>
            </w:r>
          </w:p>
        </w:tc>
        <w:tc>
          <w:tcPr>
            <w:tcW w:w="821" w:type="pct"/>
            <w:shd w:val="clear" w:color="auto" w:fill="auto"/>
          </w:tcPr>
          <w:p w:rsidR="00613D8C" w:rsidRPr="00FB751B" w:rsidRDefault="00613D8C" w:rsidP="00613D8C">
            <w:pPr>
              <w:widowControl w:val="0"/>
              <w:jc w:val="center"/>
              <w:rPr>
                <w:rFonts w:eastAsia="Calibri"/>
                <w:sz w:val="22"/>
                <w:szCs w:val="22"/>
              </w:rPr>
            </w:pPr>
            <w:r w:rsidRPr="00FB751B">
              <w:rPr>
                <w:rFonts w:eastAsia="Calibri"/>
                <w:sz w:val="22"/>
                <w:szCs w:val="22"/>
              </w:rPr>
              <w:t>-21 796 000</w:t>
            </w:r>
          </w:p>
        </w:tc>
      </w:tr>
      <w:tr w:rsidR="00613D8C" w:rsidRPr="00FB751B" w:rsidTr="00613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551" w:type="pct"/>
            <w:gridSpan w:val="2"/>
            <w:shd w:val="clear" w:color="auto" w:fill="auto"/>
          </w:tcPr>
          <w:p w:rsidR="00613D8C" w:rsidRPr="00FB751B" w:rsidRDefault="00613D8C" w:rsidP="00613D8C">
            <w:pPr>
              <w:widowControl w:val="0"/>
              <w:rPr>
                <w:rFonts w:eastAsia="Calibri"/>
                <w:sz w:val="22"/>
                <w:szCs w:val="22"/>
                <w:lang w:eastAsia="lv-LV"/>
              </w:rPr>
            </w:pPr>
            <w:r w:rsidRPr="00FB751B">
              <w:rPr>
                <w:rFonts w:eastAsia="Calibri"/>
                <w:sz w:val="22"/>
                <w:szCs w:val="22"/>
                <w:lang w:eastAsia="lv-LV"/>
              </w:rPr>
              <w:lastRenderedPageBreak/>
              <w:t>7. Cita informācija</w:t>
            </w:r>
          </w:p>
        </w:tc>
        <w:tc>
          <w:tcPr>
            <w:tcW w:w="3449" w:type="pct"/>
            <w:gridSpan w:val="6"/>
            <w:shd w:val="clear" w:color="auto" w:fill="auto"/>
            <w:vAlign w:val="center"/>
          </w:tcPr>
          <w:p w:rsidR="00613D8C" w:rsidRPr="00613D8C" w:rsidRDefault="00613D8C" w:rsidP="00613D8C">
            <w:pPr>
              <w:jc w:val="both"/>
              <w:rPr>
                <w:sz w:val="24"/>
                <w:lang w:eastAsia="lv-LV"/>
              </w:rPr>
            </w:pPr>
            <w:r w:rsidRPr="00613D8C">
              <w:rPr>
                <w:sz w:val="24"/>
                <w:lang w:eastAsia="lv-LV"/>
              </w:rPr>
              <w:t xml:space="preserve">Aprēķini saistībā ar minimālās </w:t>
            </w:r>
            <w:r w:rsidR="00B629C6">
              <w:rPr>
                <w:sz w:val="24"/>
                <w:lang w:eastAsia="lv-LV"/>
              </w:rPr>
              <w:t xml:space="preserve">mēneša </w:t>
            </w:r>
            <w:r w:rsidRPr="00613D8C">
              <w:rPr>
                <w:sz w:val="24"/>
                <w:lang w:eastAsia="lv-LV"/>
              </w:rPr>
              <w:t xml:space="preserve">darba algas palielināšanu tiek veikti, pamatojoties uz </w:t>
            </w:r>
            <w:r w:rsidR="004762FB">
              <w:rPr>
                <w:sz w:val="24"/>
                <w:lang w:eastAsia="lv-LV"/>
              </w:rPr>
              <w:t xml:space="preserve">CSP </w:t>
            </w:r>
            <w:r w:rsidRPr="00613D8C">
              <w:rPr>
                <w:sz w:val="24"/>
                <w:lang w:eastAsia="lv-LV"/>
              </w:rPr>
              <w:t xml:space="preserve">datiem par </w:t>
            </w:r>
            <w:r w:rsidRPr="00613D8C">
              <w:rPr>
                <w:i/>
                <w:sz w:val="24"/>
                <w:lang w:eastAsia="lv-LV"/>
              </w:rPr>
              <w:t>“Nodarbināto skaita sadalījumu pa algu diapazoniem”</w:t>
            </w:r>
            <w:r w:rsidRPr="00613D8C">
              <w:rPr>
                <w:sz w:val="24"/>
                <w:lang w:eastAsia="lv-LV"/>
              </w:rPr>
              <w:t xml:space="preserve"> un Finanšu ministrijas rīcībā esošiem datiem par budžeta iestādēs strādājošajiem. Aprēķini tiek veikti sadalījumā pa nodarbinātajām personām pēc saspiestās vērtības skalas (bez mēnešalgu paaugstināšanas virs plānotās minimālās </w:t>
            </w:r>
            <w:r w:rsidR="00B836B3">
              <w:rPr>
                <w:sz w:val="24"/>
                <w:lang w:eastAsia="lv-LV"/>
              </w:rPr>
              <w:t xml:space="preserve">mēneša darba </w:t>
            </w:r>
            <w:r w:rsidRPr="00613D8C">
              <w:rPr>
                <w:sz w:val="24"/>
                <w:lang w:eastAsia="lv-LV"/>
              </w:rPr>
              <w:t>algas) pa sektoriem:</w:t>
            </w:r>
          </w:p>
          <w:p w:rsidR="00613D8C" w:rsidRPr="00613D8C" w:rsidRDefault="00613D8C" w:rsidP="00B629C6">
            <w:pPr>
              <w:jc w:val="both"/>
              <w:rPr>
                <w:sz w:val="24"/>
                <w:lang w:eastAsia="lv-LV"/>
              </w:rPr>
            </w:pPr>
            <w:r w:rsidRPr="00613D8C">
              <w:rPr>
                <w:sz w:val="24"/>
                <w:lang w:eastAsia="lv-LV"/>
              </w:rPr>
              <w:t>- pašvaldībās un to padotības iestādēs 31 742 cilvēki;</w:t>
            </w:r>
          </w:p>
          <w:p w:rsidR="00613D8C" w:rsidRPr="00613D8C" w:rsidRDefault="00613D8C" w:rsidP="00B629C6">
            <w:pPr>
              <w:jc w:val="both"/>
              <w:rPr>
                <w:sz w:val="24"/>
                <w:lang w:eastAsia="lv-LV"/>
              </w:rPr>
            </w:pPr>
            <w:r w:rsidRPr="00613D8C">
              <w:rPr>
                <w:sz w:val="24"/>
                <w:lang w:eastAsia="lv-LV"/>
              </w:rPr>
              <w:t>- privātajā sektorā un sabiedriskā sektora komercsabiedrībās 260 657 cilvēki;</w:t>
            </w:r>
          </w:p>
          <w:p w:rsidR="00613D8C" w:rsidRPr="00613D8C" w:rsidRDefault="00613D8C" w:rsidP="00B629C6">
            <w:pPr>
              <w:spacing w:after="60"/>
              <w:jc w:val="both"/>
              <w:rPr>
                <w:sz w:val="24"/>
                <w:lang w:eastAsia="lv-LV"/>
              </w:rPr>
            </w:pPr>
            <w:r w:rsidRPr="00613D8C">
              <w:rPr>
                <w:sz w:val="24"/>
                <w:lang w:eastAsia="lv-LV"/>
              </w:rPr>
              <w:t>- budžeta iestādēs 4 831 cilvēks.</w:t>
            </w:r>
          </w:p>
          <w:p w:rsidR="00613D8C" w:rsidRPr="00613D8C" w:rsidRDefault="00613D8C" w:rsidP="00B629C6">
            <w:pPr>
              <w:spacing w:after="60"/>
              <w:jc w:val="both"/>
              <w:rPr>
                <w:sz w:val="24"/>
                <w:lang w:eastAsia="lv-LV"/>
              </w:rPr>
            </w:pPr>
            <w:r w:rsidRPr="00613D8C">
              <w:rPr>
                <w:sz w:val="24"/>
                <w:lang w:eastAsia="lv-LV"/>
              </w:rPr>
              <w:t xml:space="preserve">Aprēķinos vidēji tiek palielināts darba algas apjoms </w:t>
            </w:r>
            <w:proofErr w:type="spellStart"/>
            <w:r w:rsidRPr="00613D8C">
              <w:rPr>
                <w:i/>
                <w:sz w:val="24"/>
                <w:lang w:eastAsia="lv-LV"/>
              </w:rPr>
              <w:t>euro</w:t>
            </w:r>
            <w:proofErr w:type="spellEnd"/>
            <w:r w:rsidRPr="00613D8C">
              <w:rPr>
                <w:sz w:val="24"/>
                <w:lang w:eastAsia="lv-LV"/>
              </w:rPr>
              <w:t xml:space="preserve"> vērtībā sadalījumā pa nodarbināto algu diapazoniem. Tiek samazināts strādājošo skaits </w:t>
            </w:r>
            <w:r w:rsidR="00B836B3">
              <w:rPr>
                <w:sz w:val="24"/>
                <w:lang w:eastAsia="lv-LV"/>
              </w:rPr>
              <w:t xml:space="preserve">darba </w:t>
            </w:r>
            <w:r w:rsidRPr="00613D8C">
              <w:rPr>
                <w:sz w:val="24"/>
                <w:lang w:eastAsia="lv-LV"/>
              </w:rPr>
              <w:t xml:space="preserve">algu diapazonā līdz </w:t>
            </w:r>
            <w:r w:rsidR="000E7A5E" w:rsidRPr="00613D8C">
              <w:rPr>
                <w:sz w:val="24"/>
                <w:lang w:eastAsia="lv-LV"/>
              </w:rPr>
              <w:t>pašreizējai</w:t>
            </w:r>
            <w:r w:rsidRPr="00613D8C">
              <w:rPr>
                <w:sz w:val="24"/>
                <w:lang w:eastAsia="lv-LV"/>
              </w:rPr>
              <w:t xml:space="preserve"> minimālajai </w:t>
            </w:r>
            <w:r w:rsidR="000E7A5E">
              <w:rPr>
                <w:sz w:val="24"/>
                <w:lang w:eastAsia="lv-LV"/>
              </w:rPr>
              <w:t>mēneša darba algai</w:t>
            </w:r>
            <w:r w:rsidRPr="00613D8C">
              <w:rPr>
                <w:sz w:val="24"/>
                <w:lang w:eastAsia="lv-LV"/>
              </w:rPr>
              <w:t xml:space="preserve"> (380 </w:t>
            </w:r>
            <w:proofErr w:type="spellStart"/>
            <w:r w:rsidRPr="00613D8C">
              <w:rPr>
                <w:i/>
                <w:sz w:val="24"/>
                <w:lang w:eastAsia="lv-LV"/>
              </w:rPr>
              <w:t>euro</w:t>
            </w:r>
            <w:proofErr w:type="spellEnd"/>
            <w:r w:rsidRPr="00613D8C">
              <w:rPr>
                <w:sz w:val="24"/>
                <w:lang w:eastAsia="lv-LV"/>
              </w:rPr>
              <w:t xml:space="preserve"> mēnesī), jo šajā kategorijā liela daļa nodarbināto strādā uz pusslodzi, kā arī pastāv biežākas “aplokšņu algas” izmaksas risks.</w:t>
            </w:r>
          </w:p>
          <w:p w:rsidR="00613D8C" w:rsidRPr="00613D8C" w:rsidRDefault="00B629C6" w:rsidP="00B629C6">
            <w:pPr>
              <w:spacing w:after="60"/>
              <w:jc w:val="both"/>
              <w:rPr>
                <w:sz w:val="24"/>
                <w:lang w:eastAsia="lv-LV"/>
              </w:rPr>
            </w:pPr>
            <w:r>
              <w:rPr>
                <w:sz w:val="24"/>
                <w:lang w:eastAsia="lv-LV"/>
              </w:rPr>
              <w:t xml:space="preserve">Minimālās mēneša </w:t>
            </w:r>
            <w:r w:rsidR="00613D8C" w:rsidRPr="00613D8C">
              <w:rPr>
                <w:sz w:val="24"/>
                <w:lang w:eastAsia="lv-LV"/>
              </w:rPr>
              <w:t>darba algas palielināšana rada mājsaimniecību rīcībā lielākus ieņēmumus, kā rezultātā tiek vairāk tērēts patēriņa precēm. Tādēļ aprēķinā tiek ņemts vērā iegūtais pozitīvais atgriez</w:t>
            </w:r>
            <w:r>
              <w:rPr>
                <w:sz w:val="24"/>
                <w:lang w:eastAsia="lv-LV"/>
              </w:rPr>
              <w:t>eniskais efekts budžetā no PVN.</w:t>
            </w:r>
          </w:p>
          <w:p w:rsidR="00613D8C" w:rsidRDefault="00613D8C" w:rsidP="00B629C6">
            <w:pPr>
              <w:spacing w:after="60"/>
              <w:jc w:val="both"/>
              <w:rPr>
                <w:sz w:val="24"/>
                <w:lang w:eastAsia="lv-LV"/>
              </w:rPr>
            </w:pPr>
            <w:r w:rsidRPr="00613D8C">
              <w:rPr>
                <w:sz w:val="24"/>
                <w:lang w:eastAsia="lv-LV"/>
              </w:rPr>
              <w:t>IIN ieņēmumi tiek procentuāli sadalīti pa budžeta veidiem – pamatbudžetam 20% un pašvaldību budžetiem 80% apmērā.</w:t>
            </w:r>
          </w:p>
          <w:p w:rsidR="00CC1EB2" w:rsidRPr="00CC1EB2" w:rsidRDefault="00CC1EB2" w:rsidP="00B629C6">
            <w:pPr>
              <w:spacing w:after="60"/>
              <w:jc w:val="both"/>
              <w:rPr>
                <w:bCs/>
                <w:sz w:val="24"/>
                <w:lang w:eastAsia="lv-LV"/>
              </w:rPr>
            </w:pPr>
            <w:r w:rsidRPr="00CC1EB2">
              <w:rPr>
                <w:color w:val="000000"/>
                <w:sz w:val="24"/>
              </w:rPr>
              <w:t>Tāpat ir arī paredzēts papildu finansējums uzturlīdzekļu izmaksai no Uzturlīdzekļu garantiju fonda un kompensācijām cietušajiem saskaņā ar likumu "Par valsts kompensāciju cietušajiem", jo šo izmaksu apmērs saskaņā ar normatīvajiem aktiem ir piesaistīts minimālās mēneša darba algas apmēram.</w:t>
            </w:r>
          </w:p>
        </w:tc>
      </w:tr>
    </w:tbl>
    <w:p w:rsidR="00613D8C" w:rsidRPr="00613D8C" w:rsidRDefault="00613D8C" w:rsidP="00613D8C">
      <w:pPr>
        <w:rPr>
          <w:i/>
          <w:sz w:val="20"/>
          <w:szCs w:val="20"/>
          <w:lang w:eastAsia="lv-LV"/>
        </w:rPr>
      </w:pPr>
      <w:r w:rsidRPr="00613D8C">
        <w:rPr>
          <w:i/>
          <w:sz w:val="20"/>
          <w:szCs w:val="20"/>
          <w:lang w:eastAsia="lv-LV"/>
        </w:rPr>
        <w:t>*Iemaksas valsts fondēto pensiju shēmā net</w:t>
      </w:r>
      <w:r w:rsidR="000A4A65">
        <w:rPr>
          <w:i/>
          <w:sz w:val="20"/>
          <w:szCs w:val="20"/>
          <w:lang w:eastAsia="lv-LV"/>
        </w:rPr>
        <w:t>iek iekļautas budžeta ieņēmumos.</w:t>
      </w:r>
    </w:p>
    <w:p w:rsidR="00613D8C" w:rsidRPr="00613D8C" w:rsidRDefault="00613D8C" w:rsidP="00613D8C">
      <w:pPr>
        <w:rPr>
          <w:i/>
          <w:sz w:val="20"/>
          <w:szCs w:val="20"/>
          <w:lang w:eastAsia="lv-LV"/>
        </w:rPr>
      </w:pPr>
      <w:r w:rsidRPr="00613D8C">
        <w:rPr>
          <w:i/>
          <w:sz w:val="20"/>
          <w:szCs w:val="20"/>
          <w:lang w:eastAsia="lv-LV"/>
        </w:rPr>
        <w:t>**Aprēķins līdz plānotajai minimālajai algai</w:t>
      </w:r>
      <w:r w:rsidR="000A4A65">
        <w:rPr>
          <w:i/>
          <w:sz w:val="20"/>
          <w:szCs w:val="20"/>
          <w:lang w:eastAsia="lv-LV"/>
        </w:rPr>
        <w:t>.</w:t>
      </w:r>
    </w:p>
    <w:p w:rsidR="00A249A4" w:rsidRDefault="00A249A4"/>
    <w:p w:rsidR="00265833" w:rsidRDefault="0026583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268"/>
        <w:gridCol w:w="6202"/>
      </w:tblGrid>
      <w:tr w:rsidR="005D7681" w:rsidRPr="00695C94" w:rsidTr="00342C2B">
        <w:tc>
          <w:tcPr>
            <w:tcW w:w="9321" w:type="dxa"/>
            <w:gridSpan w:val="3"/>
            <w:shd w:val="clear" w:color="auto" w:fill="auto"/>
          </w:tcPr>
          <w:p w:rsidR="005D7681" w:rsidRDefault="005D7681" w:rsidP="00342C2B">
            <w:pPr>
              <w:jc w:val="center"/>
              <w:rPr>
                <w:b/>
                <w:sz w:val="24"/>
              </w:rPr>
            </w:pPr>
            <w:r w:rsidRPr="00695C94">
              <w:rPr>
                <w:b/>
                <w:sz w:val="24"/>
              </w:rPr>
              <w:t>IV</w:t>
            </w:r>
            <w:r>
              <w:rPr>
                <w:b/>
                <w:sz w:val="24"/>
              </w:rPr>
              <w:t>.</w:t>
            </w:r>
            <w:r w:rsidRPr="00695C94">
              <w:rPr>
                <w:b/>
                <w:sz w:val="24"/>
              </w:rPr>
              <w:t xml:space="preserve"> Tiesību akta projekta ietekme uz spēkā esošo tiesību normu sistēmu</w:t>
            </w:r>
          </w:p>
          <w:p w:rsidR="005D7681" w:rsidRPr="00695C94" w:rsidRDefault="005D7681" w:rsidP="00342C2B">
            <w:pPr>
              <w:jc w:val="center"/>
              <w:rPr>
                <w:b/>
                <w:sz w:val="24"/>
              </w:rPr>
            </w:pPr>
          </w:p>
        </w:tc>
      </w:tr>
      <w:tr w:rsidR="005D7681" w:rsidRPr="00695C94" w:rsidTr="00313904">
        <w:trPr>
          <w:trHeight w:val="3741"/>
        </w:trPr>
        <w:tc>
          <w:tcPr>
            <w:tcW w:w="851" w:type="dxa"/>
            <w:shd w:val="clear" w:color="auto" w:fill="auto"/>
          </w:tcPr>
          <w:p w:rsidR="005D7681" w:rsidRPr="00695C94" w:rsidRDefault="005D7681" w:rsidP="00293B08">
            <w:pPr>
              <w:jc w:val="center"/>
              <w:rPr>
                <w:sz w:val="24"/>
              </w:rPr>
            </w:pPr>
            <w:r w:rsidRPr="00695C94">
              <w:rPr>
                <w:sz w:val="24"/>
              </w:rPr>
              <w:t>1.</w:t>
            </w:r>
          </w:p>
        </w:tc>
        <w:tc>
          <w:tcPr>
            <w:tcW w:w="2268" w:type="dxa"/>
            <w:shd w:val="clear" w:color="auto" w:fill="auto"/>
          </w:tcPr>
          <w:p w:rsidR="005D7681" w:rsidRPr="00695C94" w:rsidRDefault="005D7681" w:rsidP="00342C2B">
            <w:pPr>
              <w:rPr>
                <w:sz w:val="24"/>
              </w:rPr>
            </w:pPr>
            <w:r w:rsidRPr="00695C94">
              <w:rPr>
                <w:sz w:val="24"/>
              </w:rPr>
              <w:t>Nepieciešamie saistītie tiesību akta projekti</w:t>
            </w:r>
          </w:p>
        </w:tc>
        <w:tc>
          <w:tcPr>
            <w:tcW w:w="6202" w:type="dxa"/>
            <w:shd w:val="clear" w:color="auto" w:fill="auto"/>
          </w:tcPr>
          <w:p w:rsidR="00265833" w:rsidRPr="00265833" w:rsidRDefault="00265833" w:rsidP="00265833">
            <w:pPr>
              <w:pStyle w:val="Footer"/>
              <w:tabs>
                <w:tab w:val="clear" w:pos="4153"/>
                <w:tab w:val="clear" w:pos="8306"/>
              </w:tabs>
              <w:jc w:val="both"/>
              <w:rPr>
                <w:sz w:val="24"/>
              </w:rPr>
            </w:pPr>
            <w:r w:rsidRPr="00265833">
              <w:rPr>
                <w:sz w:val="24"/>
              </w:rPr>
              <w:t xml:space="preserve">Pēc šo noteikumu pieņemšanas Ministru kabinetā un saskaņā ar Ministru kabineta 2016.gada 18.augusta noteikumu Nr.563 „Minimālās mēneša darba algas noteikšanas un pārskatīšanas kārtība” 10.2.apakšpunktu ir dots uzdevums atbildīgām ministrijām </w:t>
            </w:r>
            <w:r w:rsidRPr="00265833">
              <w:rPr>
                <w:spacing w:val="-2"/>
                <w:sz w:val="24"/>
              </w:rPr>
              <w:t>triju mēnešu laikā izstrādāt tiesību aktu projektus par grozījumiem Ministru kabineta noteikumos, kas saistīti ar minimālo mēneša darba algu, un, ja nepieciešams, – par grozījumiem Ministru kabineta noteikumos saistībā ar mēnešalgas apmēra (skalas) izmaiņām un noteiktā kārtībā iesnie</w:t>
            </w:r>
            <w:r w:rsidR="00DE45D4">
              <w:rPr>
                <w:spacing w:val="-2"/>
                <w:sz w:val="24"/>
              </w:rPr>
              <w:t>gt</w:t>
            </w:r>
            <w:r w:rsidRPr="00265833">
              <w:rPr>
                <w:spacing w:val="-2"/>
                <w:sz w:val="24"/>
              </w:rPr>
              <w:t xml:space="preserve"> tos izskatīšanai Ministru kabinetā. Tādējādi </w:t>
            </w:r>
            <w:r w:rsidRPr="00265833">
              <w:rPr>
                <w:b/>
                <w:sz w:val="24"/>
              </w:rPr>
              <w:t>ir jāizstrādā trīs tiesību aktu projekti</w:t>
            </w:r>
            <w:r w:rsidRPr="00265833">
              <w:rPr>
                <w:sz w:val="24"/>
              </w:rPr>
              <w:t xml:space="preserve"> par nepieciešamajiem grozījumiem Ministru kabineta noteikumos, kas saistīti ar darba samaksas jautājumiem:</w:t>
            </w:r>
          </w:p>
          <w:p w:rsidR="00265833" w:rsidRPr="00265833" w:rsidRDefault="00265833" w:rsidP="00265833">
            <w:pPr>
              <w:pStyle w:val="naiskr"/>
              <w:tabs>
                <w:tab w:val="left" w:pos="2628"/>
              </w:tabs>
              <w:spacing w:before="0" w:after="0"/>
              <w:jc w:val="both"/>
              <w:rPr>
                <w:iCs/>
              </w:rPr>
            </w:pPr>
            <w:r w:rsidRPr="00265833">
              <w:rPr>
                <w:iCs/>
              </w:rPr>
              <w:t>1) Finanšu ministrijai - Grozījumi Ministru kabineta 2013.gada 29.janvāra noteikumos Nr.66 „</w:t>
            </w:r>
            <w:r w:rsidRPr="00265833">
              <w:t xml:space="preserve">Noteikumi par </w:t>
            </w:r>
            <w:r w:rsidRPr="00265833">
              <w:lastRenderedPageBreak/>
              <w:t>valsts un pašvaldību institūciju amatpersonu un darbinieku darba samaksu un tās noteikšanas kārtību</w:t>
            </w:r>
            <w:r w:rsidRPr="00265833">
              <w:rPr>
                <w:bCs/>
              </w:rPr>
              <w:t>”;</w:t>
            </w:r>
          </w:p>
          <w:p w:rsidR="00265833" w:rsidRPr="00265833" w:rsidRDefault="00265833" w:rsidP="00265833">
            <w:pPr>
              <w:pStyle w:val="naiskr"/>
              <w:tabs>
                <w:tab w:val="left" w:pos="2628"/>
              </w:tabs>
              <w:spacing w:before="0" w:after="0"/>
              <w:jc w:val="both"/>
              <w:rPr>
                <w:bCs/>
              </w:rPr>
            </w:pPr>
            <w:r w:rsidRPr="00265833">
              <w:rPr>
                <w:bCs/>
              </w:rPr>
              <w:t>2) Veselības ministrijai - Grozījumi Ministru kabineta 2010.gada 29.jūnija noteikumos Nr.595 „Noteikumi par zemāko mēnešalgu un speciālo piemaksu ārstniecības personām”;</w:t>
            </w:r>
          </w:p>
          <w:p w:rsidR="00265833" w:rsidRPr="00265833" w:rsidRDefault="00265833" w:rsidP="00265833">
            <w:pPr>
              <w:pStyle w:val="naiskr"/>
              <w:tabs>
                <w:tab w:val="left" w:pos="2628"/>
              </w:tabs>
              <w:spacing w:before="0" w:after="0"/>
              <w:jc w:val="both"/>
              <w:rPr>
                <w:iCs/>
              </w:rPr>
            </w:pPr>
            <w:r w:rsidRPr="00265833">
              <w:rPr>
                <w:bCs/>
              </w:rPr>
              <w:t>3) Izglītības un zinātnes ministrijai - Grozījumi Ministru kabineta 2016.gada 15.jūlija noteikumos Nr.445 „Pedagogu darba samaksas noteikumi”,</w:t>
            </w:r>
          </w:p>
          <w:p w:rsidR="005D7681" w:rsidRPr="00265833" w:rsidRDefault="00265833" w:rsidP="00265833">
            <w:pPr>
              <w:pStyle w:val="Footer"/>
              <w:tabs>
                <w:tab w:val="clear" w:pos="4153"/>
                <w:tab w:val="clear" w:pos="8306"/>
              </w:tabs>
              <w:jc w:val="both"/>
              <w:rPr>
                <w:iCs/>
                <w:sz w:val="24"/>
              </w:rPr>
            </w:pPr>
            <w:r w:rsidRPr="00265833">
              <w:rPr>
                <w:sz w:val="24"/>
              </w:rPr>
              <w:t xml:space="preserve">kuros jāparedz zemākās mēneša darba algas (mēnešalgas likmes) apmēra paaugstināšana no 380 </w:t>
            </w:r>
            <w:proofErr w:type="spellStart"/>
            <w:r w:rsidRPr="00265833">
              <w:rPr>
                <w:i/>
                <w:sz w:val="24"/>
              </w:rPr>
              <w:t>euro</w:t>
            </w:r>
            <w:proofErr w:type="spellEnd"/>
            <w:r w:rsidRPr="00265833">
              <w:rPr>
                <w:sz w:val="24"/>
              </w:rPr>
              <w:t xml:space="preserve"> līdz 430 </w:t>
            </w:r>
            <w:proofErr w:type="spellStart"/>
            <w:r w:rsidRPr="00265833">
              <w:rPr>
                <w:i/>
                <w:sz w:val="24"/>
              </w:rPr>
              <w:t>euro</w:t>
            </w:r>
            <w:proofErr w:type="spellEnd"/>
            <w:r w:rsidRPr="00265833">
              <w:rPr>
                <w:sz w:val="24"/>
              </w:rPr>
              <w:t xml:space="preserve"> (kā arī mēnešalgu skalu izlīdzināšana) un, </w:t>
            </w:r>
            <w:r w:rsidRPr="00265833">
              <w:rPr>
                <w:b/>
                <w:sz w:val="24"/>
              </w:rPr>
              <w:t>lai tie stātos spēkā ar 2018.gada 1.janvāri.</w:t>
            </w:r>
          </w:p>
        </w:tc>
      </w:tr>
      <w:tr w:rsidR="005D7681" w:rsidRPr="00695C94" w:rsidTr="00342C2B">
        <w:tc>
          <w:tcPr>
            <w:tcW w:w="851" w:type="dxa"/>
            <w:shd w:val="clear" w:color="auto" w:fill="auto"/>
          </w:tcPr>
          <w:p w:rsidR="005D7681" w:rsidRPr="00695C94" w:rsidRDefault="00293B08" w:rsidP="00293B08">
            <w:pPr>
              <w:jc w:val="center"/>
              <w:rPr>
                <w:sz w:val="24"/>
              </w:rPr>
            </w:pPr>
            <w:r>
              <w:rPr>
                <w:sz w:val="24"/>
              </w:rPr>
              <w:lastRenderedPageBreak/>
              <w:t>2.</w:t>
            </w:r>
          </w:p>
        </w:tc>
        <w:tc>
          <w:tcPr>
            <w:tcW w:w="2268" w:type="dxa"/>
            <w:shd w:val="clear" w:color="auto" w:fill="auto"/>
          </w:tcPr>
          <w:p w:rsidR="005D7681" w:rsidRPr="00E17337" w:rsidRDefault="005D7681" w:rsidP="00342C2B">
            <w:pPr>
              <w:rPr>
                <w:sz w:val="24"/>
              </w:rPr>
            </w:pPr>
            <w:r w:rsidRPr="00E17337">
              <w:rPr>
                <w:sz w:val="24"/>
              </w:rPr>
              <w:t>Atbildīgā institūcija</w:t>
            </w:r>
          </w:p>
        </w:tc>
        <w:tc>
          <w:tcPr>
            <w:tcW w:w="6202" w:type="dxa"/>
            <w:shd w:val="clear" w:color="auto" w:fill="auto"/>
          </w:tcPr>
          <w:p w:rsidR="005D7681" w:rsidRPr="00695C94" w:rsidRDefault="00CA68C8" w:rsidP="002D3627">
            <w:pPr>
              <w:jc w:val="both"/>
              <w:rPr>
                <w:sz w:val="24"/>
              </w:rPr>
            </w:pPr>
            <w:r>
              <w:rPr>
                <w:sz w:val="24"/>
              </w:rPr>
              <w:t>Finanšu ministrija atbildīga par pirmo grozījumu Ministru kabineta noteikumos, Veselības ministrija atbildīga par otro grozījumu Ministru kabineta noteikumos un Izglītības un zinātnes ministrija atbildīga par trešo grozījumu Ministru kabineta noteikumos</w:t>
            </w:r>
            <w:r w:rsidRPr="00363EED">
              <w:rPr>
                <w:sz w:val="24"/>
              </w:rPr>
              <w:t xml:space="preserve"> izstrādi</w:t>
            </w:r>
            <w:r>
              <w:rPr>
                <w:sz w:val="24"/>
              </w:rPr>
              <w:t>.</w:t>
            </w:r>
          </w:p>
        </w:tc>
      </w:tr>
      <w:tr w:rsidR="005D7681" w:rsidRPr="00695C94" w:rsidTr="00CC5565">
        <w:trPr>
          <w:trHeight w:val="535"/>
        </w:trPr>
        <w:tc>
          <w:tcPr>
            <w:tcW w:w="851" w:type="dxa"/>
            <w:shd w:val="clear" w:color="auto" w:fill="auto"/>
            <w:vAlign w:val="center"/>
          </w:tcPr>
          <w:p w:rsidR="005D7681" w:rsidRPr="00695C94" w:rsidRDefault="005D7681" w:rsidP="00293B08">
            <w:pPr>
              <w:jc w:val="center"/>
              <w:rPr>
                <w:sz w:val="24"/>
              </w:rPr>
            </w:pPr>
            <w:r>
              <w:rPr>
                <w:sz w:val="24"/>
              </w:rPr>
              <w:t>3.</w:t>
            </w:r>
          </w:p>
        </w:tc>
        <w:tc>
          <w:tcPr>
            <w:tcW w:w="2268" w:type="dxa"/>
            <w:shd w:val="clear" w:color="auto" w:fill="auto"/>
            <w:vAlign w:val="center"/>
          </w:tcPr>
          <w:p w:rsidR="005D7681" w:rsidRPr="00695C94" w:rsidRDefault="005D7681" w:rsidP="00CC5565">
            <w:pPr>
              <w:rPr>
                <w:sz w:val="24"/>
              </w:rPr>
            </w:pPr>
            <w:r w:rsidRPr="00695C94">
              <w:rPr>
                <w:sz w:val="24"/>
              </w:rPr>
              <w:t>Cita informācija</w:t>
            </w:r>
          </w:p>
        </w:tc>
        <w:tc>
          <w:tcPr>
            <w:tcW w:w="6202" w:type="dxa"/>
            <w:shd w:val="clear" w:color="auto" w:fill="auto"/>
            <w:vAlign w:val="center"/>
          </w:tcPr>
          <w:p w:rsidR="005D7681" w:rsidRPr="00695C94" w:rsidRDefault="005D7681" w:rsidP="00CC5565">
            <w:pPr>
              <w:rPr>
                <w:sz w:val="24"/>
              </w:rPr>
            </w:pPr>
            <w:r w:rsidRPr="00695C94">
              <w:rPr>
                <w:sz w:val="24"/>
              </w:rPr>
              <w:t>Nav.</w:t>
            </w:r>
          </w:p>
        </w:tc>
      </w:tr>
    </w:tbl>
    <w:p w:rsidR="00827883" w:rsidRDefault="00827883" w:rsidP="00BD6C2C"/>
    <w:p w:rsidR="00265833" w:rsidRPr="00EE1BB2" w:rsidRDefault="00265833" w:rsidP="00BD6C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68"/>
        <w:gridCol w:w="6202"/>
      </w:tblGrid>
      <w:tr w:rsidR="00032E7D" w:rsidRPr="00EE1BB2" w:rsidTr="00695C94">
        <w:tc>
          <w:tcPr>
            <w:tcW w:w="9287" w:type="dxa"/>
            <w:gridSpan w:val="3"/>
            <w:shd w:val="clear" w:color="auto" w:fill="auto"/>
          </w:tcPr>
          <w:p w:rsidR="00032E7D" w:rsidRPr="00695C94" w:rsidRDefault="00032E7D" w:rsidP="00695C94">
            <w:pPr>
              <w:jc w:val="center"/>
              <w:rPr>
                <w:b/>
                <w:sz w:val="24"/>
              </w:rPr>
            </w:pPr>
            <w:r w:rsidRPr="00695C94">
              <w:rPr>
                <w:b/>
                <w:sz w:val="24"/>
              </w:rPr>
              <w:t>V Tiesību akta projekta atbilstība Latvijas Republikas starptautiskajām saistībām</w:t>
            </w:r>
          </w:p>
        </w:tc>
      </w:tr>
      <w:tr w:rsidR="00032E7D" w:rsidRPr="00EE1BB2" w:rsidTr="00FB6A44">
        <w:tc>
          <w:tcPr>
            <w:tcW w:w="817" w:type="dxa"/>
            <w:shd w:val="clear" w:color="auto" w:fill="auto"/>
          </w:tcPr>
          <w:p w:rsidR="00032E7D" w:rsidRPr="00880901" w:rsidRDefault="00032E7D" w:rsidP="00293B08">
            <w:pPr>
              <w:jc w:val="center"/>
              <w:rPr>
                <w:sz w:val="24"/>
              </w:rPr>
            </w:pPr>
            <w:r w:rsidRPr="00880901">
              <w:rPr>
                <w:sz w:val="24"/>
              </w:rPr>
              <w:t>1.</w:t>
            </w:r>
          </w:p>
        </w:tc>
        <w:tc>
          <w:tcPr>
            <w:tcW w:w="2268" w:type="dxa"/>
            <w:shd w:val="clear" w:color="auto" w:fill="auto"/>
          </w:tcPr>
          <w:p w:rsidR="00032E7D" w:rsidRPr="00880901" w:rsidRDefault="00032E7D" w:rsidP="00695C94">
            <w:pPr>
              <w:tabs>
                <w:tab w:val="left" w:pos="2628"/>
              </w:tabs>
              <w:rPr>
                <w:iCs/>
                <w:sz w:val="24"/>
              </w:rPr>
            </w:pPr>
            <w:r w:rsidRPr="00880901">
              <w:rPr>
                <w:sz w:val="24"/>
              </w:rPr>
              <w:t>Saistības pret Eiropas Savienību</w:t>
            </w:r>
          </w:p>
        </w:tc>
        <w:tc>
          <w:tcPr>
            <w:tcW w:w="6202" w:type="dxa"/>
            <w:shd w:val="clear" w:color="auto" w:fill="auto"/>
            <w:vAlign w:val="center"/>
          </w:tcPr>
          <w:p w:rsidR="00FC198B" w:rsidRPr="00880901" w:rsidRDefault="00FC198B" w:rsidP="00FB6A44">
            <w:pPr>
              <w:pStyle w:val="naiskr"/>
              <w:tabs>
                <w:tab w:val="left" w:pos="2628"/>
              </w:tabs>
              <w:spacing w:before="0" w:after="0"/>
              <w:rPr>
                <w:iCs/>
              </w:rPr>
            </w:pPr>
            <w:r w:rsidRPr="00880901">
              <w:t>Nav.</w:t>
            </w:r>
          </w:p>
        </w:tc>
      </w:tr>
      <w:tr w:rsidR="00032E7D" w:rsidRPr="00EE1BB2" w:rsidTr="00BC420F">
        <w:tc>
          <w:tcPr>
            <w:tcW w:w="817" w:type="dxa"/>
            <w:shd w:val="clear" w:color="auto" w:fill="auto"/>
          </w:tcPr>
          <w:p w:rsidR="00032E7D" w:rsidRPr="00880901" w:rsidRDefault="00032E7D" w:rsidP="00293B08">
            <w:pPr>
              <w:jc w:val="center"/>
              <w:rPr>
                <w:sz w:val="24"/>
              </w:rPr>
            </w:pPr>
            <w:r w:rsidRPr="00880901">
              <w:rPr>
                <w:sz w:val="24"/>
              </w:rPr>
              <w:t>2.</w:t>
            </w:r>
          </w:p>
        </w:tc>
        <w:tc>
          <w:tcPr>
            <w:tcW w:w="2268" w:type="dxa"/>
            <w:shd w:val="clear" w:color="auto" w:fill="auto"/>
          </w:tcPr>
          <w:p w:rsidR="00032E7D" w:rsidRPr="00880901" w:rsidRDefault="00032E7D" w:rsidP="00695C94">
            <w:pPr>
              <w:tabs>
                <w:tab w:val="left" w:pos="2628"/>
              </w:tabs>
              <w:rPr>
                <w:iCs/>
                <w:sz w:val="24"/>
              </w:rPr>
            </w:pPr>
            <w:r w:rsidRPr="00880901">
              <w:rPr>
                <w:sz w:val="24"/>
              </w:rPr>
              <w:t>Citas starptautiskās saistības</w:t>
            </w:r>
          </w:p>
        </w:tc>
        <w:tc>
          <w:tcPr>
            <w:tcW w:w="6202" w:type="dxa"/>
            <w:shd w:val="clear" w:color="auto" w:fill="auto"/>
          </w:tcPr>
          <w:p w:rsidR="00032E7D" w:rsidRPr="00880901" w:rsidRDefault="00FC198B" w:rsidP="00695C94">
            <w:pPr>
              <w:pStyle w:val="naiskr"/>
              <w:tabs>
                <w:tab w:val="left" w:pos="2628"/>
              </w:tabs>
              <w:spacing w:before="0" w:after="0"/>
              <w:jc w:val="both"/>
            </w:pPr>
            <w:r w:rsidRPr="00880901">
              <w:t>Latvija izpildīs saistības pret Starptautisko darba organizāciju.</w:t>
            </w:r>
          </w:p>
          <w:p w:rsidR="00FC198B" w:rsidRPr="00880901" w:rsidRDefault="00FC198B" w:rsidP="00695C94">
            <w:pPr>
              <w:pStyle w:val="naiskr"/>
              <w:tabs>
                <w:tab w:val="left" w:pos="2628"/>
              </w:tabs>
              <w:spacing w:before="0" w:after="0"/>
              <w:jc w:val="both"/>
              <w:rPr>
                <w:i/>
                <w:iCs/>
              </w:rPr>
            </w:pPr>
            <w:r w:rsidRPr="00880901">
              <w:t>Starptautiskās darba organizācij</w:t>
            </w:r>
            <w:r w:rsidR="00454145" w:rsidRPr="00880901">
              <w:t>as 1970.gada konvencija Nr.131 „</w:t>
            </w:r>
            <w:r w:rsidRPr="00880901">
              <w:t>Par minimālās darba algas noteikšanu”, ratificēta ar Augstākās Padomes 1993.gada 12.janvāra lēmumu “Par Starptautiskās darba organizācijas konvenciju ratifikāciju”.</w:t>
            </w:r>
          </w:p>
        </w:tc>
      </w:tr>
      <w:tr w:rsidR="00032E7D" w:rsidRPr="00EE1BB2" w:rsidTr="00FB6A44">
        <w:trPr>
          <w:trHeight w:val="419"/>
        </w:trPr>
        <w:tc>
          <w:tcPr>
            <w:tcW w:w="817" w:type="dxa"/>
            <w:shd w:val="clear" w:color="auto" w:fill="auto"/>
            <w:vAlign w:val="center"/>
          </w:tcPr>
          <w:p w:rsidR="00032E7D" w:rsidRPr="00880901" w:rsidRDefault="00032E7D" w:rsidP="00293B08">
            <w:pPr>
              <w:jc w:val="center"/>
              <w:rPr>
                <w:sz w:val="24"/>
              </w:rPr>
            </w:pPr>
            <w:r w:rsidRPr="00880901">
              <w:rPr>
                <w:sz w:val="24"/>
              </w:rPr>
              <w:t>3.</w:t>
            </w:r>
          </w:p>
        </w:tc>
        <w:tc>
          <w:tcPr>
            <w:tcW w:w="2268" w:type="dxa"/>
            <w:shd w:val="clear" w:color="auto" w:fill="auto"/>
            <w:vAlign w:val="center"/>
          </w:tcPr>
          <w:p w:rsidR="00032E7D" w:rsidRPr="00880901" w:rsidRDefault="00032E7D" w:rsidP="00FB6A44">
            <w:pPr>
              <w:tabs>
                <w:tab w:val="left" w:pos="2628"/>
              </w:tabs>
              <w:rPr>
                <w:sz w:val="24"/>
              </w:rPr>
            </w:pPr>
            <w:r w:rsidRPr="00880901">
              <w:rPr>
                <w:sz w:val="24"/>
              </w:rPr>
              <w:t>Cita informācija</w:t>
            </w:r>
          </w:p>
        </w:tc>
        <w:tc>
          <w:tcPr>
            <w:tcW w:w="6202" w:type="dxa"/>
            <w:shd w:val="clear" w:color="auto" w:fill="auto"/>
            <w:vAlign w:val="center"/>
          </w:tcPr>
          <w:p w:rsidR="00FC198B" w:rsidRPr="00880901" w:rsidRDefault="00FC198B" w:rsidP="00FB6A44">
            <w:pPr>
              <w:pStyle w:val="naiskr"/>
              <w:tabs>
                <w:tab w:val="left" w:pos="2628"/>
              </w:tabs>
              <w:spacing w:before="0" w:after="0"/>
              <w:rPr>
                <w:i/>
                <w:iCs/>
              </w:rPr>
            </w:pPr>
            <w:r w:rsidRPr="00880901">
              <w:t>Nav.</w:t>
            </w:r>
          </w:p>
        </w:tc>
      </w:tr>
    </w:tbl>
    <w:p w:rsidR="00032E7D" w:rsidRDefault="00032E7D" w:rsidP="00124129"/>
    <w:p w:rsidR="00313904" w:rsidRDefault="00313904" w:rsidP="001241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ED0CCF" w:rsidTr="00695C94">
        <w:tc>
          <w:tcPr>
            <w:tcW w:w="9287" w:type="dxa"/>
            <w:shd w:val="clear" w:color="auto" w:fill="auto"/>
          </w:tcPr>
          <w:p w:rsidR="00ED0CCF" w:rsidRPr="00607C11" w:rsidRDefault="00ED0CCF" w:rsidP="00695C94">
            <w:pPr>
              <w:pStyle w:val="naisnod"/>
              <w:spacing w:before="0" w:after="0"/>
            </w:pPr>
            <w:r w:rsidRPr="00607C11">
              <w:t>1.tabula</w:t>
            </w:r>
          </w:p>
          <w:p w:rsidR="00ED0CCF" w:rsidRDefault="00ED0CCF" w:rsidP="00695C94">
            <w:pPr>
              <w:jc w:val="center"/>
            </w:pPr>
            <w:r w:rsidRPr="00695C94">
              <w:rPr>
                <w:b/>
                <w:sz w:val="24"/>
              </w:rPr>
              <w:t>Tiesību akta projekta atbilstība ES tiesību aktiem</w:t>
            </w:r>
          </w:p>
        </w:tc>
      </w:tr>
      <w:tr w:rsidR="00ED0CCF" w:rsidRPr="00695C94" w:rsidTr="00695C94">
        <w:tc>
          <w:tcPr>
            <w:tcW w:w="9287" w:type="dxa"/>
            <w:shd w:val="clear" w:color="auto" w:fill="auto"/>
          </w:tcPr>
          <w:p w:rsidR="00ED0CCF" w:rsidRPr="00695C94" w:rsidRDefault="00ED0CCF" w:rsidP="00695C94">
            <w:pPr>
              <w:jc w:val="center"/>
              <w:rPr>
                <w:sz w:val="24"/>
              </w:rPr>
            </w:pPr>
            <w:r w:rsidRPr="00695C94">
              <w:rPr>
                <w:sz w:val="24"/>
              </w:rPr>
              <w:t>Nav attiecināms.</w:t>
            </w:r>
          </w:p>
          <w:p w:rsidR="00ED0CCF" w:rsidRPr="00607C11" w:rsidRDefault="00ED0CCF" w:rsidP="00695C94">
            <w:pPr>
              <w:pStyle w:val="naisnod"/>
              <w:spacing w:before="0" w:after="0"/>
            </w:pPr>
          </w:p>
        </w:tc>
      </w:tr>
    </w:tbl>
    <w:p w:rsidR="00BD6C2C" w:rsidRPr="00EE1BB2" w:rsidRDefault="00BD6C2C" w:rsidP="001241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6"/>
        <w:gridCol w:w="3096"/>
      </w:tblGrid>
      <w:tr w:rsidR="00032E7D" w:rsidRPr="00EE1BB2" w:rsidTr="00695C94">
        <w:tc>
          <w:tcPr>
            <w:tcW w:w="9287" w:type="dxa"/>
            <w:gridSpan w:val="3"/>
            <w:shd w:val="clear" w:color="auto" w:fill="auto"/>
          </w:tcPr>
          <w:p w:rsidR="00032E7D" w:rsidRPr="00EE1BB2" w:rsidRDefault="00FC198B" w:rsidP="00695C94">
            <w:pPr>
              <w:pStyle w:val="naisnod"/>
              <w:spacing w:before="0" w:after="0"/>
            </w:pPr>
            <w:r>
              <w:t>2.tabula</w:t>
            </w:r>
          </w:p>
          <w:p w:rsidR="00032E7D" w:rsidRPr="00EE1BB2" w:rsidRDefault="00032E7D" w:rsidP="00695C94">
            <w:pPr>
              <w:pStyle w:val="naisnod"/>
              <w:spacing w:before="0" w:after="0"/>
            </w:pPr>
            <w:r w:rsidRPr="00EE1BB2">
              <w:t>Ar tiesību akta projektu uzņemtās saistības, kas izriet no starptautiskajiem tiesību aktiem vai starptautiskas institūcijas vai organizācijas dokumentiem</w:t>
            </w:r>
          </w:p>
          <w:p w:rsidR="00032E7D" w:rsidRPr="00695C94" w:rsidRDefault="00032E7D" w:rsidP="00695C94">
            <w:pPr>
              <w:jc w:val="center"/>
              <w:rPr>
                <w:b/>
                <w:sz w:val="24"/>
              </w:rPr>
            </w:pPr>
            <w:r w:rsidRPr="00695C94">
              <w:rPr>
                <w:b/>
                <w:sz w:val="24"/>
              </w:rPr>
              <w:t>Pasākumi šo saistību izpildei</w:t>
            </w:r>
          </w:p>
        </w:tc>
      </w:tr>
      <w:tr w:rsidR="00032E7D" w:rsidRPr="00EE1BB2" w:rsidTr="00695C94">
        <w:tc>
          <w:tcPr>
            <w:tcW w:w="3095" w:type="dxa"/>
            <w:shd w:val="clear" w:color="auto" w:fill="auto"/>
          </w:tcPr>
          <w:p w:rsidR="00032E7D" w:rsidRPr="00DB19A5" w:rsidRDefault="00032E7D" w:rsidP="00D6423D">
            <w:pPr>
              <w:rPr>
                <w:sz w:val="24"/>
              </w:rPr>
            </w:pPr>
            <w:r w:rsidRPr="00DB19A5">
              <w:rPr>
                <w:sz w:val="24"/>
              </w:rPr>
              <w:t>Attiecīgā starptautiskā tiesību akta vai starptautiskas institūcijas vai organizācijas dokumenta (turpmāk – starptautiskais dokuments) datums, numurs un nosaukums</w:t>
            </w:r>
          </w:p>
        </w:tc>
        <w:tc>
          <w:tcPr>
            <w:tcW w:w="6192" w:type="dxa"/>
            <w:gridSpan w:val="2"/>
            <w:shd w:val="clear" w:color="auto" w:fill="auto"/>
          </w:tcPr>
          <w:p w:rsidR="00FC198B" w:rsidRPr="00FC198B" w:rsidRDefault="00FC198B" w:rsidP="00695C94">
            <w:pPr>
              <w:pStyle w:val="naiskr"/>
              <w:tabs>
                <w:tab w:val="left" w:pos="2628"/>
              </w:tabs>
              <w:spacing w:before="0" w:after="0"/>
              <w:jc w:val="both"/>
            </w:pPr>
            <w:r w:rsidRPr="00FC198B">
              <w:t>Latvija izpildīs saistības pret Starptautisko darba organizāciju.</w:t>
            </w:r>
          </w:p>
          <w:p w:rsidR="00032E7D" w:rsidRPr="00695C94" w:rsidRDefault="00FC198B" w:rsidP="0022018D">
            <w:pPr>
              <w:tabs>
                <w:tab w:val="left" w:pos="325"/>
              </w:tabs>
              <w:jc w:val="both"/>
              <w:rPr>
                <w:i/>
                <w:sz w:val="24"/>
              </w:rPr>
            </w:pPr>
            <w:r w:rsidRPr="00695C94">
              <w:rPr>
                <w:sz w:val="24"/>
              </w:rPr>
              <w:t xml:space="preserve">Starptautiskās darba organizācijas 1970.gada </w:t>
            </w:r>
            <w:r w:rsidR="003D3824">
              <w:rPr>
                <w:sz w:val="24"/>
              </w:rPr>
              <w:t xml:space="preserve">22.jūnija </w:t>
            </w:r>
            <w:r w:rsidRPr="00695C94">
              <w:rPr>
                <w:sz w:val="24"/>
              </w:rPr>
              <w:t>konvencija Nr.131 “Par minimālās algas noteikšanu”, ratificēta ar Augstākās Padomes 1993.gada 12.janvāra lēmumu “Par Starptautiskās darba organizācijas konvenciju ratifikāciju”.</w:t>
            </w:r>
          </w:p>
        </w:tc>
      </w:tr>
      <w:tr w:rsidR="00032E7D" w:rsidRPr="00EE1BB2" w:rsidTr="00695C94">
        <w:tc>
          <w:tcPr>
            <w:tcW w:w="3095" w:type="dxa"/>
            <w:shd w:val="clear" w:color="auto" w:fill="auto"/>
          </w:tcPr>
          <w:p w:rsidR="00032E7D" w:rsidRPr="00EE1BB2" w:rsidRDefault="00032E7D" w:rsidP="00695C94">
            <w:pPr>
              <w:jc w:val="center"/>
            </w:pPr>
            <w:r w:rsidRPr="00EE1BB2">
              <w:lastRenderedPageBreak/>
              <w:t>A</w:t>
            </w:r>
          </w:p>
        </w:tc>
        <w:tc>
          <w:tcPr>
            <w:tcW w:w="3096" w:type="dxa"/>
            <w:shd w:val="clear" w:color="auto" w:fill="auto"/>
          </w:tcPr>
          <w:p w:rsidR="00032E7D" w:rsidRPr="00EE1BB2" w:rsidRDefault="00032E7D" w:rsidP="00695C94">
            <w:pPr>
              <w:jc w:val="center"/>
            </w:pPr>
            <w:r w:rsidRPr="00EE1BB2">
              <w:t>B</w:t>
            </w:r>
          </w:p>
        </w:tc>
        <w:tc>
          <w:tcPr>
            <w:tcW w:w="3096" w:type="dxa"/>
            <w:shd w:val="clear" w:color="auto" w:fill="auto"/>
          </w:tcPr>
          <w:p w:rsidR="00032E7D" w:rsidRPr="00EE1BB2" w:rsidRDefault="00032E7D" w:rsidP="00695C94">
            <w:pPr>
              <w:jc w:val="center"/>
            </w:pPr>
            <w:r w:rsidRPr="00EE1BB2">
              <w:t>C</w:t>
            </w:r>
          </w:p>
        </w:tc>
      </w:tr>
      <w:tr w:rsidR="00032E7D" w:rsidRPr="00EE1BB2" w:rsidTr="00695C94">
        <w:tc>
          <w:tcPr>
            <w:tcW w:w="3095" w:type="dxa"/>
            <w:shd w:val="clear" w:color="auto" w:fill="auto"/>
          </w:tcPr>
          <w:p w:rsidR="00032E7D" w:rsidRPr="00DB19A5" w:rsidRDefault="00032E7D" w:rsidP="00695C94">
            <w:pPr>
              <w:pStyle w:val="naiskr"/>
              <w:spacing w:before="0" w:after="0"/>
            </w:pPr>
            <w:r w:rsidRPr="00DB19A5">
              <w:t>Starptautiskās saistības (pēc būtības), kas izriet no norādītā starptautiskā dokumenta.</w:t>
            </w:r>
          </w:p>
          <w:p w:rsidR="00032E7D" w:rsidRPr="00DB19A5" w:rsidRDefault="00032E7D" w:rsidP="00D6423D">
            <w:pPr>
              <w:rPr>
                <w:sz w:val="24"/>
              </w:rPr>
            </w:pPr>
            <w:r w:rsidRPr="00DB19A5">
              <w:rPr>
                <w:sz w:val="24"/>
              </w:rPr>
              <w:t>Konkrēti veicamie pasākumi vai uzdevumi, kas nepieciešami šo starptautisko saistību izpildei</w:t>
            </w:r>
          </w:p>
        </w:tc>
        <w:tc>
          <w:tcPr>
            <w:tcW w:w="3096" w:type="dxa"/>
            <w:shd w:val="clear" w:color="auto" w:fill="auto"/>
          </w:tcPr>
          <w:p w:rsidR="00032E7D" w:rsidRPr="00DB19A5" w:rsidRDefault="00032E7D" w:rsidP="00695C94">
            <w:pPr>
              <w:pStyle w:val="naiskr"/>
              <w:spacing w:before="0" w:after="0"/>
            </w:pPr>
            <w:r w:rsidRPr="00DB19A5">
              <w:t>Ja pasākumi vai uzdevumi, ar ko tiks izpildītas starptautiskās saistības, tiek noteikti projektā, norāda attiecīgo projekta vienību.</w:t>
            </w:r>
          </w:p>
          <w:p w:rsidR="00032E7D" w:rsidRPr="00DB19A5" w:rsidRDefault="00032E7D" w:rsidP="00D6423D">
            <w:pPr>
              <w:rPr>
                <w:sz w:val="24"/>
              </w:rPr>
            </w:pPr>
            <w:r w:rsidRPr="00DB19A5">
              <w:rPr>
                <w:sz w:val="24"/>
              </w:rPr>
              <w:t>Vai arī norāda dokumentu, kurā sniegts izvērsts skaidrojums, kādā veidā tiks nodrošināta starptautisko saistību izpilde</w:t>
            </w:r>
          </w:p>
        </w:tc>
        <w:tc>
          <w:tcPr>
            <w:tcW w:w="3096" w:type="dxa"/>
            <w:shd w:val="clear" w:color="auto" w:fill="auto"/>
          </w:tcPr>
          <w:p w:rsidR="00032E7D" w:rsidRPr="00DB19A5" w:rsidRDefault="00032E7D" w:rsidP="00695C94">
            <w:pPr>
              <w:pStyle w:val="naiskr"/>
              <w:spacing w:before="0" w:after="0"/>
            </w:pPr>
            <w:r w:rsidRPr="00DB19A5">
              <w:t>Informācija par to, vai starptautiskās saistības, kas minētas šīs tabulas A ailē, tiek izpildītas pilnībā vai daļēji.</w:t>
            </w:r>
          </w:p>
          <w:p w:rsidR="00032E7D" w:rsidRPr="00DB19A5" w:rsidRDefault="00032E7D" w:rsidP="00695C94">
            <w:pPr>
              <w:pStyle w:val="naiskr"/>
              <w:spacing w:before="0" w:after="0"/>
            </w:pPr>
            <w:r w:rsidRPr="00DB19A5">
              <w:t>Ja attiecīgās starptautiskās saistības tiek izpildītas daļēji, sniedz attiecīgu skaidrojumu, kā arī precīzi norāda, kad un kādā veidā starptautiskās saistības tiks izpildītas pilnībā.</w:t>
            </w:r>
          </w:p>
          <w:p w:rsidR="00032E7D" w:rsidRPr="00DB19A5" w:rsidRDefault="00032E7D" w:rsidP="00D6423D">
            <w:pPr>
              <w:rPr>
                <w:sz w:val="24"/>
              </w:rPr>
            </w:pPr>
            <w:r w:rsidRPr="00DB19A5">
              <w:rPr>
                <w:sz w:val="24"/>
              </w:rPr>
              <w:t>Norāda institūciju, kas ir atbildīga par šo saistību izpildi pilnībā</w:t>
            </w:r>
          </w:p>
        </w:tc>
      </w:tr>
      <w:tr w:rsidR="006367CB" w:rsidRPr="00EE1BB2" w:rsidTr="00695C94">
        <w:tc>
          <w:tcPr>
            <w:tcW w:w="3095" w:type="dxa"/>
            <w:shd w:val="clear" w:color="auto" w:fill="auto"/>
          </w:tcPr>
          <w:p w:rsidR="006367CB" w:rsidRPr="00695C94" w:rsidRDefault="00146A94" w:rsidP="00D6423D">
            <w:pPr>
              <w:rPr>
                <w:sz w:val="24"/>
              </w:rPr>
            </w:pPr>
            <w:r w:rsidRPr="00695C94">
              <w:rPr>
                <w:sz w:val="24"/>
              </w:rPr>
              <w:t>Latvijas valsts ir ratificējusi Starptautiskās darba organizācijas, par kuras biedri kļuva 1921.gadā (darbību tajā atjaunojot 1991.gadā), 1970.gada konvenciju Nr.</w:t>
            </w:r>
            <w:r w:rsidRPr="00695C94" w:rsidDel="00526E30">
              <w:rPr>
                <w:sz w:val="24"/>
              </w:rPr>
              <w:t xml:space="preserve"> </w:t>
            </w:r>
            <w:r w:rsidRPr="00695C94">
              <w:rPr>
                <w:sz w:val="24"/>
              </w:rPr>
              <w:t>131 „Par minimālās algas noteikšanu”, kuras 1.pants paredz, ka dalībvalsts pienākums ir izveidot minimālās algas sistēmu, kas attiecas uz visiem darba algas saņēmējiem, savukārt 3.pants paredz, ka, nosakot minimālās algas līmeni, ir jāņem vērā darbinieku un viņu ģimeņu vajadzības, ievērojot vispārējo algu līmeni valstī, iztikšanai nepieciešamo minimumu, sociālās drošības pabalstus un citu sociālo grupu dzīves līmeni, kā arī ekonomiskos faktorus, tajā skaitā – ekonomikas attīstības rādītājus, darba ražīguma līmeni, kā arī vēlmi nodrošināt augstu nodarbinātības līmeni.</w:t>
            </w:r>
          </w:p>
        </w:tc>
        <w:tc>
          <w:tcPr>
            <w:tcW w:w="3096" w:type="dxa"/>
            <w:shd w:val="clear" w:color="auto" w:fill="auto"/>
          </w:tcPr>
          <w:p w:rsidR="006367CB" w:rsidRPr="00F60639" w:rsidRDefault="007C5780" w:rsidP="00D6423D">
            <w:pPr>
              <w:rPr>
                <w:sz w:val="24"/>
              </w:rPr>
            </w:pPr>
            <w:r w:rsidRPr="00F60639">
              <w:rPr>
                <w:sz w:val="24"/>
              </w:rPr>
              <w:t>Noteikumu 2.punkts.</w:t>
            </w:r>
          </w:p>
          <w:p w:rsidR="00F60639" w:rsidRPr="00F60639" w:rsidRDefault="00F60639" w:rsidP="00F60639">
            <w:pPr>
              <w:rPr>
                <w:sz w:val="24"/>
              </w:rPr>
            </w:pPr>
            <w:r w:rsidRPr="00F60639">
              <w:rPr>
                <w:sz w:val="24"/>
              </w:rPr>
              <w:t>Ar Ministru kabineta 2016.gada 23.marta rīkojumu Nr.230 „Par konceptuālo ziņojumu „Priekšlikumi par izmaiņām minimālās mēneša darba algas noteikšanas un pārskatīšanas procesā” apstiprinātais konceptuālais ziņojums</w:t>
            </w:r>
            <w:r>
              <w:rPr>
                <w:sz w:val="24"/>
              </w:rPr>
              <w:t xml:space="preserve"> „</w:t>
            </w:r>
            <w:r w:rsidRPr="00F60639">
              <w:rPr>
                <w:sz w:val="24"/>
              </w:rPr>
              <w:t>Priekšlikumi par izmaiņām minimālās mēneša darba algas noteikšanas un pārskatīšanas procesā”</w:t>
            </w:r>
            <w:r>
              <w:rPr>
                <w:sz w:val="24"/>
              </w:rPr>
              <w:t>.</w:t>
            </w:r>
          </w:p>
          <w:p w:rsidR="00146A94" w:rsidRPr="00F60639" w:rsidRDefault="00146A94" w:rsidP="005F1502">
            <w:pPr>
              <w:rPr>
                <w:sz w:val="24"/>
              </w:rPr>
            </w:pPr>
            <w:r w:rsidRPr="00F60639">
              <w:rPr>
                <w:sz w:val="24"/>
              </w:rPr>
              <w:t>Ministru kabineta 20</w:t>
            </w:r>
            <w:r w:rsidR="00C0142A" w:rsidRPr="00F60639">
              <w:rPr>
                <w:sz w:val="24"/>
              </w:rPr>
              <w:t>1</w:t>
            </w:r>
            <w:r w:rsidR="005F1502">
              <w:rPr>
                <w:sz w:val="24"/>
              </w:rPr>
              <w:t>6</w:t>
            </w:r>
            <w:r w:rsidRPr="00F60639">
              <w:rPr>
                <w:sz w:val="24"/>
              </w:rPr>
              <w:t xml:space="preserve">.gada </w:t>
            </w:r>
            <w:r w:rsidR="005F1502">
              <w:rPr>
                <w:sz w:val="24"/>
              </w:rPr>
              <w:t>18.augusta</w:t>
            </w:r>
            <w:r w:rsidRPr="00F60639">
              <w:rPr>
                <w:sz w:val="24"/>
              </w:rPr>
              <w:t xml:space="preserve"> noteikumi Nr.</w:t>
            </w:r>
            <w:r w:rsidR="005F1502">
              <w:rPr>
                <w:sz w:val="24"/>
              </w:rPr>
              <w:t>563</w:t>
            </w:r>
            <w:r w:rsidRPr="00F60639">
              <w:rPr>
                <w:sz w:val="24"/>
              </w:rPr>
              <w:t xml:space="preserve"> „</w:t>
            </w:r>
            <w:r w:rsidR="00FD463F" w:rsidRPr="00F60639">
              <w:rPr>
                <w:sz w:val="24"/>
              </w:rPr>
              <w:t>Minimālās mēneša darba algas noteikšanas un pārskatīšanas kārtība</w:t>
            </w:r>
            <w:r w:rsidRPr="00F60639">
              <w:rPr>
                <w:sz w:val="24"/>
              </w:rPr>
              <w:t>”.</w:t>
            </w:r>
          </w:p>
        </w:tc>
        <w:tc>
          <w:tcPr>
            <w:tcW w:w="3096" w:type="dxa"/>
            <w:shd w:val="clear" w:color="auto" w:fill="auto"/>
          </w:tcPr>
          <w:p w:rsidR="006367CB" w:rsidRPr="00803D33" w:rsidRDefault="00D94347" w:rsidP="003D2DDC">
            <w:r w:rsidRPr="00695C94">
              <w:rPr>
                <w:sz w:val="24"/>
              </w:rPr>
              <w:t>P</w:t>
            </w:r>
            <w:r w:rsidR="007C5780" w:rsidRPr="00695C94">
              <w:rPr>
                <w:sz w:val="24"/>
              </w:rPr>
              <w:t>ilnībā ir pārņemta</w:t>
            </w:r>
            <w:r w:rsidRPr="00695C94">
              <w:rPr>
                <w:sz w:val="24"/>
              </w:rPr>
              <w:t>s starptautiskās saistības</w:t>
            </w:r>
            <w:r w:rsidRPr="003D2DDC">
              <w:rPr>
                <w:sz w:val="24"/>
              </w:rPr>
              <w:t>.</w:t>
            </w:r>
          </w:p>
        </w:tc>
      </w:tr>
      <w:tr w:rsidR="006367CB" w:rsidRPr="00EE1BB2" w:rsidTr="00695C94">
        <w:tc>
          <w:tcPr>
            <w:tcW w:w="3095" w:type="dxa"/>
            <w:shd w:val="clear" w:color="auto" w:fill="auto"/>
          </w:tcPr>
          <w:p w:rsidR="006367CB" w:rsidRPr="00DB19A5" w:rsidRDefault="006367CB" w:rsidP="00D6423D">
            <w:pPr>
              <w:rPr>
                <w:sz w:val="24"/>
              </w:rPr>
            </w:pPr>
            <w:r w:rsidRPr="00DB19A5">
              <w:rPr>
                <w:sz w:val="24"/>
              </w:rPr>
              <w:t>Vai starptautiskajā dokumentā paredzētās saistības nav pretrunā ar jau esošajām Latvijas Republikas starptautiskajām saistībām</w:t>
            </w:r>
          </w:p>
        </w:tc>
        <w:tc>
          <w:tcPr>
            <w:tcW w:w="6192" w:type="dxa"/>
            <w:gridSpan w:val="2"/>
            <w:shd w:val="clear" w:color="auto" w:fill="auto"/>
          </w:tcPr>
          <w:p w:rsidR="006367CB" w:rsidRPr="00DB19A5" w:rsidRDefault="00803D33" w:rsidP="0022018D">
            <w:pPr>
              <w:rPr>
                <w:i/>
                <w:sz w:val="24"/>
              </w:rPr>
            </w:pPr>
            <w:r w:rsidRPr="00DB19A5">
              <w:rPr>
                <w:sz w:val="24"/>
              </w:rPr>
              <w:t>No</w:t>
            </w:r>
            <w:r w:rsidR="004D3DFF" w:rsidRPr="00DB19A5">
              <w:rPr>
                <w:sz w:val="24"/>
              </w:rPr>
              <w:t>teikumi nav pretrunā ar Starptautiskās darba organizācijas 1970.gada</w:t>
            </w:r>
            <w:r w:rsidR="00951A47">
              <w:rPr>
                <w:sz w:val="24"/>
              </w:rPr>
              <w:t xml:space="preserve"> 22.jūnija </w:t>
            </w:r>
            <w:r w:rsidR="004D3DFF" w:rsidRPr="00DB19A5">
              <w:rPr>
                <w:sz w:val="24"/>
              </w:rPr>
              <w:t xml:space="preserve">konvenciju Nr.131 </w:t>
            </w:r>
            <w:r w:rsidR="00454145" w:rsidRPr="00DB19A5">
              <w:rPr>
                <w:sz w:val="24"/>
              </w:rPr>
              <w:t>„</w:t>
            </w:r>
            <w:r w:rsidR="004D3DFF" w:rsidRPr="00DB19A5">
              <w:rPr>
                <w:sz w:val="24"/>
              </w:rPr>
              <w:t>Par minimālās</w:t>
            </w:r>
            <w:proofErr w:type="gramStart"/>
            <w:r w:rsidR="004D3DFF" w:rsidRPr="00DB19A5">
              <w:rPr>
                <w:sz w:val="24"/>
              </w:rPr>
              <w:t xml:space="preserve">  </w:t>
            </w:r>
            <w:proofErr w:type="gramEnd"/>
            <w:r w:rsidR="004D3DFF" w:rsidRPr="00DB19A5">
              <w:rPr>
                <w:sz w:val="24"/>
              </w:rPr>
              <w:t>algas noteikšanu”.</w:t>
            </w:r>
          </w:p>
        </w:tc>
      </w:tr>
      <w:tr w:rsidR="006367CB" w:rsidRPr="00EE1BB2" w:rsidTr="00DB19A5">
        <w:trPr>
          <w:trHeight w:val="343"/>
        </w:trPr>
        <w:tc>
          <w:tcPr>
            <w:tcW w:w="3095" w:type="dxa"/>
            <w:shd w:val="clear" w:color="auto" w:fill="auto"/>
          </w:tcPr>
          <w:p w:rsidR="006367CB" w:rsidRPr="00DB19A5" w:rsidRDefault="006367CB" w:rsidP="00D6423D">
            <w:pPr>
              <w:rPr>
                <w:sz w:val="24"/>
              </w:rPr>
            </w:pPr>
            <w:r w:rsidRPr="00DB19A5">
              <w:rPr>
                <w:sz w:val="24"/>
              </w:rPr>
              <w:lastRenderedPageBreak/>
              <w:t>Cita informācija</w:t>
            </w:r>
          </w:p>
        </w:tc>
        <w:tc>
          <w:tcPr>
            <w:tcW w:w="6192" w:type="dxa"/>
            <w:gridSpan w:val="2"/>
            <w:shd w:val="clear" w:color="auto" w:fill="auto"/>
          </w:tcPr>
          <w:p w:rsidR="006367CB" w:rsidRPr="00DB19A5" w:rsidRDefault="006367CB" w:rsidP="005F347B">
            <w:pPr>
              <w:rPr>
                <w:sz w:val="24"/>
              </w:rPr>
            </w:pPr>
            <w:r w:rsidRPr="00DB19A5">
              <w:rPr>
                <w:sz w:val="24"/>
              </w:rPr>
              <w:t>Nav.</w:t>
            </w:r>
          </w:p>
        </w:tc>
      </w:tr>
    </w:tbl>
    <w:p w:rsidR="00AA7CF4" w:rsidRDefault="00AA7CF4" w:rsidP="0072740C">
      <w:pPr>
        <w:jc w:val="both"/>
        <w:rPr>
          <w:szCs w:val="28"/>
        </w:rPr>
      </w:pPr>
    </w:p>
    <w:p w:rsidR="00265833" w:rsidRPr="00524322" w:rsidRDefault="00265833" w:rsidP="0072740C">
      <w:pPr>
        <w:jc w:val="both"/>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72740C" w:rsidRPr="00524322" w:rsidTr="007331E0">
        <w:tc>
          <w:tcPr>
            <w:tcW w:w="5000" w:type="pct"/>
            <w:gridSpan w:val="3"/>
            <w:tcBorders>
              <w:top w:val="single" w:sz="4" w:space="0" w:color="auto"/>
              <w:left w:val="single" w:sz="4" w:space="0" w:color="auto"/>
              <w:bottom w:val="single" w:sz="4" w:space="0" w:color="auto"/>
              <w:right w:val="single" w:sz="4" w:space="0" w:color="auto"/>
            </w:tcBorders>
            <w:vAlign w:val="center"/>
          </w:tcPr>
          <w:p w:rsidR="0072740C" w:rsidRPr="00524322" w:rsidRDefault="0072740C" w:rsidP="007331E0">
            <w:pPr>
              <w:jc w:val="center"/>
              <w:rPr>
                <w:b/>
                <w:sz w:val="24"/>
                <w:lang w:eastAsia="lv-LV"/>
              </w:rPr>
            </w:pPr>
            <w:r w:rsidRPr="00524322">
              <w:rPr>
                <w:b/>
                <w:sz w:val="24"/>
              </w:rPr>
              <w:t>VI. Sabiedrības līdzdalība un komunikācijas aktivitātes</w:t>
            </w:r>
          </w:p>
        </w:tc>
      </w:tr>
      <w:tr w:rsidR="0072740C" w:rsidRPr="00524322" w:rsidTr="007331E0">
        <w:tc>
          <w:tcPr>
            <w:tcW w:w="444" w:type="pct"/>
            <w:tcBorders>
              <w:top w:val="single" w:sz="4" w:space="0" w:color="auto"/>
              <w:left w:val="single" w:sz="4" w:space="0" w:color="auto"/>
              <w:bottom w:val="single" w:sz="4" w:space="0" w:color="auto"/>
              <w:right w:val="single" w:sz="4" w:space="0" w:color="auto"/>
            </w:tcBorders>
            <w:vAlign w:val="center"/>
          </w:tcPr>
          <w:p w:rsidR="0072740C" w:rsidRPr="00524322" w:rsidRDefault="0072740C" w:rsidP="007331E0">
            <w:pPr>
              <w:pStyle w:val="naiskr"/>
              <w:ind w:left="180" w:hanging="180"/>
              <w:jc w:val="center"/>
              <w:rPr>
                <w:sz w:val="22"/>
                <w:szCs w:val="22"/>
              </w:rPr>
            </w:pPr>
            <w:r w:rsidRPr="00524322">
              <w:t>1</w:t>
            </w:r>
            <w:r w:rsidRPr="00524322">
              <w:rPr>
                <w:sz w:val="22"/>
                <w:szCs w:val="22"/>
              </w:rPr>
              <w:t>.</w:t>
            </w:r>
          </w:p>
        </w:tc>
        <w:tc>
          <w:tcPr>
            <w:tcW w:w="1216" w:type="pct"/>
            <w:tcBorders>
              <w:top w:val="single" w:sz="4" w:space="0" w:color="auto"/>
              <w:left w:val="single" w:sz="4" w:space="0" w:color="auto"/>
              <w:bottom w:val="single" w:sz="4" w:space="0" w:color="auto"/>
              <w:right w:val="single" w:sz="4" w:space="0" w:color="auto"/>
            </w:tcBorders>
            <w:vAlign w:val="center"/>
          </w:tcPr>
          <w:p w:rsidR="0072740C" w:rsidRPr="00524322" w:rsidRDefault="0072740C" w:rsidP="007331E0">
            <w:pPr>
              <w:pStyle w:val="naiskr"/>
              <w:ind w:left="180" w:hanging="10"/>
            </w:pPr>
            <w:r w:rsidRPr="00524322">
              <w:t>Plānotās sabiedrības līdzdalības un komunikācijas aktivitātes saistībā ar projektu</w:t>
            </w:r>
          </w:p>
        </w:tc>
        <w:tc>
          <w:tcPr>
            <w:tcW w:w="3340" w:type="pct"/>
            <w:tcBorders>
              <w:top w:val="single" w:sz="4" w:space="0" w:color="auto"/>
              <w:left w:val="single" w:sz="4" w:space="0" w:color="auto"/>
              <w:bottom w:val="single" w:sz="4" w:space="0" w:color="auto"/>
              <w:right w:val="single" w:sz="4" w:space="0" w:color="auto"/>
            </w:tcBorders>
            <w:vAlign w:val="center"/>
          </w:tcPr>
          <w:p w:rsidR="00AA7CF4" w:rsidRPr="00524322" w:rsidRDefault="00AA7CF4" w:rsidP="00AA7CF4">
            <w:pPr>
              <w:jc w:val="both"/>
              <w:rPr>
                <w:sz w:val="24"/>
              </w:rPr>
            </w:pPr>
            <w:r>
              <w:rPr>
                <w:sz w:val="24"/>
              </w:rPr>
              <w:t>P</w:t>
            </w:r>
            <w:r w:rsidRPr="00524322">
              <w:rPr>
                <w:sz w:val="24"/>
              </w:rPr>
              <w:t>rojekts 201</w:t>
            </w:r>
            <w:r>
              <w:rPr>
                <w:sz w:val="24"/>
              </w:rPr>
              <w:t>7</w:t>
            </w:r>
            <w:r w:rsidRPr="00524322">
              <w:rPr>
                <w:sz w:val="24"/>
              </w:rPr>
              <w:t>.</w:t>
            </w:r>
            <w:r w:rsidRPr="00FC3A8D">
              <w:rPr>
                <w:sz w:val="24"/>
              </w:rPr>
              <w:t xml:space="preserve">gada </w:t>
            </w:r>
            <w:r>
              <w:rPr>
                <w:sz w:val="24"/>
              </w:rPr>
              <w:t>13.jūnijā</w:t>
            </w:r>
            <w:r w:rsidRPr="00FC3A8D">
              <w:rPr>
                <w:sz w:val="24"/>
              </w:rPr>
              <w:t xml:space="preserve"> tika </w:t>
            </w:r>
            <w:r w:rsidRPr="00524322">
              <w:rPr>
                <w:sz w:val="24"/>
              </w:rPr>
              <w:t>publicēts Labklājības ministrijas mājas lapā, adrese:</w:t>
            </w:r>
          </w:p>
          <w:p w:rsidR="00AA7CF4" w:rsidRPr="00FC3A8D" w:rsidRDefault="00313904" w:rsidP="00AA7CF4">
            <w:pPr>
              <w:jc w:val="both"/>
              <w:rPr>
                <w:sz w:val="24"/>
              </w:rPr>
            </w:pPr>
            <w:hyperlink r:id="rId9" w:history="1">
              <w:r w:rsidR="00AA7CF4" w:rsidRPr="00524322">
                <w:rPr>
                  <w:rStyle w:val="Hyperlink"/>
                  <w:color w:val="auto"/>
                  <w:sz w:val="24"/>
                </w:rPr>
                <w:t>http://www.lm.gov.lv/text/1789</w:t>
              </w:r>
            </w:hyperlink>
            <w:r w:rsidR="00AA7CF4">
              <w:rPr>
                <w:sz w:val="24"/>
              </w:rPr>
              <w:t xml:space="preserve">, </w:t>
            </w:r>
            <w:r w:rsidR="00AA7CF4" w:rsidRPr="00932148">
              <w:rPr>
                <w:rStyle w:val="Hyperlink"/>
                <w:color w:val="auto"/>
                <w:sz w:val="24"/>
                <w:u w:val="none"/>
              </w:rPr>
              <w:t xml:space="preserve">lūdzot sniegt priekšlikumus par </w:t>
            </w:r>
            <w:r w:rsidR="00AA7CF4" w:rsidRPr="00FC3A8D">
              <w:rPr>
                <w:rStyle w:val="Hyperlink"/>
                <w:color w:val="auto"/>
                <w:sz w:val="24"/>
                <w:u w:val="none"/>
              </w:rPr>
              <w:t>projektu līdz 201</w:t>
            </w:r>
            <w:r w:rsidR="00AA7CF4">
              <w:rPr>
                <w:rStyle w:val="Hyperlink"/>
                <w:color w:val="auto"/>
                <w:sz w:val="24"/>
                <w:u w:val="none"/>
              </w:rPr>
              <w:t>7</w:t>
            </w:r>
            <w:r w:rsidR="00AA7CF4" w:rsidRPr="00FC3A8D">
              <w:rPr>
                <w:rStyle w:val="Hyperlink"/>
                <w:color w:val="auto"/>
                <w:sz w:val="24"/>
                <w:u w:val="none"/>
              </w:rPr>
              <w:t xml:space="preserve">.gada </w:t>
            </w:r>
            <w:r w:rsidR="00AA7CF4">
              <w:rPr>
                <w:rStyle w:val="Hyperlink"/>
                <w:color w:val="auto"/>
                <w:sz w:val="24"/>
                <w:u w:val="none"/>
              </w:rPr>
              <w:t>30.jūnijam</w:t>
            </w:r>
            <w:r w:rsidR="00AA7CF4" w:rsidRPr="00FC3A8D">
              <w:rPr>
                <w:sz w:val="24"/>
              </w:rPr>
              <w:t>.</w:t>
            </w:r>
          </w:p>
          <w:p w:rsidR="00AA7CF4" w:rsidRDefault="00AA7CF4" w:rsidP="00AA7CF4">
            <w:pPr>
              <w:jc w:val="both"/>
              <w:rPr>
                <w:sz w:val="24"/>
              </w:rPr>
            </w:pPr>
            <w:r w:rsidRPr="00524322">
              <w:rPr>
                <w:sz w:val="24"/>
              </w:rPr>
              <w:t>Noteikum</w:t>
            </w:r>
            <w:r>
              <w:rPr>
                <w:sz w:val="24"/>
              </w:rPr>
              <w:t>i</w:t>
            </w:r>
            <w:r w:rsidRPr="00524322">
              <w:rPr>
                <w:sz w:val="24"/>
              </w:rPr>
              <w:t xml:space="preserve"> pēc t</w:t>
            </w:r>
            <w:r>
              <w:rPr>
                <w:sz w:val="24"/>
              </w:rPr>
              <w:t>o</w:t>
            </w:r>
            <w:r w:rsidRPr="00524322">
              <w:rPr>
                <w:sz w:val="24"/>
              </w:rPr>
              <w:t xml:space="preserve"> pieņemšanas tiks publicēt</w:t>
            </w:r>
            <w:r>
              <w:rPr>
                <w:sz w:val="24"/>
              </w:rPr>
              <w:t>i</w:t>
            </w:r>
            <w:r w:rsidRPr="00524322">
              <w:rPr>
                <w:sz w:val="24"/>
              </w:rPr>
              <w:t xml:space="preserve"> oficiālajā izdevumā „Latvijas Vēstnesis”, kā arī portālā </w:t>
            </w:r>
            <w:hyperlink r:id="rId10" w:history="1">
              <w:r w:rsidRPr="00524322">
                <w:rPr>
                  <w:rStyle w:val="Hyperlink"/>
                  <w:color w:val="auto"/>
                  <w:sz w:val="24"/>
                </w:rPr>
                <w:t>www.likumi.lv</w:t>
              </w:r>
            </w:hyperlink>
            <w:r w:rsidRPr="00524322">
              <w:rPr>
                <w:sz w:val="24"/>
              </w:rPr>
              <w:t>.</w:t>
            </w:r>
          </w:p>
          <w:p w:rsidR="0072740C" w:rsidRPr="00524322" w:rsidRDefault="00AA7CF4" w:rsidP="00AA7CF4">
            <w:pPr>
              <w:jc w:val="both"/>
              <w:rPr>
                <w:sz w:val="24"/>
                <w:lang w:eastAsia="lv-LV"/>
              </w:rPr>
            </w:pPr>
            <w:r>
              <w:rPr>
                <w:sz w:val="24"/>
              </w:rPr>
              <w:t xml:space="preserve">Par noteikumiem tiks sagatavota preses relīze, kas tiks nosūtīta medijiem un Labklājības ministrijas mājas lapā (adrese: </w:t>
            </w:r>
            <w:hyperlink r:id="rId11" w:history="1">
              <w:r w:rsidRPr="0072740C">
                <w:rPr>
                  <w:rStyle w:val="Hyperlink"/>
                  <w:sz w:val="24"/>
                </w:rPr>
                <w:t>http://www.lm.gov.lv/text/2525</w:t>
              </w:r>
            </w:hyperlink>
            <w:r>
              <w:rPr>
                <w:sz w:val="24"/>
              </w:rPr>
              <w:t>) tiks aktualizēta informācija par minimālo mēneša darba algu.</w:t>
            </w:r>
          </w:p>
        </w:tc>
      </w:tr>
      <w:tr w:rsidR="0072740C" w:rsidRPr="00524322" w:rsidTr="007331E0">
        <w:tc>
          <w:tcPr>
            <w:tcW w:w="444" w:type="pct"/>
            <w:tcBorders>
              <w:top w:val="single" w:sz="4" w:space="0" w:color="auto"/>
              <w:left w:val="single" w:sz="4" w:space="0" w:color="auto"/>
              <w:bottom w:val="single" w:sz="4" w:space="0" w:color="auto"/>
              <w:right w:val="single" w:sz="4" w:space="0" w:color="auto"/>
            </w:tcBorders>
            <w:vAlign w:val="center"/>
          </w:tcPr>
          <w:p w:rsidR="0072740C" w:rsidRPr="00524322" w:rsidRDefault="0072740C" w:rsidP="007331E0">
            <w:pPr>
              <w:pStyle w:val="naiskr"/>
              <w:ind w:left="180" w:hanging="180"/>
              <w:jc w:val="center"/>
            </w:pPr>
            <w:r w:rsidRPr="00524322">
              <w:t>2.</w:t>
            </w:r>
          </w:p>
        </w:tc>
        <w:tc>
          <w:tcPr>
            <w:tcW w:w="1216" w:type="pct"/>
            <w:tcBorders>
              <w:top w:val="single" w:sz="4" w:space="0" w:color="auto"/>
              <w:left w:val="single" w:sz="4" w:space="0" w:color="auto"/>
              <w:bottom w:val="single" w:sz="4" w:space="0" w:color="auto"/>
              <w:right w:val="single" w:sz="4" w:space="0" w:color="auto"/>
            </w:tcBorders>
            <w:vAlign w:val="center"/>
          </w:tcPr>
          <w:p w:rsidR="0072740C" w:rsidRPr="00524322" w:rsidRDefault="0072740C" w:rsidP="007331E0">
            <w:pPr>
              <w:pStyle w:val="naiskr"/>
              <w:ind w:left="180" w:hanging="10"/>
            </w:pPr>
            <w:r w:rsidRPr="00524322">
              <w:t>Sabiedrības līdzdalība projekta izstrādē</w:t>
            </w:r>
          </w:p>
        </w:tc>
        <w:tc>
          <w:tcPr>
            <w:tcW w:w="3340" w:type="pct"/>
            <w:vMerge w:val="restart"/>
            <w:tcBorders>
              <w:top w:val="single" w:sz="4" w:space="0" w:color="auto"/>
              <w:left w:val="single" w:sz="4" w:space="0" w:color="auto"/>
              <w:right w:val="single" w:sz="4" w:space="0" w:color="auto"/>
            </w:tcBorders>
            <w:vAlign w:val="center"/>
          </w:tcPr>
          <w:p w:rsidR="0072740C" w:rsidRPr="00524322" w:rsidRDefault="0072740C" w:rsidP="0072740C">
            <w:pPr>
              <w:suppressAutoHyphens/>
              <w:ind w:right="57"/>
              <w:jc w:val="both"/>
              <w:rPr>
                <w:sz w:val="24"/>
              </w:rPr>
            </w:pPr>
            <w:r w:rsidRPr="002151B5">
              <w:rPr>
                <w:iCs/>
                <w:color w:val="000000" w:themeColor="text1"/>
                <w:sz w:val="24"/>
                <w:lang w:eastAsia="ar-SA"/>
              </w:rPr>
              <w:t>Individuālie sabiedrības</w:t>
            </w:r>
            <w:r w:rsidRPr="001620CE">
              <w:rPr>
                <w:iCs/>
                <w:color w:val="000000" w:themeColor="text1"/>
                <w:sz w:val="24"/>
                <w:lang w:eastAsia="ar-SA"/>
              </w:rPr>
              <w:t xml:space="preserve"> </w:t>
            </w:r>
            <w:r w:rsidRPr="002151B5">
              <w:rPr>
                <w:iCs/>
                <w:color w:val="000000" w:themeColor="text1"/>
                <w:sz w:val="24"/>
                <w:lang w:eastAsia="ar-SA"/>
              </w:rPr>
              <w:t>locekļu vērtējumi līdz 201</w:t>
            </w:r>
            <w:r>
              <w:rPr>
                <w:iCs/>
                <w:color w:val="000000" w:themeColor="text1"/>
                <w:sz w:val="24"/>
                <w:lang w:eastAsia="ar-SA"/>
              </w:rPr>
              <w:t>7</w:t>
            </w:r>
            <w:r w:rsidRPr="002151B5">
              <w:rPr>
                <w:iCs/>
                <w:color w:val="000000" w:themeColor="text1"/>
                <w:sz w:val="24"/>
                <w:lang w:eastAsia="ar-SA"/>
              </w:rPr>
              <w:t xml:space="preserve">.gada </w:t>
            </w:r>
            <w:r>
              <w:rPr>
                <w:iCs/>
                <w:color w:val="000000" w:themeColor="text1"/>
                <w:sz w:val="24"/>
                <w:lang w:eastAsia="ar-SA"/>
              </w:rPr>
              <w:t>30.jūnijam</w:t>
            </w:r>
            <w:r w:rsidRPr="002151B5">
              <w:rPr>
                <w:iCs/>
                <w:color w:val="000000" w:themeColor="text1"/>
                <w:sz w:val="24"/>
                <w:lang w:eastAsia="ar-SA"/>
              </w:rPr>
              <w:t xml:space="preserve"> par noteikumu </w:t>
            </w:r>
            <w:r w:rsidRPr="00524322">
              <w:rPr>
                <w:iCs/>
                <w:sz w:val="24"/>
                <w:lang w:eastAsia="ar-SA"/>
              </w:rPr>
              <w:t xml:space="preserve">projektu </w:t>
            </w:r>
            <w:r>
              <w:rPr>
                <w:iCs/>
                <w:sz w:val="24"/>
                <w:lang w:eastAsia="ar-SA"/>
              </w:rPr>
              <w:t>nav saņemti.</w:t>
            </w:r>
          </w:p>
        </w:tc>
      </w:tr>
      <w:tr w:rsidR="0072740C" w:rsidRPr="00524322" w:rsidTr="007331E0">
        <w:tc>
          <w:tcPr>
            <w:tcW w:w="444" w:type="pct"/>
            <w:tcBorders>
              <w:top w:val="single" w:sz="4" w:space="0" w:color="auto"/>
              <w:left w:val="single" w:sz="4" w:space="0" w:color="auto"/>
              <w:bottom w:val="single" w:sz="4" w:space="0" w:color="auto"/>
              <w:right w:val="single" w:sz="4" w:space="0" w:color="auto"/>
            </w:tcBorders>
            <w:vAlign w:val="center"/>
          </w:tcPr>
          <w:p w:rsidR="0072740C" w:rsidRPr="00524322" w:rsidRDefault="0072740C" w:rsidP="007331E0">
            <w:pPr>
              <w:pStyle w:val="naiskr"/>
              <w:ind w:left="180" w:hanging="180"/>
              <w:jc w:val="center"/>
            </w:pPr>
            <w:r w:rsidRPr="00524322">
              <w:t>3.</w:t>
            </w:r>
          </w:p>
        </w:tc>
        <w:tc>
          <w:tcPr>
            <w:tcW w:w="1216" w:type="pct"/>
            <w:tcBorders>
              <w:top w:val="single" w:sz="4" w:space="0" w:color="auto"/>
              <w:left w:val="single" w:sz="4" w:space="0" w:color="auto"/>
              <w:bottom w:val="single" w:sz="4" w:space="0" w:color="auto"/>
              <w:right w:val="single" w:sz="4" w:space="0" w:color="auto"/>
            </w:tcBorders>
            <w:vAlign w:val="center"/>
          </w:tcPr>
          <w:p w:rsidR="0072740C" w:rsidRPr="00524322" w:rsidRDefault="0072740C" w:rsidP="007331E0">
            <w:pPr>
              <w:pStyle w:val="naiskr"/>
              <w:ind w:left="180" w:hanging="10"/>
            </w:pPr>
            <w:r w:rsidRPr="00524322">
              <w:t>Sabiedrības līdzdalības rezultāti</w:t>
            </w:r>
          </w:p>
        </w:tc>
        <w:tc>
          <w:tcPr>
            <w:tcW w:w="3340" w:type="pct"/>
            <w:vMerge/>
            <w:tcBorders>
              <w:left w:val="single" w:sz="4" w:space="0" w:color="auto"/>
              <w:bottom w:val="single" w:sz="4" w:space="0" w:color="auto"/>
              <w:right w:val="single" w:sz="4" w:space="0" w:color="auto"/>
            </w:tcBorders>
            <w:vAlign w:val="center"/>
          </w:tcPr>
          <w:p w:rsidR="0072740C" w:rsidRPr="00524322" w:rsidRDefault="0072740C" w:rsidP="007331E0">
            <w:pPr>
              <w:suppressAutoHyphens/>
              <w:ind w:right="57"/>
              <w:jc w:val="both"/>
              <w:rPr>
                <w:sz w:val="24"/>
              </w:rPr>
            </w:pPr>
          </w:p>
        </w:tc>
      </w:tr>
      <w:tr w:rsidR="0072740C" w:rsidRPr="00524322" w:rsidTr="007331E0">
        <w:tc>
          <w:tcPr>
            <w:tcW w:w="444" w:type="pct"/>
            <w:tcBorders>
              <w:top w:val="single" w:sz="4" w:space="0" w:color="auto"/>
              <w:left w:val="single" w:sz="4" w:space="0" w:color="auto"/>
              <w:bottom w:val="single" w:sz="4" w:space="0" w:color="auto"/>
              <w:right w:val="single" w:sz="4" w:space="0" w:color="auto"/>
            </w:tcBorders>
            <w:vAlign w:val="center"/>
          </w:tcPr>
          <w:p w:rsidR="0072740C" w:rsidRPr="00524322" w:rsidRDefault="0072740C" w:rsidP="007331E0">
            <w:pPr>
              <w:pStyle w:val="naiskr"/>
              <w:ind w:left="180" w:hanging="180"/>
              <w:jc w:val="center"/>
            </w:pPr>
            <w:r w:rsidRPr="00524322">
              <w:t>4.</w:t>
            </w:r>
          </w:p>
        </w:tc>
        <w:tc>
          <w:tcPr>
            <w:tcW w:w="1216" w:type="pct"/>
            <w:tcBorders>
              <w:top w:val="single" w:sz="4" w:space="0" w:color="auto"/>
              <w:left w:val="single" w:sz="4" w:space="0" w:color="auto"/>
              <w:bottom w:val="single" w:sz="4" w:space="0" w:color="auto"/>
              <w:right w:val="single" w:sz="4" w:space="0" w:color="auto"/>
            </w:tcBorders>
            <w:vAlign w:val="center"/>
          </w:tcPr>
          <w:p w:rsidR="0072740C" w:rsidRPr="00524322" w:rsidRDefault="0072740C" w:rsidP="007331E0">
            <w:pPr>
              <w:pStyle w:val="naiskr"/>
              <w:ind w:left="180" w:hanging="10"/>
            </w:pPr>
            <w:r w:rsidRPr="00524322">
              <w:t>Cita informācija.</w:t>
            </w:r>
          </w:p>
        </w:tc>
        <w:tc>
          <w:tcPr>
            <w:tcW w:w="3340" w:type="pct"/>
            <w:tcBorders>
              <w:top w:val="single" w:sz="4" w:space="0" w:color="auto"/>
              <w:left w:val="single" w:sz="4" w:space="0" w:color="auto"/>
              <w:bottom w:val="single" w:sz="4" w:space="0" w:color="auto"/>
              <w:right w:val="single" w:sz="4" w:space="0" w:color="auto"/>
            </w:tcBorders>
          </w:tcPr>
          <w:p w:rsidR="0072740C" w:rsidRPr="00524322" w:rsidRDefault="0072740C" w:rsidP="007331E0">
            <w:pPr>
              <w:jc w:val="both"/>
              <w:rPr>
                <w:sz w:val="24"/>
              </w:rPr>
            </w:pPr>
            <w:r>
              <w:rPr>
                <w:sz w:val="24"/>
              </w:rPr>
              <w:t>Nav.</w:t>
            </w:r>
          </w:p>
        </w:tc>
      </w:tr>
    </w:tbl>
    <w:p w:rsidR="0072740C" w:rsidRDefault="0072740C" w:rsidP="00BC420F">
      <w:pPr>
        <w:rPr>
          <w:szCs w:val="28"/>
        </w:rPr>
      </w:pPr>
    </w:p>
    <w:p w:rsidR="00265833" w:rsidRPr="00D42CC4" w:rsidRDefault="00265833" w:rsidP="00BC420F">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BC420F" w:rsidRPr="00D42CC4" w:rsidTr="00342C2B">
        <w:tc>
          <w:tcPr>
            <w:tcW w:w="5000" w:type="pct"/>
            <w:gridSpan w:val="3"/>
            <w:tcBorders>
              <w:top w:val="single" w:sz="4" w:space="0" w:color="auto"/>
              <w:left w:val="single" w:sz="4" w:space="0" w:color="auto"/>
              <w:bottom w:val="single" w:sz="4" w:space="0" w:color="auto"/>
              <w:right w:val="single" w:sz="4" w:space="0" w:color="auto"/>
            </w:tcBorders>
            <w:vAlign w:val="center"/>
          </w:tcPr>
          <w:p w:rsidR="00BC420F" w:rsidRPr="0058204F" w:rsidRDefault="00BC420F" w:rsidP="00342C2B">
            <w:pPr>
              <w:jc w:val="center"/>
              <w:rPr>
                <w:b/>
                <w:sz w:val="24"/>
              </w:rPr>
            </w:pPr>
            <w:r w:rsidRPr="0058204F">
              <w:rPr>
                <w:b/>
                <w:sz w:val="24"/>
              </w:rPr>
              <w:t>VII. Tiesību akta projekta izpildes nodrošināšana un tās ietekme uz institūcijām</w:t>
            </w:r>
          </w:p>
        </w:tc>
      </w:tr>
      <w:tr w:rsidR="00FB2140" w:rsidRPr="00D42CC4" w:rsidTr="00342C2B">
        <w:tc>
          <w:tcPr>
            <w:tcW w:w="444" w:type="pct"/>
            <w:tcBorders>
              <w:top w:val="single" w:sz="4" w:space="0" w:color="auto"/>
              <w:left w:val="single" w:sz="4" w:space="0" w:color="auto"/>
              <w:bottom w:val="single" w:sz="4" w:space="0" w:color="auto"/>
              <w:right w:val="single" w:sz="4" w:space="0" w:color="auto"/>
            </w:tcBorders>
            <w:vAlign w:val="center"/>
          </w:tcPr>
          <w:p w:rsidR="00FB2140" w:rsidRPr="00D42CC4" w:rsidRDefault="00FB2140" w:rsidP="00774EBA">
            <w:pPr>
              <w:pStyle w:val="naiskr"/>
              <w:ind w:left="180" w:hanging="180"/>
              <w:jc w:val="center"/>
            </w:pPr>
            <w:r w:rsidRPr="00D42CC4">
              <w:t>1.</w:t>
            </w:r>
          </w:p>
        </w:tc>
        <w:tc>
          <w:tcPr>
            <w:tcW w:w="1216" w:type="pct"/>
            <w:tcBorders>
              <w:top w:val="single" w:sz="4" w:space="0" w:color="auto"/>
              <w:left w:val="single" w:sz="4" w:space="0" w:color="auto"/>
              <w:bottom w:val="single" w:sz="4" w:space="0" w:color="auto"/>
              <w:right w:val="single" w:sz="4" w:space="0" w:color="auto"/>
            </w:tcBorders>
            <w:vAlign w:val="center"/>
          </w:tcPr>
          <w:p w:rsidR="00FB2140" w:rsidRPr="00D42CC4" w:rsidRDefault="00FB2140" w:rsidP="00342C2B">
            <w:pPr>
              <w:pStyle w:val="naiskr"/>
              <w:spacing w:before="0" w:after="0"/>
              <w:ind w:hanging="10"/>
            </w:pPr>
            <w:r w:rsidRPr="00D42CC4">
              <w:t>Projekta izpildē iesaistītās institūcijas</w:t>
            </w:r>
          </w:p>
        </w:tc>
        <w:tc>
          <w:tcPr>
            <w:tcW w:w="3340" w:type="pct"/>
            <w:tcBorders>
              <w:top w:val="single" w:sz="4" w:space="0" w:color="auto"/>
              <w:left w:val="single" w:sz="4" w:space="0" w:color="auto"/>
              <w:bottom w:val="single" w:sz="4" w:space="0" w:color="auto"/>
              <w:right w:val="single" w:sz="4" w:space="0" w:color="auto"/>
            </w:tcBorders>
            <w:vAlign w:val="center"/>
          </w:tcPr>
          <w:p w:rsidR="00FB2140" w:rsidRPr="00FF7639" w:rsidRDefault="00FB2140" w:rsidP="0084755A">
            <w:pPr>
              <w:jc w:val="both"/>
              <w:rPr>
                <w:sz w:val="24"/>
              </w:rPr>
            </w:pPr>
            <w:r w:rsidRPr="00FF7639">
              <w:rPr>
                <w:sz w:val="24"/>
              </w:rPr>
              <w:t>Noteikumu normu ievērošanu darba tiesisko attiecību jomā uzraudzīs Valsts darba inspekcija, bet darba ņēmēju darba algas norādīšanu darba devēja ziņojumā par valsts sociālās apdrošināšanas obligātajām iemaksām no darba ņēmēju darba ienākumiem, iedzīvotāju ienākuma nodokli un uzņēmējdarbības riska valsts nodevu pārskata mēnesī – Valsts ieņēmumu dienests.</w:t>
            </w:r>
          </w:p>
        </w:tc>
      </w:tr>
      <w:tr w:rsidR="00FB2140" w:rsidRPr="00D42CC4" w:rsidTr="00342C2B">
        <w:tc>
          <w:tcPr>
            <w:tcW w:w="444" w:type="pct"/>
            <w:tcBorders>
              <w:top w:val="single" w:sz="4" w:space="0" w:color="auto"/>
              <w:left w:val="single" w:sz="4" w:space="0" w:color="auto"/>
              <w:bottom w:val="single" w:sz="4" w:space="0" w:color="auto"/>
              <w:right w:val="single" w:sz="4" w:space="0" w:color="auto"/>
            </w:tcBorders>
            <w:vAlign w:val="center"/>
          </w:tcPr>
          <w:p w:rsidR="00FB2140" w:rsidRPr="00D42CC4" w:rsidRDefault="00FB2140" w:rsidP="00774EBA">
            <w:pPr>
              <w:pStyle w:val="naiskr"/>
              <w:ind w:left="180" w:hanging="180"/>
              <w:jc w:val="center"/>
            </w:pPr>
            <w:r w:rsidRPr="00D42CC4">
              <w:t>2.</w:t>
            </w:r>
          </w:p>
        </w:tc>
        <w:tc>
          <w:tcPr>
            <w:tcW w:w="1216" w:type="pct"/>
            <w:tcBorders>
              <w:top w:val="single" w:sz="4" w:space="0" w:color="auto"/>
              <w:left w:val="single" w:sz="4" w:space="0" w:color="auto"/>
              <w:bottom w:val="single" w:sz="4" w:space="0" w:color="auto"/>
              <w:right w:val="single" w:sz="4" w:space="0" w:color="auto"/>
            </w:tcBorders>
            <w:vAlign w:val="center"/>
          </w:tcPr>
          <w:p w:rsidR="00FB2140" w:rsidRPr="00142DD9" w:rsidRDefault="00FB2140" w:rsidP="00342C2B">
            <w:pPr>
              <w:rPr>
                <w:sz w:val="24"/>
              </w:rPr>
            </w:pPr>
            <w:r w:rsidRPr="00142DD9">
              <w:rPr>
                <w:sz w:val="24"/>
              </w:rPr>
              <w:t>Projekta izpildes ietekme uz pārvaldes funkcijām un institucionālo struktūru.</w:t>
            </w:r>
          </w:p>
          <w:p w:rsidR="00FB2140" w:rsidRPr="00142DD9" w:rsidRDefault="00FB2140" w:rsidP="00342C2B">
            <w:pPr>
              <w:pStyle w:val="naiskr"/>
              <w:spacing w:before="0" w:after="0"/>
              <w:ind w:hanging="10"/>
            </w:pPr>
            <w:r w:rsidRPr="00142DD9">
              <w:t xml:space="preserve">Jaunu institūciju izveide, esošu institūciju likvidācija vai reorganizācija, to ietekme uz institūcijas </w:t>
            </w:r>
            <w:r w:rsidRPr="00142DD9">
              <w:lastRenderedPageBreak/>
              <w:t>cilvēkresursiem</w:t>
            </w:r>
          </w:p>
        </w:tc>
        <w:tc>
          <w:tcPr>
            <w:tcW w:w="3340" w:type="pct"/>
            <w:tcBorders>
              <w:top w:val="single" w:sz="4" w:space="0" w:color="auto"/>
              <w:left w:val="single" w:sz="4" w:space="0" w:color="auto"/>
              <w:bottom w:val="single" w:sz="4" w:space="0" w:color="auto"/>
              <w:right w:val="single" w:sz="4" w:space="0" w:color="auto"/>
            </w:tcBorders>
            <w:vAlign w:val="center"/>
          </w:tcPr>
          <w:p w:rsidR="00FB2140" w:rsidRPr="00D42CC4" w:rsidRDefault="00FB2140" w:rsidP="0084755A">
            <w:pPr>
              <w:jc w:val="both"/>
              <w:rPr>
                <w:sz w:val="24"/>
              </w:rPr>
            </w:pPr>
            <w:r>
              <w:rPr>
                <w:sz w:val="24"/>
              </w:rPr>
              <w:lastRenderedPageBreak/>
              <w:t>P</w:t>
            </w:r>
            <w:r w:rsidRPr="00D42CC4">
              <w:rPr>
                <w:sz w:val="24"/>
              </w:rPr>
              <w:t xml:space="preserve">rojekts Valsts darba inspekcijas </w:t>
            </w:r>
            <w:r>
              <w:rPr>
                <w:sz w:val="24"/>
              </w:rPr>
              <w:t xml:space="preserve">un Valsts ieņēmumu dienesta </w:t>
            </w:r>
            <w:r w:rsidRPr="00D42CC4">
              <w:rPr>
                <w:sz w:val="24"/>
              </w:rPr>
              <w:t xml:space="preserve">funkcijas neietekmēs, jo </w:t>
            </w:r>
            <w:r>
              <w:rPr>
                <w:sz w:val="24"/>
              </w:rPr>
              <w:t>minētās iestādes šīs funkcijas veic jau pašreiz atbilstoši citiem normatīvajiem aktiem</w:t>
            </w:r>
            <w:r w:rsidRPr="00D42CC4">
              <w:rPr>
                <w:sz w:val="24"/>
              </w:rPr>
              <w:t>.</w:t>
            </w:r>
          </w:p>
        </w:tc>
      </w:tr>
      <w:tr w:rsidR="00BC420F" w:rsidRPr="00D42CC4" w:rsidTr="00342C2B">
        <w:tc>
          <w:tcPr>
            <w:tcW w:w="444" w:type="pct"/>
            <w:tcBorders>
              <w:top w:val="single" w:sz="4" w:space="0" w:color="auto"/>
              <w:left w:val="single" w:sz="4" w:space="0" w:color="auto"/>
              <w:bottom w:val="single" w:sz="4" w:space="0" w:color="auto"/>
              <w:right w:val="single" w:sz="4" w:space="0" w:color="auto"/>
            </w:tcBorders>
            <w:vAlign w:val="center"/>
          </w:tcPr>
          <w:p w:rsidR="00BC420F" w:rsidRPr="00D42CC4" w:rsidRDefault="00BC420F" w:rsidP="00774EBA">
            <w:pPr>
              <w:pStyle w:val="naiskr"/>
              <w:ind w:left="180" w:hanging="180"/>
              <w:jc w:val="center"/>
            </w:pPr>
            <w:r>
              <w:lastRenderedPageBreak/>
              <w:t>3</w:t>
            </w:r>
            <w:r w:rsidRPr="00D42CC4">
              <w:t>.</w:t>
            </w:r>
          </w:p>
        </w:tc>
        <w:tc>
          <w:tcPr>
            <w:tcW w:w="1216" w:type="pct"/>
            <w:tcBorders>
              <w:top w:val="single" w:sz="4" w:space="0" w:color="auto"/>
              <w:left w:val="single" w:sz="4" w:space="0" w:color="auto"/>
              <w:bottom w:val="single" w:sz="4" w:space="0" w:color="auto"/>
              <w:right w:val="single" w:sz="4" w:space="0" w:color="auto"/>
            </w:tcBorders>
            <w:vAlign w:val="center"/>
          </w:tcPr>
          <w:p w:rsidR="00BC420F" w:rsidRPr="00D42CC4" w:rsidRDefault="00BC420F" w:rsidP="00342C2B">
            <w:pPr>
              <w:pStyle w:val="naisf"/>
              <w:ind w:left="170"/>
              <w:jc w:val="left"/>
              <w:rPr>
                <w:lang w:val="lv-LV"/>
              </w:rPr>
            </w:pPr>
            <w:r w:rsidRPr="00D42CC4">
              <w:rPr>
                <w:lang w:val="lv-LV"/>
              </w:rPr>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BC420F" w:rsidRPr="00D42CC4" w:rsidRDefault="00BC420F" w:rsidP="00342C2B">
            <w:pPr>
              <w:rPr>
                <w:sz w:val="24"/>
              </w:rPr>
            </w:pPr>
            <w:r w:rsidRPr="00D42CC4">
              <w:rPr>
                <w:sz w:val="24"/>
              </w:rPr>
              <w:t>Nav.</w:t>
            </w:r>
          </w:p>
        </w:tc>
      </w:tr>
    </w:tbl>
    <w:p w:rsidR="00A26246" w:rsidRDefault="00A26246" w:rsidP="00CF46BE">
      <w:pPr>
        <w:jc w:val="both"/>
        <w:rPr>
          <w:szCs w:val="28"/>
        </w:rPr>
      </w:pPr>
    </w:p>
    <w:p w:rsidR="00265833" w:rsidRPr="003D2DDC" w:rsidRDefault="00265833" w:rsidP="00CF46BE">
      <w:pPr>
        <w:jc w:val="both"/>
        <w:rPr>
          <w:szCs w:val="28"/>
        </w:rPr>
      </w:pPr>
    </w:p>
    <w:p w:rsidR="003B2A64" w:rsidRPr="003D2DDC" w:rsidRDefault="00E660F6" w:rsidP="003D2DDC">
      <w:pPr>
        <w:pStyle w:val="Header"/>
        <w:tabs>
          <w:tab w:val="clear" w:pos="4153"/>
          <w:tab w:val="clear" w:pos="8306"/>
        </w:tabs>
        <w:ind w:firstLine="720"/>
        <w:jc w:val="both"/>
        <w:rPr>
          <w:szCs w:val="28"/>
        </w:rPr>
      </w:pPr>
      <w:r w:rsidRPr="003D2DDC">
        <w:rPr>
          <w:szCs w:val="28"/>
        </w:rPr>
        <w:t>Labklājības ministrs</w:t>
      </w:r>
      <w:r w:rsidR="003B2A64" w:rsidRPr="003D2DDC">
        <w:rPr>
          <w:szCs w:val="28"/>
        </w:rPr>
        <w:tab/>
      </w:r>
      <w:r w:rsidR="003D2DDC">
        <w:rPr>
          <w:szCs w:val="28"/>
        </w:rPr>
        <w:tab/>
      </w:r>
      <w:r w:rsidR="003D2DDC">
        <w:rPr>
          <w:szCs w:val="28"/>
        </w:rPr>
        <w:tab/>
      </w:r>
      <w:r w:rsidR="003D2DDC">
        <w:rPr>
          <w:szCs w:val="28"/>
        </w:rPr>
        <w:tab/>
      </w:r>
      <w:r w:rsidR="000825F3" w:rsidRPr="003D2DDC">
        <w:rPr>
          <w:szCs w:val="28"/>
        </w:rPr>
        <w:tab/>
      </w:r>
      <w:r w:rsidR="003D2DDC">
        <w:rPr>
          <w:szCs w:val="28"/>
        </w:rPr>
        <w:tab/>
      </w:r>
      <w:r w:rsidR="00C54EE5" w:rsidRPr="003D2DDC">
        <w:rPr>
          <w:szCs w:val="28"/>
        </w:rPr>
        <w:t>J.Reirs</w:t>
      </w:r>
    </w:p>
    <w:p w:rsidR="003D2DDC" w:rsidRPr="003D2DDC" w:rsidRDefault="003D2DDC" w:rsidP="003D2DDC">
      <w:pPr>
        <w:jc w:val="both"/>
        <w:rPr>
          <w:szCs w:val="28"/>
        </w:rPr>
      </w:pPr>
    </w:p>
    <w:p w:rsidR="003D2DDC" w:rsidRDefault="003D2DDC" w:rsidP="003D2DDC">
      <w:pPr>
        <w:jc w:val="both"/>
        <w:rPr>
          <w:szCs w:val="28"/>
        </w:rPr>
      </w:pPr>
    </w:p>
    <w:p w:rsidR="00265833" w:rsidRPr="003D2DDC" w:rsidRDefault="00265833" w:rsidP="003D2DDC">
      <w:pPr>
        <w:jc w:val="both"/>
        <w:rPr>
          <w:szCs w:val="28"/>
        </w:rPr>
      </w:pPr>
    </w:p>
    <w:p w:rsidR="000D4435" w:rsidRDefault="003D2DDC" w:rsidP="003D2DDC">
      <w:pPr>
        <w:ind w:firstLine="720"/>
        <w:jc w:val="both"/>
        <w:rPr>
          <w:szCs w:val="28"/>
        </w:rPr>
      </w:pPr>
      <w:r w:rsidRPr="003D2DDC">
        <w:rPr>
          <w:szCs w:val="28"/>
        </w:rPr>
        <w:t>Labklājī</w:t>
      </w:r>
      <w:r w:rsidR="000D4435">
        <w:rPr>
          <w:szCs w:val="28"/>
        </w:rPr>
        <w:t xml:space="preserve">bas ministrijas valsts sekretāra </w:t>
      </w:r>
      <w:proofErr w:type="spellStart"/>
      <w:r w:rsidR="000D4435">
        <w:rPr>
          <w:szCs w:val="28"/>
        </w:rPr>
        <w:t>p.i</w:t>
      </w:r>
      <w:proofErr w:type="spellEnd"/>
      <w:r w:rsidR="000D4435">
        <w:rPr>
          <w:szCs w:val="28"/>
        </w:rPr>
        <w:t>.,</w:t>
      </w:r>
    </w:p>
    <w:p w:rsidR="003D2DDC" w:rsidRPr="003D2DDC" w:rsidRDefault="000D4435" w:rsidP="003D2DDC">
      <w:pPr>
        <w:ind w:firstLine="720"/>
        <w:jc w:val="both"/>
        <w:rPr>
          <w:szCs w:val="28"/>
        </w:rPr>
      </w:pPr>
      <w:r>
        <w:rPr>
          <w:szCs w:val="28"/>
        </w:rPr>
        <w:t>valsts sekretāra vietniece</w:t>
      </w:r>
      <w:r>
        <w:rPr>
          <w:szCs w:val="28"/>
        </w:rPr>
        <w:tab/>
      </w:r>
      <w:r>
        <w:rPr>
          <w:szCs w:val="28"/>
        </w:rPr>
        <w:tab/>
      </w:r>
      <w:r>
        <w:rPr>
          <w:szCs w:val="28"/>
        </w:rPr>
        <w:tab/>
      </w:r>
      <w:r w:rsidR="003D2DDC" w:rsidRPr="003D2DDC">
        <w:rPr>
          <w:szCs w:val="28"/>
        </w:rPr>
        <w:tab/>
      </w:r>
      <w:r w:rsidR="003D2DDC" w:rsidRPr="003D2DDC">
        <w:rPr>
          <w:szCs w:val="28"/>
        </w:rPr>
        <w:tab/>
      </w:r>
      <w:r w:rsidR="003D2DDC" w:rsidRPr="003D2DDC">
        <w:rPr>
          <w:szCs w:val="28"/>
        </w:rPr>
        <w:tab/>
      </w:r>
      <w:r>
        <w:rPr>
          <w:szCs w:val="28"/>
        </w:rPr>
        <w:t>I.Kārkliņa</w:t>
      </w:r>
    </w:p>
    <w:p w:rsidR="003B7107" w:rsidRDefault="003B7107" w:rsidP="00BD2307">
      <w:pPr>
        <w:pStyle w:val="BodyText"/>
        <w:jc w:val="both"/>
      </w:pPr>
    </w:p>
    <w:p w:rsidR="00827883" w:rsidRDefault="00827883" w:rsidP="00BD2307">
      <w:pPr>
        <w:pStyle w:val="BodyText"/>
        <w:jc w:val="both"/>
      </w:pPr>
    </w:p>
    <w:p w:rsidR="00265833" w:rsidRDefault="00265833" w:rsidP="00BD2307">
      <w:pPr>
        <w:pStyle w:val="BodyText"/>
        <w:jc w:val="both"/>
      </w:pPr>
    </w:p>
    <w:p w:rsidR="00265833" w:rsidRDefault="00265833" w:rsidP="00BD2307">
      <w:pPr>
        <w:pStyle w:val="BodyText"/>
        <w:jc w:val="both"/>
      </w:pPr>
    </w:p>
    <w:p w:rsidR="00265833" w:rsidRDefault="00265833" w:rsidP="00BD2307">
      <w:pPr>
        <w:pStyle w:val="BodyText"/>
        <w:jc w:val="both"/>
      </w:pPr>
    </w:p>
    <w:p w:rsidR="00265833" w:rsidRDefault="00265833" w:rsidP="00BD2307">
      <w:pPr>
        <w:pStyle w:val="BodyText"/>
        <w:jc w:val="both"/>
      </w:pPr>
    </w:p>
    <w:p w:rsidR="00265833" w:rsidRDefault="00265833" w:rsidP="00BD2307">
      <w:pPr>
        <w:pStyle w:val="BodyText"/>
        <w:jc w:val="both"/>
      </w:pPr>
    </w:p>
    <w:p w:rsidR="00265833" w:rsidRDefault="00265833" w:rsidP="00BD2307">
      <w:pPr>
        <w:pStyle w:val="BodyText"/>
        <w:jc w:val="both"/>
      </w:pPr>
    </w:p>
    <w:p w:rsidR="00265833" w:rsidRDefault="00265833" w:rsidP="00BD2307">
      <w:pPr>
        <w:pStyle w:val="BodyText"/>
        <w:jc w:val="both"/>
      </w:pPr>
    </w:p>
    <w:p w:rsidR="00265833" w:rsidRDefault="00265833" w:rsidP="00BD2307">
      <w:pPr>
        <w:pStyle w:val="BodyText"/>
        <w:jc w:val="both"/>
      </w:pPr>
    </w:p>
    <w:p w:rsidR="00265833" w:rsidRDefault="00265833" w:rsidP="00BD2307">
      <w:pPr>
        <w:pStyle w:val="BodyText"/>
        <w:jc w:val="both"/>
      </w:pPr>
    </w:p>
    <w:p w:rsidR="00265833" w:rsidRDefault="00265833" w:rsidP="00BD2307">
      <w:pPr>
        <w:pStyle w:val="BodyText"/>
        <w:jc w:val="both"/>
      </w:pPr>
    </w:p>
    <w:p w:rsidR="00265833" w:rsidRDefault="00265833" w:rsidP="00BD2307">
      <w:pPr>
        <w:pStyle w:val="BodyText"/>
        <w:jc w:val="both"/>
      </w:pPr>
    </w:p>
    <w:p w:rsidR="00265833" w:rsidRDefault="00265833" w:rsidP="00BD2307">
      <w:pPr>
        <w:pStyle w:val="BodyText"/>
        <w:jc w:val="both"/>
      </w:pPr>
    </w:p>
    <w:p w:rsidR="00265833" w:rsidRDefault="00265833" w:rsidP="00BD2307">
      <w:pPr>
        <w:pStyle w:val="BodyText"/>
        <w:jc w:val="both"/>
      </w:pPr>
    </w:p>
    <w:p w:rsidR="00265833" w:rsidRDefault="00265833" w:rsidP="00BD2307">
      <w:pPr>
        <w:pStyle w:val="BodyText"/>
        <w:jc w:val="both"/>
      </w:pPr>
    </w:p>
    <w:p w:rsidR="00265833" w:rsidRDefault="00265833" w:rsidP="00BD2307">
      <w:pPr>
        <w:pStyle w:val="BodyText"/>
        <w:jc w:val="both"/>
      </w:pPr>
    </w:p>
    <w:p w:rsidR="00265833" w:rsidRDefault="00265833" w:rsidP="00BD2307">
      <w:pPr>
        <w:pStyle w:val="BodyText"/>
        <w:jc w:val="both"/>
      </w:pPr>
    </w:p>
    <w:p w:rsidR="00265833" w:rsidRDefault="00265833" w:rsidP="00BD2307">
      <w:pPr>
        <w:pStyle w:val="BodyText"/>
        <w:jc w:val="both"/>
      </w:pPr>
    </w:p>
    <w:p w:rsidR="00827883" w:rsidRDefault="00827883" w:rsidP="00BD2307">
      <w:pPr>
        <w:pStyle w:val="BodyText"/>
        <w:jc w:val="both"/>
      </w:pPr>
    </w:p>
    <w:p w:rsidR="00576F61" w:rsidRPr="00DB19A5" w:rsidRDefault="00FB2140" w:rsidP="00576F61">
      <w:pPr>
        <w:jc w:val="both"/>
        <w:rPr>
          <w:sz w:val="22"/>
          <w:szCs w:val="22"/>
        </w:rPr>
      </w:pPr>
      <w:r>
        <w:rPr>
          <w:sz w:val="22"/>
          <w:szCs w:val="22"/>
        </w:rPr>
        <w:t>1</w:t>
      </w:r>
      <w:r w:rsidR="00894F0A">
        <w:rPr>
          <w:sz w:val="22"/>
          <w:szCs w:val="22"/>
        </w:rPr>
        <w:t>3</w:t>
      </w:r>
      <w:r w:rsidR="00D651BF" w:rsidRPr="00DB19A5">
        <w:rPr>
          <w:sz w:val="22"/>
          <w:szCs w:val="22"/>
        </w:rPr>
        <w:t>.</w:t>
      </w:r>
      <w:r w:rsidR="005F1502">
        <w:rPr>
          <w:sz w:val="22"/>
          <w:szCs w:val="22"/>
        </w:rPr>
        <w:t>07</w:t>
      </w:r>
      <w:r w:rsidR="00576F61" w:rsidRPr="00DB19A5">
        <w:rPr>
          <w:sz w:val="22"/>
          <w:szCs w:val="22"/>
        </w:rPr>
        <w:t>.20</w:t>
      </w:r>
      <w:r w:rsidR="00C8418C" w:rsidRPr="00DB19A5">
        <w:rPr>
          <w:sz w:val="22"/>
          <w:szCs w:val="22"/>
        </w:rPr>
        <w:t>1</w:t>
      </w:r>
      <w:r w:rsidR="005F1502">
        <w:rPr>
          <w:sz w:val="22"/>
          <w:szCs w:val="22"/>
        </w:rPr>
        <w:t>7</w:t>
      </w:r>
      <w:r w:rsidR="00576F61" w:rsidRPr="00DB19A5">
        <w:rPr>
          <w:sz w:val="22"/>
          <w:szCs w:val="22"/>
        </w:rPr>
        <w:t>.</w:t>
      </w:r>
      <w:r w:rsidR="008E52A6" w:rsidRPr="00DB19A5">
        <w:rPr>
          <w:sz w:val="22"/>
          <w:szCs w:val="22"/>
        </w:rPr>
        <w:t xml:space="preserve"> </w:t>
      </w:r>
      <w:r w:rsidR="00CC0C15">
        <w:rPr>
          <w:sz w:val="22"/>
          <w:szCs w:val="22"/>
        </w:rPr>
        <w:t>1</w:t>
      </w:r>
      <w:r w:rsidR="00313904">
        <w:rPr>
          <w:sz w:val="22"/>
          <w:szCs w:val="22"/>
        </w:rPr>
        <w:t>5</w:t>
      </w:r>
      <w:r w:rsidR="00D17BC0" w:rsidRPr="00DB19A5">
        <w:rPr>
          <w:sz w:val="22"/>
          <w:szCs w:val="22"/>
        </w:rPr>
        <w:t>:</w:t>
      </w:r>
      <w:r w:rsidR="00313904">
        <w:rPr>
          <w:sz w:val="22"/>
          <w:szCs w:val="22"/>
        </w:rPr>
        <w:t>5</w:t>
      </w:r>
      <w:bookmarkStart w:id="1" w:name="_GoBack"/>
      <w:bookmarkEnd w:id="1"/>
      <w:r w:rsidR="00CE7462">
        <w:rPr>
          <w:sz w:val="22"/>
          <w:szCs w:val="22"/>
        </w:rPr>
        <w:t>6</w:t>
      </w:r>
    </w:p>
    <w:p w:rsidR="00576F61" w:rsidRPr="00DB19A5" w:rsidRDefault="00997D03" w:rsidP="00576F61">
      <w:pPr>
        <w:jc w:val="both"/>
        <w:rPr>
          <w:sz w:val="22"/>
          <w:szCs w:val="22"/>
        </w:rPr>
      </w:pPr>
      <w:r>
        <w:rPr>
          <w:sz w:val="22"/>
          <w:szCs w:val="22"/>
        </w:rPr>
        <w:t>30</w:t>
      </w:r>
      <w:r w:rsidR="00313904">
        <w:rPr>
          <w:sz w:val="22"/>
          <w:szCs w:val="22"/>
        </w:rPr>
        <w:t>62</w:t>
      </w:r>
    </w:p>
    <w:p w:rsidR="0043022A" w:rsidRPr="00DB19A5" w:rsidRDefault="00576F61" w:rsidP="00182635">
      <w:pPr>
        <w:rPr>
          <w:bCs/>
          <w:sz w:val="22"/>
          <w:szCs w:val="22"/>
        </w:rPr>
      </w:pPr>
      <w:r w:rsidRPr="00DB19A5">
        <w:rPr>
          <w:bCs/>
          <w:sz w:val="22"/>
          <w:szCs w:val="22"/>
        </w:rPr>
        <w:t>A</w:t>
      </w:r>
      <w:r w:rsidR="00070CCC" w:rsidRPr="00DB19A5">
        <w:rPr>
          <w:bCs/>
          <w:sz w:val="22"/>
          <w:szCs w:val="22"/>
        </w:rPr>
        <w:t>.</w:t>
      </w:r>
      <w:r w:rsidR="009D3B54" w:rsidRPr="00DB19A5">
        <w:rPr>
          <w:bCs/>
          <w:sz w:val="22"/>
          <w:szCs w:val="22"/>
        </w:rPr>
        <w:t>Liepiņa</w:t>
      </w:r>
      <w:r w:rsidR="0043022A" w:rsidRPr="00DB19A5">
        <w:rPr>
          <w:bCs/>
          <w:sz w:val="22"/>
          <w:szCs w:val="22"/>
        </w:rPr>
        <w:t>,</w:t>
      </w:r>
    </w:p>
    <w:p w:rsidR="00BD2307" w:rsidRPr="00DB19A5" w:rsidRDefault="00780169" w:rsidP="00182635">
      <w:pPr>
        <w:rPr>
          <w:sz w:val="22"/>
          <w:szCs w:val="22"/>
        </w:rPr>
      </w:pPr>
      <w:r w:rsidRPr="00DB19A5">
        <w:rPr>
          <w:sz w:val="22"/>
          <w:szCs w:val="22"/>
        </w:rPr>
        <w:t>6</w:t>
      </w:r>
      <w:r w:rsidR="00576F61" w:rsidRPr="00DB19A5">
        <w:rPr>
          <w:sz w:val="22"/>
          <w:szCs w:val="22"/>
        </w:rPr>
        <w:t>7021519, Aina.</w:t>
      </w:r>
      <w:r w:rsidR="009D3B54" w:rsidRPr="00DB19A5">
        <w:rPr>
          <w:sz w:val="22"/>
          <w:szCs w:val="22"/>
        </w:rPr>
        <w:t>Liepina</w:t>
      </w:r>
      <w:r w:rsidR="00576F61" w:rsidRPr="00DB19A5">
        <w:rPr>
          <w:sz w:val="22"/>
          <w:szCs w:val="22"/>
        </w:rPr>
        <w:t>@lm.gov.lv</w:t>
      </w:r>
    </w:p>
    <w:sectPr w:rsidR="00BD2307" w:rsidRPr="00DB19A5" w:rsidSect="00A26246">
      <w:headerReference w:type="even" r:id="rId12"/>
      <w:headerReference w:type="default" r:id="rId13"/>
      <w:footerReference w:type="default" r:id="rId14"/>
      <w:footerReference w:type="first" r:id="rId15"/>
      <w:pgSz w:w="11906" w:h="16838" w:code="9"/>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006" w:rsidRDefault="006F6006">
      <w:r>
        <w:separator/>
      </w:r>
    </w:p>
  </w:endnote>
  <w:endnote w:type="continuationSeparator" w:id="0">
    <w:p w:rsidR="006F6006" w:rsidRDefault="006F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06" w:rsidRPr="007F2A72" w:rsidRDefault="006F6006" w:rsidP="007F2A72">
    <w:pPr>
      <w:pStyle w:val="Subtitle"/>
      <w:spacing w:after="0"/>
      <w:jc w:val="both"/>
    </w:pPr>
    <w:r w:rsidRPr="007F2A72">
      <w:rPr>
        <w:b w:val="0"/>
        <w:sz w:val="18"/>
        <w:szCs w:val="18"/>
      </w:rPr>
      <w:t>LMAnot_</w:t>
    </w:r>
    <w:r>
      <w:rPr>
        <w:b w:val="0"/>
        <w:sz w:val="18"/>
        <w:szCs w:val="18"/>
      </w:rPr>
      <w:t>1</w:t>
    </w:r>
    <w:r w:rsidR="00894F0A">
      <w:rPr>
        <w:b w:val="0"/>
        <w:sz w:val="18"/>
        <w:szCs w:val="18"/>
      </w:rPr>
      <w:t>3</w:t>
    </w:r>
    <w:r>
      <w:rPr>
        <w:b w:val="0"/>
        <w:sz w:val="18"/>
        <w:szCs w:val="18"/>
      </w:rPr>
      <w:t>0717</w:t>
    </w:r>
    <w:r w:rsidRPr="007F2A72">
      <w:rPr>
        <w:b w:val="0"/>
        <w:sz w:val="18"/>
        <w:szCs w:val="18"/>
      </w:rPr>
      <w:t>; Ministru kabineta noteikumu projekts „Grozījums Ministru kabineta 2015.gada 24.novembra noteikumos Nr.656 „Noteikumi par minimālās mēneša darba algas apmēru normālā darba laika ietvaros un minimālās stundas tarifa likmes aprēķināšanu””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06" w:rsidRPr="007F2A72" w:rsidRDefault="006F6006" w:rsidP="00167AE7">
    <w:pPr>
      <w:pStyle w:val="Subtitle"/>
      <w:spacing w:after="0"/>
      <w:jc w:val="both"/>
      <w:rPr>
        <w:b w:val="0"/>
        <w:sz w:val="18"/>
        <w:szCs w:val="18"/>
      </w:rPr>
    </w:pPr>
    <w:r w:rsidRPr="007F2A72">
      <w:rPr>
        <w:b w:val="0"/>
        <w:sz w:val="18"/>
        <w:szCs w:val="18"/>
      </w:rPr>
      <w:t>LMAnot_</w:t>
    </w:r>
    <w:r>
      <w:rPr>
        <w:b w:val="0"/>
        <w:sz w:val="18"/>
        <w:szCs w:val="18"/>
      </w:rPr>
      <w:t>1</w:t>
    </w:r>
    <w:r w:rsidR="00894F0A">
      <w:rPr>
        <w:b w:val="0"/>
        <w:sz w:val="18"/>
        <w:szCs w:val="18"/>
      </w:rPr>
      <w:t>3</w:t>
    </w:r>
    <w:r>
      <w:rPr>
        <w:b w:val="0"/>
        <w:sz w:val="18"/>
        <w:szCs w:val="18"/>
      </w:rPr>
      <w:t>0717</w:t>
    </w:r>
    <w:r w:rsidRPr="007F2A72">
      <w:rPr>
        <w:b w:val="0"/>
        <w:sz w:val="18"/>
        <w:szCs w:val="18"/>
      </w:rPr>
      <w:t>; Ministru kabineta noteikumu projekts „Grozījums Ministru kabineta 2015.gada 24.novembra noteikumos Nr.656 „Noteikumi par minimālās mēneša darba algas apmēru normālā darba laika ietvaros un minimālās stundas tarifa likmes aprēķināšanu””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006" w:rsidRDefault="006F6006">
      <w:r>
        <w:separator/>
      </w:r>
    </w:p>
  </w:footnote>
  <w:footnote w:type="continuationSeparator" w:id="0">
    <w:p w:rsidR="006F6006" w:rsidRDefault="006F6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06" w:rsidRDefault="006F6006"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6006" w:rsidRDefault="006F60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06" w:rsidRDefault="006F6006"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3904">
      <w:rPr>
        <w:rStyle w:val="PageNumber"/>
        <w:noProof/>
      </w:rPr>
      <w:t>11</w:t>
    </w:r>
    <w:r>
      <w:rPr>
        <w:rStyle w:val="PageNumber"/>
      </w:rPr>
      <w:fldChar w:fldCharType="end"/>
    </w:r>
  </w:p>
  <w:p w:rsidR="006F6006" w:rsidRDefault="006F6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46032"/>
    <w:multiLevelType w:val="hybridMultilevel"/>
    <w:tmpl w:val="B27CF2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ABF2CD4"/>
    <w:multiLevelType w:val="hybridMultilevel"/>
    <w:tmpl w:val="07B279C8"/>
    <w:lvl w:ilvl="0" w:tplc="226629A4">
      <w:start w:val="1"/>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2">
    <w:nsid w:val="6F101106"/>
    <w:multiLevelType w:val="multilevel"/>
    <w:tmpl w:val="470CF0FE"/>
    <w:lvl w:ilvl="0">
      <w:start w:val="4"/>
      <w:numFmt w:val="decimal"/>
      <w:lvlText w:val="%1."/>
      <w:lvlJc w:val="left"/>
      <w:pPr>
        <w:ind w:left="540" w:hanging="540"/>
      </w:pPr>
      <w:rPr>
        <w:rFonts w:hint="default"/>
        <w:sz w:val="22"/>
      </w:rPr>
    </w:lvl>
    <w:lvl w:ilvl="1">
      <w:start w:val="1"/>
      <w:numFmt w:val="decimal"/>
      <w:lvlText w:val="%1.%2."/>
      <w:lvlJc w:val="left"/>
      <w:pPr>
        <w:ind w:left="769" w:hanging="540"/>
      </w:pPr>
      <w:rPr>
        <w:rFonts w:hint="default"/>
        <w:b/>
        <w:sz w:val="22"/>
      </w:rPr>
    </w:lvl>
    <w:lvl w:ilvl="2">
      <w:start w:val="1"/>
      <w:numFmt w:val="decimal"/>
      <w:lvlText w:val="%1.%2.%3."/>
      <w:lvlJc w:val="left"/>
      <w:pPr>
        <w:ind w:left="1178" w:hanging="720"/>
      </w:pPr>
      <w:rPr>
        <w:rFonts w:hint="default"/>
        <w:sz w:val="22"/>
      </w:rPr>
    </w:lvl>
    <w:lvl w:ilvl="3">
      <w:start w:val="1"/>
      <w:numFmt w:val="decimal"/>
      <w:lvlText w:val="%1.%2.%3.%4."/>
      <w:lvlJc w:val="left"/>
      <w:pPr>
        <w:ind w:left="1407" w:hanging="720"/>
      </w:pPr>
      <w:rPr>
        <w:rFonts w:hint="default"/>
        <w:sz w:val="22"/>
      </w:rPr>
    </w:lvl>
    <w:lvl w:ilvl="4">
      <w:start w:val="1"/>
      <w:numFmt w:val="decimal"/>
      <w:lvlText w:val="%1.%2.%3.%4.%5."/>
      <w:lvlJc w:val="left"/>
      <w:pPr>
        <w:ind w:left="1996" w:hanging="1080"/>
      </w:pPr>
      <w:rPr>
        <w:rFonts w:hint="default"/>
        <w:sz w:val="22"/>
      </w:rPr>
    </w:lvl>
    <w:lvl w:ilvl="5">
      <w:start w:val="1"/>
      <w:numFmt w:val="decimal"/>
      <w:lvlText w:val="%1.%2.%3.%4.%5.%6."/>
      <w:lvlJc w:val="left"/>
      <w:pPr>
        <w:ind w:left="2225" w:hanging="1080"/>
      </w:pPr>
      <w:rPr>
        <w:rFonts w:hint="default"/>
        <w:sz w:val="22"/>
      </w:rPr>
    </w:lvl>
    <w:lvl w:ilvl="6">
      <w:start w:val="1"/>
      <w:numFmt w:val="decimal"/>
      <w:lvlText w:val="%1.%2.%3.%4.%5.%6.%7."/>
      <w:lvlJc w:val="left"/>
      <w:pPr>
        <w:ind w:left="2814" w:hanging="1440"/>
      </w:pPr>
      <w:rPr>
        <w:rFonts w:hint="default"/>
        <w:sz w:val="22"/>
      </w:rPr>
    </w:lvl>
    <w:lvl w:ilvl="7">
      <w:start w:val="1"/>
      <w:numFmt w:val="decimal"/>
      <w:lvlText w:val="%1.%2.%3.%4.%5.%6.%7.%8."/>
      <w:lvlJc w:val="left"/>
      <w:pPr>
        <w:ind w:left="3043" w:hanging="1440"/>
      </w:pPr>
      <w:rPr>
        <w:rFonts w:hint="default"/>
        <w:sz w:val="22"/>
      </w:rPr>
    </w:lvl>
    <w:lvl w:ilvl="8">
      <w:start w:val="1"/>
      <w:numFmt w:val="decimal"/>
      <w:lvlText w:val="%1.%2.%3.%4.%5.%6.%7.%8.%9."/>
      <w:lvlJc w:val="left"/>
      <w:pPr>
        <w:ind w:left="3632" w:hanging="1800"/>
      </w:pPr>
      <w:rPr>
        <w:rFonts w:hint="default"/>
        <w:sz w:val="22"/>
      </w:rPr>
    </w:lvl>
  </w:abstractNum>
  <w:abstractNum w:abstractNumId="3">
    <w:nsid w:val="75691F23"/>
    <w:multiLevelType w:val="hybridMultilevel"/>
    <w:tmpl w:val="3FB0CDE6"/>
    <w:lvl w:ilvl="0" w:tplc="79367BD0">
      <w:start w:val="4"/>
      <w:numFmt w:val="bullet"/>
      <w:lvlText w:val="–"/>
      <w:lvlJc w:val="left"/>
      <w:pPr>
        <w:ind w:left="1211" w:hanging="360"/>
      </w:pPr>
      <w:rPr>
        <w:rFonts w:ascii="Times New Roman" w:eastAsia="Calibri"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4">
    <w:nsid w:val="7E8D36E2"/>
    <w:multiLevelType w:val="hybridMultilevel"/>
    <w:tmpl w:val="E1422848"/>
    <w:lvl w:ilvl="0" w:tplc="0409000F">
      <w:start w:val="1"/>
      <w:numFmt w:val="decimal"/>
      <w:lvlText w:val="%1."/>
      <w:lvlJc w:val="left"/>
      <w:pPr>
        <w:tabs>
          <w:tab w:val="num" w:pos="720"/>
        </w:tabs>
        <w:ind w:left="72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07"/>
    <w:rsid w:val="00000A9C"/>
    <w:rsid w:val="0000125E"/>
    <w:rsid w:val="00004205"/>
    <w:rsid w:val="00004D14"/>
    <w:rsid w:val="00007A9D"/>
    <w:rsid w:val="00010EF3"/>
    <w:rsid w:val="0001150F"/>
    <w:rsid w:val="00012046"/>
    <w:rsid w:val="000131D4"/>
    <w:rsid w:val="00013542"/>
    <w:rsid w:val="00013687"/>
    <w:rsid w:val="000155D7"/>
    <w:rsid w:val="00022E55"/>
    <w:rsid w:val="0002351D"/>
    <w:rsid w:val="000235DC"/>
    <w:rsid w:val="00024D2B"/>
    <w:rsid w:val="00025CED"/>
    <w:rsid w:val="00030013"/>
    <w:rsid w:val="00031426"/>
    <w:rsid w:val="000329E7"/>
    <w:rsid w:val="00032E7D"/>
    <w:rsid w:val="00033476"/>
    <w:rsid w:val="00036F86"/>
    <w:rsid w:val="00037F87"/>
    <w:rsid w:val="0004039E"/>
    <w:rsid w:val="0004150E"/>
    <w:rsid w:val="00041B4A"/>
    <w:rsid w:val="00044E30"/>
    <w:rsid w:val="00045B2C"/>
    <w:rsid w:val="00062C56"/>
    <w:rsid w:val="000648DD"/>
    <w:rsid w:val="00064E71"/>
    <w:rsid w:val="00065397"/>
    <w:rsid w:val="00066392"/>
    <w:rsid w:val="000702BD"/>
    <w:rsid w:val="00070CCC"/>
    <w:rsid w:val="00071E26"/>
    <w:rsid w:val="00076F58"/>
    <w:rsid w:val="0008046F"/>
    <w:rsid w:val="000819C3"/>
    <w:rsid w:val="000825F3"/>
    <w:rsid w:val="00085D1A"/>
    <w:rsid w:val="00086251"/>
    <w:rsid w:val="00086ADC"/>
    <w:rsid w:val="000872B3"/>
    <w:rsid w:val="000917B9"/>
    <w:rsid w:val="00092F63"/>
    <w:rsid w:val="00093296"/>
    <w:rsid w:val="00093558"/>
    <w:rsid w:val="00094D3D"/>
    <w:rsid w:val="00096697"/>
    <w:rsid w:val="000A0445"/>
    <w:rsid w:val="000A0A96"/>
    <w:rsid w:val="000A100A"/>
    <w:rsid w:val="000A42FA"/>
    <w:rsid w:val="000A4A65"/>
    <w:rsid w:val="000A73C1"/>
    <w:rsid w:val="000B19E1"/>
    <w:rsid w:val="000C2648"/>
    <w:rsid w:val="000C36E5"/>
    <w:rsid w:val="000C3805"/>
    <w:rsid w:val="000C3D1A"/>
    <w:rsid w:val="000C4CB8"/>
    <w:rsid w:val="000D0A5D"/>
    <w:rsid w:val="000D1FFE"/>
    <w:rsid w:val="000D4435"/>
    <w:rsid w:val="000D4A1E"/>
    <w:rsid w:val="000D53FA"/>
    <w:rsid w:val="000D6528"/>
    <w:rsid w:val="000D7DE8"/>
    <w:rsid w:val="000E01AA"/>
    <w:rsid w:val="000E17FF"/>
    <w:rsid w:val="000E2E4E"/>
    <w:rsid w:val="000E53DA"/>
    <w:rsid w:val="000E7A5E"/>
    <w:rsid w:val="000F033F"/>
    <w:rsid w:val="000F16B2"/>
    <w:rsid w:val="000F31EE"/>
    <w:rsid w:val="000F322A"/>
    <w:rsid w:val="000F4B9A"/>
    <w:rsid w:val="000F5DB0"/>
    <w:rsid w:val="000F6EB2"/>
    <w:rsid w:val="000F7EFB"/>
    <w:rsid w:val="00103030"/>
    <w:rsid w:val="00105FA2"/>
    <w:rsid w:val="00106E2B"/>
    <w:rsid w:val="00106F9B"/>
    <w:rsid w:val="001071E2"/>
    <w:rsid w:val="00112F66"/>
    <w:rsid w:val="0011565C"/>
    <w:rsid w:val="001158F2"/>
    <w:rsid w:val="0011759A"/>
    <w:rsid w:val="00120BFC"/>
    <w:rsid w:val="00121FDE"/>
    <w:rsid w:val="00122FA1"/>
    <w:rsid w:val="00124129"/>
    <w:rsid w:val="00124F71"/>
    <w:rsid w:val="00125BDF"/>
    <w:rsid w:val="00130445"/>
    <w:rsid w:val="00130509"/>
    <w:rsid w:val="00134C64"/>
    <w:rsid w:val="00135478"/>
    <w:rsid w:val="0014120F"/>
    <w:rsid w:val="00141FF9"/>
    <w:rsid w:val="00145737"/>
    <w:rsid w:val="00146A94"/>
    <w:rsid w:val="0014723C"/>
    <w:rsid w:val="00147E05"/>
    <w:rsid w:val="00152613"/>
    <w:rsid w:val="00152786"/>
    <w:rsid w:val="00152A8A"/>
    <w:rsid w:val="001532EC"/>
    <w:rsid w:val="00153CD1"/>
    <w:rsid w:val="00155D75"/>
    <w:rsid w:val="00156BAB"/>
    <w:rsid w:val="0015732F"/>
    <w:rsid w:val="00157E52"/>
    <w:rsid w:val="001606C6"/>
    <w:rsid w:val="0016117B"/>
    <w:rsid w:val="00164ADD"/>
    <w:rsid w:val="00164DAB"/>
    <w:rsid w:val="0016742E"/>
    <w:rsid w:val="001675C5"/>
    <w:rsid w:val="00167AE7"/>
    <w:rsid w:val="00170B28"/>
    <w:rsid w:val="00171098"/>
    <w:rsid w:val="00172E2B"/>
    <w:rsid w:val="00175522"/>
    <w:rsid w:val="001756E3"/>
    <w:rsid w:val="00176AEA"/>
    <w:rsid w:val="001802CB"/>
    <w:rsid w:val="00182635"/>
    <w:rsid w:val="00182D5F"/>
    <w:rsid w:val="00183295"/>
    <w:rsid w:val="00183485"/>
    <w:rsid w:val="00187A95"/>
    <w:rsid w:val="00191701"/>
    <w:rsid w:val="00191DD6"/>
    <w:rsid w:val="001924E6"/>
    <w:rsid w:val="00194A10"/>
    <w:rsid w:val="00194B68"/>
    <w:rsid w:val="001A41B8"/>
    <w:rsid w:val="001A6C52"/>
    <w:rsid w:val="001B1F08"/>
    <w:rsid w:val="001B3263"/>
    <w:rsid w:val="001B373E"/>
    <w:rsid w:val="001C063B"/>
    <w:rsid w:val="001D06F5"/>
    <w:rsid w:val="001D5745"/>
    <w:rsid w:val="001E1301"/>
    <w:rsid w:val="001E16F0"/>
    <w:rsid w:val="001E30DF"/>
    <w:rsid w:val="001E48B1"/>
    <w:rsid w:val="001E6027"/>
    <w:rsid w:val="001E62D8"/>
    <w:rsid w:val="001E6CE3"/>
    <w:rsid w:val="001E7522"/>
    <w:rsid w:val="001F0022"/>
    <w:rsid w:val="001F201E"/>
    <w:rsid w:val="001F24E0"/>
    <w:rsid w:val="001F437A"/>
    <w:rsid w:val="001F4473"/>
    <w:rsid w:val="001F7D0C"/>
    <w:rsid w:val="0020276F"/>
    <w:rsid w:val="00203DB7"/>
    <w:rsid w:val="00203F69"/>
    <w:rsid w:val="002046E9"/>
    <w:rsid w:val="002053B6"/>
    <w:rsid w:val="00205EA2"/>
    <w:rsid w:val="002067DA"/>
    <w:rsid w:val="00206DAB"/>
    <w:rsid w:val="00212896"/>
    <w:rsid w:val="00212D76"/>
    <w:rsid w:val="00213CC8"/>
    <w:rsid w:val="0021406A"/>
    <w:rsid w:val="00214CA8"/>
    <w:rsid w:val="00214F5C"/>
    <w:rsid w:val="00215414"/>
    <w:rsid w:val="00216007"/>
    <w:rsid w:val="00216516"/>
    <w:rsid w:val="0022018D"/>
    <w:rsid w:val="00221D26"/>
    <w:rsid w:val="00223483"/>
    <w:rsid w:val="002234DC"/>
    <w:rsid w:val="00224F95"/>
    <w:rsid w:val="00227AC9"/>
    <w:rsid w:val="00230E52"/>
    <w:rsid w:val="00232FCC"/>
    <w:rsid w:val="00235116"/>
    <w:rsid w:val="0023678F"/>
    <w:rsid w:val="00242563"/>
    <w:rsid w:val="00242D34"/>
    <w:rsid w:val="0024383A"/>
    <w:rsid w:val="002438A4"/>
    <w:rsid w:val="00243A2B"/>
    <w:rsid w:val="00246E61"/>
    <w:rsid w:val="00247E55"/>
    <w:rsid w:val="00253E98"/>
    <w:rsid w:val="00255B43"/>
    <w:rsid w:val="00261C0B"/>
    <w:rsid w:val="00261E8B"/>
    <w:rsid w:val="0026274E"/>
    <w:rsid w:val="00262EE4"/>
    <w:rsid w:val="00263512"/>
    <w:rsid w:val="00265536"/>
    <w:rsid w:val="00265833"/>
    <w:rsid w:val="00265E05"/>
    <w:rsid w:val="00266C9D"/>
    <w:rsid w:val="00266EC9"/>
    <w:rsid w:val="002708D3"/>
    <w:rsid w:val="00270A94"/>
    <w:rsid w:val="0027173E"/>
    <w:rsid w:val="00274603"/>
    <w:rsid w:val="002749B5"/>
    <w:rsid w:val="00274C68"/>
    <w:rsid w:val="00275B14"/>
    <w:rsid w:val="00275C51"/>
    <w:rsid w:val="00276441"/>
    <w:rsid w:val="002764DA"/>
    <w:rsid w:val="00277168"/>
    <w:rsid w:val="00277794"/>
    <w:rsid w:val="00281973"/>
    <w:rsid w:val="00282644"/>
    <w:rsid w:val="00282DE9"/>
    <w:rsid w:val="00284916"/>
    <w:rsid w:val="00285D95"/>
    <w:rsid w:val="00293B08"/>
    <w:rsid w:val="00296EB9"/>
    <w:rsid w:val="002A0815"/>
    <w:rsid w:val="002A0D84"/>
    <w:rsid w:val="002A13C0"/>
    <w:rsid w:val="002A39E3"/>
    <w:rsid w:val="002A7BDA"/>
    <w:rsid w:val="002B1999"/>
    <w:rsid w:val="002B3F7A"/>
    <w:rsid w:val="002B5CC1"/>
    <w:rsid w:val="002C1610"/>
    <w:rsid w:val="002C20D2"/>
    <w:rsid w:val="002C43CA"/>
    <w:rsid w:val="002C6694"/>
    <w:rsid w:val="002C7E44"/>
    <w:rsid w:val="002D3627"/>
    <w:rsid w:val="002D506F"/>
    <w:rsid w:val="002D6E56"/>
    <w:rsid w:val="002D7658"/>
    <w:rsid w:val="002E1B15"/>
    <w:rsid w:val="002E5A2B"/>
    <w:rsid w:val="002F018A"/>
    <w:rsid w:val="002F166F"/>
    <w:rsid w:val="002F3690"/>
    <w:rsid w:val="002F5214"/>
    <w:rsid w:val="002F584F"/>
    <w:rsid w:val="002F5EF9"/>
    <w:rsid w:val="00301CE2"/>
    <w:rsid w:val="00310E77"/>
    <w:rsid w:val="00311D84"/>
    <w:rsid w:val="00312CF1"/>
    <w:rsid w:val="00313904"/>
    <w:rsid w:val="00315358"/>
    <w:rsid w:val="00315D69"/>
    <w:rsid w:val="00316045"/>
    <w:rsid w:val="00321BE9"/>
    <w:rsid w:val="0032225B"/>
    <w:rsid w:val="00322B84"/>
    <w:rsid w:val="0032304B"/>
    <w:rsid w:val="00324469"/>
    <w:rsid w:val="003308B6"/>
    <w:rsid w:val="003317D9"/>
    <w:rsid w:val="00331EC9"/>
    <w:rsid w:val="00333772"/>
    <w:rsid w:val="00333B12"/>
    <w:rsid w:val="00334379"/>
    <w:rsid w:val="003345D1"/>
    <w:rsid w:val="00342C2B"/>
    <w:rsid w:val="00343382"/>
    <w:rsid w:val="003435CF"/>
    <w:rsid w:val="00344621"/>
    <w:rsid w:val="00344816"/>
    <w:rsid w:val="00347B0A"/>
    <w:rsid w:val="00350340"/>
    <w:rsid w:val="00357D0A"/>
    <w:rsid w:val="00362650"/>
    <w:rsid w:val="003630BE"/>
    <w:rsid w:val="00364F93"/>
    <w:rsid w:val="00364FB0"/>
    <w:rsid w:val="00365AF4"/>
    <w:rsid w:val="00374DAF"/>
    <w:rsid w:val="00375548"/>
    <w:rsid w:val="003763FF"/>
    <w:rsid w:val="00377942"/>
    <w:rsid w:val="0038454B"/>
    <w:rsid w:val="00387CA7"/>
    <w:rsid w:val="00387E0B"/>
    <w:rsid w:val="00391965"/>
    <w:rsid w:val="00391F90"/>
    <w:rsid w:val="00392EF8"/>
    <w:rsid w:val="00393D7E"/>
    <w:rsid w:val="00395772"/>
    <w:rsid w:val="00396891"/>
    <w:rsid w:val="003A34B4"/>
    <w:rsid w:val="003A7BBD"/>
    <w:rsid w:val="003B2A64"/>
    <w:rsid w:val="003B318A"/>
    <w:rsid w:val="003B4917"/>
    <w:rsid w:val="003B601E"/>
    <w:rsid w:val="003B7107"/>
    <w:rsid w:val="003C052A"/>
    <w:rsid w:val="003C0E09"/>
    <w:rsid w:val="003C2D58"/>
    <w:rsid w:val="003C4606"/>
    <w:rsid w:val="003C4C0E"/>
    <w:rsid w:val="003C5196"/>
    <w:rsid w:val="003D0F4B"/>
    <w:rsid w:val="003D2A6C"/>
    <w:rsid w:val="003D2DDC"/>
    <w:rsid w:val="003D2E0F"/>
    <w:rsid w:val="003D3824"/>
    <w:rsid w:val="003D50B8"/>
    <w:rsid w:val="003D7BB6"/>
    <w:rsid w:val="003E0C21"/>
    <w:rsid w:val="003E4ADB"/>
    <w:rsid w:val="003E67A8"/>
    <w:rsid w:val="003F01CB"/>
    <w:rsid w:val="003F1710"/>
    <w:rsid w:val="003F2313"/>
    <w:rsid w:val="003F51F3"/>
    <w:rsid w:val="004047AB"/>
    <w:rsid w:val="00404CE8"/>
    <w:rsid w:val="00411427"/>
    <w:rsid w:val="0041198E"/>
    <w:rsid w:val="00412954"/>
    <w:rsid w:val="00412B55"/>
    <w:rsid w:val="0041317F"/>
    <w:rsid w:val="0041554D"/>
    <w:rsid w:val="00415C61"/>
    <w:rsid w:val="004171AE"/>
    <w:rsid w:val="00417BA6"/>
    <w:rsid w:val="00421C4C"/>
    <w:rsid w:val="00421CFC"/>
    <w:rsid w:val="00422C4B"/>
    <w:rsid w:val="00423EBD"/>
    <w:rsid w:val="00424F9B"/>
    <w:rsid w:val="00427908"/>
    <w:rsid w:val="00427A5B"/>
    <w:rsid w:val="00427B3D"/>
    <w:rsid w:val="0043022A"/>
    <w:rsid w:val="00430303"/>
    <w:rsid w:val="00430DCC"/>
    <w:rsid w:val="00430EB1"/>
    <w:rsid w:val="0043139E"/>
    <w:rsid w:val="004319BD"/>
    <w:rsid w:val="00431E41"/>
    <w:rsid w:val="00431F55"/>
    <w:rsid w:val="00432607"/>
    <w:rsid w:val="00434F35"/>
    <w:rsid w:val="00435494"/>
    <w:rsid w:val="00437CAD"/>
    <w:rsid w:val="004412DC"/>
    <w:rsid w:val="00441430"/>
    <w:rsid w:val="00441E81"/>
    <w:rsid w:val="004445EE"/>
    <w:rsid w:val="00445279"/>
    <w:rsid w:val="00445A06"/>
    <w:rsid w:val="00445B0F"/>
    <w:rsid w:val="00445D5F"/>
    <w:rsid w:val="004471AA"/>
    <w:rsid w:val="00452375"/>
    <w:rsid w:val="00452DF5"/>
    <w:rsid w:val="004538C6"/>
    <w:rsid w:val="00453DCE"/>
    <w:rsid w:val="00454145"/>
    <w:rsid w:val="004543A6"/>
    <w:rsid w:val="004569F5"/>
    <w:rsid w:val="00457DDD"/>
    <w:rsid w:val="00461501"/>
    <w:rsid w:val="0046284B"/>
    <w:rsid w:val="004651BC"/>
    <w:rsid w:val="00471008"/>
    <w:rsid w:val="00474283"/>
    <w:rsid w:val="004762FB"/>
    <w:rsid w:val="0047672C"/>
    <w:rsid w:val="00476DE2"/>
    <w:rsid w:val="00477249"/>
    <w:rsid w:val="00490609"/>
    <w:rsid w:val="004948A2"/>
    <w:rsid w:val="004A342B"/>
    <w:rsid w:val="004A3EB2"/>
    <w:rsid w:val="004A45D7"/>
    <w:rsid w:val="004A68C3"/>
    <w:rsid w:val="004A7DAA"/>
    <w:rsid w:val="004B009D"/>
    <w:rsid w:val="004B0AEA"/>
    <w:rsid w:val="004B1E26"/>
    <w:rsid w:val="004B2E92"/>
    <w:rsid w:val="004B3FB7"/>
    <w:rsid w:val="004B4C45"/>
    <w:rsid w:val="004B503C"/>
    <w:rsid w:val="004B73BB"/>
    <w:rsid w:val="004C0095"/>
    <w:rsid w:val="004C1BE6"/>
    <w:rsid w:val="004C1C6C"/>
    <w:rsid w:val="004C308F"/>
    <w:rsid w:val="004C3394"/>
    <w:rsid w:val="004C3E89"/>
    <w:rsid w:val="004C4C0A"/>
    <w:rsid w:val="004C5556"/>
    <w:rsid w:val="004C5FAD"/>
    <w:rsid w:val="004C71CA"/>
    <w:rsid w:val="004D0808"/>
    <w:rsid w:val="004D1510"/>
    <w:rsid w:val="004D3CBD"/>
    <w:rsid w:val="004D3DFF"/>
    <w:rsid w:val="004D3F44"/>
    <w:rsid w:val="004D520B"/>
    <w:rsid w:val="004D7002"/>
    <w:rsid w:val="004D70CD"/>
    <w:rsid w:val="004D749D"/>
    <w:rsid w:val="004D7B8C"/>
    <w:rsid w:val="004E15E4"/>
    <w:rsid w:val="004E36CF"/>
    <w:rsid w:val="004E3DFA"/>
    <w:rsid w:val="004E4D98"/>
    <w:rsid w:val="004E5CD0"/>
    <w:rsid w:val="004E5D19"/>
    <w:rsid w:val="004E6380"/>
    <w:rsid w:val="004F16F5"/>
    <w:rsid w:val="004F2B50"/>
    <w:rsid w:val="004F312D"/>
    <w:rsid w:val="004F50FA"/>
    <w:rsid w:val="004F776E"/>
    <w:rsid w:val="00501D08"/>
    <w:rsid w:val="0050293B"/>
    <w:rsid w:val="00504AC1"/>
    <w:rsid w:val="00505C92"/>
    <w:rsid w:val="00507DF8"/>
    <w:rsid w:val="00510C5F"/>
    <w:rsid w:val="00510FA1"/>
    <w:rsid w:val="00511812"/>
    <w:rsid w:val="005131B0"/>
    <w:rsid w:val="00514D2D"/>
    <w:rsid w:val="00516DA0"/>
    <w:rsid w:val="00521F10"/>
    <w:rsid w:val="00523D4E"/>
    <w:rsid w:val="00525970"/>
    <w:rsid w:val="00526CA6"/>
    <w:rsid w:val="005326E0"/>
    <w:rsid w:val="00532C66"/>
    <w:rsid w:val="00534F8D"/>
    <w:rsid w:val="005355DC"/>
    <w:rsid w:val="00537322"/>
    <w:rsid w:val="00537709"/>
    <w:rsid w:val="005418C1"/>
    <w:rsid w:val="00545BAC"/>
    <w:rsid w:val="00545D92"/>
    <w:rsid w:val="005462AA"/>
    <w:rsid w:val="00551F87"/>
    <w:rsid w:val="00552267"/>
    <w:rsid w:val="0055271A"/>
    <w:rsid w:val="0055418A"/>
    <w:rsid w:val="00554882"/>
    <w:rsid w:val="00555FB9"/>
    <w:rsid w:val="00556100"/>
    <w:rsid w:val="00561D91"/>
    <w:rsid w:val="00561DA2"/>
    <w:rsid w:val="0056273C"/>
    <w:rsid w:val="005627C6"/>
    <w:rsid w:val="00563727"/>
    <w:rsid w:val="005650F7"/>
    <w:rsid w:val="00567006"/>
    <w:rsid w:val="0057026B"/>
    <w:rsid w:val="00570F7F"/>
    <w:rsid w:val="00572727"/>
    <w:rsid w:val="00572876"/>
    <w:rsid w:val="00576F61"/>
    <w:rsid w:val="00577C3A"/>
    <w:rsid w:val="005816B3"/>
    <w:rsid w:val="00582A7F"/>
    <w:rsid w:val="005831DF"/>
    <w:rsid w:val="005846B7"/>
    <w:rsid w:val="00585F33"/>
    <w:rsid w:val="0058643B"/>
    <w:rsid w:val="00586618"/>
    <w:rsid w:val="00587804"/>
    <w:rsid w:val="00587BA6"/>
    <w:rsid w:val="00587DFC"/>
    <w:rsid w:val="0059334D"/>
    <w:rsid w:val="00593432"/>
    <w:rsid w:val="0059589A"/>
    <w:rsid w:val="00595984"/>
    <w:rsid w:val="005961D0"/>
    <w:rsid w:val="00597D9E"/>
    <w:rsid w:val="00597E21"/>
    <w:rsid w:val="00597F15"/>
    <w:rsid w:val="00597F7E"/>
    <w:rsid w:val="005A0623"/>
    <w:rsid w:val="005A0BB4"/>
    <w:rsid w:val="005A1DA1"/>
    <w:rsid w:val="005A1DA3"/>
    <w:rsid w:val="005A302B"/>
    <w:rsid w:val="005A3479"/>
    <w:rsid w:val="005A39FD"/>
    <w:rsid w:val="005A448A"/>
    <w:rsid w:val="005A4EC8"/>
    <w:rsid w:val="005A5CFC"/>
    <w:rsid w:val="005A618A"/>
    <w:rsid w:val="005A6D01"/>
    <w:rsid w:val="005A726A"/>
    <w:rsid w:val="005B0D50"/>
    <w:rsid w:val="005B2B0D"/>
    <w:rsid w:val="005B35FE"/>
    <w:rsid w:val="005B51E9"/>
    <w:rsid w:val="005C08A0"/>
    <w:rsid w:val="005C303F"/>
    <w:rsid w:val="005C32ED"/>
    <w:rsid w:val="005C4561"/>
    <w:rsid w:val="005C6891"/>
    <w:rsid w:val="005C7112"/>
    <w:rsid w:val="005D3AF3"/>
    <w:rsid w:val="005D3BF6"/>
    <w:rsid w:val="005D70A1"/>
    <w:rsid w:val="005D756E"/>
    <w:rsid w:val="005D7681"/>
    <w:rsid w:val="005D7B7D"/>
    <w:rsid w:val="005E05AB"/>
    <w:rsid w:val="005E2436"/>
    <w:rsid w:val="005E2BB0"/>
    <w:rsid w:val="005E6470"/>
    <w:rsid w:val="005E6FD6"/>
    <w:rsid w:val="005E7D93"/>
    <w:rsid w:val="005F1502"/>
    <w:rsid w:val="005F1DA4"/>
    <w:rsid w:val="005F25F9"/>
    <w:rsid w:val="005F2C55"/>
    <w:rsid w:val="005F347B"/>
    <w:rsid w:val="005F3EDB"/>
    <w:rsid w:val="005F631A"/>
    <w:rsid w:val="005F7441"/>
    <w:rsid w:val="00603139"/>
    <w:rsid w:val="00607128"/>
    <w:rsid w:val="00607C11"/>
    <w:rsid w:val="00612498"/>
    <w:rsid w:val="00612950"/>
    <w:rsid w:val="00612EE8"/>
    <w:rsid w:val="00613449"/>
    <w:rsid w:val="00613D8C"/>
    <w:rsid w:val="00617787"/>
    <w:rsid w:val="0061789D"/>
    <w:rsid w:val="00617C35"/>
    <w:rsid w:val="00620E5E"/>
    <w:rsid w:val="006230A3"/>
    <w:rsid w:val="00624B73"/>
    <w:rsid w:val="00631F51"/>
    <w:rsid w:val="00632F69"/>
    <w:rsid w:val="006335EF"/>
    <w:rsid w:val="006367CB"/>
    <w:rsid w:val="006368B6"/>
    <w:rsid w:val="006400F1"/>
    <w:rsid w:val="006428BE"/>
    <w:rsid w:val="00647A46"/>
    <w:rsid w:val="00647D07"/>
    <w:rsid w:val="0065016F"/>
    <w:rsid w:val="00651E84"/>
    <w:rsid w:val="00653E8D"/>
    <w:rsid w:val="006540C2"/>
    <w:rsid w:val="00654E07"/>
    <w:rsid w:val="006573CA"/>
    <w:rsid w:val="006626E4"/>
    <w:rsid w:val="006665D0"/>
    <w:rsid w:val="006723EA"/>
    <w:rsid w:val="006762E5"/>
    <w:rsid w:val="0067712F"/>
    <w:rsid w:val="00677520"/>
    <w:rsid w:val="00685185"/>
    <w:rsid w:val="00687F89"/>
    <w:rsid w:val="006902A8"/>
    <w:rsid w:val="00691570"/>
    <w:rsid w:val="00693548"/>
    <w:rsid w:val="00695C94"/>
    <w:rsid w:val="00696DE8"/>
    <w:rsid w:val="006A681E"/>
    <w:rsid w:val="006A6E6D"/>
    <w:rsid w:val="006B4D2B"/>
    <w:rsid w:val="006B5940"/>
    <w:rsid w:val="006B79F7"/>
    <w:rsid w:val="006C05D0"/>
    <w:rsid w:val="006C061F"/>
    <w:rsid w:val="006C39E8"/>
    <w:rsid w:val="006C3F97"/>
    <w:rsid w:val="006C523C"/>
    <w:rsid w:val="006C5478"/>
    <w:rsid w:val="006C5676"/>
    <w:rsid w:val="006C7079"/>
    <w:rsid w:val="006C71E6"/>
    <w:rsid w:val="006D002F"/>
    <w:rsid w:val="006D1F12"/>
    <w:rsid w:val="006D1FC8"/>
    <w:rsid w:val="006D242B"/>
    <w:rsid w:val="006D2C49"/>
    <w:rsid w:val="006D459F"/>
    <w:rsid w:val="006D5199"/>
    <w:rsid w:val="006D60F7"/>
    <w:rsid w:val="006D7E20"/>
    <w:rsid w:val="006E0DE9"/>
    <w:rsid w:val="006E2C11"/>
    <w:rsid w:val="006E3677"/>
    <w:rsid w:val="006E3E1F"/>
    <w:rsid w:val="006F0E56"/>
    <w:rsid w:val="006F525B"/>
    <w:rsid w:val="006F550E"/>
    <w:rsid w:val="006F55AA"/>
    <w:rsid w:val="006F6006"/>
    <w:rsid w:val="006F686C"/>
    <w:rsid w:val="00700613"/>
    <w:rsid w:val="007010A5"/>
    <w:rsid w:val="007037F8"/>
    <w:rsid w:val="00704167"/>
    <w:rsid w:val="00705E2D"/>
    <w:rsid w:val="007062FC"/>
    <w:rsid w:val="00711FAA"/>
    <w:rsid w:val="00713275"/>
    <w:rsid w:val="00713BE5"/>
    <w:rsid w:val="00714D9D"/>
    <w:rsid w:val="00720E0B"/>
    <w:rsid w:val="00722580"/>
    <w:rsid w:val="00722A4A"/>
    <w:rsid w:val="007248FC"/>
    <w:rsid w:val="0072740C"/>
    <w:rsid w:val="00730D8C"/>
    <w:rsid w:val="00730F6A"/>
    <w:rsid w:val="007313FC"/>
    <w:rsid w:val="00731A28"/>
    <w:rsid w:val="007331E0"/>
    <w:rsid w:val="00733663"/>
    <w:rsid w:val="00734921"/>
    <w:rsid w:val="00735181"/>
    <w:rsid w:val="00735D0C"/>
    <w:rsid w:val="00735F1B"/>
    <w:rsid w:val="007364C7"/>
    <w:rsid w:val="00736C54"/>
    <w:rsid w:val="00737D6C"/>
    <w:rsid w:val="00740E81"/>
    <w:rsid w:val="007428D2"/>
    <w:rsid w:val="007452A2"/>
    <w:rsid w:val="00746B1F"/>
    <w:rsid w:val="00753561"/>
    <w:rsid w:val="007558DA"/>
    <w:rsid w:val="00760C12"/>
    <w:rsid w:val="00762C94"/>
    <w:rsid w:val="0076379D"/>
    <w:rsid w:val="00763E85"/>
    <w:rsid w:val="0076771B"/>
    <w:rsid w:val="00767D53"/>
    <w:rsid w:val="0077060B"/>
    <w:rsid w:val="0077262B"/>
    <w:rsid w:val="0077467F"/>
    <w:rsid w:val="00774EBA"/>
    <w:rsid w:val="007772F1"/>
    <w:rsid w:val="007777DD"/>
    <w:rsid w:val="00777C3F"/>
    <w:rsid w:val="00780169"/>
    <w:rsid w:val="00780381"/>
    <w:rsid w:val="007803CE"/>
    <w:rsid w:val="007808D9"/>
    <w:rsid w:val="00781DF0"/>
    <w:rsid w:val="007852AE"/>
    <w:rsid w:val="00785F78"/>
    <w:rsid w:val="00786685"/>
    <w:rsid w:val="00786F06"/>
    <w:rsid w:val="007877F5"/>
    <w:rsid w:val="00790689"/>
    <w:rsid w:val="007920A4"/>
    <w:rsid w:val="00792535"/>
    <w:rsid w:val="00792ADA"/>
    <w:rsid w:val="00793573"/>
    <w:rsid w:val="00796EA0"/>
    <w:rsid w:val="007A1A4B"/>
    <w:rsid w:val="007A1B34"/>
    <w:rsid w:val="007A4D8B"/>
    <w:rsid w:val="007A59FE"/>
    <w:rsid w:val="007A5EF8"/>
    <w:rsid w:val="007A6556"/>
    <w:rsid w:val="007A6B3D"/>
    <w:rsid w:val="007A7296"/>
    <w:rsid w:val="007B3ED7"/>
    <w:rsid w:val="007B495E"/>
    <w:rsid w:val="007B53EB"/>
    <w:rsid w:val="007B5DFC"/>
    <w:rsid w:val="007B6906"/>
    <w:rsid w:val="007B6BF5"/>
    <w:rsid w:val="007C035F"/>
    <w:rsid w:val="007C22E5"/>
    <w:rsid w:val="007C35A5"/>
    <w:rsid w:val="007C4C57"/>
    <w:rsid w:val="007C54E7"/>
    <w:rsid w:val="007C5780"/>
    <w:rsid w:val="007C5D57"/>
    <w:rsid w:val="007C7377"/>
    <w:rsid w:val="007C7CF0"/>
    <w:rsid w:val="007D0C7C"/>
    <w:rsid w:val="007D10D6"/>
    <w:rsid w:val="007D277F"/>
    <w:rsid w:val="007D461F"/>
    <w:rsid w:val="007D5E7C"/>
    <w:rsid w:val="007D62CE"/>
    <w:rsid w:val="007D6658"/>
    <w:rsid w:val="007E0083"/>
    <w:rsid w:val="007E095B"/>
    <w:rsid w:val="007E214B"/>
    <w:rsid w:val="007E240F"/>
    <w:rsid w:val="007E507A"/>
    <w:rsid w:val="007E50BD"/>
    <w:rsid w:val="007E5467"/>
    <w:rsid w:val="007E7045"/>
    <w:rsid w:val="007E7A07"/>
    <w:rsid w:val="007E7DA6"/>
    <w:rsid w:val="007F2A72"/>
    <w:rsid w:val="007F42E0"/>
    <w:rsid w:val="007F5D62"/>
    <w:rsid w:val="007F61D0"/>
    <w:rsid w:val="007F7760"/>
    <w:rsid w:val="00800102"/>
    <w:rsid w:val="0080339B"/>
    <w:rsid w:val="00803D33"/>
    <w:rsid w:val="00805A6E"/>
    <w:rsid w:val="00817D7B"/>
    <w:rsid w:val="00820D56"/>
    <w:rsid w:val="00822DE4"/>
    <w:rsid w:val="00823A49"/>
    <w:rsid w:val="00824DEB"/>
    <w:rsid w:val="00825112"/>
    <w:rsid w:val="008269F8"/>
    <w:rsid w:val="00827883"/>
    <w:rsid w:val="00827DB4"/>
    <w:rsid w:val="00831F81"/>
    <w:rsid w:val="0083248E"/>
    <w:rsid w:val="008342D7"/>
    <w:rsid w:val="00840487"/>
    <w:rsid w:val="00841B1E"/>
    <w:rsid w:val="00847499"/>
    <w:rsid w:val="0084755A"/>
    <w:rsid w:val="008476E7"/>
    <w:rsid w:val="00855A39"/>
    <w:rsid w:val="00855BBF"/>
    <w:rsid w:val="00856FB3"/>
    <w:rsid w:val="008602A4"/>
    <w:rsid w:val="00860930"/>
    <w:rsid w:val="00860D21"/>
    <w:rsid w:val="00861024"/>
    <w:rsid w:val="0086511D"/>
    <w:rsid w:val="00865340"/>
    <w:rsid w:val="00866E50"/>
    <w:rsid w:val="008752B2"/>
    <w:rsid w:val="00880901"/>
    <w:rsid w:val="008811A2"/>
    <w:rsid w:val="0088719B"/>
    <w:rsid w:val="00891A44"/>
    <w:rsid w:val="00894F0A"/>
    <w:rsid w:val="0089574E"/>
    <w:rsid w:val="00896FAA"/>
    <w:rsid w:val="00897928"/>
    <w:rsid w:val="008A2020"/>
    <w:rsid w:val="008A228E"/>
    <w:rsid w:val="008A37F3"/>
    <w:rsid w:val="008A599D"/>
    <w:rsid w:val="008A628E"/>
    <w:rsid w:val="008B133A"/>
    <w:rsid w:val="008B1FC6"/>
    <w:rsid w:val="008B514B"/>
    <w:rsid w:val="008B7044"/>
    <w:rsid w:val="008C07E3"/>
    <w:rsid w:val="008C46CA"/>
    <w:rsid w:val="008C4C30"/>
    <w:rsid w:val="008C6101"/>
    <w:rsid w:val="008D27E7"/>
    <w:rsid w:val="008D30AD"/>
    <w:rsid w:val="008D3327"/>
    <w:rsid w:val="008D411F"/>
    <w:rsid w:val="008D4648"/>
    <w:rsid w:val="008D490D"/>
    <w:rsid w:val="008D53D2"/>
    <w:rsid w:val="008D590F"/>
    <w:rsid w:val="008E23D6"/>
    <w:rsid w:val="008E2BC1"/>
    <w:rsid w:val="008E4334"/>
    <w:rsid w:val="008E52A6"/>
    <w:rsid w:val="008F250A"/>
    <w:rsid w:val="008F2EFB"/>
    <w:rsid w:val="008F35AA"/>
    <w:rsid w:val="008F3690"/>
    <w:rsid w:val="008F3924"/>
    <w:rsid w:val="008F6209"/>
    <w:rsid w:val="0090143D"/>
    <w:rsid w:val="009019E6"/>
    <w:rsid w:val="009047EF"/>
    <w:rsid w:val="00904BE6"/>
    <w:rsid w:val="00907385"/>
    <w:rsid w:val="009136C7"/>
    <w:rsid w:val="00914575"/>
    <w:rsid w:val="00924897"/>
    <w:rsid w:val="00924B82"/>
    <w:rsid w:val="009252F1"/>
    <w:rsid w:val="009303BA"/>
    <w:rsid w:val="00931107"/>
    <w:rsid w:val="00931DB5"/>
    <w:rsid w:val="00933A8F"/>
    <w:rsid w:val="00935816"/>
    <w:rsid w:val="00937321"/>
    <w:rsid w:val="00937601"/>
    <w:rsid w:val="00940ED6"/>
    <w:rsid w:val="009419DF"/>
    <w:rsid w:val="009502BE"/>
    <w:rsid w:val="00951A47"/>
    <w:rsid w:val="0095461A"/>
    <w:rsid w:val="009555E1"/>
    <w:rsid w:val="00957959"/>
    <w:rsid w:val="00957C18"/>
    <w:rsid w:val="00965D88"/>
    <w:rsid w:val="00967E0C"/>
    <w:rsid w:val="00974B7D"/>
    <w:rsid w:val="009765F2"/>
    <w:rsid w:val="00976ACB"/>
    <w:rsid w:val="00981590"/>
    <w:rsid w:val="00984FB2"/>
    <w:rsid w:val="0098669A"/>
    <w:rsid w:val="009866FE"/>
    <w:rsid w:val="00986D24"/>
    <w:rsid w:val="009941F1"/>
    <w:rsid w:val="009946DE"/>
    <w:rsid w:val="009973B2"/>
    <w:rsid w:val="00997D03"/>
    <w:rsid w:val="00997FA6"/>
    <w:rsid w:val="009A2F1C"/>
    <w:rsid w:val="009A542D"/>
    <w:rsid w:val="009B2033"/>
    <w:rsid w:val="009B253D"/>
    <w:rsid w:val="009B339B"/>
    <w:rsid w:val="009B4F96"/>
    <w:rsid w:val="009B4FC0"/>
    <w:rsid w:val="009B5161"/>
    <w:rsid w:val="009C044F"/>
    <w:rsid w:val="009C0D1B"/>
    <w:rsid w:val="009C2401"/>
    <w:rsid w:val="009C318B"/>
    <w:rsid w:val="009C376D"/>
    <w:rsid w:val="009C5C9D"/>
    <w:rsid w:val="009C6665"/>
    <w:rsid w:val="009C670A"/>
    <w:rsid w:val="009D0DC5"/>
    <w:rsid w:val="009D1C12"/>
    <w:rsid w:val="009D334C"/>
    <w:rsid w:val="009D3B54"/>
    <w:rsid w:val="009D43A8"/>
    <w:rsid w:val="009D55B1"/>
    <w:rsid w:val="009D5F49"/>
    <w:rsid w:val="009D61CB"/>
    <w:rsid w:val="009E0380"/>
    <w:rsid w:val="009E3C7A"/>
    <w:rsid w:val="009F7938"/>
    <w:rsid w:val="00A01CEF"/>
    <w:rsid w:val="00A05076"/>
    <w:rsid w:val="00A07DB2"/>
    <w:rsid w:val="00A1074A"/>
    <w:rsid w:val="00A111DE"/>
    <w:rsid w:val="00A13B3B"/>
    <w:rsid w:val="00A16212"/>
    <w:rsid w:val="00A17155"/>
    <w:rsid w:val="00A21BE1"/>
    <w:rsid w:val="00A23158"/>
    <w:rsid w:val="00A249A4"/>
    <w:rsid w:val="00A24A3E"/>
    <w:rsid w:val="00A25D97"/>
    <w:rsid w:val="00A26246"/>
    <w:rsid w:val="00A31FB3"/>
    <w:rsid w:val="00A32208"/>
    <w:rsid w:val="00A326E9"/>
    <w:rsid w:val="00A35486"/>
    <w:rsid w:val="00A371BB"/>
    <w:rsid w:val="00A4104B"/>
    <w:rsid w:val="00A4253D"/>
    <w:rsid w:val="00A42986"/>
    <w:rsid w:val="00A4469D"/>
    <w:rsid w:val="00A45329"/>
    <w:rsid w:val="00A47556"/>
    <w:rsid w:val="00A47C0B"/>
    <w:rsid w:val="00A501F4"/>
    <w:rsid w:val="00A50961"/>
    <w:rsid w:val="00A557B1"/>
    <w:rsid w:val="00A57ECC"/>
    <w:rsid w:val="00A601B6"/>
    <w:rsid w:val="00A65644"/>
    <w:rsid w:val="00A663DB"/>
    <w:rsid w:val="00A713D0"/>
    <w:rsid w:val="00A755C9"/>
    <w:rsid w:val="00A76A68"/>
    <w:rsid w:val="00A80253"/>
    <w:rsid w:val="00A82A0B"/>
    <w:rsid w:val="00A83650"/>
    <w:rsid w:val="00A913EC"/>
    <w:rsid w:val="00A941B8"/>
    <w:rsid w:val="00A95820"/>
    <w:rsid w:val="00A96644"/>
    <w:rsid w:val="00A96C81"/>
    <w:rsid w:val="00AA0B7E"/>
    <w:rsid w:val="00AA7CF4"/>
    <w:rsid w:val="00AB0FC9"/>
    <w:rsid w:val="00AB2790"/>
    <w:rsid w:val="00AB5CFA"/>
    <w:rsid w:val="00AB64A9"/>
    <w:rsid w:val="00AC02B5"/>
    <w:rsid w:val="00AC093F"/>
    <w:rsid w:val="00AC5F90"/>
    <w:rsid w:val="00AC62FD"/>
    <w:rsid w:val="00AC6C26"/>
    <w:rsid w:val="00AC6EE6"/>
    <w:rsid w:val="00AC7B55"/>
    <w:rsid w:val="00AC7DBA"/>
    <w:rsid w:val="00AD0028"/>
    <w:rsid w:val="00AD4C2C"/>
    <w:rsid w:val="00AD6A9B"/>
    <w:rsid w:val="00AD6EEA"/>
    <w:rsid w:val="00AD7AAE"/>
    <w:rsid w:val="00AE0146"/>
    <w:rsid w:val="00AE0ECD"/>
    <w:rsid w:val="00AE376B"/>
    <w:rsid w:val="00AE4A9F"/>
    <w:rsid w:val="00AE5558"/>
    <w:rsid w:val="00AE6799"/>
    <w:rsid w:val="00AE67F7"/>
    <w:rsid w:val="00AF2190"/>
    <w:rsid w:val="00AF26CD"/>
    <w:rsid w:val="00AF34A4"/>
    <w:rsid w:val="00AF42C7"/>
    <w:rsid w:val="00AF5608"/>
    <w:rsid w:val="00AF7755"/>
    <w:rsid w:val="00AF7C00"/>
    <w:rsid w:val="00B028E1"/>
    <w:rsid w:val="00B037BE"/>
    <w:rsid w:val="00B056FC"/>
    <w:rsid w:val="00B058A0"/>
    <w:rsid w:val="00B0633A"/>
    <w:rsid w:val="00B06842"/>
    <w:rsid w:val="00B07024"/>
    <w:rsid w:val="00B07F6B"/>
    <w:rsid w:val="00B11539"/>
    <w:rsid w:val="00B167B1"/>
    <w:rsid w:val="00B16C42"/>
    <w:rsid w:val="00B22183"/>
    <w:rsid w:val="00B24627"/>
    <w:rsid w:val="00B2531B"/>
    <w:rsid w:val="00B27B78"/>
    <w:rsid w:val="00B33C26"/>
    <w:rsid w:val="00B3458C"/>
    <w:rsid w:val="00B36A98"/>
    <w:rsid w:val="00B3788B"/>
    <w:rsid w:val="00B422DB"/>
    <w:rsid w:val="00B42733"/>
    <w:rsid w:val="00B45BF4"/>
    <w:rsid w:val="00B460A7"/>
    <w:rsid w:val="00B47476"/>
    <w:rsid w:val="00B47EE5"/>
    <w:rsid w:val="00B500A0"/>
    <w:rsid w:val="00B507EE"/>
    <w:rsid w:val="00B50D85"/>
    <w:rsid w:val="00B52ABA"/>
    <w:rsid w:val="00B53423"/>
    <w:rsid w:val="00B60F7D"/>
    <w:rsid w:val="00B629C6"/>
    <w:rsid w:val="00B62CA5"/>
    <w:rsid w:val="00B633EF"/>
    <w:rsid w:val="00B63F17"/>
    <w:rsid w:val="00B66F12"/>
    <w:rsid w:val="00B67019"/>
    <w:rsid w:val="00B67ED5"/>
    <w:rsid w:val="00B70219"/>
    <w:rsid w:val="00B74915"/>
    <w:rsid w:val="00B75342"/>
    <w:rsid w:val="00B76F8D"/>
    <w:rsid w:val="00B77EA7"/>
    <w:rsid w:val="00B81568"/>
    <w:rsid w:val="00B82592"/>
    <w:rsid w:val="00B836B3"/>
    <w:rsid w:val="00B862D7"/>
    <w:rsid w:val="00B86F24"/>
    <w:rsid w:val="00B91D86"/>
    <w:rsid w:val="00B924D6"/>
    <w:rsid w:val="00B948A7"/>
    <w:rsid w:val="00B95232"/>
    <w:rsid w:val="00B9552E"/>
    <w:rsid w:val="00B97814"/>
    <w:rsid w:val="00BA0B52"/>
    <w:rsid w:val="00BA2DC0"/>
    <w:rsid w:val="00BA3958"/>
    <w:rsid w:val="00BA5FBC"/>
    <w:rsid w:val="00BA6849"/>
    <w:rsid w:val="00BA74C5"/>
    <w:rsid w:val="00BB4140"/>
    <w:rsid w:val="00BB4874"/>
    <w:rsid w:val="00BB51FE"/>
    <w:rsid w:val="00BB5C32"/>
    <w:rsid w:val="00BB6E08"/>
    <w:rsid w:val="00BB7C45"/>
    <w:rsid w:val="00BC01CC"/>
    <w:rsid w:val="00BC01DD"/>
    <w:rsid w:val="00BC17A8"/>
    <w:rsid w:val="00BC238E"/>
    <w:rsid w:val="00BC32FB"/>
    <w:rsid w:val="00BC3AFB"/>
    <w:rsid w:val="00BC420F"/>
    <w:rsid w:val="00BC433A"/>
    <w:rsid w:val="00BC5AEB"/>
    <w:rsid w:val="00BD2046"/>
    <w:rsid w:val="00BD2307"/>
    <w:rsid w:val="00BD2499"/>
    <w:rsid w:val="00BD35D3"/>
    <w:rsid w:val="00BD4813"/>
    <w:rsid w:val="00BD618C"/>
    <w:rsid w:val="00BD6C2C"/>
    <w:rsid w:val="00BE32EE"/>
    <w:rsid w:val="00BE455A"/>
    <w:rsid w:val="00BE5296"/>
    <w:rsid w:val="00BE6DD5"/>
    <w:rsid w:val="00BF3A7C"/>
    <w:rsid w:val="00BF664A"/>
    <w:rsid w:val="00BF7B5F"/>
    <w:rsid w:val="00BF7E0A"/>
    <w:rsid w:val="00C0142A"/>
    <w:rsid w:val="00C02583"/>
    <w:rsid w:val="00C04AAD"/>
    <w:rsid w:val="00C12252"/>
    <w:rsid w:val="00C1233C"/>
    <w:rsid w:val="00C1358F"/>
    <w:rsid w:val="00C14200"/>
    <w:rsid w:val="00C20D75"/>
    <w:rsid w:val="00C219EA"/>
    <w:rsid w:val="00C24067"/>
    <w:rsid w:val="00C2709A"/>
    <w:rsid w:val="00C27D07"/>
    <w:rsid w:val="00C34239"/>
    <w:rsid w:val="00C3464A"/>
    <w:rsid w:val="00C35C82"/>
    <w:rsid w:val="00C36B20"/>
    <w:rsid w:val="00C43A0A"/>
    <w:rsid w:val="00C459E9"/>
    <w:rsid w:val="00C467D0"/>
    <w:rsid w:val="00C51797"/>
    <w:rsid w:val="00C54EC7"/>
    <w:rsid w:val="00C54EE5"/>
    <w:rsid w:val="00C566FE"/>
    <w:rsid w:val="00C56A0B"/>
    <w:rsid w:val="00C6058D"/>
    <w:rsid w:val="00C62A49"/>
    <w:rsid w:val="00C64060"/>
    <w:rsid w:val="00C6462C"/>
    <w:rsid w:val="00C676F6"/>
    <w:rsid w:val="00C67A2C"/>
    <w:rsid w:val="00C70165"/>
    <w:rsid w:val="00C72439"/>
    <w:rsid w:val="00C73E4D"/>
    <w:rsid w:val="00C7475C"/>
    <w:rsid w:val="00C75AE4"/>
    <w:rsid w:val="00C7693B"/>
    <w:rsid w:val="00C76DE9"/>
    <w:rsid w:val="00C82F8C"/>
    <w:rsid w:val="00C8418C"/>
    <w:rsid w:val="00C918AD"/>
    <w:rsid w:val="00C92608"/>
    <w:rsid w:val="00CA0B38"/>
    <w:rsid w:val="00CA2440"/>
    <w:rsid w:val="00CA446D"/>
    <w:rsid w:val="00CA68C8"/>
    <w:rsid w:val="00CA77B5"/>
    <w:rsid w:val="00CB3A49"/>
    <w:rsid w:val="00CB5BAE"/>
    <w:rsid w:val="00CB66E4"/>
    <w:rsid w:val="00CC072A"/>
    <w:rsid w:val="00CC0C15"/>
    <w:rsid w:val="00CC1B05"/>
    <w:rsid w:val="00CC1EB2"/>
    <w:rsid w:val="00CC201E"/>
    <w:rsid w:val="00CC2F02"/>
    <w:rsid w:val="00CC5565"/>
    <w:rsid w:val="00CD00E7"/>
    <w:rsid w:val="00CD14DD"/>
    <w:rsid w:val="00CD4F9C"/>
    <w:rsid w:val="00CD6C43"/>
    <w:rsid w:val="00CE1058"/>
    <w:rsid w:val="00CE1285"/>
    <w:rsid w:val="00CE250E"/>
    <w:rsid w:val="00CE5DF3"/>
    <w:rsid w:val="00CE655C"/>
    <w:rsid w:val="00CE7462"/>
    <w:rsid w:val="00CF2A99"/>
    <w:rsid w:val="00CF3C8D"/>
    <w:rsid w:val="00CF46BE"/>
    <w:rsid w:val="00CF5D7A"/>
    <w:rsid w:val="00CF7EB7"/>
    <w:rsid w:val="00D01EEC"/>
    <w:rsid w:val="00D036E6"/>
    <w:rsid w:val="00D10259"/>
    <w:rsid w:val="00D103AE"/>
    <w:rsid w:val="00D114AF"/>
    <w:rsid w:val="00D11E44"/>
    <w:rsid w:val="00D127AB"/>
    <w:rsid w:val="00D1678D"/>
    <w:rsid w:val="00D17BC0"/>
    <w:rsid w:val="00D20BB0"/>
    <w:rsid w:val="00D2203A"/>
    <w:rsid w:val="00D2211A"/>
    <w:rsid w:val="00D2236A"/>
    <w:rsid w:val="00D253F1"/>
    <w:rsid w:val="00D27C00"/>
    <w:rsid w:val="00D3066A"/>
    <w:rsid w:val="00D32DA8"/>
    <w:rsid w:val="00D32FAD"/>
    <w:rsid w:val="00D34CCF"/>
    <w:rsid w:val="00D37991"/>
    <w:rsid w:val="00D45442"/>
    <w:rsid w:val="00D459BC"/>
    <w:rsid w:val="00D45C19"/>
    <w:rsid w:val="00D4747A"/>
    <w:rsid w:val="00D52079"/>
    <w:rsid w:val="00D52101"/>
    <w:rsid w:val="00D5364C"/>
    <w:rsid w:val="00D54CF3"/>
    <w:rsid w:val="00D569AE"/>
    <w:rsid w:val="00D56BD2"/>
    <w:rsid w:val="00D60F55"/>
    <w:rsid w:val="00D6423D"/>
    <w:rsid w:val="00D64BC0"/>
    <w:rsid w:val="00D651BF"/>
    <w:rsid w:val="00D6536F"/>
    <w:rsid w:val="00D71D9C"/>
    <w:rsid w:val="00D7228D"/>
    <w:rsid w:val="00D72552"/>
    <w:rsid w:val="00D73AC0"/>
    <w:rsid w:val="00D741F3"/>
    <w:rsid w:val="00D74CE6"/>
    <w:rsid w:val="00D76B1F"/>
    <w:rsid w:val="00D779C9"/>
    <w:rsid w:val="00D80882"/>
    <w:rsid w:val="00D8090F"/>
    <w:rsid w:val="00D811EC"/>
    <w:rsid w:val="00D828EE"/>
    <w:rsid w:val="00D91AF7"/>
    <w:rsid w:val="00D9216D"/>
    <w:rsid w:val="00D9356A"/>
    <w:rsid w:val="00D94347"/>
    <w:rsid w:val="00D950F4"/>
    <w:rsid w:val="00D97C3A"/>
    <w:rsid w:val="00DA06FE"/>
    <w:rsid w:val="00DA13EF"/>
    <w:rsid w:val="00DA192B"/>
    <w:rsid w:val="00DA23E1"/>
    <w:rsid w:val="00DA245E"/>
    <w:rsid w:val="00DA2A6F"/>
    <w:rsid w:val="00DA7F5A"/>
    <w:rsid w:val="00DB19A5"/>
    <w:rsid w:val="00DC0379"/>
    <w:rsid w:val="00DC27A4"/>
    <w:rsid w:val="00DD0A04"/>
    <w:rsid w:val="00DD2973"/>
    <w:rsid w:val="00DD739F"/>
    <w:rsid w:val="00DD7608"/>
    <w:rsid w:val="00DE1B2D"/>
    <w:rsid w:val="00DE2539"/>
    <w:rsid w:val="00DE2CB3"/>
    <w:rsid w:val="00DE45D4"/>
    <w:rsid w:val="00DE5ED6"/>
    <w:rsid w:val="00DE624E"/>
    <w:rsid w:val="00DF0975"/>
    <w:rsid w:val="00DF11A1"/>
    <w:rsid w:val="00DF1A39"/>
    <w:rsid w:val="00DF2C4C"/>
    <w:rsid w:val="00DF3CE1"/>
    <w:rsid w:val="00DF4E5D"/>
    <w:rsid w:val="00E03E32"/>
    <w:rsid w:val="00E053F4"/>
    <w:rsid w:val="00E07342"/>
    <w:rsid w:val="00E0767C"/>
    <w:rsid w:val="00E1022F"/>
    <w:rsid w:val="00E1234D"/>
    <w:rsid w:val="00E12850"/>
    <w:rsid w:val="00E12B5E"/>
    <w:rsid w:val="00E133E7"/>
    <w:rsid w:val="00E134FF"/>
    <w:rsid w:val="00E13768"/>
    <w:rsid w:val="00E15F32"/>
    <w:rsid w:val="00E164E5"/>
    <w:rsid w:val="00E204C4"/>
    <w:rsid w:val="00E23609"/>
    <w:rsid w:val="00E262B7"/>
    <w:rsid w:val="00E27DB4"/>
    <w:rsid w:val="00E35961"/>
    <w:rsid w:val="00E4018E"/>
    <w:rsid w:val="00E4212E"/>
    <w:rsid w:val="00E42D5F"/>
    <w:rsid w:val="00E430D5"/>
    <w:rsid w:val="00E4526D"/>
    <w:rsid w:val="00E454F8"/>
    <w:rsid w:val="00E52E02"/>
    <w:rsid w:val="00E55D35"/>
    <w:rsid w:val="00E56CE6"/>
    <w:rsid w:val="00E56D6B"/>
    <w:rsid w:val="00E60B8F"/>
    <w:rsid w:val="00E61158"/>
    <w:rsid w:val="00E61350"/>
    <w:rsid w:val="00E61702"/>
    <w:rsid w:val="00E61977"/>
    <w:rsid w:val="00E6213A"/>
    <w:rsid w:val="00E641C2"/>
    <w:rsid w:val="00E660F6"/>
    <w:rsid w:val="00E67A91"/>
    <w:rsid w:val="00E70486"/>
    <w:rsid w:val="00E711A9"/>
    <w:rsid w:val="00E73893"/>
    <w:rsid w:val="00E74468"/>
    <w:rsid w:val="00E75E11"/>
    <w:rsid w:val="00E7754D"/>
    <w:rsid w:val="00E81E52"/>
    <w:rsid w:val="00E82D07"/>
    <w:rsid w:val="00E84128"/>
    <w:rsid w:val="00E8430A"/>
    <w:rsid w:val="00E84D9B"/>
    <w:rsid w:val="00E86C11"/>
    <w:rsid w:val="00E87B85"/>
    <w:rsid w:val="00E91D46"/>
    <w:rsid w:val="00E91D6A"/>
    <w:rsid w:val="00E9316B"/>
    <w:rsid w:val="00E94257"/>
    <w:rsid w:val="00E94480"/>
    <w:rsid w:val="00E94C71"/>
    <w:rsid w:val="00E96156"/>
    <w:rsid w:val="00EA355A"/>
    <w:rsid w:val="00EA6F8D"/>
    <w:rsid w:val="00EA7AB3"/>
    <w:rsid w:val="00EB06D1"/>
    <w:rsid w:val="00EB1B93"/>
    <w:rsid w:val="00EB69A1"/>
    <w:rsid w:val="00ED0CCF"/>
    <w:rsid w:val="00ED33A9"/>
    <w:rsid w:val="00ED47F1"/>
    <w:rsid w:val="00ED7B73"/>
    <w:rsid w:val="00EE1BB2"/>
    <w:rsid w:val="00EE1C86"/>
    <w:rsid w:val="00EE22D5"/>
    <w:rsid w:val="00EE2752"/>
    <w:rsid w:val="00EE7BA1"/>
    <w:rsid w:val="00EF1345"/>
    <w:rsid w:val="00EF1ADD"/>
    <w:rsid w:val="00EF26A1"/>
    <w:rsid w:val="00EF2AF1"/>
    <w:rsid w:val="00EF3E88"/>
    <w:rsid w:val="00EF53DC"/>
    <w:rsid w:val="00EF7095"/>
    <w:rsid w:val="00EF7AE0"/>
    <w:rsid w:val="00F0345E"/>
    <w:rsid w:val="00F03DD9"/>
    <w:rsid w:val="00F06EBD"/>
    <w:rsid w:val="00F06F5F"/>
    <w:rsid w:val="00F1082B"/>
    <w:rsid w:val="00F12763"/>
    <w:rsid w:val="00F14190"/>
    <w:rsid w:val="00F160DC"/>
    <w:rsid w:val="00F22257"/>
    <w:rsid w:val="00F2369D"/>
    <w:rsid w:val="00F23720"/>
    <w:rsid w:val="00F24D71"/>
    <w:rsid w:val="00F26884"/>
    <w:rsid w:val="00F326FF"/>
    <w:rsid w:val="00F327D9"/>
    <w:rsid w:val="00F329ED"/>
    <w:rsid w:val="00F335D1"/>
    <w:rsid w:val="00F336AA"/>
    <w:rsid w:val="00F34DF1"/>
    <w:rsid w:val="00F3565D"/>
    <w:rsid w:val="00F36FDF"/>
    <w:rsid w:val="00F41029"/>
    <w:rsid w:val="00F43BFF"/>
    <w:rsid w:val="00F44932"/>
    <w:rsid w:val="00F45906"/>
    <w:rsid w:val="00F46CEC"/>
    <w:rsid w:val="00F470C1"/>
    <w:rsid w:val="00F472C7"/>
    <w:rsid w:val="00F47AD6"/>
    <w:rsid w:val="00F47E33"/>
    <w:rsid w:val="00F50B22"/>
    <w:rsid w:val="00F5285C"/>
    <w:rsid w:val="00F52ED3"/>
    <w:rsid w:val="00F52F76"/>
    <w:rsid w:val="00F53643"/>
    <w:rsid w:val="00F5629F"/>
    <w:rsid w:val="00F5634B"/>
    <w:rsid w:val="00F5650E"/>
    <w:rsid w:val="00F60639"/>
    <w:rsid w:val="00F61081"/>
    <w:rsid w:val="00F61CD2"/>
    <w:rsid w:val="00F63E2F"/>
    <w:rsid w:val="00F6558B"/>
    <w:rsid w:val="00F664EE"/>
    <w:rsid w:val="00F715CC"/>
    <w:rsid w:val="00F72645"/>
    <w:rsid w:val="00F741BE"/>
    <w:rsid w:val="00F77029"/>
    <w:rsid w:val="00F80540"/>
    <w:rsid w:val="00F812AE"/>
    <w:rsid w:val="00F8335D"/>
    <w:rsid w:val="00F8483A"/>
    <w:rsid w:val="00F85D04"/>
    <w:rsid w:val="00F85D08"/>
    <w:rsid w:val="00F862BE"/>
    <w:rsid w:val="00F86B6F"/>
    <w:rsid w:val="00F87947"/>
    <w:rsid w:val="00F91184"/>
    <w:rsid w:val="00F916F5"/>
    <w:rsid w:val="00F92880"/>
    <w:rsid w:val="00F93FDB"/>
    <w:rsid w:val="00F96E47"/>
    <w:rsid w:val="00F97B3A"/>
    <w:rsid w:val="00FA142B"/>
    <w:rsid w:val="00FA27CF"/>
    <w:rsid w:val="00FA2B1B"/>
    <w:rsid w:val="00FA2C89"/>
    <w:rsid w:val="00FA33B2"/>
    <w:rsid w:val="00FA5EEC"/>
    <w:rsid w:val="00FB2140"/>
    <w:rsid w:val="00FB3E6D"/>
    <w:rsid w:val="00FB557C"/>
    <w:rsid w:val="00FB5911"/>
    <w:rsid w:val="00FB6A44"/>
    <w:rsid w:val="00FB7AE7"/>
    <w:rsid w:val="00FC198B"/>
    <w:rsid w:val="00FC36D9"/>
    <w:rsid w:val="00FC44CD"/>
    <w:rsid w:val="00FC4D4E"/>
    <w:rsid w:val="00FC7B6D"/>
    <w:rsid w:val="00FD0BD7"/>
    <w:rsid w:val="00FD15AB"/>
    <w:rsid w:val="00FD3244"/>
    <w:rsid w:val="00FD3F81"/>
    <w:rsid w:val="00FD463F"/>
    <w:rsid w:val="00FD6544"/>
    <w:rsid w:val="00FD7524"/>
    <w:rsid w:val="00FE2D93"/>
    <w:rsid w:val="00FE7D40"/>
    <w:rsid w:val="00FF2EA2"/>
    <w:rsid w:val="00FF46E3"/>
    <w:rsid w:val="00FF51CB"/>
    <w:rsid w:val="00FF76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307"/>
    <w:rPr>
      <w:sz w:val="28"/>
      <w:szCs w:val="24"/>
      <w:lang w:eastAsia="en-US"/>
    </w:rPr>
  </w:style>
  <w:style w:type="paragraph" w:styleId="Heading3">
    <w:name w:val="heading 3"/>
    <w:basedOn w:val="Normal"/>
    <w:next w:val="Normal"/>
    <w:link w:val="Heading3Char"/>
    <w:qFormat/>
    <w:rsid w:val="009A542D"/>
    <w:pPr>
      <w:keepNext/>
      <w:spacing w:before="240" w:after="60"/>
      <w:outlineLvl w:val="2"/>
    </w:pPr>
    <w:rPr>
      <w:rFonts w:ascii="Arial" w:hAnsi="Arial" w:cs="Arial"/>
      <w:b/>
      <w:b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D2307"/>
  </w:style>
  <w:style w:type="paragraph" w:styleId="BodyText2">
    <w:name w:val="Body Text 2"/>
    <w:basedOn w:val="Normal"/>
    <w:link w:val="BodyText2Char"/>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link w:val="HeaderChar"/>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link w:val="CommentTextChar"/>
    <w:semiHidden/>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semiHidden/>
    <w:rsid w:val="00032E7D"/>
    <w:rPr>
      <w:lang w:val="lv-LV" w:eastAsia="en-US" w:bidi="ar-SA"/>
    </w:rPr>
  </w:style>
  <w:style w:type="paragraph" w:styleId="ListParagraph">
    <w:name w:val="List Paragraph"/>
    <w:basedOn w:val="Normal"/>
    <w:uiPriority w:val="34"/>
    <w:qFormat/>
    <w:rsid w:val="000F5DB0"/>
    <w:pPr>
      <w:widowControl w:val="0"/>
      <w:spacing w:before="60" w:after="60" w:line="360" w:lineRule="auto"/>
      <w:ind w:left="720" w:firstLine="720"/>
      <w:contextualSpacing/>
      <w:jc w:val="both"/>
    </w:pPr>
    <w:rPr>
      <w:sz w:val="26"/>
      <w:szCs w:val="20"/>
      <w:lang w:val="en-AU"/>
    </w:rPr>
  </w:style>
  <w:style w:type="character" w:customStyle="1" w:styleId="Heading3Char">
    <w:name w:val="Heading 3 Char"/>
    <w:basedOn w:val="DefaultParagraphFont"/>
    <w:link w:val="Heading3"/>
    <w:rsid w:val="009A542D"/>
    <w:rPr>
      <w:rFonts w:ascii="Arial" w:hAnsi="Arial" w:cs="Arial"/>
      <w:b/>
      <w:bCs/>
      <w:sz w:val="26"/>
      <w:szCs w:val="26"/>
    </w:rPr>
  </w:style>
  <w:style w:type="character" w:customStyle="1" w:styleId="HeaderChar">
    <w:name w:val="Header Char"/>
    <w:basedOn w:val="DefaultParagraphFont"/>
    <w:link w:val="Header"/>
    <w:rsid w:val="003B2A64"/>
    <w:rPr>
      <w:sz w:val="28"/>
      <w:szCs w:val="24"/>
      <w:lang w:eastAsia="en-US"/>
    </w:rPr>
  </w:style>
  <w:style w:type="character" w:customStyle="1" w:styleId="BodyText2Char">
    <w:name w:val="Body Text 2 Char"/>
    <w:basedOn w:val="DefaultParagraphFont"/>
    <w:link w:val="BodyText2"/>
    <w:rsid w:val="000E17FF"/>
    <w:rPr>
      <w:sz w:val="28"/>
      <w:szCs w:val="24"/>
      <w:lang w:eastAsia="en-US"/>
    </w:rPr>
  </w:style>
  <w:style w:type="paragraph" w:customStyle="1" w:styleId="h2">
    <w:name w:val="h2"/>
    <w:basedOn w:val="Normal"/>
    <w:uiPriority w:val="99"/>
    <w:rsid w:val="00265833"/>
    <w:pPr>
      <w:spacing w:before="100" w:beforeAutospacing="1" w:after="100" w:afterAutospacing="1"/>
    </w:pPr>
    <w:rPr>
      <w:color w:val="306060"/>
      <w:sz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307"/>
    <w:rPr>
      <w:sz w:val="28"/>
      <w:szCs w:val="24"/>
      <w:lang w:eastAsia="en-US"/>
    </w:rPr>
  </w:style>
  <w:style w:type="paragraph" w:styleId="Heading3">
    <w:name w:val="heading 3"/>
    <w:basedOn w:val="Normal"/>
    <w:next w:val="Normal"/>
    <w:link w:val="Heading3Char"/>
    <w:qFormat/>
    <w:rsid w:val="009A542D"/>
    <w:pPr>
      <w:keepNext/>
      <w:spacing w:before="240" w:after="60"/>
      <w:outlineLvl w:val="2"/>
    </w:pPr>
    <w:rPr>
      <w:rFonts w:ascii="Arial" w:hAnsi="Arial" w:cs="Arial"/>
      <w:b/>
      <w:b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D2307"/>
  </w:style>
  <w:style w:type="paragraph" w:styleId="BodyText2">
    <w:name w:val="Body Text 2"/>
    <w:basedOn w:val="Normal"/>
    <w:link w:val="BodyText2Char"/>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link w:val="HeaderChar"/>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link w:val="CommentTextChar"/>
    <w:semiHidden/>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semiHidden/>
    <w:rsid w:val="00032E7D"/>
    <w:rPr>
      <w:lang w:val="lv-LV" w:eastAsia="en-US" w:bidi="ar-SA"/>
    </w:rPr>
  </w:style>
  <w:style w:type="paragraph" w:styleId="ListParagraph">
    <w:name w:val="List Paragraph"/>
    <w:basedOn w:val="Normal"/>
    <w:uiPriority w:val="34"/>
    <w:qFormat/>
    <w:rsid w:val="000F5DB0"/>
    <w:pPr>
      <w:widowControl w:val="0"/>
      <w:spacing w:before="60" w:after="60" w:line="360" w:lineRule="auto"/>
      <w:ind w:left="720" w:firstLine="720"/>
      <w:contextualSpacing/>
      <w:jc w:val="both"/>
    </w:pPr>
    <w:rPr>
      <w:sz w:val="26"/>
      <w:szCs w:val="20"/>
      <w:lang w:val="en-AU"/>
    </w:rPr>
  </w:style>
  <w:style w:type="character" w:customStyle="1" w:styleId="Heading3Char">
    <w:name w:val="Heading 3 Char"/>
    <w:basedOn w:val="DefaultParagraphFont"/>
    <w:link w:val="Heading3"/>
    <w:rsid w:val="009A542D"/>
    <w:rPr>
      <w:rFonts w:ascii="Arial" w:hAnsi="Arial" w:cs="Arial"/>
      <w:b/>
      <w:bCs/>
      <w:sz w:val="26"/>
      <w:szCs w:val="26"/>
    </w:rPr>
  </w:style>
  <w:style w:type="character" w:customStyle="1" w:styleId="HeaderChar">
    <w:name w:val="Header Char"/>
    <w:basedOn w:val="DefaultParagraphFont"/>
    <w:link w:val="Header"/>
    <w:rsid w:val="003B2A64"/>
    <w:rPr>
      <w:sz w:val="28"/>
      <w:szCs w:val="24"/>
      <w:lang w:eastAsia="en-US"/>
    </w:rPr>
  </w:style>
  <w:style w:type="character" w:customStyle="1" w:styleId="BodyText2Char">
    <w:name w:val="Body Text 2 Char"/>
    <w:basedOn w:val="DefaultParagraphFont"/>
    <w:link w:val="BodyText2"/>
    <w:rsid w:val="000E17FF"/>
    <w:rPr>
      <w:sz w:val="28"/>
      <w:szCs w:val="24"/>
      <w:lang w:eastAsia="en-US"/>
    </w:rPr>
  </w:style>
  <w:style w:type="paragraph" w:customStyle="1" w:styleId="h2">
    <w:name w:val="h2"/>
    <w:basedOn w:val="Normal"/>
    <w:uiPriority w:val="99"/>
    <w:rsid w:val="00265833"/>
    <w:pPr>
      <w:spacing w:before="100" w:beforeAutospacing="1" w:after="100" w:afterAutospacing="1"/>
    </w:pPr>
    <w:rPr>
      <w:color w:val="306060"/>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359">
      <w:bodyDiv w:val="1"/>
      <w:marLeft w:val="0"/>
      <w:marRight w:val="0"/>
      <w:marTop w:val="0"/>
      <w:marBottom w:val="0"/>
      <w:divBdr>
        <w:top w:val="none" w:sz="0" w:space="0" w:color="auto"/>
        <w:left w:val="none" w:sz="0" w:space="0" w:color="auto"/>
        <w:bottom w:val="none" w:sz="0" w:space="0" w:color="auto"/>
        <w:right w:val="none" w:sz="0" w:space="0" w:color="auto"/>
      </w:divBdr>
      <w:divsChild>
        <w:div w:id="1991014171">
          <w:marLeft w:val="0"/>
          <w:marRight w:val="0"/>
          <w:marTop w:val="0"/>
          <w:marBottom w:val="0"/>
          <w:divBdr>
            <w:top w:val="none" w:sz="0" w:space="0" w:color="auto"/>
            <w:left w:val="none" w:sz="0" w:space="0" w:color="auto"/>
            <w:bottom w:val="none" w:sz="0" w:space="0" w:color="auto"/>
            <w:right w:val="none" w:sz="0" w:space="0" w:color="auto"/>
          </w:divBdr>
          <w:divsChild>
            <w:div w:id="16203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30754">
      <w:bodyDiv w:val="1"/>
      <w:marLeft w:val="0"/>
      <w:marRight w:val="0"/>
      <w:marTop w:val="0"/>
      <w:marBottom w:val="0"/>
      <w:divBdr>
        <w:top w:val="none" w:sz="0" w:space="0" w:color="auto"/>
        <w:left w:val="none" w:sz="0" w:space="0" w:color="auto"/>
        <w:bottom w:val="none" w:sz="0" w:space="0" w:color="auto"/>
        <w:right w:val="none" w:sz="0" w:space="0" w:color="auto"/>
      </w:divBdr>
      <w:divsChild>
        <w:div w:id="600913708">
          <w:marLeft w:val="3"/>
          <w:marRight w:val="3"/>
          <w:marTop w:val="0"/>
          <w:marBottom w:val="0"/>
          <w:divBdr>
            <w:top w:val="single" w:sz="6" w:space="0" w:color="112449"/>
            <w:left w:val="single" w:sz="6" w:space="0" w:color="112449"/>
            <w:bottom w:val="single" w:sz="6" w:space="0" w:color="112449"/>
            <w:right w:val="single" w:sz="6" w:space="0" w:color="112449"/>
          </w:divBdr>
          <w:divsChild>
            <w:div w:id="1449616262">
              <w:marLeft w:val="3"/>
              <w:marRight w:val="3"/>
              <w:marTop w:val="0"/>
              <w:marBottom w:val="0"/>
              <w:divBdr>
                <w:top w:val="single" w:sz="6" w:space="0" w:color="112449"/>
                <w:left w:val="single" w:sz="6" w:space="0" w:color="112449"/>
                <w:bottom w:val="single" w:sz="6" w:space="0" w:color="112449"/>
                <w:right w:val="single" w:sz="6" w:space="0" w:color="112449"/>
              </w:divBdr>
              <w:divsChild>
                <w:div w:id="1741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6251">
      <w:bodyDiv w:val="1"/>
      <w:marLeft w:val="0"/>
      <w:marRight w:val="0"/>
      <w:marTop w:val="0"/>
      <w:marBottom w:val="0"/>
      <w:divBdr>
        <w:top w:val="none" w:sz="0" w:space="0" w:color="auto"/>
        <w:left w:val="none" w:sz="0" w:space="0" w:color="auto"/>
        <w:bottom w:val="none" w:sz="0" w:space="0" w:color="auto"/>
        <w:right w:val="none" w:sz="0" w:space="0" w:color="auto"/>
      </w:divBdr>
      <w:divsChild>
        <w:div w:id="2077363432">
          <w:marLeft w:val="3"/>
          <w:marRight w:val="3"/>
          <w:marTop w:val="0"/>
          <w:marBottom w:val="0"/>
          <w:divBdr>
            <w:top w:val="single" w:sz="6" w:space="0" w:color="112449"/>
            <w:left w:val="single" w:sz="6" w:space="0" w:color="112449"/>
            <w:bottom w:val="single" w:sz="6" w:space="0" w:color="112449"/>
            <w:right w:val="single" w:sz="6" w:space="0" w:color="112449"/>
          </w:divBdr>
          <w:divsChild>
            <w:div w:id="709912346">
              <w:marLeft w:val="3"/>
              <w:marRight w:val="3"/>
              <w:marTop w:val="0"/>
              <w:marBottom w:val="0"/>
              <w:divBdr>
                <w:top w:val="single" w:sz="6" w:space="0" w:color="112449"/>
                <w:left w:val="single" w:sz="6" w:space="0" w:color="112449"/>
                <w:bottom w:val="single" w:sz="6" w:space="0" w:color="112449"/>
                <w:right w:val="single" w:sz="6" w:space="0" w:color="112449"/>
              </w:divBdr>
              <w:divsChild>
                <w:div w:id="12071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44355">
      <w:bodyDiv w:val="1"/>
      <w:marLeft w:val="0"/>
      <w:marRight w:val="0"/>
      <w:marTop w:val="0"/>
      <w:marBottom w:val="0"/>
      <w:divBdr>
        <w:top w:val="none" w:sz="0" w:space="0" w:color="auto"/>
        <w:left w:val="none" w:sz="0" w:space="0" w:color="auto"/>
        <w:bottom w:val="none" w:sz="0" w:space="0" w:color="auto"/>
        <w:right w:val="none" w:sz="0" w:space="0" w:color="auto"/>
      </w:divBdr>
      <w:divsChild>
        <w:div w:id="1980069614">
          <w:marLeft w:val="3"/>
          <w:marRight w:val="3"/>
          <w:marTop w:val="0"/>
          <w:marBottom w:val="0"/>
          <w:divBdr>
            <w:top w:val="single" w:sz="6" w:space="0" w:color="112449"/>
            <w:left w:val="single" w:sz="6" w:space="0" w:color="112449"/>
            <w:bottom w:val="single" w:sz="6" w:space="0" w:color="112449"/>
            <w:right w:val="single" w:sz="6" w:space="0" w:color="112449"/>
          </w:divBdr>
          <w:divsChild>
            <w:div w:id="957180341">
              <w:marLeft w:val="3"/>
              <w:marRight w:val="3"/>
              <w:marTop w:val="0"/>
              <w:marBottom w:val="0"/>
              <w:divBdr>
                <w:top w:val="single" w:sz="6" w:space="0" w:color="112449"/>
                <w:left w:val="single" w:sz="6" w:space="0" w:color="112449"/>
                <w:bottom w:val="single" w:sz="6" w:space="0" w:color="112449"/>
                <w:right w:val="single" w:sz="6" w:space="0" w:color="112449"/>
              </w:divBdr>
              <w:divsChild>
                <w:div w:id="507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5446">
      <w:bodyDiv w:val="1"/>
      <w:marLeft w:val="0"/>
      <w:marRight w:val="0"/>
      <w:marTop w:val="0"/>
      <w:marBottom w:val="0"/>
      <w:divBdr>
        <w:top w:val="none" w:sz="0" w:space="0" w:color="auto"/>
        <w:left w:val="none" w:sz="0" w:space="0" w:color="auto"/>
        <w:bottom w:val="none" w:sz="0" w:space="0" w:color="auto"/>
        <w:right w:val="none" w:sz="0" w:space="0" w:color="auto"/>
      </w:divBdr>
      <w:divsChild>
        <w:div w:id="1104155285">
          <w:marLeft w:val="3"/>
          <w:marRight w:val="3"/>
          <w:marTop w:val="0"/>
          <w:marBottom w:val="0"/>
          <w:divBdr>
            <w:top w:val="single" w:sz="6" w:space="0" w:color="112449"/>
            <w:left w:val="single" w:sz="6" w:space="0" w:color="112449"/>
            <w:bottom w:val="single" w:sz="6" w:space="0" w:color="112449"/>
            <w:right w:val="single" w:sz="6" w:space="0" w:color="112449"/>
          </w:divBdr>
          <w:divsChild>
            <w:div w:id="269051626">
              <w:marLeft w:val="3"/>
              <w:marRight w:val="3"/>
              <w:marTop w:val="0"/>
              <w:marBottom w:val="0"/>
              <w:divBdr>
                <w:top w:val="single" w:sz="6" w:space="0" w:color="112449"/>
                <w:left w:val="single" w:sz="6" w:space="0" w:color="112449"/>
                <w:bottom w:val="single" w:sz="6" w:space="0" w:color="112449"/>
                <w:right w:val="single" w:sz="6" w:space="0" w:color="112449"/>
              </w:divBdr>
              <w:divsChild>
                <w:div w:id="18556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m.gov.lv/text/2525"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ikumi.lv" TargetMode="External"/><Relationship Id="rId4" Type="http://schemas.microsoft.com/office/2007/relationships/stylesWithEffects" Target="stylesWithEffects.xml"/><Relationship Id="rId9" Type="http://schemas.openxmlformats.org/officeDocument/2006/relationships/hyperlink" Target="http://www.lm.gov.lv/text/178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8FFC9-DD4F-4955-A1B9-E0FDC5A0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11</Pages>
  <Words>3062</Words>
  <Characters>20222</Characters>
  <Application>Microsoft Office Word</Application>
  <DocSecurity>0</DocSecurity>
  <Lines>808</Lines>
  <Paragraphs>358</Paragraphs>
  <ScaleCrop>false</ScaleCrop>
  <HeadingPairs>
    <vt:vector size="2" baseType="variant">
      <vt:variant>
        <vt:lpstr>Title</vt:lpstr>
      </vt:variant>
      <vt:variant>
        <vt:i4>1</vt:i4>
      </vt:variant>
    </vt:vector>
  </HeadingPairs>
  <TitlesOfParts>
    <vt:vector size="1" baseType="lpstr">
      <vt:lpstr>Noteikumi par minimālo mēneša darba algu un minimālo stundas tarifa likmi</vt:lpstr>
    </vt:vector>
  </TitlesOfParts>
  <Company>Labklājības ministrija</Company>
  <LinksUpToDate>false</LinksUpToDate>
  <CharactersWithSpaces>22926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minimālo mēneša darba algu un minimālo stundas tarifa likmi</dc:title>
  <dc:subject>Anotācija</dc:subject>
  <dc:creator>Aina Liepiņa</dc:creator>
  <dc:description>Aina.Liepina@lm.gov.lv
Tālr.67021519; fakss. 67021505</dc:description>
  <cp:lastModifiedBy>Aina Liepina</cp:lastModifiedBy>
  <cp:revision>95</cp:revision>
  <cp:lastPrinted>2017-07-13T07:06:00Z</cp:lastPrinted>
  <dcterms:created xsi:type="dcterms:W3CDTF">2016-09-26T12:09:00Z</dcterms:created>
  <dcterms:modified xsi:type="dcterms:W3CDTF">2017-07-13T12:56:00Z</dcterms:modified>
</cp:coreProperties>
</file>