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A0" w:rsidRPr="000C57A0" w:rsidRDefault="000C57A0" w:rsidP="000C57A0">
      <w:pPr>
        <w:spacing w:after="0" w:line="240" w:lineRule="auto"/>
        <w:jc w:val="right"/>
        <w:rPr>
          <w:rFonts w:ascii="Times New Roman" w:hAnsi="Times New Roman" w:cs="Times New Roman"/>
          <w:sz w:val="28"/>
          <w:szCs w:val="28"/>
        </w:rPr>
      </w:pPr>
      <w:bookmarkStart w:id="0" w:name="_GoBack"/>
      <w:bookmarkEnd w:id="0"/>
      <w:r w:rsidRPr="000C57A0">
        <w:rPr>
          <w:rFonts w:ascii="Times New Roman" w:hAnsi="Times New Roman" w:cs="Times New Roman"/>
          <w:sz w:val="28"/>
          <w:szCs w:val="28"/>
        </w:rPr>
        <w:t>Pielikums</w:t>
      </w:r>
    </w:p>
    <w:p w:rsidR="000C57A0" w:rsidRPr="000C57A0" w:rsidRDefault="000C57A0" w:rsidP="000C57A0">
      <w:pPr>
        <w:spacing w:after="0" w:line="240" w:lineRule="auto"/>
        <w:jc w:val="right"/>
        <w:rPr>
          <w:rFonts w:ascii="Times New Roman" w:hAnsi="Times New Roman" w:cs="Times New Roman"/>
          <w:sz w:val="28"/>
          <w:szCs w:val="28"/>
        </w:rPr>
      </w:pPr>
      <w:r w:rsidRPr="000C57A0">
        <w:rPr>
          <w:rFonts w:ascii="Times New Roman" w:hAnsi="Times New Roman" w:cs="Times New Roman"/>
          <w:sz w:val="28"/>
          <w:szCs w:val="28"/>
        </w:rPr>
        <w:t>Ministru kabineta noteikumu projekta</w:t>
      </w:r>
    </w:p>
    <w:p w:rsidR="000C57A0" w:rsidRPr="000C57A0" w:rsidRDefault="000C57A0" w:rsidP="000C57A0">
      <w:pPr>
        <w:spacing w:after="0" w:line="240" w:lineRule="auto"/>
        <w:jc w:val="right"/>
        <w:rPr>
          <w:rFonts w:ascii="Times New Roman" w:hAnsi="Times New Roman" w:cs="Times New Roman"/>
          <w:b/>
          <w:sz w:val="28"/>
          <w:szCs w:val="28"/>
        </w:rPr>
      </w:pPr>
      <w:r w:rsidRPr="000C57A0">
        <w:rPr>
          <w:rFonts w:ascii="Times New Roman" w:hAnsi="Times New Roman" w:cs="Times New Roman"/>
          <w:b/>
          <w:sz w:val="28"/>
          <w:szCs w:val="28"/>
        </w:rPr>
        <w:t>„Grozījums Ministru kabineta 2015.gada 24.novembra noteikumos Nr.656 „Noteikumi par minimālās mēneša darba algas apmēru normālā darba laika ietvaros un minimālās stundas tarifa likmes aprēķināšanu””</w:t>
      </w:r>
    </w:p>
    <w:p w:rsidR="000C57A0" w:rsidRPr="000C57A0" w:rsidRDefault="000C57A0" w:rsidP="000C57A0">
      <w:pPr>
        <w:spacing w:after="0" w:line="240" w:lineRule="auto"/>
        <w:jc w:val="right"/>
        <w:rPr>
          <w:rFonts w:ascii="Times New Roman" w:hAnsi="Times New Roman" w:cs="Times New Roman"/>
          <w:sz w:val="28"/>
          <w:szCs w:val="28"/>
        </w:rPr>
      </w:pPr>
      <w:r w:rsidRPr="000C57A0">
        <w:rPr>
          <w:rFonts w:ascii="Times New Roman" w:hAnsi="Times New Roman" w:cs="Times New Roman"/>
          <w:sz w:val="28"/>
          <w:szCs w:val="28"/>
        </w:rPr>
        <w:t>sākotnējās ietekmes novērtējuma ziņojumam (anotācijai)</w:t>
      </w:r>
    </w:p>
    <w:p w:rsidR="000C57A0" w:rsidRDefault="000C57A0" w:rsidP="000C57A0">
      <w:pPr>
        <w:spacing w:after="0" w:line="240" w:lineRule="auto"/>
        <w:jc w:val="right"/>
        <w:rPr>
          <w:rFonts w:ascii="Times New Roman" w:hAnsi="Times New Roman" w:cs="Times New Roman"/>
          <w:sz w:val="28"/>
          <w:szCs w:val="28"/>
        </w:rPr>
      </w:pPr>
    </w:p>
    <w:p w:rsidR="000C57A0" w:rsidRPr="000C57A0" w:rsidRDefault="000C57A0" w:rsidP="000C57A0">
      <w:pPr>
        <w:spacing w:after="0" w:line="240" w:lineRule="auto"/>
        <w:jc w:val="right"/>
        <w:rPr>
          <w:rFonts w:ascii="Times New Roman" w:hAnsi="Times New Roman" w:cs="Times New Roman"/>
          <w:sz w:val="28"/>
          <w:szCs w:val="28"/>
        </w:rPr>
      </w:pPr>
    </w:p>
    <w:p w:rsidR="00B91ACD" w:rsidRPr="000C57A0" w:rsidRDefault="000C57A0" w:rsidP="000C57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Ekonomikas ministrijas e</w:t>
      </w:r>
      <w:r w:rsidR="00B91ACD" w:rsidRPr="000C57A0">
        <w:rPr>
          <w:rFonts w:ascii="Times New Roman" w:hAnsi="Times New Roman" w:cs="Times New Roman"/>
          <w:b/>
          <w:sz w:val="28"/>
          <w:szCs w:val="28"/>
        </w:rPr>
        <w:t>konomiskās situācijas raksturojums</w:t>
      </w:r>
    </w:p>
    <w:p w:rsidR="000C57A0" w:rsidRDefault="000C57A0" w:rsidP="00082EF3">
      <w:pPr>
        <w:jc w:val="both"/>
        <w:rPr>
          <w:rFonts w:ascii="Times New Roman" w:hAnsi="Times New Roman" w:cs="Times New Roman"/>
          <w:sz w:val="24"/>
          <w:szCs w:val="24"/>
        </w:rPr>
      </w:pP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 xml:space="preserve">Ekonomiskā izaugsme Latvijā pēdējos gados ir cieši saistīta ar tendencēm ārējā vidē – </w:t>
      </w:r>
      <w:r w:rsidR="00D0223C">
        <w:rPr>
          <w:rFonts w:ascii="Times New Roman" w:hAnsi="Times New Roman" w:cs="Times New Roman"/>
          <w:sz w:val="24"/>
          <w:szCs w:val="24"/>
        </w:rPr>
        <w:t>Eiropas Savienības (</w:t>
      </w:r>
      <w:r w:rsidRPr="00B91ACD">
        <w:rPr>
          <w:rFonts w:ascii="Times New Roman" w:hAnsi="Times New Roman" w:cs="Times New Roman"/>
          <w:sz w:val="24"/>
          <w:szCs w:val="24"/>
        </w:rPr>
        <w:t>ES</w:t>
      </w:r>
      <w:r w:rsidR="00D0223C">
        <w:rPr>
          <w:rFonts w:ascii="Times New Roman" w:hAnsi="Times New Roman" w:cs="Times New Roman"/>
          <w:sz w:val="24"/>
          <w:szCs w:val="24"/>
        </w:rPr>
        <w:t>)</w:t>
      </w:r>
      <w:r w:rsidRPr="00B91ACD">
        <w:rPr>
          <w:rFonts w:ascii="Times New Roman" w:hAnsi="Times New Roman" w:cs="Times New Roman"/>
          <w:sz w:val="24"/>
          <w:szCs w:val="24"/>
        </w:rPr>
        <w:t xml:space="preserve"> valstu izaugsmi, kā arī ekonomisko situāciju Krievijā un citās </w:t>
      </w:r>
      <w:r w:rsidR="00D0223C" w:rsidRPr="00D0223C">
        <w:rPr>
          <w:rStyle w:val="st"/>
          <w:rFonts w:ascii="Times New Roman" w:hAnsi="Times New Roman" w:cs="Times New Roman"/>
          <w:sz w:val="24"/>
          <w:szCs w:val="24"/>
        </w:rPr>
        <w:t>Neatkarīgo Valstu Sadraudzības</w:t>
      </w:r>
      <w:r w:rsidR="00D0223C" w:rsidRPr="00D0223C">
        <w:rPr>
          <w:rFonts w:ascii="Times New Roman" w:hAnsi="Times New Roman" w:cs="Times New Roman"/>
          <w:sz w:val="24"/>
          <w:szCs w:val="24"/>
        </w:rPr>
        <w:t xml:space="preserve"> (</w:t>
      </w:r>
      <w:r w:rsidRPr="00D0223C">
        <w:rPr>
          <w:rFonts w:ascii="Times New Roman" w:hAnsi="Times New Roman" w:cs="Times New Roman"/>
          <w:sz w:val="24"/>
          <w:szCs w:val="24"/>
        </w:rPr>
        <w:t>NVS</w:t>
      </w:r>
      <w:r w:rsidR="00D0223C" w:rsidRPr="00D0223C">
        <w:rPr>
          <w:rFonts w:ascii="Times New Roman" w:hAnsi="Times New Roman" w:cs="Times New Roman"/>
          <w:sz w:val="24"/>
          <w:szCs w:val="24"/>
        </w:rPr>
        <w:t>)</w:t>
      </w:r>
      <w:r w:rsidRPr="00D0223C">
        <w:rPr>
          <w:rFonts w:ascii="Times New Roman" w:hAnsi="Times New Roman" w:cs="Times New Roman"/>
          <w:sz w:val="24"/>
          <w:szCs w:val="24"/>
        </w:rPr>
        <w:t xml:space="preserve"> valstīs</w:t>
      </w:r>
      <w:r w:rsidRPr="00B91ACD">
        <w:rPr>
          <w:rFonts w:ascii="Times New Roman" w:hAnsi="Times New Roman" w:cs="Times New Roman"/>
          <w:sz w:val="24"/>
          <w:szCs w:val="24"/>
        </w:rPr>
        <w:t xml:space="preserve">. Lai arī Latvijas ekonomika pieaug, </w:t>
      </w:r>
      <w:r w:rsidR="00D0223C">
        <w:rPr>
          <w:rFonts w:ascii="Times New Roman" w:hAnsi="Times New Roman" w:cs="Times New Roman"/>
          <w:sz w:val="24"/>
          <w:szCs w:val="24"/>
        </w:rPr>
        <w:t>iekšzemes kopprodukts (</w:t>
      </w:r>
      <w:r w:rsidRPr="00B91ACD">
        <w:rPr>
          <w:rFonts w:ascii="Times New Roman" w:hAnsi="Times New Roman" w:cs="Times New Roman"/>
          <w:sz w:val="24"/>
          <w:szCs w:val="24"/>
        </w:rPr>
        <w:t>IKP</w:t>
      </w:r>
      <w:r w:rsidR="00D0223C">
        <w:rPr>
          <w:rFonts w:ascii="Times New Roman" w:hAnsi="Times New Roman" w:cs="Times New Roman"/>
          <w:sz w:val="24"/>
          <w:szCs w:val="24"/>
        </w:rPr>
        <w:t>)</w:t>
      </w:r>
      <w:r w:rsidRPr="00B91ACD">
        <w:rPr>
          <w:rFonts w:ascii="Times New Roman" w:hAnsi="Times New Roman" w:cs="Times New Roman"/>
          <w:sz w:val="24"/>
          <w:szCs w:val="24"/>
        </w:rPr>
        <w:t xml:space="preserve"> joprojām ir par 3,5% mazāks nekā pirms krīzes 2007.gadā.</w:t>
      </w:r>
    </w:p>
    <w:p w:rsidR="009F5963"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 xml:space="preserve">2016.gadā IKP pieauga par 2%. 2016.gadā pozitīvi izaugsmi ietekmēja privātā patēriņa pieaugums (par 3,4%), ko sekmēja algu palielinājums, kā arī izteikti zemā inflācija, kas atsevišķos mēnešos pārgāja pat deflācijā. Sabiedriskais patēriņš 2016.gadā pieauga par 2,7%. Eksports 2016.gadā palielinājās par 2,6%. Preču eksportu pozitīvi ietekmēja ievērojams transportlīdzekļu un lauksaimniecības un pārtikas preču eksporta pieaugums, kā arī ķīmisko preču eksporta pieaugums. Savukārt būtiski saruka minerālo produktu un mehānismu, ierīču un elektroiekārtu eksporta vērtība. Labi izaugsmes rādītāji bija arī pakalpojumu eksporta palielinājumam, ko galvenokārt nodrošināja </w:t>
      </w:r>
      <w:r w:rsidR="00D0223C">
        <w:rPr>
          <w:rFonts w:ascii="Times New Roman" w:hAnsi="Times New Roman" w:cs="Times New Roman"/>
          <w:sz w:val="24"/>
          <w:szCs w:val="24"/>
        </w:rPr>
        <w:t>informācijas un komunikācijas tehnoloģiju (</w:t>
      </w:r>
      <w:r w:rsidRPr="00B91ACD">
        <w:rPr>
          <w:rFonts w:ascii="Times New Roman" w:hAnsi="Times New Roman" w:cs="Times New Roman"/>
          <w:sz w:val="24"/>
          <w:szCs w:val="24"/>
        </w:rPr>
        <w:t>IKT</w:t>
      </w:r>
      <w:r w:rsidR="00D0223C">
        <w:rPr>
          <w:rFonts w:ascii="Times New Roman" w:hAnsi="Times New Roman" w:cs="Times New Roman"/>
          <w:sz w:val="24"/>
          <w:szCs w:val="24"/>
        </w:rPr>
        <w:t>)</w:t>
      </w:r>
      <w:r w:rsidRPr="00B91ACD">
        <w:rPr>
          <w:rFonts w:ascii="Times New Roman" w:hAnsi="Times New Roman" w:cs="Times New Roman"/>
          <w:sz w:val="24"/>
          <w:szCs w:val="24"/>
        </w:rPr>
        <w:t xml:space="preserve"> pakalpojumi. Galvenais izaugsmi bremzējošais faktors 2016.gadā bija krasa investīciju samazināšanās. To līmenis 2016.gadā bija par 11,5% zemāks nekā iepriekšējā gadā un investīciju kritums galvenokārt bija saistīts ar lēno ES struktūrfondu projektu apguvi.</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Investīciju kritums būtiski ietekmēja būvniecības nozari – 2016.gadā būvniecības apjomi saruka par 17,9%. Tajā pašā laikā būtiski pieauga apstrādes rūpniecība par 5,6%. Labi izaugsmes rādītāji bija gandrīz visās apstrādes rūpniecības apakšnozarēs. Lielāko ieguldījumu pieaugumā nodrošināja pārtikas rūpniecības, kokapstrādes un elektrisko un optisko iekārtu ražošanas apjomu palielinājumi. No pakalpojumu nozarēm straujākā izaugsme 2016.gadā bija tirdzniecībā un izmitināšanā par 3,9%, bet sabiedriskie pakalpojumi pieauga par 2,5 procentiem.</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Ekonomikas ministrija prognozē, ka 2017.gadā izaugsme būs straujāka nekā 2016.gadā un tā varētu sasniegt 3</w:t>
      </w:r>
      <w:r w:rsidR="00DA25D6">
        <w:rPr>
          <w:rFonts w:ascii="Times New Roman" w:hAnsi="Times New Roman" w:cs="Times New Roman"/>
          <w:sz w:val="24"/>
          <w:szCs w:val="24"/>
        </w:rPr>
        <w:t>,3</w:t>
      </w:r>
      <w:r w:rsidRPr="00B91ACD">
        <w:rPr>
          <w:rFonts w:ascii="Times New Roman" w:hAnsi="Times New Roman" w:cs="Times New Roman"/>
          <w:sz w:val="24"/>
          <w:szCs w:val="24"/>
        </w:rPr>
        <w:t>%, ko sekmēs izaugsmes paātrināšanās Latvijas galvenajās ārējās tirdzniecības partnervalstīs, kā arī ES fondu intensīvāka apguve.</w:t>
      </w:r>
      <w:r w:rsidR="00F467F3">
        <w:rPr>
          <w:rFonts w:ascii="Times New Roman" w:hAnsi="Times New Roman" w:cs="Times New Roman"/>
          <w:sz w:val="24"/>
          <w:szCs w:val="24"/>
        </w:rPr>
        <w:t xml:space="preserve"> Savukārt 2018. gadā ekonomika varētu pieaugt par 4%.</w:t>
      </w:r>
      <w:r w:rsidRPr="00B91ACD">
        <w:rPr>
          <w:rFonts w:ascii="Times New Roman" w:hAnsi="Times New Roman" w:cs="Times New Roman"/>
          <w:sz w:val="24"/>
          <w:szCs w:val="24"/>
        </w:rPr>
        <w:t xml:space="preserve"> </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Līdzīgi kā iepriekšējos gados, arī 2016.gadā vidējā inflācija bija mērena – 0,1%. Lielākā pazeminošā ietekme uz inflāciju bija degvielas, siltumenerģijas un gāzes cenu samazinājumam gada sākumā, bet lielākā paaugstinošā ietekme – pārtikas cenu kāpumam gada nogalē. Kopš 2016.gada vidus inflācija pakāpeniski pieaug un 2016.gada decembrī, salīdzinot ar iepriekšējā gada decembri, tā sasniedza 2,2</w:t>
      </w:r>
      <w:r w:rsidR="00DA25D6">
        <w:rPr>
          <w:rFonts w:ascii="Times New Roman" w:hAnsi="Times New Roman" w:cs="Times New Roman"/>
          <w:sz w:val="24"/>
          <w:szCs w:val="24"/>
        </w:rPr>
        <w:t> </w:t>
      </w:r>
      <w:r w:rsidR="00777C53">
        <w:rPr>
          <w:rFonts w:ascii="Times New Roman" w:hAnsi="Times New Roman" w:cs="Times New Roman"/>
          <w:sz w:val="24"/>
          <w:szCs w:val="24"/>
        </w:rPr>
        <w:t>procentus.</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lastRenderedPageBreak/>
        <w:t xml:space="preserve">Ņemot vērā pasaules naftas un pārtikas cenu svārstību tendences, kā arī sagaidāmo ekonomisko aktivitāšu pieaugumu un atalgojuma kāpumu, inflācija 2017.gadā ir prognozējama būtiski augstāka nekā 2016.gadā. 2017.gadā vidējā inflācija varētu būt ap </w:t>
      </w:r>
      <w:r w:rsidR="003A01CD">
        <w:rPr>
          <w:rFonts w:ascii="Times New Roman" w:hAnsi="Times New Roman" w:cs="Times New Roman"/>
          <w:sz w:val="24"/>
          <w:szCs w:val="24"/>
        </w:rPr>
        <w:t>3</w:t>
      </w:r>
      <w:r w:rsidRPr="00B91ACD">
        <w:rPr>
          <w:rFonts w:ascii="Times New Roman" w:hAnsi="Times New Roman" w:cs="Times New Roman"/>
          <w:sz w:val="24"/>
          <w:szCs w:val="24"/>
        </w:rPr>
        <w:t xml:space="preserve"> procentiem. </w:t>
      </w:r>
    </w:p>
    <w:p w:rsidR="001D4930"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 xml:space="preserve">Ekonomisko aktivitāšu palielināšanās pozitīvi ietekmē situāciju darba tirgū – mazinās krīzes izraisītais augstais bezdarbs un pieaug nodarbinātības līmenis. </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 xml:space="preserve">2016.gadā nodarbinātības līmenis starp iedzīvotājiem vecumā no 15-74 gadiem sasniedza 61,6%, un tas gada laikā bija palielinājies par 0,8 procentpunktiem. Nodarbinātības līmeņa pieaugumu galvenokārt noteica relatīvi straujāks darbspējīgo iedzīvotāju skaita samazinājums, salīdzinot ar nodarbināto skaita samazinājumu. </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 xml:space="preserve">Kopējais nodarbināto iedzīvotāju skaits 2016.gadā veidoja 893,3 tūkstošus un bija par 0,3% procentpunktiem jeb 2,8 tūkstošiem mazāks nekā 2015.gadā. No vienas puses to noteica darbaspēka pieprasījuma samazināšanās tādās nozarēs kā būvniecība, tirdzniecība, lauksaimniecība, kā arī atsevišķās pakalpojumu nozarēs, bet no otras puses arvien vairāk nodarbināto skaita dinamiku ietekmēja darbaspēka iziešana no darba tirgus, kā arī ierobežotākas iespējas aizpildīt brīvās darbavietas, par ko liecina arī vakanču skaita pieaugums gada griezumā. Vienlaikus būtisks nodarbinātības pieaugums bija vērojams apstrādes rūpniecībā, kurā nodarbināto skaits palielinājās par 7,2 tūkstošiem jeb 6,2%, salīdzinot ar 2015.gadu. </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2016.gadā turpināja samazināties bezdarbs, tomēr lēnākos tempos nekā iepriekš. Vidēji gadā bezdarba līmenis samazinājās līdz 9,6% jeb par 0,2 procentpunktiem, salīdzinot ar 2015.gadu. Arī reģistrētā bezdarba līmenis turpina pakāpeniski samazināties, 2016.gada decembra beigās sasniedzot 8,4%. Reģistrēto bezdarbnieku skaits gada laikā saruka par 0,3 procentpunktiem līdz 78,4 tūkstošiem decembra beigās. Uzlabojumus darba tirgū joprojām kavē tā reģionālās atšķirības. Bezdarba līmenis Latgales reģionā bija gandrīz par 10 procentpunktiem augstāks nekā Rīgas reģionā. Vienlaikus kopumā 2016.gadā bezdarbs straujāk samazinājās lauku apvidos, savukārt pilsētās saglabājās faktiski nemainīgs, bet Rīgas un Pierīgas reģionos pat pieauga.</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Sagaidāms, ka situācija darba</w:t>
      </w:r>
      <w:r w:rsidR="001D4930">
        <w:rPr>
          <w:rFonts w:ascii="Times New Roman" w:hAnsi="Times New Roman" w:cs="Times New Roman"/>
          <w:sz w:val="24"/>
          <w:szCs w:val="24"/>
        </w:rPr>
        <w:t xml:space="preserve"> tirgū 2017.gada</w:t>
      </w:r>
      <w:r w:rsidR="00D0223C">
        <w:rPr>
          <w:rFonts w:ascii="Times New Roman" w:hAnsi="Times New Roman" w:cs="Times New Roman"/>
          <w:sz w:val="24"/>
          <w:szCs w:val="24"/>
        </w:rPr>
        <w:t xml:space="preserve"> un 2018.</w:t>
      </w:r>
      <w:r w:rsidR="00996544">
        <w:rPr>
          <w:rFonts w:ascii="Times New Roman" w:hAnsi="Times New Roman" w:cs="Times New Roman"/>
          <w:sz w:val="24"/>
          <w:szCs w:val="24"/>
        </w:rPr>
        <w:t>gadā turpinās</w:t>
      </w:r>
      <w:r w:rsidR="001D4930">
        <w:rPr>
          <w:rFonts w:ascii="Times New Roman" w:hAnsi="Times New Roman" w:cs="Times New Roman"/>
          <w:sz w:val="24"/>
          <w:szCs w:val="24"/>
        </w:rPr>
        <w:t xml:space="preserve"> </w:t>
      </w:r>
      <w:r w:rsidRPr="00B91ACD">
        <w:rPr>
          <w:rFonts w:ascii="Times New Roman" w:hAnsi="Times New Roman" w:cs="Times New Roman"/>
          <w:sz w:val="24"/>
          <w:szCs w:val="24"/>
        </w:rPr>
        <w:t xml:space="preserve">uzlaboties, tomēr </w:t>
      </w:r>
      <w:r w:rsidR="00DA25D6">
        <w:rPr>
          <w:rFonts w:ascii="Times New Roman" w:hAnsi="Times New Roman" w:cs="Times New Roman"/>
          <w:sz w:val="24"/>
          <w:szCs w:val="24"/>
        </w:rPr>
        <w:t>ar</w:t>
      </w:r>
      <w:r w:rsidR="001D4930">
        <w:rPr>
          <w:rFonts w:ascii="Times New Roman" w:hAnsi="Times New Roman" w:cs="Times New Roman"/>
          <w:sz w:val="24"/>
          <w:szCs w:val="24"/>
        </w:rPr>
        <w:t>vien vairāk</w:t>
      </w:r>
      <w:r w:rsidR="00996544">
        <w:rPr>
          <w:rFonts w:ascii="Times New Roman" w:hAnsi="Times New Roman" w:cs="Times New Roman"/>
          <w:sz w:val="24"/>
          <w:szCs w:val="24"/>
        </w:rPr>
        <w:t xml:space="preserve"> to ietekmēs</w:t>
      </w:r>
      <w:r w:rsidR="001D4930">
        <w:rPr>
          <w:rFonts w:ascii="Times New Roman" w:hAnsi="Times New Roman" w:cs="Times New Roman"/>
          <w:sz w:val="24"/>
          <w:szCs w:val="24"/>
        </w:rPr>
        <w:t xml:space="preserve"> </w:t>
      </w:r>
      <w:r w:rsidRPr="00B91ACD">
        <w:rPr>
          <w:rFonts w:ascii="Times New Roman" w:hAnsi="Times New Roman" w:cs="Times New Roman"/>
          <w:sz w:val="24"/>
          <w:szCs w:val="24"/>
        </w:rPr>
        <w:t>negatīvās demogrāfijas tendences. Paredzams, ka nodarbināto skaits 2017.g</w:t>
      </w:r>
      <w:r w:rsidR="001D4930">
        <w:rPr>
          <w:rFonts w:ascii="Times New Roman" w:hAnsi="Times New Roman" w:cs="Times New Roman"/>
          <w:sz w:val="24"/>
          <w:szCs w:val="24"/>
        </w:rPr>
        <w:t>adā kopumā palielināsies par 0,</w:t>
      </w:r>
      <w:r w:rsidR="00996544">
        <w:rPr>
          <w:rFonts w:ascii="Times New Roman" w:hAnsi="Times New Roman" w:cs="Times New Roman"/>
          <w:sz w:val="24"/>
          <w:szCs w:val="24"/>
        </w:rPr>
        <w:t>2</w:t>
      </w:r>
      <w:r w:rsidRPr="00B91ACD">
        <w:rPr>
          <w:rFonts w:ascii="Times New Roman" w:hAnsi="Times New Roman" w:cs="Times New Roman"/>
          <w:sz w:val="24"/>
          <w:szCs w:val="24"/>
        </w:rPr>
        <w:t>%</w:t>
      </w:r>
      <w:r w:rsidR="00996544">
        <w:rPr>
          <w:rFonts w:ascii="Times New Roman" w:hAnsi="Times New Roman" w:cs="Times New Roman"/>
          <w:sz w:val="24"/>
          <w:szCs w:val="24"/>
        </w:rPr>
        <w:t>, bet 2018.gadā par 0,5%</w:t>
      </w:r>
      <w:r w:rsidRPr="00B91ACD">
        <w:rPr>
          <w:rFonts w:ascii="Times New Roman" w:hAnsi="Times New Roman" w:cs="Times New Roman"/>
          <w:sz w:val="24"/>
          <w:szCs w:val="24"/>
        </w:rPr>
        <w:t>. Tikmēr bezdarba līmenis 2017.gadā varētu samaz</w:t>
      </w:r>
      <w:r w:rsidR="00996544">
        <w:rPr>
          <w:rFonts w:ascii="Times New Roman" w:hAnsi="Times New Roman" w:cs="Times New Roman"/>
          <w:sz w:val="24"/>
          <w:szCs w:val="24"/>
        </w:rPr>
        <w:t>ināties līdz vidēji 8,8</w:t>
      </w:r>
      <w:r w:rsidR="00DA25D6">
        <w:rPr>
          <w:rFonts w:ascii="Times New Roman" w:hAnsi="Times New Roman" w:cs="Times New Roman"/>
          <w:sz w:val="24"/>
          <w:szCs w:val="24"/>
        </w:rPr>
        <w:t>%, bet 2018.</w:t>
      </w:r>
      <w:r w:rsidR="00996544">
        <w:rPr>
          <w:rFonts w:ascii="Times New Roman" w:hAnsi="Times New Roman" w:cs="Times New Roman"/>
          <w:sz w:val="24"/>
          <w:szCs w:val="24"/>
        </w:rPr>
        <w:t>gadā vidēji līdz 8,1</w:t>
      </w:r>
      <w:r w:rsidR="00DA25D6">
        <w:rPr>
          <w:rFonts w:ascii="Times New Roman" w:hAnsi="Times New Roman" w:cs="Times New Roman"/>
          <w:sz w:val="24"/>
          <w:szCs w:val="24"/>
        </w:rPr>
        <w:t xml:space="preserve"> procentam</w:t>
      </w:r>
      <w:r w:rsidRPr="00B91ACD">
        <w:rPr>
          <w:rFonts w:ascii="Times New Roman" w:hAnsi="Times New Roman" w:cs="Times New Roman"/>
          <w:sz w:val="24"/>
          <w:szCs w:val="24"/>
        </w:rPr>
        <w:t>.</w:t>
      </w:r>
    </w:p>
    <w:p w:rsidR="00B91ACD" w:rsidRPr="00B91ACD"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 xml:space="preserve">Krīzes laikā atalgojuma korekcija, ņemot vērā ekonomikas samazināšanas apjomus, bija salīdzinoši mērena, lielāko daļu ekonomikas apjomu krituma kompensēja strādājošo skaita samazinājums. Stabilizējoties ekonomiskajai situācijai, kopš 2010.gada beigām ir atsācies atalgojuma pieaugums. 2016.gadā vidējā bruto darba samaksa, salīdzinot ar 2015.gadu, palielinājās par 5%, un bija 859 </w:t>
      </w:r>
      <w:proofErr w:type="spellStart"/>
      <w:r w:rsidRPr="00D0223C">
        <w:rPr>
          <w:rFonts w:ascii="Times New Roman" w:hAnsi="Times New Roman" w:cs="Times New Roman"/>
          <w:i/>
          <w:sz w:val="24"/>
          <w:szCs w:val="24"/>
        </w:rPr>
        <w:t>e</w:t>
      </w:r>
      <w:r w:rsidR="00D0223C" w:rsidRPr="00D0223C">
        <w:rPr>
          <w:rFonts w:ascii="Times New Roman" w:hAnsi="Times New Roman" w:cs="Times New Roman"/>
          <w:i/>
          <w:sz w:val="24"/>
          <w:szCs w:val="24"/>
        </w:rPr>
        <w:t>uro</w:t>
      </w:r>
      <w:proofErr w:type="spellEnd"/>
      <w:r w:rsidRPr="00B91ACD">
        <w:rPr>
          <w:rFonts w:ascii="Times New Roman" w:hAnsi="Times New Roman" w:cs="Times New Roman"/>
          <w:sz w:val="24"/>
          <w:szCs w:val="24"/>
        </w:rPr>
        <w:t xml:space="preserve">. Straujāk darba samaksa pieauga privātajā sektorā – par 5,8%, savukārt sabiedriskajā sektorā – par 3,7%. 2016.gadā vidējā neto darba samaksa pieauga par 4,7 procentiem. </w:t>
      </w:r>
    </w:p>
    <w:p w:rsidR="00996544" w:rsidRDefault="00B91ACD" w:rsidP="00082EF3">
      <w:pPr>
        <w:jc w:val="both"/>
        <w:rPr>
          <w:rFonts w:ascii="Times New Roman" w:hAnsi="Times New Roman" w:cs="Times New Roman"/>
          <w:sz w:val="24"/>
          <w:szCs w:val="24"/>
        </w:rPr>
      </w:pPr>
      <w:r w:rsidRPr="00B91ACD">
        <w:rPr>
          <w:rFonts w:ascii="Times New Roman" w:hAnsi="Times New Roman" w:cs="Times New Roman"/>
          <w:sz w:val="24"/>
          <w:szCs w:val="24"/>
        </w:rPr>
        <w:t xml:space="preserve">Līdz ar nominālā atalgojuma pieaugumu pakāpeniski palielinās reālā darba alga. Kopš 2013.gada reālās algas pieaugums ir kļuvis straujāks. 2016.gadā reālā alga palielinājās par 4,6%. Pēdējo gadu laikā reālās algas pieaugumu pamatā nosaka straujais nominālās algas </w:t>
      </w:r>
      <w:r w:rsidRPr="00B91ACD">
        <w:rPr>
          <w:rFonts w:ascii="Times New Roman" w:hAnsi="Times New Roman" w:cs="Times New Roman"/>
          <w:sz w:val="24"/>
          <w:szCs w:val="24"/>
        </w:rPr>
        <w:lastRenderedPageBreak/>
        <w:t xml:space="preserve">kāpums, kā arī mērenās patēriņa cenu izmaiņas. </w:t>
      </w:r>
      <w:r w:rsidR="00D0223C">
        <w:rPr>
          <w:rFonts w:ascii="Times New Roman" w:hAnsi="Times New Roman" w:cs="Times New Roman"/>
          <w:sz w:val="24"/>
          <w:szCs w:val="24"/>
        </w:rPr>
        <w:t>Ekonomikas ministrija</w:t>
      </w:r>
      <w:r w:rsidR="00996544">
        <w:rPr>
          <w:rFonts w:ascii="Times New Roman" w:hAnsi="Times New Roman" w:cs="Times New Roman"/>
          <w:sz w:val="24"/>
          <w:szCs w:val="24"/>
        </w:rPr>
        <w:t xml:space="preserve"> prognozē, ka </w:t>
      </w:r>
      <w:r w:rsidRPr="00B91ACD">
        <w:rPr>
          <w:rFonts w:ascii="Times New Roman" w:hAnsi="Times New Roman" w:cs="Times New Roman"/>
          <w:sz w:val="24"/>
          <w:szCs w:val="24"/>
        </w:rPr>
        <w:t xml:space="preserve">2017.gadā </w:t>
      </w:r>
      <w:r w:rsidR="00996544">
        <w:rPr>
          <w:rFonts w:ascii="Times New Roman" w:hAnsi="Times New Roman" w:cs="Times New Roman"/>
          <w:sz w:val="24"/>
          <w:szCs w:val="24"/>
        </w:rPr>
        <w:t>vidējā bruto alga varētu pie</w:t>
      </w:r>
      <w:r w:rsidR="005661C2">
        <w:rPr>
          <w:rFonts w:ascii="Times New Roman" w:hAnsi="Times New Roman" w:cs="Times New Roman"/>
          <w:sz w:val="24"/>
          <w:szCs w:val="24"/>
        </w:rPr>
        <w:t>augt 6,9%, bet 2018</w:t>
      </w:r>
      <w:r w:rsidR="00996544">
        <w:rPr>
          <w:rFonts w:ascii="Times New Roman" w:hAnsi="Times New Roman" w:cs="Times New Roman"/>
          <w:sz w:val="24"/>
          <w:szCs w:val="24"/>
        </w:rPr>
        <w:t xml:space="preserve">.gadā – </w:t>
      </w:r>
      <w:r w:rsidR="005661C2">
        <w:rPr>
          <w:rFonts w:ascii="Times New Roman" w:hAnsi="Times New Roman" w:cs="Times New Roman"/>
          <w:sz w:val="24"/>
          <w:szCs w:val="24"/>
        </w:rPr>
        <w:t xml:space="preserve">par </w:t>
      </w:r>
      <w:r w:rsidR="00996544">
        <w:rPr>
          <w:rFonts w:ascii="Times New Roman" w:hAnsi="Times New Roman" w:cs="Times New Roman"/>
          <w:sz w:val="24"/>
          <w:szCs w:val="24"/>
        </w:rPr>
        <w:t>7,1</w:t>
      </w:r>
      <w:r w:rsidR="00DA25D6">
        <w:rPr>
          <w:rFonts w:ascii="Times New Roman" w:hAnsi="Times New Roman" w:cs="Times New Roman"/>
          <w:sz w:val="24"/>
          <w:szCs w:val="24"/>
        </w:rPr>
        <w:t xml:space="preserve"> procentu</w:t>
      </w:r>
      <w:r w:rsidR="00996544">
        <w:rPr>
          <w:rFonts w:ascii="Times New Roman" w:hAnsi="Times New Roman" w:cs="Times New Roman"/>
          <w:sz w:val="24"/>
          <w:szCs w:val="24"/>
        </w:rPr>
        <w:t>.</w:t>
      </w:r>
    </w:p>
    <w:p w:rsidR="00B91ACD" w:rsidRPr="00B91ACD" w:rsidRDefault="00B91ACD" w:rsidP="00B91ACD">
      <w:pPr>
        <w:rPr>
          <w:rFonts w:ascii="Times New Roman" w:hAnsi="Times New Roman" w:cs="Times New Roman"/>
          <w:sz w:val="24"/>
          <w:szCs w:val="24"/>
        </w:rPr>
      </w:pPr>
    </w:p>
    <w:p w:rsidR="00B91ACD" w:rsidRPr="000C57A0" w:rsidRDefault="003A01CD" w:rsidP="000C57A0">
      <w:pPr>
        <w:jc w:val="center"/>
        <w:rPr>
          <w:rFonts w:ascii="Times New Roman" w:hAnsi="Times New Roman" w:cs="Times New Roman"/>
          <w:b/>
          <w:sz w:val="28"/>
          <w:szCs w:val="28"/>
        </w:rPr>
      </w:pPr>
      <w:r w:rsidRPr="000C57A0">
        <w:rPr>
          <w:rFonts w:ascii="Times New Roman" w:hAnsi="Times New Roman" w:cs="Times New Roman"/>
          <w:b/>
          <w:sz w:val="28"/>
          <w:szCs w:val="28"/>
        </w:rPr>
        <w:t>Galvenie m</w:t>
      </w:r>
      <w:r w:rsidR="00B91ACD" w:rsidRPr="000C57A0">
        <w:rPr>
          <w:rFonts w:ascii="Times New Roman" w:hAnsi="Times New Roman" w:cs="Times New Roman"/>
          <w:b/>
          <w:sz w:val="28"/>
          <w:szCs w:val="28"/>
        </w:rPr>
        <w:t>akroekonomiskie rādītāji un to prognozes</w:t>
      </w:r>
    </w:p>
    <w:tbl>
      <w:tblPr>
        <w:tblStyle w:val="ListTable2"/>
        <w:tblW w:w="8615" w:type="dxa"/>
        <w:tblLook w:val="04A0" w:firstRow="1" w:lastRow="0" w:firstColumn="1" w:lastColumn="0" w:noHBand="0" w:noVBand="1"/>
      </w:tblPr>
      <w:tblGrid>
        <w:gridCol w:w="4535"/>
        <w:gridCol w:w="1020"/>
        <w:gridCol w:w="1020"/>
        <w:gridCol w:w="1020"/>
        <w:gridCol w:w="1020"/>
      </w:tblGrid>
      <w:tr w:rsidR="00B91ACD" w:rsidRPr="00B91ACD" w:rsidTr="00835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vAlign w:val="center"/>
          </w:tcPr>
          <w:p w:rsidR="00B91ACD" w:rsidRPr="00B91ACD" w:rsidRDefault="00B91ACD" w:rsidP="00835547">
            <w:pPr>
              <w:jc w:val="center"/>
              <w:rPr>
                <w:rFonts w:ascii="Times New Roman" w:hAnsi="Times New Roman" w:cs="Times New Roman"/>
              </w:rPr>
            </w:pPr>
          </w:p>
        </w:tc>
        <w:tc>
          <w:tcPr>
            <w:tcW w:w="1020" w:type="dxa"/>
            <w:vAlign w:val="center"/>
          </w:tcPr>
          <w:p w:rsidR="00B91ACD" w:rsidRPr="00B91ACD" w:rsidRDefault="00835547" w:rsidP="008355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2015</w:t>
            </w:r>
          </w:p>
        </w:tc>
        <w:tc>
          <w:tcPr>
            <w:tcW w:w="1020" w:type="dxa"/>
            <w:vAlign w:val="center"/>
          </w:tcPr>
          <w:p w:rsidR="00B91ACD" w:rsidRPr="00B91ACD" w:rsidRDefault="00835547" w:rsidP="008355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2016</w:t>
            </w:r>
          </w:p>
        </w:tc>
        <w:tc>
          <w:tcPr>
            <w:tcW w:w="1020" w:type="dxa"/>
            <w:vAlign w:val="center"/>
          </w:tcPr>
          <w:p w:rsidR="00B91ACD" w:rsidRPr="00B91ACD" w:rsidRDefault="00835547" w:rsidP="008355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2017p</w:t>
            </w:r>
          </w:p>
        </w:tc>
        <w:tc>
          <w:tcPr>
            <w:tcW w:w="1020" w:type="dxa"/>
            <w:vAlign w:val="center"/>
          </w:tcPr>
          <w:p w:rsidR="00B91ACD" w:rsidRPr="00B91ACD" w:rsidRDefault="00835547" w:rsidP="008355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2018p</w:t>
            </w:r>
          </w:p>
        </w:tc>
      </w:tr>
      <w:tr w:rsidR="008D410E" w:rsidRPr="00B91ACD" w:rsidTr="00EB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8D410E" w:rsidRPr="00B91ACD" w:rsidRDefault="008D410E" w:rsidP="008D410E">
            <w:pPr>
              <w:pStyle w:val="BodyText2"/>
              <w:spacing w:after="0" w:line="240" w:lineRule="auto"/>
              <w:ind w:left="179" w:hanging="179"/>
              <w:rPr>
                <w:b w:val="0"/>
                <w:sz w:val="22"/>
                <w:szCs w:val="22"/>
              </w:rPr>
            </w:pPr>
            <w:r w:rsidRPr="00B91ACD">
              <w:rPr>
                <w:b w:val="0"/>
                <w:sz w:val="22"/>
                <w:szCs w:val="22"/>
              </w:rPr>
              <w:t xml:space="preserve">Iekšzemes kopprodukts </w:t>
            </w:r>
            <w:r w:rsidRPr="00B91ACD">
              <w:rPr>
                <w:b w:val="0"/>
                <w:sz w:val="22"/>
                <w:szCs w:val="22"/>
              </w:rPr>
              <w:br/>
            </w:r>
            <w:r w:rsidRPr="00B91ACD">
              <w:rPr>
                <w:b w:val="0"/>
                <w:sz w:val="20"/>
                <w:szCs w:val="22"/>
              </w:rPr>
              <w:t>salīdzināmās cenās, milj. EUR</w:t>
            </w:r>
          </w:p>
        </w:tc>
        <w:tc>
          <w:tcPr>
            <w:tcW w:w="1020" w:type="dxa"/>
            <w:vAlign w:val="center"/>
          </w:tcPr>
          <w:p w:rsidR="008D410E" w:rsidRPr="00B91ACD" w:rsidRDefault="008D410E" w:rsidP="008D41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21,4</w:t>
            </w:r>
          </w:p>
        </w:tc>
        <w:tc>
          <w:tcPr>
            <w:tcW w:w="1020" w:type="dxa"/>
            <w:vAlign w:val="center"/>
          </w:tcPr>
          <w:p w:rsidR="008D410E" w:rsidRPr="00B91ACD" w:rsidRDefault="008D410E" w:rsidP="008D41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21,8</w:t>
            </w:r>
          </w:p>
        </w:tc>
        <w:tc>
          <w:tcPr>
            <w:tcW w:w="1020" w:type="dxa"/>
            <w:vAlign w:val="center"/>
          </w:tcPr>
          <w:p w:rsidR="008D410E" w:rsidRPr="008D410E" w:rsidRDefault="008D410E" w:rsidP="00EB73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410E">
              <w:rPr>
                <w:rFonts w:ascii="Times New Roman" w:hAnsi="Times New Roman" w:cs="Times New Roman"/>
              </w:rPr>
              <w:t>22,5</w:t>
            </w:r>
          </w:p>
        </w:tc>
        <w:tc>
          <w:tcPr>
            <w:tcW w:w="1020" w:type="dxa"/>
            <w:vAlign w:val="center"/>
          </w:tcPr>
          <w:p w:rsidR="008D410E" w:rsidRPr="008D410E" w:rsidRDefault="008D410E" w:rsidP="00EB73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410E">
              <w:rPr>
                <w:rFonts w:ascii="Times New Roman" w:hAnsi="Times New Roman" w:cs="Times New Roman"/>
              </w:rPr>
              <w:t>23,4</w:t>
            </w:r>
          </w:p>
        </w:tc>
      </w:tr>
      <w:tr w:rsidR="008D410E" w:rsidRPr="00B91ACD" w:rsidTr="00EB7368">
        <w:tc>
          <w:tcPr>
            <w:cnfStyle w:val="001000000000" w:firstRow="0" w:lastRow="0" w:firstColumn="1" w:lastColumn="0" w:oddVBand="0" w:evenVBand="0" w:oddHBand="0" w:evenHBand="0" w:firstRowFirstColumn="0" w:firstRowLastColumn="0" w:lastRowFirstColumn="0" w:lastRowLastColumn="0"/>
            <w:tcW w:w="4535" w:type="dxa"/>
          </w:tcPr>
          <w:p w:rsidR="008D410E" w:rsidRPr="00B91ACD" w:rsidRDefault="008D410E" w:rsidP="008D410E">
            <w:pPr>
              <w:ind w:left="179" w:hanging="179"/>
              <w:rPr>
                <w:rFonts w:ascii="Times New Roman" w:hAnsi="Times New Roman"/>
                <w:b w:val="0"/>
              </w:rPr>
            </w:pPr>
            <w:r w:rsidRPr="00835547">
              <w:rPr>
                <w:rFonts w:ascii="Times New Roman" w:hAnsi="Times New Roman" w:cs="Times New Roman"/>
                <w:b w:val="0"/>
              </w:rPr>
              <w:t>Iekšzemes kopprodukts</w:t>
            </w:r>
            <w:r>
              <w:rPr>
                <w:rFonts w:ascii="Times New Roman" w:hAnsi="Times New Roman"/>
                <w:b w:val="0"/>
              </w:rPr>
              <w:br/>
            </w:r>
            <w:r w:rsidRPr="00835547">
              <w:rPr>
                <w:rFonts w:ascii="Times New Roman" w:hAnsi="Times New Roman"/>
                <w:b w:val="0"/>
                <w:sz w:val="20"/>
              </w:rPr>
              <w:t>faktiskajās cenās, milj. EUR</w:t>
            </w:r>
          </w:p>
        </w:tc>
        <w:tc>
          <w:tcPr>
            <w:tcW w:w="1020" w:type="dxa"/>
            <w:vAlign w:val="center"/>
          </w:tcPr>
          <w:p w:rsidR="008D410E" w:rsidRPr="00B91ACD" w:rsidRDefault="008D410E" w:rsidP="008D41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24,4</w:t>
            </w:r>
          </w:p>
        </w:tc>
        <w:tc>
          <w:tcPr>
            <w:tcW w:w="1020" w:type="dxa"/>
            <w:vAlign w:val="center"/>
          </w:tcPr>
          <w:p w:rsidR="008D410E" w:rsidRPr="00B91ACD" w:rsidRDefault="008D410E" w:rsidP="008D41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25,0</w:t>
            </w:r>
          </w:p>
        </w:tc>
        <w:tc>
          <w:tcPr>
            <w:tcW w:w="1020" w:type="dxa"/>
            <w:vAlign w:val="center"/>
          </w:tcPr>
          <w:p w:rsidR="008D410E" w:rsidRPr="008D410E" w:rsidRDefault="008D410E" w:rsidP="00EB73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410E">
              <w:rPr>
                <w:rFonts w:ascii="Times New Roman" w:hAnsi="Times New Roman" w:cs="Times New Roman"/>
              </w:rPr>
              <w:t>26,4</w:t>
            </w:r>
          </w:p>
        </w:tc>
        <w:tc>
          <w:tcPr>
            <w:tcW w:w="1020" w:type="dxa"/>
            <w:vAlign w:val="center"/>
          </w:tcPr>
          <w:p w:rsidR="008D410E" w:rsidRPr="008D410E" w:rsidRDefault="008D410E" w:rsidP="00EB73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410E">
              <w:rPr>
                <w:rFonts w:ascii="Times New Roman" w:hAnsi="Times New Roman" w:cs="Times New Roman"/>
              </w:rPr>
              <w:t>28,1</w:t>
            </w:r>
          </w:p>
        </w:tc>
      </w:tr>
      <w:tr w:rsidR="00B91ACD" w:rsidRPr="00B91ACD" w:rsidTr="0053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B91ACD" w:rsidRPr="00B91ACD" w:rsidRDefault="00B91ACD" w:rsidP="00835547">
            <w:pPr>
              <w:ind w:left="179" w:hanging="179"/>
              <w:rPr>
                <w:rFonts w:ascii="Times New Roman" w:hAnsi="Times New Roman"/>
                <w:b w:val="0"/>
              </w:rPr>
            </w:pPr>
            <w:r w:rsidRPr="00B91ACD">
              <w:rPr>
                <w:rFonts w:ascii="Times New Roman" w:hAnsi="Times New Roman"/>
                <w:b w:val="0"/>
              </w:rPr>
              <w:t xml:space="preserve">IKP pieaugums </w:t>
            </w:r>
            <w:r w:rsidR="00835547">
              <w:rPr>
                <w:rFonts w:ascii="Times New Roman" w:hAnsi="Times New Roman"/>
                <w:b w:val="0"/>
              </w:rPr>
              <w:br/>
            </w:r>
            <w:r w:rsidRPr="00835547">
              <w:rPr>
                <w:rFonts w:ascii="Times New Roman" w:hAnsi="Times New Roman"/>
                <w:b w:val="0"/>
                <w:sz w:val="20"/>
              </w:rPr>
              <w:t>salīdzi</w:t>
            </w:r>
            <w:r w:rsidR="00835547" w:rsidRPr="00835547">
              <w:rPr>
                <w:rFonts w:ascii="Times New Roman" w:hAnsi="Times New Roman"/>
                <w:b w:val="0"/>
                <w:sz w:val="20"/>
              </w:rPr>
              <w:t>nāmās cenās, %</w:t>
            </w:r>
          </w:p>
        </w:tc>
        <w:tc>
          <w:tcPr>
            <w:tcW w:w="1020" w:type="dxa"/>
            <w:vAlign w:val="center"/>
          </w:tcPr>
          <w:p w:rsidR="00B91ACD" w:rsidRPr="00B91ACD" w:rsidRDefault="00835547"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8F2CE8">
              <w:rPr>
                <w:rFonts w:ascii="Times New Roman" w:hAnsi="Times New Roman" w:cs="Times New Roman"/>
              </w:rPr>
              <w:t>,</w:t>
            </w:r>
            <w:r>
              <w:rPr>
                <w:rFonts w:ascii="Times New Roman" w:hAnsi="Times New Roman" w:cs="Times New Roman"/>
              </w:rPr>
              <w:t>7</w:t>
            </w:r>
          </w:p>
        </w:tc>
        <w:tc>
          <w:tcPr>
            <w:tcW w:w="1020" w:type="dxa"/>
            <w:vAlign w:val="center"/>
          </w:tcPr>
          <w:p w:rsidR="00B91ACD" w:rsidRPr="00B91ACD" w:rsidRDefault="00835547"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8F2CE8">
              <w:rPr>
                <w:rFonts w:ascii="Times New Roman" w:hAnsi="Times New Roman" w:cs="Times New Roman"/>
              </w:rPr>
              <w:t>,</w:t>
            </w:r>
            <w:r>
              <w:rPr>
                <w:rFonts w:ascii="Times New Roman" w:hAnsi="Times New Roman" w:cs="Times New Roman"/>
              </w:rPr>
              <w:t>0</w:t>
            </w:r>
          </w:p>
        </w:tc>
        <w:tc>
          <w:tcPr>
            <w:tcW w:w="1020" w:type="dxa"/>
            <w:vAlign w:val="center"/>
          </w:tcPr>
          <w:p w:rsidR="00B91ACD" w:rsidRPr="00B91ACD" w:rsidRDefault="00835547"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8F2CE8">
              <w:rPr>
                <w:rFonts w:ascii="Times New Roman" w:hAnsi="Times New Roman" w:cs="Times New Roman"/>
              </w:rPr>
              <w:t>,</w:t>
            </w:r>
            <w:r w:rsidR="00EB7368">
              <w:rPr>
                <w:rFonts w:ascii="Times New Roman" w:hAnsi="Times New Roman" w:cs="Times New Roman"/>
              </w:rPr>
              <w:t>3</w:t>
            </w:r>
          </w:p>
        </w:tc>
        <w:tc>
          <w:tcPr>
            <w:tcW w:w="1020" w:type="dxa"/>
            <w:vAlign w:val="center"/>
          </w:tcPr>
          <w:p w:rsidR="00B91ACD" w:rsidRPr="00B91ACD" w:rsidRDefault="009A36E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r>
      <w:tr w:rsidR="00B91ACD" w:rsidRPr="00B91ACD" w:rsidTr="00533ED8">
        <w:tc>
          <w:tcPr>
            <w:cnfStyle w:val="001000000000" w:firstRow="0" w:lastRow="0" w:firstColumn="1" w:lastColumn="0" w:oddVBand="0" w:evenVBand="0" w:oddHBand="0" w:evenHBand="0" w:firstRowFirstColumn="0" w:firstRowLastColumn="0" w:lastRowFirstColumn="0" w:lastRowLastColumn="0"/>
            <w:tcW w:w="4535" w:type="dxa"/>
          </w:tcPr>
          <w:p w:rsidR="00B91ACD" w:rsidRPr="00B91ACD" w:rsidRDefault="00B91ACD" w:rsidP="00835547">
            <w:pPr>
              <w:ind w:left="179" w:hanging="179"/>
              <w:rPr>
                <w:rFonts w:ascii="Times New Roman" w:hAnsi="Times New Roman"/>
                <w:b w:val="0"/>
              </w:rPr>
            </w:pPr>
            <w:r w:rsidRPr="00B91ACD">
              <w:rPr>
                <w:rFonts w:ascii="Times New Roman" w:hAnsi="Times New Roman"/>
                <w:b w:val="0"/>
              </w:rPr>
              <w:t xml:space="preserve">IKP pieaugums </w:t>
            </w:r>
            <w:r w:rsidR="00835547">
              <w:rPr>
                <w:rFonts w:ascii="Times New Roman" w:hAnsi="Times New Roman"/>
                <w:b w:val="0"/>
              </w:rPr>
              <w:br/>
            </w:r>
            <w:r w:rsidR="00835547" w:rsidRPr="00835547">
              <w:rPr>
                <w:rFonts w:ascii="Times New Roman" w:hAnsi="Times New Roman"/>
                <w:b w:val="0"/>
                <w:sz w:val="20"/>
              </w:rPr>
              <w:t>faktiskajās cenās, %</w:t>
            </w:r>
          </w:p>
        </w:tc>
        <w:tc>
          <w:tcPr>
            <w:tcW w:w="1020" w:type="dxa"/>
            <w:vAlign w:val="center"/>
          </w:tcPr>
          <w:p w:rsidR="00B91ACD" w:rsidRPr="00B91ACD" w:rsidRDefault="00835547"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8F2CE8">
              <w:rPr>
                <w:rFonts w:ascii="Times New Roman" w:hAnsi="Times New Roman" w:cs="Times New Roman"/>
              </w:rPr>
              <w:t>,</w:t>
            </w:r>
            <w:r>
              <w:rPr>
                <w:rFonts w:ascii="Times New Roman" w:hAnsi="Times New Roman" w:cs="Times New Roman"/>
              </w:rPr>
              <w:t>1</w:t>
            </w:r>
          </w:p>
        </w:tc>
        <w:tc>
          <w:tcPr>
            <w:tcW w:w="1020" w:type="dxa"/>
            <w:vAlign w:val="center"/>
          </w:tcPr>
          <w:p w:rsidR="00B91ACD" w:rsidRPr="00B91ACD" w:rsidRDefault="00835547"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8F2CE8">
              <w:rPr>
                <w:rFonts w:ascii="Times New Roman" w:hAnsi="Times New Roman" w:cs="Times New Roman"/>
              </w:rPr>
              <w:t>,</w:t>
            </w:r>
            <w:r>
              <w:rPr>
                <w:rFonts w:ascii="Times New Roman" w:hAnsi="Times New Roman" w:cs="Times New Roman"/>
              </w:rPr>
              <w:t>7</w:t>
            </w:r>
          </w:p>
        </w:tc>
        <w:tc>
          <w:tcPr>
            <w:tcW w:w="1020" w:type="dxa"/>
            <w:vAlign w:val="center"/>
          </w:tcPr>
          <w:p w:rsidR="00B91ACD" w:rsidRPr="00B91ACD" w:rsidRDefault="003A01CD"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r w:rsidR="008F2CE8">
              <w:rPr>
                <w:rFonts w:ascii="Times New Roman" w:hAnsi="Times New Roman" w:cs="Times New Roman"/>
              </w:rPr>
              <w:t>,</w:t>
            </w:r>
            <w:r w:rsidR="00EB7368">
              <w:rPr>
                <w:rFonts w:ascii="Times New Roman" w:hAnsi="Times New Roman" w:cs="Times New Roman"/>
              </w:rPr>
              <w:t>5</w:t>
            </w:r>
          </w:p>
        </w:tc>
        <w:tc>
          <w:tcPr>
            <w:tcW w:w="1020" w:type="dxa"/>
            <w:vAlign w:val="center"/>
          </w:tcPr>
          <w:p w:rsidR="00B91ACD" w:rsidRPr="00B91ACD" w:rsidRDefault="009A36E5"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w:t>
            </w:r>
          </w:p>
        </w:tc>
      </w:tr>
      <w:tr w:rsidR="009A36E5" w:rsidRPr="0088635A" w:rsidTr="0053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9A36E5" w:rsidRPr="00B91ACD" w:rsidRDefault="009A36E5" w:rsidP="009A36E5">
            <w:pPr>
              <w:ind w:left="179" w:hanging="179"/>
              <w:rPr>
                <w:rFonts w:ascii="Times New Roman" w:hAnsi="Times New Roman"/>
                <w:b w:val="0"/>
              </w:rPr>
            </w:pPr>
            <w:r w:rsidRPr="00B91ACD">
              <w:rPr>
                <w:rFonts w:ascii="Times New Roman" w:hAnsi="Times New Roman"/>
                <w:b w:val="0"/>
              </w:rPr>
              <w:t xml:space="preserve">Nodarbināto iedzīvotāju skaits </w:t>
            </w:r>
            <w:r>
              <w:rPr>
                <w:rFonts w:ascii="Times New Roman" w:hAnsi="Times New Roman"/>
                <w:b w:val="0"/>
              </w:rPr>
              <w:br/>
            </w:r>
            <w:r w:rsidRPr="00835547">
              <w:rPr>
                <w:rFonts w:ascii="Times New Roman" w:hAnsi="Times New Roman"/>
                <w:b w:val="0"/>
                <w:sz w:val="20"/>
              </w:rPr>
              <w:t>tūkstošos</w:t>
            </w:r>
          </w:p>
        </w:tc>
        <w:tc>
          <w:tcPr>
            <w:tcW w:w="1020" w:type="dxa"/>
            <w:vAlign w:val="center"/>
          </w:tcPr>
          <w:p w:rsidR="009A36E5" w:rsidRPr="00B91ACD" w:rsidRDefault="009A36E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896</w:t>
            </w:r>
            <w:r w:rsidR="008F2CE8">
              <w:rPr>
                <w:rFonts w:ascii="Times New Roman" w:hAnsi="Times New Roman" w:cs="Times New Roman"/>
              </w:rPr>
              <w:t>,</w:t>
            </w:r>
            <w:r>
              <w:rPr>
                <w:rFonts w:ascii="Times New Roman" w:hAnsi="Times New Roman" w:cs="Times New Roman"/>
              </w:rPr>
              <w:t>1</w:t>
            </w:r>
          </w:p>
        </w:tc>
        <w:tc>
          <w:tcPr>
            <w:tcW w:w="1020" w:type="dxa"/>
            <w:vAlign w:val="center"/>
          </w:tcPr>
          <w:p w:rsidR="009A36E5" w:rsidRPr="0088635A" w:rsidRDefault="009A36E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35A">
              <w:rPr>
                <w:rFonts w:ascii="Times New Roman" w:hAnsi="Times New Roman" w:cs="Times New Roman"/>
              </w:rPr>
              <w:t>893,3</w:t>
            </w:r>
          </w:p>
        </w:tc>
        <w:tc>
          <w:tcPr>
            <w:tcW w:w="1020" w:type="dxa"/>
            <w:vAlign w:val="center"/>
          </w:tcPr>
          <w:p w:rsidR="009A36E5" w:rsidRPr="0088635A" w:rsidRDefault="009A36E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35A">
              <w:rPr>
                <w:rFonts w:ascii="Times New Roman" w:hAnsi="Times New Roman" w:cs="Times New Roman"/>
              </w:rPr>
              <w:t>894,9</w:t>
            </w:r>
          </w:p>
        </w:tc>
        <w:tc>
          <w:tcPr>
            <w:tcW w:w="1020" w:type="dxa"/>
            <w:vAlign w:val="center"/>
          </w:tcPr>
          <w:p w:rsidR="009A36E5" w:rsidRPr="0088635A" w:rsidRDefault="009A36E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35A">
              <w:rPr>
                <w:rFonts w:ascii="Times New Roman" w:hAnsi="Times New Roman" w:cs="Times New Roman"/>
              </w:rPr>
              <w:t>899,2</w:t>
            </w:r>
          </w:p>
        </w:tc>
      </w:tr>
      <w:tr w:rsidR="00A44565" w:rsidRPr="00B91ACD" w:rsidTr="00533ED8">
        <w:tc>
          <w:tcPr>
            <w:cnfStyle w:val="001000000000" w:firstRow="0" w:lastRow="0" w:firstColumn="1" w:lastColumn="0" w:oddVBand="0" w:evenVBand="0" w:oddHBand="0" w:evenHBand="0" w:firstRowFirstColumn="0" w:firstRowLastColumn="0" w:lastRowFirstColumn="0" w:lastRowLastColumn="0"/>
            <w:tcW w:w="4535" w:type="dxa"/>
          </w:tcPr>
          <w:p w:rsidR="00A44565" w:rsidRPr="00B91ACD" w:rsidRDefault="00A44565" w:rsidP="00A44565">
            <w:pPr>
              <w:ind w:left="179" w:hanging="179"/>
              <w:rPr>
                <w:rFonts w:ascii="Times New Roman" w:hAnsi="Times New Roman"/>
                <w:b w:val="0"/>
              </w:rPr>
            </w:pPr>
            <w:r w:rsidRPr="00B91ACD">
              <w:rPr>
                <w:rFonts w:ascii="Times New Roman" w:hAnsi="Times New Roman"/>
                <w:b w:val="0"/>
              </w:rPr>
              <w:t>Bezdarba līmenis</w:t>
            </w:r>
            <w:r>
              <w:rPr>
                <w:rFonts w:ascii="Times New Roman" w:hAnsi="Times New Roman"/>
                <w:b w:val="0"/>
              </w:rPr>
              <w:br/>
            </w:r>
            <w:r w:rsidRPr="00835547">
              <w:rPr>
                <w:rFonts w:ascii="Times New Roman" w:hAnsi="Times New Roman"/>
                <w:b w:val="0"/>
                <w:sz w:val="20"/>
              </w:rPr>
              <w:t>procentos</w:t>
            </w:r>
          </w:p>
        </w:tc>
        <w:tc>
          <w:tcPr>
            <w:tcW w:w="1020" w:type="dxa"/>
            <w:vAlign w:val="center"/>
          </w:tcPr>
          <w:p w:rsidR="00A44565" w:rsidRPr="00B91ACD" w:rsidRDefault="00A44565"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r w:rsidR="008F2CE8">
              <w:rPr>
                <w:rFonts w:ascii="Times New Roman" w:hAnsi="Times New Roman" w:cs="Times New Roman"/>
              </w:rPr>
              <w:t>,</w:t>
            </w:r>
            <w:r>
              <w:rPr>
                <w:rFonts w:ascii="Times New Roman" w:hAnsi="Times New Roman" w:cs="Times New Roman"/>
              </w:rPr>
              <w:t>9</w:t>
            </w:r>
          </w:p>
        </w:tc>
        <w:tc>
          <w:tcPr>
            <w:tcW w:w="1020" w:type="dxa"/>
            <w:vAlign w:val="center"/>
          </w:tcPr>
          <w:p w:rsidR="00A44565" w:rsidRPr="00B91ACD" w:rsidRDefault="00A44565"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r w:rsidR="008F2CE8">
              <w:rPr>
                <w:rFonts w:ascii="Times New Roman" w:hAnsi="Times New Roman" w:cs="Times New Roman"/>
              </w:rPr>
              <w:t>,</w:t>
            </w:r>
            <w:r>
              <w:rPr>
                <w:rFonts w:ascii="Times New Roman" w:hAnsi="Times New Roman" w:cs="Times New Roman"/>
              </w:rPr>
              <w:t>6</w:t>
            </w:r>
          </w:p>
        </w:tc>
        <w:tc>
          <w:tcPr>
            <w:tcW w:w="1020" w:type="dxa"/>
            <w:vAlign w:val="center"/>
          </w:tcPr>
          <w:p w:rsidR="00A44565" w:rsidRPr="00533ED8" w:rsidRDefault="00A44565"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8,8</w:t>
            </w:r>
          </w:p>
        </w:tc>
        <w:tc>
          <w:tcPr>
            <w:tcW w:w="1020" w:type="dxa"/>
            <w:vAlign w:val="center"/>
          </w:tcPr>
          <w:p w:rsidR="00A44565" w:rsidRPr="00533ED8" w:rsidRDefault="00A44565"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8,1</w:t>
            </w:r>
          </w:p>
        </w:tc>
      </w:tr>
      <w:tr w:rsidR="00724A46" w:rsidRPr="00B91ACD" w:rsidTr="0053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724A46" w:rsidRPr="00B91ACD" w:rsidRDefault="00724A46" w:rsidP="00724A46">
            <w:pPr>
              <w:ind w:left="179" w:hanging="179"/>
              <w:rPr>
                <w:rFonts w:ascii="Times New Roman" w:hAnsi="Times New Roman"/>
                <w:b w:val="0"/>
              </w:rPr>
            </w:pPr>
            <w:r w:rsidRPr="00B91ACD">
              <w:rPr>
                <w:rFonts w:ascii="Times New Roman" w:hAnsi="Times New Roman"/>
                <w:b w:val="0"/>
              </w:rPr>
              <w:t xml:space="preserve">Produktivitāte </w:t>
            </w:r>
            <w:r>
              <w:rPr>
                <w:rFonts w:ascii="Times New Roman" w:hAnsi="Times New Roman"/>
                <w:b w:val="0"/>
              </w:rPr>
              <w:br/>
            </w:r>
            <w:r w:rsidRPr="00835547">
              <w:rPr>
                <w:rFonts w:ascii="Times New Roman" w:hAnsi="Times New Roman"/>
                <w:b w:val="0"/>
                <w:sz w:val="20"/>
              </w:rPr>
              <w:t>salīdzināmās cenās</w:t>
            </w:r>
            <w:r>
              <w:rPr>
                <w:rFonts w:ascii="Times New Roman" w:hAnsi="Times New Roman"/>
                <w:b w:val="0"/>
                <w:sz w:val="20"/>
              </w:rPr>
              <w:t>, tūkst. EUR</w:t>
            </w:r>
          </w:p>
        </w:tc>
        <w:tc>
          <w:tcPr>
            <w:tcW w:w="1020" w:type="dxa"/>
            <w:vAlign w:val="center"/>
          </w:tcPr>
          <w:p w:rsidR="00724A46" w:rsidRPr="00533ED8" w:rsidRDefault="00724A46"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23,8</w:t>
            </w:r>
          </w:p>
        </w:tc>
        <w:tc>
          <w:tcPr>
            <w:tcW w:w="1020" w:type="dxa"/>
            <w:vAlign w:val="center"/>
          </w:tcPr>
          <w:p w:rsidR="00724A46" w:rsidRPr="00533ED8" w:rsidRDefault="00724A46"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24,4</w:t>
            </w:r>
          </w:p>
        </w:tc>
        <w:tc>
          <w:tcPr>
            <w:tcW w:w="1020" w:type="dxa"/>
            <w:vAlign w:val="center"/>
          </w:tcPr>
          <w:p w:rsidR="00724A46" w:rsidRPr="00EB7368" w:rsidRDefault="00724A46"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7368">
              <w:rPr>
                <w:rFonts w:ascii="Times New Roman" w:hAnsi="Times New Roman" w:cs="Times New Roman"/>
              </w:rPr>
              <w:t>25,1</w:t>
            </w:r>
          </w:p>
        </w:tc>
        <w:tc>
          <w:tcPr>
            <w:tcW w:w="1020" w:type="dxa"/>
            <w:vAlign w:val="center"/>
          </w:tcPr>
          <w:p w:rsidR="00724A46" w:rsidRPr="00533ED8" w:rsidRDefault="00EB7368"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26,0</w:t>
            </w:r>
          </w:p>
        </w:tc>
      </w:tr>
      <w:tr w:rsidR="00724A46" w:rsidRPr="00B91ACD" w:rsidTr="00533ED8">
        <w:tc>
          <w:tcPr>
            <w:cnfStyle w:val="001000000000" w:firstRow="0" w:lastRow="0" w:firstColumn="1" w:lastColumn="0" w:oddVBand="0" w:evenVBand="0" w:oddHBand="0" w:evenHBand="0" w:firstRowFirstColumn="0" w:firstRowLastColumn="0" w:lastRowFirstColumn="0" w:lastRowLastColumn="0"/>
            <w:tcW w:w="4535" w:type="dxa"/>
          </w:tcPr>
          <w:p w:rsidR="00724A46" w:rsidRPr="00B91ACD" w:rsidRDefault="00724A46" w:rsidP="00724A46">
            <w:pPr>
              <w:ind w:left="179" w:hanging="179"/>
              <w:rPr>
                <w:rFonts w:ascii="Times New Roman" w:hAnsi="Times New Roman"/>
                <w:b w:val="0"/>
              </w:rPr>
            </w:pPr>
            <w:r w:rsidRPr="00B91ACD">
              <w:rPr>
                <w:rFonts w:ascii="Times New Roman" w:hAnsi="Times New Roman"/>
                <w:b w:val="0"/>
              </w:rPr>
              <w:t xml:space="preserve">Produktivitātes pieaugums </w:t>
            </w:r>
            <w:r>
              <w:rPr>
                <w:rFonts w:ascii="Times New Roman" w:hAnsi="Times New Roman"/>
                <w:b w:val="0"/>
              </w:rPr>
              <w:br/>
            </w:r>
            <w:r w:rsidRPr="00835547">
              <w:rPr>
                <w:rFonts w:ascii="Times New Roman" w:hAnsi="Times New Roman"/>
                <w:b w:val="0"/>
                <w:sz w:val="20"/>
              </w:rPr>
              <w:t>salīdzināmās cenās, %</w:t>
            </w:r>
          </w:p>
        </w:tc>
        <w:tc>
          <w:tcPr>
            <w:tcW w:w="1020" w:type="dxa"/>
            <w:vAlign w:val="center"/>
          </w:tcPr>
          <w:p w:rsidR="00724A46" w:rsidRPr="00B91ACD" w:rsidRDefault="00724A46"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8F2CE8">
              <w:rPr>
                <w:rFonts w:ascii="Times New Roman" w:hAnsi="Times New Roman" w:cs="Times New Roman"/>
              </w:rPr>
              <w:t>,</w:t>
            </w:r>
            <w:r>
              <w:rPr>
                <w:rFonts w:ascii="Times New Roman" w:hAnsi="Times New Roman" w:cs="Times New Roman"/>
              </w:rPr>
              <w:t>4</w:t>
            </w:r>
          </w:p>
        </w:tc>
        <w:tc>
          <w:tcPr>
            <w:tcW w:w="1020" w:type="dxa"/>
            <w:vAlign w:val="center"/>
          </w:tcPr>
          <w:p w:rsidR="00724A46" w:rsidRPr="00533ED8" w:rsidRDefault="00724A46"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2,3</w:t>
            </w:r>
          </w:p>
        </w:tc>
        <w:tc>
          <w:tcPr>
            <w:tcW w:w="1020" w:type="dxa"/>
            <w:vAlign w:val="center"/>
          </w:tcPr>
          <w:p w:rsidR="00724A46" w:rsidRPr="00533ED8" w:rsidRDefault="00EB7368"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w:t>
            </w:r>
          </w:p>
        </w:tc>
        <w:tc>
          <w:tcPr>
            <w:tcW w:w="1020" w:type="dxa"/>
            <w:vAlign w:val="center"/>
          </w:tcPr>
          <w:p w:rsidR="00724A46" w:rsidRPr="00533ED8" w:rsidRDefault="00724A46"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3,5</w:t>
            </w:r>
          </w:p>
        </w:tc>
      </w:tr>
      <w:tr w:rsidR="00A61FD5" w:rsidRPr="00B91ACD" w:rsidTr="0053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A61FD5" w:rsidRPr="00B91ACD" w:rsidRDefault="00A61FD5" w:rsidP="00A61FD5">
            <w:pPr>
              <w:ind w:left="179" w:hanging="179"/>
              <w:rPr>
                <w:rFonts w:ascii="Times New Roman" w:hAnsi="Times New Roman"/>
                <w:b w:val="0"/>
              </w:rPr>
            </w:pPr>
            <w:r>
              <w:rPr>
                <w:rFonts w:ascii="Times New Roman" w:hAnsi="Times New Roman"/>
                <w:b w:val="0"/>
              </w:rPr>
              <w:t xml:space="preserve">Mēneša vidējā </w:t>
            </w:r>
            <w:r w:rsidRPr="00B91ACD">
              <w:rPr>
                <w:rFonts w:ascii="Times New Roman" w:hAnsi="Times New Roman"/>
                <w:b w:val="0"/>
              </w:rPr>
              <w:t xml:space="preserve">bruto </w:t>
            </w:r>
            <w:r>
              <w:rPr>
                <w:rFonts w:ascii="Times New Roman" w:hAnsi="Times New Roman"/>
                <w:b w:val="0"/>
              </w:rPr>
              <w:t>darba samaksa</w:t>
            </w:r>
            <w:r>
              <w:rPr>
                <w:rFonts w:ascii="Times New Roman" w:hAnsi="Times New Roman"/>
                <w:b w:val="0"/>
              </w:rPr>
              <w:br/>
            </w:r>
            <w:r w:rsidRPr="00835547">
              <w:rPr>
                <w:rFonts w:ascii="Times New Roman" w:hAnsi="Times New Roman"/>
                <w:b w:val="0"/>
                <w:sz w:val="20"/>
              </w:rPr>
              <w:t>EUR</w:t>
            </w:r>
          </w:p>
        </w:tc>
        <w:tc>
          <w:tcPr>
            <w:tcW w:w="1020" w:type="dxa"/>
            <w:vAlign w:val="center"/>
          </w:tcPr>
          <w:p w:rsidR="00A61FD5" w:rsidRPr="00B91ACD" w:rsidRDefault="00A61FD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818</w:t>
            </w:r>
          </w:p>
        </w:tc>
        <w:tc>
          <w:tcPr>
            <w:tcW w:w="1020" w:type="dxa"/>
            <w:vAlign w:val="center"/>
          </w:tcPr>
          <w:p w:rsidR="00A61FD5" w:rsidRPr="00B91ACD" w:rsidRDefault="00A61FD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859</w:t>
            </w:r>
          </w:p>
        </w:tc>
        <w:tc>
          <w:tcPr>
            <w:tcW w:w="1020" w:type="dxa"/>
            <w:vAlign w:val="center"/>
          </w:tcPr>
          <w:p w:rsidR="00A61FD5" w:rsidRPr="00533ED8" w:rsidRDefault="00A61FD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918</w:t>
            </w:r>
          </w:p>
        </w:tc>
        <w:tc>
          <w:tcPr>
            <w:tcW w:w="1020" w:type="dxa"/>
            <w:vAlign w:val="center"/>
          </w:tcPr>
          <w:p w:rsidR="00A61FD5" w:rsidRPr="00533ED8" w:rsidRDefault="00A61FD5"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3ED8">
              <w:rPr>
                <w:rFonts w:ascii="Times New Roman" w:hAnsi="Times New Roman" w:cs="Times New Roman"/>
              </w:rPr>
              <w:t>983</w:t>
            </w:r>
          </w:p>
        </w:tc>
      </w:tr>
      <w:tr w:rsidR="00B91ACD" w:rsidRPr="00B91ACD" w:rsidTr="00533ED8">
        <w:tc>
          <w:tcPr>
            <w:cnfStyle w:val="001000000000" w:firstRow="0" w:lastRow="0" w:firstColumn="1" w:lastColumn="0" w:oddVBand="0" w:evenVBand="0" w:oddHBand="0" w:evenHBand="0" w:firstRowFirstColumn="0" w:firstRowLastColumn="0" w:lastRowFirstColumn="0" w:lastRowLastColumn="0"/>
            <w:tcW w:w="4535" w:type="dxa"/>
          </w:tcPr>
          <w:p w:rsidR="00B91ACD" w:rsidRPr="00B91ACD" w:rsidRDefault="00835547" w:rsidP="00835547">
            <w:pPr>
              <w:ind w:left="179" w:hanging="179"/>
              <w:rPr>
                <w:rFonts w:ascii="Times New Roman" w:hAnsi="Times New Roman"/>
                <w:b w:val="0"/>
              </w:rPr>
            </w:pPr>
            <w:r>
              <w:rPr>
                <w:rFonts w:ascii="Times New Roman" w:hAnsi="Times New Roman"/>
                <w:b w:val="0"/>
              </w:rPr>
              <w:t xml:space="preserve">Mēneša vidējā </w:t>
            </w:r>
            <w:r w:rsidRPr="00B91ACD">
              <w:rPr>
                <w:rFonts w:ascii="Times New Roman" w:hAnsi="Times New Roman"/>
                <w:b w:val="0"/>
              </w:rPr>
              <w:t xml:space="preserve">bruto </w:t>
            </w:r>
            <w:r>
              <w:rPr>
                <w:rFonts w:ascii="Times New Roman" w:hAnsi="Times New Roman"/>
                <w:b w:val="0"/>
              </w:rPr>
              <w:t>darba samaksas pieaugums</w:t>
            </w:r>
            <w:r>
              <w:rPr>
                <w:rFonts w:ascii="Times New Roman" w:hAnsi="Times New Roman"/>
                <w:b w:val="0"/>
              </w:rPr>
              <w:br/>
            </w:r>
            <w:r w:rsidRPr="00835547">
              <w:rPr>
                <w:rFonts w:ascii="Times New Roman" w:hAnsi="Times New Roman"/>
                <w:b w:val="0"/>
                <w:sz w:val="20"/>
              </w:rPr>
              <w:t>procentos</w:t>
            </w:r>
          </w:p>
        </w:tc>
        <w:tc>
          <w:tcPr>
            <w:tcW w:w="1020" w:type="dxa"/>
            <w:vAlign w:val="center"/>
          </w:tcPr>
          <w:p w:rsidR="00B91ACD" w:rsidRPr="00B91ACD" w:rsidRDefault="003A01CD"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008F2CE8">
              <w:rPr>
                <w:rFonts w:ascii="Times New Roman" w:hAnsi="Times New Roman" w:cs="Times New Roman"/>
              </w:rPr>
              <w:t>,</w:t>
            </w:r>
            <w:r>
              <w:rPr>
                <w:rFonts w:ascii="Times New Roman" w:hAnsi="Times New Roman" w:cs="Times New Roman"/>
              </w:rPr>
              <w:t>8</w:t>
            </w:r>
          </w:p>
        </w:tc>
        <w:tc>
          <w:tcPr>
            <w:tcW w:w="1020" w:type="dxa"/>
            <w:vAlign w:val="center"/>
          </w:tcPr>
          <w:p w:rsidR="00B91ACD" w:rsidRPr="00B91ACD" w:rsidRDefault="003A01CD"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r w:rsidR="008F2CE8">
              <w:rPr>
                <w:rFonts w:ascii="Times New Roman" w:hAnsi="Times New Roman" w:cs="Times New Roman"/>
              </w:rPr>
              <w:t>,</w:t>
            </w:r>
            <w:r>
              <w:rPr>
                <w:rFonts w:ascii="Times New Roman" w:hAnsi="Times New Roman" w:cs="Times New Roman"/>
              </w:rPr>
              <w:t>0</w:t>
            </w:r>
          </w:p>
        </w:tc>
        <w:tc>
          <w:tcPr>
            <w:tcW w:w="1020" w:type="dxa"/>
            <w:vAlign w:val="center"/>
          </w:tcPr>
          <w:p w:rsidR="00B91ACD" w:rsidRPr="00B91ACD" w:rsidRDefault="00533ED8"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6,9</w:t>
            </w:r>
          </w:p>
        </w:tc>
        <w:tc>
          <w:tcPr>
            <w:tcW w:w="1020" w:type="dxa"/>
            <w:vAlign w:val="center"/>
          </w:tcPr>
          <w:p w:rsidR="00B91ACD" w:rsidRPr="00B91ACD" w:rsidRDefault="00533ED8" w:rsidP="00533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7,1</w:t>
            </w:r>
          </w:p>
        </w:tc>
      </w:tr>
      <w:tr w:rsidR="00B91ACD" w:rsidRPr="00B91ACD" w:rsidTr="0053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B91ACD" w:rsidRPr="00B91ACD" w:rsidRDefault="00835547" w:rsidP="00835547">
            <w:pPr>
              <w:ind w:left="179" w:hanging="179"/>
              <w:rPr>
                <w:rFonts w:ascii="Times New Roman" w:hAnsi="Times New Roman"/>
                <w:b w:val="0"/>
              </w:rPr>
            </w:pPr>
            <w:r>
              <w:rPr>
                <w:rFonts w:ascii="Times New Roman" w:hAnsi="Times New Roman"/>
                <w:b w:val="0"/>
              </w:rPr>
              <w:t xml:space="preserve">Patēriņa cenu izmaiņas </w:t>
            </w:r>
            <w:r>
              <w:rPr>
                <w:rFonts w:ascii="Times New Roman" w:hAnsi="Times New Roman"/>
                <w:b w:val="0"/>
              </w:rPr>
              <w:br/>
            </w:r>
            <w:r w:rsidR="00B91ACD" w:rsidRPr="00835547">
              <w:rPr>
                <w:rFonts w:ascii="Times New Roman" w:hAnsi="Times New Roman"/>
                <w:b w:val="0"/>
                <w:sz w:val="20"/>
              </w:rPr>
              <w:t>vidēji</w:t>
            </w:r>
            <w:r w:rsidRPr="00835547">
              <w:rPr>
                <w:rFonts w:ascii="Times New Roman" w:hAnsi="Times New Roman"/>
                <w:b w:val="0"/>
                <w:sz w:val="20"/>
              </w:rPr>
              <w:t xml:space="preserve"> gadā</w:t>
            </w:r>
            <w:r w:rsidR="00B91ACD" w:rsidRPr="00835547">
              <w:rPr>
                <w:rFonts w:ascii="Times New Roman" w:hAnsi="Times New Roman"/>
                <w:b w:val="0"/>
                <w:sz w:val="20"/>
              </w:rPr>
              <w:t>, %</w:t>
            </w:r>
          </w:p>
        </w:tc>
        <w:tc>
          <w:tcPr>
            <w:tcW w:w="1020" w:type="dxa"/>
            <w:vAlign w:val="center"/>
          </w:tcPr>
          <w:p w:rsidR="00B91ACD" w:rsidRPr="00B91ACD" w:rsidRDefault="003A01CD"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8F2CE8">
              <w:rPr>
                <w:rFonts w:ascii="Times New Roman" w:hAnsi="Times New Roman" w:cs="Times New Roman"/>
              </w:rPr>
              <w:t>,</w:t>
            </w:r>
            <w:r>
              <w:rPr>
                <w:rFonts w:ascii="Times New Roman" w:hAnsi="Times New Roman" w:cs="Times New Roman"/>
              </w:rPr>
              <w:t>2</w:t>
            </w:r>
          </w:p>
        </w:tc>
        <w:tc>
          <w:tcPr>
            <w:tcW w:w="1020" w:type="dxa"/>
            <w:vAlign w:val="center"/>
          </w:tcPr>
          <w:p w:rsidR="00B91ACD" w:rsidRPr="00B91ACD" w:rsidRDefault="003A01CD"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8F2CE8">
              <w:rPr>
                <w:rFonts w:ascii="Times New Roman" w:hAnsi="Times New Roman" w:cs="Times New Roman"/>
              </w:rPr>
              <w:t>,</w:t>
            </w:r>
            <w:r>
              <w:rPr>
                <w:rFonts w:ascii="Times New Roman" w:hAnsi="Times New Roman" w:cs="Times New Roman"/>
              </w:rPr>
              <w:t>1</w:t>
            </w:r>
          </w:p>
        </w:tc>
        <w:tc>
          <w:tcPr>
            <w:tcW w:w="1020" w:type="dxa"/>
            <w:vAlign w:val="center"/>
          </w:tcPr>
          <w:p w:rsidR="00B91ACD" w:rsidRPr="00B91ACD" w:rsidRDefault="003A01CD"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8F2CE8">
              <w:rPr>
                <w:rFonts w:ascii="Times New Roman" w:hAnsi="Times New Roman" w:cs="Times New Roman"/>
              </w:rPr>
              <w:t>,</w:t>
            </w:r>
            <w:r>
              <w:rPr>
                <w:rFonts w:ascii="Times New Roman" w:hAnsi="Times New Roman" w:cs="Times New Roman"/>
              </w:rPr>
              <w:t>0</w:t>
            </w:r>
          </w:p>
        </w:tc>
        <w:tc>
          <w:tcPr>
            <w:tcW w:w="1020" w:type="dxa"/>
            <w:vAlign w:val="center"/>
          </w:tcPr>
          <w:p w:rsidR="00B91ACD" w:rsidRPr="00B91ACD" w:rsidRDefault="003112C6" w:rsidP="00533E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8F2CE8">
              <w:rPr>
                <w:rFonts w:ascii="Times New Roman" w:hAnsi="Times New Roman" w:cs="Times New Roman"/>
              </w:rPr>
              <w:t>,</w:t>
            </w:r>
            <w:r w:rsidR="001B0E55">
              <w:rPr>
                <w:rFonts w:ascii="Times New Roman" w:hAnsi="Times New Roman" w:cs="Times New Roman"/>
              </w:rPr>
              <w:t>6</w:t>
            </w:r>
          </w:p>
        </w:tc>
      </w:tr>
    </w:tbl>
    <w:p w:rsidR="00B91ACD" w:rsidRPr="003A01CD" w:rsidRDefault="003A01CD" w:rsidP="003A01CD">
      <w:pPr>
        <w:spacing w:before="120"/>
        <w:ind w:firstLine="142"/>
        <w:rPr>
          <w:rFonts w:ascii="Times New Roman" w:hAnsi="Times New Roman" w:cs="Times New Roman"/>
          <w:sz w:val="20"/>
          <w:szCs w:val="24"/>
        </w:rPr>
      </w:pPr>
      <w:r w:rsidRPr="003A01CD">
        <w:rPr>
          <w:rFonts w:ascii="Times New Roman" w:hAnsi="Times New Roman" w:cs="Times New Roman"/>
          <w:sz w:val="20"/>
          <w:szCs w:val="24"/>
        </w:rPr>
        <w:t>p – Ekonomikas ministrijas prognoze</w:t>
      </w:r>
    </w:p>
    <w:sectPr w:rsidR="00B91ACD" w:rsidRPr="003A01CD" w:rsidSect="00C37888">
      <w:headerReference w:type="default" r:id="rId8"/>
      <w:footerReference w:type="default" r:id="rId9"/>
      <w:footerReference w:type="first" r:id="rId10"/>
      <w:pgSz w:w="11907" w:h="16840" w:code="9"/>
      <w:pgMar w:top="1440" w:right="141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A0" w:rsidRDefault="000C57A0" w:rsidP="000C57A0">
      <w:pPr>
        <w:spacing w:after="0" w:line="240" w:lineRule="auto"/>
      </w:pPr>
      <w:r>
        <w:separator/>
      </w:r>
    </w:p>
  </w:endnote>
  <w:endnote w:type="continuationSeparator" w:id="0">
    <w:p w:rsidR="000C57A0" w:rsidRDefault="000C57A0" w:rsidP="000C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F7" w:rsidRDefault="003B3BF7" w:rsidP="003B3BF7">
    <w:pPr>
      <w:pStyle w:val="Subtitle"/>
      <w:spacing w:after="0"/>
      <w:jc w:val="both"/>
    </w:pPr>
    <w:r w:rsidRPr="007F2A72">
      <w:rPr>
        <w:b w:val="0"/>
        <w:sz w:val="18"/>
        <w:szCs w:val="18"/>
      </w:rPr>
      <w:t>LMAnot</w:t>
    </w:r>
    <w:r>
      <w:rPr>
        <w:b w:val="0"/>
        <w:sz w:val="18"/>
        <w:szCs w:val="18"/>
      </w:rPr>
      <w:t>p</w:t>
    </w:r>
    <w:r w:rsidRPr="007F2A72">
      <w:rPr>
        <w:b w:val="0"/>
        <w:sz w:val="18"/>
        <w:szCs w:val="18"/>
      </w:rPr>
      <w:t>_</w:t>
    </w:r>
    <w:r>
      <w:rPr>
        <w:b w:val="0"/>
        <w:sz w:val="18"/>
        <w:szCs w:val="18"/>
      </w:rPr>
      <w:t>1</w:t>
    </w:r>
    <w:r w:rsidR="00931D9F">
      <w:rPr>
        <w:b w:val="0"/>
        <w:sz w:val="18"/>
        <w:szCs w:val="18"/>
      </w:rPr>
      <w:t>3</w:t>
    </w:r>
    <w:r>
      <w:rPr>
        <w:b w:val="0"/>
        <w:sz w:val="18"/>
        <w:szCs w:val="18"/>
      </w:rPr>
      <w:t>0717</w:t>
    </w:r>
    <w:r w:rsidRPr="007F2A72">
      <w:rPr>
        <w:b w:val="0"/>
        <w:sz w:val="18"/>
        <w:szCs w:val="18"/>
      </w:rPr>
      <w:t>; Ministru kabineta noteikumu projekts „Grozījums Ministru kabineta 2015.gada 24.novembra noteikumos Nr.656 „Noteikumi par minimālās mēneša darba algas apmēru normālā darba laika ietvaros un minimālās stundas tarifa likmes aprēķināšanu””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F7" w:rsidRDefault="003B3BF7" w:rsidP="003B3BF7">
    <w:pPr>
      <w:pStyle w:val="Subtitle"/>
      <w:spacing w:after="0"/>
      <w:jc w:val="both"/>
    </w:pPr>
    <w:r w:rsidRPr="007F2A72">
      <w:rPr>
        <w:b w:val="0"/>
        <w:sz w:val="18"/>
        <w:szCs w:val="18"/>
      </w:rPr>
      <w:t>LMAnot</w:t>
    </w:r>
    <w:r>
      <w:rPr>
        <w:b w:val="0"/>
        <w:sz w:val="18"/>
        <w:szCs w:val="18"/>
      </w:rPr>
      <w:t>p</w:t>
    </w:r>
    <w:r w:rsidRPr="007F2A72">
      <w:rPr>
        <w:b w:val="0"/>
        <w:sz w:val="18"/>
        <w:szCs w:val="18"/>
      </w:rPr>
      <w:t>_</w:t>
    </w:r>
    <w:r>
      <w:rPr>
        <w:b w:val="0"/>
        <w:sz w:val="18"/>
        <w:szCs w:val="18"/>
      </w:rPr>
      <w:t>1</w:t>
    </w:r>
    <w:r w:rsidR="00931D9F">
      <w:rPr>
        <w:b w:val="0"/>
        <w:sz w:val="18"/>
        <w:szCs w:val="18"/>
      </w:rPr>
      <w:t>3</w:t>
    </w:r>
    <w:r>
      <w:rPr>
        <w:b w:val="0"/>
        <w:sz w:val="18"/>
        <w:szCs w:val="18"/>
      </w:rPr>
      <w:t>0717</w:t>
    </w:r>
    <w:r w:rsidRPr="007F2A72">
      <w:rPr>
        <w:b w:val="0"/>
        <w:sz w:val="18"/>
        <w:szCs w:val="18"/>
      </w:rPr>
      <w:t>; Ministru kabineta noteikumu projekts „Grozījums Ministru kabineta 2015.gada 24.novembra noteikumos Nr.656 „Noteikumi par minimālās mēneša darba algas apmēru normālā darba laika ietvaros un minimālās stundas tarifa likmes aprēķināšanu””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A0" w:rsidRDefault="000C57A0" w:rsidP="000C57A0">
      <w:pPr>
        <w:spacing w:after="0" w:line="240" w:lineRule="auto"/>
      </w:pPr>
      <w:r>
        <w:separator/>
      </w:r>
    </w:p>
  </w:footnote>
  <w:footnote w:type="continuationSeparator" w:id="0">
    <w:p w:rsidR="000C57A0" w:rsidRDefault="000C57A0" w:rsidP="000C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671258"/>
      <w:docPartObj>
        <w:docPartGallery w:val="Page Numbers (Top of Page)"/>
        <w:docPartUnique/>
      </w:docPartObj>
    </w:sdtPr>
    <w:sdtEndPr>
      <w:rPr>
        <w:noProof/>
      </w:rPr>
    </w:sdtEndPr>
    <w:sdtContent>
      <w:p w:rsidR="000C57A0" w:rsidRDefault="000C57A0">
        <w:pPr>
          <w:pStyle w:val="Header"/>
          <w:jc w:val="center"/>
        </w:pPr>
        <w:r>
          <w:fldChar w:fldCharType="begin"/>
        </w:r>
        <w:r>
          <w:instrText xml:space="preserve"> PAGE   \* MERGEFORMAT </w:instrText>
        </w:r>
        <w:r>
          <w:fldChar w:fldCharType="separate"/>
        </w:r>
        <w:r w:rsidR="00931D9F">
          <w:rPr>
            <w:noProof/>
          </w:rPr>
          <w:t>3</w:t>
        </w:r>
        <w:r>
          <w:rPr>
            <w:noProof/>
          </w:rPr>
          <w:fldChar w:fldCharType="end"/>
        </w:r>
      </w:p>
    </w:sdtContent>
  </w:sdt>
  <w:p w:rsidR="000C57A0" w:rsidRDefault="000C5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CD"/>
    <w:rsid w:val="00082EF3"/>
    <w:rsid w:val="000A3AA2"/>
    <w:rsid w:val="000C57A0"/>
    <w:rsid w:val="0017139C"/>
    <w:rsid w:val="001B0E55"/>
    <w:rsid w:val="001D4930"/>
    <w:rsid w:val="0024503C"/>
    <w:rsid w:val="003112C6"/>
    <w:rsid w:val="003A01CD"/>
    <w:rsid w:val="003B3BF7"/>
    <w:rsid w:val="003F0D83"/>
    <w:rsid w:val="00533ED8"/>
    <w:rsid w:val="005661C2"/>
    <w:rsid w:val="006B31D5"/>
    <w:rsid w:val="006C130C"/>
    <w:rsid w:val="00724A46"/>
    <w:rsid w:val="0075393E"/>
    <w:rsid w:val="00777C53"/>
    <w:rsid w:val="00835547"/>
    <w:rsid w:val="008857B2"/>
    <w:rsid w:val="0088635A"/>
    <w:rsid w:val="008D410E"/>
    <w:rsid w:val="008F2CE8"/>
    <w:rsid w:val="00931D9F"/>
    <w:rsid w:val="00996544"/>
    <w:rsid w:val="009A36E5"/>
    <w:rsid w:val="009F5963"/>
    <w:rsid w:val="00A44565"/>
    <w:rsid w:val="00A61FD5"/>
    <w:rsid w:val="00B91ACD"/>
    <w:rsid w:val="00C37888"/>
    <w:rsid w:val="00C51E11"/>
    <w:rsid w:val="00CD353B"/>
    <w:rsid w:val="00D0223C"/>
    <w:rsid w:val="00DA25D6"/>
    <w:rsid w:val="00EB4E76"/>
    <w:rsid w:val="00EB7368"/>
    <w:rsid w:val="00EF34E7"/>
    <w:rsid w:val="00F467F3"/>
    <w:rsid w:val="00F82EF6"/>
    <w:rsid w:val="00F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
    <w:name w:val="List Table 2"/>
    <w:basedOn w:val="TableNormal"/>
    <w:uiPriority w:val="47"/>
    <w:rsid w:val="00B91AC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B91ACD"/>
    <w:pPr>
      <w:spacing w:after="120" w:line="480" w:lineRule="auto"/>
    </w:pPr>
    <w:rPr>
      <w:rFonts w:ascii="Times New Roman" w:eastAsia="Times New Roman" w:hAnsi="Times New Roman" w:cs="Times New Roman"/>
      <w:sz w:val="28"/>
      <w:szCs w:val="28"/>
      <w:lang w:eastAsia="lv-LV"/>
    </w:rPr>
  </w:style>
  <w:style w:type="character" w:customStyle="1" w:styleId="BodyText2Char">
    <w:name w:val="Body Text 2 Char"/>
    <w:basedOn w:val="DefaultParagraphFont"/>
    <w:link w:val="BodyText2"/>
    <w:rsid w:val="00B91ACD"/>
    <w:rPr>
      <w:rFonts w:ascii="Times New Roman" w:eastAsia="Times New Roman" w:hAnsi="Times New Roman" w:cs="Times New Roman"/>
      <w:sz w:val="28"/>
      <w:szCs w:val="28"/>
      <w:lang w:val="lv-LV" w:eastAsia="lv-LV"/>
    </w:rPr>
  </w:style>
  <w:style w:type="paragraph" w:styleId="BalloonText">
    <w:name w:val="Balloon Text"/>
    <w:basedOn w:val="Normal"/>
    <w:link w:val="BalloonTextChar"/>
    <w:uiPriority w:val="99"/>
    <w:semiHidden/>
    <w:unhideWhenUsed/>
    <w:rsid w:val="008F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E8"/>
    <w:rPr>
      <w:rFonts w:ascii="Segoe UI" w:hAnsi="Segoe UI" w:cs="Segoe UI"/>
      <w:sz w:val="18"/>
      <w:szCs w:val="18"/>
      <w:lang w:val="lv-LV"/>
    </w:rPr>
  </w:style>
  <w:style w:type="paragraph" w:styleId="Header">
    <w:name w:val="header"/>
    <w:basedOn w:val="Normal"/>
    <w:link w:val="HeaderChar"/>
    <w:uiPriority w:val="99"/>
    <w:unhideWhenUsed/>
    <w:rsid w:val="000C5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7A0"/>
    <w:rPr>
      <w:lang w:val="lv-LV"/>
    </w:rPr>
  </w:style>
  <w:style w:type="paragraph" w:styleId="Footer">
    <w:name w:val="footer"/>
    <w:basedOn w:val="Normal"/>
    <w:link w:val="FooterChar"/>
    <w:uiPriority w:val="99"/>
    <w:unhideWhenUsed/>
    <w:rsid w:val="000C5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7A0"/>
    <w:rPr>
      <w:lang w:val="lv-LV"/>
    </w:rPr>
  </w:style>
  <w:style w:type="character" w:customStyle="1" w:styleId="st">
    <w:name w:val="st"/>
    <w:basedOn w:val="DefaultParagraphFont"/>
    <w:rsid w:val="00D0223C"/>
  </w:style>
  <w:style w:type="paragraph" w:styleId="Subtitle">
    <w:name w:val="Subtitle"/>
    <w:basedOn w:val="Normal"/>
    <w:link w:val="SubtitleChar"/>
    <w:qFormat/>
    <w:rsid w:val="003B3BF7"/>
    <w:pPr>
      <w:widowControl w:val="0"/>
      <w:spacing w:after="12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3B3BF7"/>
    <w:rPr>
      <w:rFonts w:ascii="Times New Roman" w:eastAsia="Times New Roman" w:hAnsi="Times New Roman" w:cs="Times New Roman"/>
      <w:b/>
      <w:sz w:val="28"/>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
    <w:name w:val="List Table 2"/>
    <w:basedOn w:val="TableNormal"/>
    <w:uiPriority w:val="47"/>
    <w:rsid w:val="00B91AC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B91ACD"/>
    <w:pPr>
      <w:spacing w:after="120" w:line="480" w:lineRule="auto"/>
    </w:pPr>
    <w:rPr>
      <w:rFonts w:ascii="Times New Roman" w:eastAsia="Times New Roman" w:hAnsi="Times New Roman" w:cs="Times New Roman"/>
      <w:sz w:val="28"/>
      <w:szCs w:val="28"/>
      <w:lang w:eastAsia="lv-LV"/>
    </w:rPr>
  </w:style>
  <w:style w:type="character" w:customStyle="1" w:styleId="BodyText2Char">
    <w:name w:val="Body Text 2 Char"/>
    <w:basedOn w:val="DefaultParagraphFont"/>
    <w:link w:val="BodyText2"/>
    <w:rsid w:val="00B91ACD"/>
    <w:rPr>
      <w:rFonts w:ascii="Times New Roman" w:eastAsia="Times New Roman" w:hAnsi="Times New Roman" w:cs="Times New Roman"/>
      <w:sz w:val="28"/>
      <w:szCs w:val="28"/>
      <w:lang w:val="lv-LV" w:eastAsia="lv-LV"/>
    </w:rPr>
  </w:style>
  <w:style w:type="paragraph" w:styleId="BalloonText">
    <w:name w:val="Balloon Text"/>
    <w:basedOn w:val="Normal"/>
    <w:link w:val="BalloonTextChar"/>
    <w:uiPriority w:val="99"/>
    <w:semiHidden/>
    <w:unhideWhenUsed/>
    <w:rsid w:val="008F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E8"/>
    <w:rPr>
      <w:rFonts w:ascii="Segoe UI" w:hAnsi="Segoe UI" w:cs="Segoe UI"/>
      <w:sz w:val="18"/>
      <w:szCs w:val="18"/>
      <w:lang w:val="lv-LV"/>
    </w:rPr>
  </w:style>
  <w:style w:type="paragraph" w:styleId="Header">
    <w:name w:val="header"/>
    <w:basedOn w:val="Normal"/>
    <w:link w:val="HeaderChar"/>
    <w:uiPriority w:val="99"/>
    <w:unhideWhenUsed/>
    <w:rsid w:val="000C5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7A0"/>
    <w:rPr>
      <w:lang w:val="lv-LV"/>
    </w:rPr>
  </w:style>
  <w:style w:type="paragraph" w:styleId="Footer">
    <w:name w:val="footer"/>
    <w:basedOn w:val="Normal"/>
    <w:link w:val="FooterChar"/>
    <w:uiPriority w:val="99"/>
    <w:unhideWhenUsed/>
    <w:rsid w:val="000C5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7A0"/>
    <w:rPr>
      <w:lang w:val="lv-LV"/>
    </w:rPr>
  </w:style>
  <w:style w:type="character" w:customStyle="1" w:styleId="st">
    <w:name w:val="st"/>
    <w:basedOn w:val="DefaultParagraphFont"/>
    <w:rsid w:val="00D0223C"/>
  </w:style>
  <w:style w:type="paragraph" w:styleId="Subtitle">
    <w:name w:val="Subtitle"/>
    <w:basedOn w:val="Normal"/>
    <w:link w:val="SubtitleChar"/>
    <w:qFormat/>
    <w:rsid w:val="003B3BF7"/>
    <w:pPr>
      <w:widowControl w:val="0"/>
      <w:spacing w:after="12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3B3BF7"/>
    <w:rPr>
      <w:rFonts w:ascii="Times New Roman" w:eastAsia="Times New Roman" w:hAnsi="Times New Roman" w:cs="Times New Roman"/>
      <w:b/>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52A0-AE56-4DF8-868D-A0046020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4607</Words>
  <Characters>2626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 Gergelevičs</dc:creator>
  <cp:lastModifiedBy>Aina Liepina</cp:lastModifiedBy>
  <cp:revision>11</cp:revision>
  <cp:lastPrinted>2017-07-05T10:24:00Z</cp:lastPrinted>
  <dcterms:created xsi:type="dcterms:W3CDTF">2017-07-10T06:53:00Z</dcterms:created>
  <dcterms:modified xsi:type="dcterms:W3CDTF">2017-07-12T08:50:00Z</dcterms:modified>
</cp:coreProperties>
</file>