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B" w:rsidRPr="00CF5DD7" w:rsidRDefault="00FC00DB" w:rsidP="00FC00DB">
      <w:pPr>
        <w:ind w:right="-1"/>
        <w:jc w:val="center"/>
        <w:rPr>
          <w:b/>
        </w:rPr>
      </w:pPr>
      <w:bookmarkStart w:id="0" w:name="_GoBack"/>
      <w:bookmarkEnd w:id="0"/>
      <w:r>
        <w:rPr>
          <w:b/>
        </w:rPr>
        <w:t>Ministru kabineta noteikumu projekta “</w:t>
      </w:r>
      <w:r w:rsidRPr="00CF5DD7">
        <w:rPr>
          <w:b/>
        </w:rPr>
        <w:t>Grozījums Ministru kabineta 2016.</w:t>
      </w:r>
      <w:r>
        <w:rPr>
          <w:b/>
        </w:rPr>
        <w:t xml:space="preserve"> </w:t>
      </w:r>
      <w:r w:rsidRPr="00CF5DD7">
        <w:rPr>
          <w:b/>
        </w:rPr>
        <w:t>gada 20.</w:t>
      </w:r>
      <w:r>
        <w:rPr>
          <w:b/>
        </w:rPr>
        <w:t xml:space="preserve"> </w:t>
      </w:r>
      <w:r w:rsidRPr="00CF5DD7">
        <w:rPr>
          <w:b/>
        </w:rPr>
        <w:t>decembra noteikumos Nr.</w:t>
      </w:r>
      <w:r w:rsidR="00414706">
        <w:rPr>
          <w:b/>
        </w:rPr>
        <w:t xml:space="preserve"> </w:t>
      </w:r>
      <w:r w:rsidRPr="00CF5DD7">
        <w:rPr>
          <w:b/>
        </w:rPr>
        <w:t>848 “Darbības programmas “Izaugsme un nodarbinātība” 4.5.1. specifiskā atbalsta mērķa “Attīstīt videi draudzīgu sabiedriskā transporta infrastruktūru” 4.5.1.2.</w:t>
      </w:r>
      <w:r>
        <w:rPr>
          <w:b/>
        </w:rPr>
        <w:t xml:space="preserve"> </w:t>
      </w:r>
      <w:r w:rsidRPr="00CF5DD7">
        <w:rPr>
          <w:b/>
        </w:rPr>
        <w:t xml:space="preserve">pasākuma “Attīstīt videi draudzīgu sabiedriskā transporta infrastruktūru (autobusi)” </w:t>
      </w:r>
      <w:r>
        <w:rPr>
          <w:b/>
        </w:rPr>
        <w:t xml:space="preserve">īstenošanas noteikumi” </w:t>
      </w:r>
      <w:r w:rsidRPr="00FC00DB">
        <w:rPr>
          <w:b/>
        </w:rPr>
        <w:t>sākotnējās ietekmes novērtējuma ziņojums (anotācija)</w:t>
      </w:r>
    </w:p>
    <w:p w:rsidR="00FC00DB" w:rsidRPr="00387561" w:rsidRDefault="00FC00DB" w:rsidP="005C1BDA">
      <w:pPr>
        <w:jc w:val="center"/>
        <w:rPr>
          <w:b/>
          <w:highlight w:val="yellow"/>
        </w:rPr>
      </w:pPr>
    </w:p>
    <w:p w:rsidR="00387561" w:rsidRPr="000C3B03" w:rsidRDefault="00387561" w:rsidP="005C1BDA">
      <w:pPr>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6095"/>
      </w:tblGrid>
      <w:tr w:rsidR="005C1BDA" w:rsidRPr="000C3B03" w:rsidTr="00306837">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pStyle w:val="ListParagraph"/>
              <w:tabs>
                <w:tab w:val="left" w:pos="2268"/>
                <w:tab w:val="left" w:pos="2410"/>
              </w:tabs>
              <w:ind w:left="1080"/>
              <w:jc w:val="center"/>
              <w:rPr>
                <w:b/>
                <w:sz w:val="24"/>
                <w:szCs w:val="24"/>
                <w:lang w:eastAsia="en-US"/>
              </w:rPr>
            </w:pPr>
            <w:r w:rsidRPr="000C3B03">
              <w:rPr>
                <w:b/>
                <w:bCs/>
                <w:sz w:val="24"/>
                <w:szCs w:val="24"/>
              </w:rPr>
              <w:t>I. Tiesību akta projekta izstrādes nepieciešamība</w:t>
            </w:r>
          </w:p>
        </w:tc>
      </w:tr>
      <w:tr w:rsidR="005C1BDA" w:rsidRPr="000C3B03"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jc w:val="center"/>
              <w:rPr>
                <w:lang w:eastAsia="en-US"/>
              </w:rPr>
            </w:pPr>
            <w:r w:rsidRPr="000C3B0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tabs>
                <w:tab w:val="left" w:pos="1904"/>
              </w:tabs>
              <w:rPr>
                <w:lang w:eastAsia="en-US"/>
              </w:rPr>
            </w:pPr>
            <w:r w:rsidRPr="000C3B03">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DA" w:rsidRPr="000C3B03" w:rsidRDefault="00414706" w:rsidP="00414706">
            <w:pPr>
              <w:pStyle w:val="ListParagraph"/>
              <w:tabs>
                <w:tab w:val="left" w:pos="34"/>
              </w:tabs>
              <w:spacing w:before="60" w:after="60"/>
              <w:ind w:left="0"/>
              <w:jc w:val="both"/>
              <w:rPr>
                <w:sz w:val="24"/>
                <w:szCs w:val="24"/>
              </w:rPr>
            </w:pPr>
            <w:r>
              <w:rPr>
                <w:sz w:val="24"/>
                <w:szCs w:val="24"/>
              </w:rPr>
              <w:t>Ministru kabineta n</w:t>
            </w:r>
            <w:r w:rsidR="001B6471" w:rsidRPr="000C3B03">
              <w:rPr>
                <w:sz w:val="24"/>
                <w:szCs w:val="24"/>
              </w:rPr>
              <w:t>oteikumu projekts</w:t>
            </w:r>
            <w:r w:rsidR="005C1BDA" w:rsidRPr="000C3B03">
              <w:rPr>
                <w:sz w:val="24"/>
                <w:szCs w:val="24"/>
              </w:rPr>
              <w:t xml:space="preserve"> izstrādāts atbilstoši Eiropas Savienības struktūrfondu un Kohēzijas fonda 2014.</w:t>
            </w:r>
            <w:r w:rsidR="000C3B03">
              <w:rPr>
                <w:sz w:val="24"/>
                <w:szCs w:val="24"/>
              </w:rPr>
              <w:t xml:space="preserve"> – </w:t>
            </w:r>
            <w:r w:rsidR="005C1BDA" w:rsidRPr="000C3B03">
              <w:rPr>
                <w:sz w:val="24"/>
                <w:szCs w:val="24"/>
              </w:rPr>
              <w:t>2020.</w:t>
            </w:r>
            <w:r w:rsidR="00175DE9">
              <w:rPr>
                <w:sz w:val="24"/>
                <w:szCs w:val="24"/>
              </w:rPr>
              <w:t xml:space="preserve"> </w:t>
            </w:r>
            <w:r w:rsidR="005C1BDA" w:rsidRPr="000C3B03">
              <w:rPr>
                <w:sz w:val="24"/>
                <w:szCs w:val="24"/>
              </w:rPr>
              <w:t>gada plānošanas perioda vadības likuma 20.panta 6. un 13.</w:t>
            </w:r>
            <w:r w:rsidR="00175DE9">
              <w:rPr>
                <w:sz w:val="24"/>
                <w:szCs w:val="24"/>
              </w:rPr>
              <w:t xml:space="preserve"> </w:t>
            </w:r>
            <w:r w:rsidR="005C1BDA" w:rsidRPr="000C3B03">
              <w:rPr>
                <w:sz w:val="24"/>
                <w:szCs w:val="24"/>
              </w:rPr>
              <w:t>punktam.</w:t>
            </w:r>
          </w:p>
        </w:tc>
      </w:tr>
      <w:tr w:rsidR="005C1BDA" w:rsidRPr="0038756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B565D3" w:rsidRDefault="005C1BDA" w:rsidP="00A44E90">
            <w:pPr>
              <w:jc w:val="center"/>
              <w:rPr>
                <w:lang w:eastAsia="en-US"/>
              </w:rPr>
            </w:pPr>
            <w:r w:rsidRPr="00B565D3">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B565D3" w:rsidRDefault="005C1BDA" w:rsidP="00A44E90">
            <w:pPr>
              <w:jc w:val="both"/>
              <w:rPr>
                <w:lang w:eastAsia="en-US"/>
              </w:rPr>
            </w:pPr>
            <w:r w:rsidRPr="00B565D3">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341619" w:rsidRDefault="00341619" w:rsidP="00A44E90">
            <w:pPr>
              <w:autoSpaceDE w:val="0"/>
              <w:autoSpaceDN w:val="0"/>
              <w:jc w:val="both"/>
            </w:pPr>
            <w:r w:rsidRPr="00341619">
              <w:t>Ministru kabineta 2016.</w:t>
            </w:r>
            <w:r w:rsidR="00C439C1">
              <w:t xml:space="preserve"> </w:t>
            </w:r>
            <w:r w:rsidRPr="00341619">
              <w:t>gada 20.</w:t>
            </w:r>
            <w:r w:rsidR="00C439C1">
              <w:t xml:space="preserve"> </w:t>
            </w:r>
            <w:r w:rsidRPr="00341619">
              <w:t>decembra noteikumos Nr.</w:t>
            </w:r>
            <w:r w:rsidR="00414706">
              <w:t xml:space="preserve"> </w:t>
            </w:r>
            <w:r w:rsidRPr="00341619">
              <w:t xml:space="preserve">848 “Darbības programmas “Izaugsme un nodarbinātība” 4.5.1. specifiskā atbalsta mērķa “Attīstīt videi draudzīgu sabiedriskā transporta infrastruktūru” 4.5.1.2. pasākuma “Attīstīt videi draudzīgu sabiedriskā transporta infrastruktūru (autobusi)” īstenošanas noteikumi” </w:t>
            </w:r>
            <w:r w:rsidR="005C1BDA" w:rsidRPr="00341619">
              <w:t xml:space="preserve">(turpmāk </w:t>
            </w:r>
            <w:r w:rsidRPr="00341619">
              <w:t>–</w:t>
            </w:r>
            <w:r w:rsidR="005C1BDA" w:rsidRPr="00341619">
              <w:t xml:space="preserve"> Noteikumi) paredz, ka projekta izmaksas ir attiecināmas finansēšanai no Kohēzijas fonda līdzfinansējuma no dienas, kad noslēgta vienošanās </w:t>
            </w:r>
            <w:r w:rsidR="0055272F">
              <w:t xml:space="preserve">vai civiltiesiskais līgums </w:t>
            </w:r>
            <w:r w:rsidR="005C1BDA" w:rsidRPr="00341619">
              <w:t>par projekta īstenošanu.</w:t>
            </w:r>
          </w:p>
          <w:p w:rsidR="005905B2" w:rsidRDefault="005905B2" w:rsidP="005C1BDA">
            <w:pPr>
              <w:autoSpaceDE w:val="0"/>
              <w:autoSpaceDN w:val="0"/>
              <w:jc w:val="both"/>
              <w:rPr>
                <w:bCs/>
              </w:rPr>
            </w:pPr>
          </w:p>
          <w:p w:rsidR="005C1BDA" w:rsidRDefault="0055272F" w:rsidP="005C1BDA">
            <w:pPr>
              <w:autoSpaceDE w:val="0"/>
              <w:autoSpaceDN w:val="0"/>
              <w:jc w:val="both"/>
              <w:rPr>
                <w:bCs/>
              </w:rPr>
            </w:pPr>
            <w:r w:rsidRPr="0055272F">
              <w:rPr>
                <w:bCs/>
              </w:rPr>
              <w:t xml:space="preserve">Noteikumos minētā 4.5.1.2. pasākuma </w:t>
            </w:r>
            <w:r w:rsidR="00DA6B54" w:rsidRPr="00341619">
              <w:t xml:space="preserve">“Attīstīt videi draudzīgu sabiedriskā transporta infrastruktūru (autobusi)” </w:t>
            </w:r>
            <w:r w:rsidRPr="0055272F">
              <w:rPr>
                <w:bCs/>
              </w:rPr>
              <w:t xml:space="preserve">ietvaros </w:t>
            </w:r>
            <w:r w:rsidR="005C1BDA" w:rsidRPr="0055272F">
              <w:rPr>
                <w:bCs/>
              </w:rPr>
              <w:t xml:space="preserve">projektu </w:t>
            </w:r>
            <w:r w:rsidR="00196B2C">
              <w:rPr>
                <w:bCs/>
              </w:rPr>
              <w:t xml:space="preserve">iesniegumu </w:t>
            </w:r>
            <w:r w:rsidR="005C1BDA" w:rsidRPr="0055272F">
              <w:rPr>
                <w:bCs/>
              </w:rPr>
              <w:t>atlase ir izsludināta 201</w:t>
            </w:r>
            <w:r w:rsidRPr="0055272F">
              <w:rPr>
                <w:bCs/>
              </w:rPr>
              <w:t>7</w:t>
            </w:r>
            <w:r w:rsidR="005C1BDA" w:rsidRPr="0055272F">
              <w:rPr>
                <w:bCs/>
              </w:rPr>
              <w:t>.</w:t>
            </w:r>
            <w:r w:rsidR="00ED1665">
              <w:rPr>
                <w:bCs/>
              </w:rPr>
              <w:t xml:space="preserve"> </w:t>
            </w:r>
            <w:r w:rsidR="005C1BDA" w:rsidRPr="0055272F">
              <w:rPr>
                <w:bCs/>
              </w:rPr>
              <w:t>gada</w:t>
            </w:r>
            <w:r w:rsidR="000F13D4">
              <w:rPr>
                <w:bCs/>
              </w:rPr>
              <w:t xml:space="preserve"> 20.</w:t>
            </w:r>
            <w:r w:rsidR="00ED1665">
              <w:rPr>
                <w:bCs/>
              </w:rPr>
              <w:t xml:space="preserve"> </w:t>
            </w:r>
            <w:r w:rsidR="000F13D4">
              <w:rPr>
                <w:bCs/>
              </w:rPr>
              <w:t>februār</w:t>
            </w:r>
            <w:r w:rsidR="00196B2C">
              <w:rPr>
                <w:bCs/>
              </w:rPr>
              <w:t xml:space="preserve">ī </w:t>
            </w:r>
            <w:r w:rsidR="000F13D4">
              <w:rPr>
                <w:bCs/>
              </w:rPr>
              <w:t xml:space="preserve"> </w:t>
            </w:r>
            <w:r w:rsidR="00196B2C" w:rsidRPr="00D64DD2">
              <w:rPr>
                <w:bCs/>
              </w:rPr>
              <w:t>ar projektu iesniegumu iesniegšanas termiņu</w:t>
            </w:r>
            <w:r w:rsidR="00196B2C">
              <w:rPr>
                <w:bCs/>
              </w:rPr>
              <w:t xml:space="preserve"> </w:t>
            </w:r>
            <w:r w:rsidR="000F13D4">
              <w:rPr>
                <w:bCs/>
              </w:rPr>
              <w:t>līdz 2017.</w:t>
            </w:r>
            <w:r w:rsidR="00ED1665">
              <w:rPr>
                <w:bCs/>
              </w:rPr>
              <w:t xml:space="preserve"> </w:t>
            </w:r>
            <w:r w:rsidR="000F13D4">
              <w:rPr>
                <w:bCs/>
              </w:rPr>
              <w:t>gada 15.</w:t>
            </w:r>
            <w:r w:rsidR="00ED1665">
              <w:rPr>
                <w:bCs/>
              </w:rPr>
              <w:t xml:space="preserve"> </w:t>
            </w:r>
            <w:r w:rsidR="000F13D4">
              <w:rPr>
                <w:bCs/>
              </w:rPr>
              <w:t>novembrim. Pašr</w:t>
            </w:r>
            <w:r w:rsidR="000F13D4" w:rsidRPr="00AE292B">
              <w:rPr>
                <w:bCs/>
              </w:rPr>
              <w:t xml:space="preserve">eiz </w:t>
            </w:r>
            <w:r w:rsidR="00591EE1" w:rsidRPr="00AE292B">
              <w:rPr>
                <w:bCs/>
              </w:rPr>
              <w:t>4.5.1.2.</w:t>
            </w:r>
            <w:r w:rsidR="009B5899">
              <w:rPr>
                <w:bCs/>
              </w:rPr>
              <w:t xml:space="preserve"> </w:t>
            </w:r>
            <w:r w:rsidR="005C1BDA" w:rsidRPr="00AE292B">
              <w:rPr>
                <w:bCs/>
              </w:rPr>
              <w:t xml:space="preserve">pasākuma ietvaros, no </w:t>
            </w:r>
            <w:r w:rsidR="00591EE1" w:rsidRPr="00AE292B">
              <w:rPr>
                <w:bCs/>
              </w:rPr>
              <w:t>sešiem</w:t>
            </w:r>
            <w:r w:rsidR="005C1BDA" w:rsidRPr="00AE292B">
              <w:rPr>
                <w:bCs/>
              </w:rPr>
              <w:t xml:space="preserve"> plānotajiem projektiem, </w:t>
            </w:r>
            <w:r w:rsidR="0065098C" w:rsidRPr="00AE292B">
              <w:rPr>
                <w:bCs/>
              </w:rPr>
              <w:t>Centrālajā finanšu un līgumu aģentūrā</w:t>
            </w:r>
            <w:r w:rsidR="00ED1665">
              <w:rPr>
                <w:bCs/>
              </w:rPr>
              <w:t xml:space="preserve"> (turpmāk – CFLA)</w:t>
            </w:r>
            <w:r w:rsidR="000D1235">
              <w:rPr>
                <w:bCs/>
              </w:rPr>
              <w:t xml:space="preserve"> </w:t>
            </w:r>
            <w:r w:rsidR="005C1BDA" w:rsidRPr="00AE292B">
              <w:rPr>
                <w:bCs/>
              </w:rPr>
              <w:t xml:space="preserve">ir iesniegti </w:t>
            </w:r>
            <w:r w:rsidR="00591EE1" w:rsidRPr="00AE292B">
              <w:rPr>
                <w:bCs/>
              </w:rPr>
              <w:t>divi</w:t>
            </w:r>
            <w:r w:rsidR="0065098C" w:rsidRPr="00AE292B">
              <w:rPr>
                <w:bCs/>
              </w:rPr>
              <w:t xml:space="preserve"> projekt</w:t>
            </w:r>
            <w:r w:rsidR="009B5899">
              <w:rPr>
                <w:bCs/>
              </w:rPr>
              <w:t>u iesniegum</w:t>
            </w:r>
            <w:r w:rsidR="0065098C" w:rsidRPr="00AE292B">
              <w:rPr>
                <w:bCs/>
              </w:rPr>
              <w:t xml:space="preserve">i, kuri ir </w:t>
            </w:r>
            <w:r w:rsidR="00AE292B" w:rsidRPr="00AE292B">
              <w:rPr>
                <w:bCs/>
              </w:rPr>
              <w:t>apstiprināti</w:t>
            </w:r>
            <w:r w:rsidR="0065098C" w:rsidRPr="00AE292B">
              <w:rPr>
                <w:bCs/>
              </w:rPr>
              <w:t xml:space="preserve"> ar </w:t>
            </w:r>
            <w:r w:rsidR="00AE292B" w:rsidRPr="00AE292B">
              <w:rPr>
                <w:bCs/>
              </w:rPr>
              <w:t>nosacījumu.</w:t>
            </w:r>
            <w:r w:rsidR="00D643B8">
              <w:rPr>
                <w:bCs/>
              </w:rPr>
              <w:t xml:space="preserve"> </w:t>
            </w:r>
            <w:r w:rsidR="00E701A6">
              <w:rPr>
                <w:bCs/>
              </w:rPr>
              <w:t xml:space="preserve">Saskaņā ar CFLA sniegto informāciju līdz 2017.gada </w:t>
            </w:r>
            <w:r w:rsidR="009B5899">
              <w:rPr>
                <w:bCs/>
              </w:rPr>
              <w:t>30</w:t>
            </w:r>
            <w:r w:rsidR="00E701A6">
              <w:rPr>
                <w:bCs/>
              </w:rPr>
              <w:t>.septembrim tiks iesniegti vēl divi projektu iesniegumi, bet l</w:t>
            </w:r>
            <w:r w:rsidR="005C1BDA" w:rsidRPr="00AE292B">
              <w:rPr>
                <w:bCs/>
              </w:rPr>
              <w:t xml:space="preserve">īdz atlases termiņa </w:t>
            </w:r>
            <w:r w:rsidR="005C1BDA" w:rsidRPr="00C14E25">
              <w:rPr>
                <w:bCs/>
              </w:rPr>
              <w:t xml:space="preserve">beigām tiks iesniegti </w:t>
            </w:r>
            <w:r w:rsidR="00D643B8" w:rsidRPr="00C14E25">
              <w:rPr>
                <w:bCs/>
              </w:rPr>
              <w:t>pēdējie divi</w:t>
            </w:r>
            <w:r w:rsidR="005C1BDA" w:rsidRPr="00C14E25">
              <w:rPr>
                <w:bCs/>
              </w:rPr>
              <w:t xml:space="preserve"> projekt</w:t>
            </w:r>
            <w:r w:rsidR="00D643B8" w:rsidRPr="00C14E25">
              <w:rPr>
                <w:bCs/>
              </w:rPr>
              <w:t>u iesniegum</w:t>
            </w:r>
            <w:r w:rsidR="005C1BDA" w:rsidRPr="00C14E25">
              <w:rPr>
                <w:bCs/>
              </w:rPr>
              <w:t xml:space="preserve">i. </w:t>
            </w:r>
          </w:p>
          <w:p w:rsidR="004A2C02" w:rsidRDefault="004A2C02" w:rsidP="005C1BDA">
            <w:pPr>
              <w:autoSpaceDE w:val="0"/>
              <w:autoSpaceDN w:val="0"/>
              <w:jc w:val="both"/>
              <w:rPr>
                <w:bCs/>
              </w:rPr>
            </w:pPr>
          </w:p>
          <w:p w:rsidR="005C1BDA" w:rsidRPr="00387561" w:rsidRDefault="00F349B1" w:rsidP="005C1BDA">
            <w:pPr>
              <w:autoSpaceDE w:val="0"/>
              <w:autoSpaceDN w:val="0"/>
              <w:jc w:val="both"/>
              <w:rPr>
                <w:bCs/>
                <w:highlight w:val="yellow"/>
              </w:rPr>
            </w:pPr>
            <w:r w:rsidRPr="00180B17">
              <w:rPr>
                <w:bCs/>
              </w:rPr>
              <w:t>Atsevišķiem</w:t>
            </w:r>
            <w:r w:rsidR="005C1BDA" w:rsidRPr="00180B17">
              <w:rPr>
                <w:bCs/>
              </w:rPr>
              <w:t xml:space="preserve"> projektu iesniedzēji</w:t>
            </w:r>
            <w:r w:rsidRPr="00180B17">
              <w:rPr>
                <w:bCs/>
              </w:rPr>
              <w:t>em</w:t>
            </w:r>
            <w:r w:rsidR="005C1BDA" w:rsidRPr="00180B17">
              <w:rPr>
                <w:bCs/>
              </w:rPr>
              <w:t xml:space="preserve">, </w:t>
            </w:r>
            <w:r w:rsidR="00930CD4">
              <w:rPr>
                <w:bCs/>
              </w:rPr>
              <w:t>kuru projektos</w:t>
            </w:r>
            <w:r w:rsidR="00683C0D">
              <w:rPr>
                <w:bCs/>
              </w:rPr>
              <w:t xml:space="preserve">, bez jaunu videi draudzīgu sabiedrisko transportlīdzekļu (autobusu) iegādes vai esošo autobusu </w:t>
            </w:r>
            <w:r w:rsidR="00E84764">
              <w:rPr>
                <w:bCs/>
              </w:rPr>
              <w:t>aprīkošana</w:t>
            </w:r>
            <w:r w:rsidR="00C0649C">
              <w:rPr>
                <w:bCs/>
              </w:rPr>
              <w:t>s</w:t>
            </w:r>
            <w:r w:rsidR="00E84764">
              <w:rPr>
                <w:bCs/>
              </w:rPr>
              <w:t xml:space="preserve"> ar elektrību un saspiesto dabasgāzi videi draudzīgākai darbībai,</w:t>
            </w:r>
            <w:r w:rsidR="00A53C23" w:rsidRPr="00180B17">
              <w:rPr>
                <w:bCs/>
              </w:rPr>
              <w:t xml:space="preserve"> </w:t>
            </w:r>
            <w:r w:rsidR="00180B17">
              <w:rPr>
                <w:bCs/>
              </w:rPr>
              <w:t>ir</w:t>
            </w:r>
            <w:r w:rsidR="00A53C23" w:rsidRPr="00180B17">
              <w:rPr>
                <w:bCs/>
              </w:rPr>
              <w:t xml:space="preserve"> </w:t>
            </w:r>
            <w:r w:rsidR="00930CD4">
              <w:rPr>
                <w:bCs/>
              </w:rPr>
              <w:t>paredzēta</w:t>
            </w:r>
            <w:r w:rsidR="00A53C23" w:rsidRPr="00180B17">
              <w:rPr>
                <w:bCs/>
              </w:rPr>
              <w:t xml:space="preserve"> arī </w:t>
            </w:r>
            <w:r w:rsidR="001C01EF" w:rsidRPr="00180B17">
              <w:rPr>
                <w:bCs/>
              </w:rPr>
              <w:t xml:space="preserve">saistītās uzlādes vai uzpildes </w:t>
            </w:r>
            <w:r w:rsidR="00584637" w:rsidRPr="00180B17">
              <w:rPr>
                <w:bCs/>
              </w:rPr>
              <w:t xml:space="preserve">infrastruktūras izveide, piemēram, </w:t>
            </w:r>
            <w:r w:rsidR="00180B17" w:rsidRPr="00180B17">
              <w:rPr>
                <w:bCs/>
              </w:rPr>
              <w:t>elektroaut</w:t>
            </w:r>
            <w:r w:rsidR="001F4145">
              <w:rPr>
                <w:bCs/>
              </w:rPr>
              <w:t>o</w:t>
            </w:r>
            <w:r w:rsidR="00180B17" w:rsidRPr="00180B17">
              <w:rPr>
                <w:bCs/>
              </w:rPr>
              <w:t>busu uzlādes staciju izveide</w:t>
            </w:r>
            <w:r w:rsidR="005C1BDA" w:rsidRPr="004A2C02">
              <w:rPr>
                <w:bCs/>
              </w:rPr>
              <w:t>, v</w:t>
            </w:r>
            <w:r w:rsidR="001F4145">
              <w:rPr>
                <w:bCs/>
              </w:rPr>
              <w:t>ienlaikus ar projekta iesniegumu</w:t>
            </w:r>
            <w:r w:rsidR="005C1BDA" w:rsidRPr="004A2C02">
              <w:rPr>
                <w:bCs/>
              </w:rPr>
              <w:t xml:space="preserve"> ies</w:t>
            </w:r>
            <w:r w:rsidR="00C47301" w:rsidRPr="004A2C02">
              <w:rPr>
                <w:bCs/>
              </w:rPr>
              <w:t xml:space="preserve">niegšanu </w:t>
            </w:r>
            <w:r w:rsidR="004531DD" w:rsidRPr="004A2C02">
              <w:rPr>
                <w:bCs/>
              </w:rPr>
              <w:t>CFLA</w:t>
            </w:r>
            <w:r w:rsidRPr="004A2C02">
              <w:rPr>
                <w:bCs/>
              </w:rPr>
              <w:t>, būtu iespējams</w:t>
            </w:r>
            <w:r w:rsidR="005C1BDA" w:rsidRPr="004A2C02">
              <w:rPr>
                <w:bCs/>
              </w:rPr>
              <w:t xml:space="preserve"> </w:t>
            </w:r>
            <w:r w:rsidR="004531DD" w:rsidRPr="004A2C02">
              <w:rPr>
                <w:bCs/>
              </w:rPr>
              <w:t>uzsākt uzlādes staciju viet</w:t>
            </w:r>
            <w:r w:rsidR="001F4145">
              <w:rPr>
                <w:bCs/>
              </w:rPr>
              <w:t>u</w:t>
            </w:r>
            <w:r w:rsidR="004531DD" w:rsidRPr="004A2C02">
              <w:rPr>
                <w:bCs/>
              </w:rPr>
              <w:t xml:space="preserve"> </w:t>
            </w:r>
            <w:r w:rsidR="001F4145">
              <w:rPr>
                <w:bCs/>
              </w:rPr>
              <w:t>un elektropieslēgumu</w:t>
            </w:r>
            <w:r w:rsidR="0030706C" w:rsidRPr="004A2C02">
              <w:rPr>
                <w:bCs/>
              </w:rPr>
              <w:t xml:space="preserve"> </w:t>
            </w:r>
            <w:r w:rsidR="004531DD" w:rsidRPr="004A2C02">
              <w:rPr>
                <w:bCs/>
              </w:rPr>
              <w:t xml:space="preserve">izveides </w:t>
            </w:r>
            <w:r w:rsidR="001F4145">
              <w:rPr>
                <w:bCs/>
              </w:rPr>
              <w:t>iepirkumu</w:t>
            </w:r>
            <w:r w:rsidR="0030706C" w:rsidRPr="004A2C02">
              <w:rPr>
                <w:bCs/>
              </w:rPr>
              <w:t xml:space="preserve"> procedūras un</w:t>
            </w:r>
            <w:r w:rsidR="004531DD" w:rsidRPr="004A2C02">
              <w:rPr>
                <w:bCs/>
              </w:rPr>
              <w:t xml:space="preserve"> </w:t>
            </w:r>
            <w:r w:rsidR="005C1BDA" w:rsidRPr="004A2C02">
              <w:rPr>
                <w:bCs/>
              </w:rPr>
              <w:t>noslēgt būvdarbu līgumus,</w:t>
            </w:r>
            <w:r w:rsidR="0030706C" w:rsidRPr="004A2C02">
              <w:rPr>
                <w:bCs/>
              </w:rPr>
              <w:t xml:space="preserve"> </w:t>
            </w:r>
            <w:r w:rsidR="00AA2870">
              <w:rPr>
                <w:bCs/>
              </w:rPr>
              <w:t xml:space="preserve">kā arī </w:t>
            </w:r>
            <w:r w:rsidR="008634E6" w:rsidRPr="004A2C02">
              <w:rPr>
                <w:bCs/>
              </w:rPr>
              <w:t>uzsāk</w:t>
            </w:r>
            <w:r w:rsidR="008634E6">
              <w:rPr>
                <w:bCs/>
              </w:rPr>
              <w:t>t</w:t>
            </w:r>
            <w:r w:rsidR="005C1BDA" w:rsidRPr="004A2C02">
              <w:rPr>
                <w:bCs/>
              </w:rPr>
              <w:t xml:space="preserve"> darbus vēl šajā būvniecības sezonā un veikt izmaksas, tādējādi paātrinot</w:t>
            </w:r>
            <w:r w:rsidRPr="004A2C02">
              <w:rPr>
                <w:bCs/>
              </w:rPr>
              <w:t xml:space="preserve"> E</w:t>
            </w:r>
            <w:r w:rsidR="00574121">
              <w:rPr>
                <w:bCs/>
              </w:rPr>
              <w:t xml:space="preserve">iropas </w:t>
            </w:r>
            <w:r w:rsidRPr="004A2C02">
              <w:rPr>
                <w:bCs/>
              </w:rPr>
              <w:t>S</w:t>
            </w:r>
            <w:r w:rsidR="00574121">
              <w:rPr>
                <w:bCs/>
              </w:rPr>
              <w:t>avienības</w:t>
            </w:r>
            <w:r w:rsidRPr="004A2C02">
              <w:rPr>
                <w:bCs/>
              </w:rPr>
              <w:t xml:space="preserve"> fondu investīc</w:t>
            </w:r>
            <w:r w:rsidR="00DC4E5B">
              <w:rPr>
                <w:bCs/>
              </w:rPr>
              <w:t>iju ieviešanu. Minētās darbības</w:t>
            </w:r>
            <w:r w:rsidR="00762F6A">
              <w:rPr>
                <w:bCs/>
              </w:rPr>
              <w:t xml:space="preserve"> nav iespējams veikt</w:t>
            </w:r>
            <w:r w:rsidR="005C1BDA" w:rsidRPr="004A2C02">
              <w:rPr>
                <w:bCs/>
              </w:rPr>
              <w:t xml:space="preserve"> </w:t>
            </w:r>
            <w:r w:rsidRPr="004A2C02">
              <w:rPr>
                <w:bCs/>
              </w:rPr>
              <w:t>pamatojoties uz  Noteikumos</w:t>
            </w:r>
            <w:r w:rsidR="005C1BDA" w:rsidRPr="004A2C02">
              <w:rPr>
                <w:bCs/>
              </w:rPr>
              <w:t xml:space="preserve"> </w:t>
            </w:r>
            <w:r w:rsidR="00086E70" w:rsidRPr="004A2C02">
              <w:rPr>
                <w:bCs/>
              </w:rPr>
              <w:t>noteiktajām izmaksu pozīcijā</w:t>
            </w:r>
            <w:r w:rsidRPr="004A2C02">
              <w:rPr>
                <w:bCs/>
              </w:rPr>
              <w:t>m</w:t>
            </w:r>
            <w:r w:rsidR="00086E70" w:rsidRPr="004A2C02">
              <w:rPr>
                <w:bCs/>
              </w:rPr>
              <w:t xml:space="preserve"> paredzētajiem</w:t>
            </w:r>
            <w:r w:rsidRPr="004A2C02">
              <w:rPr>
                <w:bCs/>
              </w:rPr>
              <w:t xml:space="preserve"> </w:t>
            </w:r>
            <w:r w:rsidR="005C1BDA" w:rsidRPr="004A2C02">
              <w:rPr>
                <w:bCs/>
              </w:rPr>
              <w:t xml:space="preserve"> att</w:t>
            </w:r>
            <w:r w:rsidR="00086E70" w:rsidRPr="004A2C02">
              <w:rPr>
                <w:bCs/>
              </w:rPr>
              <w:t>iecināmības perioda ierobežojumiem.</w:t>
            </w:r>
          </w:p>
          <w:p w:rsidR="005C1BDA" w:rsidRPr="00387561" w:rsidRDefault="005C1BDA" w:rsidP="00A44E90">
            <w:pPr>
              <w:autoSpaceDE w:val="0"/>
              <w:autoSpaceDN w:val="0"/>
              <w:jc w:val="both"/>
              <w:rPr>
                <w:bCs/>
                <w:highlight w:val="yellow"/>
              </w:rPr>
            </w:pPr>
          </w:p>
          <w:p w:rsidR="00086E70" w:rsidRPr="005124D5" w:rsidRDefault="00086E70" w:rsidP="00A44E90">
            <w:pPr>
              <w:autoSpaceDE w:val="0"/>
              <w:autoSpaceDN w:val="0"/>
              <w:jc w:val="both"/>
              <w:rPr>
                <w:rFonts w:eastAsia="Times New Roman"/>
              </w:rPr>
            </w:pPr>
            <w:r w:rsidRPr="005124D5">
              <w:rPr>
                <w:rFonts w:eastAsia="Times New Roman"/>
              </w:rPr>
              <w:t>Finanšu ministrija savā 2017.</w:t>
            </w:r>
            <w:r w:rsidR="0084505E">
              <w:rPr>
                <w:rFonts w:eastAsia="Times New Roman"/>
              </w:rPr>
              <w:t xml:space="preserve"> </w:t>
            </w:r>
            <w:r w:rsidRPr="005124D5">
              <w:rPr>
                <w:rFonts w:eastAsia="Times New Roman"/>
              </w:rPr>
              <w:t>gada 28.</w:t>
            </w:r>
            <w:r w:rsidR="0084505E">
              <w:rPr>
                <w:rFonts w:eastAsia="Times New Roman"/>
              </w:rPr>
              <w:t xml:space="preserve"> </w:t>
            </w:r>
            <w:r w:rsidRPr="005124D5">
              <w:rPr>
                <w:rFonts w:eastAsia="Times New Roman"/>
              </w:rPr>
              <w:t>jūlija vēstulē Nr.</w:t>
            </w:r>
            <w:r w:rsidR="00DE1585">
              <w:rPr>
                <w:rFonts w:eastAsia="Times New Roman"/>
              </w:rPr>
              <w:t xml:space="preserve"> 21-3-01/5895</w:t>
            </w:r>
            <w:r w:rsidRPr="005124D5">
              <w:rPr>
                <w:rFonts w:eastAsia="Times New Roman"/>
              </w:rPr>
              <w:t xml:space="preserve"> ir aicinājusi Satiksmes </w:t>
            </w:r>
            <w:r w:rsidR="001B6471" w:rsidRPr="005124D5">
              <w:rPr>
                <w:rFonts w:eastAsia="Times New Roman"/>
              </w:rPr>
              <w:t>m</w:t>
            </w:r>
            <w:r w:rsidRPr="005124D5">
              <w:rPr>
                <w:rFonts w:eastAsia="Times New Roman"/>
              </w:rPr>
              <w:t xml:space="preserve">inistriju virzīt nepieciešamās izmaiņas Ministru kabineta noteikumos par specifiskā atbalsta mērķa īstenošanu, ja sadarbībā ar projektu iesniedzējiem </w:t>
            </w:r>
            <w:r w:rsidR="00397769">
              <w:rPr>
                <w:rFonts w:eastAsia="Times New Roman"/>
              </w:rPr>
              <w:t xml:space="preserve">un partneriem </w:t>
            </w:r>
            <w:r w:rsidRPr="005124D5">
              <w:rPr>
                <w:rFonts w:eastAsia="Times New Roman"/>
              </w:rPr>
              <w:t xml:space="preserve">tiek konstatēts, ka nepieciešams pārskatīt kādas prasības, </w:t>
            </w:r>
            <w:r w:rsidR="00397769">
              <w:rPr>
                <w:rFonts w:eastAsia="Times New Roman"/>
              </w:rPr>
              <w:t>t.sk.</w:t>
            </w:r>
            <w:r w:rsidR="00171525">
              <w:rPr>
                <w:rFonts w:eastAsia="Times New Roman"/>
              </w:rPr>
              <w:t xml:space="preserve"> arī investīciju projektu ieviešanas fāzē, </w:t>
            </w:r>
            <w:r w:rsidRPr="005124D5">
              <w:rPr>
                <w:rFonts w:eastAsia="Times New Roman"/>
              </w:rPr>
              <w:t>kas var paātrināt E</w:t>
            </w:r>
            <w:r w:rsidR="007F1EBE">
              <w:rPr>
                <w:rFonts w:eastAsia="Times New Roman"/>
              </w:rPr>
              <w:t xml:space="preserve">iropas </w:t>
            </w:r>
            <w:r w:rsidRPr="005124D5">
              <w:rPr>
                <w:rFonts w:eastAsia="Times New Roman"/>
              </w:rPr>
              <w:t>S</w:t>
            </w:r>
            <w:r w:rsidR="007F1EBE">
              <w:rPr>
                <w:rFonts w:eastAsia="Times New Roman"/>
              </w:rPr>
              <w:t>avienības</w:t>
            </w:r>
            <w:r w:rsidRPr="005124D5">
              <w:rPr>
                <w:rFonts w:eastAsia="Times New Roman"/>
              </w:rPr>
              <w:t xml:space="preserve"> fondu investīciju ieviešanu.</w:t>
            </w:r>
          </w:p>
          <w:p w:rsidR="00086E70" w:rsidRPr="00387561" w:rsidRDefault="00086E70" w:rsidP="00A44E90">
            <w:pPr>
              <w:autoSpaceDE w:val="0"/>
              <w:autoSpaceDN w:val="0"/>
              <w:jc w:val="both"/>
              <w:rPr>
                <w:rFonts w:eastAsia="Times New Roman"/>
                <w:highlight w:val="yellow"/>
              </w:rPr>
            </w:pPr>
          </w:p>
          <w:p w:rsidR="005C1BDA" w:rsidRPr="007061B4" w:rsidRDefault="00086E70" w:rsidP="00A44E90">
            <w:pPr>
              <w:autoSpaceDE w:val="0"/>
              <w:autoSpaceDN w:val="0"/>
              <w:jc w:val="both"/>
              <w:rPr>
                <w:bCs/>
              </w:rPr>
            </w:pPr>
            <w:r w:rsidRPr="007061B4">
              <w:rPr>
                <w:bCs/>
              </w:rPr>
              <w:t>Ņemot vērā, ka projektu iesniegumu iesniegšana, izvērtēšana un apstiprināšana tiešā veidā ietekmē noteiktos maksājumus un s</w:t>
            </w:r>
            <w:r w:rsidR="00440FD2" w:rsidRPr="007061B4">
              <w:rPr>
                <w:bCs/>
              </w:rPr>
              <w:t xml:space="preserve">pecifiskā atbalsta mērķa </w:t>
            </w:r>
            <w:r w:rsidR="00553177" w:rsidRPr="007061B4">
              <w:rPr>
                <w:bCs/>
              </w:rPr>
              <w:t xml:space="preserve">2018.gada </w:t>
            </w:r>
            <w:r w:rsidR="00440FD2" w:rsidRPr="007061B4">
              <w:rPr>
                <w:bCs/>
              </w:rPr>
              <w:t>finanšu</w:t>
            </w:r>
            <w:r w:rsidR="00553177" w:rsidRPr="007061B4">
              <w:rPr>
                <w:bCs/>
              </w:rPr>
              <w:t xml:space="preserve"> rādītāju</w:t>
            </w:r>
            <w:r w:rsidRPr="007061B4">
              <w:rPr>
                <w:bCs/>
              </w:rPr>
              <w:t xml:space="preserve"> sasniegšanu ir svarīgi, lai projektiem, kuriem ir augsta gatavības pakāpe, būtu iespējams uzsākt īstenot projekta aktivitātes arī pirms projekta </w:t>
            </w:r>
            <w:r w:rsidR="00553177" w:rsidRPr="007061B4">
              <w:rPr>
                <w:bCs/>
              </w:rPr>
              <w:t xml:space="preserve">iesnieguma </w:t>
            </w:r>
            <w:r w:rsidRPr="007061B4">
              <w:rPr>
                <w:bCs/>
              </w:rPr>
              <w:t>apstiprināšanas.</w:t>
            </w:r>
          </w:p>
          <w:p w:rsidR="00086E70" w:rsidRPr="007061B4" w:rsidRDefault="00086E70" w:rsidP="00A44E90">
            <w:pPr>
              <w:autoSpaceDE w:val="0"/>
              <w:autoSpaceDN w:val="0"/>
              <w:jc w:val="both"/>
              <w:rPr>
                <w:bCs/>
              </w:rPr>
            </w:pPr>
          </w:p>
          <w:p w:rsidR="00086E70" w:rsidRPr="00387561" w:rsidRDefault="00086E70" w:rsidP="007061B4">
            <w:pPr>
              <w:autoSpaceDE w:val="0"/>
              <w:autoSpaceDN w:val="0"/>
              <w:jc w:val="both"/>
              <w:rPr>
                <w:bCs/>
                <w:highlight w:val="yellow"/>
              </w:rPr>
            </w:pPr>
            <w:r w:rsidRPr="007061B4">
              <w:rPr>
                <w:bCs/>
              </w:rPr>
              <w:t>Ievērojot minēto</w:t>
            </w:r>
            <w:r w:rsidR="00AF43C8">
              <w:rPr>
                <w:bCs/>
              </w:rPr>
              <w:t>,</w:t>
            </w:r>
            <w:r w:rsidRPr="007061B4">
              <w:rPr>
                <w:bCs/>
              </w:rPr>
              <w:t xml:space="preserve"> </w:t>
            </w:r>
            <w:r w:rsidR="00AF43C8">
              <w:rPr>
                <w:bCs/>
              </w:rPr>
              <w:t xml:space="preserve">Ministru kabineta </w:t>
            </w:r>
            <w:r w:rsidR="001B6471" w:rsidRPr="007061B4">
              <w:rPr>
                <w:bCs/>
              </w:rPr>
              <w:t>n</w:t>
            </w:r>
            <w:r w:rsidRPr="007061B4">
              <w:rPr>
                <w:bCs/>
              </w:rPr>
              <w:t>oteikumu projekts paredz, ka projekta izmaksas ir attiecināmas finansēšanai no Kohēzijas fonda līdzfinansējuma no dienas, kad projekta iesniedzējs ir iesniedzis projekta iesniegumu sadarbības iestādē.</w:t>
            </w:r>
          </w:p>
        </w:tc>
      </w:tr>
      <w:tr w:rsidR="005C1BDA" w:rsidRPr="0038756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jc w:val="center"/>
              <w:rPr>
                <w:lang w:eastAsia="en-US"/>
              </w:rPr>
            </w:pPr>
            <w:r w:rsidRPr="00983A08">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rPr>
                <w:lang w:eastAsia="en-US"/>
              </w:rPr>
            </w:pPr>
            <w:r w:rsidRPr="00983A08">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1BDA" w:rsidRPr="007061B4" w:rsidRDefault="005C1BDA" w:rsidP="00A44E90">
            <w:pPr>
              <w:spacing w:after="120"/>
              <w:jc w:val="both"/>
              <w:rPr>
                <w:b/>
              </w:rPr>
            </w:pPr>
            <w:r w:rsidRPr="007061B4">
              <w:t>Satiksmes ministrija</w:t>
            </w:r>
            <w:r w:rsidR="00C22BCC">
              <w:t>.</w:t>
            </w:r>
          </w:p>
        </w:tc>
      </w:tr>
      <w:tr w:rsidR="005C1BDA" w:rsidRPr="00387561"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jc w:val="center"/>
              <w:rPr>
                <w:lang w:eastAsia="en-US"/>
              </w:rPr>
            </w:pPr>
            <w:r w:rsidRPr="00983A08">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rPr>
                <w:lang w:eastAsia="en-US"/>
              </w:rPr>
            </w:pPr>
            <w:r w:rsidRPr="00983A0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7061B4" w:rsidRDefault="005C1BDA" w:rsidP="00FB584A">
            <w:pPr>
              <w:jc w:val="both"/>
            </w:pPr>
            <w:r w:rsidRPr="007061B4">
              <w:t>M</w:t>
            </w:r>
            <w:r w:rsidR="00FB584A">
              <w:t>inistru kabineta</w:t>
            </w:r>
            <w:r w:rsidRPr="007061B4">
              <w:t xml:space="preserve"> noteikumu projektam nav ietekmes uz iesniegtajiem projektu iesniegumiem</w:t>
            </w:r>
            <w:r w:rsidR="00C22BCC">
              <w:t>.</w:t>
            </w:r>
          </w:p>
        </w:tc>
      </w:tr>
    </w:tbl>
    <w:p w:rsidR="005C1BDA" w:rsidRPr="00387561" w:rsidRDefault="005C1BDA" w:rsidP="005C1BDA">
      <w:pPr>
        <w:jc w:val="both"/>
        <w:rPr>
          <w:highlight w:val="yello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5C1BDA" w:rsidRPr="00387561" w:rsidTr="00A44E9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387561" w:rsidRDefault="005C1BDA" w:rsidP="00A44E90">
            <w:pPr>
              <w:pStyle w:val="ListParagraph"/>
              <w:tabs>
                <w:tab w:val="left" w:pos="2268"/>
                <w:tab w:val="left" w:pos="2410"/>
              </w:tabs>
              <w:ind w:left="1080"/>
              <w:jc w:val="center"/>
              <w:rPr>
                <w:b/>
                <w:sz w:val="24"/>
                <w:szCs w:val="24"/>
                <w:highlight w:val="yellow"/>
                <w:lang w:eastAsia="en-US"/>
              </w:rPr>
            </w:pPr>
            <w:r w:rsidRPr="00983A08">
              <w:rPr>
                <w:b/>
                <w:bCs/>
                <w:sz w:val="24"/>
                <w:szCs w:val="24"/>
              </w:rPr>
              <w:t>II. Tiesību akta projekta ietekme uz sabiedrību, tautsaimniecības attīstību un administratīvo slogu</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C1BDA" w:rsidRPr="00890658" w:rsidRDefault="005C1BDA" w:rsidP="00A44E90">
            <w:pPr>
              <w:jc w:val="center"/>
              <w:rPr>
                <w:lang w:eastAsia="en-US"/>
              </w:rPr>
            </w:pPr>
            <w:r w:rsidRPr="0089065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890658" w:rsidRDefault="005C1BDA" w:rsidP="00A44E90">
            <w:pPr>
              <w:rPr>
                <w:lang w:eastAsia="en-US"/>
              </w:rPr>
            </w:pPr>
            <w:r w:rsidRPr="00890658">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E70" w:rsidRPr="00890658" w:rsidRDefault="00890658" w:rsidP="00A44E90">
            <w:pPr>
              <w:jc w:val="both"/>
              <w:rPr>
                <w:bCs/>
                <w:lang w:eastAsia="en-US"/>
              </w:rPr>
            </w:pPr>
            <w:r w:rsidRPr="00890658">
              <w:t>Pasākuma īstenošanas vietas iedzīvotāji</w:t>
            </w:r>
            <w:r w:rsidRPr="00890658">
              <w:rPr>
                <w:bCs/>
                <w:lang w:eastAsia="en-US"/>
              </w:rPr>
              <w:t>.</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Projekts šo jomu neskar.</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Projekts šo jomu neskar.</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Nav.</w:t>
            </w:r>
          </w:p>
        </w:tc>
      </w:tr>
    </w:tbl>
    <w:p w:rsidR="00A2084C" w:rsidRPr="00387561" w:rsidRDefault="00A2084C" w:rsidP="00A2084C">
      <w:pPr>
        <w:jc w:val="both"/>
        <w:rPr>
          <w:highlight w:val="yello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2084C">
            <w:pPr>
              <w:jc w:val="center"/>
              <w:rPr>
                <w:b/>
              </w:rPr>
            </w:pPr>
            <w:r w:rsidRPr="00387561">
              <w:rPr>
                <w:b/>
                <w:bCs/>
              </w:rPr>
              <w:t>III. Tiesību akta projekta ietekme uz valsts budžetu un pašvaldību budžetiem</w:t>
            </w:r>
          </w:p>
        </w:tc>
      </w:tr>
      <w:tr w:rsidR="00A2084C" w:rsidRPr="00387561" w:rsidTr="0022001E">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2084C">
            <w:pPr>
              <w:jc w:val="both"/>
              <w:rPr>
                <w:bCs/>
              </w:rPr>
            </w:pPr>
            <w:r w:rsidRPr="00387561">
              <w:rPr>
                <w:bCs/>
              </w:rPr>
              <w:t>Projekts šo jomu neskar</w:t>
            </w:r>
            <w:r w:rsidR="00C22BCC">
              <w:rPr>
                <w:bCs/>
              </w:rPr>
              <w:t>.</w:t>
            </w:r>
          </w:p>
        </w:tc>
      </w:tr>
    </w:tbl>
    <w:p w:rsidR="00A2084C" w:rsidRPr="00387561"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44E90">
            <w:pPr>
              <w:jc w:val="center"/>
              <w:rPr>
                <w:b/>
              </w:rPr>
            </w:pPr>
            <w:r w:rsidRPr="00387561">
              <w:rPr>
                <w:b/>
                <w:bCs/>
              </w:rPr>
              <w:t>IV. Tiesību akta projekta ietekme uz spēkā esošo tiesību normu sistēmu</w:t>
            </w:r>
          </w:p>
        </w:tc>
      </w:tr>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44E90">
            <w:pPr>
              <w:jc w:val="both"/>
              <w:rPr>
                <w:bCs/>
              </w:rPr>
            </w:pPr>
            <w:r w:rsidRPr="00387561">
              <w:rPr>
                <w:bCs/>
              </w:rPr>
              <w:t>Projekts šo jomu neskar</w:t>
            </w:r>
            <w:r w:rsidR="00C22BCC">
              <w:rPr>
                <w:bCs/>
              </w:rPr>
              <w:t>.</w:t>
            </w:r>
          </w:p>
        </w:tc>
      </w:tr>
    </w:tbl>
    <w:p w:rsidR="00A2084C" w:rsidRPr="00387561"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2084C">
            <w:pPr>
              <w:jc w:val="both"/>
              <w:rPr>
                <w:b/>
              </w:rPr>
            </w:pPr>
            <w:r w:rsidRPr="00387561">
              <w:rPr>
                <w:b/>
                <w:bCs/>
              </w:rPr>
              <w:t>V. Tiesību akta projekta atbilstība Latvijas Republikas starptautiskajām saistībām</w:t>
            </w:r>
          </w:p>
        </w:tc>
      </w:tr>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2084C">
            <w:pPr>
              <w:jc w:val="both"/>
              <w:rPr>
                <w:bCs/>
              </w:rPr>
            </w:pPr>
            <w:r w:rsidRPr="00387561">
              <w:rPr>
                <w:bCs/>
              </w:rPr>
              <w:lastRenderedPageBreak/>
              <w:t>Projekts šo jomu neskar</w:t>
            </w:r>
            <w:r w:rsidR="00C22BCC">
              <w:rPr>
                <w:bCs/>
              </w:rPr>
              <w:t>.</w:t>
            </w:r>
          </w:p>
        </w:tc>
      </w:tr>
    </w:tbl>
    <w:p w:rsidR="00A2084C" w:rsidRPr="00387561" w:rsidRDefault="00A2084C" w:rsidP="005C1BDA">
      <w:pPr>
        <w:jc w:val="both"/>
        <w:rPr>
          <w:highlight w:val="yellow"/>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18"/>
        <w:gridCol w:w="2824"/>
        <w:gridCol w:w="14"/>
        <w:gridCol w:w="6043"/>
      </w:tblGrid>
      <w:tr w:rsidR="005C1BDA" w:rsidRPr="00387561" w:rsidTr="00A44E90">
        <w:trPr>
          <w:trHeight w:val="421"/>
        </w:trPr>
        <w:tc>
          <w:tcPr>
            <w:tcW w:w="9214" w:type="dxa"/>
            <w:gridSpan w:val="5"/>
            <w:vAlign w:val="center"/>
          </w:tcPr>
          <w:p w:rsidR="005C1BDA" w:rsidRPr="00387561" w:rsidRDefault="005C1BDA" w:rsidP="00A44E90">
            <w:pPr>
              <w:pStyle w:val="naisnod"/>
              <w:spacing w:before="0" w:beforeAutospacing="0" w:after="0" w:afterAutospacing="0"/>
              <w:ind w:left="57" w:right="57"/>
              <w:jc w:val="center"/>
              <w:rPr>
                <w:highlight w:val="yellow"/>
              </w:rPr>
            </w:pPr>
            <w:r w:rsidRPr="00983A08">
              <w:rPr>
                <w:b/>
              </w:rPr>
              <w:t>VI. Sabiedrības līdzdalība un komunikācijas aktivitātes</w:t>
            </w:r>
          </w:p>
        </w:tc>
      </w:tr>
      <w:tr w:rsidR="005C1BDA" w:rsidRPr="00387561" w:rsidTr="00A44E90">
        <w:trPr>
          <w:trHeight w:val="553"/>
        </w:trPr>
        <w:tc>
          <w:tcPr>
            <w:tcW w:w="315" w:type="dxa"/>
          </w:tcPr>
          <w:p w:rsidR="005C1BDA" w:rsidRPr="00983A08" w:rsidRDefault="005C1BDA" w:rsidP="00A44E90">
            <w:pPr>
              <w:ind w:left="57" w:right="57"/>
              <w:jc w:val="both"/>
              <w:rPr>
                <w:bCs/>
              </w:rPr>
            </w:pPr>
            <w:r w:rsidRPr="00983A08">
              <w:rPr>
                <w:bCs/>
              </w:rPr>
              <w:t>1.</w:t>
            </w:r>
          </w:p>
        </w:tc>
        <w:tc>
          <w:tcPr>
            <w:tcW w:w="2842" w:type="dxa"/>
            <w:gridSpan w:val="2"/>
          </w:tcPr>
          <w:p w:rsidR="005C1BDA" w:rsidRPr="00983A08" w:rsidRDefault="005C1BDA" w:rsidP="00A44E90">
            <w:pPr>
              <w:tabs>
                <w:tab w:val="left" w:pos="170"/>
              </w:tabs>
              <w:ind w:left="57" w:right="57"/>
            </w:pPr>
            <w:r w:rsidRPr="00983A08">
              <w:t>Plānotās sabiedrības līdzdalības un komunikācijas aktivitātes saistībā ar projektu</w:t>
            </w:r>
          </w:p>
        </w:tc>
        <w:tc>
          <w:tcPr>
            <w:tcW w:w="6057" w:type="dxa"/>
            <w:gridSpan w:val="2"/>
          </w:tcPr>
          <w:p w:rsidR="00900D39" w:rsidRDefault="00FB584A" w:rsidP="00900D39">
            <w:pPr>
              <w:shd w:val="clear" w:color="auto" w:fill="FFFFFF"/>
              <w:spacing w:after="120"/>
              <w:ind w:left="57" w:right="113"/>
              <w:jc w:val="both"/>
              <w:rPr>
                <w:bCs/>
              </w:rPr>
            </w:pPr>
            <w:r>
              <w:rPr>
                <w:bCs/>
              </w:rPr>
              <w:t xml:space="preserve">Ministru kabineta </w:t>
            </w:r>
            <w:r w:rsidR="00BA6018" w:rsidRPr="00890658">
              <w:rPr>
                <w:bCs/>
              </w:rPr>
              <w:t>noteikumu projekts ir publicēts Satiksmes ministrijas mājas</w:t>
            </w:r>
            <w:r w:rsidR="00890658" w:rsidRPr="00890658">
              <w:rPr>
                <w:bCs/>
              </w:rPr>
              <w:t xml:space="preserve"> lapā</w:t>
            </w:r>
            <w:r w:rsidR="00BA6018" w:rsidRPr="00890658">
              <w:rPr>
                <w:bCs/>
              </w:rPr>
              <w:t xml:space="preserve"> internetā.</w:t>
            </w:r>
            <w:r w:rsidR="00900D39">
              <w:rPr>
                <w:bCs/>
              </w:rPr>
              <w:t xml:space="preserve"> </w:t>
            </w:r>
          </w:p>
          <w:p w:rsidR="005C1BDA" w:rsidRPr="00387561" w:rsidRDefault="00FB584A" w:rsidP="00900D39">
            <w:pPr>
              <w:shd w:val="clear" w:color="auto" w:fill="FFFFFF"/>
              <w:spacing w:after="120"/>
              <w:ind w:left="57" w:right="113"/>
              <w:jc w:val="both"/>
              <w:rPr>
                <w:highlight w:val="yellow"/>
              </w:rPr>
            </w:pPr>
            <w:r>
              <w:rPr>
                <w:bCs/>
              </w:rPr>
              <w:t>Ministru kabineta</w:t>
            </w:r>
            <w:r w:rsidR="00BA6018" w:rsidRPr="00890658">
              <w:rPr>
                <w:bCs/>
              </w:rPr>
              <w:t xml:space="preserve"> noteikumu projekts izsludināts Valsts sekretāru sanāksmē.</w:t>
            </w:r>
          </w:p>
        </w:tc>
      </w:tr>
      <w:tr w:rsidR="005C1BDA" w:rsidRPr="00387561" w:rsidTr="00A44E90">
        <w:trPr>
          <w:trHeight w:val="339"/>
        </w:trPr>
        <w:tc>
          <w:tcPr>
            <w:tcW w:w="315" w:type="dxa"/>
          </w:tcPr>
          <w:p w:rsidR="005C1BDA" w:rsidRPr="00983A08" w:rsidRDefault="005C1BDA" w:rsidP="00A44E90">
            <w:pPr>
              <w:ind w:left="57" w:right="57"/>
              <w:jc w:val="both"/>
              <w:rPr>
                <w:bCs/>
              </w:rPr>
            </w:pPr>
            <w:r w:rsidRPr="00983A08">
              <w:rPr>
                <w:bCs/>
              </w:rPr>
              <w:t>2.</w:t>
            </w:r>
          </w:p>
        </w:tc>
        <w:tc>
          <w:tcPr>
            <w:tcW w:w="2842" w:type="dxa"/>
            <w:gridSpan w:val="2"/>
          </w:tcPr>
          <w:p w:rsidR="005C1BDA" w:rsidRPr="00983A08" w:rsidRDefault="005C1BDA" w:rsidP="00A44E90">
            <w:pPr>
              <w:ind w:left="57" w:right="57"/>
            </w:pPr>
            <w:r w:rsidRPr="00983A08">
              <w:t>Sabiedrības līdzdalība projekta izstrādē</w:t>
            </w:r>
          </w:p>
        </w:tc>
        <w:tc>
          <w:tcPr>
            <w:tcW w:w="6057" w:type="dxa"/>
            <w:gridSpan w:val="2"/>
          </w:tcPr>
          <w:p w:rsidR="005C1BDA" w:rsidRPr="008E15F2" w:rsidRDefault="00BA6018" w:rsidP="00A44E90">
            <w:pPr>
              <w:shd w:val="clear" w:color="auto" w:fill="FFFFFF"/>
              <w:spacing w:after="120"/>
              <w:ind w:right="113"/>
              <w:jc w:val="both"/>
              <w:rPr>
                <w:kern w:val="24"/>
              </w:rPr>
            </w:pPr>
            <w:r w:rsidRPr="008E15F2">
              <w:t>Sabiedrības pārstāvji Ministru kabineta 2007.gada 7.aprīļa noteikumu Nr.</w:t>
            </w:r>
            <w:r w:rsidR="005E20BA">
              <w:t xml:space="preserve"> </w:t>
            </w:r>
            <w:r w:rsidRPr="008E15F2">
              <w:t>300 “Ministru kabineta kārtības rullis” noteiktajā kārtībā varēs līdzdarboties Ministru kabineta noteikumu projekta izstrādē, sniedzot atzinumu un viedokli par Valsts sekretāru sanāksmē izsludināto Ministru kabineta noteikumu projektu.</w:t>
            </w:r>
          </w:p>
        </w:tc>
      </w:tr>
      <w:tr w:rsidR="005C1BDA" w:rsidRPr="00387561" w:rsidTr="00A44E90">
        <w:trPr>
          <w:trHeight w:val="476"/>
        </w:trPr>
        <w:tc>
          <w:tcPr>
            <w:tcW w:w="315" w:type="dxa"/>
          </w:tcPr>
          <w:p w:rsidR="005C1BDA" w:rsidRPr="00983A08" w:rsidRDefault="005C1BDA" w:rsidP="00A44E90">
            <w:pPr>
              <w:ind w:left="57" w:right="57"/>
              <w:jc w:val="both"/>
              <w:rPr>
                <w:bCs/>
              </w:rPr>
            </w:pPr>
            <w:r w:rsidRPr="00983A08">
              <w:rPr>
                <w:bCs/>
              </w:rPr>
              <w:t>3.</w:t>
            </w:r>
          </w:p>
        </w:tc>
        <w:tc>
          <w:tcPr>
            <w:tcW w:w="2842" w:type="dxa"/>
            <w:gridSpan w:val="2"/>
          </w:tcPr>
          <w:p w:rsidR="005C1BDA" w:rsidRPr="00983A08" w:rsidRDefault="005C1BDA" w:rsidP="00A44E90">
            <w:pPr>
              <w:ind w:left="57" w:right="57"/>
            </w:pPr>
            <w:r w:rsidRPr="00983A08">
              <w:t>Sabiedrības līdzdalības rezultāti</w:t>
            </w:r>
          </w:p>
        </w:tc>
        <w:tc>
          <w:tcPr>
            <w:tcW w:w="6057" w:type="dxa"/>
            <w:gridSpan w:val="2"/>
          </w:tcPr>
          <w:p w:rsidR="005C1BDA" w:rsidRPr="008E15F2" w:rsidRDefault="005B373E" w:rsidP="00F426D1">
            <w:pPr>
              <w:shd w:val="clear" w:color="auto" w:fill="FFFFFF"/>
              <w:spacing w:after="120"/>
              <w:ind w:right="113"/>
              <w:jc w:val="both"/>
            </w:pPr>
            <w:r w:rsidRPr="00890658">
              <w:rPr>
                <w:bCs/>
                <w:lang w:eastAsia="en-US"/>
              </w:rPr>
              <w:t>Projekts šo jomu neskar.</w:t>
            </w:r>
          </w:p>
        </w:tc>
      </w:tr>
      <w:tr w:rsidR="005C1BDA" w:rsidRPr="00387561" w:rsidTr="00A44E90">
        <w:trPr>
          <w:trHeight w:val="357"/>
        </w:trPr>
        <w:tc>
          <w:tcPr>
            <w:tcW w:w="315" w:type="dxa"/>
          </w:tcPr>
          <w:p w:rsidR="005C1BDA" w:rsidRPr="00983A08" w:rsidRDefault="005C1BDA" w:rsidP="00A44E90">
            <w:pPr>
              <w:ind w:left="57" w:right="57"/>
              <w:jc w:val="both"/>
              <w:rPr>
                <w:bCs/>
              </w:rPr>
            </w:pPr>
            <w:r w:rsidRPr="00983A08">
              <w:rPr>
                <w:bCs/>
              </w:rPr>
              <w:t>4.</w:t>
            </w:r>
          </w:p>
        </w:tc>
        <w:tc>
          <w:tcPr>
            <w:tcW w:w="2842" w:type="dxa"/>
            <w:gridSpan w:val="2"/>
          </w:tcPr>
          <w:p w:rsidR="005C1BDA" w:rsidRPr="00983A08" w:rsidRDefault="005C1BDA" w:rsidP="00A44E90">
            <w:pPr>
              <w:ind w:left="57" w:right="57"/>
            </w:pPr>
            <w:r w:rsidRPr="00983A08">
              <w:t>Cita informācija</w:t>
            </w:r>
          </w:p>
        </w:tc>
        <w:tc>
          <w:tcPr>
            <w:tcW w:w="6057" w:type="dxa"/>
            <w:gridSpan w:val="2"/>
          </w:tcPr>
          <w:p w:rsidR="005C1BDA" w:rsidRPr="008E15F2" w:rsidRDefault="005C1BDA" w:rsidP="00A44E90">
            <w:pPr>
              <w:ind w:right="113"/>
              <w:jc w:val="both"/>
            </w:pPr>
            <w:r w:rsidRPr="008E15F2">
              <w:t>Nav.</w:t>
            </w:r>
          </w:p>
        </w:tc>
      </w:tr>
      <w:tr w:rsidR="005C1BDA" w:rsidRPr="00387561" w:rsidTr="00A44E90">
        <w:trPr>
          <w:trHeight w:val="421"/>
        </w:trPr>
        <w:tc>
          <w:tcPr>
            <w:tcW w:w="9214" w:type="dxa"/>
            <w:gridSpan w:val="5"/>
            <w:vAlign w:val="center"/>
          </w:tcPr>
          <w:p w:rsidR="005C1BDA" w:rsidRPr="00387561" w:rsidRDefault="005C1BDA" w:rsidP="00A44E90">
            <w:pPr>
              <w:pStyle w:val="naisnod"/>
              <w:spacing w:before="0" w:beforeAutospacing="0" w:after="0" w:afterAutospacing="0"/>
              <w:ind w:left="57" w:right="57"/>
              <w:jc w:val="center"/>
              <w:rPr>
                <w:highlight w:val="yellow"/>
              </w:rPr>
            </w:pPr>
            <w:r w:rsidRPr="00154BCD">
              <w:rPr>
                <w:b/>
              </w:rPr>
              <w:t>VII. Tiesību akta projekta izpildes nodrošināšana un tās ietekme uz institūcijām</w:t>
            </w:r>
          </w:p>
        </w:tc>
      </w:tr>
      <w:tr w:rsidR="005C1BDA" w:rsidRPr="00387561" w:rsidTr="00A44E90">
        <w:trPr>
          <w:trHeight w:val="553"/>
        </w:trPr>
        <w:tc>
          <w:tcPr>
            <w:tcW w:w="333" w:type="dxa"/>
            <w:gridSpan w:val="2"/>
          </w:tcPr>
          <w:p w:rsidR="005C1BDA" w:rsidRPr="009A5F93" w:rsidRDefault="005C1BDA" w:rsidP="00A44E90">
            <w:pPr>
              <w:ind w:left="57" w:right="57"/>
              <w:jc w:val="both"/>
              <w:rPr>
                <w:bCs/>
              </w:rPr>
            </w:pPr>
            <w:r w:rsidRPr="009A5F93">
              <w:rPr>
                <w:bCs/>
              </w:rPr>
              <w:t>1.</w:t>
            </w:r>
          </w:p>
        </w:tc>
        <w:tc>
          <w:tcPr>
            <w:tcW w:w="2838" w:type="dxa"/>
            <w:gridSpan w:val="2"/>
          </w:tcPr>
          <w:p w:rsidR="005C1BDA" w:rsidRPr="009A5F93" w:rsidRDefault="005C1BDA" w:rsidP="00A44E90">
            <w:pPr>
              <w:ind w:left="57" w:right="57"/>
            </w:pPr>
            <w:r w:rsidRPr="009A5F93">
              <w:t>Projekta izpildē iesaistītās institūcijas</w:t>
            </w:r>
          </w:p>
        </w:tc>
        <w:tc>
          <w:tcPr>
            <w:tcW w:w="6043" w:type="dxa"/>
          </w:tcPr>
          <w:p w:rsidR="005C1BDA" w:rsidRPr="009A5F93" w:rsidRDefault="005C1BDA" w:rsidP="00A44E90">
            <w:pPr>
              <w:shd w:val="clear" w:color="auto" w:fill="FFFFFF"/>
              <w:ind w:left="57" w:right="113"/>
              <w:jc w:val="both"/>
            </w:pPr>
            <w:r w:rsidRPr="009A5F93">
              <w:t xml:space="preserve">Satiksmes ministrija kā atbildīgā iestāde, Centrālā finanšu un līgumu aģentūra kā sadarbības iestāde. </w:t>
            </w:r>
          </w:p>
        </w:tc>
      </w:tr>
      <w:tr w:rsidR="005C1BDA" w:rsidRPr="00387561" w:rsidTr="00A44E90">
        <w:trPr>
          <w:trHeight w:val="339"/>
        </w:trPr>
        <w:tc>
          <w:tcPr>
            <w:tcW w:w="333" w:type="dxa"/>
            <w:gridSpan w:val="2"/>
          </w:tcPr>
          <w:p w:rsidR="005C1BDA" w:rsidRPr="009A5F93" w:rsidRDefault="005C1BDA" w:rsidP="00A44E90">
            <w:pPr>
              <w:ind w:left="57" w:right="57"/>
              <w:jc w:val="both"/>
              <w:rPr>
                <w:bCs/>
              </w:rPr>
            </w:pPr>
            <w:r w:rsidRPr="009A5F93">
              <w:rPr>
                <w:bCs/>
              </w:rPr>
              <w:t>2.</w:t>
            </w:r>
          </w:p>
        </w:tc>
        <w:tc>
          <w:tcPr>
            <w:tcW w:w="2838" w:type="dxa"/>
            <w:gridSpan w:val="2"/>
          </w:tcPr>
          <w:p w:rsidR="005C1BDA" w:rsidRPr="009A5F93" w:rsidRDefault="005C1BDA" w:rsidP="00A44E90">
            <w:pPr>
              <w:ind w:left="57" w:right="57"/>
            </w:pPr>
            <w:r w:rsidRPr="009A5F93">
              <w:t xml:space="preserve">Projekta izpildes ietekme uz pārvaldes funkcijām un institucionālo struktūru. </w:t>
            </w:r>
          </w:p>
          <w:p w:rsidR="005C1BDA" w:rsidRPr="009A5F93" w:rsidRDefault="005C1BDA" w:rsidP="00A44E90">
            <w:pPr>
              <w:ind w:left="57" w:right="57"/>
            </w:pPr>
            <w:r w:rsidRPr="009A5F93">
              <w:t>Jaunu institūciju izveide, esošu institūciju likvidācija vai reorganizācija, to ietekme uz institūcijas cilvēkresursiem</w:t>
            </w:r>
          </w:p>
        </w:tc>
        <w:tc>
          <w:tcPr>
            <w:tcW w:w="6043" w:type="dxa"/>
          </w:tcPr>
          <w:p w:rsidR="005C1BDA" w:rsidRPr="009A5F93" w:rsidRDefault="005C1BDA" w:rsidP="00A44E90">
            <w:pPr>
              <w:shd w:val="clear" w:color="auto" w:fill="FFFFFF"/>
              <w:ind w:left="57" w:right="113"/>
              <w:jc w:val="both"/>
              <w:rPr>
                <w:kern w:val="24"/>
              </w:rPr>
            </w:pPr>
            <w:r w:rsidRPr="009A5F93">
              <w:t>Nav plānota jaunu institūciju izveide, esošu institūciju likvidācija vai reorganizācija.</w:t>
            </w:r>
          </w:p>
        </w:tc>
      </w:tr>
      <w:tr w:rsidR="005C1BDA" w:rsidRPr="00387561" w:rsidTr="00A44E90">
        <w:trPr>
          <w:trHeight w:val="351"/>
        </w:trPr>
        <w:tc>
          <w:tcPr>
            <w:tcW w:w="333" w:type="dxa"/>
            <w:gridSpan w:val="2"/>
          </w:tcPr>
          <w:p w:rsidR="005C1BDA" w:rsidRPr="009A5F93" w:rsidRDefault="005C1BDA" w:rsidP="00A44E90">
            <w:pPr>
              <w:ind w:left="57" w:right="57"/>
              <w:jc w:val="both"/>
              <w:rPr>
                <w:bCs/>
              </w:rPr>
            </w:pPr>
            <w:r w:rsidRPr="009A5F93">
              <w:rPr>
                <w:bCs/>
              </w:rPr>
              <w:t>3.</w:t>
            </w:r>
          </w:p>
        </w:tc>
        <w:tc>
          <w:tcPr>
            <w:tcW w:w="2838" w:type="dxa"/>
            <w:gridSpan w:val="2"/>
          </w:tcPr>
          <w:p w:rsidR="005C1BDA" w:rsidRPr="009A5F93" w:rsidRDefault="005C1BDA" w:rsidP="00A44E90">
            <w:pPr>
              <w:ind w:left="57" w:right="57"/>
            </w:pPr>
            <w:r w:rsidRPr="009A5F93">
              <w:t>Cita informācija</w:t>
            </w:r>
          </w:p>
        </w:tc>
        <w:tc>
          <w:tcPr>
            <w:tcW w:w="6043" w:type="dxa"/>
          </w:tcPr>
          <w:p w:rsidR="005C1BDA" w:rsidRPr="009A5F93" w:rsidRDefault="005C1BDA" w:rsidP="00A44E90">
            <w:pPr>
              <w:shd w:val="clear" w:color="auto" w:fill="FFFFFF"/>
              <w:ind w:left="57" w:right="113"/>
              <w:jc w:val="both"/>
            </w:pPr>
            <w:r w:rsidRPr="009A5F93">
              <w:t xml:space="preserve">Nav. </w:t>
            </w:r>
          </w:p>
        </w:tc>
      </w:tr>
    </w:tbl>
    <w:p w:rsidR="005C1BDA" w:rsidRPr="00387561" w:rsidRDefault="005C1BDA" w:rsidP="005C1BDA">
      <w:pPr>
        <w:jc w:val="both"/>
        <w:rPr>
          <w:highlight w:val="yellow"/>
        </w:rPr>
      </w:pPr>
    </w:p>
    <w:p w:rsidR="00E137CD" w:rsidRPr="00387561" w:rsidRDefault="00E137CD" w:rsidP="005C1BDA">
      <w:pPr>
        <w:jc w:val="both"/>
        <w:rPr>
          <w:highlight w:val="yellow"/>
        </w:rPr>
      </w:pPr>
    </w:p>
    <w:p w:rsidR="00154BCD" w:rsidRPr="00925BD0" w:rsidRDefault="00154BCD" w:rsidP="00154BCD">
      <w:pPr>
        <w:jc w:val="both"/>
        <w:rPr>
          <w:sz w:val="26"/>
          <w:szCs w:val="26"/>
          <w:highlight w:val="yellow"/>
        </w:rPr>
      </w:pPr>
    </w:p>
    <w:p w:rsidR="00154BCD" w:rsidRPr="0098468B" w:rsidRDefault="00154BCD" w:rsidP="00154BCD">
      <w:pPr>
        <w:jc w:val="both"/>
      </w:pPr>
      <w:r w:rsidRPr="0098468B">
        <w:t>Satiksmes ministrs</w:t>
      </w:r>
      <w:r w:rsidRPr="0098468B">
        <w:tab/>
      </w:r>
      <w:r w:rsidRPr="0098468B">
        <w:tab/>
      </w:r>
      <w:r w:rsidRPr="0098468B">
        <w:tab/>
      </w:r>
      <w:r w:rsidRPr="0098468B">
        <w:tab/>
      </w:r>
      <w:r w:rsidRPr="0098468B">
        <w:tab/>
      </w:r>
      <w:r w:rsidRPr="0098468B">
        <w:tab/>
      </w:r>
      <w:r w:rsidRPr="0098468B">
        <w:tab/>
      </w:r>
      <w:r w:rsidRPr="0098468B">
        <w:tab/>
      </w:r>
      <w:r w:rsidRPr="0098468B">
        <w:tab/>
        <w:t>U.Augulis</w:t>
      </w:r>
    </w:p>
    <w:p w:rsidR="00154BCD" w:rsidRPr="00925BD0" w:rsidRDefault="00154BCD" w:rsidP="00154BCD">
      <w:pPr>
        <w:jc w:val="both"/>
        <w:rPr>
          <w:highlight w:val="yellow"/>
        </w:rPr>
      </w:pPr>
    </w:p>
    <w:p w:rsidR="00154BCD" w:rsidRPr="00925BD0" w:rsidRDefault="00154BCD" w:rsidP="00154BCD">
      <w:pPr>
        <w:jc w:val="both"/>
        <w:rPr>
          <w:highlight w:val="yellow"/>
        </w:rPr>
      </w:pPr>
    </w:p>
    <w:p w:rsidR="00154BCD" w:rsidRPr="0098468B" w:rsidRDefault="00154BCD" w:rsidP="00154BCD">
      <w:pPr>
        <w:jc w:val="both"/>
      </w:pPr>
      <w:r w:rsidRPr="0098468B">
        <w:t xml:space="preserve">Vīza: </w:t>
      </w:r>
    </w:p>
    <w:p w:rsidR="00154BCD" w:rsidRPr="0098468B" w:rsidRDefault="00154BCD" w:rsidP="00154BCD">
      <w:pPr>
        <w:jc w:val="both"/>
      </w:pPr>
      <w:r w:rsidRPr="0098468B">
        <w:t>Valsts sekretārs</w:t>
      </w:r>
      <w:r w:rsidRPr="0098468B">
        <w:tab/>
      </w:r>
      <w:r w:rsidRPr="0098468B">
        <w:tab/>
      </w:r>
      <w:r w:rsidRPr="0098468B">
        <w:tab/>
      </w:r>
      <w:r w:rsidRPr="0098468B">
        <w:tab/>
      </w:r>
      <w:r w:rsidRPr="0098468B">
        <w:tab/>
      </w:r>
      <w:r w:rsidRPr="0098468B">
        <w:tab/>
      </w:r>
      <w:r w:rsidRPr="0098468B">
        <w:tab/>
      </w:r>
      <w:r w:rsidRPr="0098468B">
        <w:tab/>
      </w:r>
      <w:r w:rsidRPr="0098468B">
        <w:tab/>
        <w:t>K.Ozoliņš</w:t>
      </w:r>
    </w:p>
    <w:p w:rsidR="00154BCD" w:rsidRPr="00925BD0" w:rsidRDefault="00154BCD" w:rsidP="00154BCD">
      <w:pPr>
        <w:jc w:val="both"/>
        <w:rPr>
          <w:highlight w:val="yellow"/>
        </w:rPr>
      </w:pPr>
    </w:p>
    <w:p w:rsidR="00154BCD" w:rsidRPr="0098468B" w:rsidRDefault="00154BCD" w:rsidP="00154BCD">
      <w:pPr>
        <w:jc w:val="both"/>
      </w:pPr>
    </w:p>
    <w:p w:rsidR="00154BCD" w:rsidRPr="0098468B" w:rsidRDefault="00154BCD" w:rsidP="00154BCD">
      <w:pPr>
        <w:rPr>
          <w:sz w:val="18"/>
          <w:szCs w:val="18"/>
        </w:rPr>
      </w:pPr>
      <w:r>
        <w:rPr>
          <w:sz w:val="18"/>
          <w:szCs w:val="18"/>
        </w:rPr>
        <w:t>14.09.2017</w:t>
      </w:r>
      <w:r w:rsidRPr="0098468B">
        <w:rPr>
          <w:sz w:val="18"/>
          <w:szCs w:val="18"/>
        </w:rPr>
        <w:t xml:space="preserve">. </w:t>
      </w:r>
      <w:r w:rsidR="00DD390F">
        <w:rPr>
          <w:sz w:val="18"/>
          <w:szCs w:val="18"/>
        </w:rPr>
        <w:t>11</w:t>
      </w:r>
      <w:r w:rsidRPr="0098468B">
        <w:rPr>
          <w:sz w:val="18"/>
          <w:szCs w:val="18"/>
        </w:rPr>
        <w:t>:</w:t>
      </w:r>
      <w:r w:rsidR="00DD390F">
        <w:rPr>
          <w:sz w:val="18"/>
          <w:szCs w:val="18"/>
        </w:rPr>
        <w:t>35</w:t>
      </w:r>
    </w:p>
    <w:p w:rsidR="00154BCD" w:rsidRPr="0098468B" w:rsidRDefault="00DD390F" w:rsidP="00154BCD">
      <w:pPr>
        <w:jc w:val="both"/>
        <w:rPr>
          <w:sz w:val="18"/>
          <w:szCs w:val="18"/>
        </w:rPr>
      </w:pPr>
      <w:r>
        <w:rPr>
          <w:sz w:val="18"/>
          <w:szCs w:val="18"/>
        </w:rPr>
        <w:t>73</w:t>
      </w:r>
      <w:r w:rsidR="00377543">
        <w:rPr>
          <w:sz w:val="18"/>
          <w:szCs w:val="18"/>
        </w:rPr>
        <w:t>0</w:t>
      </w:r>
    </w:p>
    <w:p w:rsidR="00154BCD" w:rsidRPr="0098468B" w:rsidRDefault="00154BCD" w:rsidP="00154BCD">
      <w:pPr>
        <w:jc w:val="both"/>
        <w:rPr>
          <w:sz w:val="18"/>
          <w:szCs w:val="18"/>
        </w:rPr>
      </w:pPr>
      <w:r>
        <w:rPr>
          <w:sz w:val="18"/>
          <w:szCs w:val="18"/>
        </w:rPr>
        <w:t>V.Preimanis</w:t>
      </w:r>
    </w:p>
    <w:p w:rsidR="00154BCD" w:rsidRDefault="00154BCD" w:rsidP="00154BCD">
      <w:pPr>
        <w:jc w:val="both"/>
        <w:rPr>
          <w:sz w:val="18"/>
          <w:szCs w:val="18"/>
        </w:rPr>
      </w:pPr>
      <w:r w:rsidRPr="0098468B">
        <w:rPr>
          <w:sz w:val="18"/>
          <w:szCs w:val="18"/>
        </w:rPr>
        <w:t>670</w:t>
      </w:r>
      <w:r>
        <w:rPr>
          <w:sz w:val="18"/>
          <w:szCs w:val="18"/>
        </w:rPr>
        <w:t>282</w:t>
      </w:r>
      <w:r w:rsidRPr="0098468B">
        <w:rPr>
          <w:sz w:val="18"/>
          <w:szCs w:val="18"/>
        </w:rPr>
        <w:t xml:space="preserve">23, </w:t>
      </w:r>
      <w:hyperlink r:id="rId7" w:history="1">
        <w:r w:rsidRPr="00B02664">
          <w:rPr>
            <w:rStyle w:val="Hyperlink"/>
            <w:sz w:val="18"/>
            <w:szCs w:val="18"/>
          </w:rPr>
          <w:t>vilnis.preimanis@sam.gov.lv</w:t>
        </w:r>
      </w:hyperlink>
      <w:r>
        <w:rPr>
          <w:sz w:val="18"/>
          <w:szCs w:val="18"/>
        </w:rPr>
        <w:t xml:space="preserve"> </w:t>
      </w:r>
    </w:p>
    <w:p w:rsidR="005C1BDA" w:rsidRPr="00306837" w:rsidRDefault="005C1BDA" w:rsidP="00154BCD">
      <w:pPr>
        <w:jc w:val="both"/>
        <w:rPr>
          <w:sz w:val="20"/>
          <w:szCs w:val="20"/>
        </w:rPr>
      </w:pPr>
    </w:p>
    <w:sectPr w:rsidR="005C1BDA" w:rsidRPr="00306837" w:rsidSect="00306837">
      <w:headerReference w:type="default" r:id="rId8"/>
      <w:footerReference w:type="even" r:id="rId9"/>
      <w:footerReference w:type="default" r:id="rId10"/>
      <w:headerReference w:type="first" r:id="rId11"/>
      <w:footerReference w:type="first" r:id="rId12"/>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26" w:rsidRDefault="00851526">
      <w:r>
        <w:separator/>
      </w:r>
    </w:p>
  </w:endnote>
  <w:endnote w:type="continuationSeparator" w:id="0">
    <w:p w:rsidR="00851526" w:rsidRDefault="008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186C21" w:rsidRDefault="00C4730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F11EDC" w:rsidRDefault="00F11EDC" w:rsidP="00F11EDC">
    <w:pPr>
      <w:pStyle w:val="Footer"/>
      <w:jc w:val="both"/>
      <w:rPr>
        <w:sz w:val="18"/>
        <w:szCs w:val="18"/>
      </w:rPr>
    </w:pPr>
    <w:r w:rsidRPr="003B7B8C">
      <w:rPr>
        <w:sz w:val="18"/>
        <w:szCs w:val="18"/>
      </w:rPr>
      <w:t>SAMAnot_</w:t>
    </w:r>
    <w:r>
      <w:rPr>
        <w:sz w:val="18"/>
        <w:szCs w:val="18"/>
      </w:rPr>
      <w:t>1</w:t>
    </w:r>
    <w:r w:rsidR="003A5D85">
      <w:rPr>
        <w:sz w:val="18"/>
        <w:szCs w:val="18"/>
      </w:rPr>
      <w:t>409</w:t>
    </w:r>
    <w:r w:rsidRPr="003B7B8C">
      <w:rPr>
        <w:sz w:val="18"/>
        <w:szCs w:val="18"/>
      </w:rPr>
      <w:t>1</w:t>
    </w:r>
    <w:r>
      <w:rPr>
        <w:sz w:val="18"/>
        <w:szCs w:val="18"/>
      </w:rPr>
      <w:t>7</w:t>
    </w:r>
    <w:r w:rsidRPr="003B7B8C">
      <w:rPr>
        <w:sz w:val="18"/>
        <w:szCs w:val="18"/>
      </w:rPr>
      <w:t>_GrozMK</w:t>
    </w:r>
    <w:r>
      <w:rPr>
        <w:sz w:val="18"/>
        <w:szCs w:val="18"/>
      </w:rPr>
      <w:t>848</w:t>
    </w:r>
    <w:r w:rsidRPr="003B7B8C">
      <w:rPr>
        <w:sz w:val="18"/>
        <w:szCs w:val="18"/>
      </w:rPr>
      <w:t xml:space="preserve">; </w:t>
    </w:r>
    <w:r w:rsidRPr="00EA6CCD">
      <w:rPr>
        <w:sz w:val="18"/>
        <w:szCs w:val="18"/>
      </w:rPr>
      <w:t>Ministru kabine</w:t>
    </w:r>
    <w:r>
      <w:rPr>
        <w:sz w:val="18"/>
        <w:szCs w:val="18"/>
      </w:rPr>
      <w:t xml:space="preserve">ta noteikumu projekta </w:t>
    </w:r>
    <w:r w:rsidR="00594A7A">
      <w:rPr>
        <w:sz w:val="18"/>
        <w:szCs w:val="18"/>
      </w:rPr>
      <w:t>“</w:t>
    </w:r>
    <w:r>
      <w:rPr>
        <w:sz w:val="18"/>
        <w:szCs w:val="18"/>
      </w:rPr>
      <w:t>Grozījumi Ministru kabineta 2016</w:t>
    </w:r>
    <w:r w:rsidRPr="00EA6CCD">
      <w:rPr>
        <w:sz w:val="18"/>
        <w:szCs w:val="18"/>
      </w:rPr>
      <w:t>.</w:t>
    </w:r>
    <w:r>
      <w:rPr>
        <w:sz w:val="18"/>
        <w:szCs w:val="18"/>
      </w:rPr>
      <w:t xml:space="preserve"> </w:t>
    </w:r>
    <w:r w:rsidRPr="00EA6CCD">
      <w:rPr>
        <w:sz w:val="18"/>
        <w:szCs w:val="18"/>
      </w:rPr>
      <w:t xml:space="preserve">gada </w:t>
    </w:r>
    <w:r>
      <w:rPr>
        <w:sz w:val="18"/>
        <w:szCs w:val="18"/>
      </w:rPr>
      <w:t>20. decembra</w:t>
    </w:r>
    <w:r w:rsidRPr="00EA6CCD">
      <w:rPr>
        <w:sz w:val="18"/>
        <w:szCs w:val="18"/>
      </w:rPr>
      <w:t xml:space="preserve"> noteikumos Nr.</w:t>
    </w:r>
    <w:r>
      <w:rPr>
        <w:sz w:val="18"/>
        <w:szCs w:val="18"/>
      </w:rPr>
      <w:t xml:space="preserve"> 848 “Darbības programmas “Izaugsme un nodarbinātība”</w:t>
    </w:r>
    <w:r w:rsidRPr="00EA6CCD">
      <w:rPr>
        <w:sz w:val="18"/>
        <w:szCs w:val="18"/>
      </w:rPr>
      <w:t xml:space="preserve"> </w:t>
    </w:r>
    <w:r>
      <w:rPr>
        <w:sz w:val="18"/>
        <w:szCs w:val="18"/>
      </w:rPr>
      <w:t>4.5.1. specifiskā atbalsta mērķa “Attīstīt videi draudzīgu sabiedriskā transporta infrastruktūru” 4.5.1.2. pasākuma</w:t>
    </w:r>
    <w:r w:rsidRPr="00EA6CCD">
      <w:rPr>
        <w:sz w:val="18"/>
        <w:szCs w:val="18"/>
      </w:rPr>
      <w:t xml:space="preserve"> </w:t>
    </w:r>
    <w:r>
      <w:rPr>
        <w:sz w:val="18"/>
        <w:szCs w:val="18"/>
      </w:rPr>
      <w:t xml:space="preserve">“Attīstīt videi draudzīgu sabiedriskā transporta infrastruktūru (autobusi)” </w:t>
    </w:r>
    <w:r w:rsidRPr="00EA6CCD">
      <w:rPr>
        <w:sz w:val="18"/>
        <w:szCs w:val="18"/>
      </w:rPr>
      <w:t>īstenošanas noteikumi"</w:t>
    </w:r>
    <w:r w:rsidRPr="00F11EDC">
      <w:rPr>
        <w:sz w:val="18"/>
        <w:szCs w:val="18"/>
        <w:lang w:val="x-none"/>
      </w:rPr>
      <w:t xml:space="preserve"> </w:t>
    </w:r>
    <w:r w:rsidRPr="003B7B8C">
      <w:rPr>
        <w:sz w:val="18"/>
        <w:szCs w:val="18"/>
        <w:lang w:val="x-none"/>
      </w:rPr>
      <w:t>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F11EDC" w:rsidRDefault="006E65E2" w:rsidP="00F11EDC">
    <w:pPr>
      <w:pStyle w:val="Footer"/>
      <w:jc w:val="both"/>
      <w:rPr>
        <w:sz w:val="18"/>
        <w:szCs w:val="18"/>
      </w:rPr>
    </w:pPr>
    <w:r w:rsidRPr="003B7B8C">
      <w:rPr>
        <w:sz w:val="18"/>
        <w:szCs w:val="18"/>
      </w:rPr>
      <w:t>SAMAnot_</w:t>
    </w:r>
    <w:r w:rsidR="009C49A0">
      <w:rPr>
        <w:sz w:val="18"/>
        <w:szCs w:val="18"/>
      </w:rPr>
      <w:t>1</w:t>
    </w:r>
    <w:r w:rsidR="003A5D85">
      <w:rPr>
        <w:sz w:val="18"/>
        <w:szCs w:val="18"/>
      </w:rPr>
      <w:t>409</w:t>
    </w:r>
    <w:r w:rsidRPr="003B7B8C">
      <w:rPr>
        <w:sz w:val="18"/>
        <w:szCs w:val="18"/>
      </w:rPr>
      <w:t>1</w:t>
    </w:r>
    <w:r>
      <w:rPr>
        <w:sz w:val="18"/>
        <w:szCs w:val="18"/>
      </w:rPr>
      <w:t>7</w:t>
    </w:r>
    <w:r w:rsidRPr="003B7B8C">
      <w:rPr>
        <w:sz w:val="18"/>
        <w:szCs w:val="18"/>
      </w:rPr>
      <w:t>_GrozMK</w:t>
    </w:r>
    <w:r w:rsidR="009C49A0">
      <w:rPr>
        <w:sz w:val="18"/>
        <w:szCs w:val="18"/>
      </w:rPr>
      <w:t>848</w:t>
    </w:r>
    <w:r w:rsidRPr="003B7B8C">
      <w:rPr>
        <w:sz w:val="18"/>
        <w:szCs w:val="18"/>
      </w:rPr>
      <w:t xml:space="preserve">; </w:t>
    </w:r>
    <w:r w:rsidR="009C49A0" w:rsidRPr="00EA6CCD">
      <w:rPr>
        <w:sz w:val="18"/>
        <w:szCs w:val="18"/>
      </w:rPr>
      <w:t>Ministru kabine</w:t>
    </w:r>
    <w:r w:rsidR="00163569">
      <w:rPr>
        <w:sz w:val="18"/>
        <w:szCs w:val="18"/>
      </w:rPr>
      <w:t>ta noteikumu projekta</w:t>
    </w:r>
    <w:r w:rsidR="009C49A0">
      <w:rPr>
        <w:sz w:val="18"/>
        <w:szCs w:val="18"/>
      </w:rPr>
      <w:t xml:space="preserve"> </w:t>
    </w:r>
    <w:r w:rsidR="00594A7A">
      <w:rPr>
        <w:sz w:val="18"/>
        <w:szCs w:val="18"/>
      </w:rPr>
      <w:t>“</w:t>
    </w:r>
    <w:r w:rsidR="009C49A0">
      <w:rPr>
        <w:sz w:val="18"/>
        <w:szCs w:val="18"/>
      </w:rPr>
      <w:t>Grozījumi Ministru kabineta 2016</w:t>
    </w:r>
    <w:r w:rsidR="009C49A0" w:rsidRPr="00EA6CCD">
      <w:rPr>
        <w:sz w:val="18"/>
        <w:szCs w:val="18"/>
      </w:rPr>
      <w:t>.</w:t>
    </w:r>
    <w:r w:rsidR="009C49A0">
      <w:rPr>
        <w:sz w:val="18"/>
        <w:szCs w:val="18"/>
      </w:rPr>
      <w:t xml:space="preserve"> </w:t>
    </w:r>
    <w:r w:rsidR="009C49A0" w:rsidRPr="00EA6CCD">
      <w:rPr>
        <w:sz w:val="18"/>
        <w:szCs w:val="18"/>
      </w:rPr>
      <w:t xml:space="preserve">gada </w:t>
    </w:r>
    <w:r w:rsidR="009C49A0">
      <w:rPr>
        <w:sz w:val="18"/>
        <w:szCs w:val="18"/>
      </w:rPr>
      <w:t>20. decembra</w:t>
    </w:r>
    <w:r w:rsidR="009C49A0" w:rsidRPr="00EA6CCD">
      <w:rPr>
        <w:sz w:val="18"/>
        <w:szCs w:val="18"/>
      </w:rPr>
      <w:t xml:space="preserve"> noteikumos Nr.</w:t>
    </w:r>
    <w:r w:rsidR="009C49A0">
      <w:rPr>
        <w:sz w:val="18"/>
        <w:szCs w:val="18"/>
      </w:rPr>
      <w:t xml:space="preserve"> 848 “Darbības programmas “Izaugsme un nodarbinātība”</w:t>
    </w:r>
    <w:r w:rsidR="009C49A0" w:rsidRPr="00EA6CCD">
      <w:rPr>
        <w:sz w:val="18"/>
        <w:szCs w:val="18"/>
      </w:rPr>
      <w:t xml:space="preserve"> </w:t>
    </w:r>
    <w:r w:rsidR="009C49A0">
      <w:rPr>
        <w:sz w:val="18"/>
        <w:szCs w:val="18"/>
      </w:rPr>
      <w:t>4.5.1. specifiskā atbalsta mērķa “Attīstīt videi draudzīgu sabiedriskā transporta infrastruktūru” 4.5.1.2. pasākuma</w:t>
    </w:r>
    <w:r w:rsidR="009C49A0" w:rsidRPr="00EA6CCD">
      <w:rPr>
        <w:sz w:val="18"/>
        <w:szCs w:val="18"/>
      </w:rPr>
      <w:t xml:space="preserve"> </w:t>
    </w:r>
    <w:r w:rsidR="009C49A0">
      <w:rPr>
        <w:sz w:val="18"/>
        <w:szCs w:val="18"/>
      </w:rPr>
      <w:t xml:space="preserve">“Attīstīt videi draudzīgu sabiedriskā transporta infrastruktūru (autobusi)” </w:t>
    </w:r>
    <w:r w:rsidR="009C49A0" w:rsidRPr="00EA6CCD">
      <w:rPr>
        <w:sz w:val="18"/>
        <w:szCs w:val="18"/>
      </w:rPr>
      <w:t>īstenošanas noteikumi"</w:t>
    </w:r>
    <w:r w:rsidR="00F11EDC" w:rsidRPr="00F11EDC">
      <w:rPr>
        <w:sz w:val="18"/>
        <w:szCs w:val="18"/>
        <w:lang w:val="x-none"/>
      </w:rPr>
      <w:t xml:space="preserve"> </w:t>
    </w:r>
    <w:r w:rsidR="00F11EDC" w:rsidRPr="003B7B8C">
      <w:rPr>
        <w:sz w:val="18"/>
        <w:szCs w:val="18"/>
        <w:lang w:val="x-none"/>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26" w:rsidRDefault="00851526">
      <w:r>
        <w:separator/>
      </w:r>
    </w:p>
  </w:footnote>
  <w:footnote w:type="continuationSeparator" w:id="0">
    <w:p w:rsidR="00851526" w:rsidRDefault="008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Pr="003A5D85" w:rsidRDefault="00C47301" w:rsidP="00AE31DE">
    <w:pPr>
      <w:pStyle w:val="Header"/>
      <w:framePr w:wrap="auto" w:vAnchor="text" w:hAnchor="margin" w:xAlign="center" w:y="1"/>
      <w:rPr>
        <w:rStyle w:val="PageNumber"/>
        <w:sz w:val="20"/>
      </w:rPr>
    </w:pPr>
    <w:r w:rsidRPr="003A5D85">
      <w:rPr>
        <w:rStyle w:val="PageNumber"/>
        <w:sz w:val="20"/>
      </w:rPr>
      <w:fldChar w:fldCharType="begin"/>
    </w:r>
    <w:r w:rsidRPr="003A5D85">
      <w:rPr>
        <w:rStyle w:val="PageNumber"/>
        <w:sz w:val="20"/>
      </w:rPr>
      <w:instrText xml:space="preserve">PAGE  </w:instrText>
    </w:r>
    <w:r w:rsidRPr="003A5D85">
      <w:rPr>
        <w:rStyle w:val="PageNumber"/>
        <w:sz w:val="20"/>
      </w:rPr>
      <w:fldChar w:fldCharType="separate"/>
    </w:r>
    <w:r w:rsidR="00E0235D">
      <w:rPr>
        <w:rStyle w:val="PageNumber"/>
        <w:noProof/>
        <w:sz w:val="20"/>
      </w:rPr>
      <w:t>3</w:t>
    </w:r>
    <w:r w:rsidRPr="003A5D85">
      <w:rPr>
        <w:rStyle w:val="PageNumber"/>
        <w:sz w:val="20"/>
      </w:rPr>
      <w:fldChar w:fldCharType="end"/>
    </w:r>
  </w:p>
  <w:p w:rsidR="004F5197" w:rsidRDefault="00E0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97" w:rsidRDefault="00C47301" w:rsidP="00D21AEC">
    <w:pPr>
      <w:pStyle w:val="Header"/>
      <w:tabs>
        <w:tab w:val="clear" w:pos="4153"/>
        <w:tab w:val="clear" w:pos="8306"/>
        <w:tab w:val="center" w:pos="4535"/>
        <w:tab w:val="right" w:pos="9071"/>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A"/>
    <w:rsid w:val="00005C85"/>
    <w:rsid w:val="00007B68"/>
    <w:rsid w:val="0001371B"/>
    <w:rsid w:val="00026E09"/>
    <w:rsid w:val="00086E70"/>
    <w:rsid w:val="000C1B3B"/>
    <w:rsid w:val="000C3B03"/>
    <w:rsid w:val="000D1235"/>
    <w:rsid w:val="000F13D4"/>
    <w:rsid w:val="00154BCD"/>
    <w:rsid w:val="00163569"/>
    <w:rsid w:val="00171525"/>
    <w:rsid w:val="00175DE9"/>
    <w:rsid w:val="00180B17"/>
    <w:rsid w:val="00196B2C"/>
    <w:rsid w:val="001B6471"/>
    <w:rsid w:val="001C01EF"/>
    <w:rsid w:val="001F4145"/>
    <w:rsid w:val="002869CF"/>
    <w:rsid w:val="002A432B"/>
    <w:rsid w:val="00306837"/>
    <w:rsid w:val="0030706C"/>
    <w:rsid w:val="00341619"/>
    <w:rsid w:val="00377543"/>
    <w:rsid w:val="00387561"/>
    <w:rsid w:val="00397769"/>
    <w:rsid w:val="003A5D85"/>
    <w:rsid w:val="00414706"/>
    <w:rsid w:val="00440FD2"/>
    <w:rsid w:val="004456D6"/>
    <w:rsid w:val="004531DD"/>
    <w:rsid w:val="004976E7"/>
    <w:rsid w:val="004A2C02"/>
    <w:rsid w:val="005124D5"/>
    <w:rsid w:val="0055272F"/>
    <w:rsid w:val="00553177"/>
    <w:rsid w:val="00574121"/>
    <w:rsid w:val="00584637"/>
    <w:rsid w:val="005905B2"/>
    <w:rsid w:val="00591EE1"/>
    <w:rsid w:val="00594A7A"/>
    <w:rsid w:val="005B373E"/>
    <w:rsid w:val="005C1BDA"/>
    <w:rsid w:val="005E20BA"/>
    <w:rsid w:val="00645233"/>
    <w:rsid w:val="0065098C"/>
    <w:rsid w:val="00683C0D"/>
    <w:rsid w:val="006E65E2"/>
    <w:rsid w:val="007061B4"/>
    <w:rsid w:val="00707651"/>
    <w:rsid w:val="007102CD"/>
    <w:rsid w:val="00753CC5"/>
    <w:rsid w:val="00762F6A"/>
    <w:rsid w:val="0077204D"/>
    <w:rsid w:val="00785AE1"/>
    <w:rsid w:val="007F1EBE"/>
    <w:rsid w:val="008116F7"/>
    <w:rsid w:val="008270E9"/>
    <w:rsid w:val="0084505E"/>
    <w:rsid w:val="00851526"/>
    <w:rsid w:val="008634E6"/>
    <w:rsid w:val="00890658"/>
    <w:rsid w:val="008E15F2"/>
    <w:rsid w:val="00900D39"/>
    <w:rsid w:val="00930CD4"/>
    <w:rsid w:val="0093445D"/>
    <w:rsid w:val="00983A08"/>
    <w:rsid w:val="0098521F"/>
    <w:rsid w:val="009A5F93"/>
    <w:rsid w:val="009B5899"/>
    <w:rsid w:val="009C49A0"/>
    <w:rsid w:val="00A2084C"/>
    <w:rsid w:val="00A53C23"/>
    <w:rsid w:val="00A80E4B"/>
    <w:rsid w:val="00AA2870"/>
    <w:rsid w:val="00AE292B"/>
    <w:rsid w:val="00AF43C8"/>
    <w:rsid w:val="00B565D3"/>
    <w:rsid w:val="00B919B8"/>
    <w:rsid w:val="00BA6018"/>
    <w:rsid w:val="00C0649C"/>
    <w:rsid w:val="00C14E25"/>
    <w:rsid w:val="00C22BCC"/>
    <w:rsid w:val="00C439C1"/>
    <w:rsid w:val="00C47301"/>
    <w:rsid w:val="00D10FF7"/>
    <w:rsid w:val="00D643B8"/>
    <w:rsid w:val="00D64DD2"/>
    <w:rsid w:val="00DA6B54"/>
    <w:rsid w:val="00DB732E"/>
    <w:rsid w:val="00DC4E5B"/>
    <w:rsid w:val="00DD390F"/>
    <w:rsid w:val="00DE1585"/>
    <w:rsid w:val="00E0235D"/>
    <w:rsid w:val="00E137CD"/>
    <w:rsid w:val="00E4271C"/>
    <w:rsid w:val="00E701A6"/>
    <w:rsid w:val="00E84764"/>
    <w:rsid w:val="00EA6EF9"/>
    <w:rsid w:val="00EB336E"/>
    <w:rsid w:val="00ED1665"/>
    <w:rsid w:val="00F11EDC"/>
    <w:rsid w:val="00F16B00"/>
    <w:rsid w:val="00F349B1"/>
    <w:rsid w:val="00F426D1"/>
    <w:rsid w:val="00FB584A"/>
    <w:rsid w:val="00FC00DB"/>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7834528-ABF1-4E59-95D8-37F158A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4C"/>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BDA"/>
    <w:pPr>
      <w:tabs>
        <w:tab w:val="center" w:pos="4153"/>
        <w:tab w:val="right" w:pos="8306"/>
      </w:tabs>
    </w:pPr>
    <w:rPr>
      <w:lang w:val="x-none"/>
    </w:rPr>
  </w:style>
  <w:style w:type="character" w:customStyle="1" w:styleId="HeaderChar">
    <w:name w:val="Header Char"/>
    <w:basedOn w:val="DefaultParagraphFont"/>
    <w:link w:val="Header"/>
    <w:rsid w:val="005C1BDA"/>
    <w:rPr>
      <w:rFonts w:ascii="Times New Roman" w:eastAsia="Calibri" w:hAnsi="Times New Roman" w:cs="Times New Roman"/>
      <w:sz w:val="24"/>
      <w:szCs w:val="24"/>
      <w:lang w:val="x-none" w:eastAsia="lv-LV"/>
    </w:rPr>
  </w:style>
  <w:style w:type="character" w:styleId="PageNumber">
    <w:name w:val="page number"/>
    <w:rsid w:val="005C1BDA"/>
    <w:rPr>
      <w:rFonts w:cs="Times New Roman"/>
    </w:rPr>
  </w:style>
  <w:style w:type="paragraph" w:styleId="BodyText2">
    <w:name w:val="Body Text 2"/>
    <w:basedOn w:val="Normal"/>
    <w:link w:val="BodyText2Char"/>
    <w:semiHidden/>
    <w:rsid w:val="005C1BDA"/>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5C1BDA"/>
    <w:rPr>
      <w:rFonts w:ascii="Times New Roman" w:eastAsia="Calibri" w:hAnsi="Times New Roman" w:cs="Times New Roman"/>
      <w:b/>
      <w:bCs/>
      <w:sz w:val="28"/>
      <w:szCs w:val="28"/>
      <w:lang w:val="x-none" w:eastAsia="x-none"/>
    </w:rPr>
  </w:style>
  <w:style w:type="paragraph" w:styleId="ListParagraph">
    <w:name w:val="List Paragraph"/>
    <w:aliases w:val="2,Strip,H&amp;P List Paragraph"/>
    <w:basedOn w:val="Normal"/>
    <w:link w:val="ListParagraphChar"/>
    <w:qFormat/>
    <w:rsid w:val="005C1BDA"/>
    <w:pPr>
      <w:ind w:left="720"/>
      <w:contextualSpacing/>
    </w:pPr>
    <w:rPr>
      <w:rFonts w:eastAsia="Times New Roman"/>
      <w:sz w:val="22"/>
      <w:szCs w:val="22"/>
    </w:rPr>
  </w:style>
  <w:style w:type="paragraph" w:customStyle="1" w:styleId="naisnod">
    <w:name w:val="naisnod"/>
    <w:basedOn w:val="Normal"/>
    <w:rsid w:val="005C1BDA"/>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5C1BDA"/>
    <w:rPr>
      <w:rFonts w:ascii="Times New Roman" w:eastAsia="Times New Roman" w:hAnsi="Times New Roman" w:cs="Times New Roman"/>
      <w:lang w:eastAsia="lv-LV"/>
    </w:rPr>
  </w:style>
  <w:style w:type="paragraph" w:styleId="BalloonText">
    <w:name w:val="Balloon Text"/>
    <w:basedOn w:val="Normal"/>
    <w:link w:val="BalloonTextChar"/>
    <w:uiPriority w:val="99"/>
    <w:semiHidden/>
    <w:unhideWhenUsed/>
    <w:rsid w:val="001B6471"/>
    <w:rPr>
      <w:rFonts w:ascii="Tahoma" w:hAnsi="Tahoma" w:cs="Tahoma"/>
      <w:sz w:val="16"/>
      <w:szCs w:val="16"/>
    </w:rPr>
  </w:style>
  <w:style w:type="character" w:customStyle="1" w:styleId="BalloonTextChar">
    <w:name w:val="Balloon Text Char"/>
    <w:basedOn w:val="DefaultParagraphFont"/>
    <w:link w:val="BalloonText"/>
    <w:uiPriority w:val="99"/>
    <w:semiHidden/>
    <w:rsid w:val="001B6471"/>
    <w:rPr>
      <w:rFonts w:ascii="Tahoma" w:eastAsia="Calibri" w:hAnsi="Tahoma" w:cs="Tahoma"/>
      <w:sz w:val="16"/>
      <w:szCs w:val="16"/>
      <w:lang w:eastAsia="lv-LV"/>
    </w:rPr>
  </w:style>
  <w:style w:type="character" w:styleId="Hyperlink">
    <w:name w:val="Hyperlink"/>
    <w:uiPriority w:val="99"/>
    <w:rsid w:val="00154BCD"/>
    <w:rPr>
      <w:color w:val="0000FF"/>
      <w:u w:val="single"/>
    </w:rPr>
  </w:style>
  <w:style w:type="paragraph" w:styleId="Footer">
    <w:name w:val="footer"/>
    <w:basedOn w:val="Normal"/>
    <w:link w:val="FooterChar"/>
    <w:rsid w:val="006E65E2"/>
    <w:pPr>
      <w:tabs>
        <w:tab w:val="center" w:pos="4153"/>
        <w:tab w:val="right" w:pos="8306"/>
      </w:tabs>
    </w:pPr>
    <w:rPr>
      <w:rFonts w:eastAsia="Times New Roman"/>
    </w:rPr>
  </w:style>
  <w:style w:type="character" w:customStyle="1" w:styleId="FooterChar">
    <w:name w:val="Footer Char"/>
    <w:basedOn w:val="DefaultParagraphFont"/>
    <w:link w:val="Footer"/>
    <w:rsid w:val="006E65E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nis.preimanis@sa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FDE0-ADA0-4011-924E-2FD9A99E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3992</Words>
  <Characters>2276</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20. decembra noteikumos Nr.848 “Darbības programmas “Izaugsme un nodarbinātība” 4.5.1. specifiskā atbalsta mērķa “Attīstīt videi draudzīgu sabiedriskā transporta infrastruktūru”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20. decembra noteikumos Nr.848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creator>Vilnis.Preimanis@sam.gov.lv</dc:creator>
  <cp:keywords>MKN anotācija</cp:keywords>
  <dc:description>7028223, vilnis.preimanis@sam.gov.lv</dc:description>
  <cp:lastModifiedBy>Severīns Lukinskis</cp:lastModifiedBy>
  <cp:revision>2</cp:revision>
  <cp:lastPrinted>2017-09-13T12:54:00Z</cp:lastPrinted>
  <dcterms:created xsi:type="dcterms:W3CDTF">2017-09-19T07:39:00Z</dcterms:created>
  <dcterms:modified xsi:type="dcterms:W3CDTF">2017-09-19T07:39:00Z</dcterms:modified>
</cp:coreProperties>
</file>