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D02D11" w:rsidRPr="004668F6" w:rsidP="00D02D11" w14:paraId="0CEA7132" w14:textId="2E8823D1">
      <w:pPr>
        <w:spacing w:after="120"/>
        <w:jc w:val="center"/>
        <w:rPr>
          <w:b/>
        </w:rPr>
      </w:pPr>
      <w:r w:rsidRPr="004668F6">
        <w:rPr>
          <w:b/>
        </w:rPr>
        <w:t xml:space="preserve"> Ministru kabineta rīkojuma projekta „Par informācijas sabiedrības attīstības pamatnostādņu ieviešanu publiskās pārvaldes informācijas sistēmu jomā</w:t>
      </w:r>
      <w:r>
        <w:rPr>
          <w:b/>
        </w:rPr>
        <w:t xml:space="preserve"> </w:t>
      </w:r>
      <w:r w:rsidRPr="004668F6">
        <w:rPr>
          <w:b/>
        </w:rPr>
        <w:t xml:space="preserve">(mērķarhitektūras </w:t>
      </w:r>
      <w:r>
        <w:rPr>
          <w:b/>
        </w:rPr>
        <w:t>26.0</w:t>
      </w:r>
      <w:r w:rsidRPr="004668F6">
        <w:rPr>
          <w:b/>
        </w:rPr>
        <w:t xml:space="preserve"> versija</w:t>
      </w:r>
      <w:r>
        <w:rPr>
          <w:b/>
        </w:rPr>
        <w:t xml:space="preserve"> - </w:t>
      </w:r>
      <w:r w:rsidRPr="00FC3F99">
        <w:rPr>
          <w:b/>
        </w:rPr>
        <w:t>Vienotā datu telpa</w:t>
      </w:r>
      <w:r>
        <w:rPr>
          <w:b/>
        </w:rPr>
        <w:t>)</w:t>
      </w:r>
      <w:r w:rsidRPr="004668F6">
        <w:rPr>
          <w:b/>
        </w:rPr>
        <w:t xml:space="preserve">” </w:t>
      </w:r>
      <w:r w:rsidRPr="004668F6">
        <w:rPr>
          <w:b/>
          <w:bCs/>
          <w:lang w:eastAsia="en-US"/>
        </w:rPr>
        <w:t>sākotnējās ietekmes novērtējuma ziņojums (anotācija)</w:t>
      </w:r>
      <w:r w:rsidRPr="004668F6">
        <w:rPr>
          <w:b/>
          <w:lang w:eastAsia="en-US"/>
        </w:rPr>
        <w:t> </w:t>
      </w:r>
    </w:p>
    <w:p w:rsidR="00D02D11" w:rsidRPr="004668F6" w:rsidP="00D02D11" w14:paraId="19053427" w14:textId="77777777">
      <w:pPr>
        <w:jc w:val="center"/>
        <w:rPr>
          <w:lang w:eastAsia="en-US"/>
        </w:rPr>
      </w:pPr>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1986"/>
        <w:gridCol w:w="7092"/>
      </w:tblGrid>
      <w:tr w14:paraId="7C0BE6F1" w14:textId="77777777" w:rsidTr="00D02D11">
        <w:tblPrEx>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Ex>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D02D11" w:rsidRPr="004668F6" w:rsidP="00D02D11" w14:paraId="77AE7D5A" w14:textId="77777777">
            <w:pPr>
              <w:jc w:val="center"/>
              <w:rPr>
                <w:lang w:eastAsia="en-US"/>
              </w:rPr>
            </w:pPr>
            <w:r w:rsidRPr="004668F6">
              <w:rPr>
                <w:b/>
                <w:bCs/>
                <w:lang w:eastAsia="en-US"/>
              </w:rPr>
              <w:t> I. Tiesību akta izstrādes nepieciešamība</w:t>
            </w:r>
          </w:p>
        </w:tc>
      </w:tr>
      <w:tr w14:paraId="39BB4859" w14:textId="77777777" w:rsidTr="00D02D11">
        <w:tblPrEx>
          <w:tblW w:w="9840" w:type="dxa"/>
          <w:tblCellSpacing w:w="0" w:type="dxa"/>
          <w:tblInd w:w="-408" w:type="dxa"/>
          <w:tblCellMar>
            <w:left w:w="57" w:type="dxa"/>
            <w:right w:w="57" w:type="dxa"/>
          </w:tblCellMar>
          <w:tblLook w:val="04A0"/>
        </w:tblPrEx>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D02D11" w:rsidRPr="004668F6" w:rsidP="00D02D11" w14:paraId="6FA7B87D" w14:textId="77777777">
            <w:pPr>
              <w:rPr>
                <w:lang w:eastAsia="en-US"/>
              </w:rPr>
            </w:pPr>
            <w:r w:rsidRPr="004668F6">
              <w:rPr>
                <w:lang w:eastAsia="en-US"/>
              </w:rPr>
              <w:t> 1.</w:t>
            </w:r>
          </w:p>
        </w:tc>
        <w:tc>
          <w:tcPr>
            <w:tcW w:w="1986" w:type="dxa"/>
            <w:tcBorders>
              <w:top w:val="outset" w:sz="6" w:space="0" w:color="auto"/>
              <w:left w:val="outset" w:sz="6" w:space="0" w:color="auto"/>
              <w:bottom w:val="outset" w:sz="6" w:space="0" w:color="auto"/>
              <w:right w:val="outset" w:sz="6" w:space="0" w:color="auto"/>
            </w:tcBorders>
          </w:tcPr>
          <w:p w:rsidR="00D02D11" w:rsidRPr="004668F6" w:rsidP="00D02D11" w14:paraId="105D86E1" w14:textId="77777777">
            <w:pPr>
              <w:rPr>
                <w:lang w:eastAsia="en-US"/>
              </w:rPr>
            </w:pPr>
            <w:r w:rsidRPr="004668F6">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rsidR="00D02D11" w:rsidRPr="004668F6" w:rsidP="00D02D11" w14:paraId="6F0C15C4" w14:textId="77777777">
            <w:pPr>
              <w:numPr>
                <w:ilvl w:val="0"/>
                <w:numId w:val="4"/>
              </w:numPr>
              <w:ind w:right="212"/>
              <w:jc w:val="both"/>
            </w:pPr>
            <w:r>
              <w:t>2015.gada 17.</w:t>
            </w:r>
            <w:r w:rsidRPr="004668F6">
              <w:t xml:space="preserve">novembra Ministru kabineta </w:t>
            </w:r>
            <w:r>
              <w:t>noteikumu Nr.</w:t>
            </w:r>
            <w:r w:rsidRPr="004668F6">
              <w:t>653 „Darbības programmas „Izaugsme un nodarbinātība” 2.2.1. specifiskā atbalsta mērķa „Nodrošināt publisko datu atkalizmantošanas pieaugumu un efektīvu publiskās pārvaldes un privātā sektora mijiedarbību”</w:t>
            </w:r>
            <w:r>
              <w:t xml:space="preserve"> 2.2.1.1.</w:t>
            </w:r>
            <w:r w:rsidRPr="004668F6">
              <w:t xml:space="preserve">pasākuma „Centralizētu publiskās pārvaldes IKT platformu izveide, publiskās pārvaldes procesu optimizēšana un attīstība” īstenošanas noteikumi” (turpmāk – īstenošanas noteikumi) </w:t>
            </w:r>
            <w:r>
              <w:t>4.</w:t>
            </w:r>
            <w:r w:rsidRPr="004668F6">
              <w:t>punkts un 13.2.apakšpunkts.</w:t>
            </w:r>
          </w:p>
          <w:p w:rsidR="00D02D11" w:rsidRPr="004668F6" w:rsidP="00D02D11" w14:paraId="3DABEA9A" w14:textId="77777777">
            <w:pPr>
              <w:numPr>
                <w:ilvl w:val="0"/>
                <w:numId w:val="4"/>
              </w:numPr>
              <w:ind w:right="212"/>
              <w:jc w:val="both"/>
            </w:pPr>
            <w:r w:rsidRPr="004668F6">
              <w:t xml:space="preserve">Deklarācijas par Māra Kučinska vadītā Ministru kabineta iecerēto darbību 35.uzdevums „Nodrošināsim IKT publisko investīciju un e-pakalpojumu orientāciju uz jaunu produktu un pakalpojumu veidošanu un komercializāciju.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funkcijas”; </w:t>
            </w:r>
            <w:r>
              <w:t>4.darbības rezultāts “</w:t>
            </w:r>
            <w:r w:rsidRPr="00E17C5F">
              <w:t>Izveidota oficiālā elektroniskā adrese, sasniedzot 1 miljonu uz e-adresi nosūtīto dokumentu apjomu. Izveidots atvērto datu portāls, sniedzot iespēju gan fiziskām, gan juridiskām personām izmantot publiskās pārvaldes atvērtos datus jaunu pakalpojumu radīšanai. Izstrādātas publisko pakalpojumu elektroniskās piegādes platformas, datu izplatīšanas platformas, kā arī valsts informācijas resursu, sistēmu un sadarbspējas reģistra informācijas sistēmas projektējumi, lai paaugstinātu valsts informācijas sistēmu sadarbspēju un uzlabotu publiskās pārvaldes iestāžu reģistru datu apmaiņu un pieejamību</w:t>
            </w:r>
            <w:r>
              <w:t>” un 5.</w:t>
            </w:r>
            <w:r w:rsidRPr="004668F6">
              <w:t>darbības rezultāts „Nodrošināta IKT procesu koordinācija un pārvaldība, paaugstināta VARAM kapacitāte, nodrošinot 38 ERAF līdzfinansēto projektu iekļaušanos publiskās pārvaldes vienotajā arhitektūrā”.</w:t>
            </w:r>
          </w:p>
          <w:p w:rsidR="00D02D11" w:rsidRPr="004668F6" w:rsidP="00D02D11" w14:paraId="0753ED17" w14:textId="08121BA6">
            <w:pPr>
              <w:numPr>
                <w:ilvl w:val="0"/>
                <w:numId w:val="4"/>
              </w:numPr>
              <w:jc w:val="both"/>
            </w:pPr>
            <w:r>
              <w:t>Ministru kabineta 2016.gada 10.</w:t>
            </w:r>
            <w:r w:rsidRPr="004668F6">
              <w:t xml:space="preserve">februāra rīkojuma Nr.136 “Par informācijas sabiedrības attīstības pamatnostādņu </w:t>
            </w:r>
            <w:r w:rsidRPr="00C9327D">
              <w:t>ieviešanu publiskās pārvaldes informācijas sistēmu jomā” 4</w:t>
            </w:r>
            <w:r>
              <w:t>.</w:t>
            </w:r>
            <w:r w:rsidRPr="00C9327D">
              <w:rPr>
                <w:vertAlign w:val="superscript"/>
              </w:rPr>
              <w:t>1</w:t>
            </w:r>
            <w:r w:rsidRPr="00C9327D">
              <w:t>. punktā un 4.2. apakšpunktā noteiktais.</w:t>
            </w:r>
          </w:p>
        </w:tc>
      </w:tr>
      <w:tr w14:paraId="4F81AB98" w14:textId="77777777" w:rsidTr="00D02D11">
        <w:tblPrEx>
          <w:tblW w:w="9840" w:type="dxa"/>
          <w:tblCellSpacing w:w="0" w:type="dxa"/>
          <w:tblInd w:w="-408" w:type="dxa"/>
          <w:tblCellMar>
            <w:left w:w="57" w:type="dxa"/>
            <w:right w:w="57" w:type="dxa"/>
          </w:tblCellMar>
          <w:tblLook w:val="04A0"/>
        </w:tblPrEx>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rsidR="00D02D11" w:rsidRPr="004668F6" w:rsidP="00D02D11" w14:paraId="60D352A0" w14:textId="77777777">
            <w:pPr>
              <w:rPr>
                <w:lang w:eastAsia="en-US"/>
              </w:rPr>
            </w:pPr>
            <w:r w:rsidRPr="004668F6">
              <w:rPr>
                <w:lang w:eastAsia="en-US"/>
              </w:rPr>
              <w:t> 2.</w:t>
            </w:r>
          </w:p>
        </w:tc>
        <w:tc>
          <w:tcPr>
            <w:tcW w:w="1986" w:type="dxa"/>
            <w:tcBorders>
              <w:top w:val="outset" w:sz="6" w:space="0" w:color="auto"/>
              <w:left w:val="outset" w:sz="6" w:space="0" w:color="auto"/>
              <w:bottom w:val="outset" w:sz="6" w:space="0" w:color="auto"/>
              <w:right w:val="outset" w:sz="6" w:space="0" w:color="auto"/>
            </w:tcBorders>
          </w:tcPr>
          <w:p w:rsidR="00D02D11" w:rsidRPr="004668F6" w:rsidP="00D02D11" w14:paraId="2615AB3A" w14:textId="77777777">
            <w:pPr>
              <w:rPr>
                <w:lang w:eastAsia="en-US"/>
              </w:rPr>
            </w:pPr>
            <w:r w:rsidRPr="004668F6">
              <w:rPr>
                <w:lang w:eastAsia="en-US"/>
              </w:rPr>
              <w:t>Pašreizējā situācija un problēmas,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rsidR="00D02D11" w:rsidRPr="00E93878" w:rsidP="00D02D11" w14:paraId="2856A783" w14:textId="62A32384">
            <w:pPr>
              <w:pStyle w:val="ListParagraph"/>
              <w:spacing w:after="120" w:line="259" w:lineRule="auto"/>
              <w:ind w:left="0"/>
              <w:jc w:val="both"/>
              <w:rPr>
                <w:rFonts w:eastAsia="MS Mincho"/>
                <w:bCs/>
              </w:rPr>
            </w:pPr>
            <w:r w:rsidRPr="004668F6">
              <w:rPr>
                <w:lang w:val="x-none" w:eastAsia="zh-CN"/>
              </w:rPr>
              <w:t xml:space="preserve">Ar </w:t>
            </w:r>
            <w:r w:rsidRPr="004668F6">
              <w:t xml:space="preserve">Ministru kabineta rīkojuma projektu </w:t>
            </w:r>
            <w:r w:rsidRPr="004668F6">
              <w:rPr>
                <w:lang w:val="x-none" w:eastAsia="zh-CN"/>
              </w:rPr>
              <w:t>tiek apstiprināts un iekļauts</w:t>
            </w:r>
            <w:r w:rsidRPr="004668F6">
              <w:rPr>
                <w:lang w:eastAsia="zh-CN"/>
              </w:rPr>
              <w:t xml:space="preserve"> informācijas un komunikācijas tehnoloģiju (turpmāk – IKT) </w:t>
            </w:r>
            <w:r w:rsidRPr="004668F6">
              <w:rPr>
                <w:lang w:val="x-none" w:eastAsia="zh-CN"/>
              </w:rPr>
              <w:t xml:space="preserve">mērķarhitektūras </w:t>
            </w:r>
            <w:r>
              <w:rPr>
                <w:lang w:eastAsia="zh-CN"/>
              </w:rPr>
              <w:t>26.0</w:t>
            </w:r>
            <w:r w:rsidRPr="004668F6">
              <w:rPr>
                <w:lang w:eastAsia="zh-CN"/>
              </w:rPr>
              <w:t xml:space="preserve"> </w:t>
            </w:r>
            <w:r w:rsidRPr="004668F6">
              <w:rPr>
                <w:lang w:val="x-none" w:eastAsia="zh-CN"/>
              </w:rPr>
              <w:t xml:space="preserve">versijā  </w:t>
            </w:r>
            <w:r>
              <w:rPr>
                <w:lang w:eastAsia="zh-CN"/>
              </w:rPr>
              <w:t xml:space="preserve">Valsts reģionālās attīstības aģentūras (turpmāk - VRAA) </w:t>
            </w:r>
            <w:r w:rsidRPr="004668F6">
              <w:rPr>
                <w:lang w:val="x-none" w:eastAsia="zh-CN"/>
              </w:rPr>
              <w:t>projekt</w:t>
            </w:r>
            <w:r w:rsidRPr="004668F6">
              <w:rPr>
                <w:lang w:eastAsia="zh-CN"/>
              </w:rPr>
              <w:t>a</w:t>
            </w:r>
            <w:r w:rsidRPr="004668F6">
              <w:rPr>
                <w:lang w:val="x-none" w:eastAsia="zh-CN"/>
              </w:rPr>
              <w:t xml:space="preserve"> </w:t>
            </w:r>
            <w:r w:rsidRPr="004668F6">
              <w:rPr>
                <w:lang w:eastAsia="zh-CN"/>
              </w:rPr>
              <w:t>“</w:t>
            </w:r>
            <w:r w:rsidRPr="00E248F8">
              <w:rPr>
                <w:lang w:eastAsia="zh-CN"/>
              </w:rPr>
              <w:t>Vienotā datu telpa</w:t>
            </w:r>
            <w:r w:rsidRPr="004668F6">
              <w:rPr>
                <w:lang w:val="x-none" w:eastAsia="zh-CN"/>
              </w:rPr>
              <w:t>” (turpmāk –</w:t>
            </w:r>
            <w:r>
              <w:rPr>
                <w:lang w:eastAsia="zh-CN"/>
              </w:rPr>
              <w:t xml:space="preserve"> p</w:t>
            </w:r>
            <w:r w:rsidRPr="004668F6">
              <w:rPr>
                <w:lang w:eastAsia="zh-CN"/>
              </w:rPr>
              <w:t>rojekts</w:t>
            </w:r>
            <w:r w:rsidRPr="004668F6">
              <w:rPr>
                <w:lang w:val="x-none" w:eastAsia="zh-CN"/>
              </w:rPr>
              <w:t>)</w:t>
            </w:r>
            <w:r w:rsidRPr="004668F6">
              <w:rPr>
                <w:lang w:eastAsia="zh-CN"/>
              </w:rPr>
              <w:t xml:space="preserve"> apraksts</w:t>
            </w:r>
            <w:r w:rsidRPr="004668F6">
              <w:rPr>
                <w:lang w:val="x-none" w:eastAsia="zh-CN"/>
              </w:rPr>
              <w:t>, kas tika izv</w:t>
            </w:r>
            <w:r w:rsidRPr="004668F6">
              <w:rPr>
                <w:lang w:eastAsia="zh-CN"/>
              </w:rPr>
              <w:t xml:space="preserve">ērtēts atbilstoši Vides aizsardzības un reģionālās attīstības ministrijas (turpmāk – VARAM) izstrādātajai un apstiprinātajai metodikai par projektu iekļaušanu IKT mērķarhitektūrā. VARAM ir </w:t>
            </w:r>
            <w:r w:rsidRPr="004668F6">
              <w:rPr>
                <w:lang w:eastAsia="zh-CN"/>
              </w:rPr>
              <w:t xml:space="preserve">atbalstījis </w:t>
            </w:r>
            <w:r>
              <w:rPr>
                <w:lang w:eastAsia="zh-CN"/>
              </w:rPr>
              <w:t>p</w:t>
            </w:r>
            <w:r w:rsidRPr="004668F6">
              <w:rPr>
                <w:lang w:eastAsia="zh-CN"/>
              </w:rPr>
              <w:t>rojekta iekļaušanu IKT mērķarhitektūras kārtējā versijā. Projekts veicina d</w:t>
            </w:r>
            <w:r w:rsidRPr="004668F6">
              <w:rPr>
                <w:rFonts w:eastAsia="MS Mincho"/>
                <w:bCs/>
              </w:rPr>
              <w:t xml:space="preserve">arbības programmas „Izaugsme un nodarbinātība” specifiskā atbalsta mērķa „Nodrošināt publisko datu atkalizmantošanas pieaugumu un efektīvu publiskās pārvaldes un privātā sektora mijiedarbību” 2.2.1.1. pasākumam „Centralizētu publiskās pārvaldes IKT platformu izveide, publiskās pārvaldes procesu optimizēšana un attīstība” izvirzīto rādītāju sasniegšanu, </w:t>
            </w:r>
            <w:r>
              <w:rPr>
                <w:rFonts w:eastAsia="MS Mincho"/>
                <w:bCs/>
              </w:rPr>
              <w:t>pilnveidojot un attīstot 10 darbības procesus, ieviešot un pilnveidojot 4 c</w:t>
            </w:r>
            <w:r w:rsidRPr="00082955">
              <w:rPr>
                <w:rFonts w:eastAsia="MS Mincho"/>
                <w:bCs/>
              </w:rPr>
              <w:t>entralizētas atvērtas informācijas sistēmu platformas</w:t>
            </w:r>
            <w:r>
              <w:rPr>
                <w:rFonts w:eastAsia="MS Mincho"/>
                <w:bCs/>
              </w:rPr>
              <w:t xml:space="preserve">, publicējot 12 </w:t>
            </w:r>
            <w:r w:rsidRPr="002A5236">
              <w:rPr>
                <w:rFonts w:eastAsia="MS Mincho"/>
                <w:bCs/>
              </w:rPr>
              <w:t>koplietošanas datu kopas</w:t>
            </w:r>
            <w:r>
              <w:rPr>
                <w:rFonts w:eastAsia="MS Mincho"/>
                <w:bCs/>
              </w:rPr>
              <w:t xml:space="preserve"> un no tām 3 </w:t>
            </w:r>
            <w:r w:rsidRPr="002A5236">
              <w:rPr>
                <w:rFonts w:eastAsia="MS Mincho"/>
                <w:bCs/>
              </w:rPr>
              <w:t>koplietošanas datu kopas ātrdarbīgai piekļuvei</w:t>
            </w:r>
            <w:r>
              <w:rPr>
                <w:rFonts w:eastAsia="MS Mincho"/>
                <w:bCs/>
              </w:rPr>
              <w:t xml:space="preserve">. </w:t>
            </w:r>
          </w:p>
          <w:p w:rsidR="00D02D11" w:rsidRPr="002051B5" w:rsidP="0076139B" w14:paraId="1F652575" w14:textId="31053929">
            <w:pPr>
              <w:tabs>
                <w:tab w:val="left" w:pos="0"/>
              </w:tabs>
              <w:spacing w:before="80" w:after="80"/>
              <w:jc w:val="both"/>
              <w:rPr>
                <w:rFonts w:eastAsiaTheme="minorHAnsi"/>
                <w:bCs/>
                <w:szCs w:val="22"/>
                <w:lang w:eastAsia="en-US"/>
              </w:rPr>
            </w:pPr>
            <w:r w:rsidRPr="002A5236">
              <w:rPr>
                <w:rFonts w:eastAsiaTheme="minorHAnsi"/>
                <w:bCs/>
                <w:szCs w:val="22"/>
                <w:lang w:eastAsia="en-US"/>
              </w:rPr>
              <w:t>Projekts turpina VARAM projekta</w:t>
            </w:r>
            <w:r>
              <w:rPr>
                <w:rFonts w:eastAsiaTheme="minorHAnsi"/>
                <w:bCs/>
                <w:szCs w:val="22"/>
                <w:lang w:eastAsia="en-US"/>
              </w:rPr>
              <w:t xml:space="preserve"> (Nr.</w:t>
            </w:r>
            <w:r w:rsidRPr="007D4483">
              <w:rPr>
                <w:rFonts w:eastAsiaTheme="minorHAnsi"/>
                <w:bCs/>
                <w:szCs w:val="22"/>
                <w:lang w:eastAsia="en-US"/>
              </w:rPr>
              <w:t>2.2.1.1/16/I/001</w:t>
            </w:r>
            <w:r>
              <w:rPr>
                <w:rFonts w:eastAsiaTheme="minorHAnsi"/>
                <w:bCs/>
                <w:szCs w:val="22"/>
                <w:lang w:eastAsia="en-US"/>
              </w:rPr>
              <w:t>)</w:t>
            </w:r>
            <w:r w:rsidRPr="002A5236">
              <w:rPr>
                <w:rFonts w:eastAsiaTheme="minorHAnsi"/>
                <w:bCs/>
                <w:szCs w:val="22"/>
                <w:lang w:eastAsia="en-US"/>
              </w:rPr>
              <w:t xml:space="preserve"> “Publiskās pārvaldes informācijas un komunikāciju tehnoloģiju arhitektūras pārvaldības sistēma” (turpmāk – PIKTAPS) uzsāktās aktivitātes, kā arī ir cieši saistīts ar VRAA projektu “Pakalpojumu sniegšanas un pārvaldības platforma”. </w:t>
            </w:r>
          </w:p>
          <w:p w:rsidR="00D02D11" w:rsidRPr="00B9494D" w:rsidP="00D02D11" w14:paraId="065ABD51" w14:textId="77777777">
            <w:pPr>
              <w:pStyle w:val="ListParagraph"/>
              <w:spacing w:before="80" w:after="120" w:line="259" w:lineRule="auto"/>
              <w:ind w:left="0"/>
              <w:jc w:val="both"/>
              <w:rPr>
                <w:rFonts w:eastAsia="MS Mincho"/>
                <w:bCs/>
              </w:rPr>
            </w:pPr>
            <w:r w:rsidRPr="00B9494D">
              <w:rPr>
                <w:rFonts w:eastAsia="MS Mincho"/>
                <w:bCs/>
              </w:rPr>
              <w:t xml:space="preserve">Projekta </w:t>
            </w:r>
            <w:r>
              <w:rPr>
                <w:rFonts w:eastAsia="MS Mincho"/>
                <w:bCs/>
              </w:rPr>
              <w:t>realizācija</w:t>
            </w:r>
            <w:r w:rsidRPr="00B9494D">
              <w:rPr>
                <w:rFonts w:eastAsia="MS Mincho"/>
                <w:bCs/>
              </w:rPr>
              <w:t xml:space="preserve"> ir saistīta un izriet no valsts un nozares prioritātēm, kas definētas šādos dokumentos:</w:t>
            </w:r>
          </w:p>
          <w:p w:rsidR="00D02D11" w:rsidRPr="00B9494D" w:rsidP="00D02D11" w14:paraId="621D8EA9" w14:textId="6BE7D1F9">
            <w:pPr>
              <w:pStyle w:val="ListParagraph"/>
              <w:spacing w:after="120" w:line="259" w:lineRule="auto"/>
              <w:ind w:left="421" w:hanging="421"/>
              <w:jc w:val="both"/>
              <w:rPr>
                <w:rFonts w:eastAsia="MS Mincho"/>
                <w:bCs/>
              </w:rPr>
            </w:pPr>
            <w:r w:rsidRPr="00B9494D">
              <w:rPr>
                <w:rFonts w:eastAsia="MS Mincho"/>
                <w:bCs/>
              </w:rPr>
              <w:t>1.</w:t>
            </w:r>
            <w:r w:rsidRPr="00B9494D">
              <w:rPr>
                <w:rFonts w:eastAsia="MS Mincho"/>
                <w:bCs/>
              </w:rPr>
              <w:tab/>
              <w:t>Informācijas sabiedrības attīstības pamatnostādnes 2014. - 2020.gadam (apstiprinātas ar Ministru kabineta 2013.ga</w:t>
            </w:r>
            <w:r>
              <w:rPr>
                <w:rFonts w:eastAsia="MS Mincho"/>
                <w:bCs/>
              </w:rPr>
              <w:t>da 14.oktobra rīkojumu Nr. 486)</w:t>
            </w:r>
            <w:r w:rsidRPr="00B9494D">
              <w:rPr>
                <w:rFonts w:eastAsia="MS Mincho"/>
                <w:bCs/>
              </w:rPr>
              <w:t>:</w:t>
            </w:r>
          </w:p>
          <w:p w:rsidR="00D02D11" w:rsidRPr="00B9494D" w:rsidP="00D02D11" w14:paraId="22F6D91D" w14:textId="77777777">
            <w:pPr>
              <w:pStyle w:val="ListParagraph"/>
              <w:spacing w:after="120" w:line="259" w:lineRule="auto"/>
              <w:ind w:left="705" w:hanging="563"/>
              <w:jc w:val="both"/>
              <w:rPr>
                <w:rFonts w:eastAsia="MS Mincho"/>
                <w:bCs/>
              </w:rPr>
            </w:pPr>
            <w:r>
              <w:rPr>
                <w:rFonts w:eastAsia="MS Mincho"/>
                <w:bCs/>
              </w:rPr>
              <w:t>1.1.</w:t>
            </w:r>
            <w:r>
              <w:rPr>
                <w:rFonts w:eastAsia="MS Mincho"/>
                <w:bCs/>
              </w:rPr>
              <w:tab/>
              <w:t>p</w:t>
            </w:r>
            <w:r w:rsidRPr="00B9494D">
              <w:rPr>
                <w:rFonts w:eastAsia="MS Mincho"/>
                <w:bCs/>
              </w:rPr>
              <w:t>ubliskās pārvaldes dati tautsaimniecības izaugsmei – viens no e</w:t>
            </w:r>
            <w:r>
              <w:rPr>
                <w:rFonts w:eastAsia="MS Mincho"/>
                <w:bCs/>
              </w:rPr>
              <w:t>-</w:t>
            </w:r>
            <w:r w:rsidRPr="00B9494D">
              <w:rPr>
                <w:rFonts w:eastAsia="MS Mincho"/>
                <w:bCs/>
              </w:rPr>
              <w:t>pārvaldes pamatprincipiem;</w:t>
            </w:r>
          </w:p>
          <w:p w:rsidR="00D02D11" w:rsidRPr="00B9494D" w:rsidP="00D02D11" w14:paraId="72F400B4" w14:textId="77777777">
            <w:pPr>
              <w:pStyle w:val="ListParagraph"/>
              <w:spacing w:after="120" w:line="259" w:lineRule="auto"/>
              <w:ind w:left="705" w:hanging="563"/>
              <w:jc w:val="both"/>
              <w:rPr>
                <w:rFonts w:eastAsia="MS Mincho"/>
                <w:bCs/>
              </w:rPr>
            </w:pPr>
            <w:r>
              <w:rPr>
                <w:rFonts w:eastAsia="MS Mincho"/>
                <w:bCs/>
              </w:rPr>
              <w:t>1.2.</w:t>
            </w:r>
            <w:r>
              <w:rPr>
                <w:rFonts w:eastAsia="MS Mincho"/>
                <w:bCs/>
              </w:rPr>
              <w:tab/>
              <w:t>v</w:t>
            </w:r>
            <w:r w:rsidRPr="00B9494D">
              <w:rPr>
                <w:rFonts w:eastAsia="MS Mincho"/>
                <w:bCs/>
              </w:rPr>
              <w:t>ienotas publiskās pārvaldes datu telpas izveide – viens no pamatnostādnēs definētajiem rīcības virzieniem;</w:t>
            </w:r>
          </w:p>
          <w:p w:rsidR="00D02D11" w:rsidRPr="00B9494D" w:rsidP="00D02D11" w14:paraId="15CBEB0F" w14:textId="77777777">
            <w:pPr>
              <w:pStyle w:val="ListParagraph"/>
              <w:spacing w:after="120" w:line="259" w:lineRule="auto"/>
              <w:ind w:left="705" w:hanging="563"/>
              <w:jc w:val="both"/>
              <w:rPr>
                <w:rFonts w:eastAsia="MS Mincho"/>
                <w:bCs/>
              </w:rPr>
            </w:pPr>
            <w:r>
              <w:rPr>
                <w:rFonts w:eastAsia="MS Mincho"/>
                <w:bCs/>
              </w:rPr>
              <w:t>1.3.</w:t>
            </w:r>
            <w:r>
              <w:rPr>
                <w:rFonts w:eastAsia="MS Mincho"/>
                <w:bCs/>
              </w:rPr>
              <w:tab/>
              <w:t>p</w:t>
            </w:r>
            <w:r w:rsidRPr="00B9494D">
              <w:rPr>
                <w:rFonts w:eastAsia="MS Mincho"/>
                <w:bCs/>
              </w:rPr>
              <w:t>ubliskās pārvaldes datu un transakciju pakalpojumu atvēršana citiem lietotājiem – viens no pamatnostādņu definētajiem apakšvirzieniem (daļa no rīcības virziena “E-pakalpojumi un digitālais saturs sabiedrībai”).</w:t>
            </w:r>
          </w:p>
          <w:p w:rsidR="00D02D11" w:rsidRPr="00B9494D" w:rsidP="00D02D11" w14:paraId="4B05670E" w14:textId="4A545C46">
            <w:pPr>
              <w:pStyle w:val="ListParagraph"/>
              <w:spacing w:after="120" w:line="259" w:lineRule="auto"/>
              <w:ind w:left="421" w:hanging="421"/>
              <w:jc w:val="both"/>
              <w:rPr>
                <w:rFonts w:eastAsia="MS Mincho"/>
                <w:bCs/>
              </w:rPr>
            </w:pPr>
            <w:r w:rsidRPr="00B9494D">
              <w:rPr>
                <w:rFonts w:eastAsia="MS Mincho"/>
                <w:bCs/>
              </w:rPr>
              <w:t>2.</w:t>
            </w:r>
            <w:r w:rsidRPr="00B9494D">
              <w:rPr>
                <w:rFonts w:eastAsia="MS Mincho"/>
                <w:bCs/>
              </w:rPr>
              <w:tab/>
              <w:t>Eiropas Parlamenta un Padomes</w:t>
            </w:r>
            <w:r>
              <w:rPr>
                <w:rStyle w:val="CommentReference"/>
                <w:lang w:eastAsia="lv-LV"/>
              </w:rPr>
              <w:t xml:space="preserve"> </w:t>
            </w:r>
            <w:r w:rsidRPr="0064301C">
              <w:rPr>
                <w:rStyle w:val="CommentReference"/>
                <w:sz w:val="24"/>
                <w:lang w:eastAsia="lv-LV"/>
              </w:rPr>
              <w:t>2</w:t>
            </w:r>
            <w:r>
              <w:rPr>
                <w:rStyle w:val="CommentReference"/>
                <w:sz w:val="24"/>
                <w:lang w:eastAsia="lv-LV"/>
              </w:rPr>
              <w:t xml:space="preserve">003.gada 17.novembra </w:t>
            </w:r>
            <w:r w:rsidRPr="00B9494D">
              <w:rPr>
                <w:rFonts w:eastAsia="MS Mincho"/>
                <w:bCs/>
              </w:rPr>
              <w:t xml:space="preserve">Direktīvas 2003/98/EK </w:t>
            </w:r>
            <w:r>
              <w:rPr>
                <w:rFonts w:eastAsia="MS Mincho"/>
                <w:bCs/>
              </w:rPr>
              <w:t xml:space="preserve"> </w:t>
            </w:r>
            <w:r w:rsidRPr="00B9494D">
              <w:rPr>
                <w:rFonts w:eastAsia="MS Mincho"/>
                <w:bCs/>
              </w:rPr>
              <w:t>par valsts sektora informācijas atkalizmantošanu (PSI direktīva) un ar to saistītās iniciatīvas atvērto datu jomā, t. s</w:t>
            </w:r>
            <w:r>
              <w:rPr>
                <w:rFonts w:eastAsia="MS Mincho"/>
                <w:bCs/>
              </w:rPr>
              <w:t>k. atvērto datu portālu izveide</w:t>
            </w:r>
            <w:r w:rsidRPr="00B9494D">
              <w:rPr>
                <w:rFonts w:eastAsia="MS Mincho"/>
                <w:bCs/>
              </w:rPr>
              <w:t>;</w:t>
            </w:r>
          </w:p>
          <w:p w:rsidR="00D02D11" w:rsidRPr="00B9494D" w:rsidP="00D02D11" w14:paraId="294F5E4D" w14:textId="37A38BFA">
            <w:pPr>
              <w:pStyle w:val="ListParagraph"/>
              <w:spacing w:after="120" w:line="259" w:lineRule="auto"/>
              <w:ind w:left="421" w:hanging="421"/>
              <w:jc w:val="both"/>
              <w:rPr>
                <w:rFonts w:eastAsia="MS Mincho"/>
                <w:bCs/>
              </w:rPr>
            </w:pPr>
            <w:r w:rsidRPr="00B9494D">
              <w:rPr>
                <w:rFonts w:eastAsia="MS Mincho"/>
                <w:bCs/>
              </w:rPr>
              <w:t>3.</w:t>
            </w:r>
            <w:r w:rsidRPr="00B9494D">
              <w:rPr>
                <w:rFonts w:eastAsia="MS Mincho"/>
                <w:bCs/>
              </w:rPr>
              <w:tab/>
              <w:t>Publiskās pārvaldes informācijas sistēmu konceptuālās arhitektūra (informatīvais ziņojums “Par publiskās pārvaldes informācijas sistēmu konceptuālo arhitektūru</w:t>
            </w:r>
            <w:r w:rsidR="00EE24E3">
              <w:rPr>
                <w:rFonts w:eastAsia="MS Mincho"/>
                <w:bCs/>
              </w:rPr>
              <w:t>”</w:t>
            </w:r>
            <w:r w:rsidRPr="00B9494D">
              <w:rPr>
                <w:rFonts w:eastAsia="MS Mincho"/>
                <w:bCs/>
              </w:rPr>
              <w:t>,</w:t>
            </w:r>
            <w:r w:rsidR="00AC152F">
              <w:rPr>
                <w:rFonts w:eastAsia="MS Mincho"/>
                <w:bCs/>
              </w:rPr>
              <w:t xml:space="preserve"> izskatīts Ministru kabineta 2015.gada 10.marta sēdē (prot. Nr.14 22. </w:t>
            </w:r>
            <w:r w:rsidRPr="00AC152F" w:rsidR="00AC152F">
              <w:rPr>
                <w:rFonts w:eastAsia="MS Mincho"/>
                <w:bCs/>
              </w:rPr>
              <w:t>§</w:t>
            </w:r>
            <w:r w:rsidR="00AC152F">
              <w:rPr>
                <w:rFonts w:eastAsia="MS Mincho"/>
                <w:bCs/>
              </w:rPr>
              <w:t>)</w:t>
            </w:r>
            <w:r w:rsidRPr="00B9494D">
              <w:rPr>
                <w:rFonts w:eastAsia="MS Mincho"/>
                <w:bCs/>
              </w:rPr>
              <w:t xml:space="preserve"> kas nosaka vienotās datu telpas izveides pamatprincipus;</w:t>
            </w:r>
          </w:p>
          <w:p w:rsidR="00D02D11" w:rsidRPr="00B9494D" w:rsidP="00D02D11" w14:paraId="64E17E1F" w14:textId="477A47BC">
            <w:pPr>
              <w:pStyle w:val="ListParagraph"/>
              <w:spacing w:after="120" w:line="259" w:lineRule="auto"/>
              <w:ind w:left="421" w:hanging="421"/>
              <w:jc w:val="both"/>
              <w:rPr>
                <w:rFonts w:eastAsia="MS Mincho"/>
                <w:bCs/>
              </w:rPr>
            </w:pPr>
            <w:r w:rsidRPr="00B9494D">
              <w:rPr>
                <w:rFonts w:eastAsia="MS Mincho"/>
                <w:bCs/>
              </w:rPr>
              <w:t>4.</w:t>
            </w:r>
            <w:r w:rsidRPr="00B9494D">
              <w:rPr>
                <w:rFonts w:eastAsia="MS Mincho"/>
                <w:bCs/>
              </w:rPr>
              <w:tab/>
            </w:r>
            <w:r>
              <w:t>Īstenošanas noteikumi,</w:t>
            </w:r>
            <w:r w:rsidRPr="00B9494D">
              <w:rPr>
                <w:rFonts w:eastAsia="MS Mincho"/>
                <w:bCs/>
              </w:rPr>
              <w:t xml:space="preserve"> kas nosaka šādus mērķus:</w:t>
            </w:r>
          </w:p>
          <w:p w:rsidR="00D02D11" w:rsidRPr="00B9494D" w:rsidP="00D02D11" w14:paraId="39B05669" w14:textId="77777777">
            <w:pPr>
              <w:pStyle w:val="ListParagraph"/>
              <w:spacing w:after="120" w:line="259" w:lineRule="auto"/>
              <w:ind w:left="705" w:hanging="563"/>
              <w:jc w:val="both"/>
              <w:rPr>
                <w:rFonts w:eastAsia="MS Mincho"/>
                <w:bCs/>
              </w:rPr>
            </w:pPr>
            <w:r w:rsidRPr="00B9494D">
              <w:rPr>
                <w:rFonts w:eastAsia="MS Mincho"/>
                <w:bCs/>
              </w:rPr>
              <w:t>4.1.</w:t>
            </w:r>
            <w:r w:rsidRPr="00B9494D">
              <w:rPr>
                <w:rFonts w:eastAsia="MS Mincho"/>
                <w:bCs/>
              </w:rPr>
              <w:tab/>
              <w:t xml:space="preserve">valsts informāciju sistēmās esošo datu izmantošanu citās valsts un pašvaldību iestādēs, nepieprasot datu subjektiem iesniegt tos atkārtoti; </w:t>
            </w:r>
          </w:p>
          <w:p w:rsidR="00D02D11" w:rsidRPr="00B9494D" w:rsidP="00D02D11" w14:paraId="3CEFCA3E" w14:textId="77777777">
            <w:pPr>
              <w:pStyle w:val="ListParagraph"/>
              <w:spacing w:after="120" w:line="259" w:lineRule="auto"/>
              <w:ind w:left="705" w:hanging="563"/>
              <w:jc w:val="both"/>
              <w:rPr>
                <w:rFonts w:eastAsia="MS Mincho"/>
                <w:bCs/>
              </w:rPr>
            </w:pPr>
            <w:r w:rsidRPr="00B9494D">
              <w:rPr>
                <w:rFonts w:eastAsia="MS Mincho"/>
                <w:bCs/>
              </w:rPr>
              <w:t>4.2.</w:t>
            </w:r>
            <w:r w:rsidRPr="00B9494D">
              <w:rPr>
                <w:rFonts w:eastAsia="MS Mincho"/>
                <w:bCs/>
              </w:rPr>
              <w:tab/>
              <w:t xml:space="preserve">valsts informācijas sistēmās uzkrājamo datu nodošanu pašvaldībām; </w:t>
            </w:r>
          </w:p>
          <w:p w:rsidR="00D02D11" w:rsidP="00D02D11" w14:paraId="562E8D08" w14:textId="77777777">
            <w:pPr>
              <w:pStyle w:val="ListParagraph"/>
              <w:spacing w:after="120" w:line="259" w:lineRule="auto"/>
              <w:ind w:left="705" w:hanging="563"/>
              <w:jc w:val="both"/>
              <w:rPr>
                <w:rFonts w:eastAsia="MS Mincho"/>
                <w:bCs/>
              </w:rPr>
            </w:pPr>
            <w:r w:rsidRPr="00B9494D">
              <w:rPr>
                <w:rFonts w:eastAsia="MS Mincho"/>
                <w:bCs/>
              </w:rPr>
              <w:t>4.3.</w:t>
            </w:r>
            <w:r w:rsidRPr="00B9494D">
              <w:rPr>
                <w:rFonts w:eastAsia="MS Mincho"/>
                <w:bCs/>
              </w:rPr>
              <w:tab/>
              <w:t>radīt priekšnosacījumus publiskās pārvaldes rīcībā esošās informācijas izmantošanai ārpus publiskā sektora, t.sk. lai nodrošinātu tās izmantošanu uzņēmējdarbības, analīzes, u.c. mērķiem.</w:t>
            </w:r>
          </w:p>
          <w:p w:rsidR="00D02D11" w:rsidP="00D02D11" w14:paraId="52E543F2" w14:textId="1EFC7971">
            <w:pPr>
              <w:tabs>
                <w:tab w:val="left" w:pos="0"/>
              </w:tabs>
              <w:spacing w:before="80"/>
              <w:jc w:val="both"/>
              <w:rPr>
                <w:rFonts w:eastAsiaTheme="minorHAnsi"/>
                <w:bCs/>
                <w:szCs w:val="22"/>
                <w:lang w:eastAsia="en-US"/>
              </w:rPr>
            </w:pPr>
            <w:r>
              <w:rPr>
                <w:rFonts w:eastAsiaTheme="minorHAnsi"/>
                <w:bCs/>
                <w:szCs w:val="22"/>
                <w:lang w:eastAsia="en-US"/>
              </w:rPr>
              <w:t>Projekta īstenošana ļaus risināt identificētās IKT jomas problēmas:</w:t>
            </w:r>
          </w:p>
          <w:p w:rsidR="00D02D11" w:rsidRPr="007D4483" w:rsidP="00112886" w14:paraId="406C852A" w14:textId="529E8B29">
            <w:pPr>
              <w:pStyle w:val="ListParagraph"/>
              <w:numPr>
                <w:ilvl w:val="0"/>
                <w:numId w:val="10"/>
              </w:numPr>
              <w:jc w:val="both"/>
              <w:rPr>
                <w:rFonts w:eastAsiaTheme="minorHAnsi"/>
              </w:rPr>
            </w:pPr>
            <w:r w:rsidRPr="007D4483">
              <w:rPr>
                <w:rFonts w:eastAsiaTheme="minorHAnsi"/>
              </w:rPr>
              <w:t>Nepietiekama sadarbspēja starp esošajām informācijas sistēmām, kas nodrošina datu apmaiņu starp iestādēm un e-pakalpojumu darbību (turpinot PIKTAPS tvērumā noteikto problēmu risināšanu);</w:t>
            </w:r>
          </w:p>
          <w:p w:rsidR="00D02D11" w:rsidRPr="007D4483" w:rsidP="00112886" w14:paraId="1E3D6577" w14:textId="274D7365">
            <w:pPr>
              <w:pStyle w:val="ListParagraph"/>
              <w:numPr>
                <w:ilvl w:val="0"/>
                <w:numId w:val="10"/>
              </w:numPr>
              <w:jc w:val="both"/>
              <w:rPr>
                <w:rFonts w:eastAsiaTheme="minorHAnsi"/>
              </w:rPr>
            </w:pPr>
            <w:r w:rsidRPr="007D4483">
              <w:rPr>
                <w:rFonts w:eastAsiaTheme="minorHAnsi"/>
              </w:rPr>
              <w:t>Nepietiekama datu izplatīšanas veiktspēja un efektivitāte Valsts reģistros;</w:t>
            </w:r>
          </w:p>
          <w:p w:rsidR="00D02D11" w:rsidRPr="007D4483" w:rsidP="00112886" w14:paraId="346A4B77" w14:textId="6150B8D0">
            <w:pPr>
              <w:pStyle w:val="ListParagraph"/>
              <w:numPr>
                <w:ilvl w:val="0"/>
                <w:numId w:val="10"/>
              </w:numPr>
              <w:jc w:val="both"/>
              <w:rPr>
                <w:rFonts w:eastAsiaTheme="minorHAnsi"/>
              </w:rPr>
            </w:pPr>
            <w:r w:rsidRPr="007D4483">
              <w:rPr>
                <w:rFonts w:eastAsiaTheme="minorHAnsi"/>
              </w:rPr>
              <w:t>Publiskā pārvalde nepietiekami publicē atvērtos datus (turpinot PIKTAPS tvērumā noteikto problēmu risināšanu);</w:t>
            </w:r>
          </w:p>
          <w:p w:rsidR="00D02D11" w:rsidRPr="007D4483" w:rsidP="00112886" w14:paraId="6CDDE7C6" w14:textId="4FBC544A">
            <w:pPr>
              <w:pStyle w:val="ListParagraph"/>
              <w:numPr>
                <w:ilvl w:val="0"/>
                <w:numId w:val="10"/>
              </w:numPr>
              <w:jc w:val="both"/>
              <w:rPr>
                <w:rFonts w:eastAsiaTheme="minorHAnsi"/>
              </w:rPr>
            </w:pPr>
            <w:r w:rsidRPr="007D4483">
              <w:rPr>
                <w:rFonts w:eastAsiaTheme="minorHAnsi"/>
              </w:rPr>
              <w:t>Jāpilnveido process datu apmaiņas nodrošināšanai starp iestādēm;</w:t>
            </w:r>
          </w:p>
          <w:p w:rsidR="00D02D11" w:rsidRPr="007D4483" w:rsidP="00112886" w14:paraId="18118514" w14:textId="7193F753">
            <w:pPr>
              <w:pStyle w:val="ListParagraph"/>
              <w:numPr>
                <w:ilvl w:val="0"/>
                <w:numId w:val="10"/>
              </w:numPr>
              <w:jc w:val="both"/>
              <w:rPr>
                <w:rFonts w:eastAsiaTheme="minorHAnsi"/>
              </w:rPr>
            </w:pPr>
            <w:r w:rsidRPr="007D4483">
              <w:rPr>
                <w:rFonts w:eastAsiaTheme="minorHAnsi"/>
              </w:rPr>
              <w:t xml:space="preserve">Nepieciešamība nodrošināt centralizēto koplietošanas platformu, kā arī VARAM resora </w:t>
            </w:r>
            <w:r>
              <w:rPr>
                <w:rFonts w:eastAsiaTheme="minorHAnsi"/>
              </w:rPr>
              <w:t>informācijas sistēmu (turpmāk - IS)</w:t>
            </w:r>
            <w:r w:rsidRPr="007D4483">
              <w:rPr>
                <w:rFonts w:eastAsiaTheme="minorHAnsi"/>
              </w:rPr>
              <w:t xml:space="preserve"> darbībai un attīstībai nepieciešamos IKT infrastruktūras resursus drošā, centralizēti pārvaldītā vidē.</w:t>
            </w:r>
          </w:p>
          <w:p w:rsidR="00D02D11" w:rsidP="00D02D11" w14:paraId="732B0457" w14:textId="77777777">
            <w:pPr>
              <w:pStyle w:val="ListParagraph"/>
              <w:spacing w:before="120" w:after="120" w:line="259" w:lineRule="auto"/>
              <w:ind w:left="0"/>
              <w:jc w:val="both"/>
              <w:rPr>
                <w:rFonts w:eastAsiaTheme="minorHAnsi"/>
                <w:bCs/>
                <w:szCs w:val="22"/>
              </w:rPr>
            </w:pPr>
            <w:r w:rsidRPr="002A5236">
              <w:rPr>
                <w:rFonts w:eastAsiaTheme="minorHAnsi"/>
                <w:bCs/>
                <w:szCs w:val="22"/>
              </w:rPr>
              <w:t>Projekta virsmērķis ir informācijas apmaiņas un sadarbspējas uzlabošana valsts pārvaldē, kā arī publisko un atkalizmantojamo datu pieejamības nodrošināšana, tādējādi veicinot programmas „Izaugsme un nodarbinātība” 2.2.1. specifiskā atbalsta mērķa „Nodrošināt publisko datu atkalizmantošanas pieaugumu un efektīvu publiskās pārvaldes un privātā sekto</w:t>
            </w:r>
            <w:r>
              <w:rPr>
                <w:rFonts w:eastAsiaTheme="minorHAnsi"/>
                <w:bCs/>
                <w:szCs w:val="22"/>
              </w:rPr>
              <w:t>ra mijiedarbību”</w:t>
            </w:r>
            <w:r w:rsidRPr="002A5236">
              <w:rPr>
                <w:rFonts w:eastAsiaTheme="minorHAnsi"/>
                <w:bCs/>
                <w:szCs w:val="22"/>
              </w:rPr>
              <w:t xml:space="preserve"> mērķu sasniegšanu.</w:t>
            </w:r>
          </w:p>
          <w:p w:rsidR="00D02D11" w:rsidRPr="004302A8" w:rsidP="00D02D11" w14:paraId="545260A9" w14:textId="77777777">
            <w:pPr>
              <w:tabs>
                <w:tab w:val="left" w:pos="0"/>
              </w:tabs>
              <w:spacing w:before="80" w:after="80"/>
              <w:jc w:val="both"/>
              <w:rPr>
                <w:rFonts w:eastAsiaTheme="minorHAnsi"/>
                <w:bCs/>
                <w:szCs w:val="22"/>
                <w:lang w:eastAsia="en-US"/>
              </w:rPr>
            </w:pPr>
            <w:r w:rsidRPr="004302A8">
              <w:rPr>
                <w:rFonts w:eastAsiaTheme="minorHAnsi"/>
                <w:bCs/>
                <w:szCs w:val="22"/>
                <w:lang w:eastAsia="en-US"/>
              </w:rPr>
              <w:t>Projektam ir šādi mērķi:</w:t>
            </w:r>
          </w:p>
          <w:p w:rsidR="00D02D11" w:rsidRPr="007D4483" w:rsidP="00112886" w14:paraId="77531253" w14:textId="7049A65D">
            <w:pPr>
              <w:pStyle w:val="ListParagraph"/>
              <w:numPr>
                <w:ilvl w:val="0"/>
                <w:numId w:val="11"/>
              </w:numPr>
              <w:spacing w:before="80" w:after="80"/>
              <w:jc w:val="both"/>
              <w:rPr>
                <w:rFonts w:eastAsiaTheme="minorHAnsi"/>
                <w:bCs/>
                <w:szCs w:val="22"/>
              </w:rPr>
            </w:pPr>
            <w:r w:rsidRPr="007D4483">
              <w:rPr>
                <w:rFonts w:eastAsiaTheme="minorHAnsi"/>
                <w:bCs/>
                <w:szCs w:val="22"/>
              </w:rPr>
              <w:t xml:space="preserve">Datu apmaiņas starp iestādēm uzlabošana, modernizējot </w:t>
            </w:r>
            <w:r w:rsidRPr="00C9327D">
              <w:rPr>
                <w:rFonts w:eastAsiaTheme="minorHAnsi"/>
                <w:bCs/>
                <w:szCs w:val="22"/>
              </w:rPr>
              <w:t>Valsts informācijas sistēmu savietotāj</w:t>
            </w:r>
            <w:r>
              <w:rPr>
                <w:rFonts w:eastAsiaTheme="minorHAnsi"/>
                <w:bCs/>
                <w:szCs w:val="22"/>
              </w:rPr>
              <w:t>u</w:t>
            </w:r>
            <w:r w:rsidRPr="007D4483">
              <w:rPr>
                <w:rFonts w:eastAsiaTheme="minorHAnsi"/>
                <w:bCs/>
                <w:szCs w:val="22"/>
              </w:rPr>
              <w:t>;</w:t>
            </w:r>
          </w:p>
          <w:p w:rsidR="00D02D11" w:rsidRPr="007D4483" w:rsidP="00112886" w14:paraId="48F2FFAD" w14:textId="0E53C96E">
            <w:pPr>
              <w:pStyle w:val="ListParagraph"/>
              <w:numPr>
                <w:ilvl w:val="0"/>
                <w:numId w:val="11"/>
              </w:numPr>
              <w:spacing w:before="80" w:after="80"/>
              <w:jc w:val="both"/>
              <w:rPr>
                <w:rFonts w:eastAsiaTheme="minorHAnsi"/>
                <w:bCs/>
                <w:szCs w:val="22"/>
              </w:rPr>
            </w:pPr>
            <w:r w:rsidRPr="007D4483">
              <w:rPr>
                <w:rFonts w:eastAsiaTheme="minorHAnsi"/>
                <w:bCs/>
                <w:szCs w:val="22"/>
              </w:rPr>
              <w:t>Datu izplatīšanas veiktspējas un efektivitātes uzlabošana, izmantojot centralizētu datu izplatīšanas risinājumu;</w:t>
            </w:r>
          </w:p>
          <w:p w:rsidR="00D02D11" w:rsidRPr="007D4483" w:rsidP="00112886" w14:paraId="2D475DB3" w14:textId="3F632BF8">
            <w:pPr>
              <w:pStyle w:val="ListParagraph"/>
              <w:numPr>
                <w:ilvl w:val="0"/>
                <w:numId w:val="11"/>
              </w:numPr>
              <w:spacing w:before="80" w:after="80"/>
              <w:jc w:val="both"/>
              <w:rPr>
                <w:rFonts w:eastAsiaTheme="minorHAnsi"/>
                <w:bCs/>
                <w:szCs w:val="22"/>
              </w:rPr>
            </w:pPr>
            <w:r w:rsidRPr="007D4483">
              <w:rPr>
                <w:rFonts w:eastAsiaTheme="minorHAnsi"/>
                <w:bCs/>
                <w:szCs w:val="22"/>
              </w:rPr>
              <w:t>Atvērto datu nodrošināšana sabiedrībai;</w:t>
            </w:r>
          </w:p>
          <w:p w:rsidR="00D02D11" w:rsidRPr="007D4483" w:rsidP="00112886" w14:paraId="25E26B4E" w14:textId="5A9AACF9">
            <w:pPr>
              <w:pStyle w:val="ListParagraph"/>
              <w:numPr>
                <w:ilvl w:val="0"/>
                <w:numId w:val="11"/>
              </w:numPr>
              <w:spacing w:before="80" w:after="80"/>
              <w:jc w:val="both"/>
              <w:rPr>
                <w:rFonts w:eastAsiaTheme="minorHAnsi"/>
                <w:bCs/>
                <w:szCs w:val="22"/>
              </w:rPr>
            </w:pPr>
            <w:r w:rsidRPr="007D4483">
              <w:rPr>
                <w:rFonts w:eastAsiaTheme="minorHAnsi"/>
                <w:bCs/>
                <w:szCs w:val="22"/>
              </w:rPr>
              <w:t>Valsts informācijas un IKT resursu pārvaldības nodrošināšana;</w:t>
            </w:r>
          </w:p>
          <w:p w:rsidR="00D02D11" w:rsidRPr="007D4483" w:rsidP="00112886" w14:paraId="7A3B498D" w14:textId="7AEAAB2A">
            <w:pPr>
              <w:pStyle w:val="ListParagraph"/>
              <w:numPr>
                <w:ilvl w:val="0"/>
                <w:numId w:val="11"/>
              </w:numPr>
              <w:spacing w:before="80" w:after="80"/>
              <w:jc w:val="both"/>
              <w:rPr>
                <w:rFonts w:eastAsiaTheme="minorHAnsi"/>
                <w:bCs/>
                <w:szCs w:val="22"/>
              </w:rPr>
            </w:pPr>
            <w:r w:rsidRPr="007D4483">
              <w:rPr>
                <w:rFonts w:eastAsiaTheme="minorHAnsi"/>
                <w:bCs/>
                <w:szCs w:val="22"/>
              </w:rPr>
              <w:t>Centralizēto koplietošanas platformu un VARAM resora IS darbināšanai un attīstībai nepieciešamās IKT infrastruktūras nodrošināšana efektīvā un valsts IKT politikām atbilstošā veidā.</w:t>
            </w:r>
          </w:p>
        </w:tc>
      </w:tr>
      <w:tr w14:paraId="389D1539" w14:textId="77777777" w:rsidTr="00D02D11">
        <w:tblPrEx>
          <w:tblW w:w="9840" w:type="dxa"/>
          <w:tblCellSpacing w:w="0" w:type="dxa"/>
          <w:tblInd w:w="-408" w:type="dxa"/>
          <w:tblCellMar>
            <w:left w:w="57" w:type="dxa"/>
            <w:right w:w="57" w:type="dxa"/>
          </w:tblCellMar>
          <w:tblLook w:val="04A0"/>
        </w:tblPrEx>
        <w:trPr>
          <w:trHeight w:val="921"/>
          <w:tblCellSpacing w:w="0" w:type="dxa"/>
        </w:trPr>
        <w:tc>
          <w:tcPr>
            <w:tcW w:w="762" w:type="dxa"/>
            <w:tcBorders>
              <w:top w:val="outset" w:sz="6" w:space="0" w:color="auto"/>
              <w:left w:val="outset" w:sz="6" w:space="0" w:color="auto"/>
              <w:bottom w:val="outset" w:sz="6" w:space="0" w:color="auto"/>
              <w:right w:val="outset" w:sz="6" w:space="0" w:color="auto"/>
            </w:tcBorders>
          </w:tcPr>
          <w:p w:rsidR="00D02D11" w:rsidRPr="004668F6" w:rsidP="00D02D11" w14:paraId="3CA0CC59" w14:textId="77777777">
            <w:pPr>
              <w:rPr>
                <w:lang w:eastAsia="en-US"/>
              </w:rPr>
            </w:pPr>
            <w:r w:rsidRPr="004668F6">
              <w:rPr>
                <w:lang w:eastAsia="en-US"/>
              </w:rPr>
              <w:t> 3.</w:t>
            </w:r>
          </w:p>
        </w:tc>
        <w:tc>
          <w:tcPr>
            <w:tcW w:w="1986" w:type="dxa"/>
            <w:tcBorders>
              <w:top w:val="outset" w:sz="6" w:space="0" w:color="auto"/>
              <w:left w:val="outset" w:sz="6" w:space="0" w:color="auto"/>
              <w:bottom w:val="outset" w:sz="6" w:space="0" w:color="auto"/>
              <w:right w:val="outset" w:sz="6" w:space="0" w:color="auto"/>
            </w:tcBorders>
          </w:tcPr>
          <w:p w:rsidR="00D02D11" w:rsidRPr="004668F6" w:rsidP="00D02D11" w14:paraId="7FCC3BE8" w14:textId="77777777">
            <w:pPr>
              <w:rPr>
                <w:lang w:eastAsia="en-US"/>
              </w:rPr>
            </w:pPr>
            <w:r w:rsidRPr="004668F6">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tcPr>
          <w:p w:rsidR="00D02D11" w:rsidRPr="000D6DA6" w:rsidP="00D02D11" w14:paraId="592341B8" w14:textId="6B58BA16">
            <w:pPr>
              <w:jc w:val="both"/>
            </w:pPr>
            <w:r>
              <w:t>VARAM</w:t>
            </w:r>
            <w:r w:rsidRPr="00AE467F">
              <w:t>,</w:t>
            </w:r>
            <w:r>
              <w:t xml:space="preserve"> VRAA,</w:t>
            </w:r>
            <w:r w:rsidRPr="00AE467F">
              <w:rPr>
                <w:i/>
                <w:iCs/>
              </w:rPr>
              <w:t xml:space="preserve"> </w:t>
            </w:r>
            <w:r>
              <w:t>Rīgas domes Informācijas tehnoloģiju centrs, Centrālā statistikas pārvalde, Valsts sociālās apdrošināšanas aģentūra, Pilsonības un migrācijas lietu pārvalde, Ventspils Pilsētas Dome, Valsts ieņēmumu dienests, Uzņēmumu reģistrs, Valsts zemes dienests</w:t>
            </w:r>
          </w:p>
        </w:tc>
      </w:tr>
      <w:tr w14:paraId="79930E43" w14:textId="77777777" w:rsidTr="00D02D11">
        <w:tblPrEx>
          <w:tblW w:w="9840" w:type="dxa"/>
          <w:tblCellSpacing w:w="0" w:type="dxa"/>
          <w:tblInd w:w="-408" w:type="dxa"/>
          <w:tblCellMar>
            <w:left w:w="57" w:type="dxa"/>
            <w:right w:w="57" w:type="dxa"/>
          </w:tblCellMar>
          <w:tblLook w:val="04A0"/>
        </w:tblPrEx>
        <w:trPr>
          <w:tblCellSpacing w:w="0" w:type="dxa"/>
        </w:trPr>
        <w:tc>
          <w:tcPr>
            <w:tcW w:w="762" w:type="dxa"/>
            <w:tcBorders>
              <w:top w:val="outset" w:sz="6" w:space="0" w:color="auto"/>
              <w:left w:val="outset" w:sz="6" w:space="0" w:color="auto"/>
              <w:bottom w:val="outset" w:sz="6" w:space="0" w:color="auto"/>
              <w:right w:val="outset" w:sz="6" w:space="0" w:color="auto"/>
            </w:tcBorders>
          </w:tcPr>
          <w:p w:rsidR="00D02D11" w:rsidRPr="004668F6" w:rsidP="00D02D11" w14:paraId="7D43FC54" w14:textId="77777777">
            <w:pPr>
              <w:rPr>
                <w:lang w:eastAsia="en-US"/>
              </w:rPr>
            </w:pPr>
            <w:r w:rsidRPr="004668F6">
              <w:rPr>
                <w:lang w:eastAsia="en-US"/>
              </w:rPr>
              <w:t> 4.</w:t>
            </w:r>
          </w:p>
        </w:tc>
        <w:tc>
          <w:tcPr>
            <w:tcW w:w="1986" w:type="dxa"/>
            <w:tcBorders>
              <w:top w:val="outset" w:sz="6" w:space="0" w:color="auto"/>
              <w:left w:val="outset" w:sz="6" w:space="0" w:color="auto"/>
              <w:bottom w:val="outset" w:sz="6" w:space="0" w:color="auto"/>
              <w:right w:val="outset" w:sz="6" w:space="0" w:color="auto"/>
            </w:tcBorders>
          </w:tcPr>
          <w:p w:rsidR="00D02D11" w:rsidRPr="004668F6" w:rsidP="00D02D11" w14:paraId="34340D70" w14:textId="77777777">
            <w:pPr>
              <w:rPr>
                <w:lang w:eastAsia="en-US"/>
              </w:rPr>
            </w:pPr>
            <w:r w:rsidRPr="004668F6">
              <w:rPr>
                <w:lang w:eastAsia="en-US"/>
              </w:rPr>
              <w:t> Cita informācija</w:t>
            </w:r>
          </w:p>
        </w:tc>
        <w:tc>
          <w:tcPr>
            <w:tcW w:w="7092" w:type="dxa"/>
            <w:tcBorders>
              <w:top w:val="outset" w:sz="6" w:space="0" w:color="auto"/>
              <w:left w:val="outset" w:sz="6" w:space="0" w:color="auto"/>
              <w:bottom w:val="outset" w:sz="6" w:space="0" w:color="auto"/>
              <w:right w:val="outset" w:sz="6" w:space="0" w:color="auto"/>
            </w:tcBorders>
          </w:tcPr>
          <w:p w:rsidR="00D02D11" w:rsidRPr="004668F6" w:rsidP="00D02D11" w14:paraId="4BF46352" w14:textId="77777777">
            <w:pPr>
              <w:jc w:val="both"/>
              <w:rPr>
                <w:lang w:eastAsia="en-US"/>
              </w:rPr>
            </w:pPr>
            <w:r w:rsidRPr="004668F6">
              <w:rPr>
                <w:lang w:eastAsia="en-US"/>
              </w:rPr>
              <w:t>Nav.</w:t>
            </w:r>
          </w:p>
        </w:tc>
      </w:tr>
    </w:tbl>
    <w:p w:rsidR="00D02D11" w:rsidP="00D02D11" w14:paraId="19971980" w14:textId="77777777">
      <w:pPr>
        <w:jc w:val="both"/>
        <w:rPr>
          <w:lang w:eastAsia="en-US"/>
        </w:rPr>
      </w:pPr>
      <w:r w:rsidRPr="004668F6">
        <w:rPr>
          <w:lang w:eastAsia="en-US"/>
        </w:rPr>
        <w:t> </w:t>
      </w:r>
    </w:p>
    <w:p w:rsidR="00D02D11" w:rsidP="00D02D11" w14:paraId="54BA1266" w14:textId="77777777">
      <w:pPr>
        <w:jc w:val="both"/>
        <w:rPr>
          <w:lang w:eastAsia="en-US"/>
        </w:rPr>
      </w:pPr>
    </w:p>
    <w:p w:rsidR="00D02D11" w:rsidRPr="004668F6" w:rsidP="00D02D11" w14:paraId="0160B72A" w14:textId="77777777">
      <w:pPr>
        <w:jc w:val="both"/>
        <w:rPr>
          <w:lang w:eastAsia="en-US"/>
        </w:rPr>
      </w:pP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3"/>
        <w:gridCol w:w="1985"/>
        <w:gridCol w:w="7092"/>
      </w:tblGrid>
      <w:tr w14:paraId="45EB08B2" w14:textId="77777777" w:rsidTr="00D02D11">
        <w:tblPrEx>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D02D11" w:rsidRPr="009F7E6C" w:rsidP="00D02D11" w14:paraId="765F6D25" w14:textId="77777777">
            <w:pPr>
              <w:jc w:val="center"/>
              <w:rPr>
                <w:b/>
                <w:bCs/>
              </w:rPr>
            </w:pPr>
            <w:r w:rsidRPr="009F7E6C">
              <w:rPr>
                <w:b/>
                <w:bCs/>
              </w:rPr>
              <w:t> II. Tiesību akta projekta ietekme uz sabiedrību, tautsaimniecības attīstību un administratīvo slogu</w:t>
            </w:r>
          </w:p>
        </w:tc>
      </w:tr>
      <w:tr w14:paraId="2E483BC3" w14:textId="77777777" w:rsidTr="00D02D11">
        <w:tblPrEx>
          <w:tblW w:w="9840" w:type="dxa"/>
          <w:tblCellSpacing w:w="0" w:type="dxa"/>
          <w:tblInd w:w="-465" w:type="dxa"/>
          <w:tblCellMar>
            <w:left w:w="57" w:type="dxa"/>
            <w:right w:w="57" w:type="dxa"/>
          </w:tblCellMar>
          <w:tblLook w:val="04A0"/>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tcPr>
          <w:p w:rsidR="00D02D11" w:rsidRPr="009F7E6C" w:rsidP="00D02D11" w14:paraId="64B97B64" w14:textId="77777777">
            <w:pPr>
              <w:rPr>
                <w:lang w:eastAsia="en-US"/>
              </w:rPr>
            </w:pPr>
            <w:r w:rsidRPr="009F7E6C">
              <w:rPr>
                <w:lang w:eastAsia="en-US"/>
              </w:rPr>
              <w:t>1.</w:t>
            </w:r>
          </w:p>
        </w:tc>
        <w:tc>
          <w:tcPr>
            <w:tcW w:w="1985" w:type="dxa"/>
            <w:tcBorders>
              <w:top w:val="outset" w:sz="6" w:space="0" w:color="auto"/>
              <w:left w:val="outset" w:sz="6" w:space="0" w:color="auto"/>
              <w:bottom w:val="outset" w:sz="6" w:space="0" w:color="auto"/>
              <w:right w:val="outset" w:sz="6" w:space="0" w:color="auto"/>
            </w:tcBorders>
          </w:tcPr>
          <w:p w:rsidR="00D02D11" w:rsidRPr="009F7E6C" w:rsidP="00D02D11" w14:paraId="3ABF864B" w14:textId="77777777">
            <w:pPr>
              <w:rPr>
                <w:lang w:eastAsia="en-US"/>
              </w:rPr>
            </w:pPr>
            <w:r w:rsidRPr="009F7E6C">
              <w:rPr>
                <w:lang w:eastAsia="en-US"/>
              </w:rPr>
              <w:t>Sabiedrības mērķgrupas, kuras tiesiskais regulējums ietekmē vai varētu ietekmēt</w:t>
            </w:r>
          </w:p>
        </w:tc>
        <w:tc>
          <w:tcPr>
            <w:tcW w:w="7092" w:type="dxa"/>
            <w:tcBorders>
              <w:top w:val="outset" w:sz="6" w:space="0" w:color="auto"/>
              <w:left w:val="outset" w:sz="6" w:space="0" w:color="auto"/>
              <w:bottom w:val="outset" w:sz="6" w:space="0" w:color="auto"/>
              <w:right w:val="outset" w:sz="6" w:space="0" w:color="auto"/>
            </w:tcBorders>
          </w:tcPr>
          <w:p w:rsidR="00D02D11" w:rsidRPr="009F7E6C" w:rsidP="00D02D11" w14:paraId="608FB25A" w14:textId="77777777">
            <w:pPr>
              <w:pStyle w:val="BodyText"/>
              <w:ind w:firstLine="0"/>
              <w:rPr>
                <w:sz w:val="24"/>
                <w:szCs w:val="24"/>
                <w:lang w:val="lv-LV"/>
              </w:rPr>
            </w:pPr>
            <w:r w:rsidRPr="009F7E6C">
              <w:rPr>
                <w:sz w:val="24"/>
                <w:szCs w:val="24"/>
                <w:lang w:val="lv-LV"/>
              </w:rPr>
              <w:t>Projekts ir vērsts uz datu apmaiņas un izplatīšanas uzlabošanu valstī, kā arī datu pieejamības uzlabošanu sabiedrībai. Tā rezultātā tiks izstrādātas un pilnveidotas informācijas sistēmu platformas, ko lietos valsts un pašvaldību iestādes, kā arī sabiedrība kopumā.</w:t>
            </w:r>
          </w:p>
          <w:p w:rsidR="00D02D11" w:rsidRPr="009F7E6C" w:rsidP="00112886" w14:paraId="03BA0F00" w14:textId="77777777">
            <w:pPr>
              <w:pStyle w:val="BodyText"/>
              <w:numPr>
                <w:ilvl w:val="0"/>
                <w:numId w:val="8"/>
              </w:numPr>
              <w:ind w:left="465"/>
              <w:rPr>
                <w:sz w:val="24"/>
                <w:szCs w:val="24"/>
              </w:rPr>
            </w:pPr>
            <w:r w:rsidRPr="009F7E6C">
              <w:rPr>
                <w:sz w:val="24"/>
                <w:szCs w:val="24"/>
                <w:lang w:val="lv-LV"/>
              </w:rPr>
              <w:t xml:space="preserve">Datu izplatīšanas platformas izstrāde un ieviešana nodrošinās </w:t>
            </w:r>
            <w:r w:rsidRPr="009F7E6C">
              <w:rPr>
                <w:sz w:val="24"/>
                <w:szCs w:val="24"/>
              </w:rPr>
              <w:t xml:space="preserve">pieprasītāko datu izplatīšanas veiktspējas palielināšanu, nodrošinot efektīvāku datu apmaiņu starp iestādēm, kā </w:t>
            </w:r>
            <w:r w:rsidRPr="009F7E6C">
              <w:rPr>
                <w:sz w:val="24"/>
                <w:szCs w:val="24"/>
                <w:lang w:val="lv-LV"/>
              </w:rPr>
              <w:t xml:space="preserve">arī </w:t>
            </w:r>
            <w:r w:rsidRPr="009F7E6C">
              <w:rPr>
                <w:sz w:val="24"/>
                <w:szCs w:val="24"/>
              </w:rPr>
              <w:t>nodrošinās pašvaldīb</w:t>
            </w:r>
            <w:r w:rsidRPr="009F7E6C">
              <w:rPr>
                <w:sz w:val="24"/>
                <w:szCs w:val="24"/>
                <w:lang w:val="lv-LV"/>
              </w:rPr>
              <w:t>u</w:t>
            </w:r>
            <w:r w:rsidRPr="009F7E6C">
              <w:rPr>
                <w:sz w:val="24"/>
                <w:szCs w:val="24"/>
              </w:rPr>
              <w:t xml:space="preserve"> attīstības vajadzībām nepieciešamās informācijas pieejamību</w:t>
            </w:r>
            <w:r w:rsidRPr="009F7E6C">
              <w:rPr>
                <w:sz w:val="24"/>
                <w:szCs w:val="24"/>
                <w:lang w:val="lv-LV"/>
              </w:rPr>
              <w:t xml:space="preserve"> (netiešs ieguvums visai sabiedrībai kopumā)</w:t>
            </w:r>
            <w:r w:rsidRPr="009F7E6C">
              <w:rPr>
                <w:sz w:val="24"/>
                <w:szCs w:val="24"/>
              </w:rPr>
              <w:t>.</w:t>
            </w:r>
          </w:p>
          <w:p w:rsidR="00D02D11" w:rsidRPr="009F7E6C" w:rsidP="00112886" w14:paraId="13DE207C" w14:textId="77777777">
            <w:pPr>
              <w:pStyle w:val="BodyText"/>
              <w:numPr>
                <w:ilvl w:val="0"/>
                <w:numId w:val="8"/>
              </w:numPr>
              <w:ind w:left="465"/>
              <w:rPr>
                <w:sz w:val="24"/>
                <w:szCs w:val="24"/>
                <w:lang w:val="lv-LV"/>
              </w:rPr>
            </w:pPr>
            <w:r w:rsidRPr="009F7E6C">
              <w:rPr>
                <w:sz w:val="24"/>
                <w:szCs w:val="24"/>
                <w:lang w:val="lv-LV"/>
              </w:rPr>
              <w:t xml:space="preserve">Datu publicēšanas platformas </w:t>
            </w:r>
            <w:r w:rsidRPr="009F7E6C">
              <w:rPr>
                <w:sz w:val="24"/>
                <w:szCs w:val="24"/>
              </w:rPr>
              <w:t>attīstība projekta ietvaros sniegs ieguldījumu publiskā sektora informācijas atkalizmantošanas indeksā, jo platformā publicēti dati būs pieejami visai sabiedrībai gan atkalizmantošanai, gan jaunu produktu izveidei</w:t>
            </w:r>
            <w:r w:rsidRPr="009F7E6C">
              <w:rPr>
                <w:sz w:val="24"/>
                <w:szCs w:val="24"/>
                <w:lang w:val="lv-LV"/>
              </w:rPr>
              <w:t>.</w:t>
            </w:r>
          </w:p>
          <w:p w:rsidR="00D02D11" w:rsidRPr="009F7E6C" w:rsidP="00112886" w14:paraId="4B90F256" w14:textId="77777777">
            <w:pPr>
              <w:pStyle w:val="BodyText"/>
              <w:numPr>
                <w:ilvl w:val="0"/>
                <w:numId w:val="8"/>
              </w:numPr>
              <w:ind w:left="465"/>
              <w:rPr>
                <w:sz w:val="24"/>
                <w:szCs w:val="24"/>
                <w:lang w:val="lv-LV"/>
              </w:rPr>
            </w:pPr>
            <w:r w:rsidRPr="009F7E6C">
              <w:rPr>
                <w:sz w:val="24"/>
                <w:szCs w:val="24"/>
                <w:lang w:val="lv-LV"/>
              </w:rPr>
              <w:t xml:space="preserve">Valsts informācijas resursu, sistēmu un sadarbspējas reģistra attīstīšanas rezultātā </w:t>
            </w:r>
            <w:r w:rsidRPr="009F7E6C">
              <w:rPr>
                <w:sz w:val="24"/>
                <w:szCs w:val="24"/>
              </w:rPr>
              <w:t>tiks paaugstināta publiskās pārvaldes procesa efektivitāte gan saistībā ar valsts pārvaldes informācijas sistēmu, informācijas resursu un tehnisko resursu uzskaiti, gan radot priekšnosacījumus efektīvākai datu apmaiņas organizācijai starp iestādēm</w:t>
            </w:r>
            <w:r w:rsidRPr="009F7E6C">
              <w:rPr>
                <w:sz w:val="24"/>
                <w:szCs w:val="24"/>
                <w:lang w:val="lv-LV"/>
              </w:rPr>
              <w:t xml:space="preserve"> </w:t>
            </w:r>
            <w:r w:rsidRPr="009F7E6C">
              <w:rPr>
                <w:sz w:val="24"/>
                <w:szCs w:val="24"/>
              </w:rPr>
              <w:t>(netiešs ieguvums visai sabiedrībai kopumā)</w:t>
            </w:r>
            <w:r w:rsidRPr="009F7E6C">
              <w:rPr>
                <w:sz w:val="24"/>
                <w:szCs w:val="24"/>
                <w:lang w:val="lv-LV"/>
              </w:rPr>
              <w:t>.</w:t>
            </w:r>
          </w:p>
          <w:p w:rsidR="00D02D11" w:rsidRPr="009F7E6C" w:rsidP="00112886" w14:paraId="12ADBD6A" w14:textId="77777777">
            <w:pPr>
              <w:pStyle w:val="BodyText"/>
              <w:numPr>
                <w:ilvl w:val="0"/>
                <w:numId w:val="8"/>
              </w:numPr>
              <w:ind w:left="465"/>
              <w:rPr>
                <w:sz w:val="24"/>
                <w:szCs w:val="24"/>
                <w:lang w:val="lv-LV"/>
              </w:rPr>
            </w:pPr>
            <w:r w:rsidRPr="009F7E6C">
              <w:rPr>
                <w:sz w:val="24"/>
                <w:szCs w:val="24"/>
                <w:lang w:val="lv-LV"/>
              </w:rPr>
              <w:t>IKT infrastruktūras platformas izveides rezultātā tiks palielināta valsts informācijas sistēmu kapacitāte un jauda ar centralizētas IKT infrastruktūras nodrošinājuma risinājuma palīdzību, ko izmantos VARAM resora iestāžu informācijas sistēmu darbībā. Tāpat platforma potenciāli būs pieejama arī citu nozaru iestādēm (netiešs ieguvums visai sabiedrībai kopumā).</w:t>
            </w:r>
          </w:p>
        </w:tc>
      </w:tr>
      <w:tr w14:paraId="34B35D48" w14:textId="77777777" w:rsidTr="00D02D11">
        <w:tblPrEx>
          <w:tblW w:w="9840" w:type="dxa"/>
          <w:tblCellSpacing w:w="0" w:type="dxa"/>
          <w:tblInd w:w="-465" w:type="dxa"/>
          <w:tblCellMar>
            <w:left w:w="57" w:type="dxa"/>
            <w:right w:w="57" w:type="dxa"/>
          </w:tblCellMar>
          <w:tblLook w:val="04A0"/>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D02D11" w:rsidRPr="009F7E6C" w:rsidP="00D02D11" w14:paraId="242980C8" w14:textId="77777777">
            <w:pPr>
              <w:rPr>
                <w:lang w:eastAsia="en-US"/>
              </w:rPr>
            </w:pPr>
            <w:r w:rsidRPr="009F7E6C">
              <w:rPr>
                <w:lang w:eastAsia="en-US"/>
              </w:rPr>
              <w:t>2.</w:t>
            </w:r>
          </w:p>
        </w:tc>
        <w:tc>
          <w:tcPr>
            <w:tcW w:w="1985" w:type="dxa"/>
            <w:tcBorders>
              <w:top w:val="outset" w:sz="6" w:space="0" w:color="auto"/>
              <w:left w:val="outset" w:sz="6" w:space="0" w:color="auto"/>
              <w:bottom w:val="outset" w:sz="6" w:space="0" w:color="auto"/>
              <w:right w:val="outset" w:sz="6" w:space="0" w:color="auto"/>
            </w:tcBorders>
          </w:tcPr>
          <w:p w:rsidR="00D02D11" w:rsidRPr="009F7E6C" w:rsidP="00D02D11" w14:paraId="673E436F" w14:textId="77777777">
            <w:pPr>
              <w:rPr>
                <w:lang w:eastAsia="en-US"/>
              </w:rPr>
            </w:pPr>
            <w:r w:rsidRPr="009F7E6C">
              <w:rPr>
                <w:lang w:eastAsia="en-US"/>
              </w:rPr>
              <w:t>Tiesiskā regulējuma ietekme uz tautsaimniecību un administratīvo slogu</w:t>
            </w:r>
          </w:p>
        </w:tc>
        <w:tc>
          <w:tcPr>
            <w:tcW w:w="7092" w:type="dxa"/>
            <w:tcBorders>
              <w:top w:val="outset" w:sz="6" w:space="0" w:color="auto"/>
              <w:left w:val="outset" w:sz="6" w:space="0" w:color="auto"/>
              <w:bottom w:val="outset" w:sz="6" w:space="0" w:color="auto"/>
              <w:right w:val="outset" w:sz="6" w:space="0" w:color="auto"/>
            </w:tcBorders>
            <w:shd w:val="clear" w:color="auto" w:fill="auto"/>
          </w:tcPr>
          <w:p w:rsidR="00D02D11" w:rsidRPr="009F7E6C" w:rsidP="00D02D11" w14:paraId="5AADDDCD" w14:textId="77777777">
            <w:pPr>
              <w:jc w:val="both"/>
              <w:rPr>
                <w:rFonts w:eastAsia="MS Mincho"/>
                <w:bCs/>
              </w:rPr>
            </w:pPr>
            <w:r w:rsidRPr="009F7E6C">
              <w:rPr>
                <w:rFonts w:eastAsia="MS Mincho"/>
                <w:bCs/>
              </w:rPr>
              <w:t>Projekta īstenošanas rezultātā tiks panākts administratīvā sloga samazinājums gan iedzīvotājiem, gan valsts pārvaldei un pašvaldībām, uzlabojot datu apmaiņu un izplatīšanas procesus valstī un pilnveidojot datu pieejamību sabiedrībai.</w:t>
            </w:r>
          </w:p>
          <w:p w:rsidR="00D02D11" w:rsidRPr="009F7E6C" w:rsidP="00D02D11" w14:paraId="5B22F190" w14:textId="77777777">
            <w:pPr>
              <w:jc w:val="both"/>
              <w:rPr>
                <w:rFonts w:eastAsia="MS Mincho"/>
                <w:bCs/>
              </w:rPr>
            </w:pPr>
            <w:r w:rsidRPr="009F7E6C">
              <w:rPr>
                <w:rFonts w:eastAsia="MS Mincho"/>
                <w:bCs/>
              </w:rPr>
              <w:t xml:space="preserve">Tāpat </w:t>
            </w:r>
            <w:bookmarkStart w:id="0" w:name="_Hlk486581251"/>
            <w:r w:rsidRPr="009F7E6C">
              <w:rPr>
                <w:rFonts w:eastAsia="MS Mincho"/>
                <w:bCs/>
              </w:rPr>
              <w:t>sagaidāms valsts iestāžu uzturēšanas izmaksu samazinājums</w:t>
            </w:r>
            <w:bookmarkEnd w:id="0"/>
            <w:r w:rsidRPr="009F7E6C">
              <w:rPr>
                <w:rFonts w:eastAsia="MS Mincho"/>
                <w:bCs/>
              </w:rPr>
              <w:t>, kuru veido:</w:t>
            </w:r>
          </w:p>
          <w:p w:rsidR="00D02D11" w:rsidRPr="009F7E6C" w:rsidP="00112886" w14:paraId="669A1753" w14:textId="77777777">
            <w:pPr>
              <w:pStyle w:val="ListParagraph"/>
              <w:numPr>
                <w:ilvl w:val="0"/>
                <w:numId w:val="9"/>
              </w:numPr>
              <w:ind w:left="465"/>
              <w:jc w:val="both"/>
              <w:rPr>
                <w:rFonts w:eastAsia="MS Mincho"/>
                <w:bCs/>
              </w:rPr>
            </w:pPr>
            <w:r w:rsidRPr="009F7E6C">
              <w:rPr>
                <w:rFonts w:eastAsia="MS Mincho"/>
                <w:bCs/>
              </w:rPr>
              <w:t>finanšu ietaupījumi no centralizētas IKT infrastruktūras izmantošanas;</w:t>
            </w:r>
          </w:p>
          <w:p w:rsidR="00D02D11" w:rsidRPr="009F7E6C" w:rsidP="00112886" w14:paraId="407DA837" w14:textId="77777777">
            <w:pPr>
              <w:pStyle w:val="ListParagraph"/>
              <w:numPr>
                <w:ilvl w:val="0"/>
                <w:numId w:val="9"/>
              </w:numPr>
              <w:ind w:left="465"/>
              <w:jc w:val="both"/>
              <w:rPr>
                <w:rFonts w:eastAsia="MS Mincho"/>
                <w:bCs/>
              </w:rPr>
            </w:pPr>
            <w:r w:rsidRPr="009F7E6C">
              <w:rPr>
                <w:rFonts w:eastAsia="MS Mincho"/>
                <w:bCs/>
              </w:rPr>
              <w:t>laika un finanšu ietaupījumi, jo projektu iesaistītajām iestādēm nevajadzēs veidot pašām savus datu izplatīšanas un apmaiņas risinājumus;</w:t>
            </w:r>
          </w:p>
          <w:p w:rsidR="00D02D11" w:rsidRPr="009F7E6C" w:rsidP="00112886" w14:paraId="2FAB1063" w14:textId="77777777">
            <w:pPr>
              <w:pStyle w:val="ListParagraph"/>
              <w:numPr>
                <w:ilvl w:val="0"/>
                <w:numId w:val="9"/>
              </w:numPr>
              <w:ind w:left="465"/>
              <w:jc w:val="both"/>
              <w:rPr>
                <w:rFonts w:eastAsia="MS Mincho"/>
                <w:bCs/>
              </w:rPr>
            </w:pPr>
            <w:r w:rsidRPr="009F7E6C">
              <w:rPr>
                <w:rFonts w:eastAsia="MS Mincho"/>
                <w:bCs/>
              </w:rPr>
              <w:t xml:space="preserve">uzlabojumi datu apmaiņas saskarnēs, kas ļaus iestādēm ietaupīt izstrādājot integrācijas mehānismus; </w:t>
            </w:r>
          </w:p>
          <w:p w:rsidR="00D02D11" w:rsidRPr="009F7E6C" w:rsidP="00112886" w14:paraId="50A0679A" w14:textId="77777777">
            <w:pPr>
              <w:pStyle w:val="ListParagraph"/>
              <w:numPr>
                <w:ilvl w:val="0"/>
                <w:numId w:val="9"/>
              </w:numPr>
              <w:ind w:left="465"/>
              <w:jc w:val="both"/>
              <w:rPr>
                <w:rFonts w:eastAsia="MS Mincho"/>
                <w:bCs/>
              </w:rPr>
            </w:pPr>
            <w:r w:rsidRPr="009F7E6C">
              <w:rPr>
                <w:rFonts w:eastAsia="MS Mincho"/>
                <w:bCs/>
              </w:rPr>
              <w:t>laika ietaupījumi no ērtāka starpresoru datu apmaiņas noslēgšanas procesa.</w:t>
            </w:r>
            <w:r w:rsidRPr="009F7E6C">
              <w:rPr>
                <w:rFonts w:eastAsia="MS Mincho"/>
                <w:bCs/>
                <w:u w:val="single"/>
              </w:rPr>
              <w:t xml:space="preserve"> </w:t>
            </w:r>
          </w:p>
        </w:tc>
      </w:tr>
      <w:tr w14:paraId="32CB23F0" w14:textId="77777777" w:rsidTr="00D02D11">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D02D11" w:rsidRPr="009F7E6C" w:rsidP="00D02D11" w14:paraId="600E60EE" w14:textId="77777777">
            <w:pPr>
              <w:rPr>
                <w:lang w:eastAsia="en-US"/>
              </w:rPr>
            </w:pPr>
            <w:r w:rsidRPr="009F7E6C">
              <w:rPr>
                <w:lang w:eastAsia="en-US"/>
              </w:rPr>
              <w:t>3.</w:t>
            </w:r>
          </w:p>
        </w:tc>
        <w:tc>
          <w:tcPr>
            <w:tcW w:w="1985" w:type="dxa"/>
            <w:tcBorders>
              <w:top w:val="outset" w:sz="6" w:space="0" w:color="auto"/>
              <w:left w:val="outset" w:sz="6" w:space="0" w:color="auto"/>
              <w:bottom w:val="outset" w:sz="6" w:space="0" w:color="auto"/>
              <w:right w:val="outset" w:sz="6" w:space="0" w:color="auto"/>
            </w:tcBorders>
          </w:tcPr>
          <w:p w:rsidR="00D02D11" w:rsidRPr="009F7E6C" w:rsidP="00D02D11" w14:paraId="22A97922" w14:textId="77777777">
            <w:pPr>
              <w:rPr>
                <w:lang w:eastAsia="en-US"/>
              </w:rPr>
            </w:pPr>
            <w:r w:rsidRPr="009F7E6C">
              <w:rPr>
                <w:lang w:eastAsia="en-US"/>
              </w:rPr>
              <w:t>Administratīvo izmaksu monetārais novērtējums</w:t>
            </w:r>
          </w:p>
        </w:tc>
        <w:tc>
          <w:tcPr>
            <w:tcW w:w="7092" w:type="dxa"/>
            <w:tcBorders>
              <w:top w:val="outset" w:sz="6" w:space="0" w:color="auto"/>
              <w:left w:val="outset" w:sz="6" w:space="0" w:color="auto"/>
              <w:bottom w:val="outset" w:sz="6" w:space="0" w:color="auto"/>
              <w:right w:val="outset" w:sz="6" w:space="0" w:color="auto"/>
            </w:tcBorders>
          </w:tcPr>
          <w:p w:rsidR="00D02D11" w:rsidRPr="00881C8A" w:rsidP="00881C8A" w14:paraId="3303E913" w14:textId="5B07B7B0">
            <w:pPr>
              <w:jc w:val="both"/>
            </w:pPr>
            <w:r w:rsidRPr="00D02D11">
              <w:rPr>
                <w:rFonts w:eastAsiaTheme="minorHAnsi"/>
                <w:bCs/>
                <w:szCs w:val="22"/>
                <w:lang w:eastAsia="en-US"/>
              </w:rPr>
              <w:t xml:space="preserve">Projekta ieviešana radīs </w:t>
            </w:r>
            <w:r w:rsidR="001805DC">
              <w:rPr>
                <w:rFonts w:eastAsiaTheme="minorHAnsi"/>
                <w:bCs/>
                <w:szCs w:val="22"/>
                <w:lang w:eastAsia="en-US"/>
              </w:rPr>
              <w:t xml:space="preserve">šādus </w:t>
            </w:r>
            <w:r w:rsidRPr="00D02D11">
              <w:rPr>
                <w:rFonts w:eastAsiaTheme="minorHAnsi"/>
                <w:bCs/>
                <w:szCs w:val="22"/>
                <w:lang w:eastAsia="en-US"/>
              </w:rPr>
              <w:t>sociālekonomiskos ieguvumus:</w:t>
            </w:r>
          </w:p>
          <w:p w:rsidR="00D02D11" w:rsidRPr="00D02D11" w:rsidP="00112886" w14:paraId="38115798" w14:textId="74DDC50F">
            <w:pPr>
              <w:numPr>
                <w:ilvl w:val="0"/>
                <w:numId w:val="12"/>
              </w:numPr>
              <w:tabs>
                <w:tab w:val="left" w:pos="0"/>
              </w:tabs>
              <w:spacing w:before="80" w:after="80"/>
              <w:jc w:val="both"/>
              <w:rPr>
                <w:rFonts w:eastAsiaTheme="minorHAnsi"/>
                <w:bCs/>
                <w:szCs w:val="22"/>
                <w:lang w:eastAsia="en-US"/>
              </w:rPr>
            </w:pPr>
            <w:r w:rsidRPr="00D02D11">
              <w:rPr>
                <w:rFonts w:eastAsiaTheme="minorHAnsi"/>
                <w:bCs/>
                <w:szCs w:val="22"/>
                <w:lang w:eastAsia="en-US"/>
              </w:rPr>
              <w:t xml:space="preserve">Projekta ietvaros centralizēti veidojot un nodrošinot centralizētu IKT infrastruktūru, tiek lēsts, ka būtu iespējams ietaupīt līdz 10% no kopējā IKT infrastruktūras investīciju apjoma, kas tiek plānots 2 milj. </w:t>
            </w:r>
            <w:r w:rsidR="00E90964">
              <w:rPr>
                <w:rFonts w:eastAsiaTheme="minorHAnsi"/>
                <w:bCs/>
                <w:i/>
                <w:szCs w:val="22"/>
                <w:lang w:eastAsia="en-US"/>
              </w:rPr>
              <w:t>euro</w:t>
            </w:r>
            <w:r w:rsidRPr="00D02D11">
              <w:rPr>
                <w:rFonts w:eastAsiaTheme="minorHAnsi"/>
                <w:bCs/>
                <w:szCs w:val="22"/>
                <w:lang w:eastAsia="en-US"/>
              </w:rPr>
              <w:t xml:space="preserve"> apmērā, ko radītu apjoma atlaides, efektīvāka procesu vadība u.c. iepirkumu izmaksu pozīcijas, kuras būs iespējams iepirkt efektīvāk, veidojot vienu centralizētu risinājumu. Paredzēts, ka tas radīs 200 000 </w:t>
            </w:r>
            <w:r w:rsidR="00E90964">
              <w:rPr>
                <w:rFonts w:eastAsiaTheme="minorHAnsi"/>
                <w:bCs/>
                <w:i/>
                <w:szCs w:val="22"/>
                <w:lang w:eastAsia="en-US"/>
              </w:rPr>
              <w:t>euro</w:t>
            </w:r>
            <w:r w:rsidRPr="00D02D11">
              <w:rPr>
                <w:rFonts w:eastAsiaTheme="minorHAnsi"/>
                <w:bCs/>
                <w:szCs w:val="22"/>
                <w:lang w:eastAsia="en-US"/>
              </w:rPr>
              <w:t xml:space="preserve"> ieguvumu pirmajā gadā pēc Projekta ieviešanas, Projekta pārskata periodā radot ieguvumus </w:t>
            </w:r>
            <w:r w:rsidRPr="00D02D11">
              <w:rPr>
                <w:rFonts w:eastAsiaTheme="minorHAnsi"/>
                <w:b/>
                <w:bCs/>
                <w:szCs w:val="22"/>
                <w:lang w:eastAsia="en-US"/>
              </w:rPr>
              <w:t xml:space="preserve">172 000 </w:t>
            </w:r>
            <w:r w:rsidR="00E90964">
              <w:rPr>
                <w:rFonts w:eastAsiaTheme="minorHAnsi"/>
                <w:b/>
                <w:bCs/>
                <w:i/>
                <w:szCs w:val="22"/>
                <w:lang w:eastAsia="en-US"/>
              </w:rPr>
              <w:t>euro</w:t>
            </w:r>
            <w:r w:rsidRPr="00D02D11">
              <w:rPr>
                <w:rFonts w:eastAsiaTheme="minorHAnsi"/>
                <w:bCs/>
                <w:szCs w:val="22"/>
                <w:lang w:eastAsia="en-US"/>
              </w:rPr>
              <w:t xml:space="preserve"> apmērā (diskontētā vērtība).</w:t>
            </w:r>
          </w:p>
          <w:p w:rsidR="00D02D11" w:rsidRPr="00D02D11" w:rsidP="00112886" w14:paraId="0C5A25F5" w14:textId="5B591D55">
            <w:pPr>
              <w:numPr>
                <w:ilvl w:val="0"/>
                <w:numId w:val="12"/>
              </w:numPr>
              <w:tabs>
                <w:tab w:val="left" w:pos="0"/>
              </w:tabs>
              <w:spacing w:before="80" w:after="80"/>
              <w:jc w:val="both"/>
              <w:rPr>
                <w:rFonts w:eastAsiaTheme="minorHAnsi"/>
                <w:bCs/>
                <w:szCs w:val="22"/>
                <w:lang w:eastAsia="en-US"/>
              </w:rPr>
            </w:pPr>
            <w:bookmarkStart w:id="1" w:name="_Hlk489436003"/>
            <w:r w:rsidRPr="00D02D11">
              <w:rPr>
                <w:rFonts w:eastAsiaTheme="minorHAnsi"/>
                <w:bCs/>
                <w:szCs w:val="22"/>
                <w:lang w:eastAsia="en-US"/>
              </w:rPr>
              <w:t xml:space="preserve">Pašlaik iestāžu darbinieki gadā patērē lielu apmēra laika resursu, lai noslēgtu starpresoru datu apmaiņas līgumus. Vidēji gadā tiek slēgti 438 datu apmaiņas līgumi, un vienas starpresoru vienošanās noslēgšana prasa sešus līdz 12 mēnešus, kopumā visām iesaistītajām iestādēm sastādot vidēji 480 cilvēkstundu darba apjoma. Tiek paredzēts, ka Projekta ieviešanas rezultātā izstrādātās standartizētas vienošanās, izmantojot VIRSIS datu piekļuves atļauju moduli, ļaus samazināt visu iesaistīto iestāžu laika resursu patēriņu viena līguma izveidei un noslēgšanai no </w:t>
            </w:r>
            <w:r w:rsidRPr="00D02D11">
              <w:rPr>
                <w:rFonts w:eastAsiaTheme="minorHAnsi"/>
                <w:bCs/>
                <w:szCs w:val="22"/>
                <w:lang w:eastAsia="en-US"/>
              </w:rPr>
              <w:t xml:space="preserve">480 cilvēkstundām gadā uz 180. Ņemot vērā laika ietaupījumu, vidējo valsts iestāžu darbinieka stundu likmi un  datu apmaiņas līgumu skaitu, gadā tiks radīti ieguvumi 690 000 </w:t>
            </w:r>
            <w:r w:rsidR="00E90964">
              <w:rPr>
                <w:rFonts w:eastAsiaTheme="minorHAnsi"/>
                <w:bCs/>
                <w:i/>
                <w:szCs w:val="22"/>
                <w:lang w:eastAsia="en-US"/>
              </w:rPr>
              <w:t>euro</w:t>
            </w:r>
            <w:r w:rsidRPr="00D02D11">
              <w:rPr>
                <w:rFonts w:eastAsiaTheme="minorHAnsi"/>
                <w:bCs/>
                <w:szCs w:val="22"/>
                <w:lang w:eastAsia="en-US"/>
              </w:rPr>
              <w:t xml:space="preserve"> apmērā, kopumā Projekta pārskata periodā sniedzot </w:t>
            </w:r>
            <w:r w:rsidRPr="00D02D11">
              <w:rPr>
                <w:rFonts w:eastAsiaTheme="minorHAnsi"/>
                <w:b/>
                <w:bCs/>
                <w:szCs w:val="22"/>
                <w:lang w:eastAsia="en-US"/>
              </w:rPr>
              <w:t>4,8 milj.</w:t>
            </w:r>
            <w:r w:rsidRPr="00D02D11">
              <w:rPr>
                <w:rFonts w:eastAsiaTheme="minorHAnsi"/>
                <w:bCs/>
                <w:szCs w:val="22"/>
                <w:lang w:eastAsia="en-US"/>
              </w:rPr>
              <w:t xml:space="preserve"> </w:t>
            </w:r>
            <w:r w:rsidR="00E90964">
              <w:rPr>
                <w:rFonts w:eastAsiaTheme="minorHAnsi"/>
                <w:b/>
                <w:bCs/>
                <w:i/>
                <w:szCs w:val="22"/>
                <w:lang w:eastAsia="en-US"/>
              </w:rPr>
              <w:t>euro</w:t>
            </w:r>
            <w:r w:rsidRPr="00D02D11">
              <w:rPr>
                <w:rFonts w:eastAsiaTheme="minorHAnsi"/>
                <w:bCs/>
                <w:szCs w:val="22"/>
                <w:lang w:eastAsia="en-US"/>
              </w:rPr>
              <w:t xml:space="preserve"> ieguvumu (diskontētā vērtība).</w:t>
            </w:r>
            <w:bookmarkEnd w:id="1"/>
          </w:p>
          <w:p w:rsidR="00D02D11" w:rsidRPr="00D02D11" w:rsidP="00112886" w14:paraId="796EE345" w14:textId="5AD8A34A">
            <w:pPr>
              <w:numPr>
                <w:ilvl w:val="0"/>
                <w:numId w:val="12"/>
              </w:numPr>
              <w:tabs>
                <w:tab w:val="left" w:pos="0"/>
              </w:tabs>
              <w:spacing w:before="80" w:after="80"/>
              <w:jc w:val="both"/>
              <w:rPr>
                <w:rFonts w:eastAsiaTheme="minorHAnsi"/>
                <w:bCs/>
                <w:szCs w:val="22"/>
                <w:lang w:eastAsia="en-US"/>
              </w:rPr>
            </w:pPr>
            <w:bookmarkStart w:id="2" w:name="_Hlk489436168"/>
            <w:r w:rsidRPr="00D02D11">
              <w:rPr>
                <w:rFonts w:eastAsiaTheme="minorHAnsi"/>
                <w:bCs/>
                <w:szCs w:val="22"/>
                <w:lang w:eastAsia="en-US"/>
              </w:rPr>
              <w:t xml:space="preserve">Projekta ietvaros izstrādātā datu izplatīšanas platforma piedāvās uzlabotas datu apmaiņas saskarnes, kas ļaus iestādēm ietaupīt izstrādājot integrācijas mehānismus, vidēji samazinot izmaksas no 30 000 līdz 10 000 </w:t>
            </w:r>
            <w:r w:rsidR="00E90964">
              <w:rPr>
                <w:rFonts w:eastAsiaTheme="minorHAnsi"/>
                <w:bCs/>
                <w:i/>
                <w:szCs w:val="22"/>
                <w:lang w:eastAsia="en-US"/>
              </w:rPr>
              <w:t>euro</w:t>
            </w:r>
            <w:r w:rsidRPr="00D02D11">
              <w:rPr>
                <w:rFonts w:eastAsiaTheme="minorHAnsi"/>
                <w:bCs/>
                <w:szCs w:val="22"/>
                <w:lang w:eastAsia="en-US"/>
              </w:rPr>
              <w:t xml:space="preserve"> gadā par vienu saskarni. Ņemot vērā vidējo finanšu ietaupījumu vienas saskarnes izstrādei (20 000 </w:t>
            </w:r>
            <w:r w:rsidR="00E90964">
              <w:rPr>
                <w:rFonts w:eastAsiaTheme="minorHAnsi"/>
                <w:bCs/>
                <w:i/>
                <w:szCs w:val="22"/>
                <w:lang w:eastAsia="en-US"/>
              </w:rPr>
              <w:t>euro</w:t>
            </w:r>
            <w:r w:rsidRPr="00D02D11">
              <w:rPr>
                <w:rFonts w:eastAsiaTheme="minorHAnsi"/>
                <w:bCs/>
                <w:szCs w:val="22"/>
                <w:lang w:eastAsia="en-US"/>
              </w:rPr>
              <w:t xml:space="preserve">) un vidēji valsts iestādēs gadā izveidoto saskarņu skaitu (63), tiek paredzēts, ka datu apmaiņas saskarņu pilnveidošanas rezultātā gadā iestādēm kopā varētu rasties ietaupījumi 1,26 milj. apmērā, Projekta pārskata periodā radot </w:t>
            </w:r>
            <w:r w:rsidRPr="00D02D11">
              <w:rPr>
                <w:rFonts w:eastAsiaTheme="minorHAnsi"/>
                <w:b/>
                <w:bCs/>
                <w:szCs w:val="22"/>
                <w:lang w:eastAsia="en-US"/>
              </w:rPr>
              <w:t xml:space="preserve">8,8 milj. </w:t>
            </w:r>
            <w:r w:rsidR="00E90964">
              <w:rPr>
                <w:rFonts w:eastAsiaTheme="minorHAnsi"/>
                <w:b/>
                <w:bCs/>
                <w:i/>
                <w:szCs w:val="22"/>
                <w:lang w:eastAsia="en-US"/>
              </w:rPr>
              <w:t>euro</w:t>
            </w:r>
            <w:r w:rsidRPr="00D02D11">
              <w:rPr>
                <w:rFonts w:eastAsiaTheme="minorHAnsi"/>
                <w:b/>
                <w:bCs/>
                <w:szCs w:val="22"/>
                <w:lang w:eastAsia="en-US"/>
              </w:rPr>
              <w:t xml:space="preserve"> </w:t>
            </w:r>
            <w:r w:rsidRPr="00D02D11">
              <w:rPr>
                <w:rFonts w:eastAsiaTheme="minorHAnsi"/>
                <w:bCs/>
                <w:szCs w:val="22"/>
                <w:lang w:eastAsia="en-US"/>
              </w:rPr>
              <w:t>ieguvumu (diskontētā vērtība).</w:t>
            </w:r>
          </w:p>
          <w:p w:rsidR="00D02D11" w:rsidRPr="00D02D11" w:rsidP="00112886" w14:paraId="2E11C1E8" w14:textId="22DAFD5A">
            <w:pPr>
              <w:numPr>
                <w:ilvl w:val="0"/>
                <w:numId w:val="12"/>
              </w:numPr>
              <w:tabs>
                <w:tab w:val="left" w:pos="0"/>
              </w:tabs>
              <w:spacing w:before="80" w:after="80"/>
              <w:jc w:val="both"/>
              <w:rPr>
                <w:rFonts w:eastAsiaTheme="minorHAnsi"/>
                <w:bCs/>
                <w:szCs w:val="22"/>
                <w:lang w:eastAsia="en-US"/>
              </w:rPr>
            </w:pPr>
            <w:bookmarkEnd w:id="2"/>
            <w:r w:rsidRPr="00D02D11">
              <w:rPr>
                <w:rFonts w:eastAsiaTheme="minorHAnsi"/>
                <w:bCs/>
                <w:szCs w:val="22"/>
                <w:lang w:eastAsia="en-US"/>
              </w:rPr>
              <w:t xml:space="preserve">Projekta ietvaros publicētie atvērtie dati var radīt ievērojamu pozitīvu sociālekonomisko ietekmi uz Latvijas Republikas sabiedrību. Pieņemot, ka, izmantojot atvērtos datus, viens darbaspējas vecuma iedzīvotājs ietaupīs vidēji pusstundu laika gadā, gadā ieguvums sasniegs 3,2 milj. </w:t>
            </w:r>
            <w:r w:rsidR="00E90964">
              <w:rPr>
                <w:rFonts w:eastAsiaTheme="minorHAnsi"/>
                <w:bCs/>
                <w:i/>
                <w:szCs w:val="22"/>
                <w:lang w:eastAsia="en-US"/>
              </w:rPr>
              <w:t>euro</w:t>
            </w:r>
            <w:r w:rsidRPr="00D02D11">
              <w:rPr>
                <w:rFonts w:eastAsiaTheme="minorHAnsi"/>
                <w:bCs/>
                <w:szCs w:val="22"/>
                <w:lang w:eastAsia="en-US"/>
              </w:rPr>
              <w:t xml:space="preserve">, Projekta pārskata periodā sasniedzot </w:t>
            </w:r>
            <w:r w:rsidRPr="00D02D11">
              <w:rPr>
                <w:rFonts w:eastAsiaTheme="minorHAnsi"/>
                <w:b/>
                <w:bCs/>
                <w:szCs w:val="22"/>
                <w:lang w:eastAsia="en-US"/>
              </w:rPr>
              <w:t xml:space="preserve">22,8 milj. </w:t>
            </w:r>
            <w:r w:rsidR="00E90964">
              <w:rPr>
                <w:rFonts w:eastAsiaTheme="minorHAnsi"/>
                <w:b/>
                <w:bCs/>
                <w:i/>
                <w:szCs w:val="22"/>
                <w:lang w:eastAsia="en-US"/>
              </w:rPr>
              <w:t>euro</w:t>
            </w:r>
            <w:r w:rsidRPr="00D02D11">
              <w:rPr>
                <w:rFonts w:eastAsiaTheme="minorHAnsi"/>
                <w:bCs/>
                <w:szCs w:val="22"/>
                <w:lang w:eastAsia="en-US"/>
              </w:rPr>
              <w:t xml:space="preserve"> (diskontētā vērtība).</w:t>
            </w:r>
          </w:p>
          <w:p w:rsidR="00D02D11" w:rsidRPr="00881C8A" w:rsidP="00112886" w14:paraId="6D9180A1" w14:textId="5FD592BD">
            <w:pPr>
              <w:numPr>
                <w:ilvl w:val="0"/>
                <w:numId w:val="12"/>
              </w:numPr>
              <w:tabs>
                <w:tab w:val="left" w:pos="0"/>
              </w:tabs>
              <w:spacing w:before="80" w:after="80"/>
              <w:jc w:val="both"/>
              <w:rPr>
                <w:rFonts w:eastAsiaTheme="minorHAnsi"/>
                <w:bCs/>
                <w:szCs w:val="22"/>
                <w:lang w:eastAsia="en-US"/>
              </w:rPr>
            </w:pPr>
            <w:r w:rsidRPr="00D02D11">
              <w:rPr>
                <w:rFonts w:eastAsiaTheme="minorHAnsi"/>
                <w:bCs/>
                <w:szCs w:val="22"/>
                <w:lang w:eastAsia="en-US"/>
              </w:rPr>
              <w:t xml:space="preserve">Projekta ietvaros izveidotais datu izplatīšanas risinājums ļaus iesaistītajām iestādēm (Pilsonības un migrācijas lietu pārvaldei un Uzņēmuma reģistram) samazināt sava laika un finanšu resursu patēriņu, veidojot pašiem savu risinājumu, kas ļaus ietaupīt resursus ne tikai risinājuma izstrādāšanai, kas varētu izmaksāt vidēji līdz 1 milj. </w:t>
            </w:r>
            <w:r w:rsidR="00E90964">
              <w:rPr>
                <w:rFonts w:eastAsiaTheme="minorHAnsi"/>
                <w:bCs/>
                <w:i/>
                <w:szCs w:val="22"/>
                <w:lang w:eastAsia="en-US"/>
              </w:rPr>
              <w:t>euro</w:t>
            </w:r>
            <w:r w:rsidRPr="00D02D11">
              <w:rPr>
                <w:rFonts w:eastAsiaTheme="minorHAnsi"/>
                <w:bCs/>
                <w:szCs w:val="22"/>
                <w:lang w:eastAsia="en-US"/>
              </w:rPr>
              <w:t xml:space="preserve">, bet arī izveidotā risinājuma uzturēšanas resursus, kas gadā varētu izmaksāt līdz 200 tūkst. </w:t>
            </w:r>
            <w:r w:rsidR="00E90964">
              <w:rPr>
                <w:rFonts w:eastAsiaTheme="minorHAnsi"/>
                <w:bCs/>
                <w:i/>
                <w:szCs w:val="22"/>
                <w:lang w:eastAsia="en-US"/>
              </w:rPr>
              <w:t>euro</w:t>
            </w:r>
            <w:r w:rsidRPr="00D02D11">
              <w:rPr>
                <w:rFonts w:eastAsiaTheme="minorHAnsi"/>
                <w:bCs/>
                <w:szCs w:val="22"/>
                <w:lang w:eastAsia="en-US"/>
              </w:rPr>
              <w:t xml:space="preserve"> par vienu sistēmu, Projekta pārskata periodā radot ieguvumus </w:t>
            </w:r>
            <w:r w:rsidRPr="00D02D11">
              <w:rPr>
                <w:rFonts w:eastAsiaTheme="minorHAnsi"/>
                <w:b/>
                <w:bCs/>
                <w:szCs w:val="22"/>
                <w:lang w:eastAsia="en-US"/>
              </w:rPr>
              <w:t xml:space="preserve">4,5 milj. </w:t>
            </w:r>
            <w:r w:rsidR="00E90964">
              <w:rPr>
                <w:rFonts w:eastAsiaTheme="minorHAnsi"/>
                <w:b/>
                <w:bCs/>
                <w:i/>
                <w:szCs w:val="22"/>
                <w:lang w:eastAsia="en-US"/>
              </w:rPr>
              <w:t>euro</w:t>
            </w:r>
            <w:r w:rsidRPr="00D02D11">
              <w:rPr>
                <w:rFonts w:eastAsiaTheme="minorHAnsi"/>
                <w:bCs/>
                <w:szCs w:val="22"/>
                <w:lang w:eastAsia="en-US"/>
              </w:rPr>
              <w:t xml:space="preserve"> apmērā (diskontētā vērtība).</w:t>
            </w:r>
          </w:p>
          <w:p w:rsidR="00B3067C" w:rsidRPr="00881C8A" w:rsidP="00E90964" w14:paraId="5A98CBB1" w14:textId="5DEC38C6">
            <w:pPr>
              <w:jc w:val="both"/>
              <w:rPr>
                <w:bCs/>
              </w:rPr>
            </w:pPr>
            <w:r w:rsidRPr="001A13B8">
              <w:rPr>
                <w:bCs/>
              </w:rPr>
              <w:t xml:space="preserve">Paredzēts, ka, pēc Projekta pilnīgas ieviešanas, Projekta pārskata periodā sociālekonomiskie ieguvumi sasniegs aptuveni </w:t>
            </w:r>
            <w:r w:rsidRPr="001A13B8">
              <w:rPr>
                <w:b/>
                <w:bCs/>
              </w:rPr>
              <w:t xml:space="preserve">41,1 milj. </w:t>
            </w:r>
            <w:r w:rsidR="00E90964">
              <w:rPr>
                <w:b/>
                <w:bCs/>
                <w:i/>
              </w:rPr>
              <w:t>euro</w:t>
            </w:r>
            <w:r w:rsidRPr="001A13B8">
              <w:rPr>
                <w:bCs/>
              </w:rPr>
              <w:t xml:space="preserve"> (diskontētā vērtība), ar ekonomisko neto pašreizējo vērtību </w:t>
            </w:r>
            <w:r w:rsidRPr="001A13B8" w:rsidR="001E30E5">
              <w:rPr>
                <w:b/>
                <w:bCs/>
              </w:rPr>
              <w:t>3</w:t>
            </w:r>
            <w:r w:rsidR="001E30E5">
              <w:rPr>
                <w:b/>
                <w:bCs/>
              </w:rPr>
              <w:t>5</w:t>
            </w:r>
            <w:r w:rsidRPr="001A13B8" w:rsidR="001E30E5">
              <w:rPr>
                <w:b/>
                <w:bCs/>
              </w:rPr>
              <w:t xml:space="preserve"> </w:t>
            </w:r>
            <w:r w:rsidRPr="001A13B8">
              <w:rPr>
                <w:b/>
                <w:bCs/>
              </w:rPr>
              <w:t xml:space="preserve">milj. </w:t>
            </w:r>
            <w:r w:rsidR="00E90964">
              <w:rPr>
                <w:b/>
                <w:bCs/>
                <w:i/>
              </w:rPr>
              <w:t>euro</w:t>
            </w:r>
            <w:r w:rsidRPr="001A13B8">
              <w:rPr>
                <w:bCs/>
              </w:rPr>
              <w:t xml:space="preserve"> apmērā.</w:t>
            </w:r>
          </w:p>
        </w:tc>
      </w:tr>
      <w:tr w14:paraId="50660EB4" w14:textId="77777777" w:rsidTr="00D02D11">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D02D11" w:rsidRPr="009F7E6C" w:rsidP="00D02D11" w14:paraId="362E7179" w14:textId="77777777">
            <w:pPr>
              <w:rPr>
                <w:lang w:eastAsia="en-US"/>
              </w:rPr>
            </w:pPr>
            <w:r w:rsidRPr="009F7E6C">
              <w:rPr>
                <w:lang w:eastAsia="en-US"/>
              </w:rPr>
              <w:t>4.</w:t>
            </w:r>
          </w:p>
        </w:tc>
        <w:tc>
          <w:tcPr>
            <w:tcW w:w="1985" w:type="dxa"/>
            <w:tcBorders>
              <w:top w:val="outset" w:sz="6" w:space="0" w:color="auto"/>
              <w:left w:val="outset" w:sz="6" w:space="0" w:color="auto"/>
              <w:bottom w:val="outset" w:sz="6" w:space="0" w:color="auto"/>
              <w:right w:val="outset" w:sz="6" w:space="0" w:color="auto"/>
            </w:tcBorders>
          </w:tcPr>
          <w:p w:rsidR="00D02D11" w:rsidRPr="009F7E6C" w:rsidP="00D02D11" w14:paraId="2EC40D25" w14:textId="77777777">
            <w:pPr>
              <w:rPr>
                <w:lang w:eastAsia="en-US"/>
              </w:rPr>
            </w:pPr>
            <w:r w:rsidRPr="009F7E6C">
              <w:rPr>
                <w:lang w:eastAsia="en-US"/>
              </w:rPr>
              <w:t>Cita informācija</w:t>
            </w:r>
          </w:p>
        </w:tc>
        <w:tc>
          <w:tcPr>
            <w:tcW w:w="7092" w:type="dxa"/>
            <w:tcBorders>
              <w:top w:val="outset" w:sz="6" w:space="0" w:color="auto"/>
              <w:left w:val="outset" w:sz="6" w:space="0" w:color="auto"/>
              <w:bottom w:val="outset" w:sz="6" w:space="0" w:color="auto"/>
              <w:right w:val="outset" w:sz="6" w:space="0" w:color="auto"/>
            </w:tcBorders>
          </w:tcPr>
          <w:p w:rsidR="00D02D11" w:rsidRPr="009F7E6C" w:rsidP="00D02D11" w14:paraId="32390448" w14:textId="77777777">
            <w:pPr>
              <w:jc w:val="both"/>
              <w:rPr>
                <w:lang w:eastAsia="en-US"/>
              </w:rPr>
            </w:pPr>
            <w:r w:rsidRPr="009F7E6C">
              <w:rPr>
                <w:lang w:eastAsia="en-US"/>
              </w:rPr>
              <w:t xml:space="preserve">Nav attiecināms </w:t>
            </w:r>
          </w:p>
        </w:tc>
      </w:tr>
    </w:tbl>
    <w:p w:rsidR="00D02D11" w:rsidP="00D02D11" w14:paraId="764EF358" w14:textId="77777777">
      <w:pPr>
        <w:rPr>
          <w:i/>
          <w:iCs/>
          <w:lang w:eastAsia="en-US"/>
        </w:rPr>
      </w:pPr>
    </w:p>
    <w:p w:rsidR="00D02D11" w:rsidRPr="004668F6" w:rsidP="00D02D11" w14:paraId="4DDA5CA5" w14:textId="77777777">
      <w:pPr>
        <w:rPr>
          <w:i/>
          <w:iCs/>
          <w:lang w:eastAsia="en-US"/>
        </w:rPr>
      </w:pPr>
    </w:p>
    <w:tbl>
      <w:tblPr>
        <w:tblW w:w="550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6"/>
        <w:gridCol w:w="1516"/>
        <w:gridCol w:w="1520"/>
        <w:gridCol w:w="1796"/>
        <w:gridCol w:w="1938"/>
        <w:gridCol w:w="1380"/>
      </w:tblGrid>
      <w:tr w14:paraId="08D00D00" w14:textId="77777777" w:rsidTr="00D02D11">
        <w:tblPrEx>
          <w:tblW w:w="5502"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4D211283" w14:textId="77777777">
            <w:pPr>
              <w:pStyle w:val="ListParagraph"/>
              <w:tabs>
                <w:tab w:val="left" w:pos="2268"/>
                <w:tab w:val="left" w:pos="2410"/>
              </w:tabs>
              <w:ind w:left="1080"/>
              <w:jc w:val="center"/>
              <w:rPr>
                <w:b/>
                <w:bCs/>
              </w:rPr>
            </w:pPr>
            <w:bookmarkStart w:id="3" w:name="_Hlk491689285"/>
            <w:r w:rsidRPr="004668F6">
              <w:rPr>
                <w:b/>
                <w:bCs/>
              </w:rPr>
              <w:t>III. Tiesību akta projekta ietekme uz valsts budžetu un pašvaldību budžetiem</w:t>
            </w:r>
          </w:p>
        </w:tc>
      </w:tr>
      <w:tr w14:paraId="790A2963" w14:textId="77777777" w:rsidTr="00D02D11">
        <w:tblPrEx>
          <w:tblW w:w="5502" w:type="pct"/>
          <w:tblInd w:w="-318" w:type="dxa"/>
          <w:tblLayout w:type="fixed"/>
          <w:tblLook w:val="04A0"/>
        </w:tblPrEx>
        <w:tc>
          <w:tcPr>
            <w:tcW w:w="8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308F7192" w14:textId="77777777">
            <w:pPr>
              <w:jc w:val="center"/>
              <w:rPr>
                <w:b/>
                <w:lang w:eastAsia="en-US"/>
              </w:rPr>
            </w:pPr>
            <w:r w:rsidRPr="004668F6">
              <w:rPr>
                <w:b/>
              </w:rPr>
              <w:t>Rādītāji</w:t>
            </w:r>
          </w:p>
        </w:tc>
        <w:tc>
          <w:tcPr>
            <w:tcW w:w="154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P="00D02D11" w14:paraId="0A04CD34" w14:textId="77777777">
            <w:pPr>
              <w:jc w:val="center"/>
              <w:rPr>
                <w:b/>
              </w:rPr>
            </w:pPr>
            <w:r w:rsidRPr="004668F6">
              <w:rPr>
                <w:b/>
              </w:rPr>
              <w:t>2017.gads</w:t>
            </w:r>
          </w:p>
          <w:p w:rsidR="00D02D11" w:rsidRPr="004668F6" w:rsidP="00D02D11" w14:paraId="7540EB3A" w14:textId="77777777">
            <w:pPr>
              <w:jc w:val="center"/>
              <w:rPr>
                <w:b/>
                <w:lang w:eastAsia="en-US"/>
              </w:rPr>
            </w:pPr>
          </w:p>
        </w:tc>
        <w:tc>
          <w:tcPr>
            <w:tcW w:w="260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568CF7C5" w14:textId="77777777">
            <w:pPr>
              <w:jc w:val="center"/>
              <w:rPr>
                <w:b/>
              </w:rPr>
            </w:pPr>
            <w:r w:rsidRPr="004668F6">
              <w:rPr>
                <w:b/>
              </w:rPr>
              <w:t>Turpmākie trīs gadi (</w:t>
            </w:r>
            <w:r w:rsidRPr="004668F6">
              <w:rPr>
                <w:b/>
                <w:i/>
              </w:rPr>
              <w:t>euro</w:t>
            </w:r>
            <w:r w:rsidRPr="004668F6">
              <w:rPr>
                <w:b/>
              </w:rPr>
              <w:t>)</w:t>
            </w:r>
          </w:p>
        </w:tc>
      </w:tr>
      <w:tr w14:paraId="00C3EA09" w14:textId="77777777" w:rsidTr="00D02D11">
        <w:tblPrEx>
          <w:tblW w:w="5502" w:type="pct"/>
          <w:tblInd w:w="-318" w:type="dxa"/>
          <w:tblLayout w:type="fixed"/>
          <w:tblLook w:val="04A0"/>
        </w:tblPrEx>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15E2BF97" w14:textId="77777777">
            <w:pPr>
              <w:rPr>
                <w:b/>
                <w:lang w:eastAsia="en-US"/>
              </w:rPr>
            </w:pPr>
          </w:p>
        </w:tc>
        <w:tc>
          <w:tcPr>
            <w:tcW w:w="1546"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36DCCAD0" w14:textId="77777777">
            <w:pPr>
              <w:rPr>
                <w:b/>
                <w:lang w:eastAsia="en-US"/>
              </w:rPr>
            </w:pP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4F5D67ED" w14:textId="77777777">
            <w:pPr>
              <w:jc w:val="center"/>
              <w:rPr>
                <w:b/>
                <w:lang w:eastAsia="en-US"/>
              </w:rPr>
            </w:pPr>
            <w:r w:rsidRPr="004668F6">
              <w:rPr>
                <w:b/>
              </w:rPr>
              <w:t>2018.g.</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4D68CB2F" w14:textId="77777777">
            <w:pPr>
              <w:jc w:val="center"/>
              <w:rPr>
                <w:b/>
                <w:lang w:eastAsia="en-US"/>
              </w:rPr>
            </w:pPr>
            <w:r w:rsidRPr="004668F6">
              <w:rPr>
                <w:b/>
              </w:rPr>
              <w:t>2019.g.</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4847ACFB" w14:textId="77777777">
            <w:pPr>
              <w:jc w:val="center"/>
              <w:rPr>
                <w:b/>
                <w:lang w:eastAsia="en-US"/>
              </w:rPr>
            </w:pPr>
            <w:r w:rsidRPr="004668F6">
              <w:rPr>
                <w:b/>
              </w:rPr>
              <w:t>2020.g.</w:t>
            </w:r>
          </w:p>
        </w:tc>
      </w:tr>
      <w:tr w14:paraId="0B9B01FA" w14:textId="77777777" w:rsidTr="00D02D11">
        <w:tblPrEx>
          <w:tblW w:w="5502" w:type="pct"/>
          <w:tblInd w:w="-318" w:type="dxa"/>
          <w:tblLayout w:type="fixed"/>
          <w:tblLook w:val="04A0"/>
        </w:tblPrEx>
        <w:tc>
          <w:tcPr>
            <w:tcW w:w="8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76F60E5E" w14:textId="77777777">
            <w:pPr>
              <w:rPr>
                <w:b/>
                <w:lang w:eastAsia="en-US"/>
              </w:rPr>
            </w:pP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589227B5" w14:textId="77777777">
            <w:pPr>
              <w:jc w:val="center"/>
              <w:rPr>
                <w:b/>
                <w:lang w:eastAsia="en-US"/>
              </w:rPr>
            </w:pPr>
            <w:r w:rsidRPr="004668F6">
              <w:rPr>
                <w:b/>
              </w:rPr>
              <w:t>saskaņā ar valsts budžetu kārtējam gadam</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7A0A1DFF" w14:textId="77777777">
            <w:pPr>
              <w:jc w:val="center"/>
              <w:rPr>
                <w:b/>
                <w:lang w:eastAsia="en-US"/>
              </w:rPr>
            </w:pPr>
            <w:r w:rsidRPr="004668F6">
              <w:rPr>
                <w:b/>
              </w:rPr>
              <w:t>izmaiņas kārtējā gadā, salīdzinot ar valsts budžetu kārtējam gadam</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712DB845" w14:textId="77777777">
            <w:pPr>
              <w:jc w:val="center"/>
              <w:rPr>
                <w:b/>
                <w:lang w:eastAsia="en-US"/>
              </w:rPr>
            </w:pPr>
            <w:r w:rsidRPr="004668F6">
              <w:rPr>
                <w:b/>
              </w:rPr>
              <w:t>izmaiņas, salīdzinot ar kārtējo (2017) gadu</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020319FE" w14:textId="77777777">
            <w:pPr>
              <w:jc w:val="center"/>
              <w:rPr>
                <w:b/>
                <w:lang w:eastAsia="en-US"/>
              </w:rPr>
            </w:pPr>
            <w:r w:rsidRPr="004668F6">
              <w:rPr>
                <w:b/>
              </w:rPr>
              <w:t>izmaiņas, salīdzinot ar kārtējo (2017) gadu</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4C08E08B" w14:textId="77777777">
            <w:pPr>
              <w:jc w:val="center"/>
              <w:rPr>
                <w:b/>
                <w:lang w:eastAsia="en-US"/>
              </w:rPr>
            </w:pPr>
            <w:r w:rsidRPr="004668F6">
              <w:rPr>
                <w:b/>
              </w:rPr>
              <w:t>izmaiņas, salīdzinot ar kārtējo (2017) gadu</w:t>
            </w:r>
          </w:p>
        </w:tc>
      </w:tr>
      <w:tr w14:paraId="50DCDF91"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54A79741" w14:textId="77777777">
            <w:pPr>
              <w:jc w:val="center"/>
              <w:rPr>
                <w:lang w:eastAsia="en-US"/>
              </w:rPr>
            </w:pPr>
            <w:r w:rsidRPr="004668F6">
              <w:t>1</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3C6284BC" w14:textId="77777777">
            <w:pPr>
              <w:jc w:val="center"/>
              <w:rPr>
                <w:lang w:eastAsia="en-US"/>
              </w:rPr>
            </w:pPr>
            <w:r w:rsidRPr="004668F6">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2A8AFE42" w14:textId="77777777">
            <w:pPr>
              <w:jc w:val="center"/>
              <w:rPr>
                <w:lang w:eastAsia="en-US"/>
              </w:rPr>
            </w:pPr>
            <w:r w:rsidRPr="004668F6">
              <w:t>3</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3148FB46" w14:textId="77777777">
            <w:pPr>
              <w:jc w:val="center"/>
              <w:rPr>
                <w:lang w:eastAsia="en-US"/>
              </w:rPr>
            </w:pPr>
            <w:r w:rsidRPr="004668F6">
              <w:t>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57DC8957" w14:textId="77777777">
            <w:pPr>
              <w:jc w:val="center"/>
              <w:rPr>
                <w:lang w:eastAsia="en-US"/>
              </w:rPr>
            </w:pPr>
            <w:r w:rsidRPr="004668F6">
              <w:t>5</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2D11" w:rsidRPr="004668F6" w:rsidP="00D02D11" w14:paraId="428DB170" w14:textId="77777777">
            <w:pPr>
              <w:jc w:val="center"/>
              <w:rPr>
                <w:lang w:eastAsia="en-US"/>
              </w:rPr>
            </w:pPr>
            <w:r w:rsidRPr="004668F6">
              <w:t>6</w:t>
            </w:r>
          </w:p>
        </w:tc>
      </w:tr>
      <w:tr w14:paraId="186F9BDD" w14:textId="77777777" w:rsidTr="00112886">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E2B61" w:rsidRPr="004668F6" w:rsidP="00EE2B61" w14:paraId="44799B43" w14:textId="77777777">
            <w:pPr>
              <w:rPr>
                <w:lang w:eastAsia="en-US"/>
              </w:rPr>
            </w:pPr>
            <w:r w:rsidRPr="004668F6">
              <w:t>1. Budžeta ieņēmumi: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08462E2A" w14:textId="77777777">
            <w:pPr>
              <w:jc w:val="right"/>
              <w:rPr>
                <w:sz w:val="22"/>
                <w:szCs w:val="22"/>
                <w:lang w:eastAsia="en-US"/>
              </w:rPr>
            </w:pPr>
            <w:r w:rsidRPr="004668F6">
              <w:rPr>
                <w:sz w:val="22"/>
                <w:szCs w:val="22"/>
                <w:lang w:eastAsia="en-US"/>
              </w:rPr>
              <w:t>0</w:t>
            </w:r>
          </w:p>
        </w:tc>
        <w:tc>
          <w:tcPr>
            <w:tcW w:w="774" w:type="pct"/>
            <w:tcBorders>
              <w:top w:val="nil"/>
              <w:left w:val="nil"/>
              <w:bottom w:val="single" w:sz="8" w:space="0" w:color="auto"/>
              <w:right w:val="single" w:sz="8" w:space="0" w:color="auto"/>
            </w:tcBorders>
            <w:shd w:val="clear" w:color="auto" w:fill="auto"/>
            <w:vAlign w:val="center"/>
          </w:tcPr>
          <w:p w:rsidR="00EE2B61" w:rsidRPr="004668F6" w:rsidP="00EE2B61" w14:paraId="0765A60D" w14:textId="54B6EC9B">
            <w:pPr>
              <w:jc w:val="right"/>
              <w:rPr>
                <w:sz w:val="22"/>
                <w:szCs w:val="22"/>
                <w:lang w:eastAsia="en-US"/>
              </w:rPr>
            </w:pPr>
            <w:r>
              <w:rPr>
                <w:color w:val="000000"/>
                <w:sz w:val="22"/>
                <w:szCs w:val="22"/>
                <w:lang w:eastAsia="en-US"/>
              </w:rPr>
              <w:t>1 767 972</w:t>
            </w:r>
          </w:p>
        </w:tc>
        <w:tc>
          <w:tcPr>
            <w:tcW w:w="915" w:type="pct"/>
            <w:tcBorders>
              <w:top w:val="nil"/>
              <w:left w:val="nil"/>
              <w:bottom w:val="single" w:sz="8" w:space="0" w:color="auto"/>
              <w:right w:val="single" w:sz="8" w:space="0" w:color="auto"/>
            </w:tcBorders>
            <w:shd w:val="clear" w:color="auto" w:fill="auto"/>
            <w:vAlign w:val="center"/>
          </w:tcPr>
          <w:p w:rsidR="00EE2B61" w:rsidRPr="004668F6" w:rsidP="00EE2B61" w14:paraId="619FFB51" w14:textId="661B3873">
            <w:pPr>
              <w:jc w:val="right"/>
              <w:rPr>
                <w:sz w:val="22"/>
                <w:szCs w:val="22"/>
                <w:lang w:eastAsia="en-US"/>
              </w:rPr>
            </w:pPr>
            <w:r>
              <w:rPr>
                <w:color w:val="000000"/>
                <w:sz w:val="22"/>
                <w:szCs w:val="22"/>
                <w:lang w:eastAsia="en-US"/>
              </w:rPr>
              <w:t>373</w:t>
            </w:r>
            <w:r w:rsidR="007F0000">
              <w:rPr>
                <w:color w:val="000000"/>
                <w:sz w:val="22"/>
                <w:szCs w:val="22"/>
                <w:lang w:eastAsia="en-US"/>
              </w:rPr>
              <w:t xml:space="preserve"> </w:t>
            </w:r>
            <w:r>
              <w:rPr>
                <w:color w:val="000000"/>
                <w:sz w:val="22"/>
                <w:szCs w:val="22"/>
                <w:lang w:eastAsia="en-US"/>
              </w:rPr>
              <w:t>696</w:t>
            </w:r>
          </w:p>
        </w:tc>
        <w:tc>
          <w:tcPr>
            <w:tcW w:w="987" w:type="pct"/>
            <w:tcBorders>
              <w:top w:val="nil"/>
              <w:left w:val="nil"/>
              <w:bottom w:val="single" w:sz="8" w:space="0" w:color="auto"/>
              <w:right w:val="single" w:sz="8" w:space="0" w:color="auto"/>
            </w:tcBorders>
            <w:shd w:val="clear" w:color="auto" w:fill="auto"/>
            <w:vAlign w:val="center"/>
          </w:tcPr>
          <w:p w:rsidR="00EE2B61" w:rsidRPr="004668F6" w:rsidP="00EE2B61" w14:paraId="51792DEA" w14:textId="091D1CFF">
            <w:pPr>
              <w:jc w:val="right"/>
              <w:rPr>
                <w:sz w:val="22"/>
                <w:szCs w:val="22"/>
                <w:lang w:eastAsia="en-US"/>
              </w:rPr>
            </w:pPr>
            <w:r>
              <w:rPr>
                <w:color w:val="000000"/>
                <w:sz w:val="22"/>
                <w:szCs w:val="22"/>
                <w:lang w:eastAsia="en-US"/>
              </w:rPr>
              <w:t>629 103</w:t>
            </w:r>
          </w:p>
        </w:tc>
        <w:tc>
          <w:tcPr>
            <w:tcW w:w="703" w:type="pct"/>
            <w:tcBorders>
              <w:top w:val="nil"/>
              <w:left w:val="nil"/>
              <w:bottom w:val="single" w:sz="8" w:space="0" w:color="auto"/>
              <w:right w:val="single" w:sz="8" w:space="0" w:color="auto"/>
            </w:tcBorders>
            <w:shd w:val="clear" w:color="auto" w:fill="auto"/>
            <w:vAlign w:val="center"/>
          </w:tcPr>
          <w:p w:rsidR="00EE2B61" w:rsidRPr="004668F6" w:rsidP="00EE2B61" w14:paraId="30E33B88" w14:textId="43CDE3E2">
            <w:pPr>
              <w:jc w:val="right"/>
              <w:rPr>
                <w:sz w:val="22"/>
                <w:szCs w:val="22"/>
                <w:lang w:eastAsia="en-US"/>
              </w:rPr>
            </w:pPr>
            <w:r>
              <w:rPr>
                <w:color w:val="000000"/>
                <w:sz w:val="22"/>
                <w:szCs w:val="22"/>
                <w:lang w:eastAsia="en-US"/>
              </w:rPr>
              <w:t>629 230</w:t>
            </w:r>
          </w:p>
        </w:tc>
      </w:tr>
      <w:tr w14:paraId="23762D9D" w14:textId="77777777" w:rsidTr="00112886">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E2B61" w:rsidRPr="004668F6" w:rsidP="00EE2B61" w14:paraId="0CBB1D65" w14:textId="77777777">
            <w:pPr>
              <w:rPr>
                <w:lang w:eastAsia="en-US"/>
              </w:rPr>
            </w:pPr>
            <w:r w:rsidRPr="004668F6">
              <w:t>1.1. valsts pamatbudžets, tai skaitā ieņēmumi no maksas pakalpojumiem un citi pašu ieņēmumi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01635056" w14:textId="77777777">
            <w:pPr>
              <w:jc w:val="right"/>
              <w:rPr>
                <w:sz w:val="22"/>
                <w:szCs w:val="22"/>
                <w:lang w:eastAsia="en-US"/>
              </w:rPr>
            </w:pPr>
            <w:r w:rsidRPr="004668F6">
              <w:rPr>
                <w:sz w:val="22"/>
                <w:szCs w:val="22"/>
                <w:lang w:eastAsia="en-US"/>
              </w:rPr>
              <w:t>0</w:t>
            </w:r>
          </w:p>
        </w:tc>
        <w:tc>
          <w:tcPr>
            <w:tcW w:w="774" w:type="pct"/>
            <w:tcBorders>
              <w:top w:val="nil"/>
              <w:left w:val="nil"/>
              <w:bottom w:val="single" w:sz="8" w:space="0" w:color="auto"/>
              <w:right w:val="single" w:sz="8" w:space="0" w:color="auto"/>
            </w:tcBorders>
            <w:shd w:val="clear" w:color="auto" w:fill="auto"/>
            <w:vAlign w:val="center"/>
          </w:tcPr>
          <w:p w:rsidR="00EE2B61" w:rsidRPr="004668F6" w:rsidP="00EE2B61" w14:paraId="5A0D9FE6" w14:textId="35C7794B">
            <w:pPr>
              <w:jc w:val="right"/>
              <w:rPr>
                <w:sz w:val="22"/>
                <w:szCs w:val="22"/>
                <w:lang w:eastAsia="en-US"/>
              </w:rPr>
            </w:pPr>
            <w:r>
              <w:rPr>
                <w:color w:val="000000"/>
                <w:sz w:val="22"/>
                <w:szCs w:val="22"/>
              </w:rPr>
              <w:t>1 767 972</w:t>
            </w:r>
          </w:p>
        </w:tc>
        <w:tc>
          <w:tcPr>
            <w:tcW w:w="915" w:type="pct"/>
            <w:tcBorders>
              <w:top w:val="nil"/>
              <w:left w:val="nil"/>
              <w:bottom w:val="single" w:sz="8" w:space="0" w:color="auto"/>
              <w:right w:val="single" w:sz="8" w:space="0" w:color="auto"/>
            </w:tcBorders>
            <w:shd w:val="clear" w:color="auto" w:fill="auto"/>
            <w:vAlign w:val="center"/>
          </w:tcPr>
          <w:p w:rsidR="00EE2B61" w:rsidRPr="004668F6" w:rsidP="00EE2B61" w14:paraId="57BC1E49" w14:textId="35A2ACAC">
            <w:pPr>
              <w:jc w:val="right"/>
              <w:rPr>
                <w:sz w:val="22"/>
                <w:szCs w:val="22"/>
                <w:lang w:eastAsia="en-US"/>
              </w:rPr>
            </w:pPr>
            <w:r>
              <w:rPr>
                <w:color w:val="000000"/>
                <w:sz w:val="22"/>
                <w:szCs w:val="22"/>
              </w:rPr>
              <w:t>373</w:t>
            </w:r>
            <w:r w:rsidR="007F0000">
              <w:rPr>
                <w:color w:val="000000"/>
                <w:sz w:val="22"/>
                <w:szCs w:val="22"/>
              </w:rPr>
              <w:t xml:space="preserve"> </w:t>
            </w:r>
            <w:r>
              <w:rPr>
                <w:color w:val="000000"/>
                <w:sz w:val="22"/>
                <w:szCs w:val="22"/>
              </w:rPr>
              <w:t>696</w:t>
            </w:r>
          </w:p>
        </w:tc>
        <w:tc>
          <w:tcPr>
            <w:tcW w:w="987" w:type="pct"/>
            <w:tcBorders>
              <w:top w:val="nil"/>
              <w:left w:val="nil"/>
              <w:bottom w:val="single" w:sz="8" w:space="0" w:color="auto"/>
              <w:right w:val="single" w:sz="8" w:space="0" w:color="auto"/>
            </w:tcBorders>
            <w:shd w:val="clear" w:color="auto" w:fill="auto"/>
            <w:vAlign w:val="center"/>
          </w:tcPr>
          <w:p w:rsidR="00EE2B61" w:rsidRPr="004668F6" w:rsidP="00EE2B61" w14:paraId="66E2B2C1" w14:textId="540391A8">
            <w:pPr>
              <w:jc w:val="right"/>
              <w:rPr>
                <w:sz w:val="22"/>
                <w:szCs w:val="22"/>
                <w:lang w:eastAsia="en-US"/>
              </w:rPr>
            </w:pPr>
            <w:r>
              <w:rPr>
                <w:color w:val="000000"/>
                <w:sz w:val="22"/>
                <w:szCs w:val="22"/>
              </w:rPr>
              <w:t>629 103</w:t>
            </w:r>
          </w:p>
        </w:tc>
        <w:tc>
          <w:tcPr>
            <w:tcW w:w="703" w:type="pct"/>
            <w:tcBorders>
              <w:top w:val="nil"/>
              <w:left w:val="nil"/>
              <w:bottom w:val="single" w:sz="8" w:space="0" w:color="auto"/>
              <w:right w:val="single" w:sz="8" w:space="0" w:color="auto"/>
            </w:tcBorders>
            <w:shd w:val="clear" w:color="auto" w:fill="auto"/>
            <w:vAlign w:val="center"/>
          </w:tcPr>
          <w:p w:rsidR="00EE2B61" w:rsidRPr="004668F6" w:rsidP="00EE2B61" w14:paraId="21F086F5" w14:textId="7A2A71BE">
            <w:pPr>
              <w:jc w:val="right"/>
              <w:rPr>
                <w:sz w:val="22"/>
                <w:szCs w:val="22"/>
                <w:lang w:eastAsia="en-US"/>
              </w:rPr>
            </w:pPr>
            <w:r>
              <w:rPr>
                <w:color w:val="000000"/>
                <w:sz w:val="22"/>
                <w:szCs w:val="22"/>
              </w:rPr>
              <w:t>629 230</w:t>
            </w:r>
          </w:p>
        </w:tc>
      </w:tr>
      <w:tr w14:paraId="12639D3F"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E2B61" w:rsidRPr="004668F6" w:rsidP="00EE2B61" w14:paraId="07C093E4" w14:textId="77777777">
            <w:pPr>
              <w:rPr>
                <w:lang w:eastAsia="en-US"/>
              </w:rPr>
            </w:pPr>
            <w:r w:rsidRPr="004668F6">
              <w:t>1.2. valsts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01F6399F"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5E0D272E"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39A5062D"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0AEABD80"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6A74801C" w14:textId="77777777">
            <w:pPr>
              <w:jc w:val="right"/>
              <w:rPr>
                <w:sz w:val="22"/>
                <w:szCs w:val="22"/>
                <w:lang w:eastAsia="en-US"/>
              </w:rPr>
            </w:pPr>
            <w:r>
              <w:rPr>
                <w:sz w:val="22"/>
                <w:szCs w:val="22"/>
                <w:lang w:eastAsia="en-US"/>
              </w:rPr>
              <w:t>0</w:t>
            </w:r>
          </w:p>
        </w:tc>
      </w:tr>
      <w:tr w14:paraId="6F2E3CCD"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E2B61" w:rsidRPr="004668F6" w:rsidP="00EE2B61" w14:paraId="12944305" w14:textId="77777777">
            <w:pPr>
              <w:rPr>
                <w:lang w:eastAsia="en-US"/>
              </w:rPr>
            </w:pPr>
            <w:r w:rsidRPr="004668F6">
              <w:t>1.3.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5CDBD515"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788A5E4B"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6F505103"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7740E456"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0F84A803" w14:textId="77777777">
            <w:pPr>
              <w:jc w:val="right"/>
              <w:rPr>
                <w:sz w:val="22"/>
                <w:szCs w:val="22"/>
                <w:lang w:eastAsia="en-US"/>
              </w:rPr>
            </w:pPr>
            <w:r>
              <w:rPr>
                <w:sz w:val="22"/>
                <w:szCs w:val="22"/>
                <w:lang w:eastAsia="en-US"/>
              </w:rPr>
              <w:t>0</w:t>
            </w:r>
          </w:p>
        </w:tc>
      </w:tr>
      <w:tr w14:paraId="703B15B0" w14:textId="77777777" w:rsidTr="00112886">
        <w:tblPrEx>
          <w:tblW w:w="5502" w:type="pct"/>
          <w:tblInd w:w="-318" w:type="dxa"/>
          <w:tblLayout w:type="fixed"/>
          <w:tblLook w:val="04A0"/>
        </w:tblPrEx>
        <w:trPr>
          <w:trHeight w:val="176"/>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D23869" w:rsidRPr="004668F6" w:rsidP="00D23869" w14:paraId="5BDF69C6" w14:textId="77777777">
            <w:pPr>
              <w:rPr>
                <w:lang w:eastAsia="en-US"/>
              </w:rPr>
            </w:pPr>
            <w:r w:rsidRPr="004668F6">
              <w:t>2. Budžeta izdevumi: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D23869" w:rsidRPr="004668F6" w:rsidP="00D23869" w14:paraId="24E9C0F3" w14:textId="77777777">
            <w:pPr>
              <w:jc w:val="right"/>
              <w:rPr>
                <w:sz w:val="22"/>
                <w:szCs w:val="22"/>
                <w:lang w:eastAsia="en-US"/>
              </w:rPr>
            </w:pPr>
            <w:r w:rsidRPr="004668F6">
              <w:rPr>
                <w:sz w:val="22"/>
                <w:szCs w:val="22"/>
                <w:lang w:eastAsia="en-US"/>
              </w:rPr>
              <w:t>0</w:t>
            </w:r>
          </w:p>
        </w:tc>
        <w:tc>
          <w:tcPr>
            <w:tcW w:w="774" w:type="pct"/>
            <w:tcBorders>
              <w:top w:val="nil"/>
              <w:left w:val="nil"/>
              <w:bottom w:val="single" w:sz="8" w:space="0" w:color="auto"/>
              <w:right w:val="single" w:sz="8" w:space="0" w:color="auto"/>
            </w:tcBorders>
            <w:shd w:val="clear" w:color="auto" w:fill="auto"/>
            <w:vAlign w:val="center"/>
          </w:tcPr>
          <w:p w:rsidR="00D23869" w:rsidRPr="004668F6" w:rsidP="00D23869" w14:paraId="369BF2F5" w14:textId="4D568CF7">
            <w:pPr>
              <w:jc w:val="right"/>
              <w:rPr>
                <w:sz w:val="22"/>
                <w:szCs w:val="22"/>
                <w:lang w:eastAsia="en-US"/>
              </w:rPr>
            </w:pPr>
            <w:r>
              <w:rPr>
                <w:color w:val="000000"/>
                <w:sz w:val="22"/>
                <w:szCs w:val="22"/>
                <w:lang w:eastAsia="en-US"/>
              </w:rPr>
              <w:t>2 079 967</w:t>
            </w:r>
          </w:p>
        </w:tc>
        <w:tc>
          <w:tcPr>
            <w:tcW w:w="915" w:type="pct"/>
            <w:tcBorders>
              <w:top w:val="nil"/>
              <w:left w:val="nil"/>
              <w:bottom w:val="single" w:sz="8" w:space="0" w:color="auto"/>
              <w:right w:val="single" w:sz="8" w:space="0" w:color="auto"/>
            </w:tcBorders>
            <w:shd w:val="clear" w:color="auto" w:fill="auto"/>
            <w:vAlign w:val="center"/>
          </w:tcPr>
          <w:p w:rsidR="00D23869" w:rsidRPr="004668F6" w:rsidP="00D23869" w14:paraId="17C48230" w14:textId="5C6F96C9">
            <w:pPr>
              <w:jc w:val="right"/>
              <w:rPr>
                <w:sz w:val="22"/>
                <w:szCs w:val="22"/>
                <w:lang w:eastAsia="en-US"/>
              </w:rPr>
            </w:pPr>
            <w:r>
              <w:rPr>
                <w:color w:val="000000"/>
                <w:sz w:val="22"/>
                <w:szCs w:val="22"/>
                <w:lang w:eastAsia="en-US"/>
              </w:rPr>
              <w:t>439 642</w:t>
            </w:r>
          </w:p>
        </w:tc>
        <w:tc>
          <w:tcPr>
            <w:tcW w:w="987" w:type="pct"/>
            <w:tcBorders>
              <w:top w:val="nil"/>
              <w:left w:val="nil"/>
              <w:bottom w:val="single" w:sz="8" w:space="0" w:color="auto"/>
              <w:right w:val="single" w:sz="8" w:space="0" w:color="auto"/>
            </w:tcBorders>
            <w:shd w:val="clear" w:color="auto" w:fill="auto"/>
            <w:vAlign w:val="center"/>
          </w:tcPr>
          <w:p w:rsidR="00D23869" w:rsidRPr="004668F6" w:rsidP="00D23869" w14:paraId="68C33577" w14:textId="2A756DD0">
            <w:pPr>
              <w:jc w:val="right"/>
              <w:rPr>
                <w:sz w:val="22"/>
                <w:szCs w:val="22"/>
                <w:lang w:eastAsia="en-US"/>
              </w:rPr>
            </w:pPr>
            <w:r>
              <w:rPr>
                <w:color w:val="000000"/>
                <w:sz w:val="22"/>
                <w:szCs w:val="22"/>
                <w:lang w:eastAsia="en-US"/>
              </w:rPr>
              <w:t>740 121</w:t>
            </w:r>
          </w:p>
        </w:tc>
        <w:tc>
          <w:tcPr>
            <w:tcW w:w="703" w:type="pct"/>
            <w:tcBorders>
              <w:top w:val="nil"/>
              <w:left w:val="nil"/>
              <w:bottom w:val="single" w:sz="8" w:space="0" w:color="auto"/>
              <w:right w:val="single" w:sz="8" w:space="0" w:color="auto"/>
            </w:tcBorders>
            <w:shd w:val="clear" w:color="auto" w:fill="auto"/>
            <w:vAlign w:val="center"/>
          </w:tcPr>
          <w:p w:rsidR="00D23869" w:rsidRPr="00881C8A" w:rsidP="00D23869" w14:paraId="23E701C1" w14:textId="24A13DB0">
            <w:pPr>
              <w:jc w:val="right"/>
              <w:rPr>
                <w:sz w:val="22"/>
                <w:szCs w:val="22"/>
                <w:lang w:eastAsia="en-US"/>
              </w:rPr>
            </w:pPr>
            <w:r>
              <w:rPr>
                <w:color w:val="000000"/>
                <w:sz w:val="22"/>
                <w:szCs w:val="22"/>
              </w:rPr>
              <w:t>820 271</w:t>
            </w:r>
          </w:p>
        </w:tc>
      </w:tr>
      <w:tr w14:paraId="3F230AF0" w14:textId="77777777" w:rsidTr="00112886">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D23869" w:rsidRPr="004668F6" w:rsidP="00D23869" w14:paraId="25BBF335" w14:textId="77777777">
            <w:pPr>
              <w:rPr>
                <w:lang w:eastAsia="en-US"/>
              </w:rPr>
            </w:pPr>
            <w:r w:rsidRPr="004668F6">
              <w:t>2.1. valsts pamatbudžets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D23869" w:rsidRPr="004668F6" w:rsidP="00D23869" w14:paraId="366DEBE1" w14:textId="77777777">
            <w:pPr>
              <w:jc w:val="right"/>
              <w:rPr>
                <w:sz w:val="22"/>
                <w:szCs w:val="22"/>
                <w:lang w:eastAsia="en-US"/>
              </w:rPr>
            </w:pPr>
            <w:r w:rsidRPr="004668F6">
              <w:rPr>
                <w:sz w:val="22"/>
                <w:szCs w:val="22"/>
                <w:lang w:eastAsia="en-US"/>
              </w:rPr>
              <w:t>0</w:t>
            </w:r>
          </w:p>
        </w:tc>
        <w:tc>
          <w:tcPr>
            <w:tcW w:w="774" w:type="pct"/>
            <w:tcBorders>
              <w:top w:val="nil"/>
              <w:left w:val="nil"/>
              <w:bottom w:val="single" w:sz="8" w:space="0" w:color="auto"/>
              <w:right w:val="single" w:sz="8" w:space="0" w:color="auto"/>
            </w:tcBorders>
            <w:shd w:val="clear" w:color="000000" w:fill="FFFFFF"/>
            <w:vAlign w:val="center"/>
          </w:tcPr>
          <w:p w:rsidR="00D23869" w:rsidRPr="004668F6" w:rsidP="00D23869" w14:paraId="31FEF659" w14:textId="538CCF72">
            <w:pPr>
              <w:jc w:val="right"/>
              <w:rPr>
                <w:sz w:val="22"/>
                <w:szCs w:val="22"/>
                <w:lang w:eastAsia="en-US"/>
              </w:rPr>
            </w:pPr>
            <w:r>
              <w:rPr>
                <w:color w:val="000000"/>
                <w:sz w:val="22"/>
                <w:szCs w:val="22"/>
                <w:lang w:eastAsia="en-US"/>
              </w:rPr>
              <w:t>2 079 967</w:t>
            </w:r>
          </w:p>
        </w:tc>
        <w:tc>
          <w:tcPr>
            <w:tcW w:w="915" w:type="pct"/>
            <w:tcBorders>
              <w:top w:val="nil"/>
              <w:left w:val="nil"/>
              <w:bottom w:val="single" w:sz="8" w:space="0" w:color="auto"/>
              <w:right w:val="single" w:sz="8" w:space="0" w:color="auto"/>
            </w:tcBorders>
            <w:shd w:val="clear" w:color="000000" w:fill="FFFFFF"/>
            <w:vAlign w:val="center"/>
          </w:tcPr>
          <w:p w:rsidR="00D23869" w:rsidRPr="004668F6" w:rsidP="00D23869" w14:paraId="1D3D857B" w14:textId="04378F55">
            <w:pPr>
              <w:jc w:val="right"/>
              <w:rPr>
                <w:sz w:val="22"/>
                <w:szCs w:val="22"/>
                <w:lang w:eastAsia="en-US"/>
              </w:rPr>
            </w:pPr>
            <w:r>
              <w:rPr>
                <w:color w:val="000000"/>
                <w:sz w:val="22"/>
                <w:szCs w:val="22"/>
                <w:lang w:eastAsia="en-US"/>
              </w:rPr>
              <w:t>439 642</w:t>
            </w:r>
          </w:p>
        </w:tc>
        <w:tc>
          <w:tcPr>
            <w:tcW w:w="987" w:type="pct"/>
            <w:tcBorders>
              <w:top w:val="nil"/>
              <w:left w:val="nil"/>
              <w:bottom w:val="single" w:sz="8" w:space="0" w:color="auto"/>
              <w:right w:val="single" w:sz="8" w:space="0" w:color="auto"/>
            </w:tcBorders>
            <w:shd w:val="clear" w:color="000000" w:fill="FFFFFF"/>
            <w:vAlign w:val="center"/>
          </w:tcPr>
          <w:p w:rsidR="00D23869" w:rsidRPr="004668F6" w:rsidP="00D23869" w14:paraId="5C368EA8" w14:textId="580B0971">
            <w:pPr>
              <w:jc w:val="right"/>
              <w:rPr>
                <w:sz w:val="22"/>
                <w:szCs w:val="22"/>
                <w:lang w:eastAsia="en-US"/>
              </w:rPr>
            </w:pPr>
            <w:r>
              <w:rPr>
                <w:color w:val="000000"/>
                <w:sz w:val="22"/>
                <w:szCs w:val="22"/>
                <w:lang w:eastAsia="en-US"/>
              </w:rPr>
              <w:t>740 121</w:t>
            </w:r>
          </w:p>
        </w:tc>
        <w:tc>
          <w:tcPr>
            <w:tcW w:w="703" w:type="pct"/>
            <w:tcBorders>
              <w:top w:val="nil"/>
              <w:left w:val="nil"/>
              <w:bottom w:val="single" w:sz="8" w:space="0" w:color="auto"/>
              <w:right w:val="single" w:sz="8" w:space="0" w:color="auto"/>
            </w:tcBorders>
            <w:shd w:val="clear" w:color="000000" w:fill="FFFFFF"/>
            <w:vAlign w:val="center"/>
          </w:tcPr>
          <w:p w:rsidR="00D23869" w:rsidRPr="00881C8A" w:rsidP="00D23869" w14:paraId="340BAE1B" w14:textId="19AA6260">
            <w:pPr>
              <w:jc w:val="right"/>
              <w:rPr>
                <w:sz w:val="22"/>
                <w:szCs w:val="22"/>
                <w:lang w:eastAsia="en-US"/>
              </w:rPr>
            </w:pPr>
            <w:r>
              <w:rPr>
                <w:color w:val="000000"/>
                <w:sz w:val="22"/>
                <w:szCs w:val="22"/>
              </w:rPr>
              <w:t>820 271</w:t>
            </w:r>
          </w:p>
        </w:tc>
      </w:tr>
      <w:tr w14:paraId="63B20A52"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E2B61" w:rsidRPr="004668F6" w:rsidP="00EE2B61" w14:paraId="3E677DD1" w14:textId="77777777">
            <w:pPr>
              <w:rPr>
                <w:lang w:eastAsia="en-US"/>
              </w:rPr>
            </w:pPr>
            <w:r w:rsidRPr="004668F6">
              <w:t>2.2. valsts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23529298"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EE2B61" w:rsidRPr="004668F6" w:rsidP="00EE2B61" w14:paraId="31CE98A0"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5DC20FEF"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78EA2D8B"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DC09D9" w:rsidP="00EE2B61" w14:paraId="4AE23903" w14:textId="77777777">
            <w:pPr>
              <w:jc w:val="right"/>
              <w:rPr>
                <w:sz w:val="22"/>
                <w:szCs w:val="22"/>
                <w:lang w:eastAsia="en-US"/>
              </w:rPr>
            </w:pPr>
            <w:r w:rsidRPr="00DC09D9">
              <w:rPr>
                <w:sz w:val="22"/>
                <w:szCs w:val="22"/>
                <w:lang w:eastAsia="en-US"/>
              </w:rPr>
              <w:t>0</w:t>
            </w:r>
          </w:p>
        </w:tc>
      </w:tr>
      <w:tr w14:paraId="61FE6F51"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EE2B61" w:rsidRPr="004668F6" w:rsidP="00EE2B61" w14:paraId="4042CAA6" w14:textId="77777777">
            <w:pPr>
              <w:rPr>
                <w:sz w:val="22"/>
                <w:szCs w:val="22"/>
                <w:lang w:eastAsia="en-US"/>
              </w:rPr>
            </w:pPr>
            <w:r w:rsidRPr="004668F6">
              <w:rPr>
                <w:sz w:val="22"/>
                <w:szCs w:val="22"/>
              </w:rPr>
              <w:t>2.3.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5D651A7E"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EE2B61" w:rsidRPr="004668F6" w:rsidP="00EE2B61" w14:paraId="0AB64BF6"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0E8CDD55"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4668F6" w:rsidP="00EE2B61" w14:paraId="4D13CBDD"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EE2B61" w:rsidRPr="00DC09D9" w:rsidP="00EE2B61" w14:paraId="0B80A9CA" w14:textId="77777777">
            <w:pPr>
              <w:jc w:val="right"/>
              <w:rPr>
                <w:sz w:val="22"/>
                <w:szCs w:val="22"/>
                <w:lang w:eastAsia="en-US"/>
              </w:rPr>
            </w:pPr>
            <w:r w:rsidRPr="00DC09D9">
              <w:rPr>
                <w:sz w:val="22"/>
                <w:szCs w:val="22"/>
                <w:lang w:eastAsia="en-US"/>
              </w:rPr>
              <w:t>0</w:t>
            </w:r>
          </w:p>
        </w:tc>
      </w:tr>
      <w:tr w14:paraId="6B4AD645" w14:textId="77777777" w:rsidTr="00112886">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D23869" w:rsidRPr="004668F6" w:rsidP="00D23869" w14:paraId="79015475" w14:textId="77777777">
            <w:pPr>
              <w:rPr>
                <w:lang w:eastAsia="en-US"/>
              </w:rPr>
            </w:pPr>
            <w:r w:rsidRPr="004668F6">
              <w:t>3. Finansiālā ietekme:</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D23869" w:rsidRPr="004668F6" w:rsidP="00D23869" w14:paraId="43120B22" w14:textId="77777777">
            <w:pPr>
              <w:jc w:val="right"/>
              <w:rPr>
                <w:sz w:val="22"/>
                <w:szCs w:val="22"/>
                <w:lang w:eastAsia="en-US"/>
              </w:rPr>
            </w:pPr>
            <w:r w:rsidRPr="004668F6">
              <w:rPr>
                <w:sz w:val="22"/>
                <w:szCs w:val="22"/>
                <w:lang w:eastAsia="en-US"/>
              </w:rPr>
              <w:t>0</w:t>
            </w:r>
          </w:p>
        </w:tc>
        <w:tc>
          <w:tcPr>
            <w:tcW w:w="774" w:type="pct"/>
            <w:tcBorders>
              <w:top w:val="nil"/>
              <w:left w:val="nil"/>
              <w:bottom w:val="single" w:sz="8" w:space="0" w:color="auto"/>
              <w:right w:val="single" w:sz="8" w:space="0" w:color="auto"/>
            </w:tcBorders>
            <w:shd w:val="clear" w:color="auto" w:fill="auto"/>
            <w:vAlign w:val="center"/>
          </w:tcPr>
          <w:p w:rsidR="00D23869" w:rsidRPr="004668F6" w:rsidP="00D23869" w14:paraId="2641F04B" w14:textId="2BB0CC2D">
            <w:pPr>
              <w:jc w:val="right"/>
              <w:rPr>
                <w:sz w:val="22"/>
                <w:szCs w:val="22"/>
                <w:lang w:eastAsia="en-US"/>
              </w:rPr>
            </w:pPr>
            <w:r>
              <w:rPr>
                <w:color w:val="000000"/>
                <w:sz w:val="22"/>
                <w:szCs w:val="22"/>
                <w:lang w:eastAsia="en-US"/>
              </w:rPr>
              <w:t>-31 1995</w:t>
            </w:r>
          </w:p>
        </w:tc>
        <w:tc>
          <w:tcPr>
            <w:tcW w:w="915" w:type="pct"/>
            <w:tcBorders>
              <w:top w:val="nil"/>
              <w:left w:val="nil"/>
              <w:bottom w:val="single" w:sz="8" w:space="0" w:color="auto"/>
              <w:right w:val="single" w:sz="8" w:space="0" w:color="auto"/>
            </w:tcBorders>
            <w:shd w:val="clear" w:color="auto" w:fill="auto"/>
            <w:vAlign w:val="center"/>
          </w:tcPr>
          <w:p w:rsidR="00D23869" w:rsidRPr="004668F6" w:rsidP="00D23869" w14:paraId="4AAC3806" w14:textId="00784D7B">
            <w:pPr>
              <w:jc w:val="right"/>
              <w:rPr>
                <w:sz w:val="22"/>
                <w:szCs w:val="22"/>
                <w:lang w:eastAsia="en-US"/>
              </w:rPr>
            </w:pPr>
            <w:r>
              <w:rPr>
                <w:color w:val="000000"/>
                <w:sz w:val="22"/>
                <w:szCs w:val="22"/>
                <w:lang w:eastAsia="en-US"/>
              </w:rPr>
              <w:t>-65 946</w:t>
            </w:r>
          </w:p>
        </w:tc>
        <w:tc>
          <w:tcPr>
            <w:tcW w:w="987" w:type="pct"/>
            <w:tcBorders>
              <w:top w:val="nil"/>
              <w:left w:val="nil"/>
              <w:bottom w:val="single" w:sz="8" w:space="0" w:color="auto"/>
              <w:right w:val="single" w:sz="8" w:space="0" w:color="auto"/>
            </w:tcBorders>
            <w:shd w:val="clear" w:color="auto" w:fill="auto"/>
            <w:vAlign w:val="center"/>
          </w:tcPr>
          <w:p w:rsidR="00D23869" w:rsidRPr="004668F6" w:rsidP="00D23869" w14:paraId="4BEE22A8" w14:textId="10C4AAE3">
            <w:pPr>
              <w:jc w:val="right"/>
              <w:rPr>
                <w:sz w:val="22"/>
                <w:szCs w:val="22"/>
                <w:lang w:eastAsia="en-US"/>
              </w:rPr>
            </w:pPr>
            <w:r>
              <w:rPr>
                <w:color w:val="000000"/>
                <w:sz w:val="22"/>
                <w:szCs w:val="22"/>
                <w:lang w:eastAsia="en-US"/>
              </w:rPr>
              <w:t>-111 018</w:t>
            </w:r>
          </w:p>
        </w:tc>
        <w:tc>
          <w:tcPr>
            <w:tcW w:w="703" w:type="pct"/>
            <w:tcBorders>
              <w:top w:val="nil"/>
              <w:left w:val="nil"/>
              <w:bottom w:val="single" w:sz="8" w:space="0" w:color="auto"/>
              <w:right w:val="single" w:sz="8" w:space="0" w:color="auto"/>
            </w:tcBorders>
            <w:shd w:val="clear" w:color="auto" w:fill="auto"/>
            <w:vAlign w:val="center"/>
          </w:tcPr>
          <w:p w:rsidR="00D23869" w:rsidRPr="00DC09D9" w:rsidP="00D23869" w14:paraId="09B47721" w14:textId="221AD09B">
            <w:pPr>
              <w:jc w:val="right"/>
              <w:rPr>
                <w:sz w:val="22"/>
                <w:szCs w:val="22"/>
                <w:lang w:eastAsia="en-US"/>
              </w:rPr>
            </w:pPr>
            <w:r>
              <w:rPr>
                <w:color w:val="000000"/>
                <w:sz w:val="22"/>
                <w:szCs w:val="22"/>
              </w:rPr>
              <w:t>-191 041</w:t>
            </w:r>
          </w:p>
        </w:tc>
      </w:tr>
      <w:tr w14:paraId="3D51F870" w14:textId="77777777" w:rsidTr="00112886">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D23869" w:rsidRPr="004668F6" w:rsidP="00D23869" w14:paraId="310B187E" w14:textId="77777777">
            <w:pPr>
              <w:rPr>
                <w:lang w:eastAsia="en-US"/>
              </w:rPr>
            </w:pPr>
            <w:r w:rsidRPr="004668F6">
              <w:t>3.1. valsts pamatbudžets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D23869" w:rsidRPr="004668F6" w:rsidP="00D23869" w14:paraId="11B76455" w14:textId="77777777">
            <w:pPr>
              <w:jc w:val="right"/>
              <w:rPr>
                <w:sz w:val="22"/>
                <w:szCs w:val="22"/>
                <w:lang w:eastAsia="en-US"/>
              </w:rPr>
            </w:pPr>
            <w:r w:rsidRPr="004668F6">
              <w:rPr>
                <w:sz w:val="22"/>
                <w:szCs w:val="22"/>
                <w:lang w:eastAsia="en-US"/>
              </w:rPr>
              <w:t>0</w:t>
            </w:r>
          </w:p>
        </w:tc>
        <w:tc>
          <w:tcPr>
            <w:tcW w:w="774" w:type="pct"/>
            <w:tcBorders>
              <w:top w:val="nil"/>
              <w:left w:val="nil"/>
              <w:bottom w:val="single" w:sz="8" w:space="0" w:color="auto"/>
              <w:right w:val="single" w:sz="8" w:space="0" w:color="auto"/>
            </w:tcBorders>
            <w:shd w:val="clear" w:color="000000" w:fill="FFFFFF"/>
            <w:vAlign w:val="center"/>
          </w:tcPr>
          <w:p w:rsidR="00D23869" w:rsidRPr="004668F6" w:rsidP="00D23869" w14:paraId="4390BA17" w14:textId="258A2D32">
            <w:pPr>
              <w:jc w:val="right"/>
              <w:rPr>
                <w:sz w:val="22"/>
                <w:szCs w:val="22"/>
                <w:lang w:eastAsia="en-US"/>
              </w:rPr>
            </w:pPr>
            <w:r>
              <w:rPr>
                <w:color w:val="000000"/>
                <w:sz w:val="22"/>
                <w:szCs w:val="22"/>
              </w:rPr>
              <w:t>-31 1995</w:t>
            </w:r>
          </w:p>
        </w:tc>
        <w:tc>
          <w:tcPr>
            <w:tcW w:w="915" w:type="pct"/>
            <w:tcBorders>
              <w:top w:val="nil"/>
              <w:left w:val="nil"/>
              <w:bottom w:val="single" w:sz="8" w:space="0" w:color="auto"/>
              <w:right w:val="single" w:sz="8" w:space="0" w:color="auto"/>
            </w:tcBorders>
            <w:shd w:val="clear" w:color="auto" w:fill="auto"/>
            <w:vAlign w:val="center"/>
          </w:tcPr>
          <w:p w:rsidR="00D23869" w:rsidRPr="004668F6" w:rsidP="00D23869" w14:paraId="223FDA73" w14:textId="1C35BBBC">
            <w:pPr>
              <w:jc w:val="right"/>
              <w:rPr>
                <w:sz w:val="22"/>
                <w:szCs w:val="22"/>
                <w:lang w:eastAsia="en-US"/>
              </w:rPr>
            </w:pPr>
            <w:r>
              <w:rPr>
                <w:color w:val="000000"/>
                <w:sz w:val="22"/>
                <w:szCs w:val="22"/>
              </w:rPr>
              <w:t>-65 946</w:t>
            </w:r>
          </w:p>
        </w:tc>
        <w:tc>
          <w:tcPr>
            <w:tcW w:w="987" w:type="pct"/>
            <w:tcBorders>
              <w:top w:val="nil"/>
              <w:left w:val="nil"/>
              <w:bottom w:val="single" w:sz="8" w:space="0" w:color="auto"/>
              <w:right w:val="single" w:sz="8" w:space="0" w:color="auto"/>
            </w:tcBorders>
            <w:shd w:val="clear" w:color="auto" w:fill="auto"/>
            <w:vAlign w:val="center"/>
          </w:tcPr>
          <w:p w:rsidR="00D23869" w:rsidRPr="004668F6" w:rsidP="00D23869" w14:paraId="06AC3C4E" w14:textId="3CB4C198">
            <w:pPr>
              <w:jc w:val="right"/>
              <w:rPr>
                <w:sz w:val="22"/>
                <w:szCs w:val="22"/>
                <w:lang w:eastAsia="en-US"/>
              </w:rPr>
            </w:pPr>
            <w:r>
              <w:rPr>
                <w:color w:val="000000"/>
                <w:sz w:val="22"/>
                <w:szCs w:val="22"/>
              </w:rPr>
              <w:t>-111 018</w:t>
            </w:r>
          </w:p>
        </w:tc>
        <w:tc>
          <w:tcPr>
            <w:tcW w:w="703" w:type="pct"/>
            <w:tcBorders>
              <w:top w:val="nil"/>
              <w:left w:val="nil"/>
              <w:bottom w:val="single" w:sz="8" w:space="0" w:color="auto"/>
              <w:right w:val="single" w:sz="8" w:space="0" w:color="000000"/>
            </w:tcBorders>
            <w:shd w:val="clear" w:color="auto" w:fill="auto"/>
            <w:vAlign w:val="center"/>
          </w:tcPr>
          <w:p w:rsidR="00D23869" w:rsidRPr="00DC09D9" w:rsidP="00D23869" w14:paraId="18923D9A" w14:textId="20F4D67D">
            <w:pPr>
              <w:jc w:val="right"/>
              <w:rPr>
                <w:sz w:val="22"/>
                <w:szCs w:val="22"/>
              </w:rPr>
            </w:pPr>
            <w:r>
              <w:rPr>
                <w:color w:val="000000"/>
                <w:sz w:val="22"/>
                <w:szCs w:val="22"/>
              </w:rPr>
              <w:t>-191 041</w:t>
            </w:r>
          </w:p>
        </w:tc>
      </w:tr>
      <w:tr w14:paraId="0C67810A"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0000" w:rsidRPr="004668F6" w:rsidP="007F0000" w14:paraId="0CB4C312" w14:textId="77777777">
            <w:pPr>
              <w:rPr>
                <w:lang w:eastAsia="en-US"/>
              </w:rPr>
            </w:pPr>
            <w:r w:rsidRPr="004668F6">
              <w:t>3.2. speciālais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0DAC4FFA"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7F0000" w:rsidRPr="004668F6" w:rsidP="007F0000" w14:paraId="2684D368"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50AF0F5A"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66ECCFFA"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25F39352" w14:textId="77777777">
            <w:pPr>
              <w:jc w:val="right"/>
              <w:rPr>
                <w:sz w:val="22"/>
                <w:szCs w:val="22"/>
                <w:lang w:eastAsia="en-US"/>
              </w:rPr>
            </w:pPr>
            <w:r>
              <w:rPr>
                <w:sz w:val="22"/>
                <w:szCs w:val="22"/>
                <w:lang w:eastAsia="en-US"/>
              </w:rPr>
              <w:t>0</w:t>
            </w:r>
          </w:p>
        </w:tc>
      </w:tr>
      <w:tr w14:paraId="6DCCED06"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0000" w:rsidRPr="004668F6" w:rsidP="007F0000" w14:paraId="79CE24B6" w14:textId="77777777">
            <w:pPr>
              <w:rPr>
                <w:lang w:eastAsia="en-US"/>
              </w:rPr>
            </w:pPr>
            <w:r w:rsidRPr="004668F6">
              <w:t>3.3. pašvaldību budžets</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74635047" w14:textId="77777777">
            <w:pPr>
              <w:jc w:val="right"/>
              <w:rPr>
                <w:sz w:val="22"/>
                <w:szCs w:val="22"/>
                <w:lang w:eastAsia="en-US"/>
              </w:rPr>
            </w:pPr>
            <w:r w:rsidRPr="004668F6">
              <w:rPr>
                <w:sz w:val="22"/>
                <w:szCs w:val="22"/>
                <w:lang w:eastAsia="en-US"/>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7F0000" w:rsidRPr="004668F6" w:rsidP="007F0000" w14:paraId="210B9EDE"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55DA73DA"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389B5DCB"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3B6A084B" w14:textId="77777777">
            <w:pPr>
              <w:jc w:val="right"/>
              <w:rPr>
                <w:sz w:val="22"/>
                <w:szCs w:val="22"/>
                <w:lang w:eastAsia="en-US"/>
              </w:rPr>
            </w:pPr>
            <w:r>
              <w:rPr>
                <w:sz w:val="22"/>
                <w:szCs w:val="22"/>
                <w:lang w:eastAsia="en-US"/>
              </w:rPr>
              <w:t>0</w:t>
            </w:r>
          </w:p>
        </w:tc>
      </w:tr>
      <w:tr w14:paraId="4E231C64" w14:textId="77777777" w:rsidTr="00D02D11">
        <w:tblPrEx>
          <w:tblW w:w="5502" w:type="pct"/>
          <w:tblInd w:w="-318" w:type="dxa"/>
          <w:tblLayout w:type="fixed"/>
          <w:tblLook w:val="04A0"/>
        </w:tblPrEx>
        <w:trPr>
          <w:trHeight w:val="1380"/>
        </w:trPr>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0000" w:rsidRPr="004668F6" w:rsidP="007F0000" w14:paraId="69ADFFD4" w14:textId="77777777">
            <w:pPr>
              <w:rPr>
                <w:lang w:eastAsia="en-US"/>
              </w:rPr>
            </w:pPr>
            <w:r w:rsidRPr="004668F6">
              <w:t>4. Finanšu līdzekļi papildu izdevumu finansēšanai (kompensējošu izdevumu samazinājumu norāda ar „+” zīmi</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533C6392" w14:textId="77777777">
            <w:pPr>
              <w:jc w:val="right"/>
              <w:rPr>
                <w:sz w:val="22"/>
                <w:szCs w:val="22"/>
                <w:lang w:eastAsia="en-US"/>
              </w:rPr>
            </w:pPr>
            <w:r w:rsidRPr="004668F6">
              <w:rPr>
                <w:sz w:val="22"/>
                <w:szCs w:val="22"/>
                <w:lang w:eastAsia="en-US"/>
              </w:rPr>
              <w:t>x</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7F0000" w:rsidRPr="004668F6" w:rsidP="007F0000" w14:paraId="4EC4C609"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6DEE139E"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6173981F"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2A9FC3B1" w14:textId="759288FB">
            <w:pPr>
              <w:jc w:val="right"/>
              <w:rPr>
                <w:sz w:val="22"/>
                <w:szCs w:val="22"/>
                <w:lang w:eastAsia="en-US"/>
              </w:rPr>
            </w:pPr>
            <w:r w:rsidRPr="00D23869">
              <w:rPr>
                <w:sz w:val="22"/>
                <w:szCs w:val="22"/>
                <w:lang w:eastAsia="en-US"/>
              </w:rPr>
              <w:t>52</w:t>
            </w:r>
            <w:r>
              <w:rPr>
                <w:sz w:val="22"/>
                <w:szCs w:val="22"/>
                <w:lang w:eastAsia="en-US"/>
              </w:rPr>
              <w:t xml:space="preserve"> </w:t>
            </w:r>
            <w:r w:rsidRPr="00D23869">
              <w:rPr>
                <w:sz w:val="22"/>
                <w:szCs w:val="22"/>
                <w:lang w:eastAsia="en-US"/>
              </w:rPr>
              <w:t>700</w:t>
            </w:r>
          </w:p>
        </w:tc>
      </w:tr>
      <w:tr w14:paraId="49FBA9D0" w14:textId="77777777" w:rsidTr="00112886">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D23869" w:rsidRPr="004668F6" w:rsidP="00D23869" w14:paraId="3404FFEC" w14:textId="77777777">
            <w:pPr>
              <w:rPr>
                <w:lang w:eastAsia="en-US"/>
              </w:rPr>
            </w:pPr>
            <w:r w:rsidRPr="004668F6">
              <w:t>5. Precizētā finansiālā ietekme:</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3869" w:rsidRPr="004668F6" w:rsidP="00D23869" w14:paraId="3EDAC12C" w14:textId="77777777">
            <w:pPr>
              <w:jc w:val="right"/>
              <w:rPr>
                <w:sz w:val="22"/>
                <w:szCs w:val="22"/>
                <w:lang w:eastAsia="en-US"/>
              </w:rPr>
            </w:pPr>
            <w:r w:rsidRPr="004668F6">
              <w:rPr>
                <w:sz w:val="22"/>
                <w:szCs w:val="22"/>
                <w:lang w:eastAsia="en-US"/>
              </w:rPr>
              <w:t>x</w:t>
            </w:r>
          </w:p>
        </w:tc>
        <w:tc>
          <w:tcPr>
            <w:tcW w:w="774" w:type="pct"/>
            <w:tcBorders>
              <w:top w:val="nil"/>
              <w:left w:val="nil"/>
              <w:bottom w:val="single" w:sz="8" w:space="0" w:color="auto"/>
              <w:right w:val="single" w:sz="8" w:space="0" w:color="auto"/>
            </w:tcBorders>
            <w:shd w:val="clear" w:color="000000" w:fill="FFFFFF"/>
            <w:vAlign w:val="center"/>
          </w:tcPr>
          <w:p w:rsidR="00D23869" w:rsidRPr="004668F6" w:rsidP="00D23869" w14:paraId="693196EA" w14:textId="2351675F">
            <w:pPr>
              <w:jc w:val="right"/>
              <w:rPr>
                <w:sz w:val="22"/>
                <w:szCs w:val="22"/>
                <w:lang w:eastAsia="en-US"/>
              </w:rPr>
            </w:pPr>
            <w:r>
              <w:rPr>
                <w:color w:val="000000"/>
                <w:sz w:val="22"/>
                <w:szCs w:val="22"/>
                <w:lang w:eastAsia="en-US"/>
              </w:rPr>
              <w:t>-311 995</w:t>
            </w:r>
          </w:p>
        </w:tc>
        <w:tc>
          <w:tcPr>
            <w:tcW w:w="915" w:type="pct"/>
            <w:tcBorders>
              <w:top w:val="nil"/>
              <w:left w:val="nil"/>
              <w:bottom w:val="single" w:sz="8" w:space="0" w:color="auto"/>
              <w:right w:val="single" w:sz="8" w:space="0" w:color="auto"/>
            </w:tcBorders>
            <w:shd w:val="clear" w:color="000000" w:fill="FFFFFF"/>
            <w:vAlign w:val="center"/>
          </w:tcPr>
          <w:p w:rsidR="00D23869" w:rsidRPr="004668F6" w:rsidP="00D23869" w14:paraId="2E77785C" w14:textId="682D284E">
            <w:pPr>
              <w:jc w:val="right"/>
              <w:rPr>
                <w:sz w:val="22"/>
                <w:szCs w:val="22"/>
                <w:lang w:eastAsia="en-US"/>
              </w:rPr>
            </w:pPr>
            <w:r>
              <w:rPr>
                <w:color w:val="000000"/>
                <w:sz w:val="22"/>
                <w:szCs w:val="22"/>
                <w:lang w:eastAsia="en-US"/>
              </w:rPr>
              <w:t>-65 946</w:t>
            </w:r>
          </w:p>
        </w:tc>
        <w:tc>
          <w:tcPr>
            <w:tcW w:w="987" w:type="pct"/>
            <w:tcBorders>
              <w:top w:val="nil"/>
              <w:left w:val="nil"/>
              <w:bottom w:val="single" w:sz="8" w:space="0" w:color="auto"/>
              <w:right w:val="single" w:sz="8" w:space="0" w:color="auto"/>
            </w:tcBorders>
            <w:shd w:val="clear" w:color="000000" w:fill="FFFFFF"/>
            <w:vAlign w:val="center"/>
          </w:tcPr>
          <w:p w:rsidR="00D23869" w:rsidRPr="004668F6" w:rsidP="00D23869" w14:paraId="385123BC" w14:textId="3B311C59">
            <w:pPr>
              <w:jc w:val="right"/>
              <w:rPr>
                <w:sz w:val="22"/>
                <w:szCs w:val="22"/>
                <w:lang w:eastAsia="en-US"/>
              </w:rPr>
            </w:pPr>
            <w:r>
              <w:rPr>
                <w:color w:val="000000"/>
                <w:sz w:val="22"/>
                <w:szCs w:val="22"/>
                <w:lang w:eastAsia="en-US"/>
              </w:rPr>
              <w:t>-111 018</w:t>
            </w:r>
          </w:p>
        </w:tc>
        <w:tc>
          <w:tcPr>
            <w:tcW w:w="703" w:type="pct"/>
            <w:tcBorders>
              <w:top w:val="nil"/>
              <w:left w:val="nil"/>
              <w:bottom w:val="single" w:sz="8" w:space="0" w:color="auto"/>
              <w:right w:val="single" w:sz="8" w:space="0" w:color="auto"/>
            </w:tcBorders>
            <w:shd w:val="clear" w:color="000000" w:fill="FFFFFF"/>
            <w:vAlign w:val="center"/>
          </w:tcPr>
          <w:p w:rsidR="00D23869" w:rsidRPr="00147C36" w:rsidP="00D23869" w14:paraId="1BD4B39F" w14:textId="272EA0CB">
            <w:pPr>
              <w:jc w:val="right"/>
              <w:rPr>
                <w:sz w:val="22"/>
                <w:szCs w:val="22"/>
                <w:lang w:eastAsia="en-US"/>
              </w:rPr>
            </w:pPr>
            <w:r>
              <w:rPr>
                <w:color w:val="000000"/>
                <w:sz w:val="22"/>
                <w:szCs w:val="22"/>
              </w:rPr>
              <w:t>-138 341</w:t>
            </w:r>
          </w:p>
        </w:tc>
      </w:tr>
      <w:tr w14:paraId="56803F1C" w14:textId="77777777" w:rsidTr="00112886">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D23869" w:rsidRPr="004668F6" w:rsidP="00D23869" w14:paraId="56AE5C3D" w14:textId="77777777">
            <w:pPr>
              <w:rPr>
                <w:lang w:eastAsia="en-US"/>
              </w:rPr>
            </w:pPr>
            <w:r w:rsidRPr="004668F6">
              <w:t>5.1. valsts pamatbudžets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D23869" w:rsidRPr="004668F6" w:rsidP="00D23869" w14:paraId="7A157B87" w14:textId="77777777">
            <w:pPr>
              <w:rPr>
                <w:sz w:val="22"/>
                <w:szCs w:val="22"/>
                <w:lang w:eastAsia="en-US"/>
              </w:rPr>
            </w:pPr>
          </w:p>
        </w:tc>
        <w:tc>
          <w:tcPr>
            <w:tcW w:w="774" w:type="pct"/>
            <w:tcBorders>
              <w:top w:val="nil"/>
              <w:left w:val="nil"/>
              <w:bottom w:val="single" w:sz="8" w:space="0" w:color="auto"/>
              <w:right w:val="single" w:sz="8" w:space="0" w:color="auto"/>
            </w:tcBorders>
            <w:shd w:val="clear" w:color="000000" w:fill="FFFFFF"/>
            <w:vAlign w:val="center"/>
          </w:tcPr>
          <w:p w:rsidR="00D23869" w:rsidRPr="004668F6" w:rsidP="00D23869" w14:paraId="2530F569" w14:textId="3968B26B">
            <w:pPr>
              <w:jc w:val="right"/>
              <w:rPr>
                <w:sz w:val="22"/>
                <w:szCs w:val="22"/>
                <w:lang w:eastAsia="en-US"/>
              </w:rPr>
            </w:pPr>
            <w:r>
              <w:rPr>
                <w:color w:val="000000"/>
                <w:sz w:val="22"/>
                <w:szCs w:val="22"/>
                <w:lang w:eastAsia="en-US"/>
              </w:rPr>
              <w:t>-311 995</w:t>
            </w:r>
          </w:p>
        </w:tc>
        <w:tc>
          <w:tcPr>
            <w:tcW w:w="915" w:type="pct"/>
            <w:tcBorders>
              <w:top w:val="nil"/>
              <w:left w:val="nil"/>
              <w:bottom w:val="single" w:sz="8" w:space="0" w:color="auto"/>
              <w:right w:val="single" w:sz="8" w:space="0" w:color="auto"/>
            </w:tcBorders>
            <w:shd w:val="clear" w:color="000000" w:fill="FFFFFF"/>
            <w:vAlign w:val="center"/>
          </w:tcPr>
          <w:p w:rsidR="00D23869" w:rsidRPr="004668F6" w:rsidP="00D23869" w14:paraId="6243914A" w14:textId="0547ACDD">
            <w:pPr>
              <w:jc w:val="right"/>
              <w:rPr>
                <w:sz w:val="22"/>
                <w:szCs w:val="22"/>
                <w:lang w:eastAsia="en-US"/>
              </w:rPr>
            </w:pPr>
            <w:r>
              <w:rPr>
                <w:color w:val="000000"/>
                <w:sz w:val="22"/>
                <w:szCs w:val="22"/>
                <w:lang w:eastAsia="en-US"/>
              </w:rPr>
              <w:t>-65 946</w:t>
            </w:r>
          </w:p>
        </w:tc>
        <w:tc>
          <w:tcPr>
            <w:tcW w:w="987" w:type="pct"/>
            <w:tcBorders>
              <w:top w:val="nil"/>
              <w:left w:val="nil"/>
              <w:bottom w:val="single" w:sz="8" w:space="0" w:color="auto"/>
              <w:right w:val="single" w:sz="8" w:space="0" w:color="auto"/>
            </w:tcBorders>
            <w:shd w:val="clear" w:color="000000" w:fill="FFFFFF"/>
            <w:vAlign w:val="center"/>
          </w:tcPr>
          <w:p w:rsidR="00D23869" w:rsidRPr="004668F6" w:rsidP="00D23869" w14:paraId="55299D0C" w14:textId="19D5354D">
            <w:pPr>
              <w:jc w:val="right"/>
              <w:rPr>
                <w:sz w:val="22"/>
                <w:szCs w:val="22"/>
                <w:lang w:eastAsia="en-US"/>
              </w:rPr>
            </w:pPr>
            <w:r>
              <w:rPr>
                <w:color w:val="000000"/>
                <w:sz w:val="22"/>
                <w:szCs w:val="22"/>
                <w:lang w:eastAsia="en-US"/>
              </w:rPr>
              <w:t>-111 018</w:t>
            </w:r>
          </w:p>
        </w:tc>
        <w:tc>
          <w:tcPr>
            <w:tcW w:w="703" w:type="pct"/>
            <w:tcBorders>
              <w:top w:val="nil"/>
              <w:left w:val="nil"/>
              <w:bottom w:val="single" w:sz="8" w:space="0" w:color="auto"/>
              <w:right w:val="single" w:sz="8" w:space="0" w:color="auto"/>
            </w:tcBorders>
            <w:shd w:val="clear" w:color="000000" w:fill="FFFFFF"/>
            <w:vAlign w:val="center"/>
          </w:tcPr>
          <w:p w:rsidR="00D23869" w:rsidRPr="00147C36" w:rsidP="00D23869" w14:paraId="387AB50B" w14:textId="16E67D86">
            <w:pPr>
              <w:jc w:val="right"/>
              <w:rPr>
                <w:sz w:val="22"/>
                <w:szCs w:val="22"/>
              </w:rPr>
            </w:pPr>
            <w:r>
              <w:rPr>
                <w:color w:val="000000"/>
                <w:sz w:val="22"/>
                <w:szCs w:val="22"/>
              </w:rPr>
              <w:t>-138 341</w:t>
            </w:r>
          </w:p>
        </w:tc>
      </w:tr>
      <w:tr w14:paraId="790EFFBA"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0000" w:rsidRPr="004668F6" w:rsidP="007F0000" w14:paraId="11020664" w14:textId="77777777">
            <w:pPr>
              <w:rPr>
                <w:lang w:eastAsia="en-US"/>
              </w:rPr>
            </w:pPr>
            <w:r w:rsidRPr="004668F6">
              <w:t>5.2. speciālais 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15BBEF6A" w14:textId="77777777">
            <w:pPr>
              <w:rPr>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65DC7B1D"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566BFDEC" w14:textId="77777777">
            <w:pPr>
              <w:jc w:val="right"/>
              <w:rPr>
                <w:sz w:val="22"/>
                <w:szCs w:val="22"/>
                <w:lang w:eastAsia="en-US"/>
              </w:rPr>
            </w:pPr>
            <w:r>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07F92047" w14:textId="77777777">
            <w:pPr>
              <w:jc w:val="right"/>
              <w:rPr>
                <w:sz w:val="22"/>
                <w:szCs w:val="22"/>
                <w:lang w:eastAsia="en-US"/>
              </w:rPr>
            </w:pPr>
            <w:r>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7B57F997" w14:textId="77777777">
            <w:pPr>
              <w:jc w:val="right"/>
              <w:rPr>
                <w:sz w:val="22"/>
                <w:szCs w:val="22"/>
                <w:lang w:eastAsia="en-US"/>
              </w:rPr>
            </w:pPr>
            <w:r>
              <w:rPr>
                <w:sz w:val="22"/>
                <w:szCs w:val="22"/>
                <w:lang w:eastAsia="en-US"/>
              </w:rPr>
              <w:t>0</w:t>
            </w:r>
          </w:p>
        </w:tc>
      </w:tr>
      <w:tr w14:paraId="30009F60"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0000" w:rsidRPr="004668F6" w:rsidP="007F0000" w14:paraId="4F7575BC" w14:textId="77777777">
            <w:pPr>
              <w:rPr>
                <w:lang w:eastAsia="en-US"/>
              </w:rPr>
            </w:pPr>
            <w:r w:rsidRPr="004668F6">
              <w:t>5.3. pašvaldību budžets</w:t>
            </w:r>
          </w:p>
        </w:tc>
        <w:tc>
          <w:tcPr>
            <w:tcW w:w="7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68328E2D" w14:textId="77777777">
            <w:pPr>
              <w:rPr>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76854F3A" w14:textId="77777777">
            <w:pPr>
              <w:jc w:val="right"/>
              <w:rPr>
                <w:sz w:val="22"/>
                <w:szCs w:val="22"/>
                <w:lang w:eastAsia="en-US"/>
              </w:rPr>
            </w:pPr>
            <w:r w:rsidRPr="004668F6">
              <w:rPr>
                <w:sz w:val="22"/>
                <w:szCs w:val="22"/>
                <w:lang w:eastAsia="en-US"/>
              </w:rPr>
              <w:t>0</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733D6013" w14:textId="77777777">
            <w:pPr>
              <w:jc w:val="right"/>
              <w:rPr>
                <w:sz w:val="22"/>
                <w:szCs w:val="22"/>
                <w:lang w:eastAsia="en-US"/>
              </w:rPr>
            </w:pPr>
            <w:r w:rsidRPr="004668F6">
              <w:rPr>
                <w:sz w:val="22"/>
                <w:szCs w:val="22"/>
                <w:lang w:eastAsia="en-US"/>
              </w:rPr>
              <w:t>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149BAA6C" w14:textId="77777777">
            <w:pPr>
              <w:jc w:val="right"/>
              <w:rPr>
                <w:sz w:val="22"/>
                <w:szCs w:val="22"/>
                <w:lang w:eastAsia="en-US"/>
              </w:rPr>
            </w:pPr>
            <w:r w:rsidRPr="004668F6">
              <w:rPr>
                <w:sz w:val="22"/>
                <w:szCs w:val="22"/>
                <w:lang w:eastAsia="en-US"/>
              </w:rPr>
              <w:t>0</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7F0000" w:rsidRPr="004668F6" w:rsidP="007F0000" w14:paraId="32E5ABE8" w14:textId="77777777">
            <w:pPr>
              <w:jc w:val="right"/>
              <w:rPr>
                <w:sz w:val="22"/>
                <w:szCs w:val="22"/>
                <w:lang w:eastAsia="en-US"/>
              </w:rPr>
            </w:pPr>
            <w:r w:rsidRPr="004668F6">
              <w:rPr>
                <w:sz w:val="22"/>
                <w:szCs w:val="22"/>
                <w:lang w:eastAsia="en-US"/>
              </w:rPr>
              <w:t>0</w:t>
            </w:r>
          </w:p>
        </w:tc>
      </w:tr>
      <w:tr w14:paraId="459444E5"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0000" w:rsidRPr="004668F6" w:rsidP="007F0000" w14:paraId="22EEF347" w14:textId="77777777">
            <w:pPr>
              <w:rPr>
                <w:lang w:eastAsia="en-US"/>
              </w:rPr>
            </w:pPr>
            <w:bookmarkEnd w:id="3"/>
            <w:r w:rsidRPr="004668F6">
              <w:t>6. Detalizēts ieņēmumu un izdevumu aprēķins (ja nepieciešams, detalizētu ieņēmumu un izdevumu aprēķinu var pievienot anotācijas pielikumā):</w:t>
            </w:r>
          </w:p>
        </w:tc>
        <w:tc>
          <w:tcPr>
            <w:tcW w:w="4151" w:type="pct"/>
            <w:gridSpan w:val="5"/>
            <w:vMerge w:val="restart"/>
            <w:tcBorders>
              <w:top w:val="single" w:sz="4" w:space="0" w:color="auto"/>
              <w:left w:val="single" w:sz="4" w:space="0" w:color="auto"/>
              <w:bottom w:val="single" w:sz="4" w:space="0" w:color="auto"/>
              <w:right w:val="single" w:sz="4" w:space="0" w:color="auto"/>
            </w:tcBorders>
            <w:shd w:val="clear" w:color="auto" w:fill="auto"/>
          </w:tcPr>
          <w:p w:rsidR="007F0000" w:rsidP="007F0000" w14:paraId="43F7B69F" w14:textId="7801760A">
            <w:pPr>
              <w:jc w:val="both"/>
              <w:rPr>
                <w:sz w:val="22"/>
                <w:szCs w:val="22"/>
                <w:lang w:eastAsia="en-US"/>
              </w:rPr>
            </w:pPr>
            <w:r w:rsidRPr="00DE7AA2">
              <w:rPr>
                <w:lang w:eastAsia="en-US"/>
              </w:rPr>
              <w:t xml:space="preserve">Projekts tiks līdzfinansēts no </w:t>
            </w:r>
            <w:r>
              <w:rPr>
                <w:lang w:eastAsia="en-US"/>
              </w:rPr>
              <w:t>Eiropas reģionālās attīstības fonda</w:t>
            </w:r>
            <w:r w:rsidRPr="00DE7AA2">
              <w:rPr>
                <w:lang w:eastAsia="en-US"/>
              </w:rPr>
              <w:t xml:space="preserve"> </w:t>
            </w:r>
            <w:r w:rsidR="00EB3595">
              <w:rPr>
                <w:lang w:eastAsia="en-US"/>
              </w:rPr>
              <w:t xml:space="preserve">(turpmāk – ERAF) </w:t>
            </w:r>
            <w:r w:rsidRPr="00DE7AA2">
              <w:rPr>
                <w:lang w:eastAsia="en-US"/>
              </w:rPr>
              <w:t xml:space="preserve">līdzekļiem, un tā kopējais finansējuma apjoms ir 4 000 000  </w:t>
            </w:r>
            <w:r w:rsidRPr="00DE7AA2">
              <w:rPr>
                <w:i/>
                <w:lang w:eastAsia="en-US"/>
              </w:rPr>
              <w:t>euro</w:t>
            </w:r>
            <w:r w:rsidRPr="00DE7AA2">
              <w:rPr>
                <w:lang w:eastAsia="en-US"/>
              </w:rPr>
              <w:t xml:space="preserve">, tajā skaitā ERAF finansējums 3 400 000 </w:t>
            </w:r>
            <w:r w:rsidRPr="00DE7AA2">
              <w:rPr>
                <w:i/>
                <w:lang w:eastAsia="en-US"/>
              </w:rPr>
              <w:t>euro</w:t>
            </w:r>
            <w:r w:rsidRPr="00DE7AA2">
              <w:rPr>
                <w:lang w:eastAsia="en-US"/>
              </w:rPr>
              <w:t xml:space="preserve"> un valsts budžeta finansējums 600 000 </w:t>
            </w:r>
            <w:r w:rsidRPr="00DE7AA2">
              <w:rPr>
                <w:i/>
                <w:lang w:eastAsia="en-US"/>
              </w:rPr>
              <w:t xml:space="preserve">euro. </w:t>
            </w:r>
            <w:r w:rsidRPr="00DE7AA2">
              <w:rPr>
                <w:lang w:eastAsia="en-US"/>
              </w:rPr>
              <w:t>No tiem 2017. gadā –</w:t>
            </w:r>
            <w:r>
              <w:t>311 995</w:t>
            </w:r>
            <w:r w:rsidRPr="00DE7AA2">
              <w:rPr>
                <w:lang w:eastAsia="en-US"/>
              </w:rPr>
              <w:t xml:space="preserve"> </w:t>
            </w:r>
            <w:r w:rsidRPr="00DE7AA2">
              <w:rPr>
                <w:i/>
                <w:lang w:eastAsia="en-US"/>
              </w:rPr>
              <w:t>euro</w:t>
            </w:r>
            <w:r w:rsidRPr="00DE7AA2">
              <w:rPr>
                <w:lang w:eastAsia="en-US"/>
              </w:rPr>
              <w:t>, 2018. gadā –</w:t>
            </w:r>
            <w:r>
              <w:rPr>
                <w:lang w:eastAsia="en-US"/>
              </w:rPr>
              <w:t xml:space="preserve"> 65 946</w:t>
            </w:r>
            <w:r w:rsidRPr="00DE7AA2">
              <w:t xml:space="preserve"> </w:t>
            </w:r>
            <w:r w:rsidRPr="00DE7AA2">
              <w:rPr>
                <w:lang w:eastAsia="en-US"/>
              </w:rPr>
              <w:t>e</w:t>
            </w:r>
            <w:r w:rsidRPr="00DE7AA2">
              <w:rPr>
                <w:i/>
                <w:lang w:eastAsia="en-US"/>
              </w:rPr>
              <w:t xml:space="preserve">uro, </w:t>
            </w:r>
            <w:r w:rsidRPr="00DE7AA2">
              <w:rPr>
                <w:lang w:eastAsia="en-US"/>
              </w:rPr>
              <w:t xml:space="preserve">2019.gadā </w:t>
            </w:r>
            <w:r>
              <w:rPr>
                <w:lang w:eastAsia="en-US"/>
              </w:rPr>
              <w:t>– 111</w:t>
            </w:r>
            <w:r w:rsidR="00112886">
              <w:rPr>
                <w:lang w:eastAsia="en-US"/>
              </w:rPr>
              <w:t> </w:t>
            </w:r>
            <w:r>
              <w:rPr>
                <w:lang w:eastAsia="en-US"/>
              </w:rPr>
              <w:t>018</w:t>
            </w:r>
            <w:r w:rsidR="00112886">
              <w:rPr>
                <w:lang w:eastAsia="en-US"/>
              </w:rPr>
              <w:t xml:space="preserve"> </w:t>
            </w:r>
            <w:r w:rsidRPr="00DE7AA2">
              <w:rPr>
                <w:i/>
                <w:lang w:eastAsia="en-US"/>
              </w:rPr>
              <w:t xml:space="preserve">euro, </w:t>
            </w:r>
            <w:r w:rsidRPr="00DE7AA2">
              <w:rPr>
                <w:lang w:eastAsia="en-US"/>
              </w:rPr>
              <w:t xml:space="preserve">2020.gadā </w:t>
            </w:r>
            <w:r>
              <w:rPr>
                <w:lang w:eastAsia="en-US"/>
              </w:rPr>
              <w:t>– 111</w:t>
            </w:r>
            <w:r w:rsidR="00112886">
              <w:rPr>
                <w:lang w:eastAsia="en-US"/>
              </w:rPr>
              <w:t> </w:t>
            </w:r>
            <w:r>
              <w:rPr>
                <w:lang w:eastAsia="en-US"/>
              </w:rPr>
              <w:t>041</w:t>
            </w:r>
            <w:r w:rsidR="00112886">
              <w:rPr>
                <w:lang w:eastAsia="en-US"/>
              </w:rPr>
              <w:t xml:space="preserve"> </w:t>
            </w:r>
            <w:r w:rsidRPr="00DE7AA2">
              <w:rPr>
                <w:i/>
                <w:lang w:eastAsia="en-US"/>
              </w:rPr>
              <w:t>euro.</w:t>
            </w:r>
            <w:r w:rsidRPr="00DE7AA2">
              <w:rPr>
                <w:sz w:val="22"/>
                <w:szCs w:val="22"/>
                <w:lang w:eastAsia="en-US"/>
              </w:rPr>
              <w:t xml:space="preserve"> </w:t>
            </w:r>
          </w:p>
          <w:p w:rsidR="007F0000" w:rsidRPr="00DE7AA2" w:rsidP="007F0000" w14:paraId="1125C4B6" w14:textId="77777777">
            <w:pPr>
              <w:jc w:val="both"/>
              <w:rPr>
                <w:lang w:eastAsia="en-US"/>
              </w:rPr>
            </w:pPr>
          </w:p>
          <w:p w:rsidR="00D9018D" w:rsidRPr="00130F92" w:rsidP="007F0000" w14:paraId="31357CE2" w14:textId="2808A4F4">
            <w:pPr>
              <w:jc w:val="both"/>
              <w:rPr>
                <w:lang w:eastAsia="en-US"/>
              </w:rPr>
            </w:pPr>
            <w:r w:rsidRPr="00130F92">
              <w:rPr>
                <w:lang w:eastAsia="en-US"/>
              </w:rPr>
              <w:t xml:space="preserve">Projekta rezultātu uzturēšanai nepieciešami līdzekļi </w:t>
            </w:r>
            <w:r>
              <w:rPr>
                <w:lang w:eastAsia="en-US"/>
              </w:rPr>
              <w:t>8</w:t>
            </w:r>
            <w:r w:rsidRPr="00130F92">
              <w:rPr>
                <w:lang w:eastAsia="en-US"/>
              </w:rPr>
              <w:t xml:space="preserve">% apmērā no projekta summas – </w:t>
            </w:r>
            <w:bookmarkStart w:id="4" w:name="_Hlk486580808"/>
            <w:r>
              <w:rPr>
                <w:b/>
                <w:lang w:eastAsia="en-US"/>
              </w:rPr>
              <w:t>320 000</w:t>
            </w:r>
            <w:r w:rsidRPr="00130F92">
              <w:rPr>
                <w:b/>
                <w:lang w:eastAsia="en-US"/>
              </w:rPr>
              <w:t xml:space="preserve"> </w:t>
            </w:r>
            <w:bookmarkEnd w:id="4"/>
            <w:r w:rsidRPr="00130F92">
              <w:rPr>
                <w:b/>
                <w:i/>
                <w:lang w:eastAsia="en-US"/>
              </w:rPr>
              <w:t>euro</w:t>
            </w:r>
            <w:r w:rsidRPr="00130F92">
              <w:rPr>
                <w:lang w:eastAsia="en-US"/>
              </w:rPr>
              <w:t xml:space="preserve">. </w:t>
            </w:r>
          </w:p>
          <w:p w:rsidR="00D9018D" w:rsidRPr="00040496" w:rsidP="00D9018D" w14:paraId="7BBE51A5" w14:textId="78679164">
            <w:pPr>
              <w:pStyle w:val="naisc"/>
              <w:spacing w:before="0" w:after="0"/>
              <w:jc w:val="both"/>
              <w:rPr>
                <w:sz w:val="22"/>
                <w:szCs w:val="22"/>
              </w:rPr>
            </w:pPr>
            <w:r w:rsidRPr="009F7E6C">
              <w:rPr>
                <w:lang w:eastAsia="en-US"/>
              </w:rPr>
              <w:t xml:space="preserve">Tā kā infrastruktūras uzturēšanu 2% apmērā no projekta summas VRAA nodrošinās no sava budžeta līdzekļiem – 32.00.00 programmas “Valsts reģionālās attīstības politikas īstenošana” – </w:t>
            </w:r>
            <w:bookmarkStart w:id="5" w:name="_Hlk486580833"/>
            <w:r>
              <w:rPr>
                <w:b/>
                <w:lang w:eastAsia="en-US"/>
              </w:rPr>
              <w:t>88 889</w:t>
            </w:r>
            <w:r w:rsidRPr="009F7E6C">
              <w:rPr>
                <w:b/>
                <w:lang w:eastAsia="en-US"/>
              </w:rPr>
              <w:t xml:space="preserve"> </w:t>
            </w:r>
            <w:bookmarkEnd w:id="5"/>
            <w:r w:rsidRPr="009F7E6C">
              <w:rPr>
                <w:b/>
                <w:i/>
                <w:lang w:eastAsia="en-US"/>
              </w:rPr>
              <w:t>euro</w:t>
            </w:r>
            <w:r w:rsidRPr="009F7E6C">
              <w:rPr>
                <w:lang w:eastAsia="en-US"/>
              </w:rPr>
              <w:t>,</w:t>
            </w:r>
            <w:r>
              <w:rPr>
                <w:lang w:eastAsia="en-US"/>
              </w:rPr>
              <w:t xml:space="preserve"> kas tiks izmantoti IKT risinājumu drošības auditu veikšanai, tehniskās infrastruktūras uzturēšanai </w:t>
            </w:r>
            <w:r w:rsidRPr="00BD313F">
              <w:rPr>
                <w:lang w:eastAsia="en-US"/>
              </w:rPr>
              <w:t>un lietotāju vajadzību analīzei un izpētei</w:t>
            </w:r>
            <w:r>
              <w:rPr>
                <w:lang w:eastAsia="en-US"/>
              </w:rPr>
              <w:t>.</w:t>
            </w:r>
            <w:r w:rsidRPr="009F7E6C">
              <w:rPr>
                <w:lang w:eastAsia="en-US"/>
              </w:rPr>
              <w:t xml:space="preserve"> </w:t>
            </w:r>
            <w:r>
              <w:rPr>
                <w:lang w:eastAsia="en-US"/>
              </w:rPr>
              <w:t xml:space="preserve">Aprēķinot VRAA finansējuma daļu </w:t>
            </w:r>
            <w:r w:rsidR="00EF5611">
              <w:rPr>
                <w:lang w:eastAsia="en-US"/>
              </w:rPr>
              <w:t xml:space="preserve">projekta rezultātu uzturēšanai, </w:t>
            </w:r>
            <w:r w:rsidRPr="00040496">
              <w:rPr>
                <w:sz w:val="22"/>
                <w:szCs w:val="22"/>
              </w:rPr>
              <w:t>ņemtas vērā VRAA budžeta prognozes 2020. un turpmākajiem gadiem un nepieciešamie uzturēšanas finanšu līdzekļi esošajiem un plānotajiem IKT risinājumiem, kā a</w:t>
            </w:r>
            <w:r w:rsidR="00EF5611">
              <w:rPr>
                <w:sz w:val="22"/>
                <w:szCs w:val="22"/>
              </w:rPr>
              <w:t>rī citu VRAA funkciju izpildei (</w:t>
            </w:r>
            <w:r w:rsidRPr="00040496">
              <w:rPr>
                <w:sz w:val="22"/>
                <w:szCs w:val="22"/>
              </w:rPr>
              <w:t>VRAA E</w:t>
            </w:r>
            <w:r w:rsidR="00EF5611">
              <w:rPr>
                <w:sz w:val="22"/>
                <w:szCs w:val="22"/>
              </w:rPr>
              <w:t>iropas Savienības</w:t>
            </w:r>
            <w:r w:rsidRPr="00040496">
              <w:rPr>
                <w:sz w:val="22"/>
                <w:szCs w:val="22"/>
              </w:rPr>
              <w:t xml:space="preserve"> fondu 2014.-2020.gada plānošanas periodā kopumā ievieš 4 projektus, līdz ar to ir nepieciešams plānot resursus to visu radīto rezultātu uzturēšanai</w:t>
            </w:r>
            <w:r w:rsidR="00EF5611">
              <w:rPr>
                <w:sz w:val="22"/>
                <w:szCs w:val="22"/>
              </w:rPr>
              <w:t>)</w:t>
            </w:r>
            <w:r w:rsidRPr="00040496">
              <w:rPr>
                <w:sz w:val="22"/>
                <w:szCs w:val="22"/>
              </w:rPr>
              <w:t>.</w:t>
            </w:r>
          </w:p>
          <w:p w:rsidR="007F0000" w:rsidP="007F0000" w14:paraId="67EFDC01" w14:textId="77777777">
            <w:pPr>
              <w:jc w:val="both"/>
              <w:rPr>
                <w:lang w:eastAsia="en-US"/>
              </w:rPr>
            </w:pPr>
          </w:p>
          <w:p w:rsidR="007F0000" w:rsidP="007F0000" w14:paraId="7C6A0CD8" w14:textId="7E3B79E8">
            <w:pPr>
              <w:jc w:val="both"/>
              <w:rPr>
                <w:lang w:eastAsia="en-US"/>
              </w:rPr>
            </w:pPr>
            <w:r>
              <w:rPr>
                <w:lang w:eastAsia="en-US"/>
              </w:rPr>
              <w:t>S</w:t>
            </w:r>
            <w:r w:rsidRPr="009F7E6C">
              <w:rPr>
                <w:lang w:eastAsia="en-US"/>
              </w:rPr>
              <w:t>ākot ar 2020.gadu</w:t>
            </w:r>
            <w:r>
              <w:rPr>
                <w:lang w:eastAsia="en-US"/>
              </w:rPr>
              <w:t>*</w:t>
            </w:r>
            <w:r w:rsidRPr="009F7E6C">
              <w:rPr>
                <w:lang w:eastAsia="en-US"/>
              </w:rPr>
              <w:t xml:space="preserve"> papildu</w:t>
            </w:r>
            <w:r>
              <w:rPr>
                <w:lang w:eastAsia="en-US"/>
              </w:rPr>
              <w:t>s</w:t>
            </w:r>
            <w:r w:rsidRPr="009F7E6C">
              <w:rPr>
                <w:lang w:eastAsia="en-US"/>
              </w:rPr>
              <w:t xml:space="preserve"> nepieciešami līdzekļi  ir 3,5% apmērā, t.i. </w:t>
            </w:r>
            <w:bookmarkStart w:id="6" w:name="_Hlk486580879"/>
            <w:r>
              <w:rPr>
                <w:b/>
                <w:lang w:eastAsia="en-US"/>
              </w:rPr>
              <w:t>2</w:t>
            </w:r>
            <w:r w:rsidRPr="009F7E6C">
              <w:rPr>
                <w:b/>
                <w:lang w:eastAsia="en-US"/>
              </w:rPr>
              <w:t xml:space="preserve">31 111 </w:t>
            </w:r>
            <w:bookmarkEnd w:id="6"/>
            <w:r w:rsidRPr="009F7E6C">
              <w:rPr>
                <w:b/>
                <w:i/>
                <w:lang w:eastAsia="en-US"/>
              </w:rPr>
              <w:t>euro</w:t>
            </w:r>
            <w:r w:rsidRPr="009F7E6C">
              <w:rPr>
                <w:b/>
                <w:lang w:eastAsia="en-US"/>
              </w:rPr>
              <w:t>,</w:t>
            </w:r>
            <w:r w:rsidRPr="009F7E6C">
              <w:rPr>
                <w:lang w:eastAsia="en-US"/>
              </w:rPr>
              <w:t xml:space="preserve"> tajā skaitā:</w:t>
            </w:r>
          </w:p>
          <w:p w:rsidR="007F0000" w:rsidP="00112886" w14:paraId="20C9F3A2" w14:textId="494867E4">
            <w:pPr>
              <w:numPr>
                <w:ilvl w:val="0"/>
                <w:numId w:val="7"/>
              </w:numPr>
              <w:jc w:val="both"/>
              <w:rPr>
                <w:lang w:eastAsia="en-US"/>
              </w:rPr>
            </w:pPr>
            <w:bookmarkStart w:id="7" w:name="_Hlk489357596"/>
            <w:r>
              <w:rPr>
                <w:lang w:eastAsia="en-US"/>
              </w:rPr>
              <w:t xml:space="preserve">no valsts budžeta esošajiem līdzekļiem, </w:t>
            </w:r>
            <w:r>
              <w:rPr>
                <w:sz w:val="22"/>
                <w:szCs w:val="22"/>
              </w:rPr>
              <w:t xml:space="preserve">pārdalot valsts budžeta finansējumu no citiem resoriem, </w:t>
            </w:r>
            <w:r w:rsidRPr="0014191C">
              <w:rPr>
                <w:sz w:val="22"/>
                <w:szCs w:val="22"/>
              </w:rPr>
              <w:t>kuriem projekta īstenošanas rezultātā veidojas ietaupījums</w:t>
            </w:r>
            <w:r>
              <w:rPr>
                <w:sz w:val="22"/>
                <w:szCs w:val="22"/>
              </w:rPr>
              <w:t xml:space="preserve"> </w:t>
            </w:r>
            <w:r w:rsidRPr="005A686D">
              <w:rPr>
                <w:sz w:val="22"/>
                <w:szCs w:val="22"/>
              </w:rPr>
              <w:t>(skatiet Rīkojuma projekta pielikuma sadaļu Sociālekonomiskais indikatīvais lietderīgums)</w:t>
            </w:r>
            <w:r>
              <w:rPr>
                <w:sz w:val="22"/>
                <w:szCs w:val="22"/>
              </w:rPr>
              <w:t>, un piešķirot to VARAM resoram</w:t>
            </w:r>
            <w:bookmarkEnd w:id="7"/>
            <w:r>
              <w:rPr>
                <w:lang w:eastAsia="en-US"/>
              </w:rPr>
              <w:t>:</w:t>
            </w:r>
          </w:p>
          <w:p w:rsidR="007F0000" w:rsidP="00112886" w14:paraId="6513C8F1" w14:textId="0E09ECDC">
            <w:pPr>
              <w:numPr>
                <w:ilvl w:val="1"/>
                <w:numId w:val="7"/>
              </w:numPr>
              <w:jc w:val="both"/>
              <w:rPr>
                <w:lang w:eastAsia="en-US"/>
              </w:rPr>
            </w:pPr>
            <w:r w:rsidRPr="00130F92">
              <w:rPr>
                <w:lang w:eastAsia="en-US"/>
              </w:rPr>
              <w:t xml:space="preserve">Atlīdzībai – izveidoto risinājumu administrēšanas personāla izmaksas 4 darbiniekiem </w:t>
            </w:r>
            <w:r>
              <w:rPr>
                <w:lang w:eastAsia="en-US"/>
              </w:rPr>
              <w:t xml:space="preserve">(pārdalot štata vietas no citiem resoriem, kas ietaupa no projekta rezultātu ieviešanas </w:t>
            </w:r>
            <w:r w:rsidRPr="00376594">
              <w:rPr>
                <w:lang w:eastAsia="en-US"/>
              </w:rPr>
              <w:t>(skatiet Rīkojuma projekta pielikuma sadaļu Sociālekonomiskais indikatīvais lietderīgums)</w:t>
            </w:r>
            <w:r>
              <w:rPr>
                <w:lang w:eastAsia="en-US"/>
              </w:rPr>
              <w:t xml:space="preserve">) </w:t>
            </w:r>
            <w:r w:rsidRPr="00130F92">
              <w:rPr>
                <w:lang w:eastAsia="en-US"/>
              </w:rPr>
              <w:t xml:space="preserve">– </w:t>
            </w:r>
            <w:r w:rsidRPr="009F7E6C">
              <w:rPr>
                <w:lang w:eastAsia="en-US"/>
              </w:rPr>
              <w:t>112</w:t>
            </w:r>
            <w:r>
              <w:rPr>
                <w:lang w:eastAsia="en-US"/>
              </w:rPr>
              <w:t> </w:t>
            </w:r>
            <w:r w:rsidRPr="009F7E6C">
              <w:rPr>
                <w:lang w:eastAsia="en-US"/>
              </w:rPr>
              <w:t>307</w:t>
            </w:r>
            <w:r>
              <w:rPr>
                <w:lang w:eastAsia="en-US"/>
              </w:rPr>
              <w:t xml:space="preserve"> </w:t>
            </w:r>
            <w:r w:rsidRPr="009F7E6C">
              <w:rPr>
                <w:i/>
                <w:lang w:eastAsia="en-US"/>
              </w:rPr>
              <w:t>euro</w:t>
            </w:r>
            <w:r>
              <w:rPr>
                <w:lang w:eastAsia="en-US"/>
              </w:rPr>
              <w:t>:</w:t>
            </w:r>
          </w:p>
          <w:p w:rsidR="007F0000" w:rsidP="00112886" w14:paraId="4310B62B" w14:textId="66DD9C43">
            <w:pPr>
              <w:pStyle w:val="ListParagraph"/>
              <w:numPr>
                <w:ilvl w:val="2"/>
                <w:numId w:val="13"/>
              </w:numPr>
              <w:jc w:val="both"/>
            </w:pPr>
            <w:r>
              <w:t xml:space="preserve">2 sistēmu administratoriem (amata saime 19.5, amata līmenis IVA, mēnešalgu grupa 12, alga 1647 </w:t>
            </w:r>
            <w:r w:rsidRPr="005A686D">
              <w:rPr>
                <w:i/>
              </w:rPr>
              <w:t>euro</w:t>
            </w:r>
            <w:r>
              <w:t xml:space="preserve">): </w:t>
            </w:r>
          </w:p>
          <w:p w:rsidR="007F0000" w:rsidP="007F0000" w14:paraId="732969AF" w14:textId="1FADE271">
            <w:pPr>
              <w:ind w:left="1240"/>
              <w:jc w:val="both"/>
              <w:rPr>
                <w:lang w:eastAsia="en-US"/>
              </w:rPr>
            </w:pPr>
            <w:r>
              <w:rPr>
                <w:lang w:eastAsia="en-US"/>
              </w:rPr>
              <w:t xml:space="preserve">Mēnešalga 1647 </w:t>
            </w:r>
            <w:r w:rsidRPr="007D4483">
              <w:rPr>
                <w:i/>
                <w:lang w:eastAsia="en-US"/>
              </w:rPr>
              <w:t>euro</w:t>
            </w:r>
            <w:r>
              <w:rPr>
                <w:lang w:eastAsia="en-US"/>
              </w:rPr>
              <w:t xml:space="preserve"> *12mēneši *1.2359DDnodoklis *2 darbinieki = 48 852.66 </w:t>
            </w:r>
            <w:r w:rsidRPr="007D4483">
              <w:rPr>
                <w:i/>
                <w:lang w:eastAsia="en-US"/>
              </w:rPr>
              <w:t>euro</w:t>
            </w:r>
            <w:r>
              <w:rPr>
                <w:lang w:eastAsia="en-US"/>
              </w:rPr>
              <w:t>;</w:t>
            </w:r>
          </w:p>
          <w:p w:rsidR="007F0000" w:rsidP="007F0000" w14:paraId="16C84527" w14:textId="793BA1A4">
            <w:pPr>
              <w:ind w:left="1240"/>
              <w:jc w:val="both"/>
              <w:rPr>
                <w:lang w:eastAsia="en-US"/>
              </w:rPr>
            </w:pPr>
            <w:r>
              <w:rPr>
                <w:lang w:eastAsia="en-US"/>
              </w:rPr>
              <w:t xml:space="preserve">Vispārējā piemaksa  (10 %) 1647 </w:t>
            </w:r>
            <w:r w:rsidRPr="007D4483">
              <w:rPr>
                <w:i/>
                <w:lang w:eastAsia="en-US"/>
              </w:rPr>
              <w:t>euro</w:t>
            </w:r>
            <w:r>
              <w:rPr>
                <w:lang w:eastAsia="en-US"/>
              </w:rPr>
              <w:t xml:space="preserve"> *10% *12mēneši *1,2359 DDnodoklis *2darbinieki = 4 885,27 </w:t>
            </w:r>
            <w:r w:rsidRPr="007D4483">
              <w:rPr>
                <w:i/>
                <w:lang w:eastAsia="en-US"/>
              </w:rPr>
              <w:t>euro</w:t>
            </w:r>
            <w:r>
              <w:rPr>
                <w:lang w:eastAsia="en-US"/>
              </w:rPr>
              <w:t xml:space="preserve">; </w:t>
            </w:r>
          </w:p>
          <w:p w:rsidR="007F0000" w:rsidP="007F0000" w14:paraId="1C11B646" w14:textId="27FE7830">
            <w:pPr>
              <w:ind w:left="1240"/>
              <w:jc w:val="both"/>
              <w:rPr>
                <w:lang w:eastAsia="en-US"/>
              </w:rPr>
            </w:pPr>
            <w:r>
              <w:rPr>
                <w:lang w:eastAsia="en-US"/>
              </w:rPr>
              <w:t xml:space="preserve">Prēmijas un naudas balvas (10%) 1647 </w:t>
            </w:r>
            <w:r w:rsidRPr="007D4483">
              <w:rPr>
                <w:i/>
                <w:lang w:eastAsia="en-US"/>
              </w:rPr>
              <w:t>euro</w:t>
            </w:r>
            <w:r>
              <w:rPr>
                <w:lang w:eastAsia="en-US"/>
              </w:rPr>
              <w:t xml:space="preserve"> *10% *12mēneši *1,2359 DDnodoklis *2darbinieki = 4 885,27 </w:t>
            </w:r>
            <w:r w:rsidRPr="007D4483">
              <w:rPr>
                <w:i/>
                <w:lang w:eastAsia="en-US"/>
              </w:rPr>
              <w:t>euro</w:t>
            </w:r>
            <w:r>
              <w:rPr>
                <w:lang w:eastAsia="en-US"/>
              </w:rPr>
              <w:t xml:space="preserve">; </w:t>
            </w:r>
          </w:p>
          <w:p w:rsidR="007F0000" w:rsidP="007F0000" w14:paraId="6E8A4B62" w14:textId="01B17431">
            <w:pPr>
              <w:ind w:left="1240"/>
              <w:jc w:val="both"/>
              <w:rPr>
                <w:lang w:eastAsia="en-US"/>
              </w:rPr>
            </w:pPr>
            <w:r>
              <w:rPr>
                <w:lang w:eastAsia="en-US"/>
              </w:rPr>
              <w:t xml:space="preserve">Sociālās garantijas (5%) 1647 </w:t>
            </w:r>
            <w:r w:rsidRPr="007D4483">
              <w:rPr>
                <w:i/>
                <w:lang w:eastAsia="en-US"/>
              </w:rPr>
              <w:t>euro</w:t>
            </w:r>
            <w:r>
              <w:rPr>
                <w:lang w:eastAsia="en-US"/>
              </w:rPr>
              <w:t xml:space="preserve"> *5% *12mēneši *1,2359 DDnodoklis *2darbinieki = 2 442,63 </w:t>
            </w:r>
            <w:r w:rsidRPr="007D4483">
              <w:rPr>
                <w:i/>
                <w:lang w:eastAsia="en-US"/>
              </w:rPr>
              <w:t>euro</w:t>
            </w:r>
            <w:r>
              <w:rPr>
                <w:lang w:eastAsia="en-US"/>
              </w:rPr>
              <w:t>.</w:t>
            </w:r>
          </w:p>
          <w:p w:rsidR="007F0000" w:rsidP="007F0000" w14:paraId="4A7AD208" w14:textId="77777777">
            <w:pPr>
              <w:ind w:left="720"/>
              <w:jc w:val="both"/>
              <w:rPr>
                <w:lang w:eastAsia="en-US"/>
              </w:rPr>
            </w:pPr>
          </w:p>
          <w:p w:rsidR="007F0000" w:rsidP="00112886" w14:paraId="64D8583E" w14:textId="106E16E5">
            <w:pPr>
              <w:pStyle w:val="ListParagraph"/>
              <w:numPr>
                <w:ilvl w:val="2"/>
                <w:numId w:val="13"/>
              </w:numPr>
              <w:jc w:val="both"/>
            </w:pPr>
            <w:r>
              <w:t xml:space="preserve">2 sistēmu analītiķiem (amata saime 19.3, amata līmenis IIA, mēnešalgu grupa 11, alga 1382 </w:t>
            </w:r>
            <w:r w:rsidRPr="000E08DC">
              <w:rPr>
                <w:i/>
              </w:rPr>
              <w:t>euro</w:t>
            </w:r>
            <w:r>
              <w:t xml:space="preserve">): </w:t>
            </w:r>
          </w:p>
          <w:p w:rsidR="007F0000" w:rsidP="007F0000" w14:paraId="5ABE2C79" w14:textId="75C434F5">
            <w:pPr>
              <w:ind w:left="1240"/>
              <w:jc w:val="both"/>
              <w:rPr>
                <w:lang w:eastAsia="en-US"/>
              </w:rPr>
            </w:pPr>
            <w:r>
              <w:rPr>
                <w:lang w:eastAsia="en-US"/>
              </w:rPr>
              <w:t xml:space="preserve">Mēnešalga 1382 </w:t>
            </w:r>
            <w:r w:rsidRPr="00BC2B00">
              <w:rPr>
                <w:i/>
                <w:lang w:eastAsia="en-US"/>
              </w:rPr>
              <w:t>euro</w:t>
            </w:r>
            <w:r>
              <w:rPr>
                <w:lang w:eastAsia="en-US"/>
              </w:rPr>
              <w:t xml:space="preserve"> *12mēneši *1.2359 DDnodoklis *2 darbinieki = 40 992,33 </w:t>
            </w:r>
            <w:r w:rsidRPr="00BC2B00">
              <w:rPr>
                <w:i/>
                <w:lang w:eastAsia="en-US"/>
              </w:rPr>
              <w:t>euro</w:t>
            </w:r>
            <w:r>
              <w:rPr>
                <w:lang w:eastAsia="en-US"/>
              </w:rPr>
              <w:t>;</w:t>
            </w:r>
          </w:p>
          <w:p w:rsidR="007F0000" w:rsidP="007F0000" w14:paraId="4CBCF1A7" w14:textId="4BE939F4">
            <w:pPr>
              <w:ind w:left="1240"/>
              <w:jc w:val="both"/>
              <w:rPr>
                <w:lang w:eastAsia="en-US"/>
              </w:rPr>
            </w:pPr>
            <w:r>
              <w:rPr>
                <w:lang w:eastAsia="en-US"/>
              </w:rPr>
              <w:t xml:space="preserve">Vispārējā piemaksa  (10%) 1382 </w:t>
            </w:r>
            <w:r w:rsidRPr="00BC2B00">
              <w:rPr>
                <w:i/>
                <w:lang w:eastAsia="en-US"/>
              </w:rPr>
              <w:t>euro</w:t>
            </w:r>
            <w:r>
              <w:rPr>
                <w:lang w:eastAsia="en-US"/>
              </w:rPr>
              <w:t xml:space="preserve"> *10% *12mēneši *1,2359 DDnodoklis *2darbinieki = 4 099,23 </w:t>
            </w:r>
            <w:r w:rsidRPr="00BC2B00">
              <w:rPr>
                <w:i/>
                <w:lang w:eastAsia="en-US"/>
              </w:rPr>
              <w:t>euro</w:t>
            </w:r>
            <w:r>
              <w:rPr>
                <w:lang w:eastAsia="en-US"/>
              </w:rPr>
              <w:t xml:space="preserve">; </w:t>
            </w:r>
          </w:p>
          <w:p w:rsidR="007F0000" w:rsidP="007F0000" w14:paraId="078F6964" w14:textId="62E48063">
            <w:pPr>
              <w:ind w:left="1240"/>
              <w:jc w:val="both"/>
              <w:rPr>
                <w:lang w:eastAsia="en-US"/>
              </w:rPr>
            </w:pPr>
            <w:r>
              <w:rPr>
                <w:lang w:eastAsia="en-US"/>
              </w:rPr>
              <w:t xml:space="preserve">Prēmijas un naudas balvas (10%) 1382 </w:t>
            </w:r>
            <w:r w:rsidRPr="00BC2B00">
              <w:rPr>
                <w:i/>
                <w:lang w:eastAsia="en-US"/>
              </w:rPr>
              <w:t>euro</w:t>
            </w:r>
            <w:r>
              <w:rPr>
                <w:lang w:eastAsia="en-US"/>
              </w:rPr>
              <w:t xml:space="preserve"> *10% *12mēneši *1,2359 DDnodoklis *2darbinieki =  4 099,23 </w:t>
            </w:r>
            <w:r w:rsidRPr="00BC2B00">
              <w:rPr>
                <w:i/>
                <w:lang w:eastAsia="en-US"/>
              </w:rPr>
              <w:t>euro</w:t>
            </w:r>
            <w:r>
              <w:rPr>
                <w:lang w:eastAsia="en-US"/>
              </w:rPr>
              <w:t xml:space="preserve">; </w:t>
            </w:r>
          </w:p>
          <w:p w:rsidR="007F0000" w:rsidP="007F0000" w14:paraId="23CACD03" w14:textId="6B895F42">
            <w:pPr>
              <w:ind w:left="1240"/>
              <w:jc w:val="both"/>
              <w:rPr>
                <w:lang w:eastAsia="en-US"/>
              </w:rPr>
            </w:pPr>
            <w:r>
              <w:rPr>
                <w:lang w:eastAsia="en-US"/>
              </w:rPr>
              <w:t xml:space="preserve">Sociālās garantijas (5%) 1382 </w:t>
            </w:r>
            <w:r w:rsidRPr="00BC2B00">
              <w:rPr>
                <w:i/>
                <w:lang w:eastAsia="en-US"/>
              </w:rPr>
              <w:t>euro</w:t>
            </w:r>
            <w:r>
              <w:rPr>
                <w:lang w:eastAsia="en-US"/>
              </w:rPr>
              <w:t xml:space="preserve"> *5% *12mēneši *1,2359 DDnodoklis *2darbinieki = 2 049,62 </w:t>
            </w:r>
            <w:r w:rsidRPr="00BC2B00">
              <w:rPr>
                <w:i/>
                <w:lang w:eastAsia="en-US"/>
              </w:rPr>
              <w:t>euro</w:t>
            </w:r>
            <w:r>
              <w:rPr>
                <w:lang w:eastAsia="en-US"/>
              </w:rPr>
              <w:t>.</w:t>
            </w:r>
          </w:p>
          <w:p w:rsidR="007F0000" w:rsidP="00112886" w14:paraId="2E48B3FD" w14:textId="04D17CEE">
            <w:pPr>
              <w:pStyle w:val="ListParagraph"/>
              <w:numPr>
                <w:ilvl w:val="1"/>
                <w:numId w:val="13"/>
              </w:numPr>
              <w:jc w:val="both"/>
            </w:pPr>
            <w:r>
              <w:t xml:space="preserve">darbavietas uzturēšanai – 9 604 </w:t>
            </w:r>
            <w:r w:rsidRPr="000E08DC">
              <w:rPr>
                <w:i/>
              </w:rPr>
              <w:t>euro</w:t>
            </w:r>
          </w:p>
          <w:p w:rsidR="007F0000" w:rsidP="007F0000" w14:paraId="362DBE89" w14:textId="77777777">
            <w:pPr>
              <w:ind w:left="360"/>
              <w:jc w:val="both"/>
              <w:rPr>
                <w:lang w:eastAsia="en-US"/>
              </w:rPr>
            </w:pPr>
            <w:r>
              <w:rPr>
                <w:lang w:eastAsia="en-US"/>
              </w:rPr>
              <w:t>(izmaksas aprēķinātas, ņemot vērā VRAA vidējās uzturēšanas izmaksas uz 1 darbinieku 2014.gadā - 2401 euro), izmaksās ietilpst:</w:t>
            </w:r>
          </w:p>
          <w:p w:rsidR="007F0000" w:rsidRPr="00130F92" w:rsidP="007F0000" w14:paraId="13F36E81" w14:textId="4908CB06">
            <w:pPr>
              <w:ind w:left="720"/>
              <w:jc w:val="both"/>
              <w:rPr>
                <w:lang w:eastAsia="en-US"/>
              </w:rPr>
            </w:pPr>
            <w:r>
              <w:rPr>
                <w:lang w:eastAsia="en-US"/>
              </w:rPr>
              <w:t xml:space="preserve">270 </w:t>
            </w:r>
            <w:r w:rsidRPr="00AC152F">
              <w:rPr>
                <w:i/>
                <w:lang w:eastAsia="en-US"/>
              </w:rPr>
              <w:t xml:space="preserve">euro </w:t>
            </w:r>
            <w:r>
              <w:rPr>
                <w:lang w:eastAsia="en-US"/>
              </w:rPr>
              <w:t xml:space="preserve">ārzemju komandējumi (EKK 2120); 120 </w:t>
            </w:r>
            <w:r w:rsidRPr="00BC2B00">
              <w:rPr>
                <w:i/>
                <w:lang w:eastAsia="en-US"/>
              </w:rPr>
              <w:t>euro</w:t>
            </w:r>
            <w:r>
              <w:rPr>
                <w:lang w:eastAsia="en-US"/>
              </w:rPr>
              <w:t xml:space="preserve"> pasts, internets, telefons (EKK 2219); 254 </w:t>
            </w:r>
            <w:r w:rsidRPr="00BC2B00">
              <w:rPr>
                <w:i/>
                <w:lang w:eastAsia="en-US"/>
              </w:rPr>
              <w:t>euro</w:t>
            </w:r>
            <w:r>
              <w:rPr>
                <w:lang w:eastAsia="en-US"/>
              </w:rPr>
              <w:t xml:space="preserve"> elektrība (EKK 2223); 317 </w:t>
            </w:r>
            <w:r w:rsidRPr="00BC2B00">
              <w:rPr>
                <w:i/>
                <w:lang w:eastAsia="en-US"/>
              </w:rPr>
              <w:t>euro</w:t>
            </w:r>
            <w:r>
              <w:rPr>
                <w:lang w:eastAsia="en-US"/>
              </w:rPr>
              <w:t xml:space="preserve"> komunālie pakalpojumi (EKK 2229); 90 </w:t>
            </w:r>
            <w:r w:rsidRPr="00BC2B00">
              <w:rPr>
                <w:i/>
                <w:lang w:eastAsia="en-US"/>
              </w:rPr>
              <w:t>euro</w:t>
            </w:r>
            <w:r>
              <w:rPr>
                <w:lang w:eastAsia="en-US"/>
              </w:rPr>
              <w:t xml:space="preserve"> administratīvie izdevumi (EKK 2230); 429 </w:t>
            </w:r>
            <w:r w:rsidRPr="00BC2B00">
              <w:rPr>
                <w:i/>
                <w:lang w:eastAsia="en-US"/>
              </w:rPr>
              <w:t>euro</w:t>
            </w:r>
            <w:r>
              <w:rPr>
                <w:lang w:eastAsia="en-US"/>
              </w:rPr>
              <w:t xml:space="preserve"> tehnikas remonts, telpu uzturēšana (EKK 2240); 772 </w:t>
            </w:r>
            <w:r w:rsidRPr="00BC2B00">
              <w:rPr>
                <w:i/>
                <w:lang w:eastAsia="en-US"/>
              </w:rPr>
              <w:t>euro</w:t>
            </w:r>
            <w:r>
              <w:rPr>
                <w:lang w:eastAsia="en-US"/>
              </w:rPr>
              <w:t xml:space="preserve"> telpu noma (EKK 2260); 149 </w:t>
            </w:r>
            <w:r w:rsidRPr="00BC2B00">
              <w:rPr>
                <w:i/>
                <w:lang w:eastAsia="en-US"/>
              </w:rPr>
              <w:t>euro</w:t>
            </w:r>
            <w:r>
              <w:rPr>
                <w:lang w:eastAsia="en-US"/>
              </w:rPr>
              <w:t xml:space="preserve"> biroja preces un inventārs (EKK 2310).</w:t>
            </w:r>
          </w:p>
          <w:p w:rsidR="007F0000" w:rsidRPr="006C01A5" w:rsidP="007F0000" w14:paraId="7CE31171" w14:textId="77777777">
            <w:pPr>
              <w:jc w:val="both"/>
              <w:rPr>
                <w:highlight w:val="yellow"/>
                <w:lang w:eastAsia="en-US"/>
              </w:rPr>
            </w:pPr>
          </w:p>
          <w:p w:rsidR="007F0000" w:rsidRPr="00540E3F" w:rsidP="00112886" w14:paraId="2E21204D" w14:textId="37500384">
            <w:pPr>
              <w:numPr>
                <w:ilvl w:val="0"/>
                <w:numId w:val="7"/>
              </w:numPr>
              <w:jc w:val="both"/>
              <w:rPr>
                <w:lang w:eastAsia="en-US"/>
              </w:rPr>
            </w:pPr>
            <w:r>
              <w:rPr>
                <w:lang w:eastAsia="en-US"/>
              </w:rPr>
              <w:t>piešķirot papildus valsts budžeta līdzekļus, i</w:t>
            </w:r>
            <w:r w:rsidRPr="00540E3F">
              <w:rPr>
                <w:lang w:eastAsia="en-US"/>
              </w:rPr>
              <w:t>zveidoto risinājumu uzturēšana</w:t>
            </w:r>
            <w:r>
              <w:rPr>
                <w:lang w:eastAsia="en-US"/>
              </w:rPr>
              <w:t>i</w:t>
            </w:r>
            <w:r w:rsidRPr="00540E3F">
              <w:rPr>
                <w:lang w:eastAsia="en-US"/>
              </w:rPr>
              <w:t xml:space="preserve"> – 109 200 </w:t>
            </w:r>
            <w:r w:rsidRPr="00BC2B00">
              <w:rPr>
                <w:i/>
                <w:lang w:eastAsia="en-US"/>
              </w:rPr>
              <w:t>euro</w:t>
            </w:r>
          </w:p>
          <w:p w:rsidR="007F0000" w:rsidRPr="00540E3F" w:rsidP="007F0000" w14:paraId="47E0F460" w14:textId="77777777">
            <w:pPr>
              <w:ind w:left="360"/>
              <w:jc w:val="both"/>
              <w:rPr>
                <w:lang w:eastAsia="en-US"/>
              </w:rPr>
            </w:pPr>
            <w:r w:rsidRPr="00540E3F">
              <w:rPr>
                <w:lang w:eastAsia="en-US"/>
              </w:rPr>
              <w:t xml:space="preserve">uzturēšanai nepieciešamas 260 cilvēkdienas (apjoms noteikts, vadoties no iepriekš veiktajiem programmatūras izstrādes un uzlabošanas darbu veikšanai nepieciešamajiem laika, darba un izmaksu apjomiem). Samaksa par vienu cilvēkdienu – 420 </w:t>
            </w:r>
            <w:r w:rsidRPr="00540E3F">
              <w:rPr>
                <w:i/>
                <w:lang w:eastAsia="en-US"/>
              </w:rPr>
              <w:t>euro</w:t>
            </w:r>
            <w:r w:rsidRPr="00540E3F">
              <w:rPr>
                <w:lang w:eastAsia="en-US"/>
              </w:rPr>
              <w:t xml:space="preserve"> (ar PVN) </w:t>
            </w:r>
          </w:p>
          <w:p w:rsidR="007F0000" w:rsidRPr="00540E3F" w:rsidP="007F0000" w14:paraId="1C0BEEE1" w14:textId="77777777">
            <w:pPr>
              <w:ind w:left="360"/>
              <w:jc w:val="both"/>
              <w:rPr>
                <w:lang w:eastAsia="en-US"/>
              </w:rPr>
            </w:pPr>
            <w:r w:rsidRPr="00540E3F">
              <w:rPr>
                <w:lang w:eastAsia="en-US"/>
              </w:rPr>
              <w:t xml:space="preserve">260 c/d x 420 </w:t>
            </w:r>
            <w:r w:rsidRPr="00540E3F">
              <w:rPr>
                <w:i/>
                <w:lang w:eastAsia="en-US"/>
              </w:rPr>
              <w:t>euro</w:t>
            </w:r>
            <w:r w:rsidRPr="00540E3F">
              <w:rPr>
                <w:lang w:eastAsia="en-US"/>
              </w:rPr>
              <w:t xml:space="preserve"> = 109 200 </w:t>
            </w:r>
            <w:r w:rsidRPr="00540E3F">
              <w:rPr>
                <w:i/>
                <w:lang w:eastAsia="en-US"/>
              </w:rPr>
              <w:t>euro</w:t>
            </w:r>
            <w:r w:rsidRPr="00540E3F">
              <w:rPr>
                <w:lang w:eastAsia="en-US"/>
              </w:rPr>
              <w:t xml:space="preserve"> </w:t>
            </w:r>
          </w:p>
          <w:p w:rsidR="008D2322" w:rsidP="007F0000" w14:paraId="63472B11" w14:textId="77777777">
            <w:pPr>
              <w:ind w:left="360"/>
              <w:jc w:val="both"/>
              <w:rPr>
                <w:lang w:eastAsia="en-US"/>
              </w:rPr>
            </w:pPr>
            <w:r w:rsidRPr="00540E3F">
              <w:rPr>
                <w:lang w:eastAsia="en-US"/>
              </w:rPr>
              <w:t>(EKK 2251 – informācijas sistēmas uzturēšana)</w:t>
            </w:r>
          </w:p>
          <w:p w:rsidR="00B46122" w:rsidP="00B46122" w14:paraId="6C7A2D18" w14:textId="184A8E76">
            <w:pPr>
              <w:ind w:left="360"/>
              <w:jc w:val="both"/>
              <w:rPr>
                <w:lang w:eastAsia="en-US"/>
              </w:rPr>
            </w:pPr>
            <w:r>
              <w:rPr>
                <w:lang w:eastAsia="en-US"/>
              </w:rPr>
              <w:t xml:space="preserve">Izveidoto risinājumu uzturēšanas izdevumu veidi: </w:t>
            </w:r>
          </w:p>
          <w:p w:rsidR="00B46122" w:rsidP="00B46122" w14:paraId="2620D646" w14:textId="77777777">
            <w:pPr>
              <w:ind w:left="360"/>
              <w:jc w:val="both"/>
              <w:rPr>
                <w:lang w:eastAsia="en-US"/>
              </w:rPr>
            </w:pPr>
            <w:r>
              <w:rPr>
                <w:lang w:eastAsia="en-US"/>
              </w:rPr>
              <w:t>-</w:t>
            </w:r>
            <w:r>
              <w:rPr>
                <w:lang w:eastAsia="en-US"/>
              </w:rPr>
              <w:tab/>
              <w:t xml:space="preserve">informācijas sistēmu platformu un informācijas sistēmu izmaiņu un pilnveidojumu veikšana; </w:t>
            </w:r>
          </w:p>
          <w:p w:rsidR="00B46122" w:rsidP="00B46122" w14:paraId="54C90C47" w14:textId="77777777">
            <w:pPr>
              <w:ind w:left="360"/>
              <w:jc w:val="both"/>
              <w:rPr>
                <w:lang w:eastAsia="en-US"/>
              </w:rPr>
            </w:pPr>
            <w:r>
              <w:rPr>
                <w:lang w:eastAsia="en-US"/>
              </w:rPr>
              <w:t>-</w:t>
            </w:r>
            <w:r>
              <w:rPr>
                <w:lang w:eastAsia="en-US"/>
              </w:rPr>
              <w:tab/>
              <w:t>informācijas sistēmu platformu un informācijas sistēmu uzturēšanas pakalpojumi (problēmu pieteikšana, apstrāde, risināšana);</w:t>
            </w:r>
          </w:p>
          <w:p w:rsidR="00112886" w:rsidP="00112886" w14:paraId="798DC6F5" w14:textId="77777777">
            <w:pPr>
              <w:ind w:left="360"/>
              <w:jc w:val="both"/>
              <w:rPr>
                <w:lang w:eastAsia="en-US"/>
              </w:rPr>
            </w:pPr>
            <w:r>
              <w:rPr>
                <w:lang w:eastAsia="en-US"/>
              </w:rPr>
              <w:t>-</w:t>
            </w:r>
            <w:r>
              <w:rPr>
                <w:lang w:eastAsia="en-US"/>
              </w:rPr>
              <w:tab/>
              <w:t>ar informācijas sistēmu platformu un informācijas sistēmu uzturēšanu sai</w:t>
            </w:r>
            <w:r w:rsidR="00D9018D">
              <w:rPr>
                <w:lang w:eastAsia="en-US"/>
              </w:rPr>
              <w:t>stītas konsultācijas</w:t>
            </w:r>
            <w:r>
              <w:rPr>
                <w:lang w:eastAsia="en-US"/>
              </w:rPr>
              <w:t>;</w:t>
            </w:r>
          </w:p>
          <w:p w:rsidR="007F0000" w:rsidP="007F0000" w14:paraId="33E45BAC" w14:textId="58063914">
            <w:pPr>
              <w:ind w:left="360"/>
              <w:jc w:val="both"/>
              <w:rPr>
                <w:lang w:eastAsia="en-US"/>
              </w:rPr>
            </w:pPr>
            <w:r>
              <w:t xml:space="preserve">- </w:t>
            </w:r>
            <w:r w:rsidR="00B46122">
              <w:t>informācijas sistēmu platformu un informācijas sistēmu lietotāju apmācības</w:t>
            </w:r>
            <w:r>
              <w:t xml:space="preserve"> pēc</w:t>
            </w:r>
            <w:r w:rsidR="00B46122">
              <w:t xml:space="preserve"> nepieciešam</w:t>
            </w:r>
            <w:r>
              <w:t>ības</w:t>
            </w:r>
            <w:r w:rsidR="00B46122">
              <w:t>.</w:t>
            </w:r>
          </w:p>
          <w:p w:rsidR="00112886" w:rsidP="007F0000" w14:paraId="4C7DE71D" w14:textId="77777777">
            <w:pPr>
              <w:jc w:val="both"/>
              <w:rPr>
                <w:lang w:eastAsia="en-US"/>
              </w:rPr>
            </w:pPr>
            <w:bookmarkStart w:id="8" w:name="_Hlk491690097"/>
          </w:p>
          <w:p w:rsidR="007F0000" w:rsidP="007F0000" w14:paraId="5A9D9FA9" w14:textId="778A8612">
            <w:pPr>
              <w:jc w:val="both"/>
              <w:rPr>
                <w:lang w:eastAsia="en-US"/>
              </w:rPr>
            </w:pPr>
            <w:r>
              <w:rPr>
                <w:lang w:eastAsia="en-US"/>
              </w:rPr>
              <w:t xml:space="preserve">* Paredzēts, ka projekta ieviešana ilgs līdz 2020.gada septembrim, tāpēc 2020.gadā projekta rezultātu uzturēšanai līdzekļi būs nepieciešami 4.ceturksnim, kas kopā sastāda 80 000 </w:t>
            </w:r>
            <w:r>
              <w:rPr>
                <w:i/>
                <w:lang w:eastAsia="en-US"/>
              </w:rPr>
              <w:t>euro</w:t>
            </w:r>
            <w:r>
              <w:rPr>
                <w:lang w:eastAsia="en-US"/>
              </w:rPr>
              <w:t xml:space="preserve">, no kuriem VRAA nodrošinās 22 222 </w:t>
            </w:r>
            <w:r>
              <w:rPr>
                <w:i/>
                <w:lang w:eastAsia="en-US"/>
              </w:rPr>
              <w:t>euro</w:t>
            </w:r>
            <w:r>
              <w:rPr>
                <w:lang w:eastAsia="en-US"/>
              </w:rPr>
              <w:t xml:space="preserve">, </w:t>
            </w:r>
            <w:r w:rsidRPr="007F0000">
              <w:rPr>
                <w:lang w:eastAsia="en-US"/>
              </w:rPr>
              <w:t xml:space="preserve">no valsts budžeta esošajiem līdzekļiem, pārdalot valsts budžeta </w:t>
            </w:r>
            <w:r>
              <w:rPr>
                <w:lang w:eastAsia="en-US"/>
              </w:rPr>
              <w:t>finansējumu no citiem resoriem</w:t>
            </w:r>
            <w:r w:rsidR="005F4208">
              <w:rPr>
                <w:lang w:eastAsia="en-US"/>
              </w:rPr>
              <w:t xml:space="preserve"> </w:t>
            </w:r>
            <w:r w:rsidRPr="007F0000">
              <w:rPr>
                <w:lang w:eastAsia="en-US"/>
              </w:rPr>
              <w:t>un piešķirot to VARAM resoram</w:t>
            </w:r>
            <w:r>
              <w:rPr>
                <w:lang w:eastAsia="en-US"/>
              </w:rPr>
              <w:t xml:space="preserve">, 30 478 </w:t>
            </w:r>
            <w:r>
              <w:rPr>
                <w:i/>
                <w:lang w:eastAsia="en-US"/>
              </w:rPr>
              <w:t xml:space="preserve">euro </w:t>
            </w:r>
            <w:r w:rsidRPr="00486171">
              <w:rPr>
                <w:lang w:eastAsia="en-US"/>
              </w:rPr>
              <w:t>un papildus nepieciešami</w:t>
            </w:r>
            <w:r>
              <w:rPr>
                <w:i/>
                <w:lang w:eastAsia="en-US"/>
              </w:rPr>
              <w:t xml:space="preserve"> </w:t>
            </w:r>
            <w:r w:rsidRPr="00112886">
              <w:rPr>
                <w:lang w:eastAsia="en-US"/>
              </w:rPr>
              <w:t>27 300</w:t>
            </w:r>
            <w:r>
              <w:rPr>
                <w:i/>
                <w:lang w:eastAsia="en-US"/>
              </w:rPr>
              <w:t xml:space="preserve"> euro</w:t>
            </w:r>
            <w:r>
              <w:rPr>
                <w:lang w:eastAsia="en-US"/>
              </w:rPr>
              <w:t>.</w:t>
            </w:r>
          </w:p>
          <w:p w:rsidR="007F0000" w:rsidP="007F0000" w14:paraId="6C030FDA" w14:textId="77777777">
            <w:pPr>
              <w:jc w:val="both"/>
              <w:rPr>
                <w:lang w:eastAsia="en-US"/>
              </w:rPr>
            </w:pPr>
            <w:bookmarkEnd w:id="8"/>
          </w:p>
          <w:p w:rsidR="007F0000" w:rsidP="007F0000" w14:paraId="15B1DF39" w14:textId="55CE712A">
            <w:pPr>
              <w:jc w:val="both"/>
              <w:rPr>
                <w:lang w:eastAsia="en-US"/>
              </w:rPr>
            </w:pPr>
            <w:r>
              <w:rPr>
                <w:lang w:eastAsia="en-US"/>
              </w:rPr>
              <w:t>Detalizēts aprēķins par amata vietu pārdali un projekta rezultātu uzturēšanai nepieciešamajiem finanšu līdzekļiem sniegts anotācijas 1. pielikumā.</w:t>
            </w:r>
          </w:p>
          <w:p w:rsidR="007F0000" w:rsidRPr="00881C8A" w:rsidP="007F0000" w14:paraId="10D7E5B7" w14:textId="0132D213">
            <w:pPr>
              <w:jc w:val="both"/>
              <w:rPr>
                <w:lang w:eastAsia="en-US"/>
              </w:rPr>
            </w:pPr>
          </w:p>
        </w:tc>
      </w:tr>
      <w:tr w14:paraId="3442C7BE"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0000" w:rsidRPr="004668F6" w:rsidP="007F0000" w14:paraId="6423CD7F" w14:textId="77777777">
            <w:pPr>
              <w:rPr>
                <w:lang w:eastAsia="en-US"/>
              </w:rPr>
            </w:pPr>
            <w:r w:rsidRPr="004668F6">
              <w:t>6.1. detalizēts ieņēmumu aprēķins</w:t>
            </w:r>
          </w:p>
        </w:tc>
        <w:tc>
          <w:tcPr>
            <w:tcW w:w="415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0000" w:rsidRPr="006C01A5" w:rsidP="007F0000" w14:paraId="4C8F65D7" w14:textId="77777777">
            <w:pPr>
              <w:rPr>
                <w:highlight w:val="yellow"/>
                <w:lang w:eastAsia="en-US"/>
              </w:rPr>
            </w:pPr>
          </w:p>
        </w:tc>
      </w:tr>
      <w:tr w14:paraId="5C52274E"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0000" w:rsidRPr="004668F6" w:rsidP="007F0000" w14:paraId="00F58750" w14:textId="77777777">
            <w:pPr>
              <w:rPr>
                <w:lang w:eastAsia="en-US"/>
              </w:rPr>
            </w:pPr>
            <w:r w:rsidRPr="004668F6">
              <w:t>6.2. detalizēts izdevumu aprēķins</w:t>
            </w:r>
          </w:p>
        </w:tc>
        <w:tc>
          <w:tcPr>
            <w:tcW w:w="4151" w:type="pct"/>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0000" w:rsidRPr="006C01A5" w:rsidP="007F0000" w14:paraId="6654BFE2" w14:textId="77777777">
            <w:pPr>
              <w:rPr>
                <w:highlight w:val="yellow"/>
                <w:lang w:eastAsia="en-US"/>
              </w:rPr>
            </w:pPr>
          </w:p>
        </w:tc>
      </w:tr>
      <w:tr w14:paraId="51BC0509" w14:textId="77777777" w:rsidTr="00D02D11">
        <w:tblPrEx>
          <w:tblW w:w="5502" w:type="pct"/>
          <w:tblInd w:w="-318" w:type="dxa"/>
          <w:tblLayout w:type="fixed"/>
          <w:tblLook w:val="04A0"/>
        </w:tblPrEx>
        <w:tc>
          <w:tcPr>
            <w:tcW w:w="849" w:type="pct"/>
            <w:tcBorders>
              <w:top w:val="single" w:sz="4" w:space="0" w:color="auto"/>
              <w:left w:val="single" w:sz="4" w:space="0" w:color="auto"/>
              <w:bottom w:val="single" w:sz="4" w:space="0" w:color="auto"/>
              <w:right w:val="single" w:sz="4" w:space="0" w:color="auto"/>
            </w:tcBorders>
            <w:shd w:val="clear" w:color="auto" w:fill="auto"/>
            <w:hideMark/>
          </w:tcPr>
          <w:p w:rsidR="007F0000" w:rsidRPr="004668F6" w:rsidP="007F0000" w14:paraId="56BAB759" w14:textId="77777777">
            <w:pPr>
              <w:rPr>
                <w:lang w:eastAsia="en-US"/>
              </w:rPr>
            </w:pPr>
            <w:r w:rsidRPr="004668F6">
              <w:t>7. Cita informācija</w:t>
            </w:r>
          </w:p>
        </w:tc>
        <w:tc>
          <w:tcPr>
            <w:tcW w:w="4151" w:type="pct"/>
            <w:gridSpan w:val="5"/>
            <w:tcBorders>
              <w:top w:val="single" w:sz="4" w:space="0" w:color="auto"/>
              <w:left w:val="single" w:sz="4" w:space="0" w:color="auto"/>
              <w:bottom w:val="single" w:sz="4" w:space="0" w:color="auto"/>
              <w:right w:val="single" w:sz="4" w:space="0" w:color="auto"/>
            </w:tcBorders>
            <w:shd w:val="clear" w:color="auto" w:fill="auto"/>
          </w:tcPr>
          <w:p w:rsidR="007F0000" w:rsidP="007F0000" w14:paraId="7F663C32" w14:textId="77777777">
            <w:pPr>
              <w:jc w:val="both"/>
              <w:rPr>
                <w:lang w:eastAsia="en-US"/>
              </w:rPr>
            </w:pPr>
            <w:r w:rsidRPr="00F07812">
              <w:rPr>
                <w:lang w:eastAsia="en-US"/>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701DF6" w:rsidRPr="006C01A5" w:rsidP="00FC03B4" w14:paraId="5418AD45" w14:textId="4343E142">
            <w:pPr>
              <w:jc w:val="both"/>
              <w:rPr>
                <w:highlight w:val="yellow"/>
                <w:lang w:eastAsia="en-US"/>
              </w:rPr>
            </w:pPr>
            <w:r>
              <w:rPr>
                <w:lang w:eastAsia="en-US"/>
              </w:rPr>
              <w:t>Projekta rezultātu uzturēšanai nepieciešam</w:t>
            </w:r>
            <w:r w:rsidR="000D145D">
              <w:rPr>
                <w:lang w:eastAsia="en-US"/>
              </w:rPr>
              <w:t>o</w:t>
            </w:r>
            <w:r>
              <w:rPr>
                <w:lang w:eastAsia="en-US"/>
              </w:rPr>
              <w:t xml:space="preserve"> līdzekļu daļ</w:t>
            </w:r>
            <w:r w:rsidR="000D145D">
              <w:rPr>
                <w:lang w:eastAsia="en-US"/>
              </w:rPr>
              <w:t>u</w:t>
            </w:r>
            <w:r>
              <w:rPr>
                <w:lang w:eastAsia="en-US"/>
              </w:rPr>
              <w:t xml:space="preserve">, ko paredzēts </w:t>
            </w:r>
            <w:r w:rsidR="0062003E">
              <w:rPr>
                <w:lang w:eastAsia="en-US"/>
              </w:rPr>
              <w:t>iegūt</w:t>
            </w:r>
            <w:r>
              <w:rPr>
                <w:lang w:eastAsia="en-US"/>
              </w:rPr>
              <w:t xml:space="preserve"> </w:t>
            </w:r>
            <w:r w:rsidRPr="00C97DC8">
              <w:rPr>
                <w:lang w:eastAsia="en-US"/>
              </w:rPr>
              <w:t>no valsts budžeta esošajiem līdzekļiem, pārdalot valsts budžeta finansējumu no citiem resoriem un piešķirot to</w:t>
            </w:r>
            <w:r>
              <w:rPr>
                <w:lang w:eastAsia="en-US"/>
              </w:rPr>
              <w:t xml:space="preserve"> VARAM</w:t>
            </w:r>
            <w:r w:rsidR="0062003E">
              <w:rPr>
                <w:lang w:eastAsia="en-US"/>
              </w:rPr>
              <w:t>,</w:t>
            </w:r>
            <w:r w:rsidR="00D0214C">
              <w:rPr>
                <w:lang w:eastAsia="en-US"/>
              </w:rPr>
              <w:t xml:space="preserve"> plānots nodrošināt </w:t>
            </w:r>
            <w:r w:rsidRPr="00D0214C" w:rsidR="00D0214C">
              <w:rPr>
                <w:lang w:eastAsia="en-US"/>
              </w:rPr>
              <w:t xml:space="preserve">Vides aizsardzības un reģionālās attīstības ministrijai pēc projekta pabeigšanas iesniedzot Ministru kabinetā rīkojuma projektu par valsts budžeta apropriācijas pārdali Vides aizsardzības un reģionālās attīstības ministrijai no citām ministrijām saskaņā ar </w:t>
            </w:r>
            <w:r w:rsidR="00D0214C">
              <w:rPr>
                <w:lang w:eastAsia="en-US"/>
              </w:rPr>
              <w:t>šīs</w:t>
            </w:r>
            <w:r w:rsidRPr="00D0214C" w:rsidR="00D0214C">
              <w:rPr>
                <w:lang w:eastAsia="en-US"/>
              </w:rPr>
              <w:t xml:space="preserve"> anotācijas 1.pielikumā noteiktajām proporcijām un apmēriem</w:t>
            </w:r>
            <w:r w:rsidR="00D0214C">
              <w:rPr>
                <w:lang w:eastAsia="en-US"/>
              </w:rPr>
              <w:t>.</w:t>
            </w:r>
          </w:p>
        </w:tc>
      </w:tr>
    </w:tbl>
    <w:p w:rsidR="00D02D11" w:rsidP="00D02D11" w14:paraId="351A035C" w14:textId="77777777">
      <w:pPr>
        <w:rPr>
          <w:iCs/>
          <w:lang w:eastAsia="en-US"/>
        </w:rPr>
      </w:pPr>
    </w:p>
    <w:p w:rsidR="00D02D11" w:rsidP="00D02D11" w14:paraId="41FFB923" w14:textId="27F4CACB">
      <w:pPr>
        <w:rPr>
          <w:iCs/>
          <w:lang w:eastAsia="en-US"/>
        </w:rPr>
      </w:pPr>
    </w:p>
    <w:p w:rsidR="00112886" w:rsidP="00D02D11" w14:paraId="75149BBE" w14:textId="77777777">
      <w:pPr>
        <w:rPr>
          <w:iCs/>
          <w:lang w:eastAsia="en-US"/>
        </w:rPr>
      </w:pPr>
    </w:p>
    <w:tbl>
      <w:tblPr>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474"/>
      </w:tblGrid>
      <w:tr w14:paraId="278B4E5E" w14:textId="77777777" w:rsidTr="00D02D11">
        <w:tblPrEx>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474" w:type="dxa"/>
            <w:tcBorders>
              <w:top w:val="single" w:sz="4" w:space="0" w:color="auto"/>
            </w:tcBorders>
            <w:tcMar>
              <w:top w:w="57" w:type="dxa"/>
              <w:left w:w="57" w:type="dxa"/>
              <w:bottom w:w="57" w:type="dxa"/>
              <w:right w:w="57" w:type="dxa"/>
            </w:tcMar>
          </w:tcPr>
          <w:p w:rsidR="006804FC" w:rsidRPr="004668F6" w:rsidP="00D02D11" w14:paraId="62E28814" w14:textId="77777777">
            <w:pPr>
              <w:pStyle w:val="naisnod"/>
              <w:spacing w:before="0" w:after="0"/>
              <w:ind w:left="57" w:right="57"/>
            </w:pPr>
            <w:r>
              <w:t>VI</w:t>
            </w:r>
            <w:r w:rsidRPr="004668F6">
              <w:t xml:space="preserve">. </w:t>
            </w:r>
            <w:r w:rsidRPr="006804FC">
              <w:t>Tiesību akta projekta ietekme uz spēkā esošo tiesību normu sistēmu</w:t>
            </w:r>
          </w:p>
        </w:tc>
      </w:tr>
      <w:tr w14:paraId="0A0FD0B9" w14:textId="77777777" w:rsidTr="00D02D11">
        <w:tblPrEx>
          <w:tblW w:w="9474" w:type="dxa"/>
          <w:tblInd w:w="-369" w:type="dxa"/>
          <w:tblCellMar>
            <w:top w:w="28" w:type="dxa"/>
            <w:left w:w="28" w:type="dxa"/>
            <w:bottom w:w="28" w:type="dxa"/>
            <w:right w:w="28" w:type="dxa"/>
          </w:tblCellMar>
          <w:tblLook w:val="0000"/>
        </w:tblPrEx>
        <w:trPr>
          <w:trHeight w:val="302"/>
        </w:trPr>
        <w:tc>
          <w:tcPr>
            <w:tcW w:w="9474" w:type="dxa"/>
            <w:tcMar>
              <w:top w:w="57" w:type="dxa"/>
              <w:left w:w="57" w:type="dxa"/>
              <w:bottom w:w="57" w:type="dxa"/>
              <w:right w:w="57" w:type="dxa"/>
            </w:tcMar>
          </w:tcPr>
          <w:p w:rsidR="006804FC" w:rsidRPr="004668F6" w:rsidP="00D02D11" w14:paraId="264A4397" w14:textId="77777777">
            <w:pPr>
              <w:jc w:val="center"/>
            </w:pPr>
            <w:r w:rsidRPr="006804FC">
              <w:t>Projekts šo jomu neskar</w:t>
            </w:r>
          </w:p>
        </w:tc>
      </w:tr>
    </w:tbl>
    <w:p w:rsidR="006804FC" w:rsidP="006804FC" w14:paraId="1BC70D05" w14:textId="77777777">
      <w:pPr>
        <w:ind w:left="-426"/>
        <w:jc w:val="both"/>
      </w:pPr>
    </w:p>
    <w:tbl>
      <w:tblPr>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474"/>
      </w:tblGrid>
      <w:tr w14:paraId="67255170" w14:textId="77777777" w:rsidTr="00D02D11">
        <w:tblPrEx>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474" w:type="dxa"/>
            <w:tcBorders>
              <w:top w:val="single" w:sz="4" w:space="0" w:color="auto"/>
            </w:tcBorders>
            <w:tcMar>
              <w:top w:w="57" w:type="dxa"/>
              <w:left w:w="57" w:type="dxa"/>
              <w:bottom w:w="57" w:type="dxa"/>
              <w:right w:w="57" w:type="dxa"/>
            </w:tcMar>
          </w:tcPr>
          <w:p w:rsidR="006804FC" w:rsidRPr="004668F6" w:rsidP="00D02D11" w14:paraId="3E4B3B0E" w14:textId="77777777">
            <w:pPr>
              <w:pStyle w:val="naisnod"/>
              <w:spacing w:before="0" w:after="0"/>
              <w:ind w:left="57" w:right="57"/>
            </w:pPr>
            <w:bookmarkStart w:id="9" w:name="_Hlk489282352"/>
            <w:r>
              <w:t>V</w:t>
            </w:r>
            <w:r w:rsidRPr="004668F6">
              <w:t xml:space="preserve">. </w:t>
            </w:r>
            <w:r w:rsidRPr="006804FC">
              <w:t>Tiesību akta projekta atbilstība Latvijas Republikas starptautiskajām saistībām</w:t>
            </w:r>
          </w:p>
        </w:tc>
      </w:tr>
      <w:tr w14:paraId="57CA6902" w14:textId="77777777" w:rsidTr="00D02D11">
        <w:tblPrEx>
          <w:tblW w:w="9474" w:type="dxa"/>
          <w:tblInd w:w="-369" w:type="dxa"/>
          <w:tblCellMar>
            <w:top w:w="28" w:type="dxa"/>
            <w:left w:w="28" w:type="dxa"/>
            <w:bottom w:w="28" w:type="dxa"/>
            <w:right w:w="28" w:type="dxa"/>
          </w:tblCellMar>
          <w:tblLook w:val="0000"/>
        </w:tblPrEx>
        <w:trPr>
          <w:trHeight w:val="302"/>
        </w:trPr>
        <w:tc>
          <w:tcPr>
            <w:tcW w:w="9474" w:type="dxa"/>
            <w:tcMar>
              <w:top w:w="57" w:type="dxa"/>
              <w:left w:w="57" w:type="dxa"/>
              <w:bottom w:w="57" w:type="dxa"/>
              <w:right w:w="57" w:type="dxa"/>
            </w:tcMar>
          </w:tcPr>
          <w:p w:rsidR="006804FC" w:rsidRPr="004668F6" w:rsidP="00D02D11" w14:paraId="1DB22F39" w14:textId="77777777">
            <w:pPr>
              <w:jc w:val="center"/>
            </w:pPr>
            <w:r w:rsidRPr="006804FC">
              <w:t>Projekts šo jomu neskar</w:t>
            </w:r>
          </w:p>
        </w:tc>
      </w:tr>
    </w:tbl>
    <w:p w:rsidR="006804FC" w:rsidP="006804FC" w14:paraId="0B2B60A0" w14:textId="77777777">
      <w:pPr>
        <w:ind w:left="-426"/>
        <w:jc w:val="both"/>
      </w:pPr>
      <w:bookmarkEnd w:id="9"/>
    </w:p>
    <w:tbl>
      <w:tblPr>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474"/>
      </w:tblGrid>
      <w:tr w14:paraId="531629FF" w14:textId="77777777" w:rsidTr="00D02D11">
        <w:tblPrEx>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474" w:type="dxa"/>
            <w:tcBorders>
              <w:top w:val="single" w:sz="4" w:space="0" w:color="auto"/>
            </w:tcBorders>
            <w:tcMar>
              <w:top w:w="57" w:type="dxa"/>
              <w:left w:w="57" w:type="dxa"/>
              <w:bottom w:w="57" w:type="dxa"/>
              <w:right w:w="57" w:type="dxa"/>
            </w:tcMar>
          </w:tcPr>
          <w:p w:rsidR="006804FC" w:rsidRPr="004668F6" w:rsidP="00D02D11" w14:paraId="1A268702" w14:textId="77777777">
            <w:pPr>
              <w:pStyle w:val="naisnod"/>
              <w:spacing w:before="0" w:after="0"/>
              <w:ind w:left="57" w:right="57"/>
            </w:pPr>
            <w:r>
              <w:t>VI</w:t>
            </w:r>
            <w:r w:rsidRPr="004668F6">
              <w:t xml:space="preserve">. </w:t>
            </w:r>
            <w:r w:rsidRPr="006804FC">
              <w:t>Sabiedrības līdzdalība un komunikācijas aktivitātes</w:t>
            </w:r>
          </w:p>
        </w:tc>
      </w:tr>
      <w:tr w14:paraId="4340BDC4" w14:textId="77777777" w:rsidTr="00D02D11">
        <w:tblPrEx>
          <w:tblW w:w="9474" w:type="dxa"/>
          <w:tblInd w:w="-369" w:type="dxa"/>
          <w:tblCellMar>
            <w:top w:w="28" w:type="dxa"/>
            <w:left w:w="28" w:type="dxa"/>
            <w:bottom w:w="28" w:type="dxa"/>
            <w:right w:w="28" w:type="dxa"/>
          </w:tblCellMar>
          <w:tblLook w:val="0000"/>
        </w:tblPrEx>
        <w:trPr>
          <w:trHeight w:val="302"/>
        </w:trPr>
        <w:tc>
          <w:tcPr>
            <w:tcW w:w="9474" w:type="dxa"/>
            <w:tcMar>
              <w:top w:w="57" w:type="dxa"/>
              <w:left w:w="57" w:type="dxa"/>
              <w:bottom w:w="57" w:type="dxa"/>
              <w:right w:w="57" w:type="dxa"/>
            </w:tcMar>
          </w:tcPr>
          <w:p w:rsidR="006804FC" w:rsidRPr="004668F6" w:rsidP="00D02D11" w14:paraId="1456066A" w14:textId="77777777">
            <w:pPr>
              <w:jc w:val="center"/>
            </w:pPr>
            <w:r w:rsidRPr="006804FC">
              <w:t>Projekts šo jomu neskar</w:t>
            </w:r>
          </w:p>
        </w:tc>
      </w:tr>
    </w:tbl>
    <w:p w:rsidR="006804FC" w:rsidP="006804FC" w14:paraId="25BCD6F4" w14:textId="77777777">
      <w:pPr>
        <w:ind w:left="-426"/>
        <w:jc w:val="both"/>
      </w:pPr>
    </w:p>
    <w:p w:rsidR="00D02D11" w:rsidRPr="004668F6" w:rsidP="00D02D11" w14:paraId="1B8DA095" w14:textId="77777777">
      <w:pPr>
        <w:rPr>
          <w:iCs/>
          <w:lang w:eastAsia="en-US"/>
        </w:rPr>
      </w:pPr>
    </w:p>
    <w:tbl>
      <w:tblPr>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80"/>
        <w:gridCol w:w="4376"/>
        <w:gridCol w:w="4418"/>
      </w:tblGrid>
      <w:tr w14:paraId="3EF48C0B" w14:textId="77777777" w:rsidTr="00D02D11">
        <w:tblPrEx>
          <w:tblW w:w="947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474" w:type="dxa"/>
            <w:gridSpan w:val="3"/>
            <w:tcBorders>
              <w:top w:val="single" w:sz="4" w:space="0" w:color="auto"/>
            </w:tcBorders>
            <w:tcMar>
              <w:top w:w="57" w:type="dxa"/>
              <w:left w:w="57" w:type="dxa"/>
              <w:bottom w:w="57" w:type="dxa"/>
              <w:right w:w="57" w:type="dxa"/>
            </w:tcMar>
          </w:tcPr>
          <w:p w:rsidR="00D02D11" w:rsidRPr="004668F6" w:rsidP="00D02D11" w14:paraId="2356407C" w14:textId="77777777">
            <w:pPr>
              <w:pStyle w:val="naisnod"/>
              <w:spacing w:before="0" w:after="0"/>
              <w:ind w:left="57" w:right="57"/>
            </w:pPr>
            <w:r w:rsidRPr="004668F6">
              <w:t>VII. Tiesību akta projekta izpildes nodrošināšana un tās ietekme uz institūcijām</w:t>
            </w:r>
          </w:p>
        </w:tc>
      </w:tr>
      <w:tr w14:paraId="042D3871" w14:textId="77777777" w:rsidTr="00D02D11">
        <w:tblPrEx>
          <w:tblW w:w="9474" w:type="dxa"/>
          <w:tblInd w:w="-369" w:type="dxa"/>
          <w:tblCellMar>
            <w:top w:w="28" w:type="dxa"/>
            <w:left w:w="28" w:type="dxa"/>
            <w:bottom w:w="28" w:type="dxa"/>
            <w:right w:w="28" w:type="dxa"/>
          </w:tblCellMar>
          <w:tblLook w:val="0000"/>
        </w:tblPrEx>
        <w:trPr>
          <w:trHeight w:val="427"/>
        </w:trPr>
        <w:tc>
          <w:tcPr>
            <w:tcW w:w="680" w:type="dxa"/>
            <w:tcMar>
              <w:top w:w="57" w:type="dxa"/>
              <w:left w:w="57" w:type="dxa"/>
              <w:bottom w:w="57" w:type="dxa"/>
              <w:right w:w="57" w:type="dxa"/>
            </w:tcMar>
          </w:tcPr>
          <w:p w:rsidR="00D02D11" w:rsidRPr="004668F6" w:rsidP="00D02D11" w14:paraId="46AD6846" w14:textId="77777777">
            <w:pPr>
              <w:pStyle w:val="naisnod"/>
              <w:spacing w:before="0" w:after="0"/>
              <w:ind w:left="57" w:right="57"/>
              <w:jc w:val="left"/>
              <w:rPr>
                <w:b w:val="0"/>
              </w:rPr>
            </w:pPr>
            <w:r w:rsidRPr="004668F6">
              <w:rPr>
                <w:b w:val="0"/>
              </w:rPr>
              <w:t>1.</w:t>
            </w:r>
          </w:p>
        </w:tc>
        <w:tc>
          <w:tcPr>
            <w:tcW w:w="4376" w:type="dxa"/>
            <w:tcMar>
              <w:top w:w="57" w:type="dxa"/>
              <w:left w:w="57" w:type="dxa"/>
              <w:bottom w:w="57" w:type="dxa"/>
              <w:right w:w="57" w:type="dxa"/>
            </w:tcMar>
          </w:tcPr>
          <w:p w:rsidR="00D02D11" w:rsidRPr="004668F6" w:rsidP="00D02D11" w14:paraId="05861CF3" w14:textId="77777777">
            <w:pPr>
              <w:pStyle w:val="naisf"/>
              <w:spacing w:before="0" w:after="0"/>
              <w:ind w:left="57" w:right="57" w:firstLine="0"/>
              <w:jc w:val="left"/>
            </w:pPr>
            <w:r w:rsidRPr="004668F6">
              <w:t xml:space="preserve">Projekta izpildē iesaistītās institūcijas </w:t>
            </w:r>
          </w:p>
        </w:tc>
        <w:tc>
          <w:tcPr>
            <w:tcW w:w="4418" w:type="dxa"/>
            <w:tcMar>
              <w:top w:w="57" w:type="dxa"/>
              <w:left w:w="57" w:type="dxa"/>
              <w:bottom w:w="57" w:type="dxa"/>
              <w:right w:w="57" w:type="dxa"/>
            </w:tcMar>
          </w:tcPr>
          <w:p w:rsidR="00D02D11" w:rsidRPr="004668F6" w:rsidP="00D02D11" w14:paraId="05114FC0" w14:textId="7F783442">
            <w:pPr>
              <w:jc w:val="both"/>
            </w:pPr>
            <w:r w:rsidRPr="00AE467F">
              <w:t>VRAA</w:t>
            </w:r>
            <w:r>
              <w:t>, Projekta sadarbības partneri – VARAM</w:t>
            </w:r>
            <w:r w:rsidRPr="00BE5178">
              <w:t xml:space="preserve">, </w:t>
            </w:r>
            <w:r w:rsidRPr="00BC2B00">
              <w:t>Rīgas domes Informācijas tehnoloģiju centrs, Centrālā statistikas pārvalde, Valsts sociālās apdrošināšanas aģentūra, Pilsonības un migrācijas lietu pārvalde, Ventspils Pilsētas Dome, Valsts ieņēmumu dienests, Uzņēmumu reģistrs, Valsts zemes dienests</w:t>
            </w:r>
            <w:r>
              <w:t>.</w:t>
            </w:r>
          </w:p>
        </w:tc>
      </w:tr>
      <w:tr w14:paraId="02A9E133" w14:textId="77777777" w:rsidTr="00D02D11">
        <w:tblPrEx>
          <w:tblW w:w="9474" w:type="dxa"/>
          <w:tblInd w:w="-369" w:type="dxa"/>
          <w:tblCellMar>
            <w:top w:w="28" w:type="dxa"/>
            <w:left w:w="28" w:type="dxa"/>
            <w:bottom w:w="28" w:type="dxa"/>
            <w:right w:w="28" w:type="dxa"/>
          </w:tblCellMar>
          <w:tblLook w:val="0000"/>
        </w:tblPrEx>
        <w:trPr>
          <w:trHeight w:val="463"/>
        </w:trPr>
        <w:tc>
          <w:tcPr>
            <w:tcW w:w="680" w:type="dxa"/>
            <w:tcMar>
              <w:top w:w="57" w:type="dxa"/>
              <w:left w:w="57" w:type="dxa"/>
              <w:bottom w:w="57" w:type="dxa"/>
              <w:right w:w="57" w:type="dxa"/>
            </w:tcMar>
          </w:tcPr>
          <w:p w:rsidR="00D02D11" w:rsidRPr="004668F6" w:rsidP="00D02D11" w14:paraId="55DB09A9" w14:textId="77777777">
            <w:pPr>
              <w:pStyle w:val="naisnod"/>
              <w:spacing w:before="0" w:after="0"/>
              <w:ind w:left="57" w:right="57"/>
              <w:jc w:val="left"/>
              <w:rPr>
                <w:b w:val="0"/>
              </w:rPr>
            </w:pPr>
            <w:r w:rsidRPr="004668F6">
              <w:rPr>
                <w:b w:val="0"/>
              </w:rPr>
              <w:t>2.</w:t>
            </w:r>
          </w:p>
        </w:tc>
        <w:tc>
          <w:tcPr>
            <w:tcW w:w="4376" w:type="dxa"/>
            <w:tcMar>
              <w:top w:w="57" w:type="dxa"/>
              <w:left w:w="57" w:type="dxa"/>
              <w:bottom w:w="57" w:type="dxa"/>
              <w:right w:w="57" w:type="dxa"/>
            </w:tcMar>
          </w:tcPr>
          <w:p w:rsidR="00D02D11" w:rsidRPr="004668F6" w:rsidP="00D02D11" w14:paraId="4F0E8497" w14:textId="77777777">
            <w:pPr>
              <w:pStyle w:val="naisf"/>
              <w:spacing w:before="0" w:after="0"/>
              <w:ind w:left="57" w:right="57" w:firstLine="0"/>
              <w:jc w:val="left"/>
            </w:pPr>
            <w:r w:rsidRPr="004668F6">
              <w:t>Projekta izpildes ietekme uz pārvaldes funkcijām un institucionālo struktūru</w:t>
            </w:r>
          </w:p>
        </w:tc>
        <w:tc>
          <w:tcPr>
            <w:tcW w:w="4418" w:type="dxa"/>
            <w:tcMar>
              <w:top w:w="57" w:type="dxa"/>
              <w:left w:w="57" w:type="dxa"/>
              <w:bottom w:w="57" w:type="dxa"/>
              <w:right w:w="57" w:type="dxa"/>
            </w:tcMar>
          </w:tcPr>
          <w:p w:rsidR="00D02D11" w:rsidRPr="004668F6" w:rsidP="00D02D11" w14:paraId="7B0179C8" w14:textId="77777777">
            <w:pPr>
              <w:pStyle w:val="naisnod"/>
              <w:spacing w:before="0" w:after="0"/>
              <w:ind w:right="57"/>
              <w:jc w:val="both"/>
              <w:rPr>
                <w:b w:val="0"/>
              </w:rPr>
            </w:pPr>
            <w:r w:rsidRPr="004668F6">
              <w:rPr>
                <w:b w:val="0"/>
              </w:rPr>
              <w:t xml:space="preserve">Nav attiecināms </w:t>
            </w:r>
          </w:p>
        </w:tc>
      </w:tr>
      <w:tr w14:paraId="1F1FEEA7" w14:textId="77777777" w:rsidTr="00D02D11">
        <w:tblPrEx>
          <w:tblW w:w="9474" w:type="dxa"/>
          <w:tblInd w:w="-369" w:type="dxa"/>
          <w:tblCellMar>
            <w:top w:w="28" w:type="dxa"/>
            <w:left w:w="28" w:type="dxa"/>
            <w:bottom w:w="28" w:type="dxa"/>
            <w:right w:w="28" w:type="dxa"/>
          </w:tblCellMar>
          <w:tblLook w:val="0000"/>
        </w:tblPrEx>
        <w:trPr>
          <w:trHeight w:val="476"/>
        </w:trPr>
        <w:tc>
          <w:tcPr>
            <w:tcW w:w="680" w:type="dxa"/>
            <w:tcMar>
              <w:top w:w="57" w:type="dxa"/>
              <w:left w:w="57" w:type="dxa"/>
              <w:bottom w:w="57" w:type="dxa"/>
              <w:right w:w="57" w:type="dxa"/>
            </w:tcMar>
          </w:tcPr>
          <w:p w:rsidR="00D02D11" w:rsidRPr="004668F6" w:rsidP="00D02D11" w14:paraId="4A311899" w14:textId="77777777">
            <w:pPr>
              <w:pStyle w:val="naiskr"/>
              <w:spacing w:before="0" w:after="0"/>
              <w:ind w:left="57" w:right="57"/>
            </w:pPr>
            <w:r w:rsidRPr="004668F6">
              <w:t>3.</w:t>
            </w:r>
          </w:p>
        </w:tc>
        <w:tc>
          <w:tcPr>
            <w:tcW w:w="4376" w:type="dxa"/>
            <w:tcMar>
              <w:top w:w="57" w:type="dxa"/>
              <w:left w:w="57" w:type="dxa"/>
              <w:bottom w:w="57" w:type="dxa"/>
              <w:right w:w="57" w:type="dxa"/>
            </w:tcMar>
          </w:tcPr>
          <w:p w:rsidR="00D02D11" w:rsidRPr="004668F6" w:rsidP="00D02D11" w14:paraId="588992D4" w14:textId="77777777">
            <w:pPr>
              <w:pStyle w:val="naiskr"/>
              <w:spacing w:before="0" w:after="0"/>
              <w:ind w:left="57" w:right="57"/>
            </w:pPr>
            <w:r w:rsidRPr="004668F6">
              <w:t>Cita informācija</w:t>
            </w:r>
          </w:p>
        </w:tc>
        <w:tc>
          <w:tcPr>
            <w:tcW w:w="4418" w:type="dxa"/>
            <w:tcMar>
              <w:top w:w="57" w:type="dxa"/>
              <w:left w:w="57" w:type="dxa"/>
              <w:bottom w:w="57" w:type="dxa"/>
              <w:right w:w="57" w:type="dxa"/>
            </w:tcMar>
          </w:tcPr>
          <w:p w:rsidR="00D02D11" w:rsidRPr="004668F6" w:rsidP="00D02D11" w14:paraId="30D2B96A" w14:textId="77777777">
            <w:pPr>
              <w:pStyle w:val="naiskr"/>
              <w:spacing w:before="0" w:after="0"/>
              <w:ind w:left="57" w:right="57"/>
            </w:pPr>
            <w:r w:rsidRPr="004668F6">
              <w:t>Nav</w:t>
            </w:r>
          </w:p>
        </w:tc>
      </w:tr>
    </w:tbl>
    <w:p w:rsidR="00D02D11" w:rsidRPr="004668F6" w:rsidP="00D02D11" w14:paraId="271339A9" w14:textId="77777777">
      <w:pPr>
        <w:jc w:val="both"/>
      </w:pPr>
    </w:p>
    <w:p w:rsidR="00D02D11" w:rsidRPr="004668F6" w:rsidP="00D02D11" w14:paraId="07FA330B" w14:textId="77777777">
      <w:pPr>
        <w:ind w:left="-426"/>
        <w:jc w:val="both"/>
      </w:pPr>
    </w:p>
    <w:p w:rsidR="00D02D11" w:rsidRPr="004668F6" w:rsidP="00D02D11" w14:paraId="2484DE13" w14:textId="77777777">
      <w:pPr>
        <w:ind w:left="-426"/>
        <w:jc w:val="both"/>
      </w:pPr>
    </w:p>
    <w:p w:rsidR="00D02D11" w:rsidRPr="004668F6" w:rsidP="00D02D11" w14:paraId="184857C5" w14:textId="77777777">
      <w:pPr>
        <w:ind w:left="-426"/>
        <w:jc w:val="both"/>
      </w:pPr>
      <w:r w:rsidRPr="004668F6">
        <w:t xml:space="preserve">Vides aizsardzības un </w:t>
      </w:r>
    </w:p>
    <w:p w:rsidR="00D02D11" w:rsidP="00D02D11" w14:paraId="2A5BE461" w14:textId="77777777">
      <w:pPr>
        <w:ind w:left="-426"/>
        <w:jc w:val="both"/>
      </w:pPr>
      <w:r w:rsidRPr="004668F6">
        <w:t>reģionālās attīstības ministrs</w:t>
      </w:r>
      <w:r w:rsidRPr="004668F6">
        <w:tab/>
      </w:r>
      <w:r w:rsidRPr="004668F6">
        <w:tab/>
      </w:r>
      <w:r w:rsidRPr="004668F6">
        <w:tab/>
      </w:r>
      <w:r w:rsidRPr="004668F6">
        <w:tab/>
      </w:r>
      <w:r w:rsidRPr="004668F6">
        <w:tab/>
      </w:r>
      <w:r w:rsidRPr="004668F6">
        <w:tab/>
      </w:r>
      <w:r w:rsidRPr="004668F6">
        <w:tab/>
      </w:r>
      <w:r>
        <w:t>K.Gerhards</w:t>
      </w:r>
    </w:p>
    <w:p w:rsidR="00D02D11" w:rsidRPr="004668F6" w:rsidP="00D02D11" w14:paraId="22551F7A" w14:textId="77777777">
      <w:pPr>
        <w:ind w:left="-426"/>
      </w:pPr>
    </w:p>
    <w:p w:rsidR="00D02D11" w:rsidRPr="004668F6" w:rsidP="00D02D11" w14:paraId="36A554AD" w14:textId="77777777">
      <w:pPr>
        <w:ind w:left="-426"/>
      </w:pPr>
    </w:p>
    <w:p w:rsidR="00D02D11" w:rsidRPr="004668F6" w:rsidP="00D02D11" w14:paraId="7FAE4404" w14:textId="77777777">
      <w:pPr>
        <w:ind w:left="-426"/>
      </w:pPr>
      <w:r w:rsidRPr="004668F6">
        <w:t>Vīza:</w:t>
      </w:r>
    </w:p>
    <w:p w:rsidR="00D02D11" w:rsidRPr="004668F6" w:rsidP="00D02D11" w14:paraId="5B743F1E" w14:textId="77777777">
      <w:pPr>
        <w:ind w:left="-426"/>
      </w:pPr>
      <w:r w:rsidRPr="004668F6">
        <w:t>valsts sekretārs</w:t>
      </w:r>
      <w:r w:rsidRPr="004668F6">
        <w:tab/>
      </w:r>
      <w:r w:rsidRPr="004668F6">
        <w:tab/>
      </w:r>
      <w:r w:rsidRPr="004668F6">
        <w:tab/>
      </w:r>
      <w:r w:rsidRPr="004668F6">
        <w:tab/>
      </w:r>
      <w:r w:rsidRPr="004668F6">
        <w:tab/>
      </w:r>
      <w:r w:rsidRPr="004668F6">
        <w:tab/>
      </w:r>
      <w:r w:rsidRPr="004668F6">
        <w:tab/>
      </w:r>
      <w:r w:rsidRPr="004668F6">
        <w:tab/>
      </w:r>
      <w:r w:rsidRPr="004668F6">
        <w:tab/>
        <w:t>R.Muciņš</w:t>
      </w:r>
    </w:p>
    <w:p w:rsidR="00D02D11" w:rsidP="00D02D11" w14:paraId="15A650DF" w14:textId="77777777">
      <w:pPr>
        <w:ind w:left="-426"/>
      </w:pPr>
      <w:r w:rsidRPr="004668F6">
        <w:tab/>
      </w:r>
      <w:r w:rsidRPr="004668F6">
        <w:tab/>
      </w:r>
      <w:r w:rsidRPr="004668F6">
        <w:tab/>
      </w:r>
      <w:r w:rsidRPr="004668F6">
        <w:tab/>
      </w:r>
      <w:r w:rsidRPr="004668F6">
        <w:tab/>
      </w:r>
      <w:r w:rsidRPr="004668F6">
        <w:tab/>
      </w:r>
      <w:r w:rsidRPr="004668F6">
        <w:tab/>
      </w:r>
      <w:r w:rsidRPr="004668F6">
        <w:tab/>
      </w:r>
    </w:p>
    <w:p w:rsidR="00D02D11" w:rsidP="00D02D11" w14:paraId="28792EDD" w14:textId="77777777">
      <w:pPr>
        <w:ind w:left="-426"/>
      </w:pPr>
    </w:p>
    <w:p w:rsidR="00D02D11" w:rsidRPr="00BB4D74" w:rsidP="00D02D11" w14:paraId="4C07A26F" w14:textId="77777777">
      <w:pPr>
        <w:ind w:left="-426"/>
      </w:pPr>
    </w:p>
    <w:p w:rsidR="00D02D11" w:rsidRPr="00BB4D74" w:rsidP="00D02D11" w14:paraId="5BEF6778" w14:textId="513AD7CD">
      <w:pPr>
        <w:ind w:left="-426"/>
        <w:rPr>
          <w:rFonts w:eastAsiaTheme="minorHAnsi"/>
          <w:sz w:val="18"/>
          <w:szCs w:val="18"/>
          <w:lang w:eastAsia="en-US"/>
        </w:rPr>
      </w:pPr>
      <w:r>
        <w:rPr>
          <w:rFonts w:eastAsiaTheme="minorHAnsi"/>
          <w:sz w:val="18"/>
          <w:szCs w:val="18"/>
          <w:lang w:eastAsia="en-US"/>
        </w:rPr>
        <w:t>01</w:t>
      </w:r>
      <w:r w:rsidR="006804FC">
        <w:rPr>
          <w:rFonts w:eastAsiaTheme="minorHAnsi"/>
          <w:sz w:val="18"/>
          <w:szCs w:val="18"/>
          <w:lang w:eastAsia="en-US"/>
        </w:rPr>
        <w:t>.</w:t>
      </w:r>
      <w:r>
        <w:rPr>
          <w:rFonts w:eastAsiaTheme="minorHAnsi"/>
          <w:sz w:val="18"/>
          <w:szCs w:val="18"/>
          <w:lang w:eastAsia="en-US"/>
        </w:rPr>
        <w:t>09</w:t>
      </w:r>
      <w:r w:rsidRPr="00BB4D74" w:rsidR="006804FC">
        <w:rPr>
          <w:rFonts w:eastAsiaTheme="minorHAnsi"/>
          <w:sz w:val="18"/>
          <w:szCs w:val="18"/>
          <w:lang w:eastAsia="en-US"/>
        </w:rPr>
        <w:t xml:space="preserve">.2017. </w:t>
      </w:r>
      <w:r>
        <w:rPr>
          <w:rFonts w:eastAsiaTheme="minorHAnsi"/>
          <w:sz w:val="18"/>
          <w:szCs w:val="18"/>
          <w:lang w:eastAsia="en-US"/>
        </w:rPr>
        <w:t>9:57</w:t>
      </w:r>
    </w:p>
    <w:p w:rsidR="00D02D11" w:rsidP="00D02D11" w14:paraId="227A51A5" w14:textId="13C7D56D">
      <w:pPr>
        <w:ind w:left="-426"/>
        <w:rPr>
          <w:bCs/>
          <w:sz w:val="20"/>
          <w:szCs w:val="20"/>
        </w:rPr>
      </w:pPr>
      <w:r>
        <w:rPr>
          <w:bCs/>
          <w:sz w:val="20"/>
          <w:szCs w:val="20"/>
        </w:rPr>
        <w:t>27</w:t>
      </w:r>
      <w:r w:rsidR="00AC152F">
        <w:rPr>
          <w:bCs/>
          <w:sz w:val="20"/>
          <w:szCs w:val="20"/>
        </w:rPr>
        <w:t>58</w:t>
      </w:r>
      <w:bookmarkStart w:id="10" w:name="_GoBack"/>
      <w:bookmarkEnd w:id="10"/>
    </w:p>
    <w:p w:rsidR="00D02D11" w:rsidRPr="0016532F" w:rsidP="00D02D11" w14:paraId="4A4E3E16" w14:textId="245315DC">
      <w:pPr>
        <w:ind w:left="-426"/>
        <w:rPr>
          <w:bCs/>
          <w:sz w:val="20"/>
          <w:szCs w:val="20"/>
        </w:rPr>
      </w:pPr>
      <w:r w:rsidRPr="0016532F">
        <w:rPr>
          <w:bCs/>
          <w:sz w:val="20"/>
          <w:szCs w:val="20"/>
        </w:rPr>
        <w:t>Ceple</w:t>
      </w:r>
      <w:r>
        <w:rPr>
          <w:bCs/>
          <w:sz w:val="20"/>
          <w:szCs w:val="20"/>
        </w:rPr>
        <w:t>, 66164674</w:t>
      </w:r>
    </w:p>
    <w:p w:rsidR="00D02D11" w:rsidP="00D02D11" w14:paraId="36B0C023" w14:textId="77777777">
      <w:pPr>
        <w:ind w:left="-426"/>
        <w:rPr>
          <w:bCs/>
          <w:sz w:val="20"/>
          <w:szCs w:val="20"/>
        </w:rPr>
      </w:pPr>
      <w:r>
        <w:fldChar w:fldCharType="begin"/>
      </w:r>
      <w:r>
        <w:instrText xml:space="preserve"> HYPERLINK "mailto:laura.ceple@vraa.gov.lv" </w:instrText>
      </w:r>
      <w:r>
        <w:fldChar w:fldCharType="separate"/>
      </w:r>
      <w:r w:rsidRPr="0016532F" w:rsidR="006804FC">
        <w:rPr>
          <w:rStyle w:val="Hyperlink"/>
          <w:sz w:val="20"/>
          <w:szCs w:val="20"/>
        </w:rPr>
        <w:t>laura.ceple@vraa.gov.lv</w:t>
      </w:r>
      <w:r>
        <w:fldChar w:fldCharType="end"/>
      </w:r>
      <w:r w:rsidRPr="0016532F" w:rsidR="006804FC">
        <w:rPr>
          <w:bCs/>
          <w:sz w:val="20"/>
          <w:szCs w:val="20"/>
        </w:rPr>
        <w:t xml:space="preserve"> </w:t>
      </w:r>
    </w:p>
    <w:p w:rsidR="00D02D11" w:rsidP="00D02D11" w14:paraId="499AEDAC" w14:textId="77777777">
      <w:pPr>
        <w:ind w:left="-426"/>
        <w:rPr>
          <w:bCs/>
          <w:sz w:val="20"/>
          <w:szCs w:val="20"/>
        </w:rPr>
      </w:pPr>
    </w:p>
    <w:p w:rsidR="00D02D11" w:rsidP="00D02D11" w14:paraId="579CCB4E" w14:textId="37F9E2E3">
      <w:pPr>
        <w:ind w:left="-426"/>
        <w:rPr>
          <w:bCs/>
          <w:sz w:val="20"/>
          <w:szCs w:val="20"/>
        </w:rPr>
      </w:pPr>
      <w:r>
        <w:rPr>
          <w:bCs/>
          <w:sz w:val="20"/>
          <w:szCs w:val="20"/>
        </w:rPr>
        <w:t>Kalniņa, 67026576</w:t>
      </w:r>
    </w:p>
    <w:p w:rsidR="00D02D11" w:rsidRPr="0016532F" w:rsidP="00D02D11" w14:paraId="1AA49BCE" w14:textId="126B8E8F">
      <w:pPr>
        <w:ind w:left="-426"/>
        <w:rPr>
          <w:sz w:val="20"/>
          <w:szCs w:val="20"/>
        </w:rPr>
      </w:pPr>
      <w:r>
        <w:fldChar w:fldCharType="begin"/>
      </w:r>
      <w:r>
        <w:instrText xml:space="preserve"> HYPERLINK "mailto:lelda.kalnina@varam.gov.lv" </w:instrText>
      </w:r>
      <w:r>
        <w:fldChar w:fldCharType="separate"/>
      </w:r>
      <w:r w:rsidRPr="007B5E55" w:rsidR="006804FC">
        <w:rPr>
          <w:rStyle w:val="Hyperlink"/>
          <w:bCs/>
          <w:sz w:val="20"/>
          <w:szCs w:val="20"/>
        </w:rPr>
        <w:t>lelda.kalnina@varam.gov.lv</w:t>
      </w:r>
      <w:r>
        <w:fldChar w:fldCharType="end"/>
      </w:r>
      <w:r w:rsidR="006804FC">
        <w:rPr>
          <w:bCs/>
          <w:sz w:val="20"/>
          <w:szCs w:val="20"/>
        </w:rPr>
        <w:t xml:space="preserve"> </w:t>
      </w:r>
    </w:p>
    <w:sectPr w:rsidSect="00D02D11">
      <w:headerReference w:type="default" r:id="rId5"/>
      <w:footerReference w:type="default" r:id="rId6"/>
      <w:footerReference w:type="first" r:id="rId7"/>
      <w:pgSz w:w="11907" w:h="16839" w:code="9"/>
      <w:pgMar w:top="1276" w:right="1276"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entury Schoolbook">
    <w:altName w:val="NewCenturySchlb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11" w:rsidRPr="0021712F" w:rsidP="00D02D11" w14:paraId="137E4733" w14:textId="0D42CA8B">
    <w:pPr>
      <w:jc w:val="both"/>
    </w:pPr>
    <w:r w:rsidRPr="00202B4A">
      <w:rPr>
        <w:sz w:val="20"/>
        <w:szCs w:val="20"/>
      </w:rPr>
      <w:t>VARAMAnotac_</w:t>
    </w:r>
    <w:r w:rsidR="00F477D3">
      <w:rPr>
        <w:sz w:val="20"/>
        <w:szCs w:val="20"/>
      </w:rPr>
      <w:t>0109</w:t>
    </w:r>
    <w:r>
      <w:rPr>
        <w:sz w:val="20"/>
        <w:szCs w:val="20"/>
      </w:rPr>
      <w:t>2017_MA_26.0</w:t>
    </w:r>
  </w:p>
  <w:p w:rsidR="00D02D11" w:rsidRPr="00C45558" w:rsidP="00D02D11" w14:paraId="6E7E21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11" w:rsidRPr="00B62D70" w:rsidP="00D02D11" w14:paraId="3BF47FFF" w14:textId="4729D3EA">
    <w:pPr>
      <w:pStyle w:val="Footer"/>
      <w:jc w:val="both"/>
    </w:pPr>
    <w:r w:rsidRPr="00B62D70">
      <w:rPr>
        <w:sz w:val="20"/>
        <w:szCs w:val="20"/>
      </w:rPr>
      <w:t>VARAMAnotac_</w:t>
    </w:r>
    <w:r w:rsidR="00DB5A78">
      <w:rPr>
        <w:sz w:val="20"/>
        <w:szCs w:val="20"/>
      </w:rPr>
      <w:t>0109</w:t>
    </w:r>
    <w:r w:rsidRPr="00B62D70" w:rsidR="00DB5A78">
      <w:rPr>
        <w:sz w:val="20"/>
        <w:szCs w:val="20"/>
      </w:rPr>
      <w:t>2017</w:t>
    </w:r>
    <w:r w:rsidRPr="00B62D70">
      <w:rPr>
        <w:sz w:val="20"/>
        <w:szCs w:val="20"/>
      </w:rPr>
      <w:t>_MA_26.0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D11" w14:paraId="5CA43D4B" w14:textId="7C54E432">
    <w:pPr>
      <w:pStyle w:val="Header"/>
      <w:jc w:val="center"/>
    </w:pPr>
    <w:r>
      <w:fldChar w:fldCharType="begin"/>
    </w:r>
    <w:r>
      <w:instrText xml:space="preserve"> PAGE   \* MERGEFORMAT </w:instrText>
    </w:r>
    <w:r>
      <w:fldChar w:fldCharType="separate"/>
    </w:r>
    <w:r w:rsidR="00AC152F">
      <w:rPr>
        <w:noProof/>
      </w:rPr>
      <w:t>9</w:t>
    </w:r>
    <w:r>
      <w:fldChar w:fldCharType="end"/>
    </w:r>
  </w:p>
  <w:p w:rsidR="00D02D11" w14:paraId="23D042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8F6BFC"/>
    <w:multiLevelType w:val="hybridMultilevel"/>
    <w:tmpl w:val="931E80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0066062"/>
    <w:multiLevelType w:val="hybridMultilevel"/>
    <w:tmpl w:val="A71A3A88"/>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4">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8C53829"/>
    <w:multiLevelType w:val="hybridMultilevel"/>
    <w:tmpl w:val="78F4B824"/>
    <w:lvl w:ilvl="0">
      <w:start w:val="1"/>
      <w:numFmt w:val="decimal"/>
      <w:pStyle w:val="Style1"/>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6">
    <w:nsid w:val="2C3B1C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AF6D9C"/>
    <w:multiLevelType w:val="multilevel"/>
    <w:tmpl w:val="F75669B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20210E"/>
    <w:multiLevelType w:val="multilevel"/>
    <w:tmpl w:val="81E813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11C2314"/>
    <w:multiLevelType w:val="hybridMultilevel"/>
    <w:tmpl w:val="BCC6AD9A"/>
    <w:lvl w:ilvl="0">
      <w:start w:val="1"/>
      <w:numFmt w:val="decimal"/>
      <w:lvlText w:val="%1."/>
      <w:lvlJc w:val="left"/>
      <w:pPr>
        <w:ind w:left="1259" w:hanging="360"/>
      </w:pPr>
    </w:lvl>
    <w:lvl w:ilvl="1" w:tentative="1">
      <w:start w:val="1"/>
      <w:numFmt w:val="lowerLetter"/>
      <w:lvlText w:val="%2."/>
      <w:lvlJc w:val="left"/>
      <w:pPr>
        <w:ind w:left="1979" w:hanging="360"/>
      </w:pPr>
    </w:lvl>
    <w:lvl w:ilvl="2" w:tentative="1">
      <w:start w:val="1"/>
      <w:numFmt w:val="lowerRoman"/>
      <w:lvlText w:val="%3."/>
      <w:lvlJc w:val="right"/>
      <w:pPr>
        <w:ind w:left="2699" w:hanging="180"/>
      </w:pPr>
    </w:lvl>
    <w:lvl w:ilvl="3" w:tentative="1">
      <w:start w:val="1"/>
      <w:numFmt w:val="decimal"/>
      <w:lvlText w:val="%4."/>
      <w:lvlJc w:val="left"/>
      <w:pPr>
        <w:ind w:left="3419" w:hanging="360"/>
      </w:pPr>
    </w:lvl>
    <w:lvl w:ilvl="4" w:tentative="1">
      <w:start w:val="1"/>
      <w:numFmt w:val="lowerLetter"/>
      <w:lvlText w:val="%5."/>
      <w:lvlJc w:val="left"/>
      <w:pPr>
        <w:ind w:left="4139" w:hanging="360"/>
      </w:pPr>
    </w:lvl>
    <w:lvl w:ilvl="5" w:tentative="1">
      <w:start w:val="1"/>
      <w:numFmt w:val="lowerRoman"/>
      <w:lvlText w:val="%6."/>
      <w:lvlJc w:val="right"/>
      <w:pPr>
        <w:ind w:left="4859" w:hanging="180"/>
      </w:pPr>
    </w:lvl>
    <w:lvl w:ilvl="6" w:tentative="1">
      <w:start w:val="1"/>
      <w:numFmt w:val="decimal"/>
      <w:lvlText w:val="%7."/>
      <w:lvlJc w:val="left"/>
      <w:pPr>
        <w:ind w:left="5579" w:hanging="360"/>
      </w:pPr>
    </w:lvl>
    <w:lvl w:ilvl="7" w:tentative="1">
      <w:start w:val="1"/>
      <w:numFmt w:val="lowerLetter"/>
      <w:lvlText w:val="%8."/>
      <w:lvlJc w:val="left"/>
      <w:pPr>
        <w:ind w:left="6299" w:hanging="360"/>
      </w:pPr>
    </w:lvl>
    <w:lvl w:ilvl="8" w:tentative="1">
      <w:start w:val="1"/>
      <w:numFmt w:val="lowerRoman"/>
      <w:lvlText w:val="%9."/>
      <w:lvlJc w:val="right"/>
      <w:pPr>
        <w:ind w:left="7019" w:hanging="180"/>
      </w:pPr>
    </w:lvl>
  </w:abstractNum>
  <w:abstractNum w:abstractNumId="10">
    <w:nsid w:val="54836BF2"/>
    <w:multiLevelType w:val="hybridMultilevel"/>
    <w:tmpl w:val="E71CCB8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6CB6009"/>
    <w:multiLevelType w:val="hybridMultilevel"/>
    <w:tmpl w:val="04CA067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2022AAE"/>
    <w:multiLevelType w:val="hybridMultilevel"/>
    <w:tmpl w:val="52D8C1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5"/>
  </w:num>
  <w:num w:numId="3">
    <w:abstractNumId w:val="4"/>
  </w:num>
  <w:num w:numId="4">
    <w:abstractNumId w:val="12"/>
  </w:num>
  <w:num w:numId="5">
    <w:abstractNumId w:val="13"/>
  </w:num>
  <w:num w:numId="6">
    <w:abstractNumId w:val="2"/>
  </w:num>
  <w:num w:numId="7">
    <w:abstractNumId w:val="7"/>
  </w:num>
  <w:num w:numId="8">
    <w:abstractNumId w:val="9"/>
  </w:num>
  <w:num w:numId="9">
    <w:abstractNumId w:val="3"/>
  </w:num>
  <w:num w:numId="10">
    <w:abstractNumId w:val="11"/>
  </w:num>
  <w:num w:numId="11">
    <w:abstractNumId w:val="10"/>
  </w:num>
  <w:num w:numId="12">
    <w:abstractNumId w:val="0"/>
  </w:num>
  <w:num w:numId="13">
    <w:abstractNumId w:val="6"/>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E5"/>
    <w:rsid w:val="00021BB1"/>
    <w:rsid w:val="00040496"/>
    <w:rsid w:val="0007642D"/>
    <w:rsid w:val="00082955"/>
    <w:rsid w:val="000B5164"/>
    <w:rsid w:val="000D145D"/>
    <w:rsid w:val="000D6DA6"/>
    <w:rsid w:val="000E08DC"/>
    <w:rsid w:val="00112886"/>
    <w:rsid w:val="00130F92"/>
    <w:rsid w:val="001358BC"/>
    <w:rsid w:val="0014191C"/>
    <w:rsid w:val="00147C36"/>
    <w:rsid w:val="0016532F"/>
    <w:rsid w:val="001805DC"/>
    <w:rsid w:val="001A13B8"/>
    <w:rsid w:val="001C5F18"/>
    <w:rsid w:val="001E30E5"/>
    <w:rsid w:val="001F18A7"/>
    <w:rsid w:val="00202B4A"/>
    <w:rsid w:val="002051B5"/>
    <w:rsid w:val="0021712F"/>
    <w:rsid w:val="00272504"/>
    <w:rsid w:val="002A5236"/>
    <w:rsid w:val="00376594"/>
    <w:rsid w:val="003A71A6"/>
    <w:rsid w:val="004302A8"/>
    <w:rsid w:val="004668F6"/>
    <w:rsid w:val="00486171"/>
    <w:rsid w:val="004A6AF0"/>
    <w:rsid w:val="005171EF"/>
    <w:rsid w:val="00533253"/>
    <w:rsid w:val="005374E5"/>
    <w:rsid w:val="00540E3F"/>
    <w:rsid w:val="00550E4A"/>
    <w:rsid w:val="00561990"/>
    <w:rsid w:val="00573505"/>
    <w:rsid w:val="005A686D"/>
    <w:rsid w:val="005F4208"/>
    <w:rsid w:val="006131FF"/>
    <w:rsid w:val="0062003E"/>
    <w:rsid w:val="00632DD2"/>
    <w:rsid w:val="0064301C"/>
    <w:rsid w:val="006804FC"/>
    <w:rsid w:val="006B7330"/>
    <w:rsid w:val="006C01A5"/>
    <w:rsid w:val="006C5A96"/>
    <w:rsid w:val="00701DF6"/>
    <w:rsid w:val="0076139B"/>
    <w:rsid w:val="007B5E55"/>
    <w:rsid w:val="007C7175"/>
    <w:rsid w:val="007D38CC"/>
    <w:rsid w:val="007D4483"/>
    <w:rsid w:val="007F0000"/>
    <w:rsid w:val="00842FE9"/>
    <w:rsid w:val="00881C8A"/>
    <w:rsid w:val="008D2322"/>
    <w:rsid w:val="008F795A"/>
    <w:rsid w:val="009F7E6C"/>
    <w:rsid w:val="00A81BBC"/>
    <w:rsid w:val="00A956C3"/>
    <w:rsid w:val="00AC152F"/>
    <w:rsid w:val="00AE467F"/>
    <w:rsid w:val="00B3067C"/>
    <w:rsid w:val="00B46122"/>
    <w:rsid w:val="00B62D70"/>
    <w:rsid w:val="00B9494D"/>
    <w:rsid w:val="00BB4D74"/>
    <w:rsid w:val="00BC2B00"/>
    <w:rsid w:val="00BD313F"/>
    <w:rsid w:val="00BE5178"/>
    <w:rsid w:val="00C45558"/>
    <w:rsid w:val="00C9327D"/>
    <w:rsid w:val="00C97DC8"/>
    <w:rsid w:val="00CD060A"/>
    <w:rsid w:val="00D0214C"/>
    <w:rsid w:val="00D02D11"/>
    <w:rsid w:val="00D23869"/>
    <w:rsid w:val="00D735DF"/>
    <w:rsid w:val="00D9018D"/>
    <w:rsid w:val="00DB5A78"/>
    <w:rsid w:val="00DC09D9"/>
    <w:rsid w:val="00DE7AA2"/>
    <w:rsid w:val="00E17C5F"/>
    <w:rsid w:val="00E248F8"/>
    <w:rsid w:val="00E90964"/>
    <w:rsid w:val="00E93878"/>
    <w:rsid w:val="00EB3595"/>
    <w:rsid w:val="00EE24E3"/>
    <w:rsid w:val="00EE2B61"/>
    <w:rsid w:val="00EF5611"/>
    <w:rsid w:val="00F07812"/>
    <w:rsid w:val="00F477D3"/>
    <w:rsid w:val="00F575DB"/>
    <w:rsid w:val="00FC03B4"/>
    <w:rsid w:val="00FC3F99"/>
    <w:rsid w:val="00FE38E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5649A60-A8E4-4435-8438-27ED9DBB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041C07"/>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041C0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 Char,Fußnotentext Char Char Char Char Char Char Char Char1,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1C07"/>
    <w:pPr>
      <w:pageBreakBefore/>
      <w:numPr>
        <w:numId w:val="5"/>
      </w:numPr>
      <w:tabs>
        <w:tab w:val="num" w:pos="360"/>
        <w:tab w:val="clear" w:pos="851"/>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1C07"/>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1C07"/>
    <w:pPr>
      <w:numPr>
        <w:ilvl w:val="2"/>
      </w:numPr>
      <w:spacing w:after="120"/>
      <w:outlineLvl w:val="2"/>
    </w:pPr>
    <w:rPr>
      <w:rFonts w:cs="Times New Roman"/>
      <w:sz w:val="24"/>
      <w:szCs w:val="24"/>
      <w:lang w:val="x-none" w:eastAsia="x-none"/>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b/>
      <w:sz w:val="24"/>
      <w:szCs w:val="24"/>
      <w:lang w:val="x-none" w:eastAsia="x-none"/>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041C07"/>
    <w:pPr>
      <w:numPr>
        <w:numId w:val="6"/>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character" w:customStyle="1" w:styleId="header3">
    <w:name w:val="header3"/>
    <w:basedOn w:val="DefaultParagraphFont"/>
    <w:rsid w:val="00654CC4"/>
  </w:style>
  <w:style w:type="character" w:customStyle="1" w:styleId="UnresolvedMention1">
    <w:name w:val="Unresolved Mention1"/>
    <w:basedOn w:val="DefaultParagraphFont"/>
    <w:uiPriority w:val="99"/>
    <w:semiHidden/>
    <w:unhideWhenUsed/>
    <w:rsid w:val="00C45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66655-D0D2-40E5-9A91-1590461B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14001</Words>
  <Characters>7982</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rīkojuma projekta „Par informācijas sabiedrības attīstības pamatnostādņu ieviešanu publiskās pārvaldes informācijas sistēmu jomā (mērķarhitektūras 26.0 versija - Vienotā datu telpa)” sākotnējās ietekmes novērtējuma ziņojums (anotācija)</vt:lpstr>
    </vt:vector>
  </TitlesOfParts>
  <Company>VARAM</Company>
  <LinksUpToDate>false</LinksUpToDate>
  <CharactersWithSpaces>21940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26.0 versija - Vienotā datu telpa)” sākotnējās ietekmes novērtējuma ziņojums (anotācija)</dc:title>
  <dc:subject>MK rīkojuma projekts</dc:subject>
  <dc:creator>Lelda Kalniņa</dc:creator>
  <dc:description>67026576, lelda.kalnina@varam.gov.lv</dc:description>
  <cp:lastModifiedBy>Lelda Kalniņa</cp:lastModifiedBy>
  <cp:revision>4</cp:revision>
  <cp:lastPrinted>2017-06-28T13:06:00Z</cp:lastPrinted>
  <dcterms:created xsi:type="dcterms:W3CDTF">2017-09-07T07:28:00Z</dcterms:created>
  <dcterms:modified xsi:type="dcterms:W3CDTF">2017-09-12T08:10:00Z</dcterms:modified>
</cp:coreProperties>
</file>