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B44C2C" w:rsidP="00B44C2C" w14:paraId="2DDF7268" w14:textId="77777777">
      <w:pPr>
        <w:spacing w:before="0" w:after="0"/>
        <w:jc w:val="right"/>
        <w:rPr>
          <w:rFonts w:ascii="Times New Roman" w:eastAsia="Times New Roman" w:hAnsi="Times New Roman" w:cs="Times New Roman"/>
          <w:sz w:val="28"/>
          <w:szCs w:val="24"/>
          <w:lang w:eastAsia="lv-LV"/>
        </w:rPr>
      </w:pPr>
      <w:r w:rsidRPr="00B44C2C">
        <w:rPr>
          <w:rFonts w:ascii="Times New Roman" w:eastAsia="Times New Roman" w:hAnsi="Times New Roman" w:cs="Times New Roman"/>
          <w:sz w:val="28"/>
          <w:szCs w:val="24"/>
          <w:lang w:eastAsia="lv-LV"/>
        </w:rPr>
        <w:t xml:space="preserve">Pielikums </w:t>
      </w:r>
    </w:p>
    <w:p w:rsidR="00B44C2C" w:rsidRPr="00B44C2C" w:rsidP="00B44C2C" w14:paraId="7034CBFB" w14:textId="77777777">
      <w:pPr>
        <w:spacing w:before="0" w:after="0"/>
        <w:jc w:val="right"/>
        <w:rPr>
          <w:rFonts w:ascii="Times New Roman" w:eastAsia="Times New Roman" w:hAnsi="Times New Roman" w:cs="Times New Roman"/>
          <w:sz w:val="28"/>
          <w:szCs w:val="24"/>
          <w:lang w:eastAsia="lv-LV"/>
        </w:rPr>
      </w:pPr>
      <w:r w:rsidRPr="00B44C2C">
        <w:rPr>
          <w:rFonts w:ascii="Times New Roman" w:eastAsia="Times New Roman" w:hAnsi="Times New Roman" w:cs="Times New Roman"/>
          <w:sz w:val="28"/>
          <w:szCs w:val="24"/>
          <w:lang w:eastAsia="lv-LV"/>
        </w:rPr>
        <w:t>Ministru kabineta</w:t>
      </w:r>
    </w:p>
    <w:p w:rsidR="00B44C2C" w:rsidRPr="00B44C2C" w:rsidP="00B44C2C" w14:paraId="348251F9" w14:textId="77777777">
      <w:pPr>
        <w:spacing w:before="0" w:after="0"/>
        <w:jc w:val="right"/>
        <w:rPr>
          <w:rFonts w:ascii="Times New Roman" w:eastAsia="Times New Roman" w:hAnsi="Times New Roman" w:cs="Times New Roman"/>
          <w:sz w:val="36"/>
          <w:szCs w:val="32"/>
          <w:lang w:eastAsia="lv-LV"/>
        </w:rPr>
      </w:pPr>
      <w:r w:rsidRPr="00B44C2C">
        <w:rPr>
          <w:rFonts w:ascii="Times New Roman" w:eastAsia="Times New Roman" w:hAnsi="Times New Roman" w:cs="Times New Roman"/>
          <w:sz w:val="28"/>
          <w:szCs w:val="24"/>
          <w:lang w:eastAsia="lv-LV"/>
        </w:rPr>
        <w:t xml:space="preserve"> 201</w:t>
      </w:r>
      <w:r w:rsidR="005D1F63">
        <w:rPr>
          <w:rFonts w:ascii="Times New Roman" w:eastAsia="Times New Roman" w:hAnsi="Times New Roman" w:cs="Times New Roman"/>
          <w:sz w:val="28"/>
          <w:szCs w:val="24"/>
          <w:lang w:eastAsia="lv-LV"/>
        </w:rPr>
        <w:t>7</w:t>
      </w:r>
      <w:r w:rsidRPr="00B44C2C">
        <w:rPr>
          <w:rFonts w:ascii="Times New Roman" w:eastAsia="Times New Roman" w:hAnsi="Times New Roman" w:cs="Times New Roman"/>
          <w:sz w:val="28"/>
          <w:szCs w:val="24"/>
          <w:lang w:eastAsia="lv-LV"/>
        </w:rPr>
        <w:t>. gada    rīkojumam Nr.     </w:t>
      </w:r>
    </w:p>
    <w:p w:rsidR="00AD2A37" w:rsidRPr="00894527" w:rsidP="00AD2A37" w14:paraId="068F859E" w14:textId="77777777">
      <w:pPr>
        <w:pStyle w:val="VPBody"/>
        <w:jc w:val="right"/>
      </w:pPr>
    </w:p>
    <w:p w:rsidR="00AD2A37" w:rsidRPr="00894527" w:rsidP="00AD2A37" w14:paraId="4B05AECD" w14:textId="77777777">
      <w:pPr>
        <w:pStyle w:val="VPBody"/>
        <w:jc w:val="right"/>
      </w:pPr>
    </w:p>
    <w:p w:rsidR="00AD2A37" w:rsidRPr="00B44C2C" w:rsidP="00B44C2C" w14:paraId="340FD55A" w14:textId="77777777">
      <w:pPr>
        <w:pStyle w:val="VPBody"/>
        <w:jc w:val="center"/>
        <w:rPr>
          <w:b/>
          <w:sz w:val="28"/>
          <w:szCs w:val="28"/>
        </w:rPr>
      </w:pPr>
      <w:r>
        <w:rPr>
          <w:b/>
          <w:sz w:val="28"/>
          <w:szCs w:val="28"/>
        </w:rPr>
        <w:t>Vienotais tiesību aktu projektu izstrādes un saskaņošanas portāls</w:t>
      </w:r>
    </w:p>
    <w:p w:rsidR="00B44C2C" w:rsidRPr="00B44C2C" w:rsidP="00B44C2C" w14:paraId="5E78A03B" w14:textId="77777777">
      <w:pPr>
        <w:pStyle w:val="VPBody"/>
        <w:jc w:val="center"/>
        <w:rPr>
          <w:b/>
          <w:sz w:val="28"/>
          <w:szCs w:val="28"/>
        </w:rPr>
      </w:pPr>
      <w:r w:rsidRPr="00B44C2C">
        <w:rPr>
          <w:b/>
          <w:sz w:val="28"/>
          <w:szCs w:val="28"/>
        </w:rPr>
        <w:t>Projekta apraksts (kopsavilkums)</w:t>
      </w:r>
    </w:p>
    <w:p w:rsidR="00AD2A37" w:rsidRPr="00894527" w:rsidP="00AD2A37" w14:paraId="54A7DCA9" w14:textId="77777777">
      <w:pPr>
        <w:pStyle w:val="VPBody"/>
        <w:jc w:val="right"/>
      </w:pPr>
    </w:p>
    <w:p w:rsidR="009D13FC" w:rsidRPr="008406F0" w:rsidP="009D13FC" w14:paraId="46C92872" w14:textId="77777777">
      <w:pPr>
        <w:spacing w:after="120"/>
        <w:ind w:firstLine="720"/>
        <w:jc w:val="both"/>
        <w:rPr>
          <w:rFonts w:ascii="Times New Roman" w:hAnsi="Times New Roman" w:cs="Times New Roman"/>
          <w:bCs/>
          <w:sz w:val="24"/>
        </w:rPr>
      </w:pPr>
      <w:r w:rsidRPr="008406F0">
        <w:rPr>
          <w:rFonts w:ascii="Times New Roman" w:hAnsi="Times New Roman" w:cs="Times New Roman"/>
          <w:bCs/>
          <w:sz w:val="24"/>
        </w:rPr>
        <w:t xml:space="preserve">Vienotā valsts pārvaldes </w:t>
      </w:r>
      <w:r w:rsidRPr="008406F0" w:rsidR="00674695">
        <w:rPr>
          <w:rFonts w:ascii="Times New Roman" w:hAnsi="Times New Roman" w:cs="Times New Roman"/>
          <w:bCs/>
          <w:sz w:val="24"/>
        </w:rPr>
        <w:t>tiesību aktu projekt</w:t>
      </w:r>
      <w:r w:rsidRPr="008406F0" w:rsidR="00952E2D">
        <w:rPr>
          <w:rFonts w:ascii="Times New Roman" w:hAnsi="Times New Roman" w:cs="Times New Roman"/>
          <w:bCs/>
          <w:sz w:val="24"/>
        </w:rPr>
        <w:t>u</w:t>
      </w:r>
      <w:r w:rsidRPr="008406F0">
        <w:rPr>
          <w:rFonts w:ascii="Times New Roman" w:hAnsi="Times New Roman" w:cs="Times New Roman"/>
          <w:bCs/>
          <w:sz w:val="24"/>
        </w:rPr>
        <w:t xml:space="preserve"> </w:t>
      </w:r>
      <w:r w:rsidRPr="008406F0" w:rsidR="00952E2D">
        <w:rPr>
          <w:rFonts w:ascii="Times New Roman" w:hAnsi="Times New Roman" w:cs="Times New Roman"/>
          <w:bCs/>
          <w:sz w:val="24"/>
        </w:rPr>
        <w:t xml:space="preserve">(turpmāk – TAP) </w:t>
      </w:r>
      <w:r w:rsidRPr="008406F0">
        <w:rPr>
          <w:rFonts w:ascii="Times New Roman" w:hAnsi="Times New Roman" w:cs="Times New Roman"/>
          <w:bCs/>
          <w:sz w:val="24"/>
        </w:rPr>
        <w:t xml:space="preserve">izstrādes, saskaņošanas un apstiprināšanas risinājuma (turpmāk – TAP portāls) izveides mērķis ir Ministru kabineta lēmumu pieņemšanas procesa modernizēšana, nodrošinot sabiedrībai pieejamāku līdzdalību un valsts pārvaldei efektīvāku un ātrāku TAP izstrādes un saskaņošanas procesu, kā arī pilnveidojot sēžu vadības procesu (darba kārtību projektu izstrāde un apstiprināšana, protokolu izstrāde un parakstīšana, rezolūciju gatavošana, Ministru kabineta sēdē pieņemto dokumentu pārvaldība), tai skaitā pilnveidojot Ministru kabineta un Ministru kabineta komitejas sēžu, Valsts sekretāru sanāksmju organizēšanas un norises informācijas sistēmas (turpmāk – </w:t>
      </w:r>
      <w:r w:rsidRPr="008406F0">
        <w:rPr>
          <w:rFonts w:ascii="Times New Roman" w:hAnsi="Times New Roman" w:cs="Times New Roman"/>
          <w:bCs/>
          <w:sz w:val="24"/>
        </w:rPr>
        <w:t>ePortfelis</w:t>
      </w:r>
      <w:r w:rsidRPr="008406F0">
        <w:rPr>
          <w:rFonts w:ascii="Times New Roman" w:hAnsi="Times New Roman" w:cs="Times New Roman"/>
          <w:bCs/>
          <w:sz w:val="24"/>
        </w:rPr>
        <w:t>) funkcionalitāti. TAP portālā būs pieejama vispārpieejamā un ierobežotas pieejamības informācija.</w:t>
      </w:r>
    </w:p>
    <w:p w:rsidR="009D13FC" w:rsidRPr="00706824" w:rsidP="009D13FC" w14:paraId="2E216A38"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u w:val="single"/>
          <w:lang w:eastAsia="lv-LV"/>
        </w:rPr>
      </w:pPr>
      <w:r w:rsidRPr="00706824">
        <w:rPr>
          <w:rFonts w:ascii="Times New Roman" w:eastAsia="Times New Roman" w:hAnsi="Times New Roman" w:cs="Times New Roman"/>
          <w:b/>
          <w:sz w:val="24"/>
          <w:szCs w:val="24"/>
          <w:u w:val="single"/>
          <w:lang w:eastAsia="lv-LV"/>
        </w:rPr>
        <w:t xml:space="preserve">Projekta mērķi: </w:t>
      </w:r>
    </w:p>
    <w:p w:rsidR="009D13FC" w:rsidRPr="00674695" w:rsidP="00674695" w14:paraId="52F4A0C9" w14:textId="77777777">
      <w:pPr>
        <w:pStyle w:val="Default"/>
        <w:jc w:val="both"/>
        <w:rPr>
          <w:b/>
          <w:bCs/>
          <w:iCs/>
        </w:rPr>
      </w:pPr>
      <w:r w:rsidRPr="00674695">
        <w:rPr>
          <w:b/>
          <w:bCs/>
          <w:iCs/>
        </w:rPr>
        <w:t>1. Ministru kabineta lēmumu pieņemšanas procesa modernizēšana, nodrošinot efektīvāku un ātrāku valsts pārvaldes TAP izstrādes, saskaņošanas, apstiprināšanas un kontroles procesu</w:t>
      </w:r>
      <w:r w:rsidR="00952E2D">
        <w:rPr>
          <w:b/>
          <w:bCs/>
          <w:iCs/>
        </w:rPr>
        <w:t>.</w:t>
      </w:r>
    </w:p>
    <w:p w:rsidR="009D13FC" w:rsidRPr="003E0B5E" w:rsidP="009D13FC" w14:paraId="0DC932F0" w14:textId="77777777">
      <w:pPr>
        <w:pStyle w:val="Default"/>
      </w:pPr>
      <w:r w:rsidRPr="003E0B5E">
        <w:t xml:space="preserve">Mērķa sasniegšanai nepieciešams: </w:t>
      </w:r>
    </w:p>
    <w:p w:rsidR="009D13FC" w:rsidRPr="003E0B5E" w:rsidP="00952E2D" w14:paraId="7AB3D496" w14:textId="77777777">
      <w:pPr>
        <w:pStyle w:val="Default"/>
        <w:numPr>
          <w:ilvl w:val="0"/>
          <w:numId w:val="4"/>
        </w:numPr>
        <w:jc w:val="both"/>
      </w:pPr>
      <w:r w:rsidRPr="003E0B5E">
        <w:t xml:space="preserve">izstrādāt un ieviest vienotu valsts pārvaldes TAP </w:t>
      </w:r>
      <w:r w:rsidRPr="003E0B5E">
        <w:t>koprades</w:t>
      </w:r>
      <w:r w:rsidRPr="003E0B5E">
        <w:t xml:space="preserve"> vidi (izstrāde, saskaņošana, apstiprināšana, kontrole) </w:t>
      </w:r>
      <w:r w:rsidRPr="003E0B5E" w:rsidR="00952E2D">
        <w:t>-</w:t>
      </w:r>
      <w:r w:rsidRPr="003E0B5E" w:rsidR="00952E2D">
        <w:rPr>
          <w:u w:val="single"/>
        </w:rPr>
        <w:t>TAP portāls</w:t>
      </w:r>
      <w:r w:rsidRPr="003E0B5E">
        <w:t>;</w:t>
      </w:r>
    </w:p>
    <w:p w:rsidR="009D13FC" w:rsidRPr="003E0B5E" w:rsidP="00952E2D" w14:paraId="5FEF6F8F" w14:textId="77777777">
      <w:pPr>
        <w:pStyle w:val="Default"/>
        <w:numPr>
          <w:ilvl w:val="0"/>
          <w:numId w:val="4"/>
        </w:numPr>
        <w:jc w:val="both"/>
      </w:pPr>
      <w:r w:rsidRPr="003E0B5E">
        <w:t>veikt izmaiņas spēkā esošajos normatīvajos aktos, nosakot pēc būtības jaunu kārtību valsts pārvaldes TAP izstrādē un saskaņošanā,</w:t>
      </w:r>
      <w:r w:rsidRPr="003E0B5E">
        <w:rPr>
          <w:u w:val="single"/>
        </w:rPr>
        <w:t xml:space="preserve"> aizstājot </w:t>
      </w:r>
      <w:r w:rsidRPr="003E0B5E">
        <w:rPr>
          <w:u w:val="single"/>
        </w:rPr>
        <w:t>dokumentorientētu</w:t>
      </w:r>
      <w:r w:rsidRPr="003E0B5E">
        <w:rPr>
          <w:u w:val="single"/>
        </w:rPr>
        <w:t xml:space="preserve"> procesu ar tādu, kuram pamatā ir pati informācija</w:t>
      </w:r>
      <w:r w:rsidRPr="003E0B5E">
        <w:t>;</w:t>
      </w:r>
    </w:p>
    <w:p w:rsidR="009D13FC" w:rsidRPr="003E0B5E" w:rsidP="00952E2D" w14:paraId="7F979E88" w14:textId="77777777">
      <w:pPr>
        <w:pStyle w:val="Default"/>
        <w:numPr>
          <w:ilvl w:val="0"/>
          <w:numId w:val="4"/>
        </w:numPr>
        <w:jc w:val="both"/>
      </w:pPr>
      <w:r w:rsidRPr="003E0B5E">
        <w:t>apmācīt iestāžu darbiniekus darbam ar TAP portālu;</w:t>
      </w:r>
    </w:p>
    <w:p w:rsidR="009D13FC" w:rsidRPr="003E0B5E" w:rsidP="00952E2D" w14:paraId="76A9C296" w14:textId="77777777">
      <w:pPr>
        <w:pStyle w:val="Default"/>
        <w:numPr>
          <w:ilvl w:val="0"/>
          <w:numId w:val="4"/>
        </w:numPr>
        <w:jc w:val="both"/>
      </w:pPr>
      <w:r w:rsidRPr="003E0B5E">
        <w:t>nodrošināt TAP sākotnējās ietekmes (</w:t>
      </w:r>
      <w:r w:rsidRPr="003E0B5E">
        <w:rPr>
          <w:i/>
        </w:rPr>
        <w:t>ex-ante</w:t>
      </w:r>
      <w:r w:rsidRPr="003E0B5E">
        <w:t xml:space="preserve">) ziņojumu (anotāciju) un ietekmes pēcpārbaudes </w:t>
      </w:r>
      <w:r w:rsidRPr="003E0B5E">
        <w:t>izvērtējumu</w:t>
      </w:r>
      <w:r w:rsidRPr="003E0B5E">
        <w:t xml:space="preserve"> (</w:t>
      </w:r>
      <w:r w:rsidRPr="003E0B5E">
        <w:rPr>
          <w:i/>
        </w:rPr>
        <w:t>ex</w:t>
      </w:r>
      <w:r w:rsidRPr="003E0B5E">
        <w:rPr>
          <w:i/>
        </w:rPr>
        <w:t>-post</w:t>
      </w:r>
      <w:r w:rsidRPr="003E0B5E">
        <w:t>) datu uzkrāšanu, analīzi un pieejamību;</w:t>
      </w:r>
    </w:p>
    <w:p w:rsidR="009D13FC" w:rsidP="00952E2D" w14:paraId="699AE602" w14:textId="77777777">
      <w:pPr>
        <w:pStyle w:val="ListParagraph"/>
        <w:numPr>
          <w:ilvl w:val="0"/>
          <w:numId w:val="4"/>
        </w:numPr>
        <w:spacing w:after="120"/>
        <w:jc w:val="both"/>
        <w:rPr>
          <w:bCs/>
          <w:szCs w:val="24"/>
        </w:rPr>
      </w:pPr>
      <w:r w:rsidRPr="003E0B5E">
        <w:rPr>
          <w:bCs/>
          <w:szCs w:val="24"/>
        </w:rPr>
        <w:t xml:space="preserve">pilnveidot sēžu vadības procesu (darba kārtību projektu izstrāde un apstiprināšana, protokolu izstrāde un parakstīšana, rezolūciju gatavošana, Ministru kabineta sēdē pieņemto dokumentu pārvaldība), tai skaitā pilnveidot </w:t>
      </w:r>
      <w:r w:rsidRPr="003E0B5E">
        <w:rPr>
          <w:bCs/>
          <w:szCs w:val="24"/>
        </w:rPr>
        <w:t>ePortfeļa</w:t>
      </w:r>
      <w:r w:rsidRPr="003E0B5E">
        <w:rPr>
          <w:bCs/>
          <w:szCs w:val="24"/>
        </w:rPr>
        <w:t xml:space="preserve"> funkcionalitāti.</w:t>
      </w:r>
    </w:p>
    <w:p w:rsidR="009D13FC" w:rsidP="00674695" w14:paraId="7676BBC1" w14:textId="77777777">
      <w:pPr>
        <w:pStyle w:val="Default"/>
        <w:keepNext/>
        <w:jc w:val="both"/>
        <w:rPr>
          <w:b/>
          <w:bCs/>
          <w:iCs/>
        </w:rPr>
      </w:pPr>
      <w:r w:rsidRPr="00674695">
        <w:rPr>
          <w:b/>
          <w:bCs/>
          <w:iCs/>
        </w:rPr>
        <w:t>2. Uzlabot sabiedrības līdzdalības vidi tiesību aktu jaunrades procesā, tādējādi iedzīvinot atvērtās pārvaldības (</w:t>
      </w:r>
      <w:r w:rsidRPr="00674695">
        <w:rPr>
          <w:b/>
          <w:bCs/>
          <w:iCs/>
        </w:rPr>
        <w:t>open</w:t>
      </w:r>
      <w:r w:rsidRPr="00674695">
        <w:rPr>
          <w:b/>
          <w:bCs/>
          <w:iCs/>
        </w:rPr>
        <w:t xml:space="preserve"> </w:t>
      </w:r>
      <w:r w:rsidRPr="00674695">
        <w:rPr>
          <w:b/>
          <w:bCs/>
          <w:iCs/>
        </w:rPr>
        <w:t>government</w:t>
      </w:r>
      <w:r>
        <w:rPr>
          <w:rStyle w:val="FootnoteReference"/>
          <w:b/>
          <w:bCs/>
          <w:iCs/>
        </w:rPr>
        <w:footnoteReference w:id="2"/>
      </w:r>
      <w:r w:rsidRPr="00674695">
        <w:rPr>
          <w:b/>
          <w:bCs/>
          <w:iCs/>
        </w:rPr>
        <w:t>) principu un iniciatīvas, un nodrošinot atbilstību Informācijas sabiedrības attīstības pamatnostādnēm 2014.–2020. gadam</w:t>
      </w:r>
      <w:r>
        <w:rPr>
          <w:rStyle w:val="FootnoteReference"/>
          <w:b/>
          <w:bCs/>
          <w:iCs/>
        </w:rPr>
        <w:footnoteReference w:id="3"/>
      </w:r>
      <w:r w:rsidR="00952E2D">
        <w:rPr>
          <w:b/>
          <w:bCs/>
          <w:iCs/>
        </w:rPr>
        <w:t>.</w:t>
      </w:r>
    </w:p>
    <w:p w:rsidR="003E0B5E" w:rsidP="00674695" w14:paraId="440DE3EF" w14:textId="77777777">
      <w:pPr>
        <w:pStyle w:val="Default"/>
        <w:keepNext/>
        <w:jc w:val="both"/>
        <w:rPr>
          <w:b/>
          <w:bCs/>
          <w:iCs/>
        </w:rPr>
      </w:pPr>
    </w:p>
    <w:p w:rsidR="009D13FC" w:rsidRPr="00FC0B7B" w:rsidP="009D13FC" w14:paraId="63EE1560" w14:textId="77777777">
      <w:pPr>
        <w:pStyle w:val="Default"/>
      </w:pPr>
      <w:r w:rsidRPr="00FC0B7B">
        <w:t xml:space="preserve">Mērķa sasniegšanai nepieciešams: </w:t>
      </w:r>
    </w:p>
    <w:p w:rsidR="009D13FC" w:rsidRPr="00FC0B7B" w:rsidP="00952E2D" w14:paraId="3FB6DDA4" w14:textId="77777777">
      <w:pPr>
        <w:pStyle w:val="Default"/>
        <w:numPr>
          <w:ilvl w:val="0"/>
          <w:numId w:val="4"/>
        </w:numPr>
        <w:jc w:val="both"/>
      </w:pPr>
      <w:r w:rsidRPr="00FC0B7B">
        <w:t>izstrādāt un ieviest TAP portāla publisko sadaļu, nodrošinot sabiedrības informēšanu un līdzdalību TAP izstrādē;</w:t>
      </w:r>
    </w:p>
    <w:p w:rsidR="009D13FC" w:rsidRPr="00FC0B7B" w:rsidP="00952E2D" w14:paraId="6561A748" w14:textId="77777777">
      <w:pPr>
        <w:pStyle w:val="Default"/>
        <w:numPr>
          <w:ilvl w:val="0"/>
          <w:numId w:val="4"/>
        </w:numPr>
        <w:jc w:val="both"/>
      </w:pPr>
      <w:r w:rsidRPr="00FC0B7B">
        <w:t>izstrādāt un ieviest TAP portāla e-pakalpojumu “Tiesību aktu projektu sabiedriskā apspriešana”;</w:t>
      </w:r>
    </w:p>
    <w:p w:rsidR="009D13FC" w:rsidRPr="00FC0B7B" w:rsidP="004446AF" w14:paraId="6E5B52AA" w14:textId="77777777">
      <w:pPr>
        <w:pStyle w:val="Default"/>
        <w:numPr>
          <w:ilvl w:val="0"/>
          <w:numId w:val="4"/>
        </w:numPr>
        <w:jc w:val="both"/>
      </w:pPr>
      <w:r w:rsidRPr="00FC0B7B">
        <w:t xml:space="preserve">veikt sabiedrības informēšanas un izglītošanas pasākumus sadarbībā ar </w:t>
      </w:r>
      <w:r w:rsidRPr="004446AF" w:rsidR="004446AF">
        <w:t>Vides aizsardzības un reģionālās attīstības ministrijas “Publiskās pārvaldes informācijas un komunikāciju tehnoloģiju arhitektūras pārvaldības sistēma” projektu un Valsts reģionālās attīstības aģentūras “Pakalpojumu sniegšanas un pārvaldības platforma“ projekta ietvaros</w:t>
      </w:r>
      <w:r w:rsidRPr="00FC0B7B">
        <w:t xml:space="preserve">. </w:t>
      </w:r>
    </w:p>
    <w:p w:rsidR="009D13FC" w:rsidP="009D13FC" w14:paraId="407F37F9"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highlight w:val="yellow"/>
          <w:u w:val="single"/>
          <w:lang w:eastAsia="lv-LV"/>
        </w:rPr>
      </w:pPr>
    </w:p>
    <w:p w:rsidR="009D13FC" w:rsidRPr="00212B3C" w:rsidP="009D13FC" w14:paraId="6B931ACE"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u w:val="single"/>
          <w:lang w:eastAsia="lv-LV"/>
        </w:rPr>
      </w:pPr>
      <w:r w:rsidRPr="00A5771D">
        <w:rPr>
          <w:rFonts w:ascii="Times New Roman" w:eastAsia="Times New Roman" w:hAnsi="Times New Roman" w:cs="Times New Roman"/>
          <w:b/>
          <w:sz w:val="24"/>
          <w:szCs w:val="24"/>
          <w:u w:val="single"/>
          <w:lang w:eastAsia="lv-LV"/>
        </w:rPr>
        <w:t>Darbības</w:t>
      </w:r>
      <w:r w:rsidRPr="00A5771D">
        <w:rPr>
          <w:rFonts w:ascii="Times New Roman" w:hAnsi="Times New Roman" w:cs="Times New Roman"/>
          <w:b/>
          <w:sz w:val="24"/>
          <w:szCs w:val="24"/>
          <w:u w:val="single"/>
        </w:rPr>
        <w:t xml:space="preserve"> pr</w:t>
      </w:r>
      <w:r w:rsidRPr="00A5771D">
        <w:rPr>
          <w:rFonts w:ascii="Times New Roman" w:eastAsia="Times New Roman" w:hAnsi="Times New Roman" w:cs="Times New Roman"/>
          <w:b/>
          <w:sz w:val="24"/>
          <w:szCs w:val="24"/>
          <w:u w:val="single"/>
          <w:lang w:eastAsia="lv-LV"/>
        </w:rPr>
        <w:t>ojekta</w:t>
      </w:r>
      <w:r w:rsidRPr="00212B3C">
        <w:rPr>
          <w:rFonts w:ascii="Times New Roman" w:eastAsia="Times New Roman" w:hAnsi="Times New Roman" w:cs="Times New Roman"/>
          <w:b/>
          <w:sz w:val="24"/>
          <w:szCs w:val="24"/>
          <w:u w:val="single"/>
          <w:lang w:eastAsia="lv-LV"/>
        </w:rPr>
        <w:t xml:space="preserve"> mērķu sasniegšanai: </w:t>
      </w:r>
    </w:p>
    <w:p w:rsidR="009D13FC" w:rsidRPr="00FC0B7B" w:rsidP="008406F0" w14:paraId="05783864" w14:textId="77777777">
      <w:pPr>
        <w:pStyle w:val="VPBody"/>
        <w:numPr>
          <w:ilvl w:val="0"/>
          <w:numId w:val="19"/>
        </w:numPr>
        <w:rPr>
          <w:szCs w:val="24"/>
        </w:rPr>
      </w:pPr>
      <w:r w:rsidRPr="00FC0B7B">
        <w:rPr>
          <w:szCs w:val="24"/>
        </w:rPr>
        <w:t xml:space="preserve">TAP portāla izstrāde un ieviešana atbilstībā ar </w:t>
      </w:r>
      <w:r w:rsidRPr="00FC0B7B">
        <w:rPr>
          <w:szCs w:val="24"/>
        </w:rPr>
        <w:t>mērķarhitektūrā</w:t>
      </w:r>
      <w:r w:rsidRPr="00FC0B7B">
        <w:rPr>
          <w:szCs w:val="24"/>
        </w:rPr>
        <w:t xml:space="preserve"> noteiktiem publiskās pārvaldes informācijas sistēmu konceptuālās arhitektūras principiem;</w:t>
      </w:r>
    </w:p>
    <w:p w:rsidR="009D13FC" w:rsidRPr="00FC0B7B" w:rsidP="008406F0" w14:paraId="70180900" w14:textId="77777777">
      <w:pPr>
        <w:pStyle w:val="VPBody"/>
        <w:numPr>
          <w:ilvl w:val="0"/>
          <w:numId w:val="19"/>
        </w:numPr>
        <w:rPr>
          <w:szCs w:val="24"/>
        </w:rPr>
      </w:pPr>
      <w:r w:rsidRPr="00FC0B7B">
        <w:rPr>
          <w:szCs w:val="24"/>
        </w:rPr>
        <w:t xml:space="preserve">TAP izstrādes un saskaņošanas normatīvās bāzes sagatavošana un apstiprināšana, tai skaitā izmantošanas pienākuma noteikšana tiesību aktos un atteikšanās no </w:t>
      </w:r>
      <w:r w:rsidRPr="00FC0B7B">
        <w:rPr>
          <w:szCs w:val="24"/>
        </w:rPr>
        <w:t>dokumentorientētas</w:t>
      </w:r>
      <w:r w:rsidRPr="00FC0B7B">
        <w:rPr>
          <w:szCs w:val="24"/>
        </w:rPr>
        <w:t xml:space="preserve"> plūsmas;</w:t>
      </w:r>
    </w:p>
    <w:p w:rsidR="009D13FC" w:rsidRPr="00FC0B7B" w:rsidP="008406F0" w14:paraId="651E3970" w14:textId="77777777">
      <w:pPr>
        <w:pStyle w:val="VPBody"/>
        <w:numPr>
          <w:ilvl w:val="0"/>
          <w:numId w:val="19"/>
        </w:numPr>
        <w:rPr>
          <w:szCs w:val="24"/>
        </w:rPr>
      </w:pPr>
      <w:r w:rsidRPr="00FC0B7B">
        <w:rPr>
          <w:szCs w:val="24"/>
        </w:rPr>
        <w:t>sabiedrības informēšana un izg</w:t>
      </w:r>
      <w:r w:rsidR="003E0B5E">
        <w:rPr>
          <w:szCs w:val="24"/>
        </w:rPr>
        <w:t>lītošana par TAP portālu sadar</w:t>
      </w:r>
      <w:r w:rsidRPr="00FC0B7B">
        <w:rPr>
          <w:szCs w:val="24"/>
        </w:rPr>
        <w:t>b</w:t>
      </w:r>
      <w:r w:rsidR="003E0B5E">
        <w:rPr>
          <w:szCs w:val="24"/>
        </w:rPr>
        <w:t>ojoties</w:t>
      </w:r>
      <w:r w:rsidRPr="00FC0B7B">
        <w:rPr>
          <w:szCs w:val="24"/>
        </w:rPr>
        <w:t xml:space="preserve"> </w:t>
      </w:r>
      <w:r w:rsidR="00952E2D">
        <w:rPr>
          <w:szCs w:val="24"/>
        </w:rPr>
        <w:t>Vides aizsardzības un reģionālās attīstības ministrijas</w:t>
      </w:r>
      <w:r w:rsidRPr="00FC0B7B">
        <w:rPr>
          <w:szCs w:val="24"/>
        </w:rPr>
        <w:t xml:space="preserve"> </w:t>
      </w:r>
      <w:r w:rsidR="004446AF">
        <w:rPr>
          <w:szCs w:val="24"/>
        </w:rPr>
        <w:t>“</w:t>
      </w:r>
      <w:r w:rsidRPr="004446AF" w:rsidR="004446AF">
        <w:rPr>
          <w:szCs w:val="24"/>
        </w:rPr>
        <w:t>Publiskās pārvaldes informācijas un komunikāciju tehnoloģiju arhitektūras pārvaldības sistēma</w:t>
      </w:r>
      <w:r w:rsidR="004446AF">
        <w:rPr>
          <w:szCs w:val="24"/>
        </w:rPr>
        <w:t>”</w:t>
      </w:r>
      <w:r w:rsidRPr="004446AF" w:rsidR="004446AF">
        <w:rPr>
          <w:szCs w:val="24"/>
        </w:rPr>
        <w:t xml:space="preserve"> </w:t>
      </w:r>
      <w:r w:rsidRPr="00FC0B7B">
        <w:rPr>
          <w:szCs w:val="24"/>
        </w:rPr>
        <w:t>projekt</w:t>
      </w:r>
      <w:r w:rsidR="003E0B5E">
        <w:rPr>
          <w:szCs w:val="24"/>
        </w:rPr>
        <w:t>a ietvaros</w:t>
      </w:r>
      <w:r w:rsidRPr="00FC0B7B">
        <w:rPr>
          <w:szCs w:val="24"/>
        </w:rPr>
        <w:t xml:space="preserve"> un </w:t>
      </w:r>
      <w:r w:rsidR="004446AF">
        <w:rPr>
          <w:szCs w:val="24"/>
        </w:rPr>
        <w:t>Valsts reģionālās attīstības aģentūras</w:t>
      </w:r>
      <w:r w:rsidRPr="00FC0B7B">
        <w:rPr>
          <w:szCs w:val="24"/>
        </w:rPr>
        <w:t xml:space="preserve"> </w:t>
      </w:r>
      <w:r w:rsidR="004446AF">
        <w:rPr>
          <w:szCs w:val="24"/>
        </w:rPr>
        <w:t>“</w:t>
      </w:r>
      <w:r w:rsidRPr="004446AF" w:rsidR="004446AF">
        <w:rPr>
          <w:szCs w:val="24"/>
        </w:rPr>
        <w:t>Pakalpojumu sniegšanas un pārvaldības platforma</w:t>
      </w:r>
      <w:r w:rsidR="004446AF">
        <w:rPr>
          <w:szCs w:val="24"/>
        </w:rPr>
        <w:t xml:space="preserve">“ </w:t>
      </w:r>
      <w:r w:rsidRPr="00FC0B7B">
        <w:rPr>
          <w:szCs w:val="24"/>
        </w:rPr>
        <w:t>projekta ietvaros;</w:t>
      </w:r>
    </w:p>
    <w:p w:rsidR="009D13FC" w:rsidRPr="00FC0B7B" w:rsidP="008406F0" w14:paraId="538E6204" w14:textId="77777777">
      <w:pPr>
        <w:pStyle w:val="VPBody"/>
        <w:numPr>
          <w:ilvl w:val="0"/>
          <w:numId w:val="19"/>
        </w:numPr>
        <w:rPr>
          <w:szCs w:val="24"/>
        </w:rPr>
      </w:pPr>
      <w:r w:rsidRPr="00FC0B7B">
        <w:rPr>
          <w:szCs w:val="24"/>
        </w:rPr>
        <w:t xml:space="preserve">E-pakalpojuma “Tiesību aktu projektu sabiedriskā apspriešana” izstrāde un ieviešana atbilstībā ar </w:t>
      </w:r>
      <w:r w:rsidRPr="00FC0B7B">
        <w:rPr>
          <w:szCs w:val="24"/>
        </w:rPr>
        <w:t>mērķarhitektūrā</w:t>
      </w:r>
      <w:r w:rsidRPr="00FC0B7B">
        <w:rPr>
          <w:szCs w:val="24"/>
        </w:rPr>
        <w:t xml:space="preserve"> noteiktiem publiskās pārvaldes informācijas sistēmu konceptuālās arhitektūras principiem;</w:t>
      </w:r>
    </w:p>
    <w:p w:rsidR="009D13FC" w:rsidRPr="00FC0B7B" w:rsidP="008406F0" w14:paraId="1853159D" w14:textId="77777777">
      <w:pPr>
        <w:pStyle w:val="VPBody"/>
        <w:numPr>
          <w:ilvl w:val="0"/>
          <w:numId w:val="19"/>
        </w:numPr>
        <w:rPr>
          <w:szCs w:val="24"/>
        </w:rPr>
      </w:pPr>
      <w:r>
        <w:rPr>
          <w:szCs w:val="24"/>
        </w:rPr>
        <w:t>e</w:t>
      </w:r>
      <w:r w:rsidRPr="00FC0B7B">
        <w:rPr>
          <w:szCs w:val="24"/>
        </w:rPr>
        <w:t>sošā valsts pārvaldes TAP informācijas apstrādes procesa sistēmanalīze, identificējot “šaurās vietas” un apkopojot procesa norises mērījumus, un uzlabotā datu apstrādes procesa izstrāde.</w:t>
      </w:r>
    </w:p>
    <w:p w:rsidR="009D13FC" w:rsidRPr="00F04026" w:rsidP="009D13FC" w14:paraId="4670D990" w14:textId="77777777">
      <w:pPr>
        <w:pStyle w:val="VPBody"/>
        <w:ind w:left="360"/>
        <w:rPr>
          <w:sz w:val="23"/>
          <w:szCs w:val="23"/>
        </w:rPr>
      </w:pPr>
    </w:p>
    <w:p w:rsidR="009D13FC" w:rsidRPr="001B1764" w:rsidP="009D13FC" w14:paraId="7257459F" w14:textId="77777777">
      <w:pPr>
        <w:spacing w:before="120"/>
        <w:jc w:val="both"/>
        <w:rPr>
          <w:rFonts w:ascii="Times New Roman" w:eastAsia="MS Mincho" w:hAnsi="Times New Roman" w:cs="Times New Roman"/>
          <w:b/>
          <w:bCs/>
          <w:sz w:val="24"/>
          <w:szCs w:val="24"/>
          <w:u w:val="single"/>
        </w:rPr>
      </w:pPr>
      <w:r w:rsidRPr="001B1764">
        <w:rPr>
          <w:rFonts w:ascii="Times New Roman" w:eastAsia="MS Mincho" w:hAnsi="Times New Roman" w:cs="Times New Roman"/>
          <w:b/>
          <w:bCs/>
          <w:sz w:val="24"/>
          <w:szCs w:val="24"/>
          <w:u w:val="single"/>
        </w:rPr>
        <w:t>Pēc projekta pabeigšanas tiek plānots sasniegt šādus projekta rezultāta rādītājus:</w:t>
      </w:r>
    </w:p>
    <w:p w:rsidR="009D13FC" w:rsidRPr="00212B3C" w:rsidP="009D13FC" w14:paraId="1916DC93"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tbl>
      <w:tblPr>
        <w:tblStyle w:val="TableGrid"/>
        <w:tblW w:w="5000" w:type="pct"/>
        <w:tblLook w:val="04A0"/>
      </w:tblPr>
      <w:tblGrid>
        <w:gridCol w:w="760"/>
        <w:gridCol w:w="1941"/>
        <w:gridCol w:w="1443"/>
        <w:gridCol w:w="1980"/>
        <w:gridCol w:w="1469"/>
        <w:gridCol w:w="1469"/>
      </w:tblGrid>
      <w:tr w14:paraId="28324770" w14:textId="77777777" w:rsidTr="0025222B">
        <w:tblPrEx>
          <w:tblW w:w="5000" w:type="pct"/>
          <w:tblLook w:val="04A0"/>
        </w:tblPrEx>
        <w:tc>
          <w:tcPr>
            <w:tcW w:w="421" w:type="pct"/>
          </w:tcPr>
          <w:p w:rsidR="009D13FC" w:rsidRPr="003E0B5E" w:rsidP="004446AF" w14:paraId="1D18B7F7" w14:textId="77777777">
            <w:pPr>
              <w:pStyle w:val="VPBody"/>
              <w:jc w:val="left"/>
              <w:rPr>
                <w:sz w:val="22"/>
              </w:rPr>
            </w:pPr>
            <w:r w:rsidRPr="003E0B5E">
              <w:rPr>
                <w:sz w:val="22"/>
              </w:rPr>
              <w:t>N</w:t>
            </w:r>
            <w:r w:rsidRPr="003E0B5E" w:rsidR="004446AF">
              <w:rPr>
                <w:sz w:val="22"/>
              </w:rPr>
              <w:t>.p</w:t>
            </w:r>
            <w:r w:rsidRPr="003E0B5E">
              <w:rPr>
                <w:sz w:val="22"/>
              </w:rPr>
              <w:t>.k</w:t>
            </w:r>
            <w:r w:rsidRPr="003E0B5E">
              <w:rPr>
                <w:sz w:val="22"/>
              </w:rPr>
              <w:t>.</w:t>
            </w:r>
          </w:p>
        </w:tc>
        <w:tc>
          <w:tcPr>
            <w:tcW w:w="1023" w:type="pct"/>
          </w:tcPr>
          <w:p w:rsidR="009D13FC" w:rsidRPr="003E0B5E" w:rsidP="00152BD0" w14:paraId="585639EC" w14:textId="77777777">
            <w:pPr>
              <w:pStyle w:val="VPBody"/>
              <w:rPr>
                <w:sz w:val="22"/>
              </w:rPr>
            </w:pPr>
            <w:r w:rsidRPr="003E0B5E">
              <w:rPr>
                <w:sz w:val="22"/>
              </w:rPr>
              <w:t>Rezultāta rādītājs</w:t>
            </w:r>
          </w:p>
        </w:tc>
        <w:tc>
          <w:tcPr>
            <w:tcW w:w="804" w:type="pct"/>
          </w:tcPr>
          <w:p w:rsidR="009D13FC" w:rsidRPr="003E0B5E" w:rsidP="00152BD0" w14:paraId="7EF8FF9A" w14:textId="77777777">
            <w:pPr>
              <w:pStyle w:val="VPBody"/>
              <w:jc w:val="center"/>
              <w:rPr>
                <w:sz w:val="22"/>
              </w:rPr>
            </w:pPr>
            <w:r w:rsidRPr="003E0B5E">
              <w:rPr>
                <w:sz w:val="22"/>
              </w:rPr>
              <w:t>Mērvienība</w:t>
            </w:r>
          </w:p>
        </w:tc>
        <w:tc>
          <w:tcPr>
            <w:tcW w:w="1111" w:type="pct"/>
          </w:tcPr>
          <w:p w:rsidR="009D13FC" w:rsidRPr="003E0B5E" w:rsidP="00152BD0" w14:paraId="3172B43A" w14:textId="77777777">
            <w:pPr>
              <w:pStyle w:val="VPBody"/>
              <w:jc w:val="center"/>
              <w:rPr>
                <w:sz w:val="22"/>
              </w:rPr>
            </w:pPr>
            <w:r w:rsidRPr="003E0B5E">
              <w:rPr>
                <w:sz w:val="22"/>
              </w:rPr>
              <w:t>Sākotnējā vērtība</w:t>
            </w:r>
          </w:p>
        </w:tc>
        <w:tc>
          <w:tcPr>
            <w:tcW w:w="820" w:type="pct"/>
          </w:tcPr>
          <w:p w:rsidR="009D13FC" w:rsidRPr="003E0B5E" w:rsidP="00152BD0" w14:paraId="1878E386" w14:textId="77777777">
            <w:pPr>
              <w:pStyle w:val="VPBody"/>
              <w:jc w:val="center"/>
              <w:rPr>
                <w:sz w:val="22"/>
              </w:rPr>
            </w:pPr>
            <w:r w:rsidRPr="003E0B5E">
              <w:rPr>
                <w:sz w:val="22"/>
              </w:rPr>
              <w:t>Sasniedzamā vērtība 2 gadus pēc projekta beigām</w:t>
            </w:r>
          </w:p>
        </w:tc>
        <w:tc>
          <w:tcPr>
            <w:tcW w:w="820" w:type="pct"/>
          </w:tcPr>
          <w:p w:rsidR="009D13FC" w:rsidRPr="003E0B5E" w:rsidP="00152BD0" w14:paraId="70BD45F9" w14:textId="77777777">
            <w:pPr>
              <w:pStyle w:val="VPBody"/>
              <w:jc w:val="center"/>
              <w:rPr>
                <w:sz w:val="22"/>
              </w:rPr>
            </w:pPr>
            <w:r w:rsidRPr="003E0B5E">
              <w:rPr>
                <w:sz w:val="22"/>
              </w:rPr>
              <w:t>Sasniedzamā vērtība 3 gadus pēc projekta beigām</w:t>
            </w:r>
          </w:p>
        </w:tc>
      </w:tr>
      <w:tr w14:paraId="0D06AE8E" w14:textId="77777777" w:rsidTr="0025222B">
        <w:tblPrEx>
          <w:tblW w:w="5000" w:type="pct"/>
          <w:tblLook w:val="04A0"/>
        </w:tblPrEx>
        <w:trPr>
          <w:trHeight w:val="1602"/>
        </w:trPr>
        <w:tc>
          <w:tcPr>
            <w:tcW w:w="421" w:type="pct"/>
          </w:tcPr>
          <w:p w:rsidR="009D13FC" w:rsidRPr="00561585" w:rsidP="007A78F6" w14:paraId="2BEB4F68" w14:textId="77777777">
            <w:pPr>
              <w:pStyle w:val="VPBody"/>
              <w:numPr>
                <w:ilvl w:val="0"/>
                <w:numId w:val="11"/>
              </w:numPr>
              <w:spacing w:line="276" w:lineRule="auto"/>
              <w:jc w:val="left"/>
              <w:rPr>
                <w:sz w:val="23"/>
                <w:szCs w:val="23"/>
              </w:rPr>
            </w:pPr>
          </w:p>
        </w:tc>
        <w:tc>
          <w:tcPr>
            <w:tcW w:w="1023" w:type="pct"/>
          </w:tcPr>
          <w:p w:rsidR="009D13FC" w:rsidP="00152BD0" w14:paraId="7D5219B3" w14:textId="77777777">
            <w:pPr>
              <w:pStyle w:val="VPBody"/>
              <w:jc w:val="left"/>
              <w:rPr>
                <w:sz w:val="23"/>
                <w:szCs w:val="23"/>
              </w:rPr>
            </w:pPr>
            <w:r w:rsidRPr="00561585">
              <w:rPr>
                <w:sz w:val="23"/>
                <w:szCs w:val="23"/>
              </w:rPr>
              <w:t xml:space="preserve">Institūcijas (organizācijas), kas izmanto koplietošanas </w:t>
            </w:r>
            <w:r>
              <w:rPr>
                <w:sz w:val="23"/>
                <w:szCs w:val="23"/>
              </w:rPr>
              <w:t>risinājumu</w:t>
            </w:r>
            <w:r w:rsidRPr="00561585">
              <w:rPr>
                <w:sz w:val="23"/>
                <w:szCs w:val="23"/>
              </w:rPr>
              <w:t xml:space="preserve"> “Vienot</w:t>
            </w:r>
            <w:r>
              <w:rPr>
                <w:sz w:val="23"/>
                <w:szCs w:val="23"/>
              </w:rPr>
              <w:t>ā</w:t>
            </w:r>
            <w:r w:rsidRPr="00561585">
              <w:rPr>
                <w:sz w:val="23"/>
                <w:szCs w:val="23"/>
              </w:rPr>
              <w:t xml:space="preserve"> tiesību aktu projektu izstrādes</w:t>
            </w:r>
            <w:r>
              <w:rPr>
                <w:sz w:val="23"/>
                <w:szCs w:val="23"/>
              </w:rPr>
              <w:t>,</w:t>
            </w:r>
            <w:r w:rsidRPr="00561585">
              <w:rPr>
                <w:sz w:val="23"/>
                <w:szCs w:val="23"/>
              </w:rPr>
              <w:t xml:space="preserve"> saskaņošanas</w:t>
            </w:r>
            <w:r>
              <w:rPr>
                <w:sz w:val="23"/>
                <w:szCs w:val="23"/>
              </w:rPr>
              <w:t>, apstiprināšanas un kontroles</w:t>
            </w:r>
            <w:r w:rsidRPr="00561585">
              <w:rPr>
                <w:sz w:val="23"/>
                <w:szCs w:val="23"/>
              </w:rPr>
              <w:t xml:space="preserve"> vide”</w:t>
            </w:r>
          </w:p>
          <w:p w:rsidR="009D13FC" w:rsidRPr="00561585" w:rsidP="00152BD0" w14:paraId="51B0EED3" w14:textId="77777777">
            <w:pPr>
              <w:pStyle w:val="VPBody"/>
              <w:jc w:val="left"/>
              <w:rPr>
                <w:sz w:val="23"/>
                <w:szCs w:val="23"/>
              </w:rPr>
            </w:pPr>
            <w:r w:rsidRPr="00561585">
              <w:rPr>
                <w:sz w:val="23"/>
                <w:szCs w:val="23"/>
              </w:rPr>
              <w:t>KOPĀ</w:t>
            </w:r>
          </w:p>
        </w:tc>
        <w:tc>
          <w:tcPr>
            <w:tcW w:w="804" w:type="pct"/>
          </w:tcPr>
          <w:p w:rsidR="009D13FC" w:rsidRPr="00561585" w:rsidP="00152BD0" w14:paraId="0BC6E5CE" w14:textId="77777777">
            <w:pPr>
              <w:pStyle w:val="VPBody"/>
              <w:jc w:val="center"/>
              <w:rPr>
                <w:sz w:val="23"/>
                <w:szCs w:val="23"/>
              </w:rPr>
            </w:pPr>
            <w:r w:rsidRPr="00561585">
              <w:rPr>
                <w:sz w:val="23"/>
                <w:szCs w:val="23"/>
              </w:rPr>
              <w:t xml:space="preserve">Skaits </w:t>
            </w:r>
          </w:p>
          <w:p w:rsidR="009D13FC" w:rsidRPr="00561585" w:rsidP="00152BD0" w14:paraId="686AB872" w14:textId="77777777">
            <w:pPr>
              <w:pStyle w:val="VPBody"/>
              <w:jc w:val="center"/>
              <w:rPr>
                <w:sz w:val="23"/>
                <w:szCs w:val="23"/>
              </w:rPr>
            </w:pPr>
            <w:r w:rsidRPr="00561585">
              <w:rPr>
                <w:sz w:val="23"/>
                <w:szCs w:val="23"/>
              </w:rPr>
              <w:t>(kopā 1.1. un 1.2)</w:t>
            </w:r>
          </w:p>
        </w:tc>
        <w:tc>
          <w:tcPr>
            <w:tcW w:w="1111" w:type="pct"/>
          </w:tcPr>
          <w:p w:rsidR="009D13FC" w:rsidRPr="00561585" w:rsidP="00152BD0" w14:paraId="6132D87C" w14:textId="77777777">
            <w:pPr>
              <w:pStyle w:val="VPBody"/>
              <w:jc w:val="center"/>
              <w:rPr>
                <w:sz w:val="23"/>
                <w:szCs w:val="23"/>
              </w:rPr>
            </w:pPr>
            <w:r>
              <w:rPr>
                <w:sz w:val="23"/>
                <w:szCs w:val="23"/>
              </w:rPr>
              <w:t>0</w:t>
            </w:r>
          </w:p>
          <w:p w:rsidR="009D13FC" w:rsidRPr="00561585" w:rsidP="00152BD0" w14:paraId="76A7FC8A" w14:textId="77777777">
            <w:pPr>
              <w:pStyle w:val="VPBody"/>
              <w:spacing w:before="0" w:after="0"/>
              <w:jc w:val="left"/>
              <w:rPr>
                <w:sz w:val="23"/>
                <w:szCs w:val="23"/>
              </w:rPr>
            </w:pPr>
          </w:p>
        </w:tc>
        <w:tc>
          <w:tcPr>
            <w:tcW w:w="820" w:type="pct"/>
          </w:tcPr>
          <w:p w:rsidR="009D13FC" w:rsidRPr="00561585" w:rsidP="00152BD0" w14:paraId="25901EC3" w14:textId="77777777">
            <w:pPr>
              <w:pStyle w:val="VPBody"/>
              <w:jc w:val="center"/>
              <w:rPr>
                <w:sz w:val="23"/>
                <w:szCs w:val="23"/>
              </w:rPr>
            </w:pPr>
            <w:r w:rsidRPr="00561585">
              <w:rPr>
                <w:sz w:val="23"/>
                <w:szCs w:val="23"/>
              </w:rPr>
              <w:t>145</w:t>
            </w:r>
          </w:p>
        </w:tc>
        <w:tc>
          <w:tcPr>
            <w:tcW w:w="820" w:type="pct"/>
          </w:tcPr>
          <w:p w:rsidR="009D13FC" w:rsidRPr="00561585" w:rsidP="00152BD0" w14:paraId="24F8F695" w14:textId="77777777">
            <w:pPr>
              <w:pStyle w:val="VPBody"/>
              <w:jc w:val="center"/>
              <w:rPr>
                <w:sz w:val="23"/>
                <w:szCs w:val="23"/>
              </w:rPr>
            </w:pPr>
            <w:r w:rsidRPr="00561585">
              <w:rPr>
                <w:sz w:val="23"/>
                <w:szCs w:val="23"/>
              </w:rPr>
              <w:t>165</w:t>
            </w:r>
          </w:p>
          <w:p w:rsidR="009D13FC" w:rsidRPr="00561585" w:rsidP="00152BD0" w14:paraId="7E188080" w14:textId="77777777">
            <w:pPr>
              <w:pStyle w:val="VPBody"/>
              <w:jc w:val="center"/>
              <w:rPr>
                <w:sz w:val="23"/>
                <w:szCs w:val="23"/>
              </w:rPr>
            </w:pPr>
          </w:p>
        </w:tc>
      </w:tr>
      <w:tr w14:paraId="48BE101B" w14:textId="77777777" w:rsidTr="0025222B">
        <w:tblPrEx>
          <w:tblW w:w="5000" w:type="pct"/>
          <w:tblLook w:val="04A0"/>
        </w:tblPrEx>
        <w:trPr>
          <w:trHeight w:val="1601"/>
        </w:trPr>
        <w:tc>
          <w:tcPr>
            <w:tcW w:w="421" w:type="pct"/>
          </w:tcPr>
          <w:p w:rsidR="009D13FC" w:rsidRPr="00561585" w:rsidP="00152BD0" w14:paraId="54634165" w14:textId="77777777">
            <w:pPr>
              <w:pStyle w:val="VPBody"/>
              <w:spacing w:line="276" w:lineRule="auto"/>
              <w:ind w:left="142"/>
              <w:jc w:val="left"/>
              <w:rPr>
                <w:sz w:val="23"/>
                <w:szCs w:val="23"/>
              </w:rPr>
            </w:pPr>
            <w:r w:rsidRPr="00561585">
              <w:rPr>
                <w:sz w:val="23"/>
                <w:szCs w:val="23"/>
              </w:rPr>
              <w:t>1.1</w:t>
            </w:r>
          </w:p>
        </w:tc>
        <w:tc>
          <w:tcPr>
            <w:tcW w:w="1023" w:type="pct"/>
          </w:tcPr>
          <w:p w:rsidR="009D13FC" w:rsidRPr="00561585" w:rsidP="00152BD0" w14:paraId="7ED0A84A" w14:textId="77777777">
            <w:pPr>
              <w:pStyle w:val="VPBody"/>
              <w:jc w:val="left"/>
              <w:rPr>
                <w:sz w:val="23"/>
                <w:szCs w:val="23"/>
              </w:rPr>
            </w:pPr>
            <w:r w:rsidRPr="00561585">
              <w:rPr>
                <w:sz w:val="23"/>
                <w:szCs w:val="23"/>
              </w:rPr>
              <w:t>Valsts pārvaldes institūcijas</w:t>
            </w:r>
          </w:p>
        </w:tc>
        <w:tc>
          <w:tcPr>
            <w:tcW w:w="804" w:type="pct"/>
          </w:tcPr>
          <w:p w:rsidR="009D13FC" w:rsidRPr="00561585" w:rsidP="00152BD0" w14:paraId="25D50E9A" w14:textId="77777777">
            <w:pPr>
              <w:pStyle w:val="VPBody"/>
              <w:jc w:val="center"/>
              <w:rPr>
                <w:sz w:val="23"/>
                <w:szCs w:val="23"/>
              </w:rPr>
            </w:pPr>
            <w:r w:rsidRPr="00561585">
              <w:rPr>
                <w:sz w:val="23"/>
                <w:szCs w:val="23"/>
              </w:rPr>
              <w:t>Skaits</w:t>
            </w:r>
          </w:p>
        </w:tc>
        <w:tc>
          <w:tcPr>
            <w:tcW w:w="1111" w:type="pct"/>
          </w:tcPr>
          <w:p w:rsidR="009D13FC" w:rsidRPr="00561585" w:rsidP="00152BD0" w14:paraId="799DFD30" w14:textId="77777777">
            <w:pPr>
              <w:pStyle w:val="VPBody"/>
              <w:jc w:val="center"/>
              <w:rPr>
                <w:sz w:val="23"/>
                <w:szCs w:val="23"/>
              </w:rPr>
            </w:pPr>
            <w:r>
              <w:rPr>
                <w:sz w:val="23"/>
                <w:szCs w:val="23"/>
              </w:rPr>
              <w:t>0</w:t>
            </w:r>
          </w:p>
          <w:p w:rsidR="009D13FC" w:rsidRPr="00561585" w:rsidP="00152BD0" w14:paraId="3D071313" w14:textId="77777777">
            <w:pPr>
              <w:pStyle w:val="VPBody"/>
              <w:jc w:val="center"/>
              <w:rPr>
                <w:b/>
                <w:sz w:val="23"/>
                <w:szCs w:val="23"/>
              </w:rPr>
            </w:pPr>
            <w:r w:rsidRPr="00561585">
              <w:rPr>
                <w:b/>
                <w:sz w:val="23"/>
                <w:szCs w:val="23"/>
              </w:rPr>
              <w:t xml:space="preserve"> </w:t>
            </w:r>
          </w:p>
        </w:tc>
        <w:tc>
          <w:tcPr>
            <w:tcW w:w="820" w:type="pct"/>
          </w:tcPr>
          <w:p w:rsidR="009D13FC" w:rsidRPr="00561585" w:rsidP="00152BD0" w14:paraId="53738476" w14:textId="77777777">
            <w:pPr>
              <w:pStyle w:val="VPBody"/>
              <w:jc w:val="center"/>
              <w:rPr>
                <w:sz w:val="23"/>
                <w:szCs w:val="23"/>
              </w:rPr>
            </w:pPr>
            <w:r w:rsidRPr="00561585">
              <w:rPr>
                <w:sz w:val="23"/>
                <w:szCs w:val="23"/>
              </w:rPr>
              <w:t>115</w:t>
            </w:r>
          </w:p>
        </w:tc>
        <w:tc>
          <w:tcPr>
            <w:tcW w:w="820" w:type="pct"/>
          </w:tcPr>
          <w:p w:rsidR="009D13FC" w:rsidRPr="00561585" w:rsidP="00152BD0" w14:paraId="11AD846D" w14:textId="77777777">
            <w:pPr>
              <w:pStyle w:val="VPBody"/>
              <w:jc w:val="center"/>
              <w:rPr>
                <w:sz w:val="23"/>
                <w:szCs w:val="23"/>
              </w:rPr>
            </w:pPr>
            <w:r w:rsidRPr="00561585">
              <w:rPr>
                <w:sz w:val="23"/>
                <w:szCs w:val="23"/>
              </w:rPr>
              <w:t>115</w:t>
            </w:r>
          </w:p>
        </w:tc>
      </w:tr>
      <w:tr w14:paraId="6168B01D" w14:textId="77777777" w:rsidTr="0025222B">
        <w:tblPrEx>
          <w:tblW w:w="5000" w:type="pct"/>
          <w:tblLook w:val="04A0"/>
        </w:tblPrEx>
        <w:trPr>
          <w:trHeight w:val="1601"/>
        </w:trPr>
        <w:tc>
          <w:tcPr>
            <w:tcW w:w="421" w:type="pct"/>
          </w:tcPr>
          <w:p w:rsidR="009D13FC" w:rsidRPr="00561585" w:rsidP="00152BD0" w14:paraId="3E7CB2BA" w14:textId="77777777">
            <w:pPr>
              <w:pStyle w:val="VPBody"/>
              <w:spacing w:line="276" w:lineRule="auto"/>
              <w:ind w:left="142"/>
              <w:jc w:val="left"/>
              <w:rPr>
                <w:sz w:val="23"/>
                <w:szCs w:val="23"/>
              </w:rPr>
            </w:pPr>
            <w:r w:rsidRPr="00561585">
              <w:rPr>
                <w:sz w:val="23"/>
                <w:szCs w:val="23"/>
              </w:rPr>
              <w:t>1.2</w:t>
            </w:r>
          </w:p>
        </w:tc>
        <w:tc>
          <w:tcPr>
            <w:tcW w:w="1023" w:type="pct"/>
          </w:tcPr>
          <w:p w:rsidR="009D13FC" w:rsidRPr="00561585" w:rsidP="00152BD0" w14:paraId="50E15805" w14:textId="638C4E40">
            <w:pPr>
              <w:pStyle w:val="VPBody"/>
              <w:jc w:val="left"/>
              <w:rPr>
                <w:sz w:val="23"/>
                <w:szCs w:val="23"/>
              </w:rPr>
            </w:pPr>
            <w:r w:rsidRPr="00561585">
              <w:rPr>
                <w:sz w:val="23"/>
                <w:szCs w:val="23"/>
              </w:rPr>
              <w:t>Nevalstiskās organizācijas (t.</w:t>
            </w:r>
            <w:r>
              <w:rPr>
                <w:sz w:val="23"/>
                <w:szCs w:val="23"/>
              </w:rPr>
              <w:t> </w:t>
            </w:r>
            <w:r w:rsidRPr="00561585">
              <w:rPr>
                <w:sz w:val="23"/>
                <w:szCs w:val="23"/>
              </w:rPr>
              <w:t>sk. valdības sociālo un sadarbības partneru organizācijas</w:t>
            </w:r>
            <w:r w:rsidR="00CE63F9">
              <w:rPr>
                <w:sz w:val="23"/>
                <w:szCs w:val="23"/>
              </w:rPr>
              <w:t xml:space="preserve"> un pašvaldīb</w:t>
            </w:r>
            <w:r w:rsidR="00632421">
              <w:rPr>
                <w:sz w:val="23"/>
                <w:szCs w:val="23"/>
              </w:rPr>
              <w:t>as</w:t>
            </w:r>
            <w:r w:rsidR="00CE63F9">
              <w:rPr>
                <w:sz w:val="23"/>
                <w:szCs w:val="23"/>
              </w:rPr>
              <w:t xml:space="preserve"> pārstāvošās organizācijas</w:t>
            </w:r>
            <w:r w:rsidRPr="00561585">
              <w:rPr>
                <w:sz w:val="23"/>
                <w:szCs w:val="23"/>
              </w:rPr>
              <w:t>)</w:t>
            </w:r>
          </w:p>
        </w:tc>
        <w:tc>
          <w:tcPr>
            <w:tcW w:w="804" w:type="pct"/>
          </w:tcPr>
          <w:p w:rsidR="009D13FC" w:rsidRPr="00561585" w:rsidP="00152BD0" w14:paraId="6FFA9879" w14:textId="77777777">
            <w:pPr>
              <w:pStyle w:val="VPBody"/>
              <w:jc w:val="center"/>
              <w:rPr>
                <w:sz w:val="23"/>
                <w:szCs w:val="23"/>
              </w:rPr>
            </w:pPr>
            <w:r w:rsidRPr="00561585">
              <w:rPr>
                <w:sz w:val="23"/>
                <w:szCs w:val="23"/>
              </w:rPr>
              <w:t>Skaits</w:t>
            </w:r>
          </w:p>
        </w:tc>
        <w:tc>
          <w:tcPr>
            <w:tcW w:w="1111" w:type="pct"/>
          </w:tcPr>
          <w:p w:rsidR="009D13FC" w:rsidRPr="00561585" w:rsidP="00152BD0" w14:paraId="7BB83FEE" w14:textId="77777777">
            <w:pPr>
              <w:pStyle w:val="VPBody"/>
              <w:jc w:val="center"/>
              <w:rPr>
                <w:sz w:val="23"/>
                <w:szCs w:val="23"/>
              </w:rPr>
            </w:pPr>
            <w:r>
              <w:rPr>
                <w:sz w:val="23"/>
                <w:szCs w:val="23"/>
              </w:rPr>
              <w:t>0</w:t>
            </w:r>
          </w:p>
          <w:p w:rsidR="009D13FC" w:rsidRPr="00561585" w:rsidP="00152BD0" w14:paraId="667995E7" w14:textId="77777777">
            <w:pPr>
              <w:pStyle w:val="VPBody"/>
              <w:tabs>
                <w:tab w:val="clear" w:pos="0"/>
              </w:tabs>
              <w:spacing w:before="0" w:after="0"/>
              <w:jc w:val="center"/>
              <w:rPr>
                <w:b/>
                <w:sz w:val="23"/>
                <w:szCs w:val="23"/>
              </w:rPr>
            </w:pPr>
          </w:p>
        </w:tc>
        <w:tc>
          <w:tcPr>
            <w:tcW w:w="820" w:type="pct"/>
          </w:tcPr>
          <w:p w:rsidR="009D13FC" w:rsidRPr="00561585" w:rsidP="00152BD0" w14:paraId="6178B647" w14:textId="77777777">
            <w:pPr>
              <w:pStyle w:val="VPBody"/>
              <w:jc w:val="center"/>
              <w:rPr>
                <w:sz w:val="23"/>
                <w:szCs w:val="23"/>
                <w:highlight w:val="green"/>
              </w:rPr>
            </w:pPr>
            <w:r w:rsidRPr="00561585">
              <w:rPr>
                <w:sz w:val="23"/>
                <w:szCs w:val="23"/>
              </w:rPr>
              <w:t>30</w:t>
            </w:r>
          </w:p>
        </w:tc>
        <w:tc>
          <w:tcPr>
            <w:tcW w:w="820" w:type="pct"/>
          </w:tcPr>
          <w:p w:rsidR="009D13FC" w:rsidRPr="00561585" w:rsidP="00152BD0" w14:paraId="6EF5A931" w14:textId="77777777">
            <w:pPr>
              <w:pStyle w:val="VPBody"/>
              <w:jc w:val="center"/>
              <w:rPr>
                <w:sz w:val="23"/>
                <w:szCs w:val="23"/>
                <w:highlight w:val="green"/>
              </w:rPr>
            </w:pPr>
            <w:r w:rsidRPr="00561585">
              <w:rPr>
                <w:sz w:val="23"/>
                <w:szCs w:val="23"/>
              </w:rPr>
              <w:t>50</w:t>
            </w:r>
          </w:p>
        </w:tc>
      </w:tr>
      <w:tr w14:paraId="5FE78EDE" w14:textId="77777777" w:rsidTr="0025222B">
        <w:tblPrEx>
          <w:tblW w:w="5000" w:type="pct"/>
          <w:tblLook w:val="04A0"/>
        </w:tblPrEx>
        <w:tc>
          <w:tcPr>
            <w:tcW w:w="421" w:type="pct"/>
          </w:tcPr>
          <w:p w:rsidR="009D13FC" w:rsidRPr="00561585" w:rsidP="007A78F6" w14:paraId="0839375C" w14:textId="77777777">
            <w:pPr>
              <w:pStyle w:val="VPBody"/>
              <w:numPr>
                <w:ilvl w:val="0"/>
                <w:numId w:val="11"/>
              </w:numPr>
              <w:spacing w:line="276" w:lineRule="auto"/>
              <w:jc w:val="left"/>
              <w:rPr>
                <w:sz w:val="23"/>
                <w:szCs w:val="23"/>
              </w:rPr>
            </w:pPr>
          </w:p>
        </w:tc>
        <w:tc>
          <w:tcPr>
            <w:tcW w:w="1023" w:type="pct"/>
          </w:tcPr>
          <w:p w:rsidR="009D13FC" w:rsidRPr="0008351D" w:rsidP="0091184C" w14:paraId="160D6A57" w14:textId="45F4DCDF">
            <w:pPr>
              <w:pStyle w:val="VPBody"/>
              <w:jc w:val="left"/>
              <w:rPr>
                <w:sz w:val="23"/>
                <w:szCs w:val="23"/>
              </w:rPr>
            </w:pPr>
            <w:r w:rsidRPr="0008351D">
              <w:rPr>
                <w:sz w:val="23"/>
                <w:szCs w:val="23"/>
              </w:rPr>
              <w:t>Tehnisko (ne</w:t>
            </w:r>
            <w:r>
              <w:rPr>
                <w:sz w:val="23"/>
                <w:szCs w:val="23"/>
              </w:rPr>
              <w:t>a</w:t>
            </w:r>
            <w:r w:rsidRPr="0008351D">
              <w:rPr>
                <w:sz w:val="23"/>
                <w:szCs w:val="23"/>
              </w:rPr>
              <w:t>utomatizēto) darbību īpatsvar</w:t>
            </w:r>
            <w:r w:rsidR="0091184C">
              <w:rPr>
                <w:sz w:val="23"/>
                <w:szCs w:val="23"/>
              </w:rPr>
              <w:t>s</w:t>
            </w:r>
            <w:r w:rsidRPr="0008351D">
              <w:rPr>
                <w:sz w:val="23"/>
                <w:szCs w:val="23"/>
              </w:rPr>
              <w:t xml:space="preserve"> TAP sagatavošanas un saskaņošanas procesā</w:t>
            </w:r>
          </w:p>
        </w:tc>
        <w:tc>
          <w:tcPr>
            <w:tcW w:w="804" w:type="pct"/>
          </w:tcPr>
          <w:p w:rsidR="009D13FC" w:rsidRPr="00561585" w:rsidP="00152BD0" w14:paraId="1BB53BA3" w14:textId="77777777">
            <w:pPr>
              <w:pStyle w:val="VPBody"/>
              <w:jc w:val="center"/>
              <w:rPr>
                <w:sz w:val="23"/>
                <w:szCs w:val="23"/>
              </w:rPr>
            </w:pPr>
            <w:r w:rsidRPr="00561585">
              <w:rPr>
                <w:sz w:val="23"/>
                <w:szCs w:val="23"/>
              </w:rPr>
              <w:t>% pret aktuālo stāvokli</w:t>
            </w:r>
          </w:p>
        </w:tc>
        <w:tc>
          <w:tcPr>
            <w:tcW w:w="1111" w:type="pct"/>
          </w:tcPr>
          <w:p w:rsidR="009D13FC" w:rsidRPr="00561585" w:rsidP="00152BD0" w14:paraId="12BDA041" w14:textId="77777777">
            <w:pPr>
              <w:pStyle w:val="VPBody"/>
              <w:jc w:val="center"/>
              <w:rPr>
                <w:sz w:val="23"/>
                <w:szCs w:val="23"/>
              </w:rPr>
            </w:pPr>
            <w:r w:rsidRPr="00561585">
              <w:rPr>
                <w:sz w:val="23"/>
                <w:szCs w:val="23"/>
              </w:rPr>
              <w:t>100%</w:t>
            </w:r>
          </w:p>
        </w:tc>
        <w:tc>
          <w:tcPr>
            <w:tcW w:w="820" w:type="pct"/>
          </w:tcPr>
          <w:p w:rsidR="009D13FC" w:rsidRPr="00561585" w:rsidP="00152BD0" w14:paraId="0FB98E65" w14:textId="77777777">
            <w:pPr>
              <w:pStyle w:val="VPBody"/>
              <w:jc w:val="center"/>
              <w:rPr>
                <w:sz w:val="23"/>
                <w:szCs w:val="23"/>
              </w:rPr>
            </w:pPr>
            <w:r w:rsidRPr="00561585">
              <w:rPr>
                <w:sz w:val="23"/>
                <w:szCs w:val="23"/>
              </w:rPr>
              <w:t>67%</w:t>
            </w:r>
          </w:p>
        </w:tc>
        <w:tc>
          <w:tcPr>
            <w:tcW w:w="820" w:type="pct"/>
          </w:tcPr>
          <w:p w:rsidR="009D13FC" w:rsidRPr="00561585" w:rsidP="00152BD0" w14:paraId="5C9875AE" w14:textId="77777777">
            <w:pPr>
              <w:pStyle w:val="VPBody"/>
              <w:jc w:val="center"/>
              <w:rPr>
                <w:sz w:val="23"/>
                <w:szCs w:val="23"/>
              </w:rPr>
            </w:pPr>
            <w:r w:rsidRPr="00561585">
              <w:rPr>
                <w:sz w:val="23"/>
                <w:szCs w:val="23"/>
              </w:rPr>
              <w:t>33%</w:t>
            </w:r>
          </w:p>
        </w:tc>
      </w:tr>
      <w:tr w14:paraId="197A7DAF" w14:textId="77777777" w:rsidTr="0025222B">
        <w:tblPrEx>
          <w:tblW w:w="5000" w:type="pct"/>
          <w:tblLook w:val="04A0"/>
        </w:tblPrEx>
        <w:tc>
          <w:tcPr>
            <w:tcW w:w="421" w:type="pct"/>
          </w:tcPr>
          <w:p w:rsidR="009D13FC" w:rsidRPr="00561585" w:rsidP="007A78F6" w14:paraId="5160C1C0" w14:textId="77777777">
            <w:pPr>
              <w:pStyle w:val="VPBody"/>
              <w:numPr>
                <w:ilvl w:val="0"/>
                <w:numId w:val="11"/>
              </w:numPr>
              <w:spacing w:line="276" w:lineRule="auto"/>
              <w:jc w:val="left"/>
              <w:rPr>
                <w:sz w:val="23"/>
                <w:szCs w:val="23"/>
              </w:rPr>
            </w:pPr>
          </w:p>
        </w:tc>
        <w:tc>
          <w:tcPr>
            <w:tcW w:w="1023" w:type="pct"/>
          </w:tcPr>
          <w:p w:rsidR="009D13FC" w:rsidRPr="00561585" w:rsidP="00152BD0" w14:paraId="07F5BA32" w14:textId="77777777">
            <w:pPr>
              <w:pStyle w:val="VPBody"/>
              <w:jc w:val="left"/>
              <w:rPr>
                <w:bCs w:val="0"/>
                <w:sz w:val="23"/>
                <w:szCs w:val="23"/>
              </w:rPr>
            </w:pPr>
            <w:r w:rsidRPr="00561585">
              <w:rPr>
                <w:sz w:val="23"/>
                <w:szCs w:val="23"/>
              </w:rPr>
              <w:t>Atkalizmantošanai</w:t>
            </w:r>
            <w:r w:rsidRPr="00561585">
              <w:rPr>
                <w:sz w:val="23"/>
                <w:szCs w:val="23"/>
              </w:rPr>
              <w:t xml:space="preserve"> un koplietošanai pieejamās saturiskās datu kopas</w:t>
            </w:r>
          </w:p>
        </w:tc>
        <w:tc>
          <w:tcPr>
            <w:tcW w:w="804" w:type="pct"/>
          </w:tcPr>
          <w:p w:rsidR="009D13FC" w:rsidRPr="00561585" w:rsidP="00152BD0" w14:paraId="78F4C2AA" w14:textId="77777777">
            <w:pPr>
              <w:pStyle w:val="VPBody"/>
              <w:jc w:val="center"/>
              <w:rPr>
                <w:bCs w:val="0"/>
                <w:sz w:val="23"/>
                <w:szCs w:val="23"/>
              </w:rPr>
            </w:pPr>
            <w:r w:rsidRPr="00561585">
              <w:rPr>
                <w:sz w:val="23"/>
                <w:szCs w:val="23"/>
              </w:rPr>
              <w:t>Skaits</w:t>
            </w:r>
          </w:p>
        </w:tc>
        <w:tc>
          <w:tcPr>
            <w:tcW w:w="1111" w:type="pct"/>
          </w:tcPr>
          <w:p w:rsidR="009D13FC" w:rsidRPr="00561585" w:rsidP="00152BD0" w14:paraId="60DCDDEE" w14:textId="77777777">
            <w:pPr>
              <w:pStyle w:val="VPBody"/>
              <w:jc w:val="center"/>
              <w:rPr>
                <w:sz w:val="23"/>
                <w:szCs w:val="23"/>
              </w:rPr>
            </w:pPr>
            <w:r w:rsidRPr="00561585">
              <w:rPr>
                <w:sz w:val="23"/>
                <w:szCs w:val="23"/>
              </w:rPr>
              <w:t>0</w:t>
            </w:r>
          </w:p>
        </w:tc>
        <w:tc>
          <w:tcPr>
            <w:tcW w:w="820" w:type="pct"/>
          </w:tcPr>
          <w:p w:rsidR="009D13FC" w:rsidRPr="00561585" w:rsidP="00152BD0" w14:paraId="143ADC24" w14:textId="77777777">
            <w:pPr>
              <w:pStyle w:val="VPBody"/>
              <w:jc w:val="center"/>
              <w:rPr>
                <w:sz w:val="23"/>
                <w:szCs w:val="23"/>
              </w:rPr>
            </w:pPr>
            <w:r w:rsidRPr="00561585">
              <w:rPr>
                <w:sz w:val="23"/>
                <w:szCs w:val="23"/>
              </w:rPr>
              <w:t>3</w:t>
            </w:r>
          </w:p>
        </w:tc>
        <w:tc>
          <w:tcPr>
            <w:tcW w:w="820" w:type="pct"/>
          </w:tcPr>
          <w:p w:rsidR="009D13FC" w:rsidRPr="00561585" w:rsidP="00152BD0" w14:paraId="311BFB0A" w14:textId="77777777">
            <w:pPr>
              <w:pStyle w:val="VPBody"/>
              <w:jc w:val="center"/>
              <w:rPr>
                <w:sz w:val="23"/>
                <w:szCs w:val="23"/>
              </w:rPr>
            </w:pPr>
            <w:r w:rsidRPr="00561585">
              <w:rPr>
                <w:sz w:val="23"/>
                <w:szCs w:val="23"/>
              </w:rPr>
              <w:t>3</w:t>
            </w:r>
          </w:p>
        </w:tc>
      </w:tr>
      <w:tr w14:paraId="5D4ACB4C" w14:textId="77777777" w:rsidTr="0025222B">
        <w:tblPrEx>
          <w:tblW w:w="5000" w:type="pct"/>
          <w:tblLook w:val="04A0"/>
        </w:tblPrEx>
        <w:tc>
          <w:tcPr>
            <w:tcW w:w="421" w:type="pct"/>
          </w:tcPr>
          <w:p w:rsidR="009D13FC" w:rsidRPr="00561585" w:rsidP="007A78F6" w14:paraId="0B346E41" w14:textId="77777777">
            <w:pPr>
              <w:pStyle w:val="VPBody"/>
              <w:numPr>
                <w:ilvl w:val="0"/>
                <w:numId w:val="11"/>
              </w:numPr>
              <w:spacing w:line="276" w:lineRule="auto"/>
              <w:jc w:val="left"/>
              <w:rPr>
                <w:sz w:val="23"/>
                <w:szCs w:val="23"/>
              </w:rPr>
            </w:pPr>
          </w:p>
        </w:tc>
        <w:tc>
          <w:tcPr>
            <w:tcW w:w="1023" w:type="pct"/>
          </w:tcPr>
          <w:p w:rsidR="009D13FC" w:rsidRPr="00561585" w:rsidP="00152BD0" w14:paraId="7576789F" w14:textId="77777777">
            <w:pPr>
              <w:pStyle w:val="VPBody"/>
              <w:jc w:val="left"/>
              <w:rPr>
                <w:sz w:val="23"/>
                <w:szCs w:val="23"/>
              </w:rPr>
            </w:pPr>
            <w:r w:rsidRPr="00561585">
              <w:rPr>
                <w:sz w:val="23"/>
                <w:szCs w:val="23"/>
              </w:rPr>
              <w:t>Publiskā elektroniskā pakalpojuma “Tiesību aktu projektu sabiedriskā apspriešana” izmantošanas pieaugums</w:t>
            </w:r>
          </w:p>
          <w:p w:rsidR="009D13FC" w:rsidRPr="00561585" w:rsidP="00152BD0" w14:paraId="5CFE50C3" w14:textId="77777777">
            <w:pPr>
              <w:pStyle w:val="VPBody"/>
              <w:jc w:val="left"/>
              <w:rPr>
                <w:sz w:val="23"/>
                <w:szCs w:val="23"/>
              </w:rPr>
            </w:pPr>
          </w:p>
          <w:p w:rsidR="009D13FC" w:rsidRPr="00561585" w:rsidP="00152BD0" w14:paraId="236D435A" w14:textId="77777777">
            <w:pPr>
              <w:pStyle w:val="VPBody"/>
              <w:jc w:val="left"/>
              <w:rPr>
                <w:sz w:val="23"/>
                <w:szCs w:val="23"/>
              </w:rPr>
            </w:pPr>
          </w:p>
        </w:tc>
        <w:tc>
          <w:tcPr>
            <w:tcW w:w="804" w:type="pct"/>
          </w:tcPr>
          <w:p w:rsidR="009D13FC" w:rsidRPr="00561585" w:rsidP="00152BD0" w14:paraId="31BD867F" w14:textId="77777777">
            <w:pPr>
              <w:pStyle w:val="VPBody"/>
              <w:jc w:val="center"/>
              <w:rPr>
                <w:sz w:val="23"/>
                <w:szCs w:val="23"/>
              </w:rPr>
            </w:pPr>
            <w:r w:rsidRPr="00561585">
              <w:rPr>
                <w:sz w:val="23"/>
                <w:szCs w:val="23"/>
              </w:rPr>
              <w:t>% pret visiem iesniegtajiem viedokļiem</w:t>
            </w:r>
          </w:p>
        </w:tc>
        <w:tc>
          <w:tcPr>
            <w:tcW w:w="1111" w:type="pct"/>
          </w:tcPr>
          <w:p w:rsidR="009D13FC" w:rsidRPr="00561585" w:rsidP="00152BD0" w14:paraId="4EDD95D2" w14:textId="77777777">
            <w:pPr>
              <w:pStyle w:val="VPBody"/>
              <w:jc w:val="center"/>
              <w:rPr>
                <w:sz w:val="23"/>
                <w:szCs w:val="23"/>
              </w:rPr>
            </w:pPr>
            <w:r>
              <w:rPr>
                <w:sz w:val="23"/>
                <w:szCs w:val="23"/>
              </w:rPr>
              <w:t>0%</w:t>
            </w:r>
          </w:p>
        </w:tc>
        <w:tc>
          <w:tcPr>
            <w:tcW w:w="820" w:type="pct"/>
          </w:tcPr>
          <w:p w:rsidR="009D13FC" w:rsidRPr="00561585" w:rsidP="00152BD0" w14:paraId="25C97168" w14:textId="77777777">
            <w:pPr>
              <w:pStyle w:val="VPBody"/>
              <w:jc w:val="center"/>
              <w:rPr>
                <w:sz w:val="23"/>
                <w:szCs w:val="23"/>
              </w:rPr>
            </w:pPr>
            <w:r w:rsidRPr="00561585">
              <w:rPr>
                <w:bCs w:val="0"/>
                <w:sz w:val="23"/>
                <w:szCs w:val="23"/>
              </w:rPr>
              <w:t>75%</w:t>
            </w:r>
          </w:p>
        </w:tc>
        <w:tc>
          <w:tcPr>
            <w:tcW w:w="820" w:type="pct"/>
          </w:tcPr>
          <w:p w:rsidR="009D13FC" w:rsidRPr="00561585" w:rsidP="00152BD0" w14:paraId="3C106DA3" w14:textId="77777777">
            <w:pPr>
              <w:pStyle w:val="VPBody"/>
              <w:jc w:val="center"/>
              <w:rPr>
                <w:sz w:val="23"/>
                <w:szCs w:val="23"/>
              </w:rPr>
            </w:pPr>
            <w:r w:rsidRPr="00561585">
              <w:rPr>
                <w:bCs w:val="0"/>
                <w:sz w:val="23"/>
                <w:szCs w:val="23"/>
              </w:rPr>
              <w:t>85%</w:t>
            </w:r>
            <w:r>
              <w:rPr>
                <w:rStyle w:val="FootnoteReference"/>
                <w:bCs w:val="0"/>
                <w:sz w:val="23"/>
                <w:szCs w:val="23"/>
              </w:rPr>
              <w:footnoteReference w:id="4"/>
            </w:r>
          </w:p>
        </w:tc>
      </w:tr>
    </w:tbl>
    <w:p w:rsidR="009D13FC" w:rsidP="009D13FC" w14:paraId="19660E95"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p w:rsidR="00373E41" w:rsidP="009D13FC" w14:paraId="7B4A3A26"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p w:rsidR="00833E38" w:rsidP="009D13FC" w14:paraId="682E0D48"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p w:rsidR="00833E38" w:rsidP="009D13FC" w14:paraId="49C083E2"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p w:rsidR="00833E38" w:rsidP="009D13FC" w14:paraId="7990512F"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p w:rsidR="00373E41" w:rsidP="009D13FC" w14:paraId="69A5C3B4"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p>
    <w:p w:rsidR="009D13FC" w:rsidRPr="009227B8" w:rsidP="009D13FC" w14:paraId="1751D2FE"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u w:val="single"/>
        </w:rPr>
      </w:pPr>
      <w:r w:rsidRPr="009227B8">
        <w:rPr>
          <w:rFonts w:ascii="Times New Roman" w:eastAsia="MS Mincho" w:hAnsi="Times New Roman" w:cs="Times New Roman"/>
          <w:b/>
          <w:bCs/>
          <w:sz w:val="24"/>
          <w:szCs w:val="24"/>
          <w:u w:val="single"/>
        </w:rPr>
        <w:t>Īstenojot projekta darbības, tiek plānots sasniegt šādus iznākuma rādītājus:</w:t>
      </w:r>
    </w:p>
    <w:tbl>
      <w:tblPr>
        <w:tblStyle w:val="TableGrid"/>
        <w:tblW w:w="5000" w:type="pct"/>
        <w:tblLook w:val="04A0"/>
      </w:tblPr>
      <w:tblGrid>
        <w:gridCol w:w="718"/>
        <w:gridCol w:w="4215"/>
        <w:gridCol w:w="1277"/>
        <w:gridCol w:w="1427"/>
        <w:gridCol w:w="1425"/>
      </w:tblGrid>
      <w:tr w14:paraId="4F3367FF" w14:textId="77777777" w:rsidTr="0025222B">
        <w:tblPrEx>
          <w:tblW w:w="5000" w:type="pct"/>
          <w:tblLook w:val="04A0"/>
        </w:tblPrEx>
        <w:tc>
          <w:tcPr>
            <w:tcW w:w="373" w:type="pct"/>
          </w:tcPr>
          <w:p w:rsidR="00D04FD7" w:rsidP="00833E38" w14:paraId="2C8F150F" w14:textId="77777777">
            <w:pPr>
              <w:tabs>
                <w:tab w:val="left" w:pos="0"/>
              </w:tabs>
              <w:spacing w:before="0" w:after="0"/>
              <w:rPr>
                <w:rFonts w:ascii="Times New Roman" w:hAnsi="Times New Roman" w:cs="Times New Roman"/>
                <w:bCs/>
                <w:sz w:val="20"/>
                <w:szCs w:val="20"/>
              </w:rPr>
            </w:pPr>
          </w:p>
          <w:p w:rsidR="00833E38" w:rsidP="00833E38" w14:paraId="1662D264" w14:textId="77777777">
            <w:pPr>
              <w:tabs>
                <w:tab w:val="left" w:pos="0"/>
              </w:tabs>
              <w:spacing w:before="0" w:after="0"/>
              <w:rPr>
                <w:rFonts w:ascii="Times New Roman" w:hAnsi="Times New Roman" w:cs="Times New Roman"/>
                <w:bCs/>
                <w:sz w:val="20"/>
                <w:szCs w:val="20"/>
              </w:rPr>
            </w:pPr>
          </w:p>
          <w:p w:rsidR="009D13FC" w:rsidRPr="00561585" w:rsidP="00D04FD7" w14:paraId="0827AE9A" w14:textId="77777777">
            <w:pPr>
              <w:tabs>
                <w:tab w:val="left" w:pos="0"/>
              </w:tabs>
              <w:spacing w:before="0" w:after="0"/>
              <w:jc w:val="center"/>
              <w:rPr>
                <w:rFonts w:ascii="Times New Roman" w:hAnsi="Times New Roman" w:cs="Times New Roman"/>
                <w:bCs/>
                <w:sz w:val="23"/>
                <w:szCs w:val="23"/>
              </w:rPr>
            </w:pPr>
            <w:r w:rsidRPr="00D04FD7">
              <w:rPr>
                <w:rFonts w:ascii="Times New Roman" w:hAnsi="Times New Roman" w:cs="Times New Roman"/>
                <w:bCs/>
                <w:sz w:val="20"/>
                <w:szCs w:val="20"/>
              </w:rPr>
              <w:t>N.p.k</w:t>
            </w:r>
            <w:r>
              <w:rPr>
                <w:rFonts w:ascii="Times New Roman" w:hAnsi="Times New Roman" w:cs="Times New Roman"/>
                <w:bCs/>
                <w:sz w:val="23"/>
                <w:szCs w:val="23"/>
              </w:rPr>
              <w:t>.</w:t>
            </w:r>
          </w:p>
        </w:tc>
        <w:tc>
          <w:tcPr>
            <w:tcW w:w="2347" w:type="pct"/>
            <w:vAlign w:val="center"/>
          </w:tcPr>
          <w:p w:rsidR="009D13FC" w:rsidRPr="00561585" w:rsidP="00D04FD7" w14:paraId="75620EBA" w14:textId="77777777">
            <w:pPr>
              <w:tabs>
                <w:tab w:val="left" w:pos="0"/>
              </w:tabs>
              <w:spacing w:before="0" w:after="0"/>
              <w:jc w:val="center"/>
              <w:rPr>
                <w:rFonts w:ascii="Times New Roman" w:hAnsi="Times New Roman" w:cs="Times New Roman"/>
                <w:bCs/>
                <w:sz w:val="23"/>
                <w:szCs w:val="23"/>
              </w:rPr>
            </w:pPr>
            <w:r w:rsidRPr="00561585">
              <w:rPr>
                <w:rFonts w:ascii="Times New Roman" w:hAnsi="Times New Roman" w:cs="Times New Roman"/>
                <w:bCs/>
                <w:sz w:val="23"/>
                <w:szCs w:val="23"/>
              </w:rPr>
              <w:t>Iznākuma rādītājs</w:t>
            </w:r>
          </w:p>
        </w:tc>
        <w:tc>
          <w:tcPr>
            <w:tcW w:w="663" w:type="pct"/>
            <w:vAlign w:val="center"/>
          </w:tcPr>
          <w:p w:rsidR="009D13FC" w:rsidRPr="00561585" w:rsidP="00D04FD7" w14:paraId="4DDBEC08" w14:textId="77777777">
            <w:pPr>
              <w:tabs>
                <w:tab w:val="left" w:pos="0"/>
              </w:tabs>
              <w:spacing w:before="0" w:after="0"/>
              <w:jc w:val="center"/>
              <w:rPr>
                <w:rFonts w:ascii="Times New Roman" w:hAnsi="Times New Roman" w:cs="Times New Roman"/>
                <w:bCs/>
                <w:sz w:val="23"/>
                <w:szCs w:val="23"/>
              </w:rPr>
            </w:pPr>
            <w:r w:rsidRPr="00561585">
              <w:rPr>
                <w:rFonts w:ascii="Times New Roman" w:hAnsi="Times New Roman" w:cs="Times New Roman"/>
                <w:bCs/>
                <w:sz w:val="23"/>
                <w:szCs w:val="23"/>
              </w:rPr>
              <w:t>Mērvienība</w:t>
            </w:r>
          </w:p>
        </w:tc>
        <w:tc>
          <w:tcPr>
            <w:tcW w:w="809" w:type="pct"/>
            <w:vAlign w:val="center"/>
          </w:tcPr>
          <w:p w:rsidR="009D13FC" w:rsidRPr="00561585" w:rsidP="00D04FD7" w14:paraId="08FACF7E" w14:textId="77777777">
            <w:pPr>
              <w:tabs>
                <w:tab w:val="left" w:pos="0"/>
              </w:tabs>
              <w:spacing w:before="0" w:after="0"/>
              <w:jc w:val="center"/>
              <w:rPr>
                <w:rFonts w:ascii="Times New Roman" w:hAnsi="Times New Roman" w:cs="Times New Roman"/>
                <w:bCs/>
                <w:sz w:val="23"/>
                <w:szCs w:val="23"/>
              </w:rPr>
            </w:pPr>
            <w:r w:rsidRPr="00561585">
              <w:rPr>
                <w:rFonts w:ascii="Times New Roman" w:hAnsi="Times New Roman" w:cs="Times New Roman"/>
                <w:bCs/>
                <w:sz w:val="23"/>
                <w:szCs w:val="23"/>
              </w:rPr>
              <w:t>Starpvērtība</w:t>
            </w:r>
            <w:r w:rsidRPr="00561585">
              <w:rPr>
                <w:rFonts w:ascii="Times New Roman" w:hAnsi="Times New Roman" w:cs="Times New Roman"/>
                <w:bCs/>
                <w:sz w:val="23"/>
                <w:szCs w:val="23"/>
              </w:rPr>
              <w:t xml:space="preserve"> (2 gadi pēc projekta sākuma)</w:t>
            </w:r>
          </w:p>
        </w:tc>
        <w:tc>
          <w:tcPr>
            <w:tcW w:w="809" w:type="pct"/>
            <w:vAlign w:val="center"/>
          </w:tcPr>
          <w:p w:rsidR="009D13FC" w:rsidRPr="00561585" w:rsidP="00D04FD7" w14:paraId="18F6CD6C" w14:textId="77777777">
            <w:pPr>
              <w:tabs>
                <w:tab w:val="left" w:pos="0"/>
              </w:tabs>
              <w:spacing w:before="0" w:after="0"/>
              <w:jc w:val="center"/>
              <w:rPr>
                <w:rFonts w:ascii="Times New Roman" w:hAnsi="Times New Roman" w:cs="Times New Roman"/>
                <w:bCs/>
                <w:sz w:val="23"/>
                <w:szCs w:val="23"/>
              </w:rPr>
            </w:pPr>
            <w:r w:rsidRPr="00561585">
              <w:rPr>
                <w:rFonts w:ascii="Times New Roman" w:hAnsi="Times New Roman" w:cs="Times New Roman"/>
                <w:bCs/>
                <w:sz w:val="23"/>
                <w:szCs w:val="23"/>
              </w:rPr>
              <w:t>Sasniedzamā vērtība projekta beigās</w:t>
            </w:r>
          </w:p>
        </w:tc>
      </w:tr>
      <w:tr w14:paraId="67A4F2C8" w14:textId="77777777" w:rsidTr="0025222B">
        <w:tblPrEx>
          <w:tblW w:w="5000" w:type="pct"/>
          <w:tblLook w:val="04A0"/>
        </w:tblPrEx>
        <w:tc>
          <w:tcPr>
            <w:tcW w:w="373" w:type="pct"/>
          </w:tcPr>
          <w:p w:rsidR="009D13FC" w:rsidRPr="00561585" w:rsidP="00152BD0" w14:paraId="02299195"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1</w:t>
            </w:r>
          </w:p>
        </w:tc>
        <w:tc>
          <w:tcPr>
            <w:tcW w:w="2347" w:type="pct"/>
          </w:tcPr>
          <w:p w:rsidR="009D13FC" w:rsidRPr="00561585" w:rsidP="00152BD0" w14:paraId="0FC2C2D8"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 xml:space="preserve">Pilnveidoti darbības procesi </w:t>
            </w:r>
          </w:p>
        </w:tc>
        <w:tc>
          <w:tcPr>
            <w:tcW w:w="663" w:type="pct"/>
          </w:tcPr>
          <w:p w:rsidR="009D13FC" w:rsidRPr="00561585" w:rsidP="00152BD0" w14:paraId="3DB99769" w14:textId="77777777">
            <w:pPr>
              <w:tabs>
                <w:tab w:val="left" w:pos="0"/>
              </w:tabs>
              <w:spacing w:before="0" w:after="0"/>
              <w:jc w:val="both"/>
              <w:rPr>
                <w:rFonts w:ascii="Times New Roman" w:hAnsi="Times New Roman" w:cs="Times New Roman"/>
                <w:bCs/>
                <w:sz w:val="23"/>
                <w:szCs w:val="23"/>
              </w:rPr>
            </w:pPr>
            <w:r>
              <w:rPr>
                <w:rFonts w:ascii="Times New Roman" w:hAnsi="Times New Roman" w:cs="Times New Roman"/>
                <w:bCs/>
                <w:sz w:val="23"/>
                <w:szCs w:val="23"/>
              </w:rPr>
              <w:t>skaits</w:t>
            </w:r>
          </w:p>
        </w:tc>
        <w:tc>
          <w:tcPr>
            <w:tcW w:w="809" w:type="pct"/>
          </w:tcPr>
          <w:p w:rsidR="009D13FC" w:rsidRPr="001B6C84" w:rsidP="00152BD0" w14:paraId="13F277CE" w14:textId="712431EB">
            <w:pPr>
              <w:tabs>
                <w:tab w:val="left" w:pos="0"/>
              </w:tabs>
              <w:spacing w:before="0" w:after="0"/>
              <w:jc w:val="both"/>
              <w:rPr>
                <w:rFonts w:ascii="Times New Roman" w:hAnsi="Times New Roman" w:cs="Times New Roman"/>
                <w:bCs/>
                <w:sz w:val="23"/>
                <w:szCs w:val="23"/>
              </w:rPr>
            </w:pPr>
            <w:r w:rsidRPr="001B6C84">
              <w:rPr>
                <w:rFonts w:ascii="Times New Roman" w:hAnsi="Times New Roman" w:cs="Times New Roman"/>
                <w:bCs/>
                <w:sz w:val="23"/>
                <w:szCs w:val="23"/>
              </w:rPr>
              <w:t>4</w:t>
            </w:r>
          </w:p>
        </w:tc>
        <w:tc>
          <w:tcPr>
            <w:tcW w:w="809" w:type="pct"/>
          </w:tcPr>
          <w:p w:rsidR="009D13FC" w:rsidRPr="001B6C84" w:rsidP="00152BD0" w14:paraId="57EAD973" w14:textId="149BF06C">
            <w:pPr>
              <w:tabs>
                <w:tab w:val="left" w:pos="0"/>
              </w:tabs>
              <w:spacing w:before="0" w:after="0"/>
              <w:jc w:val="both"/>
              <w:rPr>
                <w:rFonts w:ascii="Times New Roman" w:hAnsi="Times New Roman" w:cs="Times New Roman"/>
                <w:bCs/>
                <w:sz w:val="23"/>
                <w:szCs w:val="23"/>
              </w:rPr>
            </w:pPr>
            <w:r w:rsidRPr="001B6C84">
              <w:rPr>
                <w:rFonts w:ascii="Times New Roman" w:hAnsi="Times New Roman" w:cs="Times New Roman"/>
                <w:bCs/>
                <w:sz w:val="23"/>
                <w:szCs w:val="23"/>
              </w:rPr>
              <w:t>4</w:t>
            </w:r>
          </w:p>
        </w:tc>
      </w:tr>
      <w:tr w14:paraId="518ACEFC" w14:textId="77777777" w:rsidTr="0025222B">
        <w:tblPrEx>
          <w:tblW w:w="5000" w:type="pct"/>
          <w:tblLook w:val="04A0"/>
        </w:tblPrEx>
        <w:tc>
          <w:tcPr>
            <w:tcW w:w="373" w:type="pct"/>
          </w:tcPr>
          <w:p w:rsidR="009D13FC" w:rsidRPr="00561585" w:rsidP="00152BD0" w14:paraId="3E02D2F9"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2</w:t>
            </w:r>
          </w:p>
        </w:tc>
        <w:tc>
          <w:tcPr>
            <w:tcW w:w="2347" w:type="pct"/>
          </w:tcPr>
          <w:p w:rsidR="009D13FC" w:rsidRPr="00561585" w:rsidP="00152BD0" w14:paraId="0D647F04"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Ieviest</w:t>
            </w:r>
            <w:r>
              <w:rPr>
                <w:rFonts w:ascii="Times New Roman" w:hAnsi="Times New Roman" w:cs="Times New Roman"/>
                <w:bCs/>
                <w:sz w:val="23"/>
                <w:szCs w:val="23"/>
              </w:rPr>
              <w:t>s</w:t>
            </w:r>
            <w:r w:rsidRPr="00561585">
              <w:rPr>
                <w:rFonts w:ascii="Times New Roman" w:hAnsi="Times New Roman" w:cs="Times New Roman"/>
                <w:bCs/>
                <w:sz w:val="23"/>
                <w:szCs w:val="23"/>
              </w:rPr>
              <w:t xml:space="preserve"> </w:t>
            </w:r>
            <w:r>
              <w:rPr>
                <w:rFonts w:ascii="Times New Roman" w:hAnsi="Times New Roman" w:cs="Times New Roman"/>
                <w:bCs/>
                <w:sz w:val="23"/>
                <w:szCs w:val="23"/>
              </w:rPr>
              <w:t>valsts</w:t>
            </w:r>
            <w:r w:rsidRPr="00561585">
              <w:rPr>
                <w:rFonts w:ascii="Times New Roman" w:hAnsi="Times New Roman" w:cs="Times New Roman"/>
                <w:bCs/>
                <w:sz w:val="23"/>
                <w:szCs w:val="23"/>
              </w:rPr>
              <w:t xml:space="preserve"> pārvaldes institūciju </w:t>
            </w:r>
            <w:r w:rsidRPr="00152BD0">
              <w:rPr>
                <w:rFonts w:ascii="Times New Roman" w:hAnsi="Times New Roman" w:cs="Times New Roman"/>
                <w:bCs/>
                <w:sz w:val="23"/>
                <w:szCs w:val="23"/>
              </w:rPr>
              <w:t>koplietošanas risinājums</w:t>
            </w:r>
            <w:r>
              <w:rPr>
                <w:rFonts w:ascii="Times New Roman" w:hAnsi="Times New Roman" w:cs="Times New Roman"/>
                <w:bCs/>
                <w:sz w:val="23"/>
                <w:szCs w:val="23"/>
              </w:rPr>
              <w:t xml:space="preserve"> </w:t>
            </w:r>
            <w:r w:rsidRPr="00561585">
              <w:rPr>
                <w:rFonts w:ascii="Times New Roman" w:hAnsi="Times New Roman" w:cs="Times New Roman"/>
                <w:bCs/>
                <w:sz w:val="23"/>
                <w:szCs w:val="23"/>
              </w:rPr>
              <w:t>“Vienota tiesību aktu projektu izstrādes, saskaņošanas, apstiprināšanas un kontroles vide”</w:t>
            </w:r>
          </w:p>
          <w:p w:rsidR="009D13FC" w:rsidRPr="00561585" w:rsidP="00152BD0" w14:paraId="636966C9" w14:textId="77777777">
            <w:pPr>
              <w:tabs>
                <w:tab w:val="left" w:pos="0"/>
              </w:tabs>
              <w:spacing w:before="0" w:after="0"/>
              <w:jc w:val="both"/>
              <w:rPr>
                <w:rFonts w:ascii="Times New Roman" w:hAnsi="Times New Roman" w:cs="Times New Roman"/>
                <w:bCs/>
                <w:sz w:val="23"/>
                <w:szCs w:val="23"/>
              </w:rPr>
            </w:pPr>
          </w:p>
        </w:tc>
        <w:tc>
          <w:tcPr>
            <w:tcW w:w="663" w:type="pct"/>
          </w:tcPr>
          <w:p w:rsidR="009D13FC" w:rsidRPr="00561585" w:rsidP="00152BD0" w14:paraId="5D991EE9" w14:textId="77777777">
            <w:pPr>
              <w:tabs>
                <w:tab w:val="left" w:pos="0"/>
              </w:tabs>
              <w:spacing w:before="0" w:after="0"/>
              <w:jc w:val="both"/>
              <w:rPr>
                <w:rFonts w:ascii="Times New Roman" w:hAnsi="Times New Roman" w:cs="Times New Roman"/>
                <w:bCs/>
                <w:sz w:val="23"/>
                <w:szCs w:val="23"/>
              </w:rPr>
            </w:pPr>
            <w:r>
              <w:rPr>
                <w:rFonts w:ascii="Times New Roman" w:hAnsi="Times New Roman" w:cs="Times New Roman"/>
                <w:bCs/>
                <w:sz w:val="23"/>
                <w:szCs w:val="23"/>
              </w:rPr>
              <w:t>skaits</w:t>
            </w:r>
          </w:p>
        </w:tc>
        <w:tc>
          <w:tcPr>
            <w:tcW w:w="809" w:type="pct"/>
          </w:tcPr>
          <w:p w:rsidR="009D13FC" w:rsidRPr="00561585" w:rsidP="00152BD0" w14:paraId="5643AE14"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1</w:t>
            </w:r>
          </w:p>
        </w:tc>
        <w:tc>
          <w:tcPr>
            <w:tcW w:w="809" w:type="pct"/>
          </w:tcPr>
          <w:p w:rsidR="009D13FC" w:rsidRPr="00561585" w:rsidP="00152BD0" w14:paraId="7D7A2282"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1</w:t>
            </w:r>
          </w:p>
        </w:tc>
      </w:tr>
      <w:tr w14:paraId="695EF59C" w14:textId="77777777" w:rsidTr="0025222B">
        <w:tblPrEx>
          <w:tblW w:w="5000" w:type="pct"/>
          <w:tblLook w:val="04A0"/>
        </w:tblPrEx>
        <w:tc>
          <w:tcPr>
            <w:tcW w:w="373" w:type="pct"/>
          </w:tcPr>
          <w:p w:rsidR="009D13FC" w:rsidRPr="00561585" w:rsidP="00152BD0" w14:paraId="553379D4"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3</w:t>
            </w:r>
          </w:p>
        </w:tc>
        <w:tc>
          <w:tcPr>
            <w:tcW w:w="2347" w:type="pct"/>
          </w:tcPr>
          <w:p w:rsidR="009D13FC" w:rsidRPr="00561585" w:rsidP="00152BD0" w14:paraId="32D5A384"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sz w:val="23"/>
                <w:szCs w:val="23"/>
              </w:rPr>
              <w:t>Ieviests publiskais e-pakalpojums “Tiesību aktu projektu sabiedriskā apspriešana”</w:t>
            </w:r>
          </w:p>
        </w:tc>
        <w:tc>
          <w:tcPr>
            <w:tcW w:w="663" w:type="pct"/>
          </w:tcPr>
          <w:p w:rsidR="009D13FC" w:rsidRPr="00561585" w:rsidP="00152BD0" w14:paraId="48EECF33" w14:textId="77777777">
            <w:pPr>
              <w:tabs>
                <w:tab w:val="left" w:pos="0"/>
              </w:tabs>
              <w:spacing w:before="0" w:after="0"/>
              <w:jc w:val="both"/>
              <w:rPr>
                <w:rFonts w:ascii="Times New Roman" w:hAnsi="Times New Roman" w:cs="Times New Roman"/>
                <w:bCs/>
                <w:sz w:val="23"/>
                <w:szCs w:val="23"/>
              </w:rPr>
            </w:pPr>
            <w:r>
              <w:rPr>
                <w:rFonts w:ascii="Times New Roman" w:hAnsi="Times New Roman" w:cs="Times New Roman"/>
                <w:bCs/>
                <w:sz w:val="23"/>
                <w:szCs w:val="23"/>
              </w:rPr>
              <w:t>skaits</w:t>
            </w:r>
          </w:p>
        </w:tc>
        <w:tc>
          <w:tcPr>
            <w:tcW w:w="809" w:type="pct"/>
          </w:tcPr>
          <w:p w:rsidR="009D13FC" w:rsidRPr="00561585" w:rsidP="00152BD0" w14:paraId="0C8FC5FA"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1</w:t>
            </w:r>
          </w:p>
        </w:tc>
        <w:tc>
          <w:tcPr>
            <w:tcW w:w="809" w:type="pct"/>
          </w:tcPr>
          <w:p w:rsidR="009D13FC" w:rsidRPr="00561585" w:rsidP="00152BD0" w14:paraId="02AAB142" w14:textId="77777777">
            <w:pPr>
              <w:tabs>
                <w:tab w:val="left" w:pos="0"/>
              </w:tabs>
              <w:spacing w:before="0" w:after="0"/>
              <w:jc w:val="both"/>
              <w:rPr>
                <w:rFonts w:ascii="Times New Roman" w:hAnsi="Times New Roman" w:cs="Times New Roman"/>
                <w:bCs/>
                <w:sz w:val="23"/>
                <w:szCs w:val="23"/>
              </w:rPr>
            </w:pPr>
            <w:r w:rsidRPr="00561585">
              <w:rPr>
                <w:rFonts w:ascii="Times New Roman" w:hAnsi="Times New Roman" w:cs="Times New Roman"/>
                <w:bCs/>
                <w:sz w:val="23"/>
                <w:szCs w:val="23"/>
              </w:rPr>
              <w:t>1</w:t>
            </w:r>
          </w:p>
        </w:tc>
      </w:tr>
    </w:tbl>
    <w:p w:rsidR="009D13FC" w:rsidP="009D13FC" w14:paraId="7B014A32"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4"/>
          <w:szCs w:val="24"/>
          <w:highlight w:val="yellow"/>
          <w:u w:val="single"/>
        </w:rPr>
      </w:pPr>
    </w:p>
    <w:p w:rsidR="00FC0B7B" w:rsidP="009D13FC" w14:paraId="7B885FEA" w14:textId="77B67B10">
      <w:pPr>
        <w:pStyle w:val="VPBody"/>
      </w:pPr>
      <w:r w:rsidRPr="00EE2CE7">
        <w:t xml:space="preserve">Projekta kopējais plānotais finansējuma apjoms ir 1 </w:t>
      </w:r>
      <w:r w:rsidRPr="00EE2CE7" w:rsidR="00797607">
        <w:t xml:space="preserve">450 </w:t>
      </w:r>
      <w:r w:rsidRPr="00EE2CE7">
        <w:t xml:space="preserve">000 </w:t>
      </w:r>
      <w:r w:rsidRPr="00EE2CE7">
        <w:rPr>
          <w:i/>
        </w:rPr>
        <w:t>euro</w:t>
      </w:r>
      <w:r w:rsidRPr="00EE2CE7" w:rsidR="003E0B5E">
        <w:t>;</w:t>
      </w:r>
    </w:p>
    <w:p w:rsidR="00FC0B7B" w:rsidP="009D13FC" w14:paraId="39D488AC" w14:textId="69C5CC22">
      <w:pPr>
        <w:pStyle w:val="VPBody"/>
      </w:pPr>
      <w:r w:rsidRPr="00DD6EB4">
        <w:t>Projekt</w:t>
      </w:r>
      <w:r>
        <w:t>a</w:t>
      </w:r>
      <w:r w:rsidRPr="00DD6EB4">
        <w:t xml:space="preserve"> īsteno</w:t>
      </w:r>
      <w:r>
        <w:t>šanas laiks ir</w:t>
      </w:r>
      <w:r w:rsidRPr="00DD6EB4">
        <w:t xml:space="preserve"> </w:t>
      </w:r>
      <w:r w:rsidR="00632421">
        <w:t>36</w:t>
      </w:r>
      <w:r w:rsidRPr="00632421" w:rsidR="00632421">
        <w:t xml:space="preserve"> </w:t>
      </w:r>
      <w:r w:rsidRPr="00632421" w:rsidR="005D28A0">
        <w:t>mēneši</w:t>
      </w:r>
      <w:r w:rsidR="003E0B5E">
        <w:t>;</w:t>
      </w:r>
    </w:p>
    <w:p w:rsidR="007D2EAD" w:rsidRPr="007C0DE8" w:rsidP="007D2EAD" w14:paraId="14B8484C" w14:textId="32BFC492">
      <w:pPr>
        <w:pStyle w:val="VPBody"/>
      </w:pPr>
      <w:r w:rsidRPr="007C0DE8">
        <w:t xml:space="preserve">Plānotās uzturēšanas izmaksas gadā TAP portāla darbināšanai ir novērtētas 10,6% apjomā no kopējām izstrādes izmaksām, t.i., </w:t>
      </w:r>
      <w:r w:rsidRPr="00EE2CE7" w:rsidR="00797607">
        <w:t>153 7</w:t>
      </w:r>
      <w:r w:rsidRPr="00EE2CE7">
        <w:t xml:space="preserve">00 </w:t>
      </w:r>
      <w:r w:rsidRPr="00EE2CE7">
        <w:rPr>
          <w:i/>
          <w:iCs/>
        </w:rPr>
        <w:t>euro</w:t>
      </w:r>
      <w:r w:rsidRPr="00EE2CE7">
        <w:t xml:space="preserve"> tajā skaitā:</w:t>
      </w:r>
    </w:p>
    <w:p w:rsidR="007D2EAD" w:rsidRPr="007C0DE8" w:rsidP="007D2EAD" w14:paraId="7CBA50EA" w14:textId="73FA85F0">
      <w:pPr>
        <w:pStyle w:val="VPBody"/>
        <w:ind w:left="360" w:hanging="360"/>
      </w:pPr>
      <w:r w:rsidRPr="007C0DE8">
        <w:rPr>
          <w:rFonts w:ascii="Symbol" w:hAnsi="Symbol"/>
        </w:rPr>
        <w:sym w:font="Symbol" w:char="F0B7"/>
      </w:r>
      <w:r w:rsidRPr="007C0DE8">
        <w:rPr>
          <w:sz w:val="14"/>
          <w:szCs w:val="14"/>
        </w:rPr>
        <w:t xml:space="preserve">         </w:t>
      </w:r>
      <w:r w:rsidRPr="007C0DE8">
        <w:t xml:space="preserve">Infrastruktūras uzturēšana (tai skaitā, darbības atjaunošana citā datu centrā, monitorings, tīkla aizsardzība, serveru operētājsistēmu uzturēšana un administrēšana, datubāžu vadības sistēmu serveru uzturēšana un administrēšana, aplikāciju uzturēšana un administrēšana, trešo pušu programmatūras licences, vides un resursu uzturēšanas ikgadējās izmaksa, IT drošības audits) – </w:t>
      </w:r>
      <w:r w:rsidRPr="005708E4">
        <w:t xml:space="preserve">2% jeb </w:t>
      </w:r>
      <w:r w:rsidRPr="005708E4" w:rsidR="00797607">
        <w:t>30 740 </w:t>
      </w:r>
      <w:r w:rsidRPr="005708E4">
        <w:rPr>
          <w:i/>
          <w:iCs/>
        </w:rPr>
        <w:t>euro</w:t>
      </w:r>
      <w:r w:rsidRPr="005708E4">
        <w:t>;</w:t>
      </w:r>
    </w:p>
    <w:p w:rsidR="007D2EAD" w:rsidRPr="007C0DE8" w:rsidP="007D2EAD" w14:paraId="12BF21E3" w14:textId="6CF14B89">
      <w:pPr>
        <w:pStyle w:val="VPBody"/>
        <w:ind w:left="360" w:hanging="360"/>
      </w:pPr>
      <w:r w:rsidRPr="007C0DE8">
        <w:rPr>
          <w:rFonts w:ascii="Symbol" w:hAnsi="Symbol"/>
        </w:rPr>
        <w:sym w:font="Symbol" w:char="F0B7"/>
      </w:r>
      <w:r w:rsidRPr="007C0DE8">
        <w:rPr>
          <w:sz w:val="14"/>
          <w:szCs w:val="14"/>
        </w:rPr>
        <w:t xml:space="preserve">         </w:t>
      </w:r>
      <w:r w:rsidRPr="007C0DE8">
        <w:t xml:space="preserve">Administrēšana un lietotāju atbalsts (tai skaitā, sistēmas administratora un lietotāju atbalsta speciālista atlīdzība, kas saskaņā ar Valsts un pašvaldību institūciju amatpersonu un darbinieku atlīdzības likumu noteikta kā </w:t>
      </w:r>
      <w:r w:rsidRPr="007C0DE8">
        <w:rPr>
          <w:u w:val="single"/>
        </w:rPr>
        <w:t>piemaksa par papildu darbu esošajiem Valsts kancelejas darbiniekiem</w:t>
      </w:r>
      <w:r w:rsidRPr="007C0DE8">
        <w:t>, kā arī, lai ievērotu TAP portāla drošības prasības, nepieciešams ierīkot atsevišķas portāla administratora un atbalsta speciālista darba vietas (datori), kas paredzētas darbam tikai ar TAP portālu, lietotāju kļūdu pieteikumu sistēmas izstrāde un uzturēšana, neatkarīgu ekspertu lietojamības tests pēc sistēmas nodošanas ekspluatācijā, statistikas un datu plūsmas analīzes rīka licence, lietotāju apmācība) – 3,5</w:t>
      </w:r>
      <w:r w:rsidRPr="005708E4">
        <w:t xml:space="preserve">% jeb </w:t>
      </w:r>
      <w:r w:rsidRPr="005708E4" w:rsidR="00797607">
        <w:t>53 795</w:t>
      </w:r>
      <w:r w:rsidRPr="005708E4">
        <w:t xml:space="preserve"> </w:t>
      </w:r>
      <w:r w:rsidRPr="005708E4">
        <w:rPr>
          <w:i/>
          <w:iCs/>
        </w:rPr>
        <w:t>euro</w:t>
      </w:r>
      <w:r w:rsidRPr="005708E4">
        <w:t>;</w:t>
      </w:r>
    </w:p>
    <w:p w:rsidR="007D2EAD" w:rsidP="007D2EAD" w14:paraId="4983C520" w14:textId="7FEBB0A4">
      <w:pPr>
        <w:pStyle w:val="VPBody"/>
        <w:ind w:left="360" w:hanging="360"/>
      </w:pPr>
      <w:r w:rsidRPr="007C0DE8">
        <w:rPr>
          <w:rFonts w:ascii="Symbol" w:hAnsi="Symbol"/>
        </w:rPr>
        <w:sym w:font="Symbol" w:char="F0B7"/>
      </w:r>
      <w:r w:rsidRPr="007C0DE8">
        <w:rPr>
          <w:sz w:val="14"/>
          <w:szCs w:val="14"/>
        </w:rPr>
        <w:t xml:space="preserve">         </w:t>
      </w:r>
      <w:r w:rsidRPr="007C0DE8">
        <w:t xml:space="preserve">Programmatūras uzturēšana un izmaiņas (tai skaitā, portāla izmaiņu pieprasījumi, portāla uzturēšanas un pavadīšanas izmaksas, </w:t>
      </w:r>
      <w:r w:rsidRPr="005708E4">
        <w:t xml:space="preserve">programmatūras licences) – 4,5% jeb </w:t>
      </w:r>
      <w:r w:rsidRPr="005708E4" w:rsidR="00797607">
        <w:t>69 165</w:t>
      </w:r>
      <w:r w:rsidRPr="005708E4">
        <w:t xml:space="preserve"> </w:t>
      </w:r>
      <w:r w:rsidRPr="005708E4">
        <w:rPr>
          <w:i/>
          <w:iCs/>
        </w:rPr>
        <w:t>euro</w:t>
      </w:r>
      <w:r w:rsidRPr="005708E4">
        <w:t>.</w:t>
      </w:r>
    </w:p>
    <w:p w:rsidR="00205A9B" w:rsidP="00205A9B" w14:paraId="7702609E" w14:textId="633D7307">
      <w:pPr>
        <w:pStyle w:val="VPBody"/>
      </w:pPr>
      <w:r>
        <w:t>Infrastruktūras ikdienas uzturē</w:t>
      </w:r>
      <w:r w:rsidR="005C2439">
        <w:t>šanas darbus</w:t>
      </w:r>
      <w:r>
        <w:t>, konfigur</w:t>
      </w:r>
      <w:r w:rsidR="005C2439">
        <w:t>āciju, monitoringu</w:t>
      </w:r>
      <w:r>
        <w:t xml:space="preserve"> un rezervēšanas risinājumu pārvaldīb</w:t>
      </w:r>
      <w:r w:rsidR="005C2439">
        <w:t xml:space="preserve">u nodrošinās </w:t>
      </w:r>
      <w:r w:rsidR="005C2439">
        <w:t>Iek</w:t>
      </w:r>
      <w:r w:rsidR="00F00502">
        <w:t>šlietu</w:t>
      </w:r>
      <w:r w:rsidR="00F00502">
        <w:t xml:space="preserve"> ministrijas I</w:t>
      </w:r>
      <w:r w:rsidR="005C2439">
        <w:t>nformācijas centrs.</w:t>
      </w:r>
    </w:p>
    <w:p w:rsidR="007D2EAD" w:rsidRPr="007C0DE8" w:rsidP="007D2EAD" w14:paraId="5F2E3749" w14:textId="77777777">
      <w:pPr>
        <w:rPr>
          <w:rFonts w:ascii="Times New Roman" w:hAnsi="Times New Roman" w:cs="Times New Roman"/>
          <w:color w:val="1F497D"/>
        </w:rPr>
      </w:pPr>
      <w:r w:rsidRPr="007C0DE8">
        <w:rPr>
          <w:rFonts w:ascii="Times New Roman" w:hAnsi="Times New Roman" w:cs="Times New Roman"/>
          <w:i/>
          <w:iCs/>
        </w:rPr>
        <w:t>Piezīme. Uzturēšanas izmaksu vērtējums ir indikatīvs un tiks precizēts projekta gaitā.</w:t>
      </w:r>
    </w:p>
    <w:p w:rsidR="00A0201B" w:rsidRPr="003E0B5E" w:rsidP="007D2EAD" w14:paraId="0195C43E" w14:textId="77777777">
      <w:pPr>
        <w:pStyle w:val="VPBody"/>
      </w:pPr>
    </w:p>
    <w:p w:rsidR="009D13FC" w:rsidP="009D13FC" w14:paraId="6C8D546C" w14:textId="77777777">
      <w:pPr>
        <w:pStyle w:val="VPBody"/>
      </w:pPr>
      <w:r w:rsidRPr="00F04026">
        <w:t xml:space="preserve">Īstenojot </w:t>
      </w:r>
      <w:r>
        <w:t>TAP portāl</w:t>
      </w:r>
      <w:r w:rsidRPr="00F04026">
        <w:t>a izveidi, valsts pārvaldei un sabiedrībai būs vairāki ieguvumi un resursu ietaupījumi, kas atsvērs ieguldītās investīcijas šāda mēroga projekta ieviešanā.</w:t>
      </w:r>
      <w:r>
        <w:t xml:space="preserve"> </w:t>
      </w:r>
    </w:p>
    <w:p w:rsidR="00E61AD0" w:rsidP="009D13FC" w14:paraId="04ECA8E0" w14:textId="77777777">
      <w:pPr>
        <w:pStyle w:val="VPBody"/>
      </w:pPr>
    </w:p>
    <w:p w:rsidR="00DD1681" w:rsidRPr="00E61AD0" w:rsidP="00E61AD0" w14:paraId="061753BF" w14:textId="77777777">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4"/>
          <w:szCs w:val="24"/>
          <w:u w:val="single"/>
        </w:rPr>
      </w:pPr>
      <w:r w:rsidRPr="00E61AD0">
        <w:rPr>
          <w:rFonts w:ascii="Times New Roman" w:eastAsia="MS Mincho" w:hAnsi="Times New Roman" w:cs="Times New Roman"/>
          <w:b/>
          <w:bCs/>
          <w:sz w:val="24"/>
          <w:szCs w:val="24"/>
          <w:u w:val="single"/>
        </w:rPr>
        <w:t xml:space="preserve">Saistība ar iepriekšējā plānošanas perioda projektiem, projekta lietderība un ieguldījums </w:t>
      </w:r>
      <w:r w:rsidR="0069697F">
        <w:rPr>
          <w:rFonts w:ascii="Times New Roman" w:eastAsia="MS Mincho" w:hAnsi="Times New Roman" w:cs="Times New Roman"/>
          <w:b/>
          <w:bCs/>
          <w:sz w:val="24"/>
          <w:szCs w:val="24"/>
          <w:u w:val="single"/>
        </w:rPr>
        <w:t>specifiskā atbalsta mērķa</w:t>
      </w:r>
      <w:r>
        <w:rPr>
          <w:rStyle w:val="FootnoteReference"/>
          <w:rFonts w:ascii="Times New Roman" w:eastAsia="MS Mincho" w:hAnsi="Times New Roman" w:cs="Times New Roman"/>
          <w:b/>
          <w:bCs/>
          <w:sz w:val="24"/>
          <w:szCs w:val="24"/>
          <w:u w:val="single"/>
        </w:rPr>
        <w:footnoteReference w:id="5"/>
      </w:r>
      <w:r w:rsidRPr="00E61AD0">
        <w:rPr>
          <w:rFonts w:ascii="Times New Roman" w:eastAsia="MS Mincho" w:hAnsi="Times New Roman" w:cs="Times New Roman"/>
          <w:b/>
          <w:bCs/>
          <w:sz w:val="24"/>
          <w:szCs w:val="24"/>
          <w:u w:val="single"/>
        </w:rPr>
        <w:t xml:space="preserve"> rezultāta rādītājos</w:t>
      </w:r>
    </w:p>
    <w:p w:rsidR="00DD1681" w:rsidP="0087090C" w14:paraId="47F48CF8" w14:textId="77777777">
      <w:pPr>
        <w:pStyle w:val="VPBody"/>
      </w:pPr>
      <w:r w:rsidRPr="00E61AD0">
        <w:t>TAP portāla projektam nav saistības ar iepriekšējā plānošanas perioda projektiem</w:t>
      </w:r>
      <w:r w:rsidR="00E61AD0">
        <w:t>.</w:t>
      </w:r>
    </w:p>
    <w:p w:rsidR="00F07A3B" w:rsidP="0087090C" w14:paraId="0524E946" w14:textId="37D5EAAB">
      <w:pPr>
        <w:pStyle w:val="Default"/>
        <w:jc w:val="both"/>
      </w:pPr>
      <w:r w:rsidRPr="00A72CBE">
        <w:rPr>
          <w:bCs/>
          <w:color w:val="auto"/>
        </w:rPr>
        <w:t xml:space="preserve">Ieviešot TAP portālu būtiski tiks sašaurināta </w:t>
      </w:r>
      <w:r w:rsidRPr="00A72CBE">
        <w:rPr>
          <w:bCs/>
        </w:rPr>
        <w:t>esošās Dokumentu elektroniskās aprites un uzdevumu kontroles sistēmas (</w:t>
      </w:r>
      <w:r w:rsidRPr="00A72CBE">
        <w:rPr>
          <w:bCs/>
          <w:color w:val="auto"/>
        </w:rPr>
        <w:t>DAUKS</w:t>
      </w:r>
      <w:r w:rsidRPr="00A72CBE">
        <w:rPr>
          <w:bCs/>
        </w:rPr>
        <w:t>)</w:t>
      </w:r>
      <w:r w:rsidRPr="00A72CBE">
        <w:rPr>
          <w:bCs/>
          <w:color w:val="auto"/>
        </w:rPr>
        <w:t xml:space="preserve"> funkcionalitāte, no DAUKS tiks izkļauta visa ar TAP apriti saistītā informācija un saistītās funkcijas un tās tiks iekļautas TAP portālā. </w:t>
      </w:r>
      <w:r w:rsidRPr="00A72CBE">
        <w:rPr>
          <w:bCs/>
          <w:szCs w:val="22"/>
        </w:rPr>
        <w:t>Jaunais risinājums atbildīs labākajām sistēmu lietojamības vadlīnijām, būs intuitīvs un ērti lietojams. Visa informācija par TA</w:t>
      </w:r>
      <w:r w:rsidRPr="00A72CBE">
        <w:rPr>
          <w:bCs/>
        </w:rPr>
        <w:t xml:space="preserve">P </w:t>
      </w:r>
      <w:r w:rsidRPr="00A72CBE">
        <w:rPr>
          <w:bCs/>
          <w:szCs w:val="22"/>
        </w:rPr>
        <w:t xml:space="preserve">dzīves ciklu, sākot no darba uzdevuma par </w:t>
      </w:r>
      <w:r w:rsidRPr="00A72CBE">
        <w:rPr>
          <w:bCs/>
        </w:rPr>
        <w:t>TAP</w:t>
      </w:r>
      <w:r w:rsidRPr="00A72CBE">
        <w:rPr>
          <w:bCs/>
          <w:szCs w:val="22"/>
        </w:rPr>
        <w:t xml:space="preserve"> izstrādāšanu, </w:t>
      </w:r>
      <w:r w:rsidRPr="00A72CBE">
        <w:rPr>
          <w:bCs/>
          <w:szCs w:val="22"/>
        </w:rPr>
        <w:t>starpinstitucionālā</w:t>
      </w:r>
      <w:r w:rsidRPr="00A72CBE">
        <w:rPr>
          <w:bCs/>
          <w:szCs w:val="22"/>
        </w:rPr>
        <w:t xml:space="preserve"> saskaņošana, sabiedrības iesaistīšana jautājuma publiskajā apspriešanā, līdz lēmuma pieņemšanai Ministru kabinetā un datu nodošanu tālāka lēmuma pieņemšanai Saeimā vai publicēšanai Latvijas Vēstnesī būs pieejama TAP portālā un nevis sadrumstalota dažādās sistēmās vai vietnēs. </w:t>
      </w:r>
      <w:r w:rsidRPr="00A72CBE">
        <w:rPr>
          <w:bCs/>
          <w:color w:val="auto"/>
        </w:rPr>
        <w:t>E</w:t>
      </w:r>
      <w:r w:rsidRPr="00A72CBE">
        <w:rPr>
          <w:bCs/>
        </w:rPr>
        <w:t>-</w:t>
      </w:r>
      <w:r w:rsidRPr="00A72CBE">
        <w:rPr>
          <w:bCs/>
          <w:color w:val="auto"/>
        </w:rPr>
        <w:t>Portfelis tiks pārstrādāts un aizstāts ar e</w:t>
      </w:r>
      <w:r w:rsidRPr="00A72CBE">
        <w:rPr>
          <w:bCs/>
        </w:rPr>
        <w:t>-</w:t>
      </w:r>
      <w:r w:rsidRPr="00A72CBE">
        <w:rPr>
          <w:bCs/>
          <w:color w:val="auto"/>
        </w:rPr>
        <w:t>Portfeli2 un tiks integrēts TAP portālā un kalpos tikai kā sēžu dalībnieku darba vide sēžu laikā, jo pārējiem lietotājiem visa nepieciešamā informācija par TAP būs pieejama TAP portālā. Papildus TAP portālā tiks nodrošināta atvieglota un automatizēta uzdevumu izpildes kontrole. DAUKS sistēm</w:t>
      </w:r>
      <w:r w:rsidRPr="00A72CBE">
        <w:rPr>
          <w:bCs/>
        </w:rPr>
        <w:t>u</w:t>
      </w:r>
      <w:r w:rsidRPr="00A72CBE">
        <w:rPr>
          <w:bCs/>
          <w:color w:val="auto"/>
        </w:rPr>
        <w:t xml:space="preserve"> pēc TAP portāla ieviešanas ir paredzēts izmantot, kā Valsts kancelejas lietvedības sistēm</w:t>
      </w:r>
      <w:r w:rsidRPr="00A72CBE">
        <w:rPr>
          <w:bCs/>
        </w:rPr>
        <w:t>u</w:t>
      </w:r>
      <w:r w:rsidRPr="00A72CBE">
        <w:rPr>
          <w:bCs/>
          <w:color w:val="auto"/>
        </w:rPr>
        <w:t xml:space="preserve"> </w:t>
      </w:r>
      <w:r w:rsidRPr="00A72CBE">
        <w:rPr>
          <w:bCs/>
        </w:rPr>
        <w:t>līdz jaunas lietvedības sistēmas ieviešanai</w:t>
      </w:r>
      <w:r w:rsidRPr="00A72CBE">
        <w:rPr>
          <w:bCs/>
        </w:rPr>
        <w:t xml:space="preserve"> Valsts kancelejā (VK)</w:t>
      </w:r>
      <w:r w:rsidRPr="00A72CBE">
        <w:rPr>
          <w:bCs/>
          <w:color w:val="auto"/>
        </w:rPr>
        <w:t>. Ievērojot iepriekš minēto, kā arī vērtējot iespējam</w:t>
      </w:r>
      <w:r w:rsidRPr="00A72CBE">
        <w:rPr>
          <w:bCs/>
        </w:rPr>
        <w:t>os</w:t>
      </w:r>
      <w:r w:rsidRPr="00A72CBE">
        <w:rPr>
          <w:bCs/>
          <w:color w:val="auto"/>
        </w:rPr>
        <w:t xml:space="preserve"> finanšu izdevumus DAUKS uzlabošanai un ar to saistītiem darbības riskiem, racionāli ir veidot jaunu sistēmu, nevis uzlabot veco sistēmu.</w:t>
      </w:r>
      <w:r w:rsidRPr="00A72CBE">
        <w:rPr>
          <w:bCs/>
        </w:rPr>
        <w:t xml:space="preserve"> </w:t>
      </w:r>
      <w:r w:rsidRPr="00A72CBE">
        <w:rPr>
          <w:bCs/>
        </w:rPr>
        <w:t>Kā secināts Vides aizsardzības un reģionālās attīstības ministrijas un Valsts reģionālās attīstības aģentūras izstrādātajā dokumentā “</w:t>
      </w:r>
      <w:r w:rsidRPr="00A72CBE">
        <w:t>Darbības programmas "Infrastruktūra un pakalpojumi" papildinājuma 3.2.2.1.1.apakšaktivitātes "Informācijas sistēmu un elektronisko pakalpojumu attīstība" projekts „Valsts informācijas sistēmas darbam ar Eiropas Savienības dokumentiem izveidošana” Sistēmas darbības koncepcijas saīsinātais apraksts”</w:t>
      </w:r>
      <w:r>
        <w:rPr>
          <w:rStyle w:val="FootnoteReference"/>
        </w:rPr>
        <w:footnoteReference w:id="6"/>
      </w:r>
      <w:r w:rsidRPr="00A72CBE">
        <w:t>, j</w:t>
      </w:r>
      <w:r w:rsidRPr="00A72CBE">
        <w:rPr>
          <w:bCs/>
        </w:rPr>
        <w:t>ebkādu izmaiņu veikšana sistēmā DAUKS ir apgrūtināta programmatūras atbalsta neesamības dēļ</w:t>
      </w:r>
      <w:r w:rsidRPr="00A72CBE" w:rsidR="0087090C">
        <w:rPr>
          <w:bCs/>
        </w:rPr>
        <w:t xml:space="preserve"> un atzīts, ka </w:t>
      </w:r>
      <w:r w:rsidRPr="00A72CBE">
        <w:t>uzlabot DAUKS nebūtu efektīgi</w:t>
      </w:r>
      <w:r w:rsidRPr="00A72CBE" w:rsidR="0087090C">
        <w:t xml:space="preserve"> un</w:t>
      </w:r>
      <w:r w:rsidRPr="00A72CBE" w:rsidR="00AA43B5">
        <w:t xml:space="preserve"> l</w:t>
      </w:r>
      <w:r w:rsidRPr="00A72CBE">
        <w:t>abāk</w:t>
      </w:r>
      <w:r w:rsidRPr="00A72CBE" w:rsidR="0087090C">
        <w:t xml:space="preserve"> </w:t>
      </w:r>
      <w:r w:rsidRPr="00A72CBE" w:rsidR="00AA43B5">
        <w:t>ir</w:t>
      </w:r>
      <w:r w:rsidRPr="00A72CBE" w:rsidR="0087090C">
        <w:t xml:space="preserve"> pāriet uz jaunu platformu.</w:t>
      </w:r>
    </w:p>
    <w:p w:rsidR="006D0314" w:rsidRPr="006D0314" w:rsidP="006D0314" w14:paraId="4130DDF5" w14:textId="2A287024">
      <w:pPr>
        <w:jc w:val="both"/>
        <w:rPr>
          <w:rFonts w:ascii="Times New Roman" w:hAnsi="Times New Roman" w:cs="Times New Roman"/>
          <w:bCs/>
          <w:sz w:val="24"/>
        </w:rPr>
      </w:pPr>
    </w:p>
    <w:p w:rsidR="009D13FC" w:rsidRPr="00C86D7D" w:rsidP="00BE6DE3" w14:paraId="0BD0E3FB" w14:textId="77777777">
      <w:pPr>
        <w:pStyle w:val="ListParagraph"/>
        <w:numPr>
          <w:ilvl w:val="0"/>
          <w:numId w:val="13"/>
        </w:numPr>
        <w:autoSpaceDE w:val="0"/>
        <w:autoSpaceDN w:val="0"/>
        <w:ind w:left="357" w:hanging="357"/>
        <w:contextualSpacing w:val="0"/>
        <w:jc w:val="both"/>
        <w:rPr>
          <w:color w:val="000000"/>
          <w:szCs w:val="24"/>
        </w:rPr>
      </w:pPr>
      <w:r w:rsidRPr="00C86D7D">
        <w:rPr>
          <w:color w:val="000000"/>
          <w:szCs w:val="24"/>
        </w:rPr>
        <w:t xml:space="preserve">Sagaidāmā investīciju </w:t>
      </w:r>
      <w:r w:rsidRPr="00C86D7D">
        <w:rPr>
          <w:color w:val="000000"/>
          <w:szCs w:val="24"/>
        </w:rPr>
        <w:t>atdeve</w:t>
      </w:r>
      <w:r w:rsidRPr="00C86D7D">
        <w:rPr>
          <w:color w:val="000000"/>
          <w:szCs w:val="24"/>
        </w:rPr>
        <w:t xml:space="preserve"> ir vērtēta šādām izmaksu samazināšanas pozīcijām:</w:t>
      </w:r>
    </w:p>
    <w:p w:rsidR="009D13FC" w:rsidP="00BE6DE3" w14:paraId="67C6DE83" w14:textId="77777777">
      <w:pPr>
        <w:pStyle w:val="VPBody"/>
        <w:numPr>
          <w:ilvl w:val="0"/>
          <w:numId w:val="15"/>
        </w:numPr>
        <w:spacing w:before="0" w:after="0"/>
        <w:ind w:left="717"/>
      </w:pPr>
      <w:r w:rsidRPr="00C0351E">
        <w:t>Lietvežu darba ietaupījums</w:t>
      </w:r>
      <w:r>
        <w:t>,</w:t>
      </w:r>
    </w:p>
    <w:p w:rsidR="009D13FC" w:rsidP="00BE6DE3" w14:paraId="5353289F" w14:textId="77777777">
      <w:pPr>
        <w:pStyle w:val="VPBody"/>
        <w:numPr>
          <w:ilvl w:val="0"/>
          <w:numId w:val="15"/>
        </w:numPr>
        <w:spacing w:before="0" w:after="0"/>
        <w:ind w:left="717"/>
      </w:pPr>
      <w:r w:rsidRPr="00C0351E">
        <w:t>TAP u.</w:t>
      </w:r>
      <w:r>
        <w:t> </w:t>
      </w:r>
      <w:r w:rsidRPr="00C0351E">
        <w:t xml:space="preserve">c. </w:t>
      </w:r>
      <w:r>
        <w:t xml:space="preserve">saistīto dokumentu </w:t>
      </w:r>
      <w:r w:rsidRPr="00C0351E">
        <w:t>projektu, to izziņu un atzinumu sagatavošana un saskaņošana</w:t>
      </w:r>
      <w:r>
        <w:t>,</w:t>
      </w:r>
    </w:p>
    <w:p w:rsidR="009D13FC" w:rsidP="00BE6DE3" w14:paraId="384A3E38" w14:textId="77777777">
      <w:pPr>
        <w:pStyle w:val="VPBody"/>
        <w:numPr>
          <w:ilvl w:val="0"/>
          <w:numId w:val="15"/>
        </w:numPr>
        <w:spacing w:before="0" w:after="0"/>
        <w:ind w:left="717"/>
      </w:pPr>
      <w:r w:rsidRPr="00C0351E">
        <w:t>TAP izsludināšanas un virzības procedūras vienkāršošana</w:t>
      </w:r>
      <w:r>
        <w:t>,</w:t>
      </w:r>
    </w:p>
    <w:p w:rsidR="009D13FC" w:rsidP="00BE6DE3" w14:paraId="1341B7BF" w14:textId="77777777">
      <w:pPr>
        <w:pStyle w:val="VPBody"/>
        <w:numPr>
          <w:ilvl w:val="0"/>
          <w:numId w:val="15"/>
        </w:numPr>
        <w:spacing w:before="0" w:after="0"/>
        <w:ind w:left="717"/>
      </w:pPr>
      <w:r w:rsidRPr="00C0351E">
        <w:t>TAP kvalitātes uzlabojumi e-pakalpojuma ieviešanas rezultātā</w:t>
      </w:r>
      <w:r>
        <w:t>.</w:t>
      </w:r>
    </w:p>
    <w:p w:rsidR="009D13FC" w:rsidP="00BE6DE3" w14:paraId="5B32E636" w14:textId="77777777">
      <w:pPr>
        <w:pStyle w:val="Default"/>
        <w:ind w:left="357"/>
        <w:jc w:val="both"/>
      </w:pPr>
    </w:p>
    <w:p w:rsidR="009D13FC" w:rsidP="00BE6DE3" w14:paraId="4AB69EED" w14:textId="581E2F28">
      <w:pPr>
        <w:pStyle w:val="Default"/>
        <w:ind w:left="357"/>
        <w:jc w:val="both"/>
      </w:pPr>
      <w:r>
        <w:t>Veicot sākotnējo sociālekonomisko ieguvumu analīzi, balstoties uz pašreizējiem TAP informācijas apstrādes datiem un plānojot risinājuma ieviešanas iegu</w:t>
      </w:r>
      <w:r w:rsidR="00833E38">
        <w:t>vumus, indikatīvi ir aprēķināti</w:t>
      </w:r>
      <w:r>
        <w:t xml:space="preserve"> summārie rezultāti</w:t>
      </w:r>
      <w:r w:rsidR="00C35A7D">
        <w:t xml:space="preserve"> (</w:t>
      </w:r>
      <w:r w:rsidR="00C35A7D">
        <w:rPr>
          <w:sz w:val="22"/>
          <w:szCs w:val="22"/>
        </w:rPr>
        <w:t>Indikatīvā</w:t>
      </w:r>
      <w:r w:rsidRPr="0090421A" w:rsidR="00C35A7D">
        <w:rPr>
          <w:sz w:val="22"/>
          <w:szCs w:val="22"/>
        </w:rPr>
        <w:t xml:space="preserve"> sociālekonomiskā iegu</w:t>
      </w:r>
      <w:r w:rsidR="00C35A7D">
        <w:rPr>
          <w:sz w:val="22"/>
          <w:szCs w:val="22"/>
        </w:rPr>
        <w:t>vuma</w:t>
      </w:r>
      <w:r w:rsidRPr="0090421A" w:rsidR="00C35A7D">
        <w:rPr>
          <w:sz w:val="22"/>
          <w:szCs w:val="22"/>
        </w:rPr>
        <w:t xml:space="preserve"> aprēķin</w:t>
      </w:r>
      <w:r w:rsidR="00C35A7D">
        <w:rPr>
          <w:sz w:val="22"/>
          <w:szCs w:val="22"/>
        </w:rPr>
        <w:t>a tabula</w:t>
      </w:r>
      <w:r w:rsidR="00C35A7D">
        <w:t>)</w:t>
      </w:r>
    </w:p>
    <w:p w:rsidR="009D13FC" w:rsidRPr="002F05F1" w:rsidP="00BE6DE3" w14:paraId="5AFBC6DC" w14:textId="77777777">
      <w:pPr>
        <w:pStyle w:val="Default"/>
        <w:numPr>
          <w:ilvl w:val="0"/>
          <w:numId w:val="17"/>
        </w:numPr>
        <w:jc w:val="both"/>
        <w:rPr>
          <w:b/>
        </w:rPr>
      </w:pPr>
      <w:r w:rsidRPr="002F05F1">
        <w:rPr>
          <w:b/>
        </w:rPr>
        <w:t xml:space="preserve">Personāla resursu samazinājums gadā – 673 </w:t>
      </w:r>
      <w:r w:rsidRPr="002F05F1">
        <w:rPr>
          <w:b/>
        </w:rPr>
        <w:t>cilvēkmēneši</w:t>
      </w:r>
      <w:r w:rsidRPr="002F05F1">
        <w:rPr>
          <w:b/>
        </w:rPr>
        <w:t>,</w:t>
      </w:r>
    </w:p>
    <w:p w:rsidR="009D13FC" w:rsidP="00BE6DE3" w14:paraId="0808BAD2" w14:textId="1196EF3B">
      <w:pPr>
        <w:pStyle w:val="Default"/>
        <w:numPr>
          <w:ilvl w:val="0"/>
          <w:numId w:val="16"/>
        </w:numPr>
        <w:jc w:val="both"/>
        <w:rPr>
          <w:b/>
        </w:rPr>
      </w:pPr>
      <w:r w:rsidRPr="002F05F1">
        <w:rPr>
          <w:b/>
        </w:rPr>
        <w:t xml:space="preserve">Sociālekonomiskais ietaupījums – 1 363 891 </w:t>
      </w:r>
      <w:r w:rsidR="003F18C6">
        <w:rPr>
          <w:b/>
          <w:i/>
        </w:rPr>
        <w:t>euro</w:t>
      </w:r>
      <w:r w:rsidRPr="002F05F1">
        <w:rPr>
          <w:b/>
        </w:rPr>
        <w:t>.</w:t>
      </w:r>
    </w:p>
    <w:p w:rsidR="007C65D1" w:rsidP="007C65D1" w14:paraId="6D7CB1DD" w14:textId="77777777">
      <w:pPr>
        <w:pStyle w:val="Default"/>
        <w:ind w:left="720"/>
        <w:jc w:val="both"/>
        <w:rPr>
          <w:b/>
        </w:rPr>
      </w:pPr>
    </w:p>
    <w:p w:rsidR="009D13FC" w:rsidP="009D13FC" w14:paraId="51F3B60C" w14:textId="77777777">
      <w:pPr>
        <w:pStyle w:val="Default"/>
        <w:ind w:left="1440"/>
        <w:jc w:val="both"/>
      </w:pPr>
    </w:p>
    <w:p w:rsidR="009D13FC" w:rsidRPr="00BE6DE3" w:rsidP="00BE6DE3" w14:paraId="0D9BC733" w14:textId="07E9098C">
      <w:pPr>
        <w:pStyle w:val="ListParagraph"/>
        <w:numPr>
          <w:ilvl w:val="0"/>
          <w:numId w:val="13"/>
        </w:numPr>
        <w:autoSpaceDE w:val="0"/>
        <w:autoSpaceDN w:val="0"/>
        <w:ind w:left="426" w:hanging="426"/>
        <w:jc w:val="both"/>
        <w:rPr>
          <w:color w:val="000000"/>
          <w:szCs w:val="24"/>
        </w:rPr>
      </w:pPr>
      <w:r w:rsidRPr="00BE6DE3">
        <w:rPr>
          <w:color w:val="000000"/>
          <w:szCs w:val="24"/>
        </w:rPr>
        <w:t xml:space="preserve">Piedāvātā TAP portāla realizācija paredz </w:t>
      </w:r>
      <w:r w:rsidRPr="00F51E84" w:rsidR="005D28A0">
        <w:rPr>
          <w:color w:val="000000"/>
          <w:szCs w:val="24"/>
        </w:rPr>
        <w:t>sabiedrības uzticēšanās</w:t>
      </w:r>
      <w:r w:rsidRPr="00BE6DE3">
        <w:rPr>
          <w:color w:val="000000"/>
          <w:szCs w:val="24"/>
        </w:rPr>
        <w:t xml:space="preserve"> palielinājumu valsts pārvaldei, iesaistot to lēmumu pieņemšanā un demonstrējot likumu pieņemšanas procesa caurspīdīgumu. Lietotājiem būs pieejama ērta vide, kurā vienkārši ieraudzīt visu TAP apspriešanas procesā iesaistīto pušu komentārus un ierosinājumus, gan tos, kas ir ņemti vērā, gan tos</w:t>
      </w:r>
      <w:r w:rsidR="00403867">
        <w:rPr>
          <w:color w:val="000000"/>
          <w:szCs w:val="24"/>
        </w:rPr>
        <w:t>,</w:t>
      </w:r>
      <w:r w:rsidRPr="00BE6DE3">
        <w:rPr>
          <w:color w:val="000000"/>
          <w:szCs w:val="24"/>
        </w:rPr>
        <w:t xml:space="preserve"> kas noraidīti, kā arī atbilstošos pamatojumus. Ieinteresētās personas varēs pieteikties uz informatīvajiem ziņojumiem </w:t>
      </w:r>
      <w:r w:rsidR="00373E41">
        <w:rPr>
          <w:color w:val="000000"/>
          <w:szCs w:val="24"/>
        </w:rPr>
        <w:t>tiesību aktu</w:t>
      </w:r>
      <w:r w:rsidRPr="00BE6DE3">
        <w:rPr>
          <w:color w:val="000000"/>
          <w:szCs w:val="24"/>
        </w:rPr>
        <w:t xml:space="preserve"> noteiktā sfērā vai konkrētas likumdošanas iniciatīvas sakarā un automātiski saņemt informāciju par jaunumiem un/vai izmaiņām par viņus interesējošo jomu.</w:t>
      </w:r>
    </w:p>
    <w:p w:rsidR="009D13FC" w:rsidP="009D13FC" w14:paraId="2C35A507" w14:textId="77777777">
      <w:pPr>
        <w:pStyle w:val="ListParagraph"/>
        <w:autoSpaceDE w:val="0"/>
        <w:autoSpaceDN w:val="0"/>
        <w:jc w:val="both"/>
        <w:rPr>
          <w:color w:val="000000"/>
          <w:szCs w:val="24"/>
        </w:rPr>
      </w:pPr>
    </w:p>
    <w:p w:rsidR="009D13FC" w:rsidP="00BE6DE3" w14:paraId="2108CB8C" w14:textId="67768E4C">
      <w:pPr>
        <w:pStyle w:val="ListParagraph"/>
        <w:numPr>
          <w:ilvl w:val="0"/>
          <w:numId w:val="13"/>
        </w:numPr>
        <w:autoSpaceDE w:val="0"/>
        <w:autoSpaceDN w:val="0"/>
        <w:ind w:left="426" w:hanging="426"/>
        <w:jc w:val="both"/>
        <w:rPr>
          <w:color w:val="000000"/>
          <w:szCs w:val="24"/>
        </w:rPr>
      </w:pPr>
      <w:r w:rsidRPr="00F51E84">
        <w:rPr>
          <w:color w:val="000000"/>
          <w:szCs w:val="24"/>
          <w:u w:val="single"/>
        </w:rPr>
        <w:t>Valsts pārvaldei</w:t>
      </w:r>
      <w:r w:rsidRPr="00750BF2">
        <w:rPr>
          <w:color w:val="000000"/>
          <w:szCs w:val="24"/>
        </w:rPr>
        <w:t xml:space="preserve"> nodrošinot </w:t>
      </w:r>
      <w:r w:rsidRPr="00750BF2">
        <w:rPr>
          <w:color w:val="000000"/>
          <w:szCs w:val="24"/>
          <w:u w:val="single"/>
        </w:rPr>
        <w:t>augstāku darba efektivitāti un būtiski augstāku informācijas aprites ātrumu</w:t>
      </w:r>
      <w:r w:rsidRPr="00750BF2">
        <w:rPr>
          <w:color w:val="000000"/>
          <w:szCs w:val="24"/>
        </w:rPr>
        <w:t xml:space="preserve"> </w:t>
      </w:r>
      <w:r>
        <w:rPr>
          <w:color w:val="000000"/>
          <w:szCs w:val="24"/>
        </w:rPr>
        <w:t>–</w:t>
      </w:r>
      <w:r w:rsidRPr="00750BF2">
        <w:rPr>
          <w:color w:val="000000"/>
          <w:szCs w:val="24"/>
        </w:rPr>
        <w:t xml:space="preserve"> risinājums būtiski uzlabos informācijas apriti, jo saīsināsies </w:t>
      </w:r>
      <w:r>
        <w:rPr>
          <w:color w:val="000000"/>
          <w:szCs w:val="24"/>
        </w:rPr>
        <w:t xml:space="preserve">kopējais </w:t>
      </w:r>
      <w:r w:rsidRPr="00750BF2">
        <w:rPr>
          <w:color w:val="000000"/>
          <w:szCs w:val="24"/>
        </w:rPr>
        <w:t>TA</w:t>
      </w:r>
      <w:r>
        <w:rPr>
          <w:color w:val="000000"/>
          <w:szCs w:val="24"/>
        </w:rPr>
        <w:t>P</w:t>
      </w:r>
      <w:r w:rsidRPr="00750BF2">
        <w:rPr>
          <w:color w:val="000000"/>
          <w:szCs w:val="24"/>
        </w:rPr>
        <w:t xml:space="preserve"> un attīstības plānošanas dokumentu projektu izsludināšana</w:t>
      </w:r>
      <w:r>
        <w:rPr>
          <w:color w:val="000000"/>
          <w:szCs w:val="24"/>
        </w:rPr>
        <w:t>i</w:t>
      </w:r>
      <w:r w:rsidRPr="00750BF2">
        <w:rPr>
          <w:color w:val="000000"/>
          <w:szCs w:val="24"/>
        </w:rPr>
        <w:t xml:space="preserve"> un saskaņošana</w:t>
      </w:r>
      <w:r>
        <w:rPr>
          <w:color w:val="000000"/>
          <w:szCs w:val="24"/>
        </w:rPr>
        <w:t>i nepieciešamais</w:t>
      </w:r>
      <w:r w:rsidRPr="00750BF2">
        <w:rPr>
          <w:color w:val="000000"/>
          <w:szCs w:val="24"/>
        </w:rPr>
        <w:t xml:space="preserve"> laiks </w:t>
      </w:r>
      <w:r>
        <w:rPr>
          <w:color w:val="000000"/>
          <w:szCs w:val="24"/>
        </w:rPr>
        <w:t xml:space="preserve">(nebūs jāgaida noteikta nedēļas diena projekta izsludināšanai, un atzinuma sniegšanas periods sāksies uzreiz pēc projekta izsludināšanas), visiem projektiem būs vienota saskaņošanas procedūra, izsludinot un iesniedzot </w:t>
      </w:r>
      <w:r w:rsidRPr="004A7DAA">
        <w:rPr>
          <w:color w:val="000000"/>
          <w:szCs w:val="24"/>
          <w:u w:val="single"/>
        </w:rPr>
        <w:t>visus</w:t>
      </w:r>
      <w:r>
        <w:rPr>
          <w:color w:val="000000"/>
          <w:szCs w:val="24"/>
        </w:rPr>
        <w:t xml:space="preserve"> projektus TAP portālā </w:t>
      </w:r>
      <w:r w:rsidRPr="00750BF2">
        <w:rPr>
          <w:color w:val="000000"/>
          <w:szCs w:val="24"/>
        </w:rPr>
        <w:t>(nebūs vairākas projektu saskaņošanas procedūras</w:t>
      </w:r>
      <w:r>
        <w:rPr>
          <w:color w:val="000000"/>
          <w:szCs w:val="24"/>
        </w:rPr>
        <w:t xml:space="preserve"> – parastā kārtība, saīsinātā izsludināšanas un saskaņošanas procedūra (</w:t>
      </w:r>
      <w:r w:rsidR="006759AE">
        <w:rPr>
          <w:color w:val="000000"/>
          <w:szCs w:val="24"/>
        </w:rPr>
        <w:t xml:space="preserve">Ministru kabineta </w:t>
      </w:r>
      <w:r w:rsidR="007414AD">
        <w:rPr>
          <w:color w:val="000000"/>
          <w:szCs w:val="24"/>
        </w:rPr>
        <w:t>200</w:t>
      </w:r>
      <w:r w:rsidR="00A46222">
        <w:rPr>
          <w:color w:val="000000"/>
          <w:szCs w:val="24"/>
        </w:rPr>
        <w:t xml:space="preserve">9.gada 7.aprīļa </w:t>
      </w:r>
      <w:r w:rsidR="006759AE">
        <w:rPr>
          <w:color w:val="000000"/>
          <w:szCs w:val="24"/>
        </w:rPr>
        <w:t>noteikumu Nr.300 “</w:t>
      </w:r>
      <w:r w:rsidR="004734CB">
        <w:rPr>
          <w:color w:val="000000"/>
          <w:szCs w:val="24"/>
        </w:rPr>
        <w:t xml:space="preserve">Ministru kabineta kārtības rullis” (turpmāk – MKKR) </w:t>
      </w:r>
      <w:r>
        <w:rPr>
          <w:color w:val="000000"/>
          <w:szCs w:val="24"/>
        </w:rPr>
        <w:t>73.</w:t>
      </w:r>
      <w:r w:rsidRPr="00552B46">
        <w:rPr>
          <w:color w:val="000000"/>
          <w:szCs w:val="24"/>
          <w:vertAlign w:val="superscript"/>
        </w:rPr>
        <w:t>1</w:t>
      </w:r>
      <w:r>
        <w:rPr>
          <w:color w:val="000000"/>
          <w:szCs w:val="24"/>
        </w:rPr>
        <w:t> punkts), projekti, kurus nav nepieciešams izsludināt un noteikta atsevišķa saskaņošanas procedūra (MKKR 73. un 111. punkts), steidzamības kārtībā iesniegtie projekti (MKKR 11</w:t>
      </w:r>
      <w:r w:rsidR="00A46222">
        <w:rPr>
          <w:color w:val="000000"/>
          <w:szCs w:val="24"/>
        </w:rPr>
        <w:t>7</w:t>
      </w:r>
      <w:r>
        <w:rPr>
          <w:color w:val="000000"/>
          <w:szCs w:val="24"/>
        </w:rPr>
        <w:t>. punkts)</w:t>
      </w:r>
      <w:r w:rsidRPr="00750BF2">
        <w:rPr>
          <w:color w:val="000000"/>
          <w:szCs w:val="24"/>
        </w:rPr>
        <w:t>, tādējādi samazinās slogu neautomatizētu darbību veikšanai.</w:t>
      </w:r>
    </w:p>
    <w:p w:rsidR="00A20469" w:rsidRPr="00A20469" w:rsidP="00A20469" w14:paraId="7302EFBA" w14:textId="77777777">
      <w:pPr>
        <w:pStyle w:val="ListParagraph"/>
        <w:rPr>
          <w:color w:val="000000"/>
          <w:szCs w:val="24"/>
        </w:rPr>
      </w:pPr>
    </w:p>
    <w:p w:rsidR="00A20469" w:rsidP="00BE6DE3" w14:paraId="652FBA17" w14:textId="3043958D">
      <w:pPr>
        <w:pStyle w:val="ListParagraph"/>
        <w:numPr>
          <w:ilvl w:val="0"/>
          <w:numId w:val="13"/>
        </w:numPr>
        <w:autoSpaceDE w:val="0"/>
        <w:autoSpaceDN w:val="0"/>
        <w:ind w:left="426" w:hanging="426"/>
        <w:jc w:val="both"/>
        <w:rPr>
          <w:color w:val="000000"/>
          <w:szCs w:val="24"/>
        </w:rPr>
      </w:pPr>
      <w:r w:rsidRPr="00E0314A">
        <w:rPr>
          <w:bCs/>
        </w:rPr>
        <w:t xml:space="preserve">Projekta ietvaros specifiska automatizēta mijiedarbība ar pašvaldību informācijas sistēmām nav plānota. </w:t>
      </w:r>
      <w:r w:rsidRPr="00F51E84">
        <w:rPr>
          <w:bCs/>
        </w:rPr>
        <w:t>Pašvaldības un nevalstiskās organizācijas (t. sk. valdības sociālo un sadarbības partneru organizācijas</w:t>
      </w:r>
      <w:r>
        <w:rPr>
          <w:bCs/>
        </w:rPr>
        <w:t xml:space="preserve">, kā arī </w:t>
      </w:r>
      <w:r>
        <w:rPr>
          <w:sz w:val="23"/>
          <w:szCs w:val="23"/>
        </w:rPr>
        <w:t>pašvaldības pārstāvošās organizācijas</w:t>
      </w:r>
      <w:r w:rsidRPr="00F51E84">
        <w:rPr>
          <w:bCs/>
        </w:rPr>
        <w:t xml:space="preserve">) savus atzinumus </w:t>
      </w:r>
      <w:r>
        <w:rPr>
          <w:bCs/>
        </w:rPr>
        <w:t xml:space="preserve">par </w:t>
      </w:r>
      <w:r>
        <w:t>valsts pārvaldes t</w:t>
      </w:r>
      <w:r w:rsidRPr="00706824">
        <w:t>iesību akt</w:t>
      </w:r>
      <w:r>
        <w:t>iem</w:t>
      </w:r>
      <w:r>
        <w:rPr>
          <w:bCs/>
        </w:rPr>
        <w:t xml:space="preserve"> varēs </w:t>
      </w:r>
      <w:r w:rsidRPr="00F51E84">
        <w:rPr>
          <w:bCs/>
        </w:rPr>
        <w:t>snieg</w:t>
      </w:r>
      <w:r>
        <w:rPr>
          <w:bCs/>
        </w:rPr>
        <w:t>t</w:t>
      </w:r>
      <w:r w:rsidRPr="00F51E84">
        <w:rPr>
          <w:bCs/>
        </w:rPr>
        <w:t xml:space="preserve"> strukturētā veidā TAP portālā</w:t>
      </w:r>
      <w:r>
        <w:rPr>
          <w:bCs/>
        </w:rPr>
        <w:t xml:space="preserve"> vai dokumentu veidā, </w:t>
      </w:r>
      <w:r w:rsidRPr="00F51E84">
        <w:rPr>
          <w:bCs/>
        </w:rPr>
        <w:t xml:space="preserve">izmantojot </w:t>
      </w:r>
      <w:r>
        <w:rPr>
          <w:bCs/>
        </w:rPr>
        <w:t>koplietošanas dokumentu integrācijas vidi (</w:t>
      </w:r>
      <w:r w:rsidRPr="00F51E84">
        <w:rPr>
          <w:bCs/>
        </w:rPr>
        <w:t>DIV</w:t>
      </w:r>
      <w:r>
        <w:rPr>
          <w:bCs/>
        </w:rPr>
        <w:t xml:space="preserve">). </w:t>
      </w:r>
      <w:r>
        <w:t>TAP portāl</w:t>
      </w:r>
      <w:r w:rsidRPr="00F04026">
        <w:t>ā paredzēt</w:t>
      </w:r>
      <w:r>
        <w:t>a funkcionalitāte</w:t>
      </w:r>
      <w:r w:rsidRPr="00F04026">
        <w:t>, kas nodrošinās</w:t>
      </w:r>
      <w:r>
        <w:t>,</w:t>
      </w:r>
      <w:r w:rsidRPr="00F04026">
        <w:t xml:space="preserve"> gan pašvaldību</w:t>
      </w:r>
      <w:r>
        <w:t xml:space="preserve"> un pašvaldības pārstāvošo organizāciju</w:t>
      </w:r>
      <w:r w:rsidRPr="00F04026">
        <w:t xml:space="preserve">, gan </w:t>
      </w:r>
      <w:r>
        <w:t xml:space="preserve">nevalstisko (t. sk. valdības sociālo un sadarbības partneru) organizāciju </w:t>
      </w:r>
      <w:r w:rsidRPr="00F04026">
        <w:t xml:space="preserve">līdzdalību </w:t>
      </w:r>
      <w:r w:rsidR="003C6DBB">
        <w:t xml:space="preserve">valsts pārvaldes </w:t>
      </w:r>
      <w:r w:rsidRPr="00F04026">
        <w:t>TAP izstr</w:t>
      </w:r>
      <w:r>
        <w:t>ā</w:t>
      </w:r>
      <w:r w:rsidRPr="00F04026">
        <w:t>dē un saskaņošanā</w:t>
      </w:r>
      <w:r>
        <w:t>.</w:t>
      </w:r>
    </w:p>
    <w:p w:rsidR="001A2FC3" w:rsidRPr="00F51E84" w:rsidP="00F51E84" w14:paraId="697570B4" w14:textId="77777777">
      <w:pPr>
        <w:pStyle w:val="ListParagraph"/>
        <w:rPr>
          <w:color w:val="000000"/>
          <w:szCs w:val="24"/>
        </w:rPr>
      </w:pPr>
    </w:p>
    <w:p w:rsidR="009D13FC" w:rsidP="009D13FC" w14:paraId="784A8079" w14:textId="77777777">
      <w:pPr>
        <w:pStyle w:val="ListParagraph"/>
        <w:autoSpaceDE w:val="0"/>
        <w:autoSpaceDN w:val="0"/>
        <w:jc w:val="both"/>
        <w:rPr>
          <w:color w:val="000000"/>
          <w:szCs w:val="24"/>
        </w:rPr>
      </w:pPr>
      <w:r>
        <w:rPr>
          <w:color w:val="000000"/>
          <w:szCs w:val="24"/>
        </w:rPr>
        <w:t xml:space="preserve"> </w:t>
      </w:r>
    </w:p>
    <w:p w:rsidR="009D13FC" w:rsidRPr="00DF444B" w:rsidP="00BE6DE3" w14:paraId="5D2FA767" w14:textId="77777777">
      <w:pPr>
        <w:pStyle w:val="ListParagraph"/>
        <w:numPr>
          <w:ilvl w:val="0"/>
          <w:numId w:val="13"/>
        </w:numPr>
        <w:autoSpaceDE w:val="0"/>
        <w:autoSpaceDN w:val="0"/>
        <w:ind w:left="426" w:hanging="426"/>
        <w:jc w:val="both"/>
        <w:rPr>
          <w:color w:val="000000"/>
          <w:szCs w:val="24"/>
        </w:rPr>
      </w:pPr>
      <w:r w:rsidRPr="00B367F7">
        <w:t xml:space="preserve">Piedāvātais TAP portāla risinājums ar procesu standartizāciju un </w:t>
      </w:r>
      <w:r>
        <w:t>TAP</w:t>
      </w:r>
      <w:r w:rsidRPr="00B367F7">
        <w:t xml:space="preserve"> pieejamību vienuviet atvieglos TAP sagatavošanas, izsludināšanas, viedokļu apkopošanas un saskaņošanas procesus</w:t>
      </w:r>
      <w:r>
        <w:t>,</w:t>
      </w:r>
      <w:r w:rsidRPr="00B367F7">
        <w:t xml:space="preserve"> kā arī atvieglos lietvedības, </w:t>
      </w:r>
      <w:r w:rsidRPr="00AC3B8B">
        <w:t>oficiālās publicēšanas un sistematizācijas procesus.</w:t>
      </w:r>
      <w:r w:rsidRPr="00AC3B8B">
        <w:rPr>
          <w:rFonts w:eastAsiaTheme="minorHAnsi"/>
          <w:color w:val="000000"/>
          <w:szCs w:val="24"/>
        </w:rPr>
        <w:t xml:space="preserve"> TAP izstrādei tiks veidotas jau gatavas sagataves, kur vairāk laika varēs veltīt TAP saturam, ne noformējumam.</w:t>
      </w:r>
    </w:p>
    <w:p w:rsidR="00DF444B" w:rsidRPr="00DF444B" w:rsidP="00DF444B" w14:paraId="08360798" w14:textId="77777777">
      <w:pPr>
        <w:autoSpaceDE w:val="0"/>
        <w:autoSpaceDN w:val="0"/>
        <w:jc w:val="both"/>
        <w:rPr>
          <w:color w:val="000000"/>
          <w:szCs w:val="24"/>
        </w:rPr>
      </w:pPr>
    </w:p>
    <w:p w:rsidR="009D13FC" w:rsidP="00BE6DE3" w14:paraId="1BCDF849" w14:textId="77777777">
      <w:pPr>
        <w:pStyle w:val="ListParagraph"/>
        <w:numPr>
          <w:ilvl w:val="0"/>
          <w:numId w:val="13"/>
        </w:numPr>
        <w:autoSpaceDE w:val="0"/>
        <w:autoSpaceDN w:val="0"/>
        <w:ind w:left="426" w:hanging="426"/>
        <w:jc w:val="both"/>
        <w:rPr>
          <w:rFonts w:eastAsiaTheme="minorHAnsi"/>
          <w:color w:val="000000"/>
          <w:szCs w:val="24"/>
        </w:rPr>
      </w:pPr>
      <w:r>
        <w:rPr>
          <w:rFonts w:eastAsiaTheme="minorHAnsi"/>
          <w:color w:val="000000"/>
          <w:szCs w:val="24"/>
        </w:rPr>
        <w:t xml:space="preserve">Nodrošinot datu apmaiņu ar </w:t>
      </w:r>
      <w:r w:rsidRPr="00297E10">
        <w:rPr>
          <w:rFonts w:eastAsiaTheme="minorHAnsi"/>
          <w:color w:val="000000"/>
          <w:szCs w:val="24"/>
        </w:rPr>
        <w:t xml:space="preserve">ārējām </w:t>
      </w:r>
      <w:r>
        <w:rPr>
          <w:rFonts w:eastAsiaTheme="minorHAnsi"/>
          <w:color w:val="000000"/>
          <w:szCs w:val="24"/>
        </w:rPr>
        <w:t xml:space="preserve">informācijas </w:t>
      </w:r>
      <w:r w:rsidRPr="00297E10">
        <w:rPr>
          <w:rFonts w:eastAsiaTheme="minorHAnsi"/>
          <w:color w:val="000000"/>
          <w:szCs w:val="24"/>
        </w:rPr>
        <w:t>sistēmām</w:t>
      </w:r>
      <w:r>
        <w:rPr>
          <w:rFonts w:eastAsiaTheme="minorHAnsi"/>
          <w:color w:val="000000"/>
          <w:szCs w:val="24"/>
        </w:rPr>
        <w:t>, t</w:t>
      </w:r>
      <w:r w:rsidRPr="00297E10">
        <w:rPr>
          <w:rFonts w:eastAsiaTheme="minorHAnsi"/>
          <w:color w:val="000000"/>
          <w:szCs w:val="24"/>
        </w:rPr>
        <w:t>iks nodrošinā</w:t>
      </w:r>
      <w:r>
        <w:rPr>
          <w:rFonts w:eastAsiaTheme="minorHAnsi"/>
          <w:color w:val="000000"/>
          <w:szCs w:val="24"/>
        </w:rPr>
        <w:t>ta</w:t>
      </w:r>
      <w:r w:rsidRPr="00297E10">
        <w:rPr>
          <w:rFonts w:eastAsiaTheme="minorHAnsi"/>
          <w:color w:val="000000"/>
          <w:szCs w:val="24"/>
        </w:rPr>
        <w:t xml:space="preserve"> </w:t>
      </w:r>
      <w:r>
        <w:rPr>
          <w:rFonts w:eastAsiaTheme="minorHAnsi"/>
          <w:color w:val="000000"/>
          <w:szCs w:val="24"/>
        </w:rPr>
        <w:t xml:space="preserve">un uzlabota </w:t>
      </w:r>
      <w:r w:rsidRPr="001B1606">
        <w:rPr>
          <w:rFonts w:eastAsiaTheme="minorHAnsi"/>
          <w:color w:val="000000"/>
          <w:szCs w:val="24"/>
          <w:u w:val="single"/>
        </w:rPr>
        <w:t>datu kvalitāte</w:t>
      </w:r>
      <w:r>
        <w:rPr>
          <w:rFonts w:eastAsiaTheme="minorHAnsi"/>
          <w:color w:val="000000"/>
          <w:szCs w:val="24"/>
        </w:rPr>
        <w:t xml:space="preserve"> un </w:t>
      </w:r>
      <w:r w:rsidRPr="001B1606">
        <w:rPr>
          <w:rFonts w:eastAsiaTheme="minorHAnsi"/>
          <w:color w:val="000000"/>
          <w:szCs w:val="24"/>
          <w:u w:val="single"/>
        </w:rPr>
        <w:t>apstrādes ātrums</w:t>
      </w:r>
      <w:r>
        <w:rPr>
          <w:rFonts w:eastAsiaTheme="minorHAnsi"/>
          <w:color w:val="000000"/>
          <w:szCs w:val="24"/>
        </w:rPr>
        <w:t>.</w:t>
      </w:r>
    </w:p>
    <w:p w:rsidR="00DF444B" w:rsidRPr="00DF444B" w:rsidP="00DF444B" w14:paraId="47BAC67C" w14:textId="77777777">
      <w:pPr>
        <w:autoSpaceDE w:val="0"/>
        <w:autoSpaceDN w:val="0"/>
        <w:jc w:val="both"/>
        <w:rPr>
          <w:color w:val="000000"/>
          <w:szCs w:val="24"/>
        </w:rPr>
      </w:pPr>
    </w:p>
    <w:p w:rsidR="009D13FC" w:rsidRPr="00355778" w:rsidP="007B6188" w14:paraId="635D6533" w14:textId="77777777">
      <w:pPr>
        <w:pStyle w:val="ListParagraph"/>
        <w:numPr>
          <w:ilvl w:val="0"/>
          <w:numId w:val="13"/>
        </w:numPr>
        <w:autoSpaceDE w:val="0"/>
        <w:autoSpaceDN w:val="0"/>
        <w:ind w:left="426" w:hanging="426"/>
        <w:jc w:val="both"/>
        <w:rPr>
          <w:color w:val="000000"/>
          <w:szCs w:val="24"/>
        </w:rPr>
      </w:pPr>
      <w:r>
        <w:rPr>
          <w:rFonts w:eastAsiaTheme="minorHAnsi"/>
          <w:color w:val="000000"/>
          <w:szCs w:val="24"/>
        </w:rPr>
        <w:t xml:space="preserve">Būtiski tiks sašaurināta </w:t>
      </w:r>
      <w:r w:rsidR="007B6188">
        <w:rPr>
          <w:rFonts w:eastAsiaTheme="minorHAnsi"/>
          <w:color w:val="000000"/>
          <w:szCs w:val="24"/>
        </w:rPr>
        <w:t>d</w:t>
      </w:r>
      <w:r w:rsidRPr="007B6188" w:rsidR="007B6188">
        <w:rPr>
          <w:rFonts w:eastAsiaTheme="minorHAnsi"/>
          <w:color w:val="000000"/>
          <w:szCs w:val="24"/>
        </w:rPr>
        <w:t>okumentu aprites un uzdevumu</w:t>
      </w:r>
      <w:r w:rsidR="007B6188">
        <w:rPr>
          <w:rFonts w:eastAsiaTheme="minorHAnsi"/>
          <w:color w:val="000000"/>
          <w:szCs w:val="24"/>
        </w:rPr>
        <w:t xml:space="preserve"> </w:t>
      </w:r>
      <w:r w:rsidRPr="007B6188" w:rsidR="007B6188">
        <w:rPr>
          <w:rFonts w:eastAsiaTheme="minorHAnsi"/>
          <w:color w:val="000000"/>
          <w:szCs w:val="24"/>
        </w:rPr>
        <w:t>kontroles informācijas sistēma</w:t>
      </w:r>
      <w:r w:rsidR="007B6188">
        <w:rPr>
          <w:rFonts w:eastAsiaTheme="minorHAnsi"/>
          <w:color w:val="000000"/>
          <w:szCs w:val="24"/>
        </w:rPr>
        <w:t xml:space="preserve"> (turpmāk – D</w:t>
      </w:r>
      <w:r>
        <w:rPr>
          <w:rFonts w:eastAsiaTheme="minorHAnsi"/>
          <w:color w:val="000000"/>
          <w:szCs w:val="24"/>
        </w:rPr>
        <w:t>AUKS</w:t>
      </w:r>
      <w:r w:rsidR="007B6188">
        <w:rPr>
          <w:rFonts w:eastAsiaTheme="minorHAnsi"/>
          <w:color w:val="000000"/>
          <w:szCs w:val="24"/>
        </w:rPr>
        <w:t>)</w:t>
      </w:r>
      <w:r>
        <w:rPr>
          <w:rFonts w:eastAsiaTheme="minorHAnsi"/>
          <w:color w:val="000000"/>
          <w:szCs w:val="24"/>
        </w:rPr>
        <w:t xml:space="preserve"> funkcionalitāte. Visa ar TAP saistītā informācija un tās aprite tiks iekļauta TAP portālā, tādējādi nevajadzēs nodrošināt masīvas datu apmaiņas plūsmas caur DAUKS. </w:t>
      </w:r>
    </w:p>
    <w:p w:rsidR="009D13FC" w:rsidRPr="001B2DF7" w:rsidP="00BE6DE3" w14:paraId="110053C9" w14:textId="77777777">
      <w:pPr>
        <w:pStyle w:val="ListParagraph"/>
        <w:autoSpaceDE w:val="0"/>
        <w:autoSpaceDN w:val="0"/>
        <w:ind w:left="426" w:hanging="426"/>
        <w:jc w:val="both"/>
        <w:rPr>
          <w:color w:val="000000"/>
          <w:szCs w:val="24"/>
        </w:rPr>
      </w:pPr>
    </w:p>
    <w:p w:rsidR="009D13FC" w:rsidP="00BE6DE3" w14:paraId="549AFBF8" w14:textId="77777777">
      <w:pPr>
        <w:pStyle w:val="ListParagraph"/>
        <w:numPr>
          <w:ilvl w:val="0"/>
          <w:numId w:val="13"/>
        </w:numPr>
        <w:autoSpaceDE w:val="0"/>
        <w:autoSpaceDN w:val="0"/>
        <w:spacing w:after="120"/>
        <w:ind w:left="426" w:hanging="426"/>
        <w:contextualSpacing w:val="0"/>
        <w:jc w:val="both"/>
        <w:rPr>
          <w:color w:val="000000"/>
          <w:szCs w:val="24"/>
        </w:rPr>
      </w:pPr>
      <w:r>
        <w:rPr>
          <w:color w:val="000000"/>
          <w:szCs w:val="24"/>
        </w:rPr>
        <w:t>Ī</w:t>
      </w:r>
      <w:r w:rsidRPr="0072117D">
        <w:rPr>
          <w:color w:val="000000"/>
          <w:szCs w:val="24"/>
        </w:rPr>
        <w:t>stenojot TAP portāla projektu</w:t>
      </w:r>
      <w:r>
        <w:rPr>
          <w:color w:val="000000"/>
          <w:szCs w:val="24"/>
        </w:rPr>
        <w:t>, izmantojot</w:t>
      </w:r>
      <w:r w:rsidRPr="0072117D">
        <w:rPr>
          <w:color w:val="000000"/>
          <w:szCs w:val="24"/>
        </w:rPr>
        <w:t xml:space="preserve"> e-pakalpojum</w:t>
      </w:r>
      <w:r>
        <w:rPr>
          <w:color w:val="000000"/>
          <w:szCs w:val="24"/>
        </w:rPr>
        <w:t>u</w:t>
      </w:r>
      <w:r w:rsidRPr="0072117D">
        <w:rPr>
          <w:color w:val="000000"/>
          <w:szCs w:val="24"/>
        </w:rPr>
        <w:t xml:space="preserve"> </w:t>
      </w:r>
      <w:r>
        <w:rPr>
          <w:color w:val="000000"/>
          <w:szCs w:val="24"/>
        </w:rPr>
        <w:t>“</w:t>
      </w:r>
      <w:r w:rsidRPr="00297E10">
        <w:rPr>
          <w:color w:val="000000"/>
          <w:szCs w:val="24"/>
        </w:rPr>
        <w:t>Tiesību aktu projektu sabiedriskā apspriešana</w:t>
      </w:r>
      <w:r>
        <w:rPr>
          <w:color w:val="000000"/>
          <w:szCs w:val="24"/>
        </w:rPr>
        <w:t>”,</w:t>
      </w:r>
      <w:r w:rsidRPr="0072117D">
        <w:rPr>
          <w:color w:val="000000"/>
          <w:szCs w:val="24"/>
        </w:rPr>
        <w:t xml:space="preserve"> sabiedrība</w:t>
      </w:r>
      <w:r>
        <w:rPr>
          <w:color w:val="000000"/>
          <w:szCs w:val="24"/>
        </w:rPr>
        <w:t>i tiks nodrošināta iespēja TAP</w:t>
      </w:r>
      <w:r w:rsidRPr="0072117D">
        <w:rPr>
          <w:color w:val="000000"/>
          <w:szCs w:val="24"/>
        </w:rPr>
        <w:t xml:space="preserve"> apsprie</w:t>
      </w:r>
      <w:r>
        <w:rPr>
          <w:color w:val="000000"/>
          <w:szCs w:val="24"/>
        </w:rPr>
        <w:t xml:space="preserve">st digitālā vidē. </w:t>
      </w:r>
    </w:p>
    <w:p w:rsidR="009D13FC" w:rsidRPr="00F4563C" w:rsidP="00BE6DE3" w14:paraId="58C12A8A" w14:textId="77777777">
      <w:pPr>
        <w:pStyle w:val="ListParagraph"/>
        <w:ind w:left="426" w:hanging="426"/>
        <w:rPr>
          <w:color w:val="000000"/>
          <w:szCs w:val="24"/>
        </w:rPr>
      </w:pPr>
    </w:p>
    <w:p w:rsidR="009D13FC" w:rsidRPr="002438D3" w:rsidP="00BE6DE3" w14:paraId="0589DAFC" w14:textId="77777777">
      <w:pPr>
        <w:pStyle w:val="ListParagraph"/>
        <w:numPr>
          <w:ilvl w:val="0"/>
          <w:numId w:val="13"/>
        </w:numPr>
        <w:autoSpaceDE w:val="0"/>
        <w:autoSpaceDN w:val="0"/>
        <w:ind w:left="426" w:hanging="426"/>
        <w:jc w:val="both"/>
        <w:rPr>
          <w:color w:val="000000"/>
          <w:szCs w:val="24"/>
        </w:rPr>
      </w:pPr>
      <w:r w:rsidRPr="00245629">
        <w:rPr>
          <w:rFonts w:eastAsiaTheme="minorHAnsi"/>
          <w:color w:val="000000"/>
          <w:szCs w:val="24"/>
        </w:rPr>
        <w:t xml:space="preserve">Tiks </w:t>
      </w:r>
      <w:r w:rsidRPr="002438D3">
        <w:rPr>
          <w:rFonts w:eastAsiaTheme="minorHAnsi"/>
          <w:color w:val="000000"/>
          <w:szCs w:val="24"/>
        </w:rPr>
        <w:t xml:space="preserve">izmantotas </w:t>
      </w:r>
      <w:r w:rsidR="00E733F7">
        <w:rPr>
          <w:rFonts w:eastAsiaTheme="minorHAnsi"/>
          <w:color w:val="000000"/>
          <w:szCs w:val="24"/>
        </w:rPr>
        <w:t>v</w:t>
      </w:r>
      <w:r w:rsidRPr="002438D3">
        <w:rPr>
          <w:rFonts w:eastAsiaTheme="minorHAnsi"/>
          <w:color w:val="000000"/>
          <w:szCs w:val="24"/>
        </w:rPr>
        <w:t xml:space="preserve">alsts rīcībā esošās </w:t>
      </w:r>
      <w:r w:rsidRPr="002438D3">
        <w:rPr>
          <w:rFonts w:eastAsiaTheme="minorHAnsi"/>
          <w:color w:val="000000"/>
          <w:szCs w:val="24"/>
          <w:u w:val="single"/>
        </w:rPr>
        <w:t>koplietošanas komponentes</w:t>
      </w:r>
      <w:r w:rsidRPr="002438D3">
        <w:rPr>
          <w:rFonts w:eastAsiaTheme="minorHAnsi"/>
          <w:color w:val="000000"/>
          <w:szCs w:val="24"/>
        </w:rPr>
        <w:t>, piemēram</w:t>
      </w:r>
      <w:r>
        <w:rPr>
          <w:rFonts w:eastAsiaTheme="minorHAnsi"/>
          <w:color w:val="000000"/>
          <w:szCs w:val="24"/>
        </w:rPr>
        <w:t>,</w:t>
      </w:r>
      <w:r w:rsidRPr="00245629">
        <w:rPr>
          <w:rFonts w:eastAsiaTheme="minorHAnsi"/>
          <w:color w:val="000000"/>
          <w:szCs w:val="24"/>
        </w:rPr>
        <w:t xml:space="preserve"> </w:t>
      </w:r>
      <w:r>
        <w:fldChar w:fldCharType="begin"/>
      </w:r>
      <w:r>
        <w:instrText xml:space="preserve"> HYPERLINK "http://www.latvija.lv" </w:instrText>
      </w:r>
      <w:r>
        <w:fldChar w:fldCharType="separate"/>
      </w:r>
      <w:r w:rsidRPr="00245629">
        <w:rPr>
          <w:rFonts w:eastAsiaTheme="minorHAnsi"/>
          <w:color w:val="000000"/>
          <w:szCs w:val="24"/>
        </w:rPr>
        <w:t>www.latvija.lv</w:t>
      </w:r>
      <w:r>
        <w:fldChar w:fldCharType="end"/>
      </w:r>
      <w:r w:rsidRPr="00245629">
        <w:rPr>
          <w:rFonts w:eastAsiaTheme="minorHAnsi"/>
          <w:color w:val="000000"/>
          <w:szCs w:val="24"/>
        </w:rPr>
        <w:t xml:space="preserve"> lietotāju autentifikācijas rīki un </w:t>
      </w:r>
      <w:r>
        <w:rPr>
          <w:rFonts w:eastAsiaTheme="minorHAnsi"/>
          <w:color w:val="000000"/>
          <w:szCs w:val="24"/>
        </w:rPr>
        <w:t>d</w:t>
      </w:r>
      <w:r w:rsidRPr="00245629">
        <w:rPr>
          <w:rFonts w:eastAsiaTheme="minorHAnsi"/>
          <w:color w:val="000000"/>
          <w:szCs w:val="24"/>
        </w:rPr>
        <w:t>okumentu integrācijas vide</w:t>
      </w:r>
      <w:r>
        <w:rPr>
          <w:rFonts w:eastAsiaTheme="minorHAnsi"/>
          <w:color w:val="000000"/>
          <w:szCs w:val="24"/>
        </w:rPr>
        <w:t xml:space="preserve">, tādējādi nedublējot jau esošu risinājumu izstrādi un </w:t>
      </w:r>
      <w:r w:rsidRPr="002438D3">
        <w:rPr>
          <w:rFonts w:eastAsiaTheme="minorHAnsi"/>
          <w:color w:val="000000"/>
          <w:szCs w:val="24"/>
          <w:u w:val="single"/>
        </w:rPr>
        <w:t>ekonomējot resursus</w:t>
      </w:r>
      <w:r>
        <w:rPr>
          <w:rFonts w:eastAsiaTheme="minorHAnsi"/>
          <w:color w:val="000000"/>
          <w:szCs w:val="24"/>
        </w:rPr>
        <w:t>.</w:t>
      </w:r>
    </w:p>
    <w:p w:rsidR="009D13FC" w:rsidRPr="002438D3" w:rsidP="00BE6DE3" w14:paraId="14A2A9C6" w14:textId="77777777">
      <w:pPr>
        <w:pStyle w:val="ListParagraph"/>
        <w:ind w:left="426" w:hanging="426"/>
        <w:rPr>
          <w:rFonts w:eastAsiaTheme="minorHAnsi"/>
          <w:color w:val="000000"/>
          <w:szCs w:val="24"/>
        </w:rPr>
      </w:pPr>
    </w:p>
    <w:p w:rsidR="009D13FC" w:rsidRPr="00A948EC" w:rsidP="00BE6DE3" w14:paraId="3F57DB8F" w14:textId="23A19DA3">
      <w:pPr>
        <w:pStyle w:val="ListParagraph"/>
        <w:numPr>
          <w:ilvl w:val="0"/>
          <w:numId w:val="13"/>
        </w:numPr>
        <w:autoSpaceDE w:val="0"/>
        <w:autoSpaceDN w:val="0"/>
        <w:ind w:left="426" w:hanging="426"/>
        <w:jc w:val="both"/>
        <w:rPr>
          <w:color w:val="000000"/>
          <w:szCs w:val="24"/>
        </w:rPr>
      </w:pPr>
      <w:r>
        <w:rPr>
          <w:rFonts w:eastAsiaTheme="minorHAnsi"/>
          <w:color w:val="000000"/>
          <w:szCs w:val="24"/>
        </w:rPr>
        <w:t xml:space="preserve"> Sabiedrībai </w:t>
      </w:r>
      <w:r>
        <w:rPr>
          <w:rFonts w:eastAsiaTheme="minorHAnsi"/>
          <w:color w:val="000000"/>
          <w:szCs w:val="24"/>
        </w:rPr>
        <w:t>atkalizmantošanai</w:t>
      </w:r>
      <w:r>
        <w:rPr>
          <w:rFonts w:eastAsiaTheme="minorHAnsi"/>
          <w:color w:val="000000"/>
          <w:szCs w:val="24"/>
        </w:rPr>
        <w:t xml:space="preserve"> būs pieejamas </w:t>
      </w:r>
      <w:r w:rsidR="00AE4FAF">
        <w:rPr>
          <w:rFonts w:eastAsiaTheme="minorHAnsi"/>
          <w:color w:val="000000"/>
          <w:szCs w:val="24"/>
        </w:rPr>
        <w:t xml:space="preserve">3 </w:t>
      </w:r>
      <w:r w:rsidRPr="002438D3">
        <w:rPr>
          <w:rFonts w:eastAsiaTheme="minorHAnsi"/>
          <w:color w:val="000000"/>
          <w:szCs w:val="24"/>
        </w:rPr>
        <w:t>atvērto datu kopas</w:t>
      </w:r>
      <w:r>
        <w:rPr>
          <w:rFonts w:eastAsiaTheme="minorHAnsi"/>
          <w:color w:val="000000"/>
          <w:szCs w:val="24"/>
        </w:rPr>
        <w:t>.</w:t>
      </w:r>
    </w:p>
    <w:p w:rsidR="009D13FC" w:rsidRPr="00A948EC" w:rsidP="00BE6DE3" w14:paraId="288ED37E" w14:textId="77777777">
      <w:pPr>
        <w:pStyle w:val="ListParagraph"/>
        <w:ind w:left="426" w:hanging="426"/>
        <w:rPr>
          <w:color w:val="000000"/>
          <w:szCs w:val="24"/>
        </w:rPr>
      </w:pPr>
    </w:p>
    <w:p w:rsidR="009D13FC" w:rsidRPr="00F66B89" w:rsidP="00BE6DE3" w14:paraId="0A545AC0" w14:textId="77939A79">
      <w:pPr>
        <w:pStyle w:val="ListParagraph"/>
        <w:numPr>
          <w:ilvl w:val="0"/>
          <w:numId w:val="13"/>
        </w:numPr>
        <w:autoSpaceDE w:val="0"/>
        <w:autoSpaceDN w:val="0"/>
        <w:ind w:left="426" w:hanging="426"/>
        <w:jc w:val="both"/>
        <w:rPr>
          <w:color w:val="000000"/>
          <w:szCs w:val="24"/>
        </w:rPr>
      </w:pPr>
      <w:r w:rsidRPr="00F66B89">
        <w:rPr>
          <w:bCs/>
        </w:rPr>
        <w:t xml:space="preserve">Nākotnē attīstot TAP portālu un piesaistot nepieciešamo finansējumu, iespējams </w:t>
      </w:r>
      <w:r w:rsidR="00AE4FAF">
        <w:rPr>
          <w:bCs/>
        </w:rPr>
        <w:t xml:space="preserve">nodrošināt pilnu tā funkcionalitāti, kā arī </w:t>
      </w:r>
      <w:r w:rsidRPr="00F66B89">
        <w:rPr>
          <w:bCs/>
        </w:rPr>
        <w:t>to veidot kā vienotu Valsts un pašvaldību TA portālu, kurā papildus tiktu iekļauta arī pašvaldību saistošo noteikumu izstrāde</w:t>
      </w:r>
      <w:r w:rsidR="00EC3A1A">
        <w:rPr>
          <w:bCs/>
        </w:rPr>
        <w:t>.</w:t>
      </w:r>
      <w:r w:rsidRPr="00F66B89">
        <w:rPr>
          <w:bCs/>
        </w:rPr>
        <w:t xml:space="preserve"> Nākotnē lietderīgi būtu TAP portālā iekļaut arī </w:t>
      </w:r>
      <w:r w:rsidR="00121DF2">
        <w:rPr>
          <w:bCs/>
        </w:rPr>
        <w:t>politikas</w:t>
      </w:r>
      <w:r w:rsidR="006446D4">
        <w:rPr>
          <w:bCs/>
        </w:rPr>
        <w:t xml:space="preserve"> plānošanas sistēmas (turpmāk -</w:t>
      </w:r>
      <w:r w:rsidR="00121DF2">
        <w:rPr>
          <w:bCs/>
        </w:rPr>
        <w:t xml:space="preserve"> </w:t>
      </w:r>
      <w:r w:rsidRPr="00F66B89">
        <w:rPr>
          <w:bCs/>
        </w:rPr>
        <w:t>POLSIS</w:t>
      </w:r>
      <w:r w:rsidR="00121DF2">
        <w:rPr>
          <w:bCs/>
        </w:rPr>
        <w:t>)</w:t>
      </w:r>
      <w:r w:rsidRPr="00F66B89">
        <w:rPr>
          <w:bCs/>
        </w:rPr>
        <w:t>, Pētījumu un publikāciju datu bāzi u.</w:t>
      </w:r>
      <w:r>
        <w:rPr>
          <w:bCs/>
        </w:rPr>
        <w:t> </w:t>
      </w:r>
      <w:r w:rsidRPr="00F66B89">
        <w:rPr>
          <w:bCs/>
        </w:rPr>
        <w:t>c., tād</w:t>
      </w:r>
      <w:r>
        <w:rPr>
          <w:bCs/>
        </w:rPr>
        <w:t>ē</w:t>
      </w:r>
      <w:r w:rsidRPr="00F66B89">
        <w:rPr>
          <w:bCs/>
        </w:rPr>
        <w:t xml:space="preserve">jādi veidojot arvien lielāku resursu ekonomiju, samazinot </w:t>
      </w:r>
      <w:r>
        <w:rPr>
          <w:bCs/>
        </w:rPr>
        <w:t>v</w:t>
      </w:r>
      <w:r w:rsidRPr="00F66B89">
        <w:rPr>
          <w:bCs/>
        </w:rPr>
        <w:t xml:space="preserve">alstī uzturamo </w:t>
      </w:r>
      <w:r w:rsidR="0012695C">
        <w:rPr>
          <w:bCs/>
        </w:rPr>
        <w:t>informācijas sistēmu</w:t>
      </w:r>
      <w:r w:rsidRPr="00F66B89">
        <w:rPr>
          <w:bCs/>
        </w:rPr>
        <w:t xml:space="preserve"> skaitu un nodrošinot unificētus risinājumus.</w:t>
      </w:r>
    </w:p>
    <w:p w:rsidR="009D13FC" w:rsidRPr="00174F79" w:rsidP="009D13FC" w14:paraId="612A2049" w14:textId="77777777">
      <w:pPr>
        <w:pStyle w:val="ListParagraph"/>
        <w:rPr>
          <w:color w:val="000000"/>
          <w:szCs w:val="24"/>
        </w:rPr>
      </w:pPr>
    </w:p>
    <w:p w:rsidR="009D13FC" w:rsidRPr="00D05297" w:rsidP="00373E41" w14:paraId="282574A0" w14:textId="77777777">
      <w:pPr>
        <w:spacing w:after="120"/>
        <w:ind w:firstLine="720"/>
        <w:jc w:val="both"/>
        <w:rPr>
          <w:rFonts w:ascii="Times New Roman" w:hAnsi="Times New Roman" w:cs="Times New Roman"/>
          <w:bCs/>
          <w:sz w:val="24"/>
        </w:rPr>
      </w:pPr>
      <w:r w:rsidRPr="00D05297">
        <w:rPr>
          <w:rFonts w:ascii="Times New Roman" w:hAnsi="Times New Roman" w:cs="Times New Roman"/>
          <w:bCs/>
          <w:sz w:val="24"/>
        </w:rPr>
        <w:t xml:space="preserve">Īstenojot </w:t>
      </w:r>
      <w:r>
        <w:rPr>
          <w:rFonts w:ascii="Times New Roman" w:hAnsi="Times New Roman" w:cs="Times New Roman"/>
          <w:bCs/>
          <w:sz w:val="24"/>
        </w:rPr>
        <w:t>TAP p</w:t>
      </w:r>
      <w:r w:rsidRPr="00D05297">
        <w:rPr>
          <w:rFonts w:ascii="Times New Roman" w:hAnsi="Times New Roman" w:cs="Times New Roman"/>
          <w:bCs/>
          <w:sz w:val="24"/>
        </w:rPr>
        <w:t>ortāla izveidi, valsts pārvaldei un sabiedrībai būs vairāki ieguvumi un resursu ietaupījumi, kas atsvērs ieguldītās investīcijas šāda mēroga projekta ieviešanā. Tiesību aktu izstrādātājiem valsts pārvaldē būtiski tik</w:t>
      </w:r>
      <w:r>
        <w:rPr>
          <w:rFonts w:ascii="Times New Roman" w:hAnsi="Times New Roman" w:cs="Times New Roman"/>
          <w:bCs/>
          <w:sz w:val="24"/>
        </w:rPr>
        <w:t>s</w:t>
      </w:r>
      <w:r w:rsidRPr="00D05297">
        <w:rPr>
          <w:rFonts w:ascii="Times New Roman" w:hAnsi="Times New Roman" w:cs="Times New Roman"/>
          <w:bCs/>
          <w:sz w:val="24"/>
        </w:rPr>
        <w:t xml:space="preserve"> mazināts slogs, kas saistīts ar tehnisk</w:t>
      </w:r>
      <w:r>
        <w:rPr>
          <w:rFonts w:ascii="Times New Roman" w:hAnsi="Times New Roman" w:cs="Times New Roman"/>
          <w:bCs/>
          <w:sz w:val="24"/>
        </w:rPr>
        <w:t>u (neautomatizētu)</w:t>
      </w:r>
      <w:r w:rsidRPr="00D05297">
        <w:rPr>
          <w:rFonts w:ascii="Times New Roman" w:hAnsi="Times New Roman" w:cs="Times New Roman"/>
          <w:bCs/>
          <w:sz w:val="24"/>
        </w:rPr>
        <w:t xml:space="preserve"> darbību veikšan</w:t>
      </w:r>
      <w:r>
        <w:rPr>
          <w:rFonts w:ascii="Times New Roman" w:hAnsi="Times New Roman" w:cs="Times New Roman"/>
          <w:bCs/>
          <w:sz w:val="24"/>
        </w:rPr>
        <w:t>u</w:t>
      </w:r>
      <w:r w:rsidRPr="00D05297">
        <w:rPr>
          <w:rFonts w:ascii="Times New Roman" w:hAnsi="Times New Roman" w:cs="Times New Roman"/>
          <w:bCs/>
          <w:sz w:val="24"/>
        </w:rPr>
        <w:t>, sagatavojot un saskaņojot tiesību aktu un attīstības plānošanas dokumentu projektus, ļaujot vairāk laika veltīt satura kvalitātei.</w:t>
      </w:r>
    </w:p>
    <w:p w:rsidR="009D13FC" w:rsidRPr="00D05297" w:rsidP="009D13FC" w14:paraId="3FF7EB60" w14:textId="77777777">
      <w:pPr>
        <w:spacing w:after="120"/>
        <w:ind w:firstLine="720"/>
        <w:jc w:val="both"/>
        <w:rPr>
          <w:rFonts w:ascii="Times New Roman" w:hAnsi="Times New Roman" w:cs="Times New Roman"/>
          <w:bCs/>
          <w:sz w:val="24"/>
        </w:rPr>
      </w:pPr>
      <w:r>
        <w:rPr>
          <w:rFonts w:ascii="Times New Roman" w:hAnsi="Times New Roman" w:cs="Times New Roman"/>
          <w:bCs/>
          <w:sz w:val="24"/>
        </w:rPr>
        <w:t>TAP p</w:t>
      </w:r>
      <w:r w:rsidRPr="00D05297">
        <w:rPr>
          <w:rFonts w:ascii="Times New Roman" w:hAnsi="Times New Roman" w:cs="Times New Roman"/>
          <w:bCs/>
          <w:sz w:val="24"/>
        </w:rPr>
        <w:t>ortāls nodrošinās arī procesa ekonomiju, jo saīsināsies tiesību aktu un attīstības plānošanas dokumentu projektu izsludināšanas un saskaņošanas laiks, ministrijām izstrādātos projektus</w:t>
      </w:r>
      <w:r>
        <w:rPr>
          <w:rFonts w:ascii="Times New Roman" w:hAnsi="Times New Roman" w:cs="Times New Roman"/>
          <w:bCs/>
          <w:sz w:val="24"/>
        </w:rPr>
        <w:t>,</w:t>
      </w:r>
      <w:r w:rsidRPr="00D05297">
        <w:rPr>
          <w:rFonts w:ascii="Times New Roman" w:hAnsi="Times New Roman" w:cs="Times New Roman"/>
          <w:bCs/>
          <w:sz w:val="24"/>
        </w:rPr>
        <w:t xml:space="preserve"> izsludinot </w:t>
      </w:r>
      <w:r>
        <w:rPr>
          <w:rFonts w:ascii="Times New Roman" w:hAnsi="Times New Roman" w:cs="Times New Roman"/>
          <w:bCs/>
          <w:sz w:val="24"/>
        </w:rPr>
        <w:t>pašām TAP p</w:t>
      </w:r>
      <w:r w:rsidRPr="00D05297">
        <w:rPr>
          <w:rFonts w:ascii="Times New Roman" w:hAnsi="Times New Roman" w:cs="Times New Roman"/>
          <w:bCs/>
          <w:sz w:val="24"/>
        </w:rPr>
        <w:t>ortālā. Tiks vienkāršota projektu izsludināšanas un virzības procedūra tādējādi, ka, izsludinot visus projektus vienuviet, nebūs vairākas paralēlas projektu saskaņošanas un iesniegšanas procedūras.</w:t>
      </w:r>
    </w:p>
    <w:p w:rsidR="009D13FC" w:rsidP="009D13FC" w14:paraId="250DA622" w14:textId="77777777">
      <w:pPr>
        <w:spacing w:after="120"/>
        <w:ind w:firstLine="720"/>
        <w:jc w:val="both"/>
        <w:rPr>
          <w:rFonts w:ascii="Times New Roman" w:hAnsi="Times New Roman" w:cs="Times New Roman"/>
          <w:bCs/>
          <w:sz w:val="24"/>
        </w:rPr>
      </w:pPr>
      <w:r>
        <w:rPr>
          <w:rFonts w:ascii="Times New Roman" w:hAnsi="Times New Roman" w:cs="Times New Roman"/>
          <w:bCs/>
          <w:sz w:val="24"/>
        </w:rPr>
        <w:t>TAP p</w:t>
      </w:r>
      <w:r w:rsidRPr="00D05297">
        <w:rPr>
          <w:rFonts w:ascii="Times New Roman" w:hAnsi="Times New Roman" w:cs="Times New Roman"/>
          <w:bCs/>
          <w:sz w:val="24"/>
        </w:rPr>
        <w:t>ortāl</w:t>
      </w:r>
      <w:r>
        <w:rPr>
          <w:rFonts w:ascii="Times New Roman" w:hAnsi="Times New Roman" w:cs="Times New Roman"/>
          <w:bCs/>
          <w:sz w:val="24"/>
        </w:rPr>
        <w:t xml:space="preserve">s </w:t>
      </w:r>
      <w:r w:rsidRPr="00D05297">
        <w:rPr>
          <w:rFonts w:ascii="Times New Roman" w:hAnsi="Times New Roman" w:cs="Times New Roman"/>
          <w:bCs/>
          <w:sz w:val="24"/>
        </w:rPr>
        <w:t>atvieglo</w:t>
      </w:r>
      <w:r>
        <w:rPr>
          <w:rFonts w:ascii="Times New Roman" w:hAnsi="Times New Roman" w:cs="Times New Roman"/>
          <w:bCs/>
          <w:sz w:val="24"/>
        </w:rPr>
        <w:t>s</w:t>
      </w:r>
      <w:r w:rsidRPr="00D05297">
        <w:rPr>
          <w:rFonts w:ascii="Times New Roman" w:hAnsi="Times New Roman" w:cs="Times New Roman"/>
          <w:bCs/>
          <w:sz w:val="24"/>
        </w:rPr>
        <w:t xml:space="preserve"> tiesību aktu projekta sagatavošanas, izsludināšanas, viedokļu apkopošanas, saskaņošanas proces</w:t>
      </w:r>
      <w:r>
        <w:rPr>
          <w:rFonts w:ascii="Times New Roman" w:hAnsi="Times New Roman" w:cs="Times New Roman"/>
          <w:bCs/>
          <w:sz w:val="24"/>
        </w:rPr>
        <w:t>us</w:t>
      </w:r>
      <w:r w:rsidRPr="00D05297">
        <w:rPr>
          <w:rFonts w:ascii="Times New Roman" w:hAnsi="Times New Roman" w:cs="Times New Roman"/>
          <w:bCs/>
          <w:sz w:val="24"/>
        </w:rPr>
        <w:t>, kā arī atvieglo</w:t>
      </w:r>
      <w:r>
        <w:rPr>
          <w:rFonts w:ascii="Times New Roman" w:hAnsi="Times New Roman" w:cs="Times New Roman"/>
          <w:bCs/>
          <w:sz w:val="24"/>
        </w:rPr>
        <w:t>s</w:t>
      </w:r>
      <w:r w:rsidRPr="00D05297">
        <w:rPr>
          <w:rFonts w:ascii="Times New Roman" w:hAnsi="Times New Roman" w:cs="Times New Roman"/>
          <w:bCs/>
          <w:sz w:val="24"/>
        </w:rPr>
        <w:t xml:space="preserve"> lietvedības, oficiālās publicēš</w:t>
      </w:r>
      <w:r>
        <w:rPr>
          <w:rFonts w:ascii="Times New Roman" w:hAnsi="Times New Roman" w:cs="Times New Roman"/>
          <w:bCs/>
          <w:sz w:val="24"/>
        </w:rPr>
        <w:t>anas un sistematizācijas procesus</w:t>
      </w:r>
      <w:r w:rsidRPr="00D05297">
        <w:rPr>
          <w:rFonts w:ascii="Times New Roman" w:hAnsi="Times New Roman" w:cs="Times New Roman"/>
          <w:bCs/>
          <w:sz w:val="24"/>
        </w:rPr>
        <w:t xml:space="preserve">. </w:t>
      </w:r>
      <w:r>
        <w:rPr>
          <w:rFonts w:ascii="Times New Roman" w:hAnsi="Times New Roman" w:cs="Times New Roman"/>
          <w:bCs/>
          <w:sz w:val="24"/>
        </w:rPr>
        <w:t>TAP p</w:t>
      </w:r>
      <w:r w:rsidRPr="00D05297">
        <w:rPr>
          <w:rFonts w:ascii="Times New Roman" w:hAnsi="Times New Roman" w:cs="Times New Roman"/>
          <w:bCs/>
          <w:sz w:val="24"/>
        </w:rPr>
        <w:t>ortāla lietošana bū</w:t>
      </w:r>
      <w:r>
        <w:rPr>
          <w:rFonts w:ascii="Times New Roman" w:hAnsi="Times New Roman" w:cs="Times New Roman"/>
          <w:bCs/>
          <w:sz w:val="24"/>
        </w:rPr>
        <w:t>s intuitīvi saprotama.</w:t>
      </w:r>
    </w:p>
    <w:p w:rsidR="009D13FC" w:rsidRPr="00D05297" w:rsidP="009D13FC" w14:paraId="17AB1B2E" w14:textId="19D8AD82">
      <w:pPr>
        <w:spacing w:after="120"/>
        <w:ind w:firstLine="720"/>
        <w:jc w:val="both"/>
        <w:rPr>
          <w:rFonts w:ascii="Times New Roman" w:hAnsi="Times New Roman" w:cs="Times New Roman"/>
          <w:bCs/>
          <w:sz w:val="24"/>
        </w:rPr>
      </w:pPr>
      <w:r>
        <w:rPr>
          <w:rFonts w:ascii="Times New Roman" w:hAnsi="Times New Roman" w:cs="Times New Roman"/>
          <w:bCs/>
          <w:sz w:val="24"/>
        </w:rPr>
        <w:t xml:space="preserve">Ar </w:t>
      </w:r>
      <w:r w:rsidRPr="00233635">
        <w:rPr>
          <w:rFonts w:ascii="Times New Roman" w:hAnsi="Times New Roman" w:cs="Times New Roman"/>
          <w:bCs/>
          <w:sz w:val="24"/>
        </w:rPr>
        <w:t>TAP portāl</w:t>
      </w:r>
      <w:r>
        <w:rPr>
          <w:rFonts w:ascii="Times New Roman" w:hAnsi="Times New Roman" w:cs="Times New Roman"/>
          <w:bCs/>
          <w:sz w:val="24"/>
        </w:rPr>
        <w:t>a izveidi tiks optimizēti ministriju resursi, jo</w:t>
      </w:r>
      <w:r w:rsidRPr="00233635">
        <w:rPr>
          <w:rFonts w:ascii="Times New Roman" w:hAnsi="Times New Roman" w:cs="Times New Roman"/>
          <w:bCs/>
          <w:sz w:val="24"/>
        </w:rPr>
        <w:t xml:space="preserve"> tiks izveidota vienota ministriju un to padotības iestāžu TAP izstrādes darba vide, izslēdzot nepieciešamību katrai ministrijai uzturēt savu atsevišķu vidi TAP izstrādei. Tāpat ministriju dokumentu vadības sistēmās nebūs jāuztur ar TAP izstrādi, apriti un kontroli saistītā informācija. Tāpat tiks optimizēta VK darba vide, izkļaujot no tās un iekļaujot TAP portālā ar TAP izstrādi saistītās funkcijas. </w:t>
      </w:r>
      <w:r w:rsidRPr="00233635">
        <w:rPr>
          <w:rFonts w:ascii="Times New Roman" w:hAnsi="Times New Roman" w:cs="Times New Roman"/>
          <w:bCs/>
          <w:sz w:val="24"/>
        </w:rPr>
        <w:t>ePortfelis</w:t>
      </w:r>
      <w:r w:rsidRPr="00233635">
        <w:rPr>
          <w:rFonts w:ascii="Times New Roman" w:hAnsi="Times New Roman" w:cs="Times New Roman"/>
          <w:bCs/>
          <w:sz w:val="24"/>
        </w:rPr>
        <w:t xml:space="preserve"> tiks pārstrādāts un integrēts TAP portālā</w:t>
      </w:r>
      <w:r w:rsidR="009C6B67">
        <w:rPr>
          <w:rFonts w:ascii="Times New Roman" w:hAnsi="Times New Roman" w:cs="Times New Roman"/>
          <w:bCs/>
          <w:sz w:val="24"/>
        </w:rPr>
        <w:t>,</w:t>
      </w:r>
      <w:r w:rsidRPr="00233635">
        <w:rPr>
          <w:rFonts w:ascii="Times New Roman" w:hAnsi="Times New Roman" w:cs="Times New Roman"/>
          <w:bCs/>
          <w:sz w:val="24"/>
        </w:rPr>
        <w:t xml:space="preserve"> un kalpos tikai kā ministru darba vide sēžu laikā</w:t>
      </w:r>
      <w:r>
        <w:rPr>
          <w:rFonts w:ascii="Times New Roman" w:hAnsi="Times New Roman" w:cs="Times New Roman"/>
          <w:bCs/>
          <w:sz w:val="24"/>
        </w:rPr>
        <w:t>, jo pārējiem lietotājiem visa nepieciešamā informācija par TAP būs pieejama portālā</w:t>
      </w:r>
      <w:r w:rsidRPr="00233635">
        <w:rPr>
          <w:rFonts w:ascii="Times New Roman" w:hAnsi="Times New Roman" w:cs="Times New Roman"/>
          <w:bCs/>
          <w:sz w:val="24"/>
        </w:rPr>
        <w:t>.</w:t>
      </w:r>
    </w:p>
    <w:p w:rsidR="009D13FC" w:rsidP="00C35A7D" w14:paraId="1A3E695D" w14:textId="108AAC7D">
      <w:pPr>
        <w:spacing w:after="120"/>
        <w:ind w:firstLine="720"/>
        <w:jc w:val="both"/>
        <w:rPr>
          <w:rFonts w:ascii="Times New Roman" w:hAnsi="Times New Roman" w:cs="Times New Roman"/>
          <w:bCs/>
          <w:sz w:val="24"/>
        </w:rPr>
      </w:pPr>
      <w:r w:rsidRPr="00D05297">
        <w:rPr>
          <w:rFonts w:ascii="Times New Roman" w:hAnsi="Times New Roman" w:cs="Times New Roman"/>
          <w:bCs/>
          <w:sz w:val="24"/>
        </w:rPr>
        <w:t xml:space="preserve">Sabiedrībai šāda </w:t>
      </w:r>
      <w:r>
        <w:rPr>
          <w:rFonts w:ascii="Times New Roman" w:hAnsi="Times New Roman" w:cs="Times New Roman"/>
          <w:bCs/>
          <w:sz w:val="24"/>
        </w:rPr>
        <w:t>TAP</w:t>
      </w:r>
      <w:r w:rsidRPr="00D05297">
        <w:rPr>
          <w:rFonts w:ascii="Times New Roman" w:hAnsi="Times New Roman" w:cs="Times New Roman"/>
          <w:bCs/>
          <w:sz w:val="24"/>
        </w:rPr>
        <w:t xml:space="preserve"> portāla izveide dos iespēju vienuviet sekot līdzi lēmumu pieņemšanas procesam, sākot no idejas līdz lēmumam Ministru kabinetā, kā arī paplašinās sabiedrības līdzdalības iespējas tiesību aktu projektu un attīstības plānošanas dokumentu projektu izstrādē.</w:t>
      </w:r>
    </w:p>
    <w:p w:rsidR="002E4E5A" w14:paraId="74AB7A8F" w14:textId="77777777">
      <w:pPr>
        <w:spacing w:after="120"/>
        <w:ind w:firstLine="0"/>
        <w:jc w:val="both"/>
        <w:pPrChange w:id="0" w:author="Viktors Sidorenkovs" w:date="2017-02-15T16:03:00Z">
          <w:pPr>
            <w:spacing w:after="120"/>
            <w:ind w:firstLine="720"/>
            <w:jc w:val="both"/>
          </w:pPr>
        </w:pPrChange>
        <w:rPr>
          <w:rFonts w:ascii="Times New Roman" w:hAnsi="Times New Roman" w:cs="Times New Roman"/>
          <w:bCs/>
          <w:sz w:val="24"/>
        </w:rPr>
        <w:sectPr w:rsidSect="0025222B">
          <w:footerReference w:type="default" r:id="rId6"/>
          <w:pgSz w:w="11906" w:h="16838"/>
          <w:pgMar w:top="1418" w:right="1133" w:bottom="1134" w:left="1701" w:header="709" w:footer="709" w:gutter="0"/>
          <w:cols w:space="708"/>
          <w:docGrid w:linePitch="360"/>
        </w:sectPr>
      </w:pPr>
    </w:p>
    <w:p w:rsidR="00C35A7D" w:rsidP="002E4E5A" w14:paraId="59785380" w14:textId="29823128">
      <w:pPr>
        <w:spacing w:after="120"/>
        <w:jc w:val="both"/>
        <w:rPr>
          <w:rFonts w:ascii="Times New Roman" w:hAnsi="Times New Roman" w:cs="Times New Roman"/>
          <w:bCs/>
          <w:sz w:val="24"/>
        </w:rPr>
      </w:pPr>
    </w:p>
    <w:p w:rsidR="00C35A7D" w:rsidRPr="003F18C6" w:rsidP="001477AE" w14:paraId="46C2096C" w14:textId="6ACEC41A">
      <w:pPr>
        <w:spacing w:after="120"/>
        <w:ind w:firstLine="720"/>
        <w:jc w:val="center"/>
        <w:rPr>
          <w:rFonts w:ascii="Times New Roman" w:hAnsi="Times New Roman" w:cs="Times New Roman"/>
          <w:b/>
          <w:bCs/>
          <w:sz w:val="28"/>
          <w:szCs w:val="28"/>
        </w:rPr>
      </w:pPr>
      <w:r w:rsidRPr="003F18C6">
        <w:rPr>
          <w:rFonts w:ascii="Times New Roman" w:hAnsi="Times New Roman" w:cs="Times New Roman"/>
          <w:b/>
          <w:sz w:val="28"/>
          <w:szCs w:val="28"/>
        </w:rPr>
        <w:t>Indikatīvā sociālekonomiskā ieguvuma aprēķina 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1137"/>
        <w:gridCol w:w="772"/>
        <w:gridCol w:w="1380"/>
        <w:gridCol w:w="772"/>
        <w:gridCol w:w="1363"/>
        <w:gridCol w:w="772"/>
        <w:gridCol w:w="1076"/>
        <w:gridCol w:w="1104"/>
        <w:gridCol w:w="1373"/>
        <w:gridCol w:w="911"/>
        <w:gridCol w:w="551"/>
        <w:gridCol w:w="851"/>
        <w:gridCol w:w="927"/>
      </w:tblGrid>
      <w:tr w14:paraId="12D0471D" w14:textId="77777777" w:rsidTr="00002DE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78"/>
        </w:trPr>
        <w:tc>
          <w:tcPr>
            <w:tcW w:w="1405" w:type="dxa"/>
            <w:shd w:val="clear" w:color="auto" w:fill="auto"/>
            <w:vAlign w:val="bottom"/>
            <w:hideMark/>
          </w:tcPr>
          <w:p w:rsidR="00C35A7D" w:rsidRPr="001477AE" w:rsidP="00AA5180" w14:paraId="33E9301A" w14:textId="7C1A5956">
            <w:pPr>
              <w:spacing w:before="0" w:after="0"/>
              <w:rPr>
                <w:rFonts w:ascii="Times New Roman" w:eastAsia="Times New Roman" w:hAnsi="Times New Roman" w:cs="Times New Roman"/>
                <w:sz w:val="20"/>
                <w:szCs w:val="20"/>
                <w:lang w:eastAsia="lv-LV"/>
              </w:rPr>
            </w:pPr>
          </w:p>
        </w:tc>
        <w:tc>
          <w:tcPr>
            <w:tcW w:w="1909" w:type="dxa"/>
            <w:gridSpan w:val="2"/>
            <w:shd w:val="clear" w:color="000000" w:fill="DCE6F1"/>
            <w:vAlign w:val="bottom"/>
            <w:hideMark/>
          </w:tcPr>
          <w:p w:rsidR="00C35A7D" w:rsidRPr="001477AE" w:rsidP="00AA5180" w14:paraId="13E727F2" w14:textId="77777777">
            <w:pPr>
              <w:spacing w:before="0" w:after="0"/>
              <w:jc w:val="center"/>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1.bāzes lielums (1BL)</w:t>
            </w:r>
          </w:p>
        </w:tc>
        <w:tc>
          <w:tcPr>
            <w:tcW w:w="2152" w:type="dxa"/>
            <w:gridSpan w:val="2"/>
            <w:shd w:val="clear" w:color="000000" w:fill="DCE6F1"/>
            <w:vAlign w:val="bottom"/>
            <w:hideMark/>
          </w:tcPr>
          <w:p w:rsidR="002C4987" w:rsidP="00AA5180" w14:paraId="29D915A9" w14:textId="77777777">
            <w:pPr>
              <w:spacing w:before="0" w:after="0"/>
              <w:jc w:val="center"/>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 xml:space="preserve">2.bāzes lielums </w:t>
            </w:r>
          </w:p>
          <w:p w:rsidR="00C35A7D" w:rsidRPr="001477AE" w:rsidP="00AA5180" w14:paraId="25F421DE" w14:textId="0820C2C6">
            <w:pPr>
              <w:spacing w:before="0" w:after="0"/>
              <w:jc w:val="center"/>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(2BL)</w:t>
            </w:r>
          </w:p>
        </w:tc>
        <w:tc>
          <w:tcPr>
            <w:tcW w:w="2135" w:type="dxa"/>
            <w:gridSpan w:val="2"/>
            <w:shd w:val="clear" w:color="000000" w:fill="DCE6F1"/>
            <w:vAlign w:val="bottom"/>
            <w:hideMark/>
          </w:tcPr>
          <w:p w:rsidR="002C4987" w:rsidP="00AA5180" w14:paraId="6BDCD941" w14:textId="77777777">
            <w:pPr>
              <w:spacing w:before="0" w:after="0"/>
              <w:jc w:val="center"/>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 xml:space="preserve">3.bāzes lielums </w:t>
            </w:r>
          </w:p>
          <w:p w:rsidR="00C35A7D" w:rsidRPr="001477AE" w:rsidP="00AA5180" w14:paraId="21C408E8" w14:textId="12877CB7">
            <w:pPr>
              <w:spacing w:before="0" w:after="0"/>
              <w:jc w:val="center"/>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(3BL)</w:t>
            </w:r>
          </w:p>
        </w:tc>
        <w:tc>
          <w:tcPr>
            <w:tcW w:w="2180" w:type="dxa"/>
            <w:gridSpan w:val="2"/>
            <w:shd w:val="clear" w:color="000000" w:fill="DCE6F1"/>
            <w:vAlign w:val="bottom"/>
            <w:hideMark/>
          </w:tcPr>
          <w:p w:rsidR="00C35A7D" w:rsidRPr="001477AE" w:rsidP="00AA5180" w14:paraId="78967C27" w14:textId="77777777">
            <w:pPr>
              <w:spacing w:before="0" w:after="0"/>
              <w:jc w:val="center"/>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4.bāzes lielums (4BL)</w:t>
            </w:r>
          </w:p>
        </w:tc>
        <w:tc>
          <w:tcPr>
            <w:tcW w:w="2835" w:type="dxa"/>
            <w:gridSpan w:val="3"/>
            <w:shd w:val="clear" w:color="000000" w:fill="F2DCDB"/>
            <w:vAlign w:val="bottom"/>
            <w:hideMark/>
          </w:tcPr>
          <w:p w:rsidR="002C4987" w:rsidP="00AA5180" w14:paraId="1ED8F605" w14:textId="77777777">
            <w:pPr>
              <w:spacing w:before="0"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Soc.ek.lietderīguma</w:t>
            </w:r>
          </w:p>
          <w:p w:rsidR="00C35A7D" w:rsidRPr="001477AE" w:rsidP="00AA5180" w14:paraId="4025D622" w14:textId="250F21FA">
            <w:pPr>
              <w:spacing w:before="0"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k</w:t>
            </w:r>
            <w:r w:rsidRPr="001477AE">
              <w:rPr>
                <w:rFonts w:ascii="Times New Roman" w:eastAsia="Times New Roman" w:hAnsi="Times New Roman" w:cs="Times New Roman"/>
                <w:color w:val="000000"/>
                <w:sz w:val="20"/>
                <w:szCs w:val="20"/>
                <w:lang w:eastAsia="lv-LV"/>
              </w:rPr>
              <w:t>vanitatīvie</w:t>
            </w:r>
            <w:r w:rsidRPr="001477AE">
              <w:rPr>
                <w:rFonts w:ascii="Times New Roman" w:eastAsia="Times New Roman" w:hAnsi="Times New Roman" w:cs="Times New Roman"/>
                <w:color w:val="000000"/>
                <w:sz w:val="20"/>
                <w:szCs w:val="20"/>
                <w:lang w:eastAsia="lv-LV"/>
              </w:rPr>
              <w:t xml:space="preserve"> rādītāji</w:t>
            </w:r>
          </w:p>
        </w:tc>
        <w:tc>
          <w:tcPr>
            <w:tcW w:w="1778" w:type="dxa"/>
            <w:gridSpan w:val="2"/>
            <w:shd w:val="clear" w:color="000000" w:fill="F2DCDB"/>
            <w:vAlign w:val="bottom"/>
            <w:hideMark/>
          </w:tcPr>
          <w:p w:rsidR="00C35A7D" w:rsidRPr="001477AE" w:rsidP="007A24B3" w14:paraId="0694BAD6" w14:textId="50FFB8E7">
            <w:pPr>
              <w:spacing w:before="0" w:after="0"/>
              <w:jc w:val="center"/>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Soc.ek.lietd</w:t>
            </w:r>
            <w:r w:rsidRPr="001477AE">
              <w:rPr>
                <w:rFonts w:ascii="Times New Roman" w:eastAsia="Times New Roman" w:hAnsi="Times New Roman" w:cs="Times New Roman"/>
                <w:color w:val="000000"/>
                <w:sz w:val="20"/>
                <w:szCs w:val="20"/>
                <w:lang w:eastAsia="lv-LV"/>
              </w:rPr>
              <w:t xml:space="preserve">. </w:t>
            </w:r>
            <w:r w:rsidR="007A24B3">
              <w:rPr>
                <w:rFonts w:ascii="Times New Roman" w:eastAsia="Times New Roman" w:hAnsi="Times New Roman" w:cs="Times New Roman"/>
                <w:color w:val="000000"/>
                <w:sz w:val="20"/>
                <w:szCs w:val="20"/>
                <w:lang w:eastAsia="lv-LV"/>
              </w:rPr>
              <w:t>g</w:t>
            </w:r>
            <w:r w:rsidRPr="001477AE">
              <w:rPr>
                <w:rFonts w:ascii="Times New Roman" w:eastAsia="Times New Roman" w:hAnsi="Times New Roman" w:cs="Times New Roman"/>
                <w:color w:val="000000"/>
                <w:sz w:val="20"/>
                <w:szCs w:val="20"/>
                <w:lang w:eastAsia="lv-LV"/>
              </w:rPr>
              <w:t xml:space="preserve">adā </w:t>
            </w:r>
            <w:r w:rsidR="003F18C6">
              <w:rPr>
                <w:rFonts w:ascii="Times New Roman" w:eastAsia="Times New Roman" w:hAnsi="Times New Roman" w:cs="Times New Roman"/>
                <w:i/>
                <w:color w:val="000000"/>
                <w:sz w:val="20"/>
                <w:szCs w:val="20"/>
                <w:lang w:eastAsia="lv-LV"/>
              </w:rPr>
              <w:t>euro</w:t>
            </w:r>
          </w:p>
        </w:tc>
      </w:tr>
      <w:tr w14:paraId="4F84C267" w14:textId="77777777" w:rsidTr="00002DE9">
        <w:tblPrEx>
          <w:tblW w:w="0" w:type="auto"/>
          <w:tblInd w:w="108" w:type="dxa"/>
          <w:tblLayout w:type="fixed"/>
          <w:tblLook w:val="04A0"/>
        </w:tblPrEx>
        <w:trPr>
          <w:trHeight w:val="600"/>
        </w:trPr>
        <w:tc>
          <w:tcPr>
            <w:tcW w:w="1405" w:type="dxa"/>
            <w:shd w:val="clear" w:color="auto" w:fill="auto"/>
            <w:vAlign w:val="bottom"/>
            <w:hideMark/>
          </w:tcPr>
          <w:p w:rsidR="00C35A7D" w:rsidRPr="001477AE" w:rsidP="00AA5180" w14:paraId="5B44CCD2" w14:textId="0462D438">
            <w:pPr>
              <w:spacing w:before="0" w:after="0"/>
              <w:jc w:val="center"/>
              <w:rPr>
                <w:rFonts w:ascii="Times New Roman" w:eastAsia="Times New Roman" w:hAnsi="Times New Roman" w:cs="Times New Roman"/>
                <w:color w:val="000000"/>
                <w:sz w:val="20"/>
                <w:szCs w:val="20"/>
                <w:lang w:eastAsia="lv-LV"/>
              </w:rPr>
            </w:pPr>
          </w:p>
        </w:tc>
        <w:tc>
          <w:tcPr>
            <w:tcW w:w="1137" w:type="dxa"/>
            <w:shd w:val="clear" w:color="000000" w:fill="DCE6F1"/>
            <w:vAlign w:val="bottom"/>
            <w:hideMark/>
          </w:tcPr>
          <w:p w:rsidR="00C35A7D" w:rsidRPr="001477AE" w:rsidP="00AA5180" w14:paraId="79727159"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apraksts</w:t>
            </w:r>
          </w:p>
        </w:tc>
        <w:tc>
          <w:tcPr>
            <w:tcW w:w="772" w:type="dxa"/>
            <w:shd w:val="clear" w:color="000000" w:fill="DCE6F1"/>
            <w:vAlign w:val="bottom"/>
            <w:hideMark/>
          </w:tcPr>
          <w:p w:rsidR="00C35A7D" w:rsidRPr="001477AE" w:rsidP="00AA5180" w14:paraId="3673541A"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vērtība</w:t>
            </w:r>
          </w:p>
        </w:tc>
        <w:tc>
          <w:tcPr>
            <w:tcW w:w="1380" w:type="dxa"/>
            <w:shd w:val="clear" w:color="000000" w:fill="DCE6F1"/>
            <w:vAlign w:val="bottom"/>
            <w:hideMark/>
          </w:tcPr>
          <w:p w:rsidR="00C35A7D" w:rsidRPr="001477AE" w:rsidP="00AA5180" w14:paraId="016E2B29"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apraksts</w:t>
            </w:r>
          </w:p>
        </w:tc>
        <w:tc>
          <w:tcPr>
            <w:tcW w:w="772" w:type="dxa"/>
            <w:shd w:val="clear" w:color="000000" w:fill="DCE6F1"/>
            <w:vAlign w:val="bottom"/>
            <w:hideMark/>
          </w:tcPr>
          <w:p w:rsidR="00C35A7D" w:rsidRPr="001477AE" w:rsidP="00AA5180" w14:paraId="7A7A82D5"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vērtība</w:t>
            </w:r>
          </w:p>
        </w:tc>
        <w:tc>
          <w:tcPr>
            <w:tcW w:w="1363" w:type="dxa"/>
            <w:shd w:val="clear" w:color="000000" w:fill="DCE6F1"/>
            <w:vAlign w:val="bottom"/>
            <w:hideMark/>
          </w:tcPr>
          <w:p w:rsidR="00C35A7D" w:rsidRPr="001477AE" w:rsidP="00AA5180" w14:paraId="48FA1566"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apraksts</w:t>
            </w:r>
          </w:p>
        </w:tc>
        <w:tc>
          <w:tcPr>
            <w:tcW w:w="772" w:type="dxa"/>
            <w:shd w:val="clear" w:color="000000" w:fill="DCE6F1"/>
            <w:vAlign w:val="bottom"/>
            <w:hideMark/>
          </w:tcPr>
          <w:p w:rsidR="00C35A7D" w:rsidRPr="001477AE" w:rsidP="00AA5180" w14:paraId="3D13BE59"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vērtība</w:t>
            </w:r>
          </w:p>
        </w:tc>
        <w:tc>
          <w:tcPr>
            <w:tcW w:w="1076" w:type="dxa"/>
            <w:shd w:val="clear" w:color="000000" w:fill="DCE6F1"/>
            <w:vAlign w:val="bottom"/>
            <w:hideMark/>
          </w:tcPr>
          <w:p w:rsidR="00C35A7D" w:rsidRPr="001477AE" w:rsidP="00AA5180" w14:paraId="397A436F"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apraksts</w:t>
            </w:r>
          </w:p>
        </w:tc>
        <w:tc>
          <w:tcPr>
            <w:tcW w:w="1104" w:type="dxa"/>
            <w:shd w:val="clear" w:color="000000" w:fill="DCE6F1"/>
            <w:vAlign w:val="bottom"/>
            <w:hideMark/>
          </w:tcPr>
          <w:p w:rsidR="00C35A7D" w:rsidRPr="001477AE" w:rsidP="00AA5180" w14:paraId="2279D0C5"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vērtība</w:t>
            </w:r>
          </w:p>
        </w:tc>
        <w:tc>
          <w:tcPr>
            <w:tcW w:w="1373" w:type="dxa"/>
            <w:shd w:val="clear" w:color="000000" w:fill="F2DCDB"/>
            <w:vAlign w:val="bottom"/>
            <w:hideMark/>
          </w:tcPr>
          <w:p w:rsidR="00C35A7D" w:rsidRPr="001477AE" w:rsidP="00AA5180" w14:paraId="364AC812"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Apraksts,aprēķina</w:t>
            </w:r>
            <w:r w:rsidRPr="001477AE">
              <w:rPr>
                <w:rFonts w:ascii="Times New Roman" w:eastAsia="Times New Roman" w:hAnsi="Times New Roman" w:cs="Times New Roman"/>
                <w:color w:val="000000"/>
                <w:sz w:val="20"/>
                <w:szCs w:val="20"/>
                <w:lang w:eastAsia="lv-LV"/>
              </w:rPr>
              <w:t xml:space="preserve"> formula</w:t>
            </w:r>
          </w:p>
        </w:tc>
        <w:tc>
          <w:tcPr>
            <w:tcW w:w="911" w:type="dxa"/>
            <w:shd w:val="clear" w:color="000000" w:fill="F2DCDB"/>
            <w:vAlign w:val="bottom"/>
            <w:hideMark/>
          </w:tcPr>
          <w:p w:rsidR="00C35A7D" w:rsidRPr="001477AE" w:rsidP="00AA5180" w14:paraId="6DEA1E59"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Rādītājs</w:t>
            </w:r>
          </w:p>
        </w:tc>
        <w:tc>
          <w:tcPr>
            <w:tcW w:w="551" w:type="dxa"/>
            <w:shd w:val="clear" w:color="000000" w:fill="F2DCDB"/>
            <w:vAlign w:val="bottom"/>
            <w:hideMark/>
          </w:tcPr>
          <w:p w:rsidR="00C35A7D" w:rsidRPr="001477AE" w:rsidP="00AA5180" w14:paraId="499B24EF"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vērtība</w:t>
            </w:r>
          </w:p>
        </w:tc>
        <w:tc>
          <w:tcPr>
            <w:tcW w:w="851" w:type="dxa"/>
            <w:shd w:val="clear" w:color="000000" w:fill="F2DCDB"/>
            <w:vAlign w:val="bottom"/>
            <w:hideMark/>
          </w:tcPr>
          <w:p w:rsidR="00C35A7D" w:rsidRPr="002C4987" w:rsidP="00AA5180" w14:paraId="5FE4AE2D" w14:textId="77777777">
            <w:pPr>
              <w:spacing w:before="0" w:after="0"/>
              <w:rPr>
                <w:rFonts w:ascii="Times New Roman" w:eastAsia="Times New Roman" w:hAnsi="Times New Roman" w:cs="Times New Roman"/>
                <w:color w:val="000000"/>
                <w:sz w:val="18"/>
                <w:szCs w:val="18"/>
                <w:lang w:eastAsia="lv-LV"/>
              </w:rPr>
            </w:pPr>
            <w:r w:rsidRPr="002C4987">
              <w:rPr>
                <w:rFonts w:ascii="Times New Roman" w:eastAsia="Times New Roman" w:hAnsi="Times New Roman" w:cs="Times New Roman"/>
                <w:color w:val="000000"/>
                <w:sz w:val="18"/>
                <w:szCs w:val="18"/>
                <w:lang w:eastAsia="lv-LV"/>
              </w:rPr>
              <w:t>Aprēķina formula</w:t>
            </w:r>
          </w:p>
        </w:tc>
        <w:tc>
          <w:tcPr>
            <w:tcW w:w="927" w:type="dxa"/>
            <w:shd w:val="clear" w:color="000000" w:fill="F2DCDB"/>
            <w:vAlign w:val="bottom"/>
            <w:hideMark/>
          </w:tcPr>
          <w:p w:rsidR="00C35A7D" w:rsidRPr="001477AE" w:rsidP="003F18C6" w14:paraId="62FAEDE1" w14:textId="41530A06">
            <w:pPr>
              <w:spacing w:before="0"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color w:val="000000"/>
                <w:sz w:val="20"/>
                <w:szCs w:val="20"/>
                <w:lang w:eastAsia="lv-LV"/>
              </w:rPr>
              <w:t>euro</w:t>
            </w:r>
          </w:p>
        </w:tc>
      </w:tr>
      <w:tr w14:paraId="7A2AB57C" w14:textId="77777777" w:rsidTr="00002DE9">
        <w:tblPrEx>
          <w:tblW w:w="0" w:type="auto"/>
          <w:tblInd w:w="108" w:type="dxa"/>
          <w:tblLayout w:type="fixed"/>
          <w:tblLook w:val="04A0"/>
        </w:tblPrEx>
        <w:trPr>
          <w:trHeight w:val="1545"/>
        </w:trPr>
        <w:tc>
          <w:tcPr>
            <w:tcW w:w="1405" w:type="dxa"/>
            <w:shd w:val="clear" w:color="auto" w:fill="auto"/>
            <w:vAlign w:val="bottom"/>
            <w:hideMark/>
          </w:tcPr>
          <w:p w:rsidR="00C35A7D" w:rsidRPr="001477AE" w:rsidP="00AA5180" w14:paraId="3322D850" w14:textId="3127C8DE">
            <w:pPr>
              <w:spacing w:before="0"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L</w:t>
            </w:r>
            <w:r w:rsidRPr="001477AE">
              <w:rPr>
                <w:rFonts w:ascii="Times New Roman" w:eastAsia="Times New Roman" w:hAnsi="Times New Roman" w:cs="Times New Roman"/>
                <w:color w:val="000000"/>
                <w:sz w:val="20"/>
                <w:szCs w:val="20"/>
                <w:lang w:eastAsia="lv-LV"/>
              </w:rPr>
              <w:t>ietvežu darba ietaupījums</w:t>
            </w:r>
          </w:p>
        </w:tc>
        <w:tc>
          <w:tcPr>
            <w:tcW w:w="1137" w:type="dxa"/>
            <w:shd w:val="clear" w:color="auto" w:fill="auto"/>
            <w:vAlign w:val="bottom"/>
            <w:hideMark/>
          </w:tcPr>
          <w:p w:rsidR="00C35A7D" w:rsidRPr="001477AE" w:rsidP="00AA5180" w14:paraId="5AD1484E"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virzāmo TAP un saistīto dokumentu skaits gadā</w:t>
            </w:r>
          </w:p>
        </w:tc>
        <w:tc>
          <w:tcPr>
            <w:tcW w:w="772" w:type="dxa"/>
            <w:shd w:val="clear" w:color="000000" w:fill="FFCC99"/>
            <w:vAlign w:val="bottom"/>
            <w:hideMark/>
          </w:tcPr>
          <w:p w:rsidR="00C35A7D" w:rsidRPr="001477AE" w:rsidP="00AA5180" w14:paraId="29CFD0F9"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40000</w:t>
            </w:r>
          </w:p>
        </w:tc>
        <w:tc>
          <w:tcPr>
            <w:tcW w:w="1380" w:type="dxa"/>
            <w:shd w:val="clear" w:color="auto" w:fill="auto"/>
            <w:vAlign w:val="bottom"/>
            <w:hideMark/>
          </w:tcPr>
          <w:p w:rsidR="00C35A7D" w:rsidRPr="001477AE" w:rsidP="00AA5180" w14:paraId="2490A4DE"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Darba laiks (stundās) 1 dokumenta virzībai</w:t>
            </w:r>
          </w:p>
        </w:tc>
        <w:tc>
          <w:tcPr>
            <w:tcW w:w="772" w:type="dxa"/>
            <w:shd w:val="clear" w:color="000000" w:fill="FFCC99"/>
            <w:vAlign w:val="bottom"/>
            <w:hideMark/>
          </w:tcPr>
          <w:p w:rsidR="00C35A7D" w:rsidRPr="001477AE" w:rsidP="00AA5180" w14:paraId="5C11AC44"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0,2</w:t>
            </w:r>
          </w:p>
        </w:tc>
        <w:tc>
          <w:tcPr>
            <w:tcW w:w="1363" w:type="dxa"/>
            <w:shd w:val="clear" w:color="auto" w:fill="auto"/>
            <w:vAlign w:val="bottom"/>
            <w:hideMark/>
          </w:tcPr>
          <w:p w:rsidR="00C35A7D" w:rsidRPr="001477AE" w:rsidP="00AA5180" w14:paraId="2D0AA1D1"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Darba apjoma samazinājums (%)</w:t>
            </w:r>
          </w:p>
        </w:tc>
        <w:tc>
          <w:tcPr>
            <w:tcW w:w="772" w:type="dxa"/>
            <w:shd w:val="clear" w:color="000000" w:fill="FFCC99"/>
            <w:vAlign w:val="bottom"/>
            <w:hideMark/>
          </w:tcPr>
          <w:p w:rsidR="00C35A7D" w:rsidRPr="001477AE" w:rsidP="00AA5180" w14:paraId="0BEEA519"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70%</w:t>
            </w:r>
          </w:p>
        </w:tc>
        <w:tc>
          <w:tcPr>
            <w:tcW w:w="1076" w:type="dxa"/>
            <w:shd w:val="clear" w:color="auto" w:fill="auto"/>
            <w:vAlign w:val="bottom"/>
            <w:hideMark/>
          </w:tcPr>
          <w:p w:rsidR="00C35A7D" w:rsidRPr="001477AE" w:rsidP="003F18C6" w14:paraId="5D405F36" w14:textId="36ABE678">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 xml:space="preserve">Personāla izmaksas (atlīdzība) </w:t>
            </w:r>
            <w:r w:rsidR="003F18C6">
              <w:rPr>
                <w:rFonts w:ascii="Times New Roman" w:eastAsia="Times New Roman" w:hAnsi="Times New Roman" w:cs="Times New Roman"/>
                <w:i/>
                <w:color w:val="000000"/>
                <w:sz w:val="20"/>
                <w:szCs w:val="20"/>
                <w:lang w:eastAsia="lv-LV"/>
              </w:rPr>
              <w:t>euro</w:t>
            </w:r>
            <w:r w:rsidRPr="001477AE">
              <w:rPr>
                <w:rFonts w:ascii="Times New Roman" w:eastAsia="Times New Roman" w:hAnsi="Times New Roman" w:cs="Times New Roman"/>
                <w:color w:val="000000"/>
                <w:sz w:val="20"/>
                <w:szCs w:val="20"/>
                <w:lang w:eastAsia="lv-LV"/>
              </w:rPr>
              <w:t xml:space="preserve"> (1 lietvedis stundā = 1230 </w:t>
            </w:r>
            <w:r w:rsidR="003F18C6">
              <w:rPr>
                <w:rFonts w:ascii="Times New Roman" w:eastAsia="Times New Roman" w:hAnsi="Times New Roman" w:cs="Times New Roman"/>
                <w:i/>
                <w:color w:val="000000"/>
                <w:sz w:val="20"/>
                <w:szCs w:val="20"/>
                <w:lang w:eastAsia="lv-LV"/>
              </w:rPr>
              <w:t>euro</w:t>
            </w:r>
            <w:r w:rsidRPr="001477AE">
              <w:rPr>
                <w:rFonts w:ascii="Times New Roman" w:eastAsia="Times New Roman" w:hAnsi="Times New Roman" w:cs="Times New Roman"/>
                <w:color w:val="000000"/>
                <w:sz w:val="20"/>
                <w:szCs w:val="20"/>
                <w:lang w:eastAsia="lv-LV"/>
              </w:rPr>
              <w:t>/166)</w:t>
            </w:r>
          </w:p>
        </w:tc>
        <w:tc>
          <w:tcPr>
            <w:tcW w:w="1104" w:type="dxa"/>
            <w:shd w:val="clear" w:color="000000" w:fill="FFCC99"/>
            <w:vAlign w:val="bottom"/>
            <w:hideMark/>
          </w:tcPr>
          <w:p w:rsidR="00C35A7D" w:rsidRPr="001477AE" w:rsidP="00AA5180" w14:paraId="09917E20" w14:textId="61FD1310">
            <w:pPr>
              <w:spacing w:before="0" w:after="0"/>
              <w:jc w:val="right"/>
              <w:rPr>
                <w:rFonts w:ascii="Times New Roman" w:eastAsia="Times New Roman" w:hAnsi="Times New Roman" w:cs="Times New Roman"/>
                <w:color w:val="3F3F76"/>
                <w:sz w:val="20"/>
                <w:szCs w:val="20"/>
                <w:lang w:eastAsia="lv-LV"/>
              </w:rPr>
            </w:pPr>
            <w:r>
              <w:rPr>
                <w:rFonts w:ascii="Times New Roman" w:eastAsia="Times New Roman" w:hAnsi="Times New Roman" w:cs="Times New Roman"/>
                <w:color w:val="3F3F76"/>
                <w:sz w:val="20"/>
                <w:szCs w:val="20"/>
                <w:lang w:eastAsia="lv-LV"/>
              </w:rPr>
              <w:t>7,40964</w:t>
            </w:r>
          </w:p>
        </w:tc>
        <w:tc>
          <w:tcPr>
            <w:tcW w:w="1373" w:type="dxa"/>
            <w:shd w:val="clear" w:color="auto" w:fill="auto"/>
            <w:vAlign w:val="bottom"/>
            <w:hideMark/>
          </w:tcPr>
          <w:p w:rsidR="00C35A7D" w:rsidRPr="001477AE" w:rsidP="00AA5180" w14:paraId="2DA04D7F"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Lietvežu darba laika ietaupījums = (1BL x 2BL x 3BL)/166 (darba stundas mēnesī)</w:t>
            </w:r>
          </w:p>
        </w:tc>
        <w:tc>
          <w:tcPr>
            <w:tcW w:w="911" w:type="dxa"/>
            <w:shd w:val="clear" w:color="auto" w:fill="auto"/>
            <w:vAlign w:val="bottom"/>
            <w:hideMark/>
          </w:tcPr>
          <w:p w:rsidR="00C35A7D" w:rsidRPr="001477AE" w:rsidP="00AA5180" w14:paraId="79C9B9A1"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cilv.mēn</w:t>
            </w:r>
          </w:p>
        </w:tc>
        <w:tc>
          <w:tcPr>
            <w:tcW w:w="551" w:type="dxa"/>
            <w:shd w:val="clear" w:color="000000" w:fill="F2F2F2"/>
            <w:vAlign w:val="bottom"/>
            <w:hideMark/>
          </w:tcPr>
          <w:p w:rsidR="00C35A7D" w:rsidRPr="001477AE" w:rsidP="00AA5180" w14:paraId="4AE3540B" w14:textId="77777777">
            <w:pPr>
              <w:spacing w:before="0" w:after="0"/>
              <w:jc w:val="right"/>
              <w:rPr>
                <w:rFonts w:ascii="Times New Roman" w:eastAsia="Times New Roman" w:hAnsi="Times New Roman" w:cs="Times New Roman"/>
                <w:b/>
                <w:bCs/>
                <w:color w:val="FA7D00"/>
                <w:sz w:val="20"/>
                <w:szCs w:val="20"/>
                <w:lang w:eastAsia="lv-LV"/>
              </w:rPr>
            </w:pPr>
            <w:r w:rsidRPr="001477AE">
              <w:rPr>
                <w:rFonts w:ascii="Times New Roman" w:eastAsia="Times New Roman" w:hAnsi="Times New Roman" w:cs="Times New Roman"/>
                <w:b/>
                <w:bCs/>
                <w:color w:val="FA7D00"/>
                <w:sz w:val="20"/>
                <w:szCs w:val="20"/>
                <w:lang w:eastAsia="lv-LV"/>
              </w:rPr>
              <w:t>34</w:t>
            </w:r>
          </w:p>
        </w:tc>
        <w:tc>
          <w:tcPr>
            <w:tcW w:w="851" w:type="dxa"/>
            <w:shd w:val="clear" w:color="auto" w:fill="auto"/>
            <w:vAlign w:val="bottom"/>
            <w:hideMark/>
          </w:tcPr>
          <w:p w:rsidR="00C35A7D" w:rsidRPr="001477AE" w:rsidP="00AA5180" w14:paraId="0E1BFBE5"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1BL x 2BL x 3BL x 4BL</w:t>
            </w:r>
          </w:p>
        </w:tc>
        <w:tc>
          <w:tcPr>
            <w:tcW w:w="927" w:type="dxa"/>
            <w:shd w:val="clear" w:color="000000" w:fill="F2F2F2"/>
            <w:vAlign w:val="bottom"/>
            <w:hideMark/>
          </w:tcPr>
          <w:p w:rsidR="00C35A7D" w:rsidRPr="001940EC" w:rsidP="001940EC" w14:paraId="629B481F" w14:textId="74D5DBFD">
            <w:pPr>
              <w:spacing w:before="0" w:after="0"/>
              <w:jc w:val="right"/>
              <w:rPr>
                <w:rFonts w:ascii="Times New Roman" w:eastAsia="Times New Roman" w:hAnsi="Times New Roman" w:cs="Times New Roman"/>
                <w:b/>
                <w:bCs/>
                <w:color w:val="FA7D00"/>
                <w:sz w:val="18"/>
                <w:szCs w:val="18"/>
                <w:lang w:eastAsia="lv-LV"/>
              </w:rPr>
            </w:pPr>
            <w:r w:rsidRPr="001940EC">
              <w:rPr>
                <w:rFonts w:ascii="Times New Roman" w:eastAsia="Times New Roman" w:hAnsi="Times New Roman" w:cs="Times New Roman"/>
                <w:b/>
                <w:bCs/>
                <w:color w:val="FA7D00"/>
                <w:sz w:val="18"/>
                <w:szCs w:val="18"/>
                <w:lang w:eastAsia="lv-LV"/>
              </w:rPr>
              <w:t>41 494</w:t>
            </w:r>
          </w:p>
        </w:tc>
      </w:tr>
      <w:tr w14:paraId="721DCF14" w14:textId="77777777" w:rsidTr="00002DE9">
        <w:tblPrEx>
          <w:tblW w:w="0" w:type="auto"/>
          <w:tblInd w:w="108" w:type="dxa"/>
          <w:tblLayout w:type="fixed"/>
          <w:tblLook w:val="04A0"/>
        </w:tblPrEx>
        <w:trPr>
          <w:trHeight w:val="472"/>
        </w:trPr>
        <w:tc>
          <w:tcPr>
            <w:tcW w:w="1405" w:type="dxa"/>
            <w:shd w:val="clear" w:color="auto" w:fill="auto"/>
            <w:vAlign w:val="bottom"/>
            <w:hideMark/>
          </w:tcPr>
          <w:p w:rsidR="00C35A7D" w:rsidRPr="001477AE" w:rsidP="00AA5180" w14:paraId="53814949"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TAP u.c. projektu, to izziņu un atzinumu sagatavošana un saskaņošana</w:t>
            </w:r>
          </w:p>
        </w:tc>
        <w:tc>
          <w:tcPr>
            <w:tcW w:w="1137" w:type="dxa"/>
            <w:shd w:val="clear" w:color="auto" w:fill="auto"/>
            <w:vAlign w:val="bottom"/>
            <w:hideMark/>
          </w:tcPr>
          <w:p w:rsidR="00C35A7D" w:rsidRPr="001477AE" w:rsidP="00AA5180" w14:paraId="21E55D72"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virzāmo TAP un saistīto dokumentu skaits gadā</w:t>
            </w:r>
          </w:p>
        </w:tc>
        <w:tc>
          <w:tcPr>
            <w:tcW w:w="772" w:type="dxa"/>
            <w:shd w:val="clear" w:color="000000" w:fill="FFCC99"/>
            <w:vAlign w:val="bottom"/>
            <w:hideMark/>
          </w:tcPr>
          <w:p w:rsidR="00C35A7D" w:rsidRPr="001477AE" w:rsidP="00AA5180" w14:paraId="773EB5C7"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40000</w:t>
            </w:r>
          </w:p>
        </w:tc>
        <w:tc>
          <w:tcPr>
            <w:tcW w:w="1380" w:type="dxa"/>
            <w:shd w:val="clear" w:color="auto" w:fill="auto"/>
            <w:vAlign w:val="bottom"/>
            <w:hideMark/>
          </w:tcPr>
          <w:p w:rsidR="00C35A7D" w:rsidRPr="001477AE" w:rsidP="00AA5180" w14:paraId="3BD08B8E"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Darba laiks (stundās) 1 dokumenta sagatavošanai vai saskaņošanai</w:t>
            </w:r>
          </w:p>
        </w:tc>
        <w:tc>
          <w:tcPr>
            <w:tcW w:w="772" w:type="dxa"/>
            <w:shd w:val="clear" w:color="000000" w:fill="FFCC99"/>
            <w:vAlign w:val="bottom"/>
            <w:hideMark/>
          </w:tcPr>
          <w:p w:rsidR="00C35A7D" w:rsidRPr="001477AE" w:rsidP="00AA5180" w14:paraId="4A868E97"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8</w:t>
            </w:r>
          </w:p>
        </w:tc>
        <w:tc>
          <w:tcPr>
            <w:tcW w:w="1363" w:type="dxa"/>
            <w:shd w:val="clear" w:color="auto" w:fill="auto"/>
            <w:vAlign w:val="bottom"/>
            <w:hideMark/>
          </w:tcPr>
          <w:p w:rsidR="00C35A7D" w:rsidRPr="001477AE" w:rsidP="00AA5180" w14:paraId="2719260D"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Darba apjoma samazinājums (%)</w:t>
            </w:r>
          </w:p>
        </w:tc>
        <w:tc>
          <w:tcPr>
            <w:tcW w:w="772" w:type="dxa"/>
            <w:shd w:val="clear" w:color="000000" w:fill="FFCC99"/>
            <w:vAlign w:val="bottom"/>
            <w:hideMark/>
          </w:tcPr>
          <w:p w:rsidR="00C35A7D" w:rsidRPr="001477AE" w:rsidP="00AA5180" w14:paraId="0AD5897B"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30%</w:t>
            </w:r>
          </w:p>
        </w:tc>
        <w:tc>
          <w:tcPr>
            <w:tcW w:w="1076" w:type="dxa"/>
            <w:shd w:val="clear" w:color="auto" w:fill="auto"/>
            <w:vAlign w:val="bottom"/>
            <w:hideMark/>
          </w:tcPr>
          <w:p w:rsidR="00C35A7D" w:rsidRPr="001477AE" w:rsidP="003F18C6" w14:paraId="3D07F579" w14:textId="51CB203C">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 xml:space="preserve">Personāla izmaksas (atlīdzība) </w:t>
            </w:r>
            <w:r w:rsidR="003F18C6">
              <w:rPr>
                <w:rFonts w:ascii="Times New Roman" w:eastAsia="Times New Roman" w:hAnsi="Times New Roman" w:cs="Times New Roman"/>
                <w:i/>
                <w:color w:val="000000"/>
                <w:sz w:val="20"/>
                <w:szCs w:val="20"/>
                <w:lang w:eastAsia="lv-LV"/>
              </w:rPr>
              <w:t>euro</w:t>
            </w:r>
            <w:r w:rsidRPr="001477AE">
              <w:rPr>
                <w:rFonts w:ascii="Times New Roman" w:eastAsia="Times New Roman" w:hAnsi="Times New Roman" w:cs="Times New Roman"/>
                <w:color w:val="000000"/>
                <w:sz w:val="20"/>
                <w:szCs w:val="20"/>
                <w:lang w:eastAsia="lv-LV"/>
              </w:rPr>
              <w:t xml:space="preserve"> (1 speciālists stundā = 2035 </w:t>
            </w:r>
            <w:r w:rsidR="003F18C6">
              <w:rPr>
                <w:rFonts w:ascii="Times New Roman" w:eastAsia="Times New Roman" w:hAnsi="Times New Roman" w:cs="Times New Roman"/>
                <w:i/>
                <w:color w:val="000000"/>
                <w:sz w:val="20"/>
                <w:szCs w:val="20"/>
                <w:lang w:eastAsia="lv-LV"/>
              </w:rPr>
              <w:t>euro</w:t>
            </w:r>
            <w:r w:rsidRPr="001477AE">
              <w:rPr>
                <w:rFonts w:ascii="Times New Roman" w:eastAsia="Times New Roman" w:hAnsi="Times New Roman" w:cs="Times New Roman"/>
                <w:color w:val="000000"/>
                <w:sz w:val="20"/>
                <w:szCs w:val="20"/>
                <w:lang w:eastAsia="lv-LV"/>
              </w:rPr>
              <w:t>/166)</w:t>
            </w:r>
          </w:p>
        </w:tc>
        <w:tc>
          <w:tcPr>
            <w:tcW w:w="1104" w:type="dxa"/>
            <w:shd w:val="clear" w:color="000000" w:fill="FFCC99"/>
            <w:vAlign w:val="bottom"/>
            <w:hideMark/>
          </w:tcPr>
          <w:p w:rsidR="00C35A7D" w:rsidRPr="001477AE" w:rsidP="00002DE9" w14:paraId="7560E8DD" w14:textId="02459D6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12,</w:t>
            </w:r>
            <w:r w:rsidR="00002DE9">
              <w:rPr>
                <w:rFonts w:ascii="Times New Roman" w:eastAsia="Times New Roman" w:hAnsi="Times New Roman" w:cs="Times New Roman"/>
                <w:color w:val="3F3F76"/>
                <w:sz w:val="20"/>
                <w:szCs w:val="20"/>
                <w:lang w:eastAsia="lv-LV"/>
              </w:rPr>
              <w:t>259036</w:t>
            </w:r>
          </w:p>
        </w:tc>
        <w:tc>
          <w:tcPr>
            <w:tcW w:w="1373" w:type="dxa"/>
            <w:shd w:val="clear" w:color="auto" w:fill="auto"/>
            <w:vAlign w:val="bottom"/>
            <w:hideMark/>
          </w:tcPr>
          <w:p w:rsidR="00C35A7D" w:rsidRPr="001477AE" w:rsidP="00AA5180" w14:paraId="21D2522F"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Speciālistu darba laika ietaupījums = (1BL x 2BL x 3BL)/166 (darba stundas mēnesī)</w:t>
            </w:r>
          </w:p>
        </w:tc>
        <w:tc>
          <w:tcPr>
            <w:tcW w:w="911" w:type="dxa"/>
            <w:shd w:val="clear" w:color="auto" w:fill="auto"/>
            <w:vAlign w:val="bottom"/>
            <w:hideMark/>
          </w:tcPr>
          <w:p w:rsidR="00C35A7D" w:rsidRPr="001477AE" w:rsidP="00AA5180" w14:paraId="1CA79E22"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cilv.mēn</w:t>
            </w:r>
          </w:p>
        </w:tc>
        <w:tc>
          <w:tcPr>
            <w:tcW w:w="551" w:type="dxa"/>
            <w:shd w:val="clear" w:color="000000" w:fill="F2F2F2"/>
            <w:vAlign w:val="bottom"/>
            <w:hideMark/>
          </w:tcPr>
          <w:p w:rsidR="00C35A7D" w:rsidRPr="001477AE" w:rsidP="00AA5180" w14:paraId="656A35A6" w14:textId="77777777">
            <w:pPr>
              <w:spacing w:before="0" w:after="0"/>
              <w:jc w:val="right"/>
              <w:rPr>
                <w:rFonts w:ascii="Times New Roman" w:eastAsia="Times New Roman" w:hAnsi="Times New Roman" w:cs="Times New Roman"/>
                <w:b/>
                <w:bCs/>
                <w:color w:val="FA7D00"/>
                <w:sz w:val="20"/>
                <w:szCs w:val="20"/>
                <w:lang w:eastAsia="lv-LV"/>
              </w:rPr>
            </w:pPr>
            <w:r w:rsidRPr="001477AE">
              <w:rPr>
                <w:rFonts w:ascii="Times New Roman" w:eastAsia="Times New Roman" w:hAnsi="Times New Roman" w:cs="Times New Roman"/>
                <w:b/>
                <w:bCs/>
                <w:color w:val="FA7D00"/>
                <w:sz w:val="20"/>
                <w:szCs w:val="20"/>
                <w:lang w:eastAsia="lv-LV"/>
              </w:rPr>
              <w:t>578</w:t>
            </w:r>
          </w:p>
        </w:tc>
        <w:tc>
          <w:tcPr>
            <w:tcW w:w="851" w:type="dxa"/>
            <w:shd w:val="clear" w:color="auto" w:fill="auto"/>
            <w:vAlign w:val="bottom"/>
            <w:hideMark/>
          </w:tcPr>
          <w:p w:rsidR="00C35A7D" w:rsidRPr="001477AE" w:rsidP="00AA5180" w14:paraId="3698FD18"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1BL x 2BL x 3BL x 4BL</w:t>
            </w:r>
          </w:p>
        </w:tc>
        <w:tc>
          <w:tcPr>
            <w:tcW w:w="927" w:type="dxa"/>
            <w:shd w:val="clear" w:color="000000" w:fill="F2F2F2"/>
            <w:vAlign w:val="bottom"/>
            <w:hideMark/>
          </w:tcPr>
          <w:p w:rsidR="00C35A7D" w:rsidRPr="001940EC" w:rsidP="001940EC" w14:paraId="263248C1" w14:textId="001454A2">
            <w:pPr>
              <w:spacing w:before="0" w:after="0"/>
              <w:jc w:val="right"/>
              <w:rPr>
                <w:rFonts w:ascii="Times New Roman" w:eastAsia="Times New Roman" w:hAnsi="Times New Roman" w:cs="Times New Roman"/>
                <w:b/>
                <w:bCs/>
                <w:color w:val="FA7D00"/>
                <w:sz w:val="16"/>
                <w:szCs w:val="16"/>
                <w:lang w:eastAsia="lv-LV"/>
              </w:rPr>
            </w:pPr>
            <w:r w:rsidRPr="001940EC">
              <w:rPr>
                <w:rFonts w:ascii="Times New Roman" w:eastAsia="Times New Roman" w:hAnsi="Times New Roman" w:cs="Times New Roman"/>
                <w:b/>
                <w:bCs/>
                <w:color w:val="FA7D00"/>
                <w:sz w:val="16"/>
                <w:szCs w:val="16"/>
                <w:lang w:eastAsia="lv-LV"/>
              </w:rPr>
              <w:t>1 176 867</w:t>
            </w:r>
          </w:p>
        </w:tc>
      </w:tr>
      <w:tr w14:paraId="291BA0D0" w14:textId="77777777" w:rsidTr="00002DE9">
        <w:tblPrEx>
          <w:tblW w:w="0" w:type="auto"/>
          <w:tblInd w:w="108" w:type="dxa"/>
          <w:tblLayout w:type="fixed"/>
          <w:tblLook w:val="04A0"/>
        </w:tblPrEx>
        <w:trPr>
          <w:trHeight w:val="1545"/>
        </w:trPr>
        <w:tc>
          <w:tcPr>
            <w:tcW w:w="1405" w:type="dxa"/>
            <w:shd w:val="clear" w:color="auto" w:fill="auto"/>
            <w:vAlign w:val="bottom"/>
            <w:hideMark/>
          </w:tcPr>
          <w:p w:rsidR="00C35A7D" w:rsidRPr="001477AE" w:rsidP="00AA5180" w14:paraId="7C9E3097" w14:textId="00894E7C">
            <w:pPr>
              <w:spacing w:before="0"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w:t>
            </w:r>
            <w:r w:rsidRPr="001477AE">
              <w:rPr>
                <w:rFonts w:ascii="Times New Roman" w:eastAsia="Times New Roman" w:hAnsi="Times New Roman" w:cs="Times New Roman"/>
                <w:color w:val="000000"/>
                <w:sz w:val="20"/>
                <w:szCs w:val="20"/>
                <w:lang w:eastAsia="lv-LV"/>
              </w:rPr>
              <w:t>rojektu izsludināšanas un virzības procedūras vienkāršošana</w:t>
            </w:r>
          </w:p>
        </w:tc>
        <w:tc>
          <w:tcPr>
            <w:tcW w:w="1137" w:type="dxa"/>
            <w:shd w:val="clear" w:color="auto" w:fill="auto"/>
            <w:vAlign w:val="bottom"/>
            <w:hideMark/>
          </w:tcPr>
          <w:p w:rsidR="00C35A7D" w:rsidRPr="001477AE" w:rsidP="00AA5180" w14:paraId="5BBB1AA6" w14:textId="5377B7EC">
            <w:pPr>
              <w:spacing w:before="0" w:after="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TAP </w:t>
            </w:r>
            <w:r w:rsidRPr="001477AE">
              <w:rPr>
                <w:rFonts w:ascii="Times New Roman" w:eastAsia="Times New Roman" w:hAnsi="Times New Roman" w:cs="Times New Roman"/>
                <w:color w:val="000000"/>
                <w:sz w:val="20"/>
                <w:szCs w:val="20"/>
                <w:lang w:eastAsia="lv-LV"/>
              </w:rPr>
              <w:t>skaits gadā</w:t>
            </w:r>
          </w:p>
        </w:tc>
        <w:tc>
          <w:tcPr>
            <w:tcW w:w="772" w:type="dxa"/>
            <w:shd w:val="clear" w:color="000000" w:fill="FFCC99"/>
            <w:vAlign w:val="bottom"/>
            <w:hideMark/>
          </w:tcPr>
          <w:p w:rsidR="00C35A7D" w:rsidRPr="001477AE" w:rsidP="00AA5180" w14:paraId="33FA2DA5"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1500</w:t>
            </w:r>
          </w:p>
        </w:tc>
        <w:tc>
          <w:tcPr>
            <w:tcW w:w="1380" w:type="dxa"/>
            <w:shd w:val="clear" w:color="auto" w:fill="auto"/>
            <w:vAlign w:val="bottom"/>
            <w:hideMark/>
          </w:tcPr>
          <w:p w:rsidR="00C35A7D" w:rsidRPr="001477AE" w:rsidP="00AA5180" w14:paraId="1FB5D687"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Darba laiks (stundās) 1 TAP izsludināšanai un virzībai</w:t>
            </w:r>
          </w:p>
        </w:tc>
        <w:tc>
          <w:tcPr>
            <w:tcW w:w="772" w:type="dxa"/>
            <w:shd w:val="clear" w:color="000000" w:fill="FFCC99"/>
            <w:vAlign w:val="bottom"/>
            <w:hideMark/>
          </w:tcPr>
          <w:p w:rsidR="00C35A7D" w:rsidRPr="001477AE" w:rsidP="00AA5180" w14:paraId="1DF3CCBE"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8</w:t>
            </w:r>
          </w:p>
        </w:tc>
        <w:tc>
          <w:tcPr>
            <w:tcW w:w="1363" w:type="dxa"/>
            <w:shd w:val="clear" w:color="auto" w:fill="auto"/>
            <w:vAlign w:val="bottom"/>
            <w:hideMark/>
          </w:tcPr>
          <w:p w:rsidR="00C35A7D" w:rsidRPr="001477AE" w:rsidP="00AA5180" w14:paraId="2D024461"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Darba apjoma samazinājums (%)</w:t>
            </w:r>
          </w:p>
        </w:tc>
        <w:tc>
          <w:tcPr>
            <w:tcW w:w="772" w:type="dxa"/>
            <w:shd w:val="clear" w:color="000000" w:fill="FFCC99"/>
            <w:vAlign w:val="bottom"/>
            <w:hideMark/>
          </w:tcPr>
          <w:p w:rsidR="00C35A7D" w:rsidRPr="001477AE" w:rsidP="00AA5180" w14:paraId="4B060F49"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85%</w:t>
            </w:r>
          </w:p>
        </w:tc>
        <w:tc>
          <w:tcPr>
            <w:tcW w:w="1076" w:type="dxa"/>
            <w:shd w:val="clear" w:color="auto" w:fill="auto"/>
            <w:vAlign w:val="bottom"/>
            <w:hideMark/>
          </w:tcPr>
          <w:p w:rsidR="00C35A7D" w:rsidRPr="001477AE" w:rsidP="003F18C6" w14:paraId="42853963" w14:textId="29DB576D">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 xml:space="preserve">Personāla izmaksas (atlīdzība) </w:t>
            </w:r>
            <w:r w:rsidR="003F18C6">
              <w:rPr>
                <w:rFonts w:ascii="Times New Roman" w:eastAsia="Times New Roman" w:hAnsi="Times New Roman" w:cs="Times New Roman"/>
                <w:i/>
                <w:color w:val="000000"/>
                <w:sz w:val="20"/>
                <w:szCs w:val="20"/>
                <w:lang w:eastAsia="lv-LV"/>
              </w:rPr>
              <w:t>euro</w:t>
            </w:r>
            <w:r w:rsidRPr="001477AE">
              <w:rPr>
                <w:rFonts w:ascii="Times New Roman" w:eastAsia="Times New Roman" w:hAnsi="Times New Roman" w:cs="Times New Roman"/>
                <w:color w:val="000000"/>
                <w:sz w:val="20"/>
                <w:szCs w:val="20"/>
                <w:lang w:eastAsia="lv-LV"/>
              </w:rPr>
              <w:t xml:space="preserve"> (1 speciālists stundā = 1632 </w:t>
            </w:r>
            <w:r w:rsidR="003F18C6">
              <w:rPr>
                <w:rFonts w:ascii="Times New Roman" w:eastAsia="Times New Roman" w:hAnsi="Times New Roman" w:cs="Times New Roman"/>
                <w:i/>
                <w:color w:val="000000"/>
                <w:sz w:val="20"/>
                <w:szCs w:val="20"/>
                <w:lang w:eastAsia="lv-LV"/>
              </w:rPr>
              <w:t>euro</w:t>
            </w:r>
            <w:r w:rsidRPr="001477AE">
              <w:rPr>
                <w:rFonts w:ascii="Times New Roman" w:eastAsia="Times New Roman" w:hAnsi="Times New Roman" w:cs="Times New Roman"/>
                <w:color w:val="000000"/>
                <w:sz w:val="20"/>
                <w:szCs w:val="20"/>
                <w:lang w:eastAsia="lv-LV"/>
              </w:rPr>
              <w:t>/166)</w:t>
            </w:r>
          </w:p>
        </w:tc>
        <w:tc>
          <w:tcPr>
            <w:tcW w:w="1104" w:type="dxa"/>
            <w:shd w:val="clear" w:color="000000" w:fill="FFCC99"/>
            <w:vAlign w:val="bottom"/>
            <w:hideMark/>
          </w:tcPr>
          <w:p w:rsidR="00C35A7D" w:rsidRPr="001477AE" w:rsidP="00002DE9" w14:paraId="0BF76AF4" w14:textId="643E123E">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9,</w:t>
            </w:r>
            <w:r w:rsidR="00002DE9">
              <w:rPr>
                <w:rFonts w:ascii="Times New Roman" w:eastAsia="Times New Roman" w:hAnsi="Times New Roman" w:cs="Times New Roman"/>
                <w:color w:val="3F3F76"/>
                <w:sz w:val="20"/>
                <w:szCs w:val="20"/>
                <w:lang w:eastAsia="lv-LV"/>
              </w:rPr>
              <w:t>831325</w:t>
            </w:r>
          </w:p>
        </w:tc>
        <w:tc>
          <w:tcPr>
            <w:tcW w:w="1373" w:type="dxa"/>
            <w:shd w:val="clear" w:color="auto" w:fill="auto"/>
            <w:vAlign w:val="bottom"/>
            <w:hideMark/>
          </w:tcPr>
          <w:p w:rsidR="00C35A7D" w:rsidRPr="001477AE" w:rsidP="00AA5180" w14:paraId="2DCEB9E8"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Speciālistu darba laika ietaupījums = (1BL x 2BL x 3BL)/166 (darba stundas mēnesī)</w:t>
            </w:r>
          </w:p>
        </w:tc>
        <w:tc>
          <w:tcPr>
            <w:tcW w:w="911" w:type="dxa"/>
            <w:shd w:val="clear" w:color="auto" w:fill="auto"/>
            <w:vAlign w:val="bottom"/>
            <w:hideMark/>
          </w:tcPr>
          <w:p w:rsidR="00C35A7D" w:rsidRPr="001477AE" w:rsidP="00AA5180" w14:paraId="6EBEB3A6"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cilv.mēn</w:t>
            </w:r>
          </w:p>
        </w:tc>
        <w:tc>
          <w:tcPr>
            <w:tcW w:w="551" w:type="dxa"/>
            <w:shd w:val="clear" w:color="000000" w:fill="F2F2F2"/>
            <w:vAlign w:val="bottom"/>
            <w:hideMark/>
          </w:tcPr>
          <w:p w:rsidR="00C35A7D" w:rsidRPr="001477AE" w:rsidP="00AA5180" w14:paraId="24FED441" w14:textId="77777777">
            <w:pPr>
              <w:spacing w:before="0" w:after="0"/>
              <w:jc w:val="right"/>
              <w:rPr>
                <w:rFonts w:ascii="Times New Roman" w:eastAsia="Times New Roman" w:hAnsi="Times New Roman" w:cs="Times New Roman"/>
                <w:b/>
                <w:bCs/>
                <w:color w:val="FA7D00"/>
                <w:sz w:val="20"/>
                <w:szCs w:val="20"/>
                <w:lang w:eastAsia="lv-LV"/>
              </w:rPr>
            </w:pPr>
            <w:r w:rsidRPr="001477AE">
              <w:rPr>
                <w:rFonts w:ascii="Times New Roman" w:eastAsia="Times New Roman" w:hAnsi="Times New Roman" w:cs="Times New Roman"/>
                <w:b/>
                <w:bCs/>
                <w:color w:val="FA7D00"/>
                <w:sz w:val="20"/>
                <w:szCs w:val="20"/>
                <w:lang w:eastAsia="lv-LV"/>
              </w:rPr>
              <w:t>61</w:t>
            </w:r>
          </w:p>
        </w:tc>
        <w:tc>
          <w:tcPr>
            <w:tcW w:w="851" w:type="dxa"/>
            <w:shd w:val="clear" w:color="auto" w:fill="auto"/>
            <w:vAlign w:val="bottom"/>
            <w:hideMark/>
          </w:tcPr>
          <w:p w:rsidR="00C35A7D" w:rsidRPr="001477AE" w:rsidP="00AA5180" w14:paraId="5F217949"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1BL x 2BL x 3BL x 4BL</w:t>
            </w:r>
          </w:p>
        </w:tc>
        <w:tc>
          <w:tcPr>
            <w:tcW w:w="927" w:type="dxa"/>
            <w:shd w:val="clear" w:color="000000" w:fill="F2F2F2"/>
            <w:vAlign w:val="bottom"/>
            <w:hideMark/>
          </w:tcPr>
          <w:p w:rsidR="00C35A7D" w:rsidRPr="001940EC" w:rsidP="001940EC" w14:paraId="2236BDCA" w14:textId="29487E37">
            <w:pPr>
              <w:spacing w:before="0" w:after="0"/>
              <w:jc w:val="right"/>
              <w:rPr>
                <w:rFonts w:ascii="Times New Roman" w:eastAsia="Times New Roman" w:hAnsi="Times New Roman" w:cs="Times New Roman"/>
                <w:b/>
                <w:bCs/>
                <w:color w:val="FA7D00"/>
                <w:sz w:val="18"/>
                <w:szCs w:val="18"/>
                <w:lang w:eastAsia="lv-LV"/>
              </w:rPr>
            </w:pPr>
            <w:r>
              <w:rPr>
                <w:rFonts w:ascii="Times New Roman" w:eastAsia="Times New Roman" w:hAnsi="Times New Roman" w:cs="Times New Roman"/>
                <w:b/>
                <w:bCs/>
                <w:color w:val="FA7D00"/>
                <w:sz w:val="18"/>
                <w:szCs w:val="18"/>
                <w:lang w:eastAsia="lv-LV"/>
              </w:rPr>
              <w:t>100 280</w:t>
            </w:r>
          </w:p>
        </w:tc>
      </w:tr>
      <w:tr w14:paraId="0AA943B9" w14:textId="77777777" w:rsidTr="00002DE9">
        <w:tblPrEx>
          <w:tblW w:w="0" w:type="auto"/>
          <w:tblInd w:w="108" w:type="dxa"/>
          <w:tblLayout w:type="fixed"/>
          <w:tblLook w:val="04A0"/>
        </w:tblPrEx>
        <w:trPr>
          <w:trHeight w:val="800"/>
        </w:trPr>
        <w:tc>
          <w:tcPr>
            <w:tcW w:w="1405" w:type="dxa"/>
            <w:shd w:val="clear" w:color="auto" w:fill="auto"/>
            <w:vAlign w:val="bottom"/>
            <w:hideMark/>
          </w:tcPr>
          <w:p w:rsidR="00C35A7D" w:rsidRPr="001477AE" w:rsidP="00AA5180" w14:paraId="23F50868"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TAP kvalitātes uzlabojumi e-pakalpojuma ieviešanas rezultātā</w:t>
            </w:r>
          </w:p>
        </w:tc>
        <w:tc>
          <w:tcPr>
            <w:tcW w:w="1137" w:type="dxa"/>
            <w:shd w:val="clear" w:color="auto" w:fill="auto"/>
            <w:vAlign w:val="bottom"/>
            <w:hideMark/>
          </w:tcPr>
          <w:p w:rsidR="00C35A7D" w:rsidRPr="001477AE" w:rsidP="00AA5180" w14:paraId="0A504424"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TAP grozījumu skaits gadā</w:t>
            </w:r>
          </w:p>
        </w:tc>
        <w:tc>
          <w:tcPr>
            <w:tcW w:w="772" w:type="dxa"/>
            <w:shd w:val="clear" w:color="000000" w:fill="FFCC99"/>
            <w:vAlign w:val="bottom"/>
            <w:hideMark/>
          </w:tcPr>
          <w:p w:rsidR="00C35A7D" w:rsidRPr="001477AE" w:rsidP="00AA5180" w14:paraId="4452E20F"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865</w:t>
            </w:r>
          </w:p>
        </w:tc>
        <w:tc>
          <w:tcPr>
            <w:tcW w:w="1380" w:type="dxa"/>
            <w:shd w:val="clear" w:color="auto" w:fill="auto"/>
            <w:vAlign w:val="bottom"/>
            <w:hideMark/>
          </w:tcPr>
          <w:p w:rsidR="00C35A7D" w:rsidRPr="001477AE" w:rsidP="00AA5180" w14:paraId="3AB73024"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 xml:space="preserve">Viena TAP grozījumu kopējās izmaksas </w:t>
            </w:r>
            <w:r w:rsidRPr="001477AE">
              <w:rPr>
                <w:rFonts w:ascii="Times New Roman" w:eastAsia="Times New Roman" w:hAnsi="Times New Roman" w:cs="Times New Roman"/>
                <w:i/>
                <w:iCs/>
                <w:color w:val="000000"/>
                <w:sz w:val="20"/>
                <w:szCs w:val="20"/>
                <w:lang w:eastAsia="lv-LV"/>
              </w:rPr>
              <w:t>euro</w:t>
            </w:r>
          </w:p>
        </w:tc>
        <w:tc>
          <w:tcPr>
            <w:tcW w:w="772" w:type="dxa"/>
            <w:shd w:val="clear" w:color="000000" w:fill="FABF8F"/>
            <w:vAlign w:val="bottom"/>
            <w:hideMark/>
          </w:tcPr>
          <w:p w:rsidR="00C35A7D" w:rsidRPr="001477AE" w:rsidP="00AA5180" w14:paraId="20BEB4FD"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1000</w:t>
            </w:r>
          </w:p>
        </w:tc>
        <w:tc>
          <w:tcPr>
            <w:tcW w:w="1363" w:type="dxa"/>
            <w:shd w:val="clear" w:color="auto" w:fill="auto"/>
            <w:vAlign w:val="bottom"/>
            <w:hideMark/>
          </w:tcPr>
          <w:p w:rsidR="00C35A7D" w:rsidRPr="001477AE" w:rsidP="00AA5180" w14:paraId="4F321491"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Grozījumu skaita samazinājums (%)</w:t>
            </w:r>
          </w:p>
        </w:tc>
        <w:tc>
          <w:tcPr>
            <w:tcW w:w="772" w:type="dxa"/>
            <w:shd w:val="clear" w:color="000000" w:fill="FFCC99"/>
            <w:vAlign w:val="bottom"/>
            <w:hideMark/>
          </w:tcPr>
          <w:p w:rsidR="00C35A7D" w:rsidRPr="001477AE" w:rsidP="00AA5180" w14:paraId="4F4BE387" w14:textId="77777777">
            <w:pPr>
              <w:spacing w:before="0" w:after="0"/>
              <w:jc w:val="right"/>
              <w:rPr>
                <w:rFonts w:ascii="Times New Roman" w:eastAsia="Times New Roman" w:hAnsi="Times New Roman" w:cs="Times New Roman"/>
                <w:color w:val="3F3F76"/>
                <w:sz w:val="20"/>
                <w:szCs w:val="20"/>
                <w:lang w:eastAsia="lv-LV"/>
              </w:rPr>
            </w:pPr>
            <w:r w:rsidRPr="001477AE">
              <w:rPr>
                <w:rFonts w:ascii="Times New Roman" w:eastAsia="Times New Roman" w:hAnsi="Times New Roman" w:cs="Times New Roman"/>
                <w:color w:val="3F3F76"/>
                <w:sz w:val="20"/>
                <w:szCs w:val="20"/>
                <w:lang w:eastAsia="lv-LV"/>
              </w:rPr>
              <w:t>5%</w:t>
            </w:r>
          </w:p>
        </w:tc>
        <w:tc>
          <w:tcPr>
            <w:tcW w:w="1076" w:type="dxa"/>
            <w:shd w:val="clear" w:color="auto" w:fill="auto"/>
            <w:vAlign w:val="bottom"/>
            <w:hideMark/>
          </w:tcPr>
          <w:p w:rsidR="00C35A7D" w:rsidRPr="001477AE" w:rsidP="00AA5180" w14:paraId="2D649E9E" w14:textId="77777777">
            <w:pPr>
              <w:spacing w:before="0" w:after="0"/>
              <w:jc w:val="right"/>
              <w:rPr>
                <w:rFonts w:ascii="Times New Roman" w:eastAsia="Times New Roman" w:hAnsi="Times New Roman" w:cs="Times New Roman"/>
                <w:color w:val="3F3F76"/>
                <w:sz w:val="20"/>
                <w:szCs w:val="20"/>
                <w:lang w:eastAsia="lv-LV"/>
              </w:rPr>
            </w:pPr>
          </w:p>
        </w:tc>
        <w:tc>
          <w:tcPr>
            <w:tcW w:w="1104" w:type="dxa"/>
            <w:shd w:val="clear" w:color="auto" w:fill="auto"/>
            <w:vAlign w:val="bottom"/>
            <w:hideMark/>
          </w:tcPr>
          <w:p w:rsidR="00C35A7D" w:rsidRPr="001477AE" w:rsidP="00AA5180" w14:paraId="0825CE72" w14:textId="77777777">
            <w:pPr>
              <w:spacing w:before="0" w:after="0"/>
              <w:rPr>
                <w:rFonts w:ascii="Times New Roman" w:eastAsia="Times New Roman" w:hAnsi="Times New Roman" w:cs="Times New Roman"/>
                <w:sz w:val="20"/>
                <w:szCs w:val="20"/>
                <w:lang w:eastAsia="lv-LV"/>
              </w:rPr>
            </w:pPr>
          </w:p>
        </w:tc>
        <w:tc>
          <w:tcPr>
            <w:tcW w:w="1373" w:type="dxa"/>
            <w:shd w:val="clear" w:color="auto" w:fill="auto"/>
            <w:vAlign w:val="bottom"/>
            <w:hideMark/>
          </w:tcPr>
          <w:p w:rsidR="00C35A7D" w:rsidRPr="001477AE" w:rsidP="00AA5180" w14:paraId="2D6DA3FD"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 xml:space="preserve"> TAP grozījumu izmaksu samazinājums gadā</w:t>
            </w:r>
          </w:p>
        </w:tc>
        <w:tc>
          <w:tcPr>
            <w:tcW w:w="911" w:type="dxa"/>
            <w:shd w:val="clear" w:color="auto" w:fill="auto"/>
            <w:vAlign w:val="bottom"/>
            <w:hideMark/>
          </w:tcPr>
          <w:p w:rsidR="00C35A7D" w:rsidRPr="001477AE" w:rsidP="00AA5180" w14:paraId="6238D9B4" w14:textId="77777777">
            <w:pPr>
              <w:spacing w:before="0" w:after="0"/>
              <w:rPr>
                <w:rFonts w:ascii="Times New Roman" w:eastAsia="Times New Roman" w:hAnsi="Times New Roman" w:cs="Times New Roman"/>
                <w:color w:val="000000"/>
                <w:sz w:val="20"/>
                <w:szCs w:val="20"/>
                <w:lang w:eastAsia="lv-LV"/>
              </w:rPr>
            </w:pPr>
          </w:p>
        </w:tc>
        <w:tc>
          <w:tcPr>
            <w:tcW w:w="551" w:type="dxa"/>
            <w:shd w:val="clear" w:color="auto" w:fill="auto"/>
            <w:vAlign w:val="bottom"/>
            <w:hideMark/>
          </w:tcPr>
          <w:p w:rsidR="00C35A7D" w:rsidRPr="001477AE" w:rsidP="00AA5180" w14:paraId="3A04C275" w14:textId="77777777">
            <w:pPr>
              <w:spacing w:before="0" w:after="0"/>
              <w:rPr>
                <w:rFonts w:ascii="Times New Roman" w:eastAsia="Times New Roman" w:hAnsi="Times New Roman" w:cs="Times New Roman"/>
                <w:sz w:val="20"/>
                <w:szCs w:val="20"/>
                <w:lang w:eastAsia="lv-LV"/>
              </w:rPr>
            </w:pPr>
          </w:p>
        </w:tc>
        <w:tc>
          <w:tcPr>
            <w:tcW w:w="851" w:type="dxa"/>
            <w:shd w:val="clear" w:color="auto" w:fill="auto"/>
            <w:vAlign w:val="bottom"/>
            <w:hideMark/>
          </w:tcPr>
          <w:p w:rsidR="00C35A7D" w:rsidRPr="001477AE" w:rsidP="00AA5180" w14:paraId="63A4C3D7" w14:textId="77777777">
            <w:pPr>
              <w:spacing w:before="0" w:after="0"/>
              <w:rPr>
                <w:rFonts w:ascii="Times New Roman" w:eastAsia="Times New Roman" w:hAnsi="Times New Roman" w:cs="Times New Roman"/>
                <w:color w:val="000000"/>
                <w:sz w:val="20"/>
                <w:szCs w:val="20"/>
                <w:lang w:eastAsia="lv-LV"/>
              </w:rPr>
            </w:pPr>
            <w:r w:rsidRPr="001477AE">
              <w:rPr>
                <w:rFonts w:ascii="Times New Roman" w:eastAsia="Times New Roman" w:hAnsi="Times New Roman" w:cs="Times New Roman"/>
                <w:color w:val="000000"/>
                <w:sz w:val="20"/>
                <w:szCs w:val="20"/>
                <w:lang w:eastAsia="lv-LV"/>
              </w:rPr>
              <w:t>1BL x 2BL x 3BL</w:t>
            </w:r>
          </w:p>
        </w:tc>
        <w:tc>
          <w:tcPr>
            <w:tcW w:w="927" w:type="dxa"/>
            <w:shd w:val="clear" w:color="000000" w:fill="F2F2F2"/>
            <w:vAlign w:val="bottom"/>
            <w:hideMark/>
          </w:tcPr>
          <w:p w:rsidR="00C35A7D" w:rsidRPr="001940EC" w:rsidP="001940EC" w14:paraId="42F9F7EE" w14:textId="000AB482">
            <w:pPr>
              <w:spacing w:before="0" w:after="0"/>
              <w:jc w:val="right"/>
              <w:rPr>
                <w:rFonts w:ascii="Times New Roman" w:eastAsia="Times New Roman" w:hAnsi="Times New Roman" w:cs="Times New Roman"/>
                <w:b/>
                <w:bCs/>
                <w:color w:val="FA7D00"/>
                <w:sz w:val="18"/>
                <w:szCs w:val="18"/>
                <w:lang w:eastAsia="lv-LV"/>
              </w:rPr>
            </w:pPr>
            <w:r w:rsidRPr="001940EC">
              <w:rPr>
                <w:rFonts w:ascii="Times New Roman" w:eastAsia="Times New Roman" w:hAnsi="Times New Roman" w:cs="Times New Roman"/>
                <w:b/>
                <w:bCs/>
                <w:color w:val="FA7D00"/>
                <w:sz w:val="18"/>
                <w:szCs w:val="18"/>
                <w:lang w:eastAsia="lv-LV"/>
              </w:rPr>
              <w:t>43 250</w:t>
            </w:r>
          </w:p>
        </w:tc>
      </w:tr>
      <w:tr w14:paraId="1434DC05" w14:textId="77777777" w:rsidTr="00002DE9">
        <w:tblPrEx>
          <w:tblW w:w="0" w:type="auto"/>
          <w:tblInd w:w="108" w:type="dxa"/>
          <w:tblLayout w:type="fixed"/>
          <w:tblLook w:val="04A0"/>
        </w:tblPrEx>
        <w:trPr>
          <w:trHeight w:val="545"/>
        </w:trPr>
        <w:tc>
          <w:tcPr>
            <w:tcW w:w="1405" w:type="dxa"/>
            <w:shd w:val="clear" w:color="auto" w:fill="auto"/>
            <w:vAlign w:val="bottom"/>
            <w:hideMark/>
          </w:tcPr>
          <w:p w:rsidR="00C35A7D" w:rsidRPr="002E4E5A" w:rsidP="00AA5180" w14:paraId="1A97D704" w14:textId="77777777">
            <w:pPr>
              <w:spacing w:before="0" w:after="0"/>
              <w:rPr>
                <w:rFonts w:ascii="Times New Roman" w:eastAsia="Times New Roman" w:hAnsi="Times New Roman" w:cs="Times New Roman"/>
                <w:color w:val="000000"/>
                <w:sz w:val="20"/>
                <w:szCs w:val="20"/>
                <w:lang w:eastAsia="lv-LV"/>
              </w:rPr>
            </w:pPr>
            <w:r w:rsidRPr="002E4E5A">
              <w:rPr>
                <w:rFonts w:ascii="Times New Roman" w:eastAsia="Times New Roman" w:hAnsi="Times New Roman" w:cs="Times New Roman"/>
                <w:color w:val="000000"/>
                <w:sz w:val="20"/>
                <w:szCs w:val="20"/>
                <w:lang w:eastAsia="lv-LV"/>
              </w:rPr>
              <w:t>Esošo sistēmu uzturēšanas izmaksu samazinājums</w:t>
            </w:r>
          </w:p>
        </w:tc>
        <w:tc>
          <w:tcPr>
            <w:tcW w:w="1137" w:type="dxa"/>
            <w:shd w:val="clear" w:color="auto" w:fill="auto"/>
            <w:vAlign w:val="bottom"/>
            <w:hideMark/>
          </w:tcPr>
          <w:p w:rsidR="00C35A7D" w:rsidRPr="002E4E5A" w:rsidP="00AA5180" w14:paraId="4E2080E1" w14:textId="77777777">
            <w:pPr>
              <w:spacing w:before="0" w:after="0"/>
              <w:rPr>
                <w:rFonts w:ascii="Times New Roman" w:eastAsia="Times New Roman" w:hAnsi="Times New Roman" w:cs="Times New Roman"/>
                <w:color w:val="000000"/>
                <w:sz w:val="20"/>
                <w:szCs w:val="20"/>
                <w:lang w:eastAsia="lv-LV"/>
              </w:rPr>
            </w:pPr>
            <w:r w:rsidRPr="002E4E5A">
              <w:rPr>
                <w:rFonts w:ascii="Times New Roman" w:eastAsia="Times New Roman" w:hAnsi="Times New Roman" w:cs="Times New Roman"/>
                <w:color w:val="000000"/>
                <w:sz w:val="20"/>
                <w:szCs w:val="20"/>
                <w:lang w:eastAsia="lv-LV"/>
              </w:rPr>
              <w:t>Esošās izmaksas gadā</w:t>
            </w:r>
          </w:p>
        </w:tc>
        <w:tc>
          <w:tcPr>
            <w:tcW w:w="772" w:type="dxa"/>
            <w:shd w:val="clear" w:color="000000" w:fill="FFCC99"/>
            <w:vAlign w:val="bottom"/>
            <w:hideMark/>
          </w:tcPr>
          <w:p w:rsidR="00C35A7D" w:rsidRPr="002E4E5A" w:rsidP="00AA5180" w14:paraId="4FFD1C11" w14:textId="77777777">
            <w:pPr>
              <w:spacing w:before="0" w:after="0"/>
              <w:jc w:val="right"/>
              <w:rPr>
                <w:rFonts w:ascii="Times New Roman" w:eastAsia="Times New Roman" w:hAnsi="Times New Roman" w:cs="Times New Roman"/>
                <w:color w:val="3F3F76"/>
                <w:sz w:val="20"/>
                <w:szCs w:val="20"/>
                <w:lang w:eastAsia="lv-LV"/>
              </w:rPr>
            </w:pPr>
            <w:r w:rsidRPr="002E4E5A">
              <w:rPr>
                <w:rFonts w:ascii="Times New Roman" w:eastAsia="Times New Roman" w:hAnsi="Times New Roman" w:cs="Times New Roman"/>
                <w:color w:val="3F3F76"/>
                <w:sz w:val="20"/>
                <w:szCs w:val="20"/>
                <w:lang w:eastAsia="lv-LV"/>
              </w:rPr>
              <w:t>20000</w:t>
            </w:r>
          </w:p>
        </w:tc>
        <w:tc>
          <w:tcPr>
            <w:tcW w:w="1380" w:type="dxa"/>
            <w:shd w:val="clear" w:color="auto" w:fill="auto"/>
            <w:vAlign w:val="bottom"/>
            <w:hideMark/>
          </w:tcPr>
          <w:p w:rsidR="00C35A7D" w:rsidRPr="002E4E5A" w:rsidP="00AA5180" w14:paraId="3C2A9A55" w14:textId="77777777">
            <w:pPr>
              <w:spacing w:before="0" w:after="0"/>
              <w:rPr>
                <w:rFonts w:ascii="Times New Roman" w:eastAsia="Times New Roman" w:hAnsi="Times New Roman" w:cs="Times New Roman"/>
                <w:color w:val="000000"/>
                <w:sz w:val="20"/>
                <w:szCs w:val="20"/>
                <w:lang w:eastAsia="lv-LV"/>
              </w:rPr>
            </w:pPr>
            <w:r w:rsidRPr="002E4E5A">
              <w:rPr>
                <w:rFonts w:ascii="Times New Roman" w:eastAsia="Times New Roman" w:hAnsi="Times New Roman" w:cs="Times New Roman"/>
                <w:color w:val="000000"/>
                <w:sz w:val="20"/>
                <w:szCs w:val="20"/>
                <w:lang w:eastAsia="lv-LV"/>
              </w:rPr>
              <w:t>Izmaksu samazinājums (%)</w:t>
            </w:r>
          </w:p>
        </w:tc>
        <w:tc>
          <w:tcPr>
            <w:tcW w:w="772" w:type="dxa"/>
            <w:shd w:val="clear" w:color="000000" w:fill="FFCC99"/>
            <w:vAlign w:val="bottom"/>
            <w:hideMark/>
          </w:tcPr>
          <w:p w:rsidR="00C35A7D" w:rsidRPr="002E4E5A" w:rsidP="00AA5180" w14:paraId="496F86C5" w14:textId="77777777">
            <w:pPr>
              <w:spacing w:before="0" w:after="0"/>
              <w:jc w:val="right"/>
              <w:rPr>
                <w:rFonts w:ascii="Times New Roman" w:eastAsia="Times New Roman" w:hAnsi="Times New Roman" w:cs="Times New Roman"/>
                <w:color w:val="3F3F76"/>
                <w:sz w:val="20"/>
                <w:szCs w:val="20"/>
                <w:lang w:eastAsia="lv-LV"/>
              </w:rPr>
            </w:pPr>
            <w:r w:rsidRPr="002E4E5A">
              <w:rPr>
                <w:rFonts w:ascii="Times New Roman" w:eastAsia="Times New Roman" w:hAnsi="Times New Roman" w:cs="Times New Roman"/>
                <w:color w:val="3F3F76"/>
                <w:sz w:val="20"/>
                <w:szCs w:val="20"/>
                <w:lang w:eastAsia="lv-LV"/>
              </w:rPr>
              <w:t>10%</w:t>
            </w:r>
          </w:p>
        </w:tc>
        <w:tc>
          <w:tcPr>
            <w:tcW w:w="1363" w:type="dxa"/>
            <w:shd w:val="clear" w:color="auto" w:fill="auto"/>
            <w:vAlign w:val="bottom"/>
            <w:hideMark/>
          </w:tcPr>
          <w:p w:rsidR="00C35A7D" w:rsidRPr="002E4E5A" w:rsidP="00AA5180" w14:paraId="56920FE1" w14:textId="77777777">
            <w:pPr>
              <w:spacing w:before="0" w:after="0"/>
              <w:jc w:val="right"/>
              <w:rPr>
                <w:rFonts w:ascii="Times New Roman" w:eastAsia="Times New Roman" w:hAnsi="Times New Roman" w:cs="Times New Roman"/>
                <w:color w:val="3F3F76"/>
                <w:sz w:val="20"/>
                <w:szCs w:val="20"/>
                <w:lang w:eastAsia="lv-LV"/>
              </w:rPr>
            </w:pPr>
          </w:p>
        </w:tc>
        <w:tc>
          <w:tcPr>
            <w:tcW w:w="772" w:type="dxa"/>
            <w:shd w:val="clear" w:color="auto" w:fill="auto"/>
            <w:vAlign w:val="bottom"/>
            <w:hideMark/>
          </w:tcPr>
          <w:p w:rsidR="00C35A7D" w:rsidRPr="002E4E5A" w:rsidP="00AA5180" w14:paraId="3C77FC30" w14:textId="77777777">
            <w:pPr>
              <w:spacing w:before="0" w:after="0"/>
              <w:rPr>
                <w:rFonts w:ascii="Times New Roman" w:eastAsia="Times New Roman" w:hAnsi="Times New Roman" w:cs="Times New Roman"/>
                <w:sz w:val="20"/>
                <w:szCs w:val="20"/>
                <w:lang w:eastAsia="lv-LV"/>
              </w:rPr>
            </w:pPr>
          </w:p>
        </w:tc>
        <w:tc>
          <w:tcPr>
            <w:tcW w:w="1076" w:type="dxa"/>
            <w:shd w:val="clear" w:color="auto" w:fill="auto"/>
            <w:vAlign w:val="bottom"/>
            <w:hideMark/>
          </w:tcPr>
          <w:p w:rsidR="00C35A7D" w:rsidRPr="002E4E5A" w:rsidP="00AA5180" w14:paraId="621281EC" w14:textId="77777777">
            <w:pPr>
              <w:spacing w:before="0" w:after="0"/>
              <w:rPr>
                <w:rFonts w:ascii="Times New Roman" w:eastAsia="Times New Roman" w:hAnsi="Times New Roman" w:cs="Times New Roman"/>
                <w:sz w:val="20"/>
                <w:szCs w:val="20"/>
                <w:lang w:eastAsia="lv-LV"/>
              </w:rPr>
            </w:pPr>
          </w:p>
        </w:tc>
        <w:tc>
          <w:tcPr>
            <w:tcW w:w="1104" w:type="dxa"/>
            <w:shd w:val="clear" w:color="auto" w:fill="auto"/>
            <w:vAlign w:val="bottom"/>
            <w:hideMark/>
          </w:tcPr>
          <w:p w:rsidR="00C35A7D" w:rsidRPr="002E4E5A" w:rsidP="00AA5180" w14:paraId="7B0F1552" w14:textId="77777777">
            <w:pPr>
              <w:spacing w:before="0" w:after="0"/>
              <w:rPr>
                <w:rFonts w:ascii="Times New Roman" w:eastAsia="Times New Roman" w:hAnsi="Times New Roman" w:cs="Times New Roman"/>
                <w:sz w:val="20"/>
                <w:szCs w:val="20"/>
                <w:lang w:eastAsia="lv-LV"/>
              </w:rPr>
            </w:pPr>
          </w:p>
        </w:tc>
        <w:tc>
          <w:tcPr>
            <w:tcW w:w="1373" w:type="dxa"/>
            <w:shd w:val="clear" w:color="auto" w:fill="auto"/>
            <w:vAlign w:val="bottom"/>
            <w:hideMark/>
          </w:tcPr>
          <w:p w:rsidR="00C35A7D" w:rsidRPr="002E4E5A" w:rsidP="00AA5180" w14:paraId="0CB1DBC9" w14:textId="77777777">
            <w:pPr>
              <w:spacing w:before="0" w:after="0"/>
              <w:rPr>
                <w:rFonts w:ascii="Times New Roman" w:eastAsia="Times New Roman" w:hAnsi="Times New Roman" w:cs="Times New Roman"/>
                <w:color w:val="000000"/>
                <w:sz w:val="20"/>
                <w:szCs w:val="20"/>
                <w:lang w:eastAsia="lv-LV"/>
              </w:rPr>
            </w:pPr>
            <w:r w:rsidRPr="002E4E5A">
              <w:rPr>
                <w:rFonts w:ascii="Times New Roman" w:eastAsia="Times New Roman" w:hAnsi="Times New Roman" w:cs="Times New Roman"/>
                <w:color w:val="000000"/>
                <w:sz w:val="20"/>
                <w:szCs w:val="20"/>
                <w:lang w:eastAsia="lv-LV"/>
              </w:rPr>
              <w:t xml:space="preserve"> Uzturēšanas izmaksu samazinājums gadā</w:t>
            </w:r>
          </w:p>
        </w:tc>
        <w:tc>
          <w:tcPr>
            <w:tcW w:w="911" w:type="dxa"/>
            <w:shd w:val="clear" w:color="auto" w:fill="auto"/>
            <w:vAlign w:val="bottom"/>
            <w:hideMark/>
          </w:tcPr>
          <w:p w:rsidR="00C35A7D" w:rsidRPr="002E4E5A" w:rsidP="00AA5180" w14:paraId="1E495E33" w14:textId="77777777">
            <w:pPr>
              <w:spacing w:before="0" w:after="0"/>
              <w:rPr>
                <w:rFonts w:ascii="Times New Roman" w:eastAsia="Times New Roman" w:hAnsi="Times New Roman" w:cs="Times New Roman"/>
                <w:color w:val="000000"/>
                <w:sz w:val="20"/>
                <w:szCs w:val="20"/>
                <w:lang w:eastAsia="lv-LV"/>
              </w:rPr>
            </w:pPr>
          </w:p>
        </w:tc>
        <w:tc>
          <w:tcPr>
            <w:tcW w:w="551" w:type="dxa"/>
            <w:shd w:val="clear" w:color="auto" w:fill="auto"/>
            <w:vAlign w:val="bottom"/>
            <w:hideMark/>
          </w:tcPr>
          <w:p w:rsidR="00C35A7D" w:rsidRPr="002E4E5A" w:rsidP="00AA5180" w14:paraId="7FAF9C7F" w14:textId="77777777">
            <w:pPr>
              <w:spacing w:before="0" w:after="0"/>
              <w:rPr>
                <w:rFonts w:ascii="Times New Roman" w:eastAsia="Times New Roman" w:hAnsi="Times New Roman" w:cs="Times New Roman"/>
                <w:sz w:val="20"/>
                <w:szCs w:val="20"/>
                <w:lang w:eastAsia="lv-LV"/>
              </w:rPr>
            </w:pPr>
          </w:p>
        </w:tc>
        <w:tc>
          <w:tcPr>
            <w:tcW w:w="851" w:type="dxa"/>
            <w:shd w:val="clear" w:color="auto" w:fill="auto"/>
            <w:vAlign w:val="bottom"/>
            <w:hideMark/>
          </w:tcPr>
          <w:p w:rsidR="00C35A7D" w:rsidRPr="002E4E5A" w:rsidP="00AA5180" w14:paraId="0F13A967" w14:textId="77777777">
            <w:pPr>
              <w:spacing w:before="0" w:after="0"/>
              <w:rPr>
                <w:rFonts w:ascii="Times New Roman" w:eastAsia="Times New Roman" w:hAnsi="Times New Roman" w:cs="Times New Roman"/>
                <w:color w:val="000000"/>
                <w:sz w:val="20"/>
                <w:szCs w:val="20"/>
                <w:lang w:eastAsia="lv-LV"/>
              </w:rPr>
            </w:pPr>
            <w:r w:rsidRPr="002E4E5A">
              <w:rPr>
                <w:rFonts w:ascii="Times New Roman" w:eastAsia="Times New Roman" w:hAnsi="Times New Roman" w:cs="Times New Roman"/>
                <w:color w:val="000000"/>
                <w:sz w:val="20"/>
                <w:szCs w:val="20"/>
                <w:lang w:eastAsia="lv-LV"/>
              </w:rPr>
              <w:t>1BL x 2BL</w:t>
            </w:r>
          </w:p>
        </w:tc>
        <w:tc>
          <w:tcPr>
            <w:tcW w:w="927" w:type="dxa"/>
            <w:shd w:val="clear" w:color="000000" w:fill="F2F2F2"/>
            <w:vAlign w:val="bottom"/>
            <w:hideMark/>
          </w:tcPr>
          <w:p w:rsidR="00C35A7D" w:rsidRPr="001940EC" w:rsidP="001940EC" w14:paraId="0056923D" w14:textId="62476B89">
            <w:pPr>
              <w:spacing w:before="0" w:after="0"/>
              <w:jc w:val="right"/>
              <w:rPr>
                <w:rFonts w:ascii="Times New Roman" w:eastAsia="Times New Roman" w:hAnsi="Times New Roman" w:cs="Times New Roman"/>
                <w:b/>
                <w:bCs/>
                <w:color w:val="FA7D00"/>
                <w:sz w:val="18"/>
                <w:szCs w:val="18"/>
                <w:lang w:eastAsia="lv-LV"/>
              </w:rPr>
            </w:pPr>
            <w:r w:rsidRPr="001940EC">
              <w:rPr>
                <w:rFonts w:ascii="Times New Roman" w:eastAsia="Times New Roman" w:hAnsi="Times New Roman" w:cs="Times New Roman"/>
                <w:b/>
                <w:bCs/>
                <w:color w:val="FA7D00"/>
                <w:sz w:val="18"/>
                <w:szCs w:val="18"/>
                <w:lang w:eastAsia="lv-LV"/>
              </w:rPr>
              <w:t>2 000</w:t>
            </w:r>
          </w:p>
        </w:tc>
      </w:tr>
    </w:tbl>
    <w:p w:rsidR="002E4E5A" w:rsidP="009D13FC" w14:paraId="3DFD9435" w14:textId="77777777">
      <w:pPr>
        <w:tabs>
          <w:tab w:val="left" w:pos="0"/>
        </w:tabs>
        <w:jc w:val="both"/>
        <w:rPr>
          <w:rFonts w:ascii="Times New Roman" w:eastAsia="MS Mincho" w:hAnsi="Times New Roman"/>
          <w:b/>
          <w:bCs/>
          <w:sz w:val="24"/>
          <w:szCs w:val="24"/>
        </w:rPr>
        <w:sectPr w:rsidSect="002E4E5A">
          <w:pgSz w:w="16838" w:h="11906" w:orient="landscape"/>
          <w:pgMar w:top="426" w:right="1418" w:bottom="1135" w:left="1134" w:header="709" w:footer="400" w:gutter="0"/>
          <w:cols w:space="708"/>
          <w:docGrid w:linePitch="360"/>
        </w:sectPr>
      </w:pPr>
    </w:p>
    <w:p w:rsidR="009D13FC" w:rsidRPr="00212B3C" w:rsidP="009D13FC" w14:paraId="675CCA5B" w14:textId="5ED8CB56">
      <w:pPr>
        <w:tabs>
          <w:tab w:val="left" w:pos="0"/>
        </w:tabs>
        <w:jc w:val="both"/>
        <w:rPr>
          <w:rFonts w:ascii="Times New Roman" w:eastAsia="MS Mincho" w:hAnsi="Times New Roman"/>
          <w:b/>
          <w:bCs/>
          <w:sz w:val="24"/>
          <w:szCs w:val="24"/>
        </w:rPr>
      </w:pPr>
    </w:p>
    <w:p w:rsidR="00351F2B" w:rsidP="000E11B1" w14:paraId="6DCC0063" w14:textId="77777777">
      <w:pPr>
        <w:pStyle w:val="VPBody"/>
        <w:rPr>
          <w:i/>
          <w:color w:val="4472C4" w:themeColor="accent5"/>
        </w:rPr>
      </w:pPr>
    </w:p>
    <w:p w:rsidR="00606402" w:rsidRPr="00606402" w:rsidP="00606402" w14:paraId="4637D56B" w14:textId="77777777">
      <w:pPr>
        <w:tabs>
          <w:tab w:val="left" w:pos="6379"/>
          <w:tab w:val="left" w:pos="6804"/>
        </w:tabs>
        <w:spacing w:before="0" w:after="0"/>
        <w:jc w:val="both"/>
        <w:rPr>
          <w:rFonts w:ascii="Times New Roman" w:eastAsia="Times New Roman" w:hAnsi="Times New Roman" w:cs="Times New Roman"/>
          <w:sz w:val="28"/>
          <w:szCs w:val="28"/>
          <w:lang w:eastAsia="lv-LV"/>
        </w:rPr>
      </w:pPr>
      <w:r w:rsidRPr="00606402">
        <w:rPr>
          <w:rFonts w:ascii="Times New Roman" w:eastAsia="Times New Roman" w:hAnsi="Times New Roman" w:cs="Times New Roman"/>
          <w:sz w:val="28"/>
          <w:szCs w:val="28"/>
          <w:lang w:eastAsia="lv-LV"/>
        </w:rPr>
        <w:t xml:space="preserve">Vides aizsardzības un </w:t>
      </w:r>
    </w:p>
    <w:p w:rsidR="00606402" w:rsidRPr="00606402" w:rsidP="00606402" w14:paraId="670342A9" w14:textId="77777777">
      <w:pPr>
        <w:tabs>
          <w:tab w:val="left" w:pos="6663"/>
          <w:tab w:val="left" w:pos="6804"/>
        </w:tabs>
        <w:spacing w:before="0" w:after="0"/>
        <w:jc w:val="both"/>
        <w:rPr>
          <w:rFonts w:ascii="Times New Roman" w:eastAsia="Times New Roman" w:hAnsi="Times New Roman" w:cs="Times New Roman"/>
          <w:sz w:val="28"/>
          <w:szCs w:val="28"/>
          <w:lang w:eastAsia="lv-LV"/>
        </w:rPr>
      </w:pPr>
      <w:r w:rsidRPr="00606402">
        <w:rPr>
          <w:rFonts w:ascii="Times New Roman" w:eastAsia="Times New Roman" w:hAnsi="Times New Roman" w:cs="Times New Roman"/>
          <w:sz w:val="28"/>
          <w:szCs w:val="28"/>
          <w:lang w:eastAsia="lv-LV"/>
        </w:rPr>
        <w:t>reģionālās attīstības ministrs</w:t>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t>Kaspars Gerhards</w:t>
      </w:r>
    </w:p>
    <w:p w:rsidR="00606402" w:rsidRPr="00606402" w:rsidP="00606402" w14:paraId="0321309B"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606402" w:rsidP="00606402" w14:paraId="2B524A4E"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606402" w:rsidP="00606402" w14:paraId="0EF95B5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606402">
        <w:rPr>
          <w:rFonts w:ascii="Times New Roman" w:eastAsia="Times New Roman" w:hAnsi="Times New Roman" w:cs="Times New Roman"/>
          <w:sz w:val="28"/>
          <w:szCs w:val="28"/>
          <w:lang w:eastAsia="lv-LV"/>
        </w:rPr>
        <w:t>Vīza:</w:t>
      </w:r>
    </w:p>
    <w:p w:rsidR="00606402" w:rsidRPr="00606402" w:rsidP="00606402" w14:paraId="0F312020"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606402">
        <w:rPr>
          <w:rFonts w:ascii="Times New Roman" w:eastAsia="Times New Roman" w:hAnsi="Times New Roman" w:cs="Times New Roman"/>
          <w:sz w:val="28"/>
          <w:szCs w:val="28"/>
          <w:lang w:eastAsia="lv-LV"/>
        </w:rPr>
        <w:t>Valsts sekretārs</w:t>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r>
      <w:r w:rsidRPr="00606402">
        <w:rPr>
          <w:rFonts w:ascii="Times New Roman" w:eastAsia="Times New Roman" w:hAnsi="Times New Roman" w:cs="Times New Roman"/>
          <w:sz w:val="28"/>
          <w:szCs w:val="28"/>
          <w:lang w:eastAsia="lv-LV"/>
        </w:rPr>
        <w:tab/>
        <w:t xml:space="preserve">Rinalds </w:t>
      </w:r>
      <w:r w:rsidRPr="00606402">
        <w:rPr>
          <w:rFonts w:ascii="Times New Roman" w:eastAsia="Times New Roman" w:hAnsi="Times New Roman" w:cs="Times New Roman"/>
          <w:sz w:val="28"/>
          <w:szCs w:val="28"/>
          <w:lang w:eastAsia="lv-LV"/>
        </w:rPr>
        <w:t>Muciņš</w:t>
      </w:r>
    </w:p>
    <w:p w:rsidR="00606402" w:rsidRPr="00606402" w:rsidP="00606402" w14:paraId="6AAA1C1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351F2B" w:rsidRPr="00606402" w:rsidP="000E11B1" w14:paraId="1B04FF4B" w14:textId="77777777">
      <w:pPr>
        <w:pStyle w:val="VPBody"/>
        <w:rPr>
          <w:color w:val="4472C4" w:themeColor="accent5"/>
        </w:rPr>
      </w:pPr>
    </w:p>
    <w:p w:rsidR="00606402" w:rsidRPr="00606402" w:rsidP="00606402" w14:paraId="29C29EAA" w14:textId="3AAA50F6">
      <w:pPr>
        <w:spacing w:before="0" w:after="0"/>
        <w:jc w:val="both"/>
        <w:rPr>
          <w:rFonts w:ascii="Times New Roman" w:eastAsia="Times New Roman" w:hAnsi="Times New Roman" w:cs="Times New Roman"/>
          <w:sz w:val="18"/>
          <w:szCs w:val="18"/>
        </w:rPr>
      </w:pPr>
      <w:r w:rsidRPr="00606402">
        <w:rPr>
          <w:rFonts w:ascii="Times New Roman" w:eastAsia="Times New Roman" w:hAnsi="Times New Roman" w:cs="Times New Roman"/>
          <w:sz w:val="18"/>
          <w:szCs w:val="18"/>
        </w:rPr>
        <w:fldChar w:fldCharType="begin"/>
      </w:r>
      <w:r w:rsidRPr="00606402">
        <w:rPr>
          <w:rFonts w:ascii="Times New Roman" w:eastAsia="Times New Roman" w:hAnsi="Times New Roman" w:cs="Times New Roman"/>
          <w:sz w:val="18"/>
          <w:szCs w:val="18"/>
        </w:rPr>
        <w:instrText xml:space="preserve"> DATE  \@ "dd.MM.yyyy. H:mm"  \* MERGEFORMAT </w:instrText>
      </w:r>
      <w:r w:rsidRPr="00606402">
        <w:rPr>
          <w:rFonts w:ascii="Times New Roman" w:eastAsia="Times New Roman" w:hAnsi="Times New Roman" w:cs="Times New Roman"/>
          <w:sz w:val="18"/>
          <w:szCs w:val="18"/>
        </w:rPr>
        <w:fldChar w:fldCharType="separate"/>
      </w:r>
      <w:r w:rsidR="0025222B">
        <w:rPr>
          <w:rFonts w:ascii="Times New Roman" w:eastAsia="Times New Roman" w:hAnsi="Times New Roman" w:cs="Times New Roman"/>
          <w:noProof/>
          <w:sz w:val="18"/>
          <w:szCs w:val="18"/>
        </w:rPr>
        <w:t>23.08.2017. 14:59</w:t>
      </w:r>
      <w:r w:rsidRPr="00606402">
        <w:rPr>
          <w:rFonts w:ascii="Times New Roman" w:eastAsia="Times New Roman" w:hAnsi="Times New Roman" w:cs="Times New Roman"/>
          <w:sz w:val="18"/>
          <w:szCs w:val="18"/>
        </w:rPr>
        <w:fldChar w:fldCharType="end"/>
      </w:r>
    </w:p>
    <w:p w:rsidR="00606402" w:rsidRPr="00606402" w:rsidP="00606402" w14:paraId="7ED98229" w14:textId="70427BC4">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2354</w:t>
      </w:r>
    </w:p>
    <w:p w:rsidR="00606402" w:rsidRPr="00606402" w:rsidP="00606402" w14:paraId="13CEEB86" w14:textId="3531BFD0">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06402">
        <w:rPr>
          <w:rFonts w:ascii="Times New Roman" w:eastAsia="Times New Roman" w:hAnsi="Times New Roman" w:cs="Times New Roman"/>
          <w:sz w:val="20"/>
          <w:szCs w:val="20"/>
          <w:lang w:eastAsia="lv-LV"/>
        </w:rPr>
        <w:t>Kalniņa</w:t>
      </w:r>
      <w:r w:rsidR="0025222B">
        <w:rPr>
          <w:rFonts w:ascii="Times New Roman" w:eastAsia="Times New Roman" w:hAnsi="Times New Roman" w:cs="Times New Roman"/>
          <w:sz w:val="20"/>
          <w:szCs w:val="20"/>
          <w:lang w:eastAsia="lv-LV"/>
        </w:rPr>
        <w:t xml:space="preserve">, </w:t>
      </w:r>
      <w:r w:rsidRPr="00606402">
        <w:rPr>
          <w:rFonts w:ascii="Times New Roman" w:eastAsia="Times New Roman" w:hAnsi="Times New Roman" w:cs="Times New Roman"/>
          <w:sz w:val="20"/>
          <w:szCs w:val="20"/>
          <w:lang w:eastAsia="lv-LV"/>
        </w:rPr>
        <w:t xml:space="preserve">67026576 </w:t>
      </w:r>
    </w:p>
    <w:p w:rsidR="00606402" w:rsidRPr="00606402" w:rsidP="00606402" w14:paraId="042E3B17" w14:textId="0E8EDE7D">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fldChar w:fldCharType="begin"/>
      </w:r>
      <w:r>
        <w:instrText xml:space="preserve"> HYPERLINK "mailto:lelda.kalnina@varam.gov.lv" </w:instrText>
      </w:r>
      <w:r>
        <w:fldChar w:fldCharType="separate"/>
      </w:r>
      <w:r w:rsidRPr="00606402">
        <w:rPr>
          <w:rFonts w:ascii="Times New Roman" w:eastAsia="Times New Roman" w:hAnsi="Times New Roman" w:cs="Times New Roman"/>
          <w:color w:val="0000FF"/>
          <w:sz w:val="20"/>
          <w:szCs w:val="20"/>
          <w:u w:val="single"/>
          <w:lang w:eastAsia="lv-LV"/>
        </w:rPr>
        <w:t>lelda.kalnina@varam.gov.lv</w:t>
      </w:r>
      <w:r>
        <w:fldChar w:fldCharType="end"/>
      </w:r>
    </w:p>
    <w:p w:rsidR="00621791" w:rsidRPr="00621791" w:rsidP="00621791" w14:paraId="32C95471" w14:textId="381BDFED">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rsidRPr="00621791">
        <w:rPr>
          <w:rFonts w:ascii="Times New Roman" w:eastAsia="Times New Roman" w:hAnsi="Times New Roman" w:cs="Times New Roman"/>
          <w:sz w:val="20"/>
          <w:szCs w:val="20"/>
          <w:lang w:eastAsia="lv-LV"/>
        </w:rPr>
        <w:t>Rudzīte</w:t>
      </w:r>
      <w:r w:rsidR="0025222B">
        <w:rPr>
          <w:rFonts w:ascii="Times New Roman" w:eastAsia="Times New Roman" w:hAnsi="Times New Roman" w:cs="Times New Roman"/>
          <w:sz w:val="20"/>
          <w:szCs w:val="20"/>
          <w:lang w:eastAsia="lv-LV"/>
        </w:rPr>
        <w:t xml:space="preserve">, </w:t>
      </w:r>
      <w:r w:rsidRPr="00621791">
        <w:rPr>
          <w:rFonts w:ascii="Times New Roman" w:eastAsia="Times New Roman" w:hAnsi="Times New Roman" w:cs="Times New Roman"/>
          <w:sz w:val="20"/>
          <w:szCs w:val="20"/>
          <w:lang w:eastAsia="lv-LV"/>
        </w:rPr>
        <w:t>67082897</w:t>
      </w:r>
    </w:p>
    <w:p w:rsidR="00DD1681" w:rsidP="00621791" w14:paraId="70B94099" w14:textId="19FA2419">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r>
        <w:fldChar w:fldCharType="begin"/>
      </w:r>
      <w:r>
        <w:instrText xml:space="preserve"> HYPERLINK "mailto:Signe.Rudzite@mk.gov.lv" </w:instrText>
      </w:r>
      <w:r>
        <w:fldChar w:fldCharType="separate"/>
      </w:r>
      <w:r w:rsidRPr="00F217ED" w:rsidR="00621791">
        <w:rPr>
          <w:rStyle w:val="Hyperlink"/>
          <w:rFonts w:ascii="Times New Roman" w:eastAsia="Times New Roman" w:hAnsi="Times New Roman" w:cs="Times New Roman"/>
          <w:sz w:val="20"/>
          <w:szCs w:val="20"/>
          <w:lang w:eastAsia="lv-LV"/>
        </w:rPr>
        <w:t>Signe.Rudzite@mk.gov.lv</w:t>
      </w:r>
      <w:r>
        <w:fldChar w:fldCharType="end"/>
      </w:r>
    </w:p>
    <w:p w:rsidR="00621791" w:rsidP="00621791" w14:paraId="0DF02DB6" w14:textId="77777777">
      <w:pPr>
        <w:overflowPunct w:val="0"/>
        <w:autoSpaceDE w:val="0"/>
        <w:autoSpaceDN w:val="0"/>
        <w:adjustRightInd w:val="0"/>
        <w:spacing w:before="0" w:after="0"/>
        <w:jc w:val="both"/>
        <w:textAlignment w:val="baseline"/>
      </w:pPr>
      <w:bookmarkStart w:id="1" w:name="_GoBack"/>
      <w:bookmarkEnd w:id="1"/>
    </w:p>
    <w:sectPr w:rsidSect="0025222B">
      <w:pgSz w:w="11906" w:h="16838"/>
      <w:pgMar w:top="1418" w:right="1135" w:bottom="1134" w:left="1701" w:header="709" w:footer="40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308015"/>
      <w:docPartObj>
        <w:docPartGallery w:val="Page Numbers (Bottom of Page)"/>
        <w:docPartUnique/>
      </w:docPartObj>
    </w:sdtPr>
    <w:sdtEndPr>
      <w:rPr>
        <w:noProof/>
      </w:rPr>
    </w:sdtEndPr>
    <w:sdtContent>
      <w:p w:rsidR="0077116A" w14:paraId="2CCEACE8" w14:textId="65DB3192">
        <w:pPr>
          <w:pStyle w:val="Footer"/>
          <w:jc w:val="right"/>
        </w:pPr>
        <w:r>
          <w:fldChar w:fldCharType="begin"/>
        </w:r>
        <w:r>
          <w:instrText xml:space="preserve"> PAGE   \* MERGEFORMAT </w:instrText>
        </w:r>
        <w:r>
          <w:fldChar w:fldCharType="separate"/>
        </w:r>
        <w:r w:rsidR="00B23B0C">
          <w:rPr>
            <w:noProof/>
          </w:rPr>
          <w:t>9</w:t>
        </w:r>
        <w:r>
          <w:rPr>
            <w:noProof/>
          </w:rPr>
          <w:fldChar w:fldCharType="end"/>
        </w:r>
      </w:p>
    </w:sdtContent>
  </w:sdt>
  <w:p w:rsidR="00B44C2C" w:rsidRPr="00F94B2E" w:rsidP="002E4E5A" w14:paraId="0FCC1002" w14:textId="5EA82E88">
    <w:pPr>
      <w:pStyle w:val="Footer"/>
      <w:tabs>
        <w:tab w:val="left" w:pos="8306"/>
      </w:tabs>
      <w:rPr>
        <w:rFonts w:ascii="Times New Roman" w:hAnsi="Times New Roman" w:cs="Times New Roman"/>
        <w:sz w:val="18"/>
        <w:szCs w:val="18"/>
      </w:rPr>
    </w:pPr>
    <w:r w:rsidRPr="00F94B2E">
      <w:rPr>
        <w:rFonts w:ascii="Times New Roman" w:hAnsi="Times New Roman" w:cs="Times New Roman"/>
        <w:sz w:val="18"/>
        <w:szCs w:val="18"/>
      </w:rPr>
      <w:t>VARAMRikP_</w:t>
    </w:r>
    <w:r w:rsidRPr="00F94B2E" w:rsidR="00C16BCC">
      <w:rPr>
        <w:rFonts w:ascii="Times New Roman" w:hAnsi="Times New Roman" w:cs="Times New Roman"/>
        <w:sz w:val="18"/>
        <w:szCs w:val="18"/>
      </w:rPr>
      <w:t>1</w:t>
    </w:r>
    <w:r w:rsidR="0025222B">
      <w:rPr>
        <w:rFonts w:ascii="Times New Roman" w:hAnsi="Times New Roman" w:cs="Times New Roman"/>
        <w:sz w:val="18"/>
        <w:szCs w:val="18"/>
      </w:rPr>
      <w:t>8</w:t>
    </w:r>
    <w:r w:rsidR="006446D4">
      <w:rPr>
        <w:rFonts w:ascii="Times New Roman" w:hAnsi="Times New Roman" w:cs="Times New Roman"/>
        <w:sz w:val="18"/>
        <w:szCs w:val="18"/>
      </w:rPr>
      <w:t>08</w:t>
    </w:r>
    <w:r w:rsidRPr="00F94B2E">
      <w:rPr>
        <w:rFonts w:ascii="Times New Roman" w:hAnsi="Times New Roman" w:cs="Times New Roman"/>
        <w:sz w:val="18"/>
        <w:szCs w:val="18"/>
      </w:rPr>
      <w:t>201</w:t>
    </w:r>
    <w:r w:rsidRPr="00F94B2E" w:rsidR="002215F5">
      <w:rPr>
        <w:rFonts w:ascii="Times New Roman" w:hAnsi="Times New Roman" w:cs="Times New Roman"/>
        <w:sz w:val="18"/>
        <w:szCs w:val="18"/>
      </w:rPr>
      <w:t>7</w:t>
    </w:r>
    <w:r w:rsidR="0025222B">
      <w:rPr>
        <w:rFonts w:ascii="Times New Roman" w:hAnsi="Times New Roman" w:cs="Times New Roman"/>
        <w:sz w:val="18"/>
        <w:szCs w:val="18"/>
      </w:rPr>
      <w:t>_MA_</w:t>
    </w:r>
    <w:r w:rsidRPr="00F94B2E" w:rsidR="00F73311">
      <w:rPr>
        <w:rFonts w:ascii="Times New Roman" w:hAnsi="Times New Roman" w:cs="Times New Roman"/>
        <w:sz w:val="18"/>
        <w:szCs w:val="18"/>
      </w:rPr>
      <w:t xml:space="preserve">10.0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4A7B" w14:paraId="22486D35" w14:textId="77777777">
      <w:pPr>
        <w:spacing w:before="0" w:after="0"/>
      </w:pPr>
      <w:r>
        <w:separator/>
      </w:r>
    </w:p>
    <w:p w:rsidR="00B54A7B" w14:paraId="4F9253FC" w14:textId="77777777"/>
  </w:footnote>
  <w:footnote w:type="continuationSeparator" w:id="1">
    <w:p w:rsidR="00B54A7B" w14:paraId="6C6FED39" w14:textId="77777777">
      <w:pPr>
        <w:spacing w:before="0" w:after="0"/>
      </w:pPr>
      <w:r>
        <w:continuationSeparator/>
      </w:r>
    </w:p>
    <w:p w:rsidR="00B54A7B" w14:paraId="1CEC947A" w14:textId="77777777"/>
  </w:footnote>
  <w:footnote w:id="2">
    <w:p w:rsidR="009D13FC" w:rsidRPr="004446AF" w:rsidP="009D13FC" w14:paraId="12F9B255" w14:textId="77777777">
      <w:pPr>
        <w:pStyle w:val="FootnoteText"/>
        <w:rPr>
          <w:rFonts w:ascii="Times New Roman" w:hAnsi="Times New Roman" w:cs="Times New Roman"/>
        </w:rPr>
      </w:pPr>
      <w:r>
        <w:rPr>
          <w:rStyle w:val="FootnoteReference"/>
        </w:rPr>
        <w:footnoteRef/>
      </w:r>
      <w:r w:rsidRPr="004446AF">
        <w:rPr>
          <w:rFonts w:ascii="Times New Roman" w:hAnsi="Times New Roman" w:cs="Times New Roman"/>
        </w:rPr>
        <w:t xml:space="preserve"> </w:t>
      </w:r>
      <w:r>
        <w:fldChar w:fldCharType="begin"/>
      </w:r>
      <w:r>
        <w:instrText xml:space="preserve"> HYPERLINK "http://www.opengovpartnership.org/country/latvia/commitment/improving-quality-involvement-society-and-civil-society-organisations" </w:instrText>
      </w:r>
      <w:r>
        <w:fldChar w:fldCharType="separate"/>
      </w:r>
      <w:r w:rsidRPr="004446AF">
        <w:rPr>
          <w:rStyle w:val="Hyperlink"/>
          <w:rFonts w:ascii="Times New Roman" w:hAnsi="Times New Roman" w:cs="Times New Roman"/>
        </w:rPr>
        <w:t>http://www.opengovpartnership.org/country/latvia/commitment/improving-quality-involvement-society-and-civil-society-organisations</w:t>
      </w:r>
      <w:r>
        <w:fldChar w:fldCharType="end"/>
      </w:r>
    </w:p>
  </w:footnote>
  <w:footnote w:id="3">
    <w:p w:rsidR="009D13FC" w:rsidRPr="004446AF" w:rsidP="009D13FC" w14:paraId="103B2B37" w14:textId="77777777">
      <w:pPr>
        <w:pStyle w:val="FootnoteText"/>
        <w:rPr>
          <w:rFonts w:ascii="Times New Roman" w:hAnsi="Times New Roman" w:cs="Times New Roman"/>
        </w:rPr>
      </w:pPr>
      <w:r w:rsidRPr="004446AF">
        <w:rPr>
          <w:rStyle w:val="FootnoteReference"/>
          <w:rFonts w:ascii="Times New Roman" w:hAnsi="Times New Roman" w:cs="Times New Roman"/>
        </w:rPr>
        <w:footnoteRef/>
      </w:r>
      <w:r w:rsidRPr="004446AF">
        <w:rPr>
          <w:rFonts w:ascii="Times New Roman" w:hAnsi="Times New Roman" w:cs="Times New Roman"/>
        </w:rPr>
        <w:t xml:space="preserve"> </w:t>
      </w:r>
      <w:r>
        <w:fldChar w:fldCharType="begin"/>
      </w:r>
      <w:r>
        <w:instrText xml:space="preserve"> HYPERLINK "http://likumi.lv/doc.php?id=260931" </w:instrText>
      </w:r>
      <w:r>
        <w:fldChar w:fldCharType="separate"/>
      </w:r>
      <w:r w:rsidRPr="004446AF">
        <w:rPr>
          <w:rStyle w:val="Hyperlink"/>
          <w:rFonts w:ascii="Times New Roman" w:hAnsi="Times New Roman" w:cs="Times New Roman"/>
        </w:rPr>
        <w:t>http://likumi.lv/doc.php?id=260931</w:t>
      </w:r>
      <w:r>
        <w:fldChar w:fldCharType="end"/>
      </w:r>
    </w:p>
    <w:p w:rsidR="009D13FC" w:rsidP="009D13FC" w14:paraId="48F5A9A2" w14:textId="77777777">
      <w:pPr>
        <w:pStyle w:val="FootnoteText"/>
      </w:pPr>
    </w:p>
  </w:footnote>
  <w:footnote w:id="4">
    <w:p w:rsidR="009D13FC" w:rsidRPr="00ED0265" w:rsidP="009D13FC" w14:paraId="13797EBA" w14:textId="77777777">
      <w:pPr>
        <w:pStyle w:val="FootnoteText"/>
        <w:rPr>
          <w:rFonts w:ascii="Times New Roman" w:hAnsi="Times New Roman" w:cs="Times New Roman"/>
        </w:rPr>
      </w:pPr>
      <w:r w:rsidRPr="00ED0265">
        <w:rPr>
          <w:rStyle w:val="FootnoteReference"/>
          <w:rFonts w:ascii="Times New Roman" w:hAnsi="Times New Roman" w:cs="Times New Roman"/>
        </w:rPr>
        <w:footnoteRef/>
      </w:r>
      <w:r w:rsidRPr="00ED0265">
        <w:rPr>
          <w:rFonts w:ascii="Times New Roman" w:hAnsi="Times New Roman" w:cs="Times New Roman"/>
        </w:rPr>
        <w:t xml:space="preserve"> </w:t>
      </w:r>
      <w:r w:rsidRPr="00ED0265">
        <w:rPr>
          <w:rFonts w:ascii="Times New Roman" w:hAnsi="Times New Roman" w:cs="Times New Roman"/>
        </w:rPr>
        <w:t>- 85% no visiem viedokļa sniedzējiem ietver:</w:t>
      </w:r>
    </w:p>
    <w:p w:rsidR="009D13FC" w:rsidRPr="00ED0265" w:rsidP="009D13FC" w14:paraId="36FF5500" w14:textId="77777777">
      <w:pPr>
        <w:pStyle w:val="FootnoteText"/>
        <w:rPr>
          <w:rFonts w:ascii="Times New Roman" w:hAnsi="Times New Roman" w:cs="Times New Roman"/>
        </w:rPr>
      </w:pPr>
      <w:r w:rsidRPr="00ED0265">
        <w:rPr>
          <w:rFonts w:ascii="Times New Roman" w:hAnsi="Times New Roman" w:cs="Times New Roman"/>
        </w:rPr>
        <w:t xml:space="preserve">a) iedzīvotājus ar vismaz 50% , </w:t>
      </w:r>
    </w:p>
    <w:p w:rsidR="009D13FC" w:rsidRPr="00ED0265" w:rsidP="009D13FC" w14:paraId="7C6CBA03" w14:textId="77777777">
      <w:pPr>
        <w:pStyle w:val="FootnoteText"/>
        <w:rPr>
          <w:rFonts w:ascii="Times New Roman" w:hAnsi="Times New Roman" w:cs="Times New Roman"/>
        </w:rPr>
      </w:pPr>
      <w:r w:rsidRPr="00ED0265">
        <w:rPr>
          <w:rFonts w:ascii="Times New Roman" w:hAnsi="Times New Roman" w:cs="Times New Roman"/>
        </w:rPr>
        <w:t>b) saimnieciskās dar</w:t>
      </w:r>
      <w:r>
        <w:rPr>
          <w:rFonts w:ascii="Times New Roman" w:hAnsi="Times New Roman" w:cs="Times New Roman"/>
        </w:rPr>
        <w:t xml:space="preserve">bības veicējiem un pašvaldībām </w:t>
      </w:r>
      <w:r w:rsidRPr="00ED0265">
        <w:rPr>
          <w:rFonts w:ascii="Times New Roman" w:hAnsi="Times New Roman" w:cs="Times New Roman"/>
        </w:rPr>
        <w:t>vismaz 90%</w:t>
      </w:r>
      <w:r>
        <w:rPr>
          <w:rFonts w:ascii="Times New Roman" w:hAnsi="Times New Roman" w:cs="Times New Roman"/>
        </w:rPr>
        <w:t xml:space="preserve"> (</w:t>
      </w:r>
      <w:r w:rsidRPr="00ED0265">
        <w:rPr>
          <w:rFonts w:ascii="Times New Roman" w:hAnsi="Times New Roman" w:cs="Times New Roman"/>
        </w:rPr>
        <w:t xml:space="preserve">rādītāja sasniegšanas priekšnoteikums </w:t>
      </w:r>
      <w:r>
        <w:rPr>
          <w:rFonts w:ascii="Times New Roman" w:hAnsi="Times New Roman" w:cs="Times New Roman"/>
        </w:rPr>
        <w:t>–</w:t>
      </w:r>
      <w:r w:rsidRPr="00ED0265">
        <w:rPr>
          <w:rFonts w:ascii="Times New Roman" w:hAnsi="Times New Roman" w:cs="Times New Roman"/>
        </w:rPr>
        <w:t xml:space="preserve"> saimnieciskās darbības veicējiem un pašvaldībām ir ieviests autentifikācijas risinājums</w:t>
      </w:r>
      <w:r>
        <w:rPr>
          <w:rFonts w:ascii="Times New Roman" w:hAnsi="Times New Roman" w:cs="Times New Roman"/>
        </w:rPr>
        <w:t>).</w:t>
      </w:r>
    </w:p>
    <w:p w:rsidR="009D13FC" w:rsidP="009D13FC" w14:paraId="7228FD32" w14:textId="77777777">
      <w:pPr>
        <w:pStyle w:val="FootnoteText"/>
      </w:pPr>
    </w:p>
  </w:footnote>
  <w:footnote w:id="5">
    <w:p w:rsidR="0069697F" w14:paraId="29866DF6" w14:textId="77777777">
      <w:pPr>
        <w:pStyle w:val="FootnoteText"/>
      </w:pPr>
      <w:r>
        <w:rPr>
          <w:rStyle w:val="FootnoteReference"/>
        </w:rPr>
        <w:footnoteRef/>
      </w:r>
      <w:r>
        <w:t xml:space="preserve"> </w:t>
      </w:r>
      <w:r w:rsidRPr="0069697F">
        <w:rPr>
          <w:rFonts w:ascii="Times New Roman" w:hAnsi="Times New Roman" w:cs="Times New Roman"/>
        </w:rPr>
        <w:t>Darbības programmas „Izaugsme un nodarbinātība” 2.2.1. specifisk</w:t>
      </w:r>
      <w:r>
        <w:rPr>
          <w:rFonts w:ascii="Times New Roman" w:hAnsi="Times New Roman" w:cs="Times New Roman"/>
        </w:rPr>
        <w:t>ais</w:t>
      </w:r>
      <w:r w:rsidRPr="0069697F">
        <w:rPr>
          <w:rFonts w:ascii="Times New Roman" w:hAnsi="Times New Roman" w:cs="Times New Roman"/>
        </w:rPr>
        <w:t xml:space="preserve"> atbalsta mērķ</w:t>
      </w:r>
      <w:r>
        <w:rPr>
          <w:rFonts w:ascii="Times New Roman" w:hAnsi="Times New Roman" w:cs="Times New Roman"/>
        </w:rPr>
        <w:t>is</w:t>
      </w:r>
      <w:r w:rsidRPr="0069697F">
        <w:rPr>
          <w:rFonts w:ascii="Times New Roman" w:hAnsi="Times New Roman" w:cs="Times New Roman"/>
        </w:rPr>
        <w:t xml:space="preserve"> „Nodrošināt publisko datu </w:t>
      </w:r>
      <w:r w:rsidRPr="0069697F">
        <w:rPr>
          <w:rFonts w:ascii="Times New Roman" w:hAnsi="Times New Roman" w:cs="Times New Roman"/>
        </w:rPr>
        <w:t>atkalizmantošanas</w:t>
      </w:r>
      <w:r w:rsidRPr="0069697F">
        <w:rPr>
          <w:rFonts w:ascii="Times New Roman" w:hAnsi="Times New Roman" w:cs="Times New Roman"/>
        </w:rPr>
        <w:t xml:space="preserve"> pieaugumu un efektīvu publiskās pārvaldes un privātā sektora mijiedarbību”</w:t>
      </w:r>
    </w:p>
  </w:footnote>
  <w:footnote w:id="6">
    <w:p w:rsidR="00F07A3B" w:rsidP="0025222B" w14:paraId="0A05D8E8" w14:textId="4378BE3B">
      <w:pPr>
        <w:pStyle w:val="FootnoteText"/>
        <w:ind w:left="142" w:hanging="142"/>
      </w:pPr>
      <w:r>
        <w:rPr>
          <w:rStyle w:val="FootnoteReference"/>
        </w:rPr>
        <w:footnoteRef/>
      </w:r>
      <w:r>
        <w:t xml:space="preserve"> </w:t>
      </w:r>
      <w:r>
        <w:fldChar w:fldCharType="begin"/>
      </w:r>
      <w:r>
        <w:instrText xml:space="preserve"> HYPERLINK "http://www.vraa.gov.lv/uploads/e-pakapojumi/2012.08.24_varamzin_piel.pdf" </w:instrText>
      </w:r>
      <w:r>
        <w:fldChar w:fldCharType="separate"/>
      </w:r>
      <w:r>
        <w:rPr>
          <w:rStyle w:val="Hyperlink"/>
        </w:rPr>
        <w:t>http://www.vraa.gov.lv/uploads/e-pakapojumi/2012.08.24_varamzin_piel.pdf</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A1571"/>
    <w:multiLevelType w:val="hybridMultilevel"/>
    <w:tmpl w:val="8A568E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D569BF"/>
    <w:multiLevelType w:val="hybridMultilevel"/>
    <w:tmpl w:val="42F2BC4A"/>
    <w:lvl w:ilvl="0">
      <w:start w:val="0"/>
      <w:numFmt w:val="bullet"/>
      <w:lvlText w:val="-"/>
      <w:lvlJc w:val="left"/>
      <w:pPr>
        <w:ind w:left="1440" w:hanging="360"/>
      </w:pPr>
      <w:rPr>
        <w:rFonts w:ascii="Calibri" w:eastAsia="Times New Roman" w:hAnsi="Calibri"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9B35E5"/>
    <w:multiLevelType w:val="hybridMultilevel"/>
    <w:tmpl w:val="A4C004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0BE7083"/>
    <w:multiLevelType w:val="hybridMultilevel"/>
    <w:tmpl w:val="5966F3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9F74DB1"/>
    <w:multiLevelType w:val="hybridMultilevel"/>
    <w:tmpl w:val="E9B0C9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06499B"/>
    <w:multiLevelType w:val="hybridMultilevel"/>
    <w:tmpl w:val="02281D4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225169E"/>
    <w:multiLevelType w:val="hybridMultilevel"/>
    <w:tmpl w:val="E0B4FD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A640646"/>
    <w:multiLevelType w:val="hybridMultilevel"/>
    <w:tmpl w:val="DAF6C1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44AF2B8C"/>
    <w:multiLevelType w:val="hybridMultilevel"/>
    <w:tmpl w:val="CE3A2CDE"/>
    <w:lvl w:ilvl="0">
      <w:start w:val="1"/>
      <w:numFmt w:val="decimal"/>
      <w:lvlText w:val="%1."/>
      <w:lvlJc w:val="left"/>
      <w:pPr>
        <w:ind w:left="1004" w:hanging="720"/>
      </w:pPr>
      <w:rPr>
        <w:rFonts w:hint="default"/>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0">
    <w:nsid w:val="4B041CD8"/>
    <w:multiLevelType w:val="hybridMultilevel"/>
    <w:tmpl w:val="5E8211BA"/>
    <w:lvl w:ilvl="0">
      <w:start w:val="1"/>
      <w:numFmt w:val="bullet"/>
      <w:lvlText w:val=""/>
      <w:lvlJc w:val="left"/>
      <w:pPr>
        <w:ind w:left="717" w:hanging="360"/>
      </w:pPr>
      <w:rPr>
        <w:rFonts w:ascii="Symbol" w:hAnsi="Symbol" w:hint="default"/>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1">
    <w:nsid w:val="536174CD"/>
    <w:multiLevelType w:val="hybridMultilevel"/>
    <w:tmpl w:val="627001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C16A1B"/>
    <w:multiLevelType w:val="hybridMultilevel"/>
    <w:tmpl w:val="D48203C6"/>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51E3489"/>
    <w:multiLevelType w:val="hybridMultilevel"/>
    <w:tmpl w:val="437EBDC4"/>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BD429E1"/>
    <w:multiLevelType w:val="hybridMultilevel"/>
    <w:tmpl w:val="E6DC4634"/>
    <w:lvl w:ilvl="0">
      <w:start w:val="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9D324BA"/>
    <w:multiLevelType w:val="hybridMultilevel"/>
    <w:tmpl w:val="54C473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6CD6B40"/>
    <w:multiLevelType w:val="hybridMultilevel"/>
    <w:tmpl w:val="DA4AD0B8"/>
    <w:lvl w:ilvl="0">
      <w:start w:va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79F7393D"/>
    <w:multiLevelType w:val="hybridMultilevel"/>
    <w:tmpl w:val="41BAE554"/>
    <w:lvl w:ilvl="0">
      <w:start w:va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8"/>
  </w:num>
  <w:num w:numId="6">
    <w:abstractNumId w:val="19"/>
  </w:num>
  <w:num w:numId="7">
    <w:abstractNumId w:val="6"/>
  </w:num>
  <w:num w:numId="8">
    <w:abstractNumId w:val="8"/>
  </w:num>
  <w:num w:numId="9">
    <w:abstractNumId w:val="15"/>
  </w:num>
  <w:num w:numId="10">
    <w:abstractNumId w:val="0"/>
  </w:num>
  <w:num w:numId="11">
    <w:abstractNumId w:val="9"/>
  </w:num>
  <w:num w:numId="12">
    <w:abstractNumId w:val="7"/>
  </w:num>
  <w:num w:numId="13">
    <w:abstractNumId w:val="5"/>
  </w:num>
  <w:num w:numId="14">
    <w:abstractNumId w:val="1"/>
  </w:num>
  <w:num w:numId="15">
    <w:abstractNumId w:val="17"/>
  </w:num>
  <w:num w:numId="16">
    <w:abstractNumId w:val="11"/>
  </w:num>
  <w:num w:numId="17">
    <w:abstractNumId w:val="10"/>
  </w:num>
  <w:num w:numId="18">
    <w:abstractNumId w:val="3"/>
  </w:num>
  <w:num w:numId="19">
    <w:abstractNumId w:val="14"/>
  </w:num>
  <w:num w:numId="20">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Viktors Sidorenkovs">
    <w15:presenceInfo w15:providerId="AD" w15:userId="S-1-5-21-1762135226-342840741-925700815-3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DE9"/>
    <w:rsid w:val="00003240"/>
    <w:rsid w:val="000036C0"/>
    <w:rsid w:val="00007399"/>
    <w:rsid w:val="000108E6"/>
    <w:rsid w:val="0001102B"/>
    <w:rsid w:val="000112D0"/>
    <w:rsid w:val="00012979"/>
    <w:rsid w:val="00012A21"/>
    <w:rsid w:val="000160EA"/>
    <w:rsid w:val="0002280B"/>
    <w:rsid w:val="00024E33"/>
    <w:rsid w:val="00030B3D"/>
    <w:rsid w:val="0003202B"/>
    <w:rsid w:val="00034B31"/>
    <w:rsid w:val="0003526D"/>
    <w:rsid w:val="00035AA4"/>
    <w:rsid w:val="00037307"/>
    <w:rsid w:val="0004337F"/>
    <w:rsid w:val="00044678"/>
    <w:rsid w:val="00045D20"/>
    <w:rsid w:val="00045D8F"/>
    <w:rsid w:val="00050AB6"/>
    <w:rsid w:val="00054D66"/>
    <w:rsid w:val="0006094A"/>
    <w:rsid w:val="00070FC2"/>
    <w:rsid w:val="00072DBF"/>
    <w:rsid w:val="000730E5"/>
    <w:rsid w:val="00075382"/>
    <w:rsid w:val="00076F5A"/>
    <w:rsid w:val="00080F6C"/>
    <w:rsid w:val="00082C0D"/>
    <w:rsid w:val="0008351D"/>
    <w:rsid w:val="00083DB0"/>
    <w:rsid w:val="00085831"/>
    <w:rsid w:val="000877AA"/>
    <w:rsid w:val="0008780E"/>
    <w:rsid w:val="0009115B"/>
    <w:rsid w:val="000934FD"/>
    <w:rsid w:val="00094359"/>
    <w:rsid w:val="00095328"/>
    <w:rsid w:val="00097681"/>
    <w:rsid w:val="00097D7A"/>
    <w:rsid w:val="000A2A69"/>
    <w:rsid w:val="000A3613"/>
    <w:rsid w:val="000A470F"/>
    <w:rsid w:val="000B288E"/>
    <w:rsid w:val="000B486B"/>
    <w:rsid w:val="000B49EB"/>
    <w:rsid w:val="000C1BB0"/>
    <w:rsid w:val="000C7BB8"/>
    <w:rsid w:val="000D17AF"/>
    <w:rsid w:val="000D41D9"/>
    <w:rsid w:val="000D6E8A"/>
    <w:rsid w:val="000D707F"/>
    <w:rsid w:val="000E082D"/>
    <w:rsid w:val="000E11B1"/>
    <w:rsid w:val="000E38FF"/>
    <w:rsid w:val="000E450D"/>
    <w:rsid w:val="000E486C"/>
    <w:rsid w:val="000E5079"/>
    <w:rsid w:val="000E69AC"/>
    <w:rsid w:val="000F030C"/>
    <w:rsid w:val="000F0C6C"/>
    <w:rsid w:val="000F2E02"/>
    <w:rsid w:val="000F344D"/>
    <w:rsid w:val="000F375B"/>
    <w:rsid w:val="000F6B87"/>
    <w:rsid w:val="000F7B80"/>
    <w:rsid w:val="001008D3"/>
    <w:rsid w:val="00104B6F"/>
    <w:rsid w:val="001055BB"/>
    <w:rsid w:val="00106FFF"/>
    <w:rsid w:val="00107C17"/>
    <w:rsid w:val="00111176"/>
    <w:rsid w:val="0011519A"/>
    <w:rsid w:val="00116DD0"/>
    <w:rsid w:val="00120F02"/>
    <w:rsid w:val="00121DF2"/>
    <w:rsid w:val="0012695C"/>
    <w:rsid w:val="00126967"/>
    <w:rsid w:val="00127F10"/>
    <w:rsid w:val="00134D02"/>
    <w:rsid w:val="001432DC"/>
    <w:rsid w:val="00144408"/>
    <w:rsid w:val="00144AD0"/>
    <w:rsid w:val="00144CFA"/>
    <w:rsid w:val="001477AE"/>
    <w:rsid w:val="00150CC0"/>
    <w:rsid w:val="0015181B"/>
    <w:rsid w:val="00152BD0"/>
    <w:rsid w:val="001541D0"/>
    <w:rsid w:val="00162D69"/>
    <w:rsid w:val="00174500"/>
    <w:rsid w:val="00174F79"/>
    <w:rsid w:val="00180A79"/>
    <w:rsid w:val="00181405"/>
    <w:rsid w:val="001838A2"/>
    <w:rsid w:val="0018439E"/>
    <w:rsid w:val="001846A2"/>
    <w:rsid w:val="001901DD"/>
    <w:rsid w:val="00193142"/>
    <w:rsid w:val="001940EC"/>
    <w:rsid w:val="001A14D0"/>
    <w:rsid w:val="001A15E4"/>
    <w:rsid w:val="001A2FC3"/>
    <w:rsid w:val="001B07B8"/>
    <w:rsid w:val="001B0ABE"/>
    <w:rsid w:val="001B1606"/>
    <w:rsid w:val="001B1764"/>
    <w:rsid w:val="001B2DF7"/>
    <w:rsid w:val="001B6C84"/>
    <w:rsid w:val="001D6DF1"/>
    <w:rsid w:val="001D6FC9"/>
    <w:rsid w:val="001E1923"/>
    <w:rsid w:val="001E30F1"/>
    <w:rsid w:val="001E4A92"/>
    <w:rsid w:val="001F56B0"/>
    <w:rsid w:val="001F64FC"/>
    <w:rsid w:val="001F68B9"/>
    <w:rsid w:val="001F72F4"/>
    <w:rsid w:val="00200CA5"/>
    <w:rsid w:val="002059E5"/>
    <w:rsid w:val="00205A9B"/>
    <w:rsid w:val="00205EA6"/>
    <w:rsid w:val="00206E50"/>
    <w:rsid w:val="00210A16"/>
    <w:rsid w:val="00212B3C"/>
    <w:rsid w:val="00215CF8"/>
    <w:rsid w:val="002215F5"/>
    <w:rsid w:val="002257E7"/>
    <w:rsid w:val="00233635"/>
    <w:rsid w:val="002356EB"/>
    <w:rsid w:val="0024037D"/>
    <w:rsid w:val="00241635"/>
    <w:rsid w:val="00242933"/>
    <w:rsid w:val="002438D3"/>
    <w:rsid w:val="002452B8"/>
    <w:rsid w:val="00245629"/>
    <w:rsid w:val="00247F2F"/>
    <w:rsid w:val="00251F63"/>
    <w:rsid w:val="0025222B"/>
    <w:rsid w:val="0026154B"/>
    <w:rsid w:val="002715DC"/>
    <w:rsid w:val="002721BA"/>
    <w:rsid w:val="00273151"/>
    <w:rsid w:val="002739F1"/>
    <w:rsid w:val="00273EC2"/>
    <w:rsid w:val="002763F5"/>
    <w:rsid w:val="002765B2"/>
    <w:rsid w:val="002769CD"/>
    <w:rsid w:val="002802CE"/>
    <w:rsid w:val="00284F13"/>
    <w:rsid w:val="00287550"/>
    <w:rsid w:val="00290E5D"/>
    <w:rsid w:val="00290ED3"/>
    <w:rsid w:val="00293450"/>
    <w:rsid w:val="00296C7A"/>
    <w:rsid w:val="00297E10"/>
    <w:rsid w:val="002A05C6"/>
    <w:rsid w:val="002A1E80"/>
    <w:rsid w:val="002A1F1C"/>
    <w:rsid w:val="002A75BB"/>
    <w:rsid w:val="002A7842"/>
    <w:rsid w:val="002B3EE4"/>
    <w:rsid w:val="002C393D"/>
    <w:rsid w:val="002C404B"/>
    <w:rsid w:val="002C4189"/>
    <w:rsid w:val="002C4987"/>
    <w:rsid w:val="002C6ACD"/>
    <w:rsid w:val="002D1E99"/>
    <w:rsid w:val="002D4C56"/>
    <w:rsid w:val="002D50CA"/>
    <w:rsid w:val="002D5123"/>
    <w:rsid w:val="002E04BB"/>
    <w:rsid w:val="002E4E5A"/>
    <w:rsid w:val="002E61BD"/>
    <w:rsid w:val="002F05F1"/>
    <w:rsid w:val="002F31E7"/>
    <w:rsid w:val="002F3238"/>
    <w:rsid w:val="002F4780"/>
    <w:rsid w:val="002F5A74"/>
    <w:rsid w:val="002F5E91"/>
    <w:rsid w:val="00300061"/>
    <w:rsid w:val="003050E2"/>
    <w:rsid w:val="00306E00"/>
    <w:rsid w:val="00307637"/>
    <w:rsid w:val="00311493"/>
    <w:rsid w:val="003118D9"/>
    <w:rsid w:val="003128D2"/>
    <w:rsid w:val="00320C86"/>
    <w:rsid w:val="00324BF2"/>
    <w:rsid w:val="00326DF1"/>
    <w:rsid w:val="00335CF7"/>
    <w:rsid w:val="00336DED"/>
    <w:rsid w:val="00345405"/>
    <w:rsid w:val="0034544F"/>
    <w:rsid w:val="00345695"/>
    <w:rsid w:val="00350AC1"/>
    <w:rsid w:val="00351F2B"/>
    <w:rsid w:val="00355778"/>
    <w:rsid w:val="00356650"/>
    <w:rsid w:val="00357294"/>
    <w:rsid w:val="003618D4"/>
    <w:rsid w:val="003621B8"/>
    <w:rsid w:val="0037098D"/>
    <w:rsid w:val="00370D10"/>
    <w:rsid w:val="0037292E"/>
    <w:rsid w:val="003729D1"/>
    <w:rsid w:val="00373E41"/>
    <w:rsid w:val="00376128"/>
    <w:rsid w:val="003808B2"/>
    <w:rsid w:val="003813A7"/>
    <w:rsid w:val="003825E8"/>
    <w:rsid w:val="0038731B"/>
    <w:rsid w:val="00390FC0"/>
    <w:rsid w:val="0039413C"/>
    <w:rsid w:val="00394A0A"/>
    <w:rsid w:val="00397FD9"/>
    <w:rsid w:val="003A05B7"/>
    <w:rsid w:val="003A1574"/>
    <w:rsid w:val="003A1EAB"/>
    <w:rsid w:val="003A2AA0"/>
    <w:rsid w:val="003A3977"/>
    <w:rsid w:val="003A54E1"/>
    <w:rsid w:val="003A68CE"/>
    <w:rsid w:val="003B07CA"/>
    <w:rsid w:val="003B2BDD"/>
    <w:rsid w:val="003C2921"/>
    <w:rsid w:val="003C2D51"/>
    <w:rsid w:val="003C6DBB"/>
    <w:rsid w:val="003D08D9"/>
    <w:rsid w:val="003D2194"/>
    <w:rsid w:val="003D45B6"/>
    <w:rsid w:val="003E0B5E"/>
    <w:rsid w:val="003E29D9"/>
    <w:rsid w:val="003E4D32"/>
    <w:rsid w:val="003E73C1"/>
    <w:rsid w:val="003F0AE8"/>
    <w:rsid w:val="003F0F05"/>
    <w:rsid w:val="003F1449"/>
    <w:rsid w:val="003F18C6"/>
    <w:rsid w:val="003F4462"/>
    <w:rsid w:val="003F5023"/>
    <w:rsid w:val="003F5830"/>
    <w:rsid w:val="003F5D75"/>
    <w:rsid w:val="004025B9"/>
    <w:rsid w:val="004035FD"/>
    <w:rsid w:val="00403867"/>
    <w:rsid w:val="00410349"/>
    <w:rsid w:val="0041452A"/>
    <w:rsid w:val="00414FA3"/>
    <w:rsid w:val="0042455A"/>
    <w:rsid w:val="00425165"/>
    <w:rsid w:val="004270F9"/>
    <w:rsid w:val="00427855"/>
    <w:rsid w:val="004327CC"/>
    <w:rsid w:val="00433A9E"/>
    <w:rsid w:val="004407CF"/>
    <w:rsid w:val="004420DA"/>
    <w:rsid w:val="004446AF"/>
    <w:rsid w:val="00454795"/>
    <w:rsid w:val="00455BE2"/>
    <w:rsid w:val="00456A61"/>
    <w:rsid w:val="00456D5D"/>
    <w:rsid w:val="00457FD5"/>
    <w:rsid w:val="0046344E"/>
    <w:rsid w:val="004644CA"/>
    <w:rsid w:val="00467C09"/>
    <w:rsid w:val="004702C1"/>
    <w:rsid w:val="00470E27"/>
    <w:rsid w:val="0047323A"/>
    <w:rsid w:val="004734CB"/>
    <w:rsid w:val="00476987"/>
    <w:rsid w:val="0047735E"/>
    <w:rsid w:val="00480C92"/>
    <w:rsid w:val="004873AA"/>
    <w:rsid w:val="004904B6"/>
    <w:rsid w:val="004904E3"/>
    <w:rsid w:val="0049694A"/>
    <w:rsid w:val="004971A7"/>
    <w:rsid w:val="004A2894"/>
    <w:rsid w:val="004A2E28"/>
    <w:rsid w:val="004A6034"/>
    <w:rsid w:val="004A7DAA"/>
    <w:rsid w:val="004B055B"/>
    <w:rsid w:val="004B34FC"/>
    <w:rsid w:val="004B398A"/>
    <w:rsid w:val="004B6857"/>
    <w:rsid w:val="004B6C1D"/>
    <w:rsid w:val="004C19F3"/>
    <w:rsid w:val="004C5462"/>
    <w:rsid w:val="004D49FA"/>
    <w:rsid w:val="004E1EDC"/>
    <w:rsid w:val="004E56ED"/>
    <w:rsid w:val="004E78B0"/>
    <w:rsid w:val="004E7ADC"/>
    <w:rsid w:val="004F2A2F"/>
    <w:rsid w:val="004F617F"/>
    <w:rsid w:val="00502083"/>
    <w:rsid w:val="00503EC7"/>
    <w:rsid w:val="0050663D"/>
    <w:rsid w:val="005204C5"/>
    <w:rsid w:val="00521D34"/>
    <w:rsid w:val="00531FA8"/>
    <w:rsid w:val="00533287"/>
    <w:rsid w:val="00535F3B"/>
    <w:rsid w:val="00536C7F"/>
    <w:rsid w:val="00537852"/>
    <w:rsid w:val="00540942"/>
    <w:rsid w:val="005440F4"/>
    <w:rsid w:val="005467B6"/>
    <w:rsid w:val="00552B46"/>
    <w:rsid w:val="0055797F"/>
    <w:rsid w:val="00561585"/>
    <w:rsid w:val="00562812"/>
    <w:rsid w:val="00562E57"/>
    <w:rsid w:val="00565560"/>
    <w:rsid w:val="00565584"/>
    <w:rsid w:val="005708E4"/>
    <w:rsid w:val="00571E72"/>
    <w:rsid w:val="00574978"/>
    <w:rsid w:val="00575D35"/>
    <w:rsid w:val="005773EA"/>
    <w:rsid w:val="005776DE"/>
    <w:rsid w:val="00581FCB"/>
    <w:rsid w:val="00591043"/>
    <w:rsid w:val="00592F62"/>
    <w:rsid w:val="005962E8"/>
    <w:rsid w:val="0059765B"/>
    <w:rsid w:val="00597DF5"/>
    <w:rsid w:val="005A23F4"/>
    <w:rsid w:val="005B124E"/>
    <w:rsid w:val="005B21ED"/>
    <w:rsid w:val="005B28D4"/>
    <w:rsid w:val="005B33D1"/>
    <w:rsid w:val="005C2439"/>
    <w:rsid w:val="005C3410"/>
    <w:rsid w:val="005C74EC"/>
    <w:rsid w:val="005D04C5"/>
    <w:rsid w:val="005D1F63"/>
    <w:rsid w:val="005D23D2"/>
    <w:rsid w:val="005D28A0"/>
    <w:rsid w:val="005E01B5"/>
    <w:rsid w:val="005E042E"/>
    <w:rsid w:val="005E19FB"/>
    <w:rsid w:val="005E5475"/>
    <w:rsid w:val="005E5834"/>
    <w:rsid w:val="005F135E"/>
    <w:rsid w:val="005F259D"/>
    <w:rsid w:val="00603098"/>
    <w:rsid w:val="00606402"/>
    <w:rsid w:val="00621791"/>
    <w:rsid w:val="00622860"/>
    <w:rsid w:val="006240CE"/>
    <w:rsid w:val="00627B13"/>
    <w:rsid w:val="00630CE6"/>
    <w:rsid w:val="00631729"/>
    <w:rsid w:val="00632421"/>
    <w:rsid w:val="00634695"/>
    <w:rsid w:val="00635A8C"/>
    <w:rsid w:val="0064028E"/>
    <w:rsid w:val="006429ED"/>
    <w:rsid w:val="006446D4"/>
    <w:rsid w:val="00645C1C"/>
    <w:rsid w:val="0065337F"/>
    <w:rsid w:val="006537A4"/>
    <w:rsid w:val="00654B24"/>
    <w:rsid w:val="00664220"/>
    <w:rsid w:val="00665296"/>
    <w:rsid w:val="006656F2"/>
    <w:rsid w:val="00665B63"/>
    <w:rsid w:val="00670DB3"/>
    <w:rsid w:val="00670FDA"/>
    <w:rsid w:val="00674431"/>
    <w:rsid w:val="00674695"/>
    <w:rsid w:val="006759AE"/>
    <w:rsid w:val="006779A9"/>
    <w:rsid w:val="006809C0"/>
    <w:rsid w:val="0068242E"/>
    <w:rsid w:val="00684DA1"/>
    <w:rsid w:val="00685C8A"/>
    <w:rsid w:val="00687130"/>
    <w:rsid w:val="0069162E"/>
    <w:rsid w:val="006919CE"/>
    <w:rsid w:val="006929E4"/>
    <w:rsid w:val="00694BEA"/>
    <w:rsid w:val="0069697F"/>
    <w:rsid w:val="00697A9D"/>
    <w:rsid w:val="006A0089"/>
    <w:rsid w:val="006A3CD0"/>
    <w:rsid w:val="006A58F6"/>
    <w:rsid w:val="006A5E15"/>
    <w:rsid w:val="006A614D"/>
    <w:rsid w:val="006B1C9D"/>
    <w:rsid w:val="006B2517"/>
    <w:rsid w:val="006B28A7"/>
    <w:rsid w:val="006B3785"/>
    <w:rsid w:val="006B6E77"/>
    <w:rsid w:val="006C2553"/>
    <w:rsid w:val="006C41FB"/>
    <w:rsid w:val="006C4F9F"/>
    <w:rsid w:val="006C542D"/>
    <w:rsid w:val="006C54D3"/>
    <w:rsid w:val="006D0314"/>
    <w:rsid w:val="006D3A51"/>
    <w:rsid w:val="006D655B"/>
    <w:rsid w:val="006D7B1F"/>
    <w:rsid w:val="006D7FD2"/>
    <w:rsid w:val="006E5490"/>
    <w:rsid w:val="006E5DE1"/>
    <w:rsid w:val="006F2DDD"/>
    <w:rsid w:val="006F39B7"/>
    <w:rsid w:val="006F5E34"/>
    <w:rsid w:val="006F61C6"/>
    <w:rsid w:val="006F741A"/>
    <w:rsid w:val="006F78E7"/>
    <w:rsid w:val="007030AF"/>
    <w:rsid w:val="00706824"/>
    <w:rsid w:val="00715092"/>
    <w:rsid w:val="0071603B"/>
    <w:rsid w:val="007178B1"/>
    <w:rsid w:val="0072052D"/>
    <w:rsid w:val="0072117D"/>
    <w:rsid w:val="00721C0B"/>
    <w:rsid w:val="007225D8"/>
    <w:rsid w:val="007225F4"/>
    <w:rsid w:val="00725F09"/>
    <w:rsid w:val="00726965"/>
    <w:rsid w:val="00726D2E"/>
    <w:rsid w:val="0073106B"/>
    <w:rsid w:val="00735083"/>
    <w:rsid w:val="00735D6A"/>
    <w:rsid w:val="00736EF0"/>
    <w:rsid w:val="00740BA5"/>
    <w:rsid w:val="007414AD"/>
    <w:rsid w:val="00741B30"/>
    <w:rsid w:val="007451C9"/>
    <w:rsid w:val="00750BF2"/>
    <w:rsid w:val="00753334"/>
    <w:rsid w:val="0075396B"/>
    <w:rsid w:val="00754A4E"/>
    <w:rsid w:val="00754A6F"/>
    <w:rsid w:val="00754ABB"/>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97607"/>
    <w:rsid w:val="007A243C"/>
    <w:rsid w:val="007A24B3"/>
    <w:rsid w:val="007A5B18"/>
    <w:rsid w:val="007A5B54"/>
    <w:rsid w:val="007A5B69"/>
    <w:rsid w:val="007A61C5"/>
    <w:rsid w:val="007A6440"/>
    <w:rsid w:val="007A78F6"/>
    <w:rsid w:val="007B086D"/>
    <w:rsid w:val="007B0DF2"/>
    <w:rsid w:val="007B6188"/>
    <w:rsid w:val="007B6C01"/>
    <w:rsid w:val="007C0DE8"/>
    <w:rsid w:val="007C3FE3"/>
    <w:rsid w:val="007C65D1"/>
    <w:rsid w:val="007D2EAD"/>
    <w:rsid w:val="007D38FD"/>
    <w:rsid w:val="007D54C2"/>
    <w:rsid w:val="007D5E7B"/>
    <w:rsid w:val="007D614E"/>
    <w:rsid w:val="007D75BF"/>
    <w:rsid w:val="007E1FB4"/>
    <w:rsid w:val="007E3B95"/>
    <w:rsid w:val="007E5FB1"/>
    <w:rsid w:val="007E60A2"/>
    <w:rsid w:val="007E71A1"/>
    <w:rsid w:val="007F0ACF"/>
    <w:rsid w:val="007F26C8"/>
    <w:rsid w:val="007F6E14"/>
    <w:rsid w:val="00800298"/>
    <w:rsid w:val="00800DA2"/>
    <w:rsid w:val="00803F2A"/>
    <w:rsid w:val="00816582"/>
    <w:rsid w:val="00817919"/>
    <w:rsid w:val="008222DF"/>
    <w:rsid w:val="0082293A"/>
    <w:rsid w:val="00826214"/>
    <w:rsid w:val="008276DB"/>
    <w:rsid w:val="008301E9"/>
    <w:rsid w:val="00830B33"/>
    <w:rsid w:val="00832426"/>
    <w:rsid w:val="0083377A"/>
    <w:rsid w:val="00833E38"/>
    <w:rsid w:val="008341E1"/>
    <w:rsid w:val="00834AEC"/>
    <w:rsid w:val="00835149"/>
    <w:rsid w:val="00836E73"/>
    <w:rsid w:val="008406F0"/>
    <w:rsid w:val="008479A1"/>
    <w:rsid w:val="00852FB7"/>
    <w:rsid w:val="00854935"/>
    <w:rsid w:val="0085547C"/>
    <w:rsid w:val="008601FF"/>
    <w:rsid w:val="00861E73"/>
    <w:rsid w:val="0087090C"/>
    <w:rsid w:val="0087464D"/>
    <w:rsid w:val="008746B4"/>
    <w:rsid w:val="008766A6"/>
    <w:rsid w:val="00880D80"/>
    <w:rsid w:val="00883D07"/>
    <w:rsid w:val="00883FD9"/>
    <w:rsid w:val="00884E02"/>
    <w:rsid w:val="00892BBB"/>
    <w:rsid w:val="00894527"/>
    <w:rsid w:val="00894B6F"/>
    <w:rsid w:val="00894D70"/>
    <w:rsid w:val="00897FD7"/>
    <w:rsid w:val="008A616E"/>
    <w:rsid w:val="008B04CC"/>
    <w:rsid w:val="008B4BDA"/>
    <w:rsid w:val="008B5AED"/>
    <w:rsid w:val="008B6296"/>
    <w:rsid w:val="008C62B4"/>
    <w:rsid w:val="008D3007"/>
    <w:rsid w:val="008D5DC5"/>
    <w:rsid w:val="008E03D2"/>
    <w:rsid w:val="008E0871"/>
    <w:rsid w:val="008E09B5"/>
    <w:rsid w:val="008E3778"/>
    <w:rsid w:val="008E5ABC"/>
    <w:rsid w:val="008E5E12"/>
    <w:rsid w:val="008F0C1B"/>
    <w:rsid w:val="008F2BF4"/>
    <w:rsid w:val="008F3EE1"/>
    <w:rsid w:val="008F5EA1"/>
    <w:rsid w:val="008F6F28"/>
    <w:rsid w:val="00900BD5"/>
    <w:rsid w:val="009023DC"/>
    <w:rsid w:val="0090421A"/>
    <w:rsid w:val="0091184C"/>
    <w:rsid w:val="00911AE6"/>
    <w:rsid w:val="009153B1"/>
    <w:rsid w:val="00915E36"/>
    <w:rsid w:val="009164FD"/>
    <w:rsid w:val="00920404"/>
    <w:rsid w:val="00920414"/>
    <w:rsid w:val="009227B8"/>
    <w:rsid w:val="009231BD"/>
    <w:rsid w:val="0092745B"/>
    <w:rsid w:val="00930909"/>
    <w:rsid w:val="00935D3B"/>
    <w:rsid w:val="009360F4"/>
    <w:rsid w:val="00943D6C"/>
    <w:rsid w:val="00944C9D"/>
    <w:rsid w:val="00945912"/>
    <w:rsid w:val="00947D71"/>
    <w:rsid w:val="00952E2D"/>
    <w:rsid w:val="009616BC"/>
    <w:rsid w:val="00962C5A"/>
    <w:rsid w:val="0096568C"/>
    <w:rsid w:val="0097098E"/>
    <w:rsid w:val="0097177B"/>
    <w:rsid w:val="00973FA8"/>
    <w:rsid w:val="00974952"/>
    <w:rsid w:val="0098009D"/>
    <w:rsid w:val="00984B14"/>
    <w:rsid w:val="00992568"/>
    <w:rsid w:val="009949D8"/>
    <w:rsid w:val="00995B7E"/>
    <w:rsid w:val="009A152F"/>
    <w:rsid w:val="009A2B0B"/>
    <w:rsid w:val="009A35FE"/>
    <w:rsid w:val="009A457C"/>
    <w:rsid w:val="009B2100"/>
    <w:rsid w:val="009C361B"/>
    <w:rsid w:val="009C5BD6"/>
    <w:rsid w:val="009C6ACB"/>
    <w:rsid w:val="009C6B67"/>
    <w:rsid w:val="009C7BD7"/>
    <w:rsid w:val="009D0A0F"/>
    <w:rsid w:val="009D0BDE"/>
    <w:rsid w:val="009D13FC"/>
    <w:rsid w:val="009D2B87"/>
    <w:rsid w:val="009D383B"/>
    <w:rsid w:val="009D38D5"/>
    <w:rsid w:val="009D5C55"/>
    <w:rsid w:val="009E4A7A"/>
    <w:rsid w:val="009E6BB7"/>
    <w:rsid w:val="009F304C"/>
    <w:rsid w:val="009F6E76"/>
    <w:rsid w:val="009F7D24"/>
    <w:rsid w:val="00A015FE"/>
    <w:rsid w:val="00A019E8"/>
    <w:rsid w:val="00A0201B"/>
    <w:rsid w:val="00A055FF"/>
    <w:rsid w:val="00A12C85"/>
    <w:rsid w:val="00A1403B"/>
    <w:rsid w:val="00A15307"/>
    <w:rsid w:val="00A15DE7"/>
    <w:rsid w:val="00A177A0"/>
    <w:rsid w:val="00A20469"/>
    <w:rsid w:val="00A2468A"/>
    <w:rsid w:val="00A25D4D"/>
    <w:rsid w:val="00A25F94"/>
    <w:rsid w:val="00A2670A"/>
    <w:rsid w:val="00A2698D"/>
    <w:rsid w:val="00A27092"/>
    <w:rsid w:val="00A46222"/>
    <w:rsid w:val="00A46B31"/>
    <w:rsid w:val="00A46FCD"/>
    <w:rsid w:val="00A509D8"/>
    <w:rsid w:val="00A528F7"/>
    <w:rsid w:val="00A5771D"/>
    <w:rsid w:val="00A62B6D"/>
    <w:rsid w:val="00A72CBE"/>
    <w:rsid w:val="00A73DCE"/>
    <w:rsid w:val="00A741D2"/>
    <w:rsid w:val="00A8373A"/>
    <w:rsid w:val="00A838A3"/>
    <w:rsid w:val="00A8489A"/>
    <w:rsid w:val="00A84D8E"/>
    <w:rsid w:val="00A91C96"/>
    <w:rsid w:val="00A948EC"/>
    <w:rsid w:val="00A95A4C"/>
    <w:rsid w:val="00AA38BA"/>
    <w:rsid w:val="00AA3963"/>
    <w:rsid w:val="00AA43B5"/>
    <w:rsid w:val="00AA4E1A"/>
    <w:rsid w:val="00AA5180"/>
    <w:rsid w:val="00AA54CB"/>
    <w:rsid w:val="00AA597F"/>
    <w:rsid w:val="00AA64C0"/>
    <w:rsid w:val="00AA66F1"/>
    <w:rsid w:val="00AA6B43"/>
    <w:rsid w:val="00AA75BD"/>
    <w:rsid w:val="00AB0F7A"/>
    <w:rsid w:val="00AB1B33"/>
    <w:rsid w:val="00AB3EB7"/>
    <w:rsid w:val="00AB5F86"/>
    <w:rsid w:val="00AC10D8"/>
    <w:rsid w:val="00AC1659"/>
    <w:rsid w:val="00AC21FA"/>
    <w:rsid w:val="00AC3B8B"/>
    <w:rsid w:val="00AC5FDF"/>
    <w:rsid w:val="00AD1682"/>
    <w:rsid w:val="00AD2A37"/>
    <w:rsid w:val="00AD6882"/>
    <w:rsid w:val="00AE2F8D"/>
    <w:rsid w:val="00AE4282"/>
    <w:rsid w:val="00AE4FAF"/>
    <w:rsid w:val="00AE555B"/>
    <w:rsid w:val="00AF14E3"/>
    <w:rsid w:val="00AF51F2"/>
    <w:rsid w:val="00B00662"/>
    <w:rsid w:val="00B02864"/>
    <w:rsid w:val="00B0493E"/>
    <w:rsid w:val="00B04B8B"/>
    <w:rsid w:val="00B06233"/>
    <w:rsid w:val="00B109D5"/>
    <w:rsid w:val="00B11D3C"/>
    <w:rsid w:val="00B151C1"/>
    <w:rsid w:val="00B15576"/>
    <w:rsid w:val="00B21864"/>
    <w:rsid w:val="00B23332"/>
    <w:rsid w:val="00B2369E"/>
    <w:rsid w:val="00B238F0"/>
    <w:rsid w:val="00B23B0C"/>
    <w:rsid w:val="00B31854"/>
    <w:rsid w:val="00B32B7D"/>
    <w:rsid w:val="00B33F34"/>
    <w:rsid w:val="00B33F66"/>
    <w:rsid w:val="00B34A22"/>
    <w:rsid w:val="00B35DC2"/>
    <w:rsid w:val="00B35E93"/>
    <w:rsid w:val="00B367F7"/>
    <w:rsid w:val="00B379F2"/>
    <w:rsid w:val="00B44BE9"/>
    <w:rsid w:val="00B44C2C"/>
    <w:rsid w:val="00B46E4E"/>
    <w:rsid w:val="00B4740A"/>
    <w:rsid w:val="00B47C51"/>
    <w:rsid w:val="00B515E2"/>
    <w:rsid w:val="00B51901"/>
    <w:rsid w:val="00B52D6A"/>
    <w:rsid w:val="00B54A7B"/>
    <w:rsid w:val="00B60037"/>
    <w:rsid w:val="00B61FD2"/>
    <w:rsid w:val="00B6210D"/>
    <w:rsid w:val="00B73B33"/>
    <w:rsid w:val="00B746B1"/>
    <w:rsid w:val="00B74D74"/>
    <w:rsid w:val="00B74FBC"/>
    <w:rsid w:val="00B759D0"/>
    <w:rsid w:val="00B75B30"/>
    <w:rsid w:val="00B75C71"/>
    <w:rsid w:val="00B77A01"/>
    <w:rsid w:val="00B77AB2"/>
    <w:rsid w:val="00B81F09"/>
    <w:rsid w:val="00B83E24"/>
    <w:rsid w:val="00B84C5E"/>
    <w:rsid w:val="00B904D7"/>
    <w:rsid w:val="00B92999"/>
    <w:rsid w:val="00B92CF7"/>
    <w:rsid w:val="00B94EB6"/>
    <w:rsid w:val="00B96275"/>
    <w:rsid w:val="00B96827"/>
    <w:rsid w:val="00B97B6D"/>
    <w:rsid w:val="00BA1047"/>
    <w:rsid w:val="00BA3763"/>
    <w:rsid w:val="00BA5886"/>
    <w:rsid w:val="00BA593C"/>
    <w:rsid w:val="00BA687E"/>
    <w:rsid w:val="00BB140A"/>
    <w:rsid w:val="00BB1F17"/>
    <w:rsid w:val="00BB4FF1"/>
    <w:rsid w:val="00BC2A84"/>
    <w:rsid w:val="00BC374C"/>
    <w:rsid w:val="00BD2CCF"/>
    <w:rsid w:val="00BD2EEE"/>
    <w:rsid w:val="00BD7E1E"/>
    <w:rsid w:val="00BE306A"/>
    <w:rsid w:val="00BE6D99"/>
    <w:rsid w:val="00BE6DE3"/>
    <w:rsid w:val="00BE7F2C"/>
    <w:rsid w:val="00BF28EB"/>
    <w:rsid w:val="00BF7A59"/>
    <w:rsid w:val="00C0351E"/>
    <w:rsid w:val="00C048E6"/>
    <w:rsid w:val="00C1223E"/>
    <w:rsid w:val="00C13868"/>
    <w:rsid w:val="00C16BCC"/>
    <w:rsid w:val="00C204AF"/>
    <w:rsid w:val="00C23BB9"/>
    <w:rsid w:val="00C3042A"/>
    <w:rsid w:val="00C3439F"/>
    <w:rsid w:val="00C35A7D"/>
    <w:rsid w:val="00C4142B"/>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86B07"/>
    <w:rsid w:val="00C86D7D"/>
    <w:rsid w:val="00C9029C"/>
    <w:rsid w:val="00C91D6F"/>
    <w:rsid w:val="00C9210C"/>
    <w:rsid w:val="00C928A7"/>
    <w:rsid w:val="00C931BC"/>
    <w:rsid w:val="00C94D2C"/>
    <w:rsid w:val="00C97CED"/>
    <w:rsid w:val="00CA1507"/>
    <w:rsid w:val="00CA1AD3"/>
    <w:rsid w:val="00CA7537"/>
    <w:rsid w:val="00CA753E"/>
    <w:rsid w:val="00CB356F"/>
    <w:rsid w:val="00CB3CE4"/>
    <w:rsid w:val="00CB65CC"/>
    <w:rsid w:val="00CB7AE2"/>
    <w:rsid w:val="00CC0212"/>
    <w:rsid w:val="00CC2FF4"/>
    <w:rsid w:val="00CC301D"/>
    <w:rsid w:val="00CC4A6B"/>
    <w:rsid w:val="00CC5CE1"/>
    <w:rsid w:val="00CD1818"/>
    <w:rsid w:val="00CD4B7E"/>
    <w:rsid w:val="00CE5BCF"/>
    <w:rsid w:val="00CE63F9"/>
    <w:rsid w:val="00CF4B12"/>
    <w:rsid w:val="00CF6005"/>
    <w:rsid w:val="00CF61BD"/>
    <w:rsid w:val="00CF6A09"/>
    <w:rsid w:val="00D000CE"/>
    <w:rsid w:val="00D04FD7"/>
    <w:rsid w:val="00D05297"/>
    <w:rsid w:val="00D11BBB"/>
    <w:rsid w:val="00D1309C"/>
    <w:rsid w:val="00D144DA"/>
    <w:rsid w:val="00D24287"/>
    <w:rsid w:val="00D26644"/>
    <w:rsid w:val="00D267FC"/>
    <w:rsid w:val="00D31874"/>
    <w:rsid w:val="00D349B7"/>
    <w:rsid w:val="00D423E1"/>
    <w:rsid w:val="00D42812"/>
    <w:rsid w:val="00D42A3C"/>
    <w:rsid w:val="00D43688"/>
    <w:rsid w:val="00D44BD6"/>
    <w:rsid w:val="00D46A91"/>
    <w:rsid w:val="00D46EEE"/>
    <w:rsid w:val="00D52299"/>
    <w:rsid w:val="00D55AD1"/>
    <w:rsid w:val="00D56CD6"/>
    <w:rsid w:val="00D660E3"/>
    <w:rsid w:val="00D66B5D"/>
    <w:rsid w:val="00D66D58"/>
    <w:rsid w:val="00D67165"/>
    <w:rsid w:val="00D7313E"/>
    <w:rsid w:val="00D7414B"/>
    <w:rsid w:val="00D845AA"/>
    <w:rsid w:val="00D85EBE"/>
    <w:rsid w:val="00D90C77"/>
    <w:rsid w:val="00D9336A"/>
    <w:rsid w:val="00D9392B"/>
    <w:rsid w:val="00D9673B"/>
    <w:rsid w:val="00D96768"/>
    <w:rsid w:val="00DA0E0F"/>
    <w:rsid w:val="00DA283B"/>
    <w:rsid w:val="00DA3E7D"/>
    <w:rsid w:val="00DA792E"/>
    <w:rsid w:val="00DB3E46"/>
    <w:rsid w:val="00DB4613"/>
    <w:rsid w:val="00DB5111"/>
    <w:rsid w:val="00DB518B"/>
    <w:rsid w:val="00DB6B38"/>
    <w:rsid w:val="00DC06C5"/>
    <w:rsid w:val="00DC39E4"/>
    <w:rsid w:val="00DC581E"/>
    <w:rsid w:val="00DC63E7"/>
    <w:rsid w:val="00DD1681"/>
    <w:rsid w:val="00DD18A7"/>
    <w:rsid w:val="00DD2797"/>
    <w:rsid w:val="00DD6037"/>
    <w:rsid w:val="00DD6EB4"/>
    <w:rsid w:val="00DE1126"/>
    <w:rsid w:val="00DE25D1"/>
    <w:rsid w:val="00DE5E6C"/>
    <w:rsid w:val="00DF0545"/>
    <w:rsid w:val="00DF3C2F"/>
    <w:rsid w:val="00DF444B"/>
    <w:rsid w:val="00DF4B82"/>
    <w:rsid w:val="00E0314A"/>
    <w:rsid w:val="00E033E3"/>
    <w:rsid w:val="00E05C99"/>
    <w:rsid w:val="00E10DA4"/>
    <w:rsid w:val="00E110E8"/>
    <w:rsid w:val="00E157DB"/>
    <w:rsid w:val="00E15D44"/>
    <w:rsid w:val="00E17242"/>
    <w:rsid w:val="00E17500"/>
    <w:rsid w:val="00E26DBB"/>
    <w:rsid w:val="00E26E35"/>
    <w:rsid w:val="00E36160"/>
    <w:rsid w:val="00E41185"/>
    <w:rsid w:val="00E41DB6"/>
    <w:rsid w:val="00E42534"/>
    <w:rsid w:val="00E43306"/>
    <w:rsid w:val="00E53054"/>
    <w:rsid w:val="00E56BD4"/>
    <w:rsid w:val="00E57D04"/>
    <w:rsid w:val="00E61AD0"/>
    <w:rsid w:val="00E6468B"/>
    <w:rsid w:val="00E66E72"/>
    <w:rsid w:val="00E6714A"/>
    <w:rsid w:val="00E67F3E"/>
    <w:rsid w:val="00E733F7"/>
    <w:rsid w:val="00E73DCE"/>
    <w:rsid w:val="00E744E0"/>
    <w:rsid w:val="00E75DFD"/>
    <w:rsid w:val="00E84437"/>
    <w:rsid w:val="00E90E8D"/>
    <w:rsid w:val="00E973F4"/>
    <w:rsid w:val="00E976A9"/>
    <w:rsid w:val="00EA0DB3"/>
    <w:rsid w:val="00EB1A12"/>
    <w:rsid w:val="00EB2A93"/>
    <w:rsid w:val="00EB40E8"/>
    <w:rsid w:val="00EB5E5C"/>
    <w:rsid w:val="00EB69C4"/>
    <w:rsid w:val="00EC3A1A"/>
    <w:rsid w:val="00ED0265"/>
    <w:rsid w:val="00ED2374"/>
    <w:rsid w:val="00ED2EB8"/>
    <w:rsid w:val="00ED31C8"/>
    <w:rsid w:val="00ED4D0D"/>
    <w:rsid w:val="00ED5F57"/>
    <w:rsid w:val="00EE0928"/>
    <w:rsid w:val="00EE23D6"/>
    <w:rsid w:val="00EE2CE7"/>
    <w:rsid w:val="00EE3102"/>
    <w:rsid w:val="00EE3848"/>
    <w:rsid w:val="00EF44AF"/>
    <w:rsid w:val="00EF6A1D"/>
    <w:rsid w:val="00F00502"/>
    <w:rsid w:val="00F04026"/>
    <w:rsid w:val="00F04752"/>
    <w:rsid w:val="00F04BC4"/>
    <w:rsid w:val="00F07A3B"/>
    <w:rsid w:val="00F07DEF"/>
    <w:rsid w:val="00F104FB"/>
    <w:rsid w:val="00F13496"/>
    <w:rsid w:val="00F217ED"/>
    <w:rsid w:val="00F27CD1"/>
    <w:rsid w:val="00F32729"/>
    <w:rsid w:val="00F32C22"/>
    <w:rsid w:val="00F33C11"/>
    <w:rsid w:val="00F4563C"/>
    <w:rsid w:val="00F507AF"/>
    <w:rsid w:val="00F51E84"/>
    <w:rsid w:val="00F625E8"/>
    <w:rsid w:val="00F63D80"/>
    <w:rsid w:val="00F65EE3"/>
    <w:rsid w:val="00F66AF3"/>
    <w:rsid w:val="00F66B89"/>
    <w:rsid w:val="00F67415"/>
    <w:rsid w:val="00F67489"/>
    <w:rsid w:val="00F73311"/>
    <w:rsid w:val="00F76324"/>
    <w:rsid w:val="00F80E2B"/>
    <w:rsid w:val="00F932A8"/>
    <w:rsid w:val="00F94B2E"/>
    <w:rsid w:val="00FA0E1E"/>
    <w:rsid w:val="00FA20F0"/>
    <w:rsid w:val="00FA5418"/>
    <w:rsid w:val="00FA6B1C"/>
    <w:rsid w:val="00FA6FFE"/>
    <w:rsid w:val="00FC0B7B"/>
    <w:rsid w:val="00FC450A"/>
    <w:rsid w:val="00FC73A9"/>
    <w:rsid w:val="00FD07E7"/>
    <w:rsid w:val="00FD0D82"/>
    <w:rsid w:val="00FE477F"/>
    <w:rsid w:val="00FE4D89"/>
    <w:rsid w:val="00FE7C99"/>
    <w:rsid w:val="00FF37A6"/>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DB2DA55-CB62-4363-BB51-3A6C9258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B3EB7"/>
    <w:pPr>
      <w:spacing w:before="0" w:after="0"/>
    </w:pPr>
    <w:rPr>
      <w:sz w:val="20"/>
      <w:szCs w:val="20"/>
    </w:rPr>
  </w:style>
  <w:style w:type="character" w:customStyle="1" w:styleId="FootnoteTextChar">
    <w:name w:val="Footnote Text Char"/>
    <w:basedOn w:val="DefaultParagraphFont"/>
    <w:link w:val="FootnoteText"/>
    <w:uiPriority w:val="99"/>
    <w:semiHidden/>
    <w:rsid w:val="00AB3EB7"/>
    <w:rPr>
      <w:sz w:val="20"/>
      <w:szCs w:val="20"/>
    </w:rPr>
  </w:style>
  <w:style w:type="character" w:styleId="FootnoteReference">
    <w:name w:val="footnote reference"/>
    <w:basedOn w:val="DefaultParagraphFont"/>
    <w:uiPriority w:val="99"/>
    <w:semiHidden/>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nhideWhenUsed/>
    <w:rsid w:val="0038731B"/>
    <w:rPr>
      <w:sz w:val="20"/>
      <w:szCs w:val="20"/>
    </w:rPr>
  </w:style>
  <w:style w:type="character" w:customStyle="1" w:styleId="CommentTextChar">
    <w:name w:val="Comment Text Char"/>
    <w:basedOn w:val="DefaultParagraphFont"/>
    <w:link w:val="CommentText"/>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link w:val="DefaultChar"/>
    <w:qForma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character" w:customStyle="1" w:styleId="DefaultChar">
    <w:name w:val="Default Char"/>
    <w:basedOn w:val="DefaultParagraphFont"/>
    <w:link w:val="Default"/>
    <w:locked/>
    <w:rsid w:val="009D13F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E644-6E9E-4F28-A1F3-CD9DB266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2329</Words>
  <Characters>16607</Characters>
  <Application>Microsoft Office Word</Application>
  <DocSecurity>0</DocSecurity>
  <Lines>638</Lines>
  <Paragraphs>252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10.0 versija - Vienotais tiesību aktu projektu izstrādes un saskaņošanas portāls)</vt:lpstr>
      <vt:lpstr/>
    </vt:vector>
  </TitlesOfParts>
  <Company>VARAM</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10.0 versija - Vienotais tiesību aktu projektu izstrādes un saskaņošanas portāls)</dc:title>
  <dc:subject>Ministru kabineta rīkojuma projekts</dc:subject>
  <dc:creator>Lelda Kalniņa</dc:creator>
  <dc:description>67026576, lelda.kalnina@varam.gov.lv</dc:description>
  <cp:lastModifiedBy>Lelda Kalniņa</cp:lastModifiedBy>
  <cp:revision>4</cp:revision>
  <cp:lastPrinted>2017-02-07T08:18:00Z</cp:lastPrinted>
  <dcterms:created xsi:type="dcterms:W3CDTF">2017-08-18T11:27:00Z</dcterms:created>
  <dcterms:modified xsi:type="dcterms:W3CDTF">2017-08-21T10:51:00Z</dcterms:modified>
</cp:coreProperties>
</file>