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5459CB" w14:textId="77777777" w:rsidR="009261C9" w:rsidRDefault="009261C9" w:rsidP="00B44C2C">
      <w:pPr>
        <w:spacing w:before="0" w:after="0"/>
        <w:jc w:val="right"/>
        <w:rPr>
          <w:rFonts w:ascii="Times New Roman" w:eastAsia="Times New Roman" w:hAnsi="Times New Roman" w:cs="Times New Roman"/>
          <w:sz w:val="24"/>
          <w:szCs w:val="24"/>
          <w:lang w:eastAsia="lv-LV"/>
        </w:rPr>
      </w:pPr>
    </w:p>
    <w:p w14:paraId="49B1733A" w14:textId="0EB06189" w:rsidR="00B44C2C" w:rsidRPr="005B6906" w:rsidRDefault="00B44C2C" w:rsidP="009261C9">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Pielikums </w:t>
      </w:r>
    </w:p>
    <w:p w14:paraId="379E4EFD" w14:textId="77777777" w:rsidR="00B44C2C" w:rsidRPr="005B6906" w:rsidRDefault="00B44C2C" w:rsidP="00B44C2C">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Ministru kabineta</w:t>
      </w:r>
    </w:p>
    <w:p w14:paraId="4F490E5C" w14:textId="2A1174EA" w:rsidR="00B44C2C" w:rsidRPr="005B6906" w:rsidRDefault="00B44C2C" w:rsidP="00B44C2C">
      <w:pPr>
        <w:spacing w:before="0" w:after="0"/>
        <w:jc w:val="right"/>
        <w:rPr>
          <w:rFonts w:ascii="Times New Roman" w:eastAsia="Times New Roman" w:hAnsi="Times New Roman" w:cs="Times New Roman"/>
          <w:sz w:val="24"/>
          <w:szCs w:val="24"/>
          <w:lang w:eastAsia="lv-LV"/>
        </w:rPr>
      </w:pPr>
      <w:r w:rsidRPr="005B6906">
        <w:rPr>
          <w:rFonts w:ascii="Times New Roman" w:eastAsia="Times New Roman" w:hAnsi="Times New Roman" w:cs="Times New Roman"/>
          <w:sz w:val="24"/>
          <w:szCs w:val="24"/>
          <w:lang w:eastAsia="lv-LV"/>
        </w:rPr>
        <w:t xml:space="preserve"> 201</w:t>
      </w:r>
      <w:r w:rsidR="00C71FDA">
        <w:rPr>
          <w:rFonts w:ascii="Times New Roman" w:eastAsia="Times New Roman" w:hAnsi="Times New Roman" w:cs="Times New Roman"/>
          <w:sz w:val="24"/>
          <w:szCs w:val="24"/>
          <w:lang w:eastAsia="lv-LV"/>
        </w:rPr>
        <w:t>7</w:t>
      </w:r>
      <w:r w:rsidRPr="005B6906">
        <w:rPr>
          <w:rFonts w:ascii="Times New Roman" w:eastAsia="Times New Roman" w:hAnsi="Times New Roman" w:cs="Times New Roman"/>
          <w:sz w:val="24"/>
          <w:szCs w:val="24"/>
          <w:lang w:eastAsia="lv-LV"/>
        </w:rPr>
        <w:t>. gada   </w:t>
      </w:r>
      <w:r w:rsidR="009B5A61" w:rsidRPr="005B6906">
        <w:rPr>
          <w:rFonts w:ascii="Times New Roman" w:eastAsia="Times New Roman" w:hAnsi="Times New Roman" w:cs="Times New Roman"/>
          <w:sz w:val="24"/>
          <w:szCs w:val="24"/>
          <w:lang w:eastAsia="lv-LV"/>
        </w:rPr>
        <w:t>_______</w:t>
      </w:r>
      <w:r w:rsidRPr="005B6906">
        <w:rPr>
          <w:rFonts w:ascii="Times New Roman" w:eastAsia="Times New Roman" w:hAnsi="Times New Roman" w:cs="Times New Roman"/>
          <w:sz w:val="24"/>
          <w:szCs w:val="24"/>
          <w:lang w:eastAsia="lv-LV"/>
        </w:rPr>
        <w:t> rīkojumam Nr.  </w:t>
      </w:r>
      <w:r w:rsidR="009B5A61" w:rsidRPr="005B6906">
        <w:rPr>
          <w:rFonts w:ascii="Times New Roman" w:eastAsia="Times New Roman" w:hAnsi="Times New Roman" w:cs="Times New Roman"/>
          <w:sz w:val="24"/>
          <w:szCs w:val="24"/>
          <w:lang w:eastAsia="lv-LV"/>
        </w:rPr>
        <w:t>____</w:t>
      </w:r>
      <w:r w:rsidRPr="005B6906">
        <w:rPr>
          <w:rFonts w:ascii="Times New Roman" w:eastAsia="Times New Roman" w:hAnsi="Times New Roman" w:cs="Times New Roman"/>
          <w:sz w:val="24"/>
          <w:szCs w:val="24"/>
          <w:lang w:eastAsia="lv-LV"/>
        </w:rPr>
        <w:t>   </w:t>
      </w:r>
    </w:p>
    <w:p w14:paraId="4C1EEA72" w14:textId="28FE1225" w:rsidR="009261C9" w:rsidRPr="009261C9" w:rsidRDefault="009261C9" w:rsidP="009261C9">
      <w:pPr>
        <w:pStyle w:val="VPTitle"/>
        <w:spacing w:line="240" w:lineRule="auto"/>
        <w:jc w:val="left"/>
        <w:rPr>
          <w:rFonts w:cs="Times New Roman"/>
          <w:sz w:val="24"/>
          <w:szCs w:val="24"/>
        </w:rPr>
      </w:pPr>
    </w:p>
    <w:p w14:paraId="7C907B10" w14:textId="7330BEF1" w:rsidR="00BB023E" w:rsidRPr="009261C9" w:rsidRDefault="00BB023E" w:rsidP="00BB023E">
      <w:pPr>
        <w:pStyle w:val="VPTitle"/>
        <w:spacing w:line="240" w:lineRule="auto"/>
        <w:rPr>
          <w:rFonts w:cs="Times New Roman"/>
          <w:sz w:val="24"/>
          <w:szCs w:val="24"/>
        </w:rPr>
      </w:pPr>
      <w:r w:rsidRPr="009261C9">
        <w:rPr>
          <w:rFonts w:cs="Times New Roman"/>
          <w:sz w:val="24"/>
          <w:szCs w:val="24"/>
        </w:rPr>
        <w:t>Vienotās veselības nozares elektroniskās informācijas sistēmas tālāka pilnveidošana, sasaistot to ar personas identifikāciju</w:t>
      </w:r>
    </w:p>
    <w:p w14:paraId="42A91D88" w14:textId="77777777" w:rsidR="00B44C2C" w:rsidRPr="00943C9B" w:rsidRDefault="005A4D85" w:rsidP="00FF0C61">
      <w:pPr>
        <w:pStyle w:val="VPBody"/>
        <w:spacing w:before="0" w:after="60"/>
        <w:jc w:val="center"/>
        <w:rPr>
          <w:b/>
          <w:szCs w:val="24"/>
        </w:rPr>
      </w:pPr>
      <w:r w:rsidRPr="00943C9B">
        <w:rPr>
          <w:b/>
          <w:szCs w:val="24"/>
        </w:rPr>
        <w:t>p</w:t>
      </w:r>
      <w:r w:rsidR="00B44C2C" w:rsidRPr="00943C9B">
        <w:rPr>
          <w:b/>
          <w:szCs w:val="24"/>
        </w:rPr>
        <w:t>rojekta apraksts (kopsavilkums)</w:t>
      </w:r>
    </w:p>
    <w:p w14:paraId="6CDEB45C" w14:textId="77777777" w:rsidR="00AD2A37" w:rsidRPr="00943C9B" w:rsidRDefault="00AD2A37" w:rsidP="00C30D36">
      <w:pPr>
        <w:pStyle w:val="VPBody"/>
        <w:spacing w:before="0" w:after="60"/>
        <w:rPr>
          <w:szCs w:val="24"/>
        </w:rPr>
      </w:pPr>
    </w:p>
    <w:p w14:paraId="492907F5" w14:textId="6A5C763E" w:rsidR="00BB023E" w:rsidRDefault="00BB023E" w:rsidP="00642DD4">
      <w:pPr>
        <w:pStyle w:val="VPBody"/>
        <w:ind w:firstLine="709"/>
      </w:pPr>
      <w:bookmarkStart w:id="0" w:name="_Toc435687094"/>
      <w:bookmarkStart w:id="1" w:name="_Toc435687095"/>
      <w:bookmarkStart w:id="2" w:name="_Toc435687096"/>
      <w:bookmarkStart w:id="3" w:name="_GoBack"/>
      <w:bookmarkEnd w:id="0"/>
      <w:bookmarkEnd w:id="1"/>
      <w:bookmarkEnd w:id="2"/>
      <w:bookmarkEnd w:id="3"/>
      <w:r>
        <w:t>Nacionālais veselības dienests (turpmāk – dienests) ir veselības ministra pakļautībā esoša tiešās pārvaldes iestāde, kuras mērķis ir īstenot valsts politiku veselības aprūpes pakalpojumu pieejamības nodrošināšanā un administrēt veselības aprūpei paredzētos valsts budžeta līdzekļus, nodrošinot racionālu un maksimāli efektīvu valsts budžeta līdzekļu izmantošanu veselības aprūpes pakalpojumu sniegšanā, kā arī īstenot valsts politiku e-veselības ieviešanā, veselības un sabiedrības veselības datu iegūšanā un analīzē.</w:t>
      </w:r>
    </w:p>
    <w:p w14:paraId="6EEC3534" w14:textId="66B34FC2" w:rsidR="007544F0" w:rsidRPr="007544F0" w:rsidRDefault="00BB023E" w:rsidP="00C30D36">
      <w:pPr>
        <w:pStyle w:val="VPBody"/>
      </w:pPr>
      <w:r>
        <w:rPr>
          <w:rStyle w:val="StBodyText"/>
          <w:szCs w:val="24"/>
        </w:rPr>
        <w:t xml:space="preserve">Nacionālajā veselības dienestā tiek plānots īstenot projektu </w:t>
      </w:r>
      <w:r w:rsidRPr="00BB023E">
        <w:rPr>
          <w:rStyle w:val="StBodyText"/>
          <w:szCs w:val="24"/>
        </w:rPr>
        <w:t>“</w:t>
      </w:r>
      <w:r w:rsidRPr="00BB023E">
        <w:rPr>
          <w:szCs w:val="24"/>
        </w:rPr>
        <w:t>Vienotās veselības nozares elektroniskās informācijas sistēmas tālāka pilnveidošana, sasaistot to ar personas identifikāciju</w:t>
      </w:r>
      <w:r w:rsidRPr="00BB023E">
        <w:rPr>
          <w:rStyle w:val="StBodyText"/>
          <w:szCs w:val="24"/>
        </w:rPr>
        <w:t>”</w:t>
      </w:r>
      <w:r>
        <w:rPr>
          <w:rStyle w:val="StBodyText"/>
          <w:szCs w:val="24"/>
        </w:rPr>
        <w:t xml:space="preserve"> (turpmāk – Projekts).</w:t>
      </w:r>
    </w:p>
    <w:p w14:paraId="5AE79841" w14:textId="643D46AD" w:rsidR="00BB023E" w:rsidRDefault="002C2A33" w:rsidP="00BB023E">
      <w:pPr>
        <w:pStyle w:val="BodyText"/>
        <w:jc w:val="both"/>
      </w:pPr>
      <w:r w:rsidRPr="00D619D1">
        <w:rPr>
          <w:bCs/>
        </w:rPr>
        <w:t xml:space="preserve">Projekta </w:t>
      </w:r>
      <w:proofErr w:type="spellStart"/>
      <w:r w:rsidRPr="00D619D1">
        <w:rPr>
          <w:bCs/>
        </w:rPr>
        <w:t>virsmērķis</w:t>
      </w:r>
      <w:proofErr w:type="spellEnd"/>
      <w:r w:rsidRPr="00D619D1">
        <w:rPr>
          <w:bCs/>
        </w:rPr>
        <w:t xml:space="preserve"> ir </w:t>
      </w:r>
      <w:r w:rsidR="00BB023E" w:rsidRPr="00653EB2">
        <w:t>nodrošināt veselības aprūpes pakalpojumu pieejamību, operatīvāku un efektīvāku finanšu informācijas un informācijas par pakalpojumiem pārvaldību veselības aprūpes nozarē valsts un iestāžu līmenī, lai nodrošinātu pamatotu nozares stratēģisku un taktisku lēmumu pieņemšanu. E-veselības prioritātes saskan ar veselības aprūpes politikas pamatnostādnēm, kas vērstas uz pacientu veselības aprūpes procesu pilnveidošanu, pakalpojumu pieejamības veicināšanu, pacientu drošību un finansiāli efektīvu veselības aprūpes sistēmas pārvaldību.</w:t>
      </w:r>
    </w:p>
    <w:p w14:paraId="5042ED2B" w14:textId="2FB59E1C" w:rsidR="007544F0" w:rsidRPr="00D619D1" w:rsidRDefault="007544F0" w:rsidP="00C30D36">
      <w:pPr>
        <w:overflowPunct w:val="0"/>
        <w:autoSpaceDE w:val="0"/>
        <w:autoSpaceDN w:val="0"/>
        <w:spacing w:before="120" w:after="120"/>
        <w:jc w:val="both"/>
        <w:textAlignment w:val="baseline"/>
        <w:rPr>
          <w:rFonts w:ascii="Times New Roman" w:eastAsia="Times New Roman" w:hAnsi="Times New Roman" w:cs="Times New Roman"/>
          <w:b/>
          <w:sz w:val="24"/>
          <w:szCs w:val="24"/>
          <w:lang w:eastAsia="lv-LV"/>
        </w:rPr>
      </w:pPr>
      <w:r w:rsidRPr="00D619D1">
        <w:rPr>
          <w:rFonts w:ascii="Times New Roman" w:eastAsia="Times New Roman" w:hAnsi="Times New Roman" w:cs="Times New Roman"/>
          <w:b/>
          <w:sz w:val="24"/>
          <w:szCs w:val="24"/>
          <w:lang w:eastAsia="lv-LV"/>
        </w:rPr>
        <w:t>Projekta mērķi</w:t>
      </w:r>
    </w:p>
    <w:p w14:paraId="7D2C1949" w14:textId="6D57BE8E" w:rsidR="00E871E3" w:rsidRDefault="00BB023E" w:rsidP="0066110B">
      <w:pPr>
        <w:pStyle w:val="VPNumbered"/>
        <w:numPr>
          <w:ilvl w:val="0"/>
          <w:numId w:val="4"/>
        </w:numPr>
        <w:spacing w:before="0" w:after="0"/>
      </w:pPr>
      <w:r w:rsidRPr="003A7EA6">
        <w:t>Ārstniecības pakalpojumu kvalitātes veicināšana</w:t>
      </w:r>
      <w:r w:rsidR="007544F0" w:rsidRPr="00E871E3">
        <w:t>.</w:t>
      </w:r>
    </w:p>
    <w:p w14:paraId="6E0A9711" w14:textId="77777777" w:rsidR="00660E60" w:rsidRDefault="00BB023E" w:rsidP="00607EA2">
      <w:pPr>
        <w:pStyle w:val="VPBody"/>
        <w:spacing w:before="0" w:after="0"/>
      </w:pPr>
      <w:r>
        <w:t>Nodrošināt</w:t>
      </w:r>
      <w:r w:rsidR="00660E60">
        <w:t>:</w:t>
      </w:r>
    </w:p>
    <w:p w14:paraId="00AF41E0" w14:textId="0395935B" w:rsidR="00660E60" w:rsidRDefault="00660E60" w:rsidP="0066110B">
      <w:pPr>
        <w:pStyle w:val="VPBody"/>
        <w:numPr>
          <w:ilvl w:val="0"/>
          <w:numId w:val="8"/>
        </w:numPr>
        <w:spacing w:before="0" w:after="0"/>
      </w:pPr>
      <w:r>
        <w:t>P</w:t>
      </w:r>
      <w:r w:rsidR="00BB023E" w:rsidRPr="003A7EA6">
        <w:t>ilnveidotu informācijas komunikāciju tehnoloģiju atbalstu ambulatoro procesu veikšanai</w:t>
      </w:r>
      <w:r w:rsidR="00BB023E">
        <w:t>,</w:t>
      </w:r>
    </w:p>
    <w:p w14:paraId="3A7FDCC1" w14:textId="77777777" w:rsidR="00660E60" w:rsidRDefault="00BB023E" w:rsidP="0066110B">
      <w:pPr>
        <w:pStyle w:val="VPBody"/>
        <w:numPr>
          <w:ilvl w:val="0"/>
          <w:numId w:val="8"/>
        </w:numPr>
        <w:spacing w:before="0" w:after="0"/>
      </w:pPr>
      <w:r w:rsidRPr="003A7EA6">
        <w:t>Iespēju saņemt attālinātu ārsta konsultāciju</w:t>
      </w:r>
      <w:r>
        <w:t xml:space="preserve"> (ģimenes ārsta konsultatīvais tālrunis)</w:t>
      </w:r>
      <w:r w:rsidRPr="003A7EA6">
        <w:t>, ņemot vērā pacienta slimības vēsturi un citu medicīnisko informāciju;</w:t>
      </w:r>
    </w:p>
    <w:p w14:paraId="550F68BA" w14:textId="77777777" w:rsidR="00660E60" w:rsidRDefault="00BB023E" w:rsidP="0066110B">
      <w:pPr>
        <w:pStyle w:val="VPBody"/>
        <w:numPr>
          <w:ilvl w:val="0"/>
          <w:numId w:val="8"/>
        </w:numPr>
        <w:spacing w:before="0" w:after="0"/>
      </w:pPr>
      <w:r w:rsidRPr="003A7EA6">
        <w:t>Mazāk atkārtotus pacientu izmeklējumus un padarot dažādu iestāžu veiktos ārstniecības izmeklējumus salīdzināmus;</w:t>
      </w:r>
    </w:p>
    <w:p w14:paraId="23AD2752" w14:textId="77777777" w:rsidR="00660E60" w:rsidRDefault="00BB023E" w:rsidP="0066110B">
      <w:pPr>
        <w:pStyle w:val="VPBody"/>
        <w:numPr>
          <w:ilvl w:val="0"/>
          <w:numId w:val="8"/>
        </w:numPr>
        <w:spacing w:before="0" w:after="0"/>
      </w:pPr>
      <w:r w:rsidRPr="003A7EA6">
        <w:t>Neatliekamās palīdzības sniegšanā operatīvu kriti</w:t>
      </w:r>
      <w:r>
        <w:t>ski nepieciešamo</w:t>
      </w:r>
      <w:r w:rsidRPr="003A7EA6">
        <w:t xml:space="preserve"> pacienta datu saņemšanu;</w:t>
      </w:r>
    </w:p>
    <w:p w14:paraId="5FBD15BF" w14:textId="77777777" w:rsidR="00660E60" w:rsidRDefault="00BB023E" w:rsidP="0066110B">
      <w:pPr>
        <w:pStyle w:val="VPBody"/>
        <w:numPr>
          <w:ilvl w:val="0"/>
          <w:numId w:val="8"/>
        </w:numPr>
        <w:spacing w:before="0" w:after="0"/>
      </w:pPr>
      <w:r w:rsidRPr="003A7EA6">
        <w:t xml:space="preserve">Iespēju ārstniecības personai piekļūt </w:t>
      </w:r>
      <w:r>
        <w:t xml:space="preserve">plašākai </w:t>
      </w:r>
      <w:r w:rsidRPr="003A7EA6">
        <w:t>informācijai par sniegtajiem pakalpojumiem;</w:t>
      </w:r>
    </w:p>
    <w:p w14:paraId="5421E9BF" w14:textId="0B011791" w:rsidR="00BB023E" w:rsidRDefault="00BB023E" w:rsidP="0066110B">
      <w:pPr>
        <w:pStyle w:val="VPBody"/>
        <w:numPr>
          <w:ilvl w:val="0"/>
          <w:numId w:val="8"/>
        </w:numPr>
        <w:spacing w:before="0" w:after="0"/>
      </w:pPr>
      <w:r w:rsidRPr="003A7EA6">
        <w:t xml:space="preserve">Recepšu izrakstīšanā informāciju par </w:t>
      </w:r>
      <w:r>
        <w:t xml:space="preserve">mijiedarbību un </w:t>
      </w:r>
      <w:r w:rsidRPr="003A7EA6">
        <w:t>kontrindikācijām.</w:t>
      </w:r>
    </w:p>
    <w:p w14:paraId="7ACF1BB6" w14:textId="750A0A9A" w:rsidR="00E871E3" w:rsidRDefault="00660E60" w:rsidP="0066110B">
      <w:pPr>
        <w:pStyle w:val="VPNumbered"/>
        <w:numPr>
          <w:ilvl w:val="0"/>
          <w:numId w:val="4"/>
        </w:numPr>
        <w:spacing w:before="0" w:after="0"/>
      </w:pPr>
      <w:r w:rsidRPr="003A7EA6">
        <w:t>Administratīvā sloga mazināšan</w:t>
      </w:r>
      <w:r>
        <w:t>a</w:t>
      </w:r>
      <w:r w:rsidR="007544F0" w:rsidRPr="007E0461">
        <w:t xml:space="preserve">. </w:t>
      </w:r>
    </w:p>
    <w:p w14:paraId="1D45A7FD" w14:textId="73DACD0D" w:rsidR="00660E60" w:rsidRDefault="00660E60" w:rsidP="00607EA2">
      <w:pPr>
        <w:pStyle w:val="VPNumbered"/>
        <w:numPr>
          <w:ilvl w:val="0"/>
          <w:numId w:val="0"/>
        </w:numPr>
        <w:spacing w:before="0" w:after="0"/>
      </w:pPr>
      <w:r>
        <w:t>Nodrošināt:</w:t>
      </w:r>
    </w:p>
    <w:p w14:paraId="31BEEAEF" w14:textId="77777777" w:rsidR="00660E60" w:rsidRPr="003A7EA6" w:rsidRDefault="00660E60" w:rsidP="0066110B">
      <w:pPr>
        <w:pStyle w:val="VPBody"/>
        <w:numPr>
          <w:ilvl w:val="1"/>
          <w:numId w:val="9"/>
        </w:numPr>
        <w:spacing w:before="0" w:after="0"/>
        <w:ind w:left="709"/>
      </w:pPr>
      <w:r w:rsidRPr="003A7EA6">
        <w:t>Vienotu valsts atmaksāto veselības pakalpojumu rindu un pacientu reģistrāciju;</w:t>
      </w:r>
    </w:p>
    <w:p w14:paraId="0D665C04" w14:textId="22453DE9" w:rsidR="00660E60" w:rsidRDefault="00660E60" w:rsidP="007439E2">
      <w:pPr>
        <w:pStyle w:val="VPBody"/>
        <w:numPr>
          <w:ilvl w:val="1"/>
          <w:numId w:val="9"/>
        </w:numPr>
        <w:spacing w:before="0" w:after="0"/>
        <w:ind w:left="709"/>
      </w:pPr>
      <w:r w:rsidRPr="003A7EA6">
        <w:t>Elektronizētu medicīniskā nāves cēloņa reģistrāciju.</w:t>
      </w:r>
    </w:p>
    <w:p w14:paraId="5C019194" w14:textId="00FB2E95" w:rsidR="00E871E3" w:rsidRDefault="00660E60" w:rsidP="0066110B">
      <w:pPr>
        <w:pStyle w:val="VPNumbered"/>
        <w:numPr>
          <w:ilvl w:val="0"/>
          <w:numId w:val="4"/>
        </w:numPr>
        <w:spacing w:before="0" w:after="0"/>
      </w:pPr>
      <w:r w:rsidRPr="003A7EA6">
        <w:t>Veselības nozares pārvaldības un uzraudzības uzlaboša</w:t>
      </w:r>
      <w:r>
        <w:t>na.</w:t>
      </w:r>
    </w:p>
    <w:p w14:paraId="3F36C147" w14:textId="1E4C254F" w:rsidR="00660E60" w:rsidRDefault="00660E60" w:rsidP="00607EA2">
      <w:pPr>
        <w:pStyle w:val="VPNumbered"/>
        <w:numPr>
          <w:ilvl w:val="0"/>
          <w:numId w:val="0"/>
        </w:numPr>
        <w:spacing w:before="0" w:after="0"/>
      </w:pPr>
      <w:r>
        <w:t>Nodrošināt:</w:t>
      </w:r>
    </w:p>
    <w:p w14:paraId="65523B56" w14:textId="77777777" w:rsidR="00660E60" w:rsidRPr="003A7EA6" w:rsidRDefault="00660E60" w:rsidP="0066110B">
      <w:pPr>
        <w:pStyle w:val="VPBody"/>
        <w:numPr>
          <w:ilvl w:val="1"/>
          <w:numId w:val="10"/>
        </w:numPr>
        <w:spacing w:before="0" w:after="0"/>
        <w:ind w:left="709"/>
      </w:pPr>
      <w:r w:rsidRPr="003A7EA6">
        <w:t>Uzlabotu medicīnisko dokumentu pārvaldību;</w:t>
      </w:r>
    </w:p>
    <w:p w14:paraId="6A400B35" w14:textId="730FB52C" w:rsidR="00660E60" w:rsidRDefault="00660E60" w:rsidP="0066110B">
      <w:pPr>
        <w:pStyle w:val="VPBody"/>
        <w:numPr>
          <w:ilvl w:val="1"/>
          <w:numId w:val="10"/>
        </w:numPr>
        <w:spacing w:before="0" w:after="0"/>
        <w:ind w:left="709"/>
      </w:pPr>
      <w:r w:rsidRPr="003A7EA6">
        <w:t>Papildu iespēju pacientam un ārstam apliecināt savu identitāti, izmantojot drošu elektronisku identifikācijas līdzekli.</w:t>
      </w:r>
    </w:p>
    <w:p w14:paraId="33DF714F" w14:textId="604A2964" w:rsidR="00660E60" w:rsidRDefault="00660E60" w:rsidP="0066110B">
      <w:pPr>
        <w:pStyle w:val="VPNumbered"/>
        <w:numPr>
          <w:ilvl w:val="0"/>
          <w:numId w:val="4"/>
        </w:numPr>
        <w:spacing w:before="0" w:after="0"/>
      </w:pPr>
      <w:r w:rsidRPr="003A7EA6">
        <w:t>Publiskās pārvaldes efektivitātes veicināšana</w:t>
      </w:r>
      <w:r>
        <w:t>.</w:t>
      </w:r>
    </w:p>
    <w:p w14:paraId="6A16D97D" w14:textId="77FE4417" w:rsidR="00660E60" w:rsidRDefault="00660E60" w:rsidP="00607EA2">
      <w:pPr>
        <w:pStyle w:val="VPNumbered"/>
        <w:numPr>
          <w:ilvl w:val="0"/>
          <w:numId w:val="0"/>
        </w:numPr>
        <w:spacing w:before="0" w:after="0"/>
      </w:pPr>
      <w:r>
        <w:t>Nodrošināt:</w:t>
      </w:r>
    </w:p>
    <w:p w14:paraId="2F02B80F" w14:textId="77777777" w:rsidR="00660E60" w:rsidRDefault="00660E60" w:rsidP="0066110B">
      <w:pPr>
        <w:pStyle w:val="VPBody"/>
        <w:numPr>
          <w:ilvl w:val="1"/>
          <w:numId w:val="11"/>
        </w:numPr>
        <w:spacing w:before="0" w:after="0"/>
        <w:ind w:left="709"/>
      </w:pPr>
      <w:r w:rsidRPr="003A7EA6">
        <w:t>Paātrinātu ziņošanas procesu par infekcijas slimībām;</w:t>
      </w:r>
    </w:p>
    <w:p w14:paraId="7A646671" w14:textId="4EFB6BB1" w:rsidR="007544F0" w:rsidRDefault="00660E60" w:rsidP="0066110B">
      <w:pPr>
        <w:pStyle w:val="VPBody"/>
        <w:numPr>
          <w:ilvl w:val="1"/>
          <w:numId w:val="11"/>
        </w:numPr>
        <w:spacing w:before="0" w:after="0"/>
        <w:ind w:left="709"/>
      </w:pPr>
      <w:r w:rsidRPr="003A7EA6">
        <w:lastRenderedPageBreak/>
        <w:t xml:space="preserve">Elektronizētu apziņošanas mehānismu starp ārstniecības personām, </w:t>
      </w:r>
      <w:r>
        <w:t>farmaceitiem</w:t>
      </w:r>
      <w:r w:rsidRPr="003A7EA6">
        <w:t xml:space="preserve"> un pacientiem</w:t>
      </w:r>
      <w:r>
        <w:t xml:space="preserve"> (paplašinot jau šobrīd pieejamo apziņošanas mehānismu).</w:t>
      </w:r>
    </w:p>
    <w:p w14:paraId="1E5F535F" w14:textId="77777777" w:rsidR="009261C9" w:rsidRDefault="009261C9" w:rsidP="0066110B">
      <w:pPr>
        <w:pStyle w:val="VPBody"/>
        <w:numPr>
          <w:ilvl w:val="1"/>
          <w:numId w:val="11"/>
        </w:numPr>
        <w:spacing w:before="0" w:after="0"/>
        <w:ind w:left="709"/>
      </w:pPr>
    </w:p>
    <w:p w14:paraId="42AB3EAC" w14:textId="77777777" w:rsidR="007544F0" w:rsidRPr="00D619D1" w:rsidRDefault="007544F0" w:rsidP="00C30D36">
      <w:pPr>
        <w:overflowPunct w:val="0"/>
        <w:autoSpaceDE w:val="0"/>
        <w:autoSpaceDN w:val="0"/>
        <w:spacing w:before="120" w:after="120"/>
        <w:jc w:val="both"/>
        <w:textAlignment w:val="baseline"/>
        <w:rPr>
          <w:rFonts w:ascii="Times New Roman" w:eastAsia="Times New Roman" w:hAnsi="Times New Roman" w:cs="Times New Roman"/>
          <w:b/>
          <w:sz w:val="24"/>
          <w:szCs w:val="24"/>
          <w:lang w:eastAsia="lv-LV"/>
        </w:rPr>
      </w:pPr>
      <w:r w:rsidRPr="00D619D1">
        <w:rPr>
          <w:rFonts w:ascii="Times New Roman" w:eastAsia="Times New Roman" w:hAnsi="Times New Roman" w:cs="Times New Roman"/>
          <w:b/>
          <w:sz w:val="24"/>
          <w:szCs w:val="24"/>
          <w:lang w:eastAsia="lv-LV"/>
        </w:rPr>
        <w:t>Darbības</w:t>
      </w:r>
      <w:r w:rsidRPr="00D619D1">
        <w:rPr>
          <w:rFonts w:ascii="Times New Roman" w:hAnsi="Times New Roman" w:cs="Times New Roman"/>
          <w:b/>
          <w:sz w:val="24"/>
          <w:szCs w:val="24"/>
        </w:rPr>
        <w:t xml:space="preserve"> pr</w:t>
      </w:r>
      <w:r w:rsidRPr="00D619D1">
        <w:rPr>
          <w:rFonts w:ascii="Times New Roman" w:eastAsia="Times New Roman" w:hAnsi="Times New Roman" w:cs="Times New Roman"/>
          <w:b/>
          <w:sz w:val="24"/>
          <w:szCs w:val="24"/>
          <w:lang w:eastAsia="lv-LV"/>
        </w:rPr>
        <w:t xml:space="preserve">ojekta mērķu sasniegšanai </w:t>
      </w:r>
    </w:p>
    <w:p w14:paraId="3E90219A" w14:textId="77777777" w:rsidR="007544F0" w:rsidRPr="007E0461" w:rsidRDefault="007544F0" w:rsidP="00607EA2">
      <w:pPr>
        <w:pStyle w:val="VPBody"/>
        <w:keepNext/>
        <w:spacing w:before="0" w:after="0"/>
      </w:pPr>
      <w:r w:rsidRPr="007E0461">
        <w:t>Projekta ietvaros tā mērķu sasniegšanai plānota šādu darbību īstenošana:</w:t>
      </w:r>
    </w:p>
    <w:p w14:paraId="1987C069" w14:textId="2ED2C51C" w:rsidR="00B4516F" w:rsidRDefault="00660E60" w:rsidP="0066110B">
      <w:pPr>
        <w:pStyle w:val="VPNumbered"/>
        <w:numPr>
          <w:ilvl w:val="0"/>
          <w:numId w:val="7"/>
        </w:numPr>
        <w:spacing w:before="0" w:after="0"/>
      </w:pPr>
      <w:r>
        <w:t>Veselības informācijas sistēmu integrācija</w:t>
      </w:r>
      <w:r w:rsidR="00804308">
        <w:t>;</w:t>
      </w:r>
    </w:p>
    <w:p w14:paraId="07ED45CE" w14:textId="49143ED3" w:rsidR="00B4516F" w:rsidRDefault="00660E60" w:rsidP="0066110B">
      <w:pPr>
        <w:pStyle w:val="VPNumbered"/>
        <w:numPr>
          <w:ilvl w:val="0"/>
          <w:numId w:val="7"/>
        </w:numPr>
        <w:spacing w:before="0" w:after="0"/>
      </w:pPr>
      <w:r>
        <w:t>Veselības nozares datu apstrāde</w:t>
      </w:r>
      <w:r w:rsidR="00B4516F">
        <w:t>;</w:t>
      </w:r>
    </w:p>
    <w:p w14:paraId="28BAEFBB" w14:textId="455E9E2C" w:rsidR="00660E60" w:rsidRDefault="00660E60" w:rsidP="0066110B">
      <w:pPr>
        <w:pStyle w:val="VPNumbered"/>
        <w:numPr>
          <w:ilvl w:val="0"/>
          <w:numId w:val="7"/>
        </w:numPr>
        <w:spacing w:before="0" w:after="0"/>
      </w:pPr>
      <w:r>
        <w:t>Ārstniecības personu un iedzīvotāju apziņošana;</w:t>
      </w:r>
    </w:p>
    <w:p w14:paraId="59E6CE02" w14:textId="04D48E08" w:rsidR="00660E60" w:rsidRDefault="00660E60" w:rsidP="0066110B">
      <w:pPr>
        <w:pStyle w:val="VPNumbered"/>
        <w:numPr>
          <w:ilvl w:val="0"/>
          <w:numId w:val="7"/>
        </w:numPr>
        <w:spacing w:before="0" w:after="0"/>
      </w:pPr>
      <w:r>
        <w:t>Ārstniecības pakalpojumu rindas;</w:t>
      </w:r>
    </w:p>
    <w:p w14:paraId="69598B37" w14:textId="318B8734" w:rsidR="00660E60" w:rsidRDefault="00660E60" w:rsidP="0066110B">
      <w:pPr>
        <w:pStyle w:val="VPNumbered"/>
        <w:numPr>
          <w:ilvl w:val="0"/>
          <w:numId w:val="7"/>
        </w:numPr>
        <w:spacing w:before="0" w:after="0"/>
      </w:pPr>
      <w:r>
        <w:t>Pacientu identifikācija;</w:t>
      </w:r>
    </w:p>
    <w:p w14:paraId="50CEAD68" w14:textId="7E315721" w:rsidR="00660E60" w:rsidRDefault="00660E60" w:rsidP="0066110B">
      <w:pPr>
        <w:pStyle w:val="VPNumbered"/>
        <w:numPr>
          <w:ilvl w:val="0"/>
          <w:numId w:val="7"/>
        </w:numPr>
        <w:spacing w:before="0" w:after="0"/>
      </w:pPr>
      <w:r>
        <w:t>Ārstniecības pakalpojumu pilnveide;</w:t>
      </w:r>
    </w:p>
    <w:p w14:paraId="5DA41037" w14:textId="77777777" w:rsidR="009261C9" w:rsidRDefault="00660E60" w:rsidP="009261C9">
      <w:pPr>
        <w:pStyle w:val="VPNumbered"/>
        <w:numPr>
          <w:ilvl w:val="0"/>
          <w:numId w:val="7"/>
        </w:numPr>
        <w:spacing w:before="0" w:after="0"/>
      </w:pPr>
      <w:r>
        <w:t>Veselības nozares procesu elektronizācija.</w:t>
      </w:r>
    </w:p>
    <w:p w14:paraId="265AC254" w14:textId="389C4230" w:rsidR="007544F0" w:rsidRPr="009261C9" w:rsidRDefault="00012875" w:rsidP="009261C9">
      <w:pPr>
        <w:pStyle w:val="VPNumbered"/>
        <w:numPr>
          <w:ilvl w:val="0"/>
          <w:numId w:val="0"/>
        </w:numPr>
        <w:spacing w:before="0" w:after="0"/>
      </w:pPr>
      <w:r w:rsidRPr="009261C9">
        <w:rPr>
          <w:rFonts w:eastAsia="MS Mincho"/>
          <w:b/>
        </w:rPr>
        <w:t>Projekta rezultāta rādītāji</w:t>
      </w:r>
      <w:r w:rsidR="00FD7610" w:rsidRPr="009261C9">
        <w:rPr>
          <w:rFonts w:eastAsia="MS Mincho"/>
          <w:b/>
        </w:rPr>
        <w:t>:</w:t>
      </w:r>
    </w:p>
    <w:tbl>
      <w:tblPr>
        <w:tblStyle w:val="TableGrid"/>
        <w:tblW w:w="5000" w:type="pct"/>
        <w:tblLook w:val="04A0" w:firstRow="1" w:lastRow="0" w:firstColumn="1" w:lastColumn="0" w:noHBand="0" w:noVBand="1"/>
      </w:tblPr>
      <w:tblGrid>
        <w:gridCol w:w="365"/>
        <w:gridCol w:w="2910"/>
        <w:gridCol w:w="1445"/>
        <w:gridCol w:w="1243"/>
        <w:gridCol w:w="1549"/>
        <w:gridCol w:w="1549"/>
      </w:tblGrid>
      <w:tr w:rsidR="00163DA9" w:rsidRPr="003A7EA6" w14:paraId="7FD0278C" w14:textId="77777777" w:rsidTr="004E239B">
        <w:trPr>
          <w:tblHeader/>
        </w:trPr>
        <w:tc>
          <w:tcPr>
            <w:tcW w:w="201" w:type="pct"/>
            <w:tcBorders>
              <w:top w:val="single" w:sz="4" w:space="0" w:color="auto"/>
              <w:left w:val="single" w:sz="4" w:space="0" w:color="auto"/>
              <w:bottom w:val="single" w:sz="4" w:space="0" w:color="auto"/>
              <w:right w:val="single" w:sz="4" w:space="0" w:color="auto"/>
            </w:tcBorders>
          </w:tcPr>
          <w:p w14:paraId="3F2ECF85" w14:textId="77777777" w:rsidR="00163DA9" w:rsidRPr="003A7EA6" w:rsidRDefault="00163DA9" w:rsidP="00607EA2">
            <w:pPr>
              <w:pStyle w:val="VPBody"/>
              <w:keepNext/>
              <w:spacing w:before="0" w:after="0"/>
              <w:rPr>
                <w:b/>
                <w:sz w:val="22"/>
              </w:rPr>
            </w:pPr>
          </w:p>
        </w:tc>
        <w:tc>
          <w:tcPr>
            <w:tcW w:w="1605" w:type="pct"/>
            <w:tcBorders>
              <w:top w:val="single" w:sz="4" w:space="0" w:color="auto"/>
              <w:left w:val="single" w:sz="4" w:space="0" w:color="auto"/>
              <w:bottom w:val="single" w:sz="4" w:space="0" w:color="auto"/>
              <w:right w:val="single" w:sz="4" w:space="0" w:color="auto"/>
            </w:tcBorders>
            <w:vAlign w:val="center"/>
            <w:hideMark/>
          </w:tcPr>
          <w:p w14:paraId="01DBE97A" w14:textId="77777777" w:rsidR="00163DA9" w:rsidRPr="003A7EA6" w:rsidRDefault="00163DA9" w:rsidP="00607EA2">
            <w:pPr>
              <w:pStyle w:val="VPBody"/>
              <w:keepNext/>
              <w:spacing w:before="0" w:after="0"/>
              <w:jc w:val="center"/>
              <w:rPr>
                <w:b/>
                <w:sz w:val="22"/>
              </w:rPr>
            </w:pPr>
            <w:r w:rsidRPr="003A7EA6">
              <w:rPr>
                <w:b/>
                <w:sz w:val="22"/>
              </w:rPr>
              <w:t>Rezultāta rādītājs</w:t>
            </w:r>
          </w:p>
        </w:tc>
        <w:tc>
          <w:tcPr>
            <w:tcW w:w="797" w:type="pct"/>
            <w:tcBorders>
              <w:top w:val="single" w:sz="4" w:space="0" w:color="auto"/>
              <w:left w:val="single" w:sz="4" w:space="0" w:color="auto"/>
              <w:bottom w:val="single" w:sz="4" w:space="0" w:color="auto"/>
              <w:right w:val="single" w:sz="4" w:space="0" w:color="auto"/>
            </w:tcBorders>
            <w:vAlign w:val="center"/>
            <w:hideMark/>
          </w:tcPr>
          <w:p w14:paraId="6C989DB9" w14:textId="77777777" w:rsidR="00163DA9" w:rsidRPr="003A7EA6" w:rsidRDefault="00163DA9" w:rsidP="00607EA2">
            <w:pPr>
              <w:pStyle w:val="VPBody"/>
              <w:keepNext/>
              <w:spacing w:before="0" w:after="0"/>
              <w:jc w:val="center"/>
              <w:rPr>
                <w:b/>
                <w:sz w:val="22"/>
              </w:rPr>
            </w:pPr>
            <w:r w:rsidRPr="003A7EA6">
              <w:rPr>
                <w:b/>
                <w:sz w:val="22"/>
              </w:rPr>
              <w:t>Mērvienība</w:t>
            </w:r>
          </w:p>
        </w:tc>
        <w:tc>
          <w:tcPr>
            <w:tcW w:w="686" w:type="pct"/>
            <w:tcBorders>
              <w:top w:val="single" w:sz="4" w:space="0" w:color="auto"/>
              <w:left w:val="single" w:sz="4" w:space="0" w:color="auto"/>
              <w:bottom w:val="single" w:sz="4" w:space="0" w:color="auto"/>
              <w:right w:val="single" w:sz="4" w:space="0" w:color="auto"/>
            </w:tcBorders>
            <w:vAlign w:val="center"/>
            <w:hideMark/>
          </w:tcPr>
          <w:p w14:paraId="35E7A916" w14:textId="77777777" w:rsidR="00163DA9" w:rsidRPr="003A7EA6" w:rsidRDefault="00163DA9" w:rsidP="00607EA2">
            <w:pPr>
              <w:pStyle w:val="VPBody"/>
              <w:keepNext/>
              <w:spacing w:before="0" w:after="0"/>
              <w:jc w:val="center"/>
              <w:rPr>
                <w:b/>
                <w:sz w:val="22"/>
              </w:rPr>
            </w:pPr>
            <w:r w:rsidRPr="003A7EA6">
              <w:rPr>
                <w:b/>
                <w:sz w:val="22"/>
              </w:rPr>
              <w:t>Sākotnējā vērtība</w:t>
            </w:r>
          </w:p>
        </w:tc>
        <w:tc>
          <w:tcPr>
            <w:tcW w:w="855" w:type="pct"/>
            <w:tcBorders>
              <w:top w:val="single" w:sz="4" w:space="0" w:color="auto"/>
              <w:left w:val="single" w:sz="4" w:space="0" w:color="auto"/>
              <w:bottom w:val="single" w:sz="4" w:space="0" w:color="auto"/>
              <w:right w:val="single" w:sz="4" w:space="0" w:color="auto"/>
            </w:tcBorders>
            <w:vAlign w:val="center"/>
            <w:hideMark/>
          </w:tcPr>
          <w:p w14:paraId="134E8A89" w14:textId="77777777" w:rsidR="00163DA9" w:rsidRPr="003A7EA6" w:rsidRDefault="00163DA9" w:rsidP="00607EA2">
            <w:pPr>
              <w:pStyle w:val="VPBody"/>
              <w:keepNext/>
              <w:spacing w:before="0" w:after="0"/>
              <w:jc w:val="center"/>
              <w:rPr>
                <w:b/>
                <w:sz w:val="22"/>
              </w:rPr>
            </w:pPr>
            <w:r w:rsidRPr="003A7EA6">
              <w:rPr>
                <w:b/>
                <w:sz w:val="22"/>
              </w:rPr>
              <w:t>Sasniedzamā  vērtība 2 gadus pēc projekta beigām</w:t>
            </w:r>
          </w:p>
        </w:tc>
        <w:tc>
          <w:tcPr>
            <w:tcW w:w="855" w:type="pct"/>
            <w:tcBorders>
              <w:top w:val="single" w:sz="4" w:space="0" w:color="auto"/>
              <w:left w:val="single" w:sz="4" w:space="0" w:color="auto"/>
              <w:bottom w:val="single" w:sz="4" w:space="0" w:color="auto"/>
              <w:right w:val="single" w:sz="4" w:space="0" w:color="auto"/>
            </w:tcBorders>
            <w:vAlign w:val="center"/>
            <w:hideMark/>
          </w:tcPr>
          <w:p w14:paraId="47255F91" w14:textId="77777777" w:rsidR="00163DA9" w:rsidRPr="003A7EA6" w:rsidRDefault="00163DA9" w:rsidP="00607EA2">
            <w:pPr>
              <w:pStyle w:val="VPBody"/>
              <w:keepNext/>
              <w:spacing w:before="0" w:after="0"/>
              <w:jc w:val="center"/>
              <w:rPr>
                <w:b/>
                <w:sz w:val="22"/>
              </w:rPr>
            </w:pPr>
            <w:r w:rsidRPr="003A7EA6">
              <w:rPr>
                <w:b/>
                <w:sz w:val="22"/>
              </w:rPr>
              <w:t>Sasniedzamā vērtība 3 gadus pēc projekta beigām</w:t>
            </w:r>
          </w:p>
        </w:tc>
      </w:tr>
      <w:tr w:rsidR="00163DA9" w:rsidRPr="003A7EA6" w14:paraId="38FF3C26" w14:textId="77777777" w:rsidTr="004E239B">
        <w:tc>
          <w:tcPr>
            <w:tcW w:w="201" w:type="pct"/>
            <w:tcBorders>
              <w:top w:val="single" w:sz="4" w:space="0" w:color="auto"/>
              <w:left w:val="single" w:sz="4" w:space="0" w:color="auto"/>
              <w:bottom w:val="single" w:sz="4" w:space="0" w:color="auto"/>
              <w:right w:val="single" w:sz="4" w:space="0" w:color="auto"/>
            </w:tcBorders>
            <w:vAlign w:val="center"/>
          </w:tcPr>
          <w:p w14:paraId="6F8A18F2" w14:textId="77777777" w:rsidR="00163DA9" w:rsidRPr="003A7EA6" w:rsidRDefault="00163DA9" w:rsidP="0066110B">
            <w:pPr>
              <w:pStyle w:val="VPBody"/>
              <w:numPr>
                <w:ilvl w:val="0"/>
                <w:numId w:val="12"/>
              </w:numPr>
              <w:spacing w:before="0" w:after="0"/>
              <w:ind w:left="720"/>
              <w:jc w:val="center"/>
              <w:rPr>
                <w:sz w:val="22"/>
              </w:rPr>
            </w:pPr>
          </w:p>
        </w:tc>
        <w:tc>
          <w:tcPr>
            <w:tcW w:w="1605" w:type="pct"/>
            <w:tcBorders>
              <w:top w:val="single" w:sz="4" w:space="0" w:color="auto"/>
              <w:left w:val="single" w:sz="4" w:space="0" w:color="auto"/>
              <w:bottom w:val="single" w:sz="4" w:space="0" w:color="auto"/>
              <w:right w:val="single" w:sz="4" w:space="0" w:color="auto"/>
            </w:tcBorders>
            <w:vAlign w:val="center"/>
            <w:hideMark/>
          </w:tcPr>
          <w:p w14:paraId="1FEBFC1E" w14:textId="0AB17835" w:rsidR="00163DA9" w:rsidRPr="003A7EA6" w:rsidRDefault="00163DA9" w:rsidP="00607EA2">
            <w:pPr>
              <w:pStyle w:val="VPBody"/>
              <w:spacing w:before="0" w:after="0"/>
              <w:jc w:val="left"/>
              <w:rPr>
                <w:sz w:val="22"/>
              </w:rPr>
            </w:pPr>
            <w:r w:rsidRPr="003A7EA6">
              <w:rPr>
                <w:sz w:val="22"/>
              </w:rPr>
              <w:t>VVIS</w:t>
            </w:r>
            <w:r w:rsidR="00327FEC">
              <w:rPr>
                <w:rStyle w:val="FootnoteReference"/>
                <w:sz w:val="22"/>
              </w:rPr>
              <w:footnoteReference w:id="1"/>
            </w:r>
            <w:r w:rsidRPr="003A7EA6">
              <w:rPr>
                <w:sz w:val="22"/>
              </w:rPr>
              <w:t xml:space="preserve"> elektroniski reģistrēto ambulatoro epizožu skaita īpatsvars</w:t>
            </w:r>
          </w:p>
        </w:tc>
        <w:tc>
          <w:tcPr>
            <w:tcW w:w="797" w:type="pct"/>
            <w:tcBorders>
              <w:top w:val="single" w:sz="4" w:space="0" w:color="auto"/>
              <w:left w:val="single" w:sz="4" w:space="0" w:color="auto"/>
              <w:bottom w:val="single" w:sz="4" w:space="0" w:color="auto"/>
              <w:right w:val="single" w:sz="4" w:space="0" w:color="auto"/>
            </w:tcBorders>
            <w:vAlign w:val="center"/>
            <w:hideMark/>
          </w:tcPr>
          <w:p w14:paraId="3B33DCA5" w14:textId="77777777" w:rsidR="00163DA9" w:rsidRPr="003A7EA6" w:rsidRDefault="00163DA9" w:rsidP="00607EA2">
            <w:pPr>
              <w:pStyle w:val="VPBody"/>
              <w:spacing w:before="0" w:after="0"/>
              <w:jc w:val="left"/>
              <w:rPr>
                <w:sz w:val="22"/>
              </w:rPr>
            </w:pPr>
            <w:r w:rsidRPr="003A7EA6">
              <w:rPr>
                <w:sz w:val="22"/>
              </w:rPr>
              <w:t>Procenti (%) no kopējā skaita</w:t>
            </w:r>
          </w:p>
        </w:tc>
        <w:tc>
          <w:tcPr>
            <w:tcW w:w="686" w:type="pct"/>
            <w:tcBorders>
              <w:top w:val="single" w:sz="4" w:space="0" w:color="auto"/>
              <w:left w:val="single" w:sz="4" w:space="0" w:color="auto"/>
              <w:bottom w:val="single" w:sz="4" w:space="0" w:color="auto"/>
              <w:right w:val="single" w:sz="4" w:space="0" w:color="auto"/>
            </w:tcBorders>
            <w:vAlign w:val="center"/>
            <w:hideMark/>
          </w:tcPr>
          <w:p w14:paraId="4FA4864C" w14:textId="77777777" w:rsidR="00163DA9" w:rsidRPr="003A7EA6" w:rsidRDefault="00163DA9" w:rsidP="00607EA2">
            <w:pPr>
              <w:pStyle w:val="VPBody"/>
              <w:spacing w:before="0" w:after="0"/>
              <w:jc w:val="center"/>
              <w:rPr>
                <w:sz w:val="22"/>
              </w:rPr>
            </w:pPr>
            <w:r w:rsidRPr="003A7EA6">
              <w:rPr>
                <w:sz w:val="22"/>
              </w:rPr>
              <w:t>-</w:t>
            </w:r>
          </w:p>
        </w:tc>
        <w:tc>
          <w:tcPr>
            <w:tcW w:w="855" w:type="pct"/>
            <w:tcBorders>
              <w:top w:val="single" w:sz="4" w:space="0" w:color="auto"/>
              <w:left w:val="single" w:sz="4" w:space="0" w:color="auto"/>
              <w:bottom w:val="single" w:sz="4" w:space="0" w:color="auto"/>
              <w:right w:val="single" w:sz="4" w:space="0" w:color="auto"/>
            </w:tcBorders>
            <w:vAlign w:val="center"/>
            <w:hideMark/>
          </w:tcPr>
          <w:p w14:paraId="75C10213" w14:textId="77777777" w:rsidR="00163DA9" w:rsidRPr="003A7EA6" w:rsidRDefault="00163DA9" w:rsidP="00607EA2">
            <w:pPr>
              <w:pStyle w:val="VPBody"/>
              <w:spacing w:before="0" w:after="0"/>
              <w:jc w:val="center"/>
              <w:rPr>
                <w:sz w:val="22"/>
              </w:rPr>
            </w:pPr>
            <w:r w:rsidRPr="003A7EA6">
              <w:rPr>
                <w:sz w:val="22"/>
              </w:rPr>
              <w:t>60</w:t>
            </w:r>
          </w:p>
        </w:tc>
        <w:tc>
          <w:tcPr>
            <w:tcW w:w="855" w:type="pct"/>
            <w:tcBorders>
              <w:top w:val="single" w:sz="4" w:space="0" w:color="auto"/>
              <w:left w:val="single" w:sz="4" w:space="0" w:color="auto"/>
              <w:bottom w:val="single" w:sz="4" w:space="0" w:color="auto"/>
              <w:right w:val="single" w:sz="4" w:space="0" w:color="auto"/>
            </w:tcBorders>
            <w:vAlign w:val="center"/>
            <w:hideMark/>
          </w:tcPr>
          <w:p w14:paraId="08798566" w14:textId="77777777" w:rsidR="00163DA9" w:rsidRPr="003A7EA6" w:rsidRDefault="00163DA9" w:rsidP="00607EA2">
            <w:pPr>
              <w:pStyle w:val="VPBody"/>
              <w:spacing w:before="0" w:after="0"/>
              <w:jc w:val="center"/>
              <w:rPr>
                <w:sz w:val="22"/>
              </w:rPr>
            </w:pPr>
            <w:r w:rsidRPr="003A7EA6">
              <w:rPr>
                <w:sz w:val="22"/>
              </w:rPr>
              <w:t>90</w:t>
            </w:r>
          </w:p>
        </w:tc>
      </w:tr>
      <w:tr w:rsidR="00163DA9" w:rsidRPr="003A7EA6" w14:paraId="5599CB67" w14:textId="77777777" w:rsidTr="004E239B">
        <w:tc>
          <w:tcPr>
            <w:tcW w:w="201" w:type="pct"/>
            <w:tcBorders>
              <w:top w:val="single" w:sz="4" w:space="0" w:color="auto"/>
              <w:left w:val="single" w:sz="4" w:space="0" w:color="auto"/>
              <w:bottom w:val="single" w:sz="4" w:space="0" w:color="auto"/>
              <w:right w:val="single" w:sz="4" w:space="0" w:color="auto"/>
            </w:tcBorders>
            <w:vAlign w:val="center"/>
          </w:tcPr>
          <w:p w14:paraId="32B34A15" w14:textId="77777777" w:rsidR="00163DA9" w:rsidRPr="003A7EA6" w:rsidRDefault="00163DA9" w:rsidP="0066110B">
            <w:pPr>
              <w:pStyle w:val="VPBody"/>
              <w:numPr>
                <w:ilvl w:val="0"/>
                <w:numId w:val="12"/>
              </w:numPr>
              <w:spacing w:before="0" w:after="0"/>
              <w:ind w:left="720"/>
              <w:jc w:val="center"/>
              <w:rPr>
                <w:sz w:val="22"/>
              </w:rPr>
            </w:pPr>
          </w:p>
        </w:tc>
        <w:tc>
          <w:tcPr>
            <w:tcW w:w="1605" w:type="pct"/>
            <w:tcBorders>
              <w:top w:val="single" w:sz="4" w:space="0" w:color="auto"/>
              <w:left w:val="single" w:sz="4" w:space="0" w:color="auto"/>
              <w:bottom w:val="single" w:sz="4" w:space="0" w:color="auto"/>
              <w:right w:val="single" w:sz="4" w:space="0" w:color="auto"/>
            </w:tcBorders>
            <w:vAlign w:val="center"/>
          </w:tcPr>
          <w:p w14:paraId="232DDE06" w14:textId="77777777" w:rsidR="00163DA9" w:rsidRPr="003A7EA6" w:rsidRDefault="00163DA9" w:rsidP="00607EA2">
            <w:pPr>
              <w:tabs>
                <w:tab w:val="left" w:pos="0"/>
              </w:tabs>
              <w:spacing w:before="0" w:after="0"/>
              <w:rPr>
                <w:rFonts w:ascii="Times New Roman" w:hAnsi="Times New Roman" w:cs="Times New Roman"/>
                <w:bCs/>
              </w:rPr>
            </w:pPr>
            <w:r w:rsidRPr="003A7EA6">
              <w:rPr>
                <w:rFonts w:ascii="Times New Roman" w:hAnsi="Times New Roman" w:cs="Times New Roman"/>
                <w:bCs/>
              </w:rPr>
              <w:t xml:space="preserve">VVIS </w:t>
            </w:r>
            <w:proofErr w:type="spellStart"/>
            <w:r w:rsidRPr="003A7EA6">
              <w:rPr>
                <w:rFonts w:ascii="Times New Roman" w:hAnsi="Times New Roman" w:cs="Times New Roman"/>
                <w:bCs/>
              </w:rPr>
              <w:t>prioritizēto</w:t>
            </w:r>
            <w:proofErr w:type="spellEnd"/>
            <w:r w:rsidRPr="003A7EA6">
              <w:rPr>
                <w:rFonts w:ascii="Times New Roman" w:hAnsi="Times New Roman" w:cs="Times New Roman"/>
                <w:bCs/>
              </w:rPr>
              <w:t xml:space="preserve"> pacientu skaits valsts apmaksāto ārstniecības pakalpojumu rindā</w:t>
            </w:r>
          </w:p>
        </w:tc>
        <w:tc>
          <w:tcPr>
            <w:tcW w:w="797" w:type="pct"/>
            <w:tcBorders>
              <w:top w:val="single" w:sz="4" w:space="0" w:color="auto"/>
              <w:left w:val="single" w:sz="4" w:space="0" w:color="auto"/>
              <w:bottom w:val="single" w:sz="4" w:space="0" w:color="auto"/>
              <w:right w:val="single" w:sz="4" w:space="0" w:color="auto"/>
            </w:tcBorders>
            <w:vAlign w:val="center"/>
            <w:hideMark/>
          </w:tcPr>
          <w:p w14:paraId="31AB5037" w14:textId="77777777" w:rsidR="00163DA9" w:rsidRPr="003A7EA6" w:rsidRDefault="00163DA9" w:rsidP="00607EA2">
            <w:pPr>
              <w:pStyle w:val="VPBody"/>
              <w:spacing w:before="0" w:after="0"/>
              <w:jc w:val="left"/>
              <w:rPr>
                <w:sz w:val="22"/>
              </w:rPr>
            </w:pPr>
            <w:r w:rsidRPr="003A7EA6">
              <w:rPr>
                <w:sz w:val="22"/>
              </w:rPr>
              <w:t>Procenti (%) no kopējā skaita</w:t>
            </w:r>
          </w:p>
        </w:tc>
        <w:tc>
          <w:tcPr>
            <w:tcW w:w="686" w:type="pct"/>
            <w:tcBorders>
              <w:top w:val="single" w:sz="4" w:space="0" w:color="auto"/>
              <w:left w:val="single" w:sz="4" w:space="0" w:color="auto"/>
              <w:bottom w:val="single" w:sz="4" w:space="0" w:color="auto"/>
              <w:right w:val="single" w:sz="4" w:space="0" w:color="auto"/>
            </w:tcBorders>
            <w:vAlign w:val="center"/>
          </w:tcPr>
          <w:p w14:paraId="14312520" w14:textId="77777777" w:rsidR="00163DA9" w:rsidRPr="003A7EA6" w:rsidRDefault="00163DA9" w:rsidP="00607EA2">
            <w:pPr>
              <w:pStyle w:val="VPBody"/>
              <w:spacing w:before="0" w:after="0"/>
              <w:jc w:val="center"/>
              <w:rPr>
                <w:sz w:val="22"/>
              </w:rPr>
            </w:pPr>
            <w:r w:rsidRPr="003A7EA6">
              <w:rPr>
                <w:sz w:val="22"/>
              </w:rPr>
              <w:t>-</w:t>
            </w:r>
          </w:p>
        </w:tc>
        <w:tc>
          <w:tcPr>
            <w:tcW w:w="855" w:type="pct"/>
            <w:tcBorders>
              <w:top w:val="single" w:sz="4" w:space="0" w:color="auto"/>
              <w:left w:val="single" w:sz="4" w:space="0" w:color="auto"/>
              <w:bottom w:val="single" w:sz="4" w:space="0" w:color="auto"/>
              <w:right w:val="single" w:sz="4" w:space="0" w:color="auto"/>
            </w:tcBorders>
            <w:vAlign w:val="center"/>
          </w:tcPr>
          <w:p w14:paraId="3C69F99E" w14:textId="3EFAAAD3" w:rsidR="00163DA9" w:rsidRPr="003A7EA6" w:rsidRDefault="006C4BBC" w:rsidP="00607EA2">
            <w:pPr>
              <w:pStyle w:val="VPBody"/>
              <w:spacing w:before="0" w:after="0"/>
              <w:jc w:val="center"/>
              <w:rPr>
                <w:sz w:val="22"/>
              </w:rPr>
            </w:pPr>
            <w:r>
              <w:rPr>
                <w:sz w:val="22"/>
              </w:rPr>
              <w:t>30</w:t>
            </w:r>
          </w:p>
        </w:tc>
        <w:tc>
          <w:tcPr>
            <w:tcW w:w="855" w:type="pct"/>
            <w:tcBorders>
              <w:top w:val="single" w:sz="4" w:space="0" w:color="auto"/>
              <w:left w:val="single" w:sz="4" w:space="0" w:color="auto"/>
              <w:bottom w:val="single" w:sz="4" w:space="0" w:color="auto"/>
              <w:right w:val="single" w:sz="4" w:space="0" w:color="auto"/>
            </w:tcBorders>
            <w:vAlign w:val="center"/>
          </w:tcPr>
          <w:p w14:paraId="4899F6B1" w14:textId="1C4CDDB5" w:rsidR="00163DA9" w:rsidRPr="003A7EA6" w:rsidRDefault="006C4BBC" w:rsidP="00607EA2">
            <w:pPr>
              <w:pStyle w:val="VPBody"/>
              <w:spacing w:before="0" w:after="0"/>
              <w:jc w:val="center"/>
              <w:rPr>
                <w:sz w:val="22"/>
              </w:rPr>
            </w:pPr>
            <w:r>
              <w:rPr>
                <w:sz w:val="22"/>
              </w:rPr>
              <w:t>5</w:t>
            </w:r>
            <w:r w:rsidR="00163DA9" w:rsidRPr="003A7EA6">
              <w:rPr>
                <w:sz w:val="22"/>
              </w:rPr>
              <w:t>0</w:t>
            </w:r>
          </w:p>
        </w:tc>
      </w:tr>
      <w:tr w:rsidR="00163DA9" w:rsidRPr="003A7EA6" w14:paraId="0D1071E7" w14:textId="77777777" w:rsidTr="004E239B">
        <w:tc>
          <w:tcPr>
            <w:tcW w:w="201" w:type="pct"/>
            <w:tcBorders>
              <w:top w:val="single" w:sz="4" w:space="0" w:color="auto"/>
              <w:left w:val="single" w:sz="4" w:space="0" w:color="auto"/>
              <w:bottom w:val="single" w:sz="4" w:space="0" w:color="auto"/>
              <w:right w:val="single" w:sz="4" w:space="0" w:color="auto"/>
            </w:tcBorders>
            <w:vAlign w:val="center"/>
          </w:tcPr>
          <w:p w14:paraId="081D05DD" w14:textId="77777777" w:rsidR="00163DA9" w:rsidRPr="003A7EA6" w:rsidRDefault="00163DA9" w:rsidP="0066110B">
            <w:pPr>
              <w:pStyle w:val="VPBody"/>
              <w:numPr>
                <w:ilvl w:val="0"/>
                <w:numId w:val="12"/>
              </w:numPr>
              <w:spacing w:before="0" w:after="0"/>
              <w:ind w:left="720"/>
              <w:jc w:val="center"/>
              <w:rPr>
                <w:sz w:val="22"/>
              </w:rPr>
            </w:pPr>
          </w:p>
        </w:tc>
        <w:tc>
          <w:tcPr>
            <w:tcW w:w="1605" w:type="pct"/>
            <w:tcBorders>
              <w:top w:val="single" w:sz="4" w:space="0" w:color="auto"/>
              <w:left w:val="single" w:sz="4" w:space="0" w:color="auto"/>
              <w:bottom w:val="single" w:sz="4" w:space="0" w:color="auto"/>
              <w:right w:val="single" w:sz="4" w:space="0" w:color="auto"/>
            </w:tcBorders>
            <w:vAlign w:val="center"/>
            <w:hideMark/>
          </w:tcPr>
          <w:p w14:paraId="5C76A1C9" w14:textId="77777777" w:rsidR="00163DA9" w:rsidRPr="003A7EA6" w:rsidRDefault="00163DA9" w:rsidP="00607EA2">
            <w:pPr>
              <w:pStyle w:val="VPBody"/>
              <w:spacing w:before="0" w:after="0"/>
              <w:jc w:val="left"/>
              <w:rPr>
                <w:sz w:val="22"/>
              </w:rPr>
            </w:pPr>
            <w:r w:rsidRPr="003A7EA6">
              <w:rPr>
                <w:sz w:val="22"/>
              </w:rPr>
              <w:t>VVIS elektroniski parakstīto medicīnisko dokumentu īpatsvars</w:t>
            </w:r>
          </w:p>
        </w:tc>
        <w:tc>
          <w:tcPr>
            <w:tcW w:w="797" w:type="pct"/>
            <w:tcBorders>
              <w:top w:val="single" w:sz="4" w:space="0" w:color="auto"/>
              <w:left w:val="single" w:sz="4" w:space="0" w:color="auto"/>
              <w:bottom w:val="single" w:sz="4" w:space="0" w:color="auto"/>
              <w:right w:val="single" w:sz="4" w:space="0" w:color="auto"/>
            </w:tcBorders>
            <w:vAlign w:val="center"/>
            <w:hideMark/>
          </w:tcPr>
          <w:p w14:paraId="4E298631" w14:textId="77777777" w:rsidR="00163DA9" w:rsidRPr="003A7EA6" w:rsidRDefault="00163DA9" w:rsidP="00607EA2">
            <w:pPr>
              <w:tabs>
                <w:tab w:val="left" w:pos="0"/>
              </w:tabs>
              <w:spacing w:before="0" w:after="0"/>
              <w:rPr>
                <w:rFonts w:ascii="Times New Roman" w:hAnsi="Times New Roman" w:cs="Times New Roman"/>
                <w:b/>
                <w:bCs/>
              </w:rPr>
            </w:pPr>
            <w:r w:rsidRPr="003A7EA6">
              <w:rPr>
                <w:rFonts w:ascii="Times New Roman" w:hAnsi="Times New Roman" w:cs="Times New Roman"/>
              </w:rPr>
              <w:t>Procenti (%) no kopējā skaita</w:t>
            </w:r>
          </w:p>
        </w:tc>
        <w:tc>
          <w:tcPr>
            <w:tcW w:w="686" w:type="pct"/>
            <w:tcBorders>
              <w:top w:val="single" w:sz="4" w:space="0" w:color="auto"/>
              <w:left w:val="single" w:sz="4" w:space="0" w:color="auto"/>
              <w:bottom w:val="single" w:sz="4" w:space="0" w:color="auto"/>
              <w:right w:val="single" w:sz="4" w:space="0" w:color="auto"/>
            </w:tcBorders>
            <w:vAlign w:val="center"/>
          </w:tcPr>
          <w:p w14:paraId="2A0DEE67" w14:textId="77777777" w:rsidR="00163DA9" w:rsidRPr="003A7EA6" w:rsidRDefault="00163DA9" w:rsidP="00607EA2">
            <w:pPr>
              <w:pStyle w:val="VPBody"/>
              <w:spacing w:before="0" w:after="0"/>
              <w:jc w:val="center"/>
              <w:rPr>
                <w:sz w:val="22"/>
              </w:rPr>
            </w:pPr>
            <w:r w:rsidRPr="003A7EA6">
              <w:rPr>
                <w:sz w:val="22"/>
              </w:rPr>
              <w:t>0</w:t>
            </w:r>
          </w:p>
        </w:tc>
        <w:tc>
          <w:tcPr>
            <w:tcW w:w="855" w:type="pct"/>
            <w:tcBorders>
              <w:top w:val="single" w:sz="4" w:space="0" w:color="auto"/>
              <w:left w:val="single" w:sz="4" w:space="0" w:color="auto"/>
              <w:bottom w:val="single" w:sz="4" w:space="0" w:color="auto"/>
              <w:right w:val="single" w:sz="4" w:space="0" w:color="auto"/>
            </w:tcBorders>
            <w:vAlign w:val="center"/>
          </w:tcPr>
          <w:p w14:paraId="737FAEC5" w14:textId="64F58E50" w:rsidR="00163DA9" w:rsidRPr="003A7EA6" w:rsidRDefault="00163DA9" w:rsidP="00607EA2">
            <w:pPr>
              <w:pStyle w:val="VPBody"/>
              <w:spacing w:before="0" w:after="0"/>
              <w:jc w:val="center"/>
              <w:rPr>
                <w:sz w:val="22"/>
              </w:rPr>
            </w:pPr>
            <w:r w:rsidRPr="003A7EA6">
              <w:rPr>
                <w:sz w:val="22"/>
              </w:rPr>
              <w:t>5</w:t>
            </w:r>
            <w:r w:rsidR="006C4BBC">
              <w:rPr>
                <w:sz w:val="22"/>
              </w:rPr>
              <w:t>0</w:t>
            </w:r>
          </w:p>
        </w:tc>
        <w:tc>
          <w:tcPr>
            <w:tcW w:w="855" w:type="pct"/>
            <w:tcBorders>
              <w:top w:val="single" w:sz="4" w:space="0" w:color="auto"/>
              <w:left w:val="single" w:sz="4" w:space="0" w:color="auto"/>
              <w:bottom w:val="single" w:sz="4" w:space="0" w:color="auto"/>
              <w:right w:val="single" w:sz="4" w:space="0" w:color="auto"/>
            </w:tcBorders>
            <w:vAlign w:val="center"/>
          </w:tcPr>
          <w:p w14:paraId="0460B51B" w14:textId="408F03A9" w:rsidR="00163DA9" w:rsidRPr="003A7EA6" w:rsidRDefault="006C4BBC" w:rsidP="00607EA2">
            <w:pPr>
              <w:pStyle w:val="VPBody"/>
              <w:spacing w:before="0" w:after="0"/>
              <w:jc w:val="center"/>
              <w:rPr>
                <w:sz w:val="22"/>
              </w:rPr>
            </w:pPr>
            <w:r>
              <w:rPr>
                <w:sz w:val="22"/>
              </w:rPr>
              <w:t>9</w:t>
            </w:r>
            <w:r w:rsidR="00163DA9" w:rsidRPr="003A7EA6">
              <w:rPr>
                <w:sz w:val="22"/>
              </w:rPr>
              <w:t>0</w:t>
            </w:r>
          </w:p>
        </w:tc>
      </w:tr>
      <w:tr w:rsidR="00163DA9" w:rsidRPr="003A7EA6" w14:paraId="0DA548E8" w14:textId="77777777" w:rsidTr="004E239B">
        <w:trPr>
          <w:trHeight w:val="754"/>
        </w:trPr>
        <w:tc>
          <w:tcPr>
            <w:tcW w:w="201" w:type="pct"/>
            <w:tcBorders>
              <w:top w:val="single" w:sz="4" w:space="0" w:color="auto"/>
              <w:left w:val="single" w:sz="4" w:space="0" w:color="auto"/>
              <w:bottom w:val="single" w:sz="4" w:space="0" w:color="auto"/>
              <w:right w:val="single" w:sz="4" w:space="0" w:color="auto"/>
            </w:tcBorders>
            <w:vAlign w:val="center"/>
          </w:tcPr>
          <w:p w14:paraId="4AEE5B06" w14:textId="77777777" w:rsidR="00163DA9" w:rsidRPr="003A7EA6" w:rsidRDefault="00163DA9" w:rsidP="0066110B">
            <w:pPr>
              <w:pStyle w:val="VPBody"/>
              <w:numPr>
                <w:ilvl w:val="0"/>
                <w:numId w:val="12"/>
              </w:numPr>
              <w:spacing w:before="0" w:after="0"/>
              <w:ind w:left="720"/>
              <w:jc w:val="center"/>
              <w:rPr>
                <w:sz w:val="22"/>
              </w:rPr>
            </w:pPr>
          </w:p>
        </w:tc>
        <w:tc>
          <w:tcPr>
            <w:tcW w:w="1605" w:type="pct"/>
            <w:tcBorders>
              <w:top w:val="single" w:sz="4" w:space="0" w:color="auto"/>
              <w:left w:val="single" w:sz="4" w:space="0" w:color="auto"/>
              <w:bottom w:val="single" w:sz="4" w:space="0" w:color="auto"/>
              <w:right w:val="single" w:sz="4" w:space="0" w:color="auto"/>
            </w:tcBorders>
            <w:vAlign w:val="center"/>
            <w:hideMark/>
          </w:tcPr>
          <w:p w14:paraId="3526C02F" w14:textId="77777777" w:rsidR="00163DA9" w:rsidRPr="003A7EA6" w:rsidRDefault="00163DA9" w:rsidP="00607EA2">
            <w:pPr>
              <w:pStyle w:val="VPBody"/>
              <w:spacing w:before="0" w:after="0"/>
              <w:jc w:val="left"/>
              <w:rPr>
                <w:sz w:val="22"/>
              </w:rPr>
            </w:pPr>
            <w:r w:rsidRPr="003A7EA6">
              <w:rPr>
                <w:sz w:val="22"/>
              </w:rPr>
              <w:t>Statistikas pārskatu skaits, kas tiek nodots atvērto datu portālam</w:t>
            </w:r>
          </w:p>
        </w:tc>
        <w:tc>
          <w:tcPr>
            <w:tcW w:w="797" w:type="pct"/>
            <w:tcBorders>
              <w:top w:val="single" w:sz="4" w:space="0" w:color="auto"/>
              <w:left w:val="single" w:sz="4" w:space="0" w:color="auto"/>
              <w:bottom w:val="single" w:sz="4" w:space="0" w:color="auto"/>
              <w:right w:val="single" w:sz="4" w:space="0" w:color="auto"/>
            </w:tcBorders>
            <w:vAlign w:val="center"/>
            <w:hideMark/>
          </w:tcPr>
          <w:p w14:paraId="2AA79E19" w14:textId="77777777" w:rsidR="00163DA9" w:rsidRPr="003A7EA6" w:rsidRDefault="00163DA9" w:rsidP="00607EA2">
            <w:pPr>
              <w:tabs>
                <w:tab w:val="left" w:pos="0"/>
              </w:tabs>
              <w:spacing w:before="0" w:after="0"/>
              <w:rPr>
                <w:rFonts w:ascii="Times New Roman" w:hAnsi="Times New Roman" w:cs="Times New Roman"/>
                <w:bCs/>
              </w:rPr>
            </w:pPr>
            <w:r w:rsidRPr="003A7EA6">
              <w:rPr>
                <w:rFonts w:ascii="Times New Roman" w:hAnsi="Times New Roman" w:cs="Times New Roman"/>
                <w:bCs/>
              </w:rPr>
              <w:t>Skaits</w:t>
            </w:r>
          </w:p>
        </w:tc>
        <w:tc>
          <w:tcPr>
            <w:tcW w:w="686" w:type="pct"/>
            <w:tcBorders>
              <w:top w:val="single" w:sz="4" w:space="0" w:color="auto"/>
              <w:left w:val="single" w:sz="4" w:space="0" w:color="auto"/>
              <w:bottom w:val="single" w:sz="4" w:space="0" w:color="auto"/>
              <w:right w:val="single" w:sz="4" w:space="0" w:color="auto"/>
            </w:tcBorders>
            <w:vAlign w:val="center"/>
            <w:hideMark/>
          </w:tcPr>
          <w:p w14:paraId="7B68E272" w14:textId="77777777" w:rsidR="00163DA9" w:rsidRPr="003A7EA6" w:rsidRDefault="00163DA9" w:rsidP="00607EA2">
            <w:pPr>
              <w:pStyle w:val="VPBody"/>
              <w:spacing w:before="0" w:after="0"/>
              <w:jc w:val="center"/>
              <w:rPr>
                <w:sz w:val="22"/>
              </w:rPr>
            </w:pPr>
            <w:r w:rsidRPr="003A7EA6">
              <w:rPr>
                <w:sz w:val="22"/>
              </w:rPr>
              <w:t>-</w:t>
            </w:r>
          </w:p>
        </w:tc>
        <w:tc>
          <w:tcPr>
            <w:tcW w:w="855" w:type="pct"/>
            <w:tcBorders>
              <w:top w:val="single" w:sz="4" w:space="0" w:color="auto"/>
              <w:left w:val="single" w:sz="4" w:space="0" w:color="auto"/>
              <w:bottom w:val="single" w:sz="4" w:space="0" w:color="auto"/>
              <w:right w:val="single" w:sz="4" w:space="0" w:color="auto"/>
            </w:tcBorders>
            <w:vAlign w:val="center"/>
            <w:hideMark/>
          </w:tcPr>
          <w:p w14:paraId="01C4268E" w14:textId="77777777" w:rsidR="00163DA9" w:rsidRPr="003A7EA6" w:rsidRDefault="00163DA9" w:rsidP="00607EA2">
            <w:pPr>
              <w:pStyle w:val="VPBody"/>
              <w:spacing w:before="0" w:after="0"/>
              <w:jc w:val="center"/>
              <w:rPr>
                <w:sz w:val="22"/>
              </w:rPr>
            </w:pPr>
            <w:r w:rsidRPr="003A7EA6">
              <w:rPr>
                <w:sz w:val="22"/>
              </w:rPr>
              <w:t>10</w:t>
            </w:r>
          </w:p>
        </w:tc>
        <w:tc>
          <w:tcPr>
            <w:tcW w:w="855" w:type="pct"/>
            <w:tcBorders>
              <w:top w:val="single" w:sz="4" w:space="0" w:color="auto"/>
              <w:left w:val="single" w:sz="4" w:space="0" w:color="auto"/>
              <w:bottom w:val="single" w:sz="4" w:space="0" w:color="auto"/>
              <w:right w:val="single" w:sz="4" w:space="0" w:color="auto"/>
            </w:tcBorders>
            <w:vAlign w:val="center"/>
            <w:hideMark/>
          </w:tcPr>
          <w:p w14:paraId="5D07C1DE" w14:textId="77777777" w:rsidR="00163DA9" w:rsidRPr="003A7EA6" w:rsidRDefault="00163DA9" w:rsidP="00607EA2">
            <w:pPr>
              <w:pStyle w:val="VPBody"/>
              <w:spacing w:before="0" w:after="0"/>
              <w:jc w:val="center"/>
              <w:rPr>
                <w:sz w:val="22"/>
              </w:rPr>
            </w:pPr>
            <w:r w:rsidRPr="003A7EA6">
              <w:rPr>
                <w:sz w:val="22"/>
              </w:rPr>
              <w:t>10</w:t>
            </w:r>
          </w:p>
        </w:tc>
      </w:tr>
      <w:tr w:rsidR="00163DA9" w:rsidRPr="003A7EA6" w14:paraId="55CA9AB8" w14:textId="77777777" w:rsidTr="004E239B">
        <w:tc>
          <w:tcPr>
            <w:tcW w:w="201" w:type="pct"/>
            <w:tcBorders>
              <w:top w:val="single" w:sz="4" w:space="0" w:color="auto"/>
              <w:left w:val="single" w:sz="4" w:space="0" w:color="auto"/>
              <w:bottom w:val="single" w:sz="4" w:space="0" w:color="auto"/>
              <w:right w:val="single" w:sz="4" w:space="0" w:color="auto"/>
            </w:tcBorders>
            <w:vAlign w:val="center"/>
          </w:tcPr>
          <w:p w14:paraId="18EA9BF0" w14:textId="77777777" w:rsidR="00163DA9" w:rsidRPr="003A7EA6" w:rsidRDefault="00163DA9" w:rsidP="0066110B">
            <w:pPr>
              <w:pStyle w:val="VPBody"/>
              <w:numPr>
                <w:ilvl w:val="0"/>
                <w:numId w:val="12"/>
              </w:numPr>
              <w:spacing w:before="0" w:after="0"/>
              <w:ind w:left="720"/>
              <w:jc w:val="center"/>
              <w:rPr>
                <w:sz w:val="22"/>
              </w:rPr>
            </w:pPr>
          </w:p>
        </w:tc>
        <w:tc>
          <w:tcPr>
            <w:tcW w:w="1605" w:type="pct"/>
            <w:tcBorders>
              <w:top w:val="single" w:sz="4" w:space="0" w:color="auto"/>
              <w:left w:val="single" w:sz="4" w:space="0" w:color="auto"/>
              <w:bottom w:val="single" w:sz="4" w:space="0" w:color="auto"/>
              <w:right w:val="single" w:sz="4" w:space="0" w:color="auto"/>
            </w:tcBorders>
            <w:vAlign w:val="center"/>
            <w:hideMark/>
          </w:tcPr>
          <w:p w14:paraId="7B6D0DBE" w14:textId="77777777" w:rsidR="00163DA9" w:rsidRPr="003A7EA6" w:rsidRDefault="00163DA9" w:rsidP="00607EA2">
            <w:pPr>
              <w:pStyle w:val="VPBody"/>
              <w:spacing w:before="0" w:after="0"/>
              <w:jc w:val="left"/>
              <w:rPr>
                <w:sz w:val="22"/>
              </w:rPr>
            </w:pPr>
            <w:r w:rsidRPr="003A7EA6">
              <w:rPr>
                <w:sz w:val="22"/>
              </w:rPr>
              <w:t xml:space="preserve">VVIS aizpildīto blakusparādību paziņojumu īpatsvars </w:t>
            </w:r>
          </w:p>
        </w:tc>
        <w:tc>
          <w:tcPr>
            <w:tcW w:w="797" w:type="pct"/>
            <w:tcBorders>
              <w:top w:val="single" w:sz="4" w:space="0" w:color="auto"/>
              <w:left w:val="single" w:sz="4" w:space="0" w:color="auto"/>
              <w:bottom w:val="single" w:sz="4" w:space="0" w:color="auto"/>
              <w:right w:val="single" w:sz="4" w:space="0" w:color="auto"/>
            </w:tcBorders>
            <w:vAlign w:val="center"/>
            <w:hideMark/>
          </w:tcPr>
          <w:p w14:paraId="21B51DC6" w14:textId="77777777" w:rsidR="00163DA9" w:rsidRPr="003A7EA6" w:rsidRDefault="00163DA9" w:rsidP="00607EA2">
            <w:pPr>
              <w:tabs>
                <w:tab w:val="left" w:pos="0"/>
              </w:tabs>
              <w:spacing w:before="0" w:after="0"/>
              <w:rPr>
                <w:rFonts w:ascii="Times New Roman" w:hAnsi="Times New Roman" w:cs="Times New Roman"/>
                <w:b/>
                <w:bCs/>
              </w:rPr>
            </w:pPr>
            <w:r w:rsidRPr="003A7EA6">
              <w:rPr>
                <w:rFonts w:ascii="Times New Roman" w:hAnsi="Times New Roman" w:cs="Times New Roman"/>
              </w:rPr>
              <w:t>Procenti (%) no kopējā skaita</w:t>
            </w:r>
          </w:p>
        </w:tc>
        <w:tc>
          <w:tcPr>
            <w:tcW w:w="686" w:type="pct"/>
            <w:tcBorders>
              <w:top w:val="single" w:sz="4" w:space="0" w:color="auto"/>
              <w:left w:val="single" w:sz="4" w:space="0" w:color="auto"/>
              <w:bottom w:val="single" w:sz="4" w:space="0" w:color="auto"/>
              <w:right w:val="single" w:sz="4" w:space="0" w:color="auto"/>
            </w:tcBorders>
            <w:vAlign w:val="center"/>
          </w:tcPr>
          <w:p w14:paraId="3C43F033" w14:textId="77777777" w:rsidR="00163DA9" w:rsidRPr="003A7EA6" w:rsidRDefault="00163DA9" w:rsidP="00607EA2">
            <w:pPr>
              <w:pStyle w:val="VPBody"/>
              <w:spacing w:before="0" w:after="0"/>
              <w:jc w:val="center"/>
              <w:rPr>
                <w:sz w:val="22"/>
              </w:rPr>
            </w:pPr>
            <w:r w:rsidRPr="003A7EA6">
              <w:rPr>
                <w:sz w:val="22"/>
              </w:rPr>
              <w:t>0</w:t>
            </w:r>
          </w:p>
        </w:tc>
        <w:tc>
          <w:tcPr>
            <w:tcW w:w="855" w:type="pct"/>
            <w:tcBorders>
              <w:top w:val="single" w:sz="4" w:space="0" w:color="auto"/>
              <w:left w:val="single" w:sz="4" w:space="0" w:color="auto"/>
              <w:bottom w:val="single" w:sz="4" w:space="0" w:color="auto"/>
              <w:right w:val="single" w:sz="4" w:space="0" w:color="auto"/>
            </w:tcBorders>
            <w:vAlign w:val="center"/>
          </w:tcPr>
          <w:p w14:paraId="1562A202" w14:textId="4533B5B0" w:rsidR="00163DA9" w:rsidRPr="003A7EA6" w:rsidRDefault="006C4BBC" w:rsidP="00607EA2">
            <w:pPr>
              <w:pStyle w:val="VPBody"/>
              <w:spacing w:before="0" w:after="0"/>
              <w:jc w:val="center"/>
              <w:rPr>
                <w:sz w:val="22"/>
              </w:rPr>
            </w:pPr>
            <w:r>
              <w:rPr>
                <w:sz w:val="22"/>
              </w:rPr>
              <w:t>5</w:t>
            </w:r>
            <w:r w:rsidR="00163DA9" w:rsidRPr="003A7EA6">
              <w:rPr>
                <w:sz w:val="22"/>
              </w:rPr>
              <w:t>0</w:t>
            </w:r>
          </w:p>
        </w:tc>
        <w:tc>
          <w:tcPr>
            <w:tcW w:w="855" w:type="pct"/>
            <w:tcBorders>
              <w:top w:val="single" w:sz="4" w:space="0" w:color="auto"/>
              <w:left w:val="single" w:sz="4" w:space="0" w:color="auto"/>
              <w:bottom w:val="single" w:sz="4" w:space="0" w:color="auto"/>
              <w:right w:val="single" w:sz="4" w:space="0" w:color="auto"/>
            </w:tcBorders>
            <w:vAlign w:val="center"/>
          </w:tcPr>
          <w:p w14:paraId="03EDD32A" w14:textId="4D7CDFEA" w:rsidR="00163DA9" w:rsidRPr="003A7EA6" w:rsidRDefault="006C4BBC" w:rsidP="00607EA2">
            <w:pPr>
              <w:pStyle w:val="VPBody"/>
              <w:spacing w:before="0" w:after="0"/>
              <w:jc w:val="center"/>
              <w:rPr>
                <w:sz w:val="22"/>
              </w:rPr>
            </w:pPr>
            <w:r>
              <w:rPr>
                <w:sz w:val="22"/>
              </w:rPr>
              <w:t>9</w:t>
            </w:r>
            <w:r w:rsidR="00163DA9" w:rsidRPr="003A7EA6">
              <w:rPr>
                <w:sz w:val="22"/>
              </w:rPr>
              <w:t>0</w:t>
            </w:r>
          </w:p>
        </w:tc>
      </w:tr>
      <w:tr w:rsidR="00163DA9" w:rsidRPr="003A7EA6" w14:paraId="4CB47E22" w14:textId="77777777" w:rsidTr="004E239B">
        <w:tc>
          <w:tcPr>
            <w:tcW w:w="201" w:type="pct"/>
            <w:tcBorders>
              <w:top w:val="single" w:sz="4" w:space="0" w:color="auto"/>
              <w:left w:val="single" w:sz="4" w:space="0" w:color="auto"/>
              <w:bottom w:val="single" w:sz="4" w:space="0" w:color="auto"/>
              <w:right w:val="single" w:sz="4" w:space="0" w:color="auto"/>
            </w:tcBorders>
            <w:vAlign w:val="center"/>
          </w:tcPr>
          <w:p w14:paraId="589E61FA" w14:textId="77777777" w:rsidR="00163DA9" w:rsidRPr="003A7EA6" w:rsidRDefault="00163DA9" w:rsidP="0066110B">
            <w:pPr>
              <w:pStyle w:val="VPBody"/>
              <w:numPr>
                <w:ilvl w:val="0"/>
                <w:numId w:val="12"/>
              </w:numPr>
              <w:spacing w:before="0" w:after="0"/>
              <w:ind w:left="720"/>
              <w:jc w:val="center"/>
              <w:rPr>
                <w:sz w:val="22"/>
              </w:rPr>
            </w:pPr>
          </w:p>
        </w:tc>
        <w:tc>
          <w:tcPr>
            <w:tcW w:w="1605" w:type="pct"/>
            <w:tcBorders>
              <w:top w:val="single" w:sz="4" w:space="0" w:color="auto"/>
              <w:left w:val="single" w:sz="4" w:space="0" w:color="auto"/>
              <w:bottom w:val="single" w:sz="4" w:space="0" w:color="auto"/>
              <w:right w:val="single" w:sz="4" w:space="0" w:color="auto"/>
            </w:tcBorders>
            <w:vAlign w:val="center"/>
            <w:hideMark/>
          </w:tcPr>
          <w:p w14:paraId="4F21AB8E" w14:textId="77777777" w:rsidR="00163DA9" w:rsidRPr="003A7EA6" w:rsidRDefault="00163DA9" w:rsidP="00607EA2">
            <w:pPr>
              <w:pStyle w:val="VPBody"/>
              <w:spacing w:before="0" w:after="0"/>
              <w:jc w:val="left"/>
              <w:rPr>
                <w:b/>
                <w:sz w:val="22"/>
              </w:rPr>
            </w:pPr>
            <w:r w:rsidRPr="003A7EA6">
              <w:rPr>
                <w:sz w:val="22"/>
              </w:rPr>
              <w:t>VVIS elektroniski aizpildīto paziņojumu par infekcijas slimībām īpatsvars</w:t>
            </w:r>
          </w:p>
        </w:tc>
        <w:tc>
          <w:tcPr>
            <w:tcW w:w="797" w:type="pct"/>
            <w:tcBorders>
              <w:top w:val="single" w:sz="4" w:space="0" w:color="auto"/>
              <w:left w:val="single" w:sz="4" w:space="0" w:color="auto"/>
              <w:bottom w:val="single" w:sz="4" w:space="0" w:color="auto"/>
              <w:right w:val="single" w:sz="4" w:space="0" w:color="auto"/>
            </w:tcBorders>
            <w:vAlign w:val="center"/>
            <w:hideMark/>
          </w:tcPr>
          <w:p w14:paraId="59BF4A77" w14:textId="77777777" w:rsidR="00163DA9" w:rsidRPr="003A7EA6" w:rsidRDefault="00163DA9" w:rsidP="00607EA2">
            <w:pPr>
              <w:tabs>
                <w:tab w:val="left" w:pos="0"/>
              </w:tabs>
              <w:spacing w:before="0" w:after="0"/>
              <w:rPr>
                <w:rFonts w:ascii="Times New Roman" w:hAnsi="Times New Roman" w:cs="Times New Roman"/>
                <w:b/>
                <w:bCs/>
              </w:rPr>
            </w:pPr>
            <w:r w:rsidRPr="003A7EA6">
              <w:rPr>
                <w:rFonts w:ascii="Times New Roman" w:hAnsi="Times New Roman" w:cs="Times New Roman"/>
              </w:rPr>
              <w:t>Procenti (%) no kopējā skaita</w:t>
            </w:r>
          </w:p>
        </w:tc>
        <w:tc>
          <w:tcPr>
            <w:tcW w:w="686" w:type="pct"/>
            <w:tcBorders>
              <w:top w:val="single" w:sz="4" w:space="0" w:color="auto"/>
              <w:left w:val="single" w:sz="4" w:space="0" w:color="auto"/>
              <w:bottom w:val="single" w:sz="4" w:space="0" w:color="auto"/>
              <w:right w:val="single" w:sz="4" w:space="0" w:color="auto"/>
            </w:tcBorders>
            <w:vAlign w:val="center"/>
          </w:tcPr>
          <w:p w14:paraId="1A9895F1" w14:textId="77777777" w:rsidR="00163DA9" w:rsidRPr="003A7EA6" w:rsidRDefault="00163DA9" w:rsidP="00607EA2">
            <w:pPr>
              <w:pStyle w:val="VPBody"/>
              <w:spacing w:before="0" w:after="0"/>
              <w:jc w:val="center"/>
              <w:rPr>
                <w:sz w:val="22"/>
              </w:rPr>
            </w:pPr>
            <w:r w:rsidRPr="003A7EA6">
              <w:rPr>
                <w:sz w:val="22"/>
              </w:rPr>
              <w:t>-</w:t>
            </w:r>
          </w:p>
        </w:tc>
        <w:tc>
          <w:tcPr>
            <w:tcW w:w="855" w:type="pct"/>
            <w:tcBorders>
              <w:top w:val="single" w:sz="4" w:space="0" w:color="auto"/>
              <w:left w:val="single" w:sz="4" w:space="0" w:color="auto"/>
              <w:bottom w:val="single" w:sz="4" w:space="0" w:color="auto"/>
              <w:right w:val="single" w:sz="4" w:space="0" w:color="auto"/>
            </w:tcBorders>
            <w:vAlign w:val="center"/>
          </w:tcPr>
          <w:p w14:paraId="6ABD08CD" w14:textId="77777777" w:rsidR="00163DA9" w:rsidRPr="003A7EA6" w:rsidRDefault="00163DA9" w:rsidP="00607EA2">
            <w:pPr>
              <w:pStyle w:val="VPBody"/>
              <w:spacing w:before="0" w:after="0"/>
              <w:jc w:val="center"/>
              <w:rPr>
                <w:sz w:val="22"/>
              </w:rPr>
            </w:pPr>
            <w:r w:rsidRPr="003A7EA6">
              <w:rPr>
                <w:sz w:val="22"/>
              </w:rPr>
              <w:t>60</w:t>
            </w:r>
          </w:p>
        </w:tc>
        <w:tc>
          <w:tcPr>
            <w:tcW w:w="855" w:type="pct"/>
            <w:tcBorders>
              <w:top w:val="single" w:sz="4" w:space="0" w:color="auto"/>
              <w:left w:val="single" w:sz="4" w:space="0" w:color="auto"/>
              <w:bottom w:val="single" w:sz="4" w:space="0" w:color="auto"/>
              <w:right w:val="single" w:sz="4" w:space="0" w:color="auto"/>
            </w:tcBorders>
            <w:vAlign w:val="center"/>
          </w:tcPr>
          <w:p w14:paraId="7107A0E6" w14:textId="77777777" w:rsidR="00163DA9" w:rsidRPr="003A7EA6" w:rsidRDefault="00163DA9" w:rsidP="00607EA2">
            <w:pPr>
              <w:pStyle w:val="VPBody"/>
              <w:spacing w:before="0" w:after="0"/>
              <w:jc w:val="center"/>
              <w:rPr>
                <w:sz w:val="22"/>
              </w:rPr>
            </w:pPr>
            <w:r w:rsidRPr="003A7EA6">
              <w:rPr>
                <w:sz w:val="22"/>
              </w:rPr>
              <w:t>90</w:t>
            </w:r>
          </w:p>
        </w:tc>
      </w:tr>
      <w:tr w:rsidR="00163DA9" w:rsidRPr="003A7EA6" w14:paraId="06B93AC7" w14:textId="77777777" w:rsidTr="004E239B">
        <w:tc>
          <w:tcPr>
            <w:tcW w:w="201" w:type="pct"/>
            <w:tcBorders>
              <w:top w:val="single" w:sz="4" w:space="0" w:color="auto"/>
              <w:left w:val="single" w:sz="4" w:space="0" w:color="auto"/>
              <w:bottom w:val="single" w:sz="4" w:space="0" w:color="auto"/>
              <w:right w:val="single" w:sz="4" w:space="0" w:color="auto"/>
            </w:tcBorders>
            <w:vAlign w:val="center"/>
          </w:tcPr>
          <w:p w14:paraId="4357AB74" w14:textId="77777777" w:rsidR="00163DA9" w:rsidRPr="003A7EA6" w:rsidRDefault="00163DA9" w:rsidP="0066110B">
            <w:pPr>
              <w:pStyle w:val="VPBody"/>
              <w:numPr>
                <w:ilvl w:val="0"/>
                <w:numId w:val="12"/>
              </w:numPr>
              <w:spacing w:before="0" w:after="0"/>
              <w:ind w:left="720"/>
              <w:jc w:val="center"/>
              <w:rPr>
                <w:sz w:val="22"/>
              </w:rPr>
            </w:pPr>
          </w:p>
        </w:tc>
        <w:tc>
          <w:tcPr>
            <w:tcW w:w="1605" w:type="pct"/>
            <w:tcBorders>
              <w:top w:val="single" w:sz="4" w:space="0" w:color="auto"/>
              <w:left w:val="single" w:sz="4" w:space="0" w:color="auto"/>
              <w:bottom w:val="single" w:sz="4" w:space="0" w:color="auto"/>
              <w:right w:val="single" w:sz="4" w:space="0" w:color="auto"/>
            </w:tcBorders>
            <w:vAlign w:val="center"/>
            <w:hideMark/>
          </w:tcPr>
          <w:p w14:paraId="15595776" w14:textId="77777777" w:rsidR="00163DA9" w:rsidRPr="003A7EA6" w:rsidRDefault="00163DA9" w:rsidP="00607EA2">
            <w:pPr>
              <w:pStyle w:val="VPBody"/>
              <w:spacing w:before="0" w:after="0"/>
              <w:jc w:val="left"/>
              <w:rPr>
                <w:sz w:val="22"/>
              </w:rPr>
            </w:pPr>
            <w:r w:rsidRPr="003A7EA6">
              <w:rPr>
                <w:sz w:val="22"/>
              </w:rPr>
              <w:t>Iestāžu skaits, kas saziņai izmanto apziņošanu VVIS</w:t>
            </w:r>
          </w:p>
        </w:tc>
        <w:tc>
          <w:tcPr>
            <w:tcW w:w="797" w:type="pct"/>
            <w:tcBorders>
              <w:top w:val="single" w:sz="4" w:space="0" w:color="auto"/>
              <w:left w:val="single" w:sz="4" w:space="0" w:color="auto"/>
              <w:bottom w:val="single" w:sz="4" w:space="0" w:color="auto"/>
              <w:right w:val="single" w:sz="4" w:space="0" w:color="auto"/>
            </w:tcBorders>
            <w:vAlign w:val="center"/>
            <w:hideMark/>
          </w:tcPr>
          <w:p w14:paraId="1F7D06F0" w14:textId="77777777" w:rsidR="00163DA9" w:rsidRPr="003A7EA6" w:rsidRDefault="00163DA9" w:rsidP="00607EA2">
            <w:pPr>
              <w:tabs>
                <w:tab w:val="left" w:pos="0"/>
              </w:tabs>
              <w:spacing w:before="0" w:after="0"/>
              <w:rPr>
                <w:rFonts w:ascii="Times New Roman" w:hAnsi="Times New Roman" w:cs="Times New Roman"/>
                <w:bCs/>
              </w:rPr>
            </w:pPr>
            <w:r w:rsidRPr="003A7EA6">
              <w:rPr>
                <w:rFonts w:ascii="Times New Roman" w:hAnsi="Times New Roman" w:cs="Times New Roman"/>
                <w:bCs/>
              </w:rPr>
              <w:t>Skaits</w:t>
            </w:r>
          </w:p>
        </w:tc>
        <w:tc>
          <w:tcPr>
            <w:tcW w:w="686" w:type="pct"/>
            <w:tcBorders>
              <w:top w:val="single" w:sz="4" w:space="0" w:color="auto"/>
              <w:left w:val="single" w:sz="4" w:space="0" w:color="auto"/>
              <w:bottom w:val="single" w:sz="4" w:space="0" w:color="auto"/>
              <w:right w:val="single" w:sz="4" w:space="0" w:color="auto"/>
            </w:tcBorders>
            <w:vAlign w:val="center"/>
          </w:tcPr>
          <w:p w14:paraId="1A7FDA17" w14:textId="77777777" w:rsidR="00163DA9" w:rsidRPr="003A7EA6" w:rsidRDefault="00163DA9" w:rsidP="00607EA2">
            <w:pPr>
              <w:pStyle w:val="VPBody"/>
              <w:spacing w:before="0" w:after="0"/>
              <w:jc w:val="center"/>
              <w:rPr>
                <w:sz w:val="22"/>
              </w:rPr>
            </w:pPr>
            <w:r w:rsidRPr="003A7EA6">
              <w:rPr>
                <w:sz w:val="22"/>
              </w:rPr>
              <w:t>0</w:t>
            </w:r>
          </w:p>
        </w:tc>
        <w:tc>
          <w:tcPr>
            <w:tcW w:w="855" w:type="pct"/>
            <w:tcBorders>
              <w:top w:val="single" w:sz="4" w:space="0" w:color="auto"/>
              <w:left w:val="single" w:sz="4" w:space="0" w:color="auto"/>
              <w:bottom w:val="single" w:sz="4" w:space="0" w:color="auto"/>
              <w:right w:val="single" w:sz="4" w:space="0" w:color="auto"/>
            </w:tcBorders>
            <w:vAlign w:val="center"/>
          </w:tcPr>
          <w:p w14:paraId="35DE60F9" w14:textId="77777777" w:rsidR="00163DA9" w:rsidRPr="003A7EA6" w:rsidRDefault="00163DA9" w:rsidP="00607EA2">
            <w:pPr>
              <w:pStyle w:val="VPBody"/>
              <w:spacing w:before="0" w:after="0"/>
              <w:jc w:val="center"/>
              <w:rPr>
                <w:sz w:val="22"/>
              </w:rPr>
            </w:pPr>
            <w:r w:rsidRPr="003A7EA6">
              <w:rPr>
                <w:sz w:val="22"/>
              </w:rPr>
              <w:t>1</w:t>
            </w:r>
          </w:p>
        </w:tc>
        <w:tc>
          <w:tcPr>
            <w:tcW w:w="855" w:type="pct"/>
            <w:tcBorders>
              <w:top w:val="single" w:sz="4" w:space="0" w:color="auto"/>
              <w:left w:val="single" w:sz="4" w:space="0" w:color="auto"/>
              <w:bottom w:val="single" w:sz="4" w:space="0" w:color="auto"/>
              <w:right w:val="single" w:sz="4" w:space="0" w:color="auto"/>
            </w:tcBorders>
            <w:vAlign w:val="center"/>
          </w:tcPr>
          <w:p w14:paraId="2F3B0846" w14:textId="77777777" w:rsidR="00163DA9" w:rsidRPr="003A7EA6" w:rsidRDefault="00163DA9" w:rsidP="00607EA2">
            <w:pPr>
              <w:pStyle w:val="VPBody"/>
              <w:spacing w:before="0" w:after="0"/>
              <w:jc w:val="center"/>
              <w:rPr>
                <w:sz w:val="22"/>
              </w:rPr>
            </w:pPr>
            <w:r w:rsidRPr="003A7EA6">
              <w:rPr>
                <w:sz w:val="22"/>
              </w:rPr>
              <w:t>2</w:t>
            </w:r>
          </w:p>
        </w:tc>
      </w:tr>
    </w:tbl>
    <w:p w14:paraId="17AD07D0" w14:textId="5FDA0FA4" w:rsidR="007544F0" w:rsidRDefault="00012875" w:rsidP="009261C9">
      <w:pPr>
        <w:spacing w:before="0" w:after="160" w:line="259" w:lineRule="auto"/>
        <w:rPr>
          <w:rFonts w:ascii="Times New Roman" w:eastAsia="MS Mincho" w:hAnsi="Times New Roman" w:cs="Times New Roman"/>
          <w:b/>
          <w:bCs/>
          <w:sz w:val="24"/>
          <w:szCs w:val="24"/>
        </w:rPr>
      </w:pPr>
      <w:r>
        <w:rPr>
          <w:rFonts w:ascii="Times New Roman" w:eastAsia="MS Mincho" w:hAnsi="Times New Roman" w:cs="Times New Roman"/>
          <w:b/>
          <w:bCs/>
          <w:sz w:val="24"/>
          <w:szCs w:val="24"/>
        </w:rPr>
        <w:t>Projekta iznākuma rādītāji</w:t>
      </w:r>
      <w:r w:rsidR="00FD7610">
        <w:rPr>
          <w:rStyle w:val="FootnoteReference"/>
          <w:rFonts w:ascii="Times New Roman" w:eastAsia="MS Mincho" w:hAnsi="Times New Roman" w:cs="Times New Roman"/>
          <w:b/>
          <w:bCs/>
          <w:sz w:val="24"/>
          <w:szCs w:val="24"/>
        </w:rPr>
        <w:footnoteReference w:id="2"/>
      </w:r>
      <w:r w:rsidR="00FD7610">
        <w:rPr>
          <w:rFonts w:ascii="Times New Roman" w:eastAsia="MS Mincho" w:hAnsi="Times New Roman" w:cs="Times New Roman"/>
          <w:b/>
          <w:bCs/>
          <w:sz w:val="24"/>
          <w:szCs w:val="24"/>
        </w:rPr>
        <w:t>:</w:t>
      </w:r>
    </w:p>
    <w:tbl>
      <w:tblPr>
        <w:tblStyle w:val="TableGrid"/>
        <w:tblW w:w="5000" w:type="pct"/>
        <w:tblLook w:val="04A0" w:firstRow="1" w:lastRow="0" w:firstColumn="1" w:lastColumn="0" w:noHBand="0" w:noVBand="1"/>
      </w:tblPr>
      <w:tblGrid>
        <w:gridCol w:w="383"/>
        <w:gridCol w:w="3719"/>
        <w:gridCol w:w="1304"/>
        <w:gridCol w:w="1938"/>
        <w:gridCol w:w="1717"/>
      </w:tblGrid>
      <w:tr w:rsidR="00163DA9" w:rsidRPr="003A7EA6" w14:paraId="25B832A4" w14:textId="77777777" w:rsidTr="004E239B">
        <w:tc>
          <w:tcPr>
            <w:tcW w:w="213" w:type="pct"/>
          </w:tcPr>
          <w:p w14:paraId="70D9DF62" w14:textId="77777777" w:rsidR="00163DA9" w:rsidRPr="003A7EA6" w:rsidRDefault="00163DA9" w:rsidP="00607EA2">
            <w:pPr>
              <w:tabs>
                <w:tab w:val="left" w:pos="0"/>
              </w:tabs>
              <w:spacing w:before="0" w:after="0"/>
              <w:jc w:val="both"/>
              <w:rPr>
                <w:rFonts w:ascii="Times New Roman" w:hAnsi="Times New Roman" w:cs="Times New Roman"/>
                <w:bCs/>
              </w:rPr>
            </w:pPr>
          </w:p>
        </w:tc>
        <w:tc>
          <w:tcPr>
            <w:tcW w:w="2054" w:type="pct"/>
            <w:vAlign w:val="center"/>
          </w:tcPr>
          <w:p w14:paraId="715BB8CC" w14:textId="77777777" w:rsidR="00163DA9" w:rsidRPr="003A7EA6" w:rsidRDefault="00163DA9" w:rsidP="00607EA2">
            <w:pPr>
              <w:tabs>
                <w:tab w:val="left" w:pos="0"/>
              </w:tabs>
              <w:spacing w:before="0" w:after="0"/>
              <w:jc w:val="center"/>
              <w:rPr>
                <w:rFonts w:ascii="Times New Roman" w:hAnsi="Times New Roman" w:cs="Times New Roman"/>
                <w:b/>
                <w:bCs/>
              </w:rPr>
            </w:pPr>
            <w:r w:rsidRPr="003A7EA6">
              <w:rPr>
                <w:rFonts w:ascii="Times New Roman" w:hAnsi="Times New Roman" w:cs="Times New Roman"/>
                <w:b/>
                <w:bCs/>
              </w:rPr>
              <w:t>Iznākuma rādītājs</w:t>
            </w:r>
          </w:p>
        </w:tc>
        <w:tc>
          <w:tcPr>
            <w:tcW w:w="712" w:type="pct"/>
            <w:vAlign w:val="center"/>
          </w:tcPr>
          <w:p w14:paraId="66CD503C" w14:textId="77777777" w:rsidR="00163DA9" w:rsidRPr="003A7EA6" w:rsidRDefault="00163DA9" w:rsidP="00607EA2">
            <w:pPr>
              <w:tabs>
                <w:tab w:val="left" w:pos="0"/>
              </w:tabs>
              <w:spacing w:before="0" w:after="0"/>
              <w:jc w:val="both"/>
              <w:rPr>
                <w:rFonts w:ascii="Times New Roman" w:hAnsi="Times New Roman" w:cs="Times New Roman"/>
                <w:b/>
                <w:bCs/>
              </w:rPr>
            </w:pPr>
            <w:r w:rsidRPr="003A7EA6">
              <w:rPr>
                <w:rFonts w:ascii="Times New Roman" w:hAnsi="Times New Roman" w:cs="Times New Roman"/>
                <w:b/>
                <w:bCs/>
              </w:rPr>
              <w:t>Mērvienība</w:t>
            </w:r>
          </w:p>
        </w:tc>
        <w:tc>
          <w:tcPr>
            <w:tcW w:w="1071" w:type="pct"/>
            <w:vAlign w:val="center"/>
          </w:tcPr>
          <w:p w14:paraId="6D8BFDD0" w14:textId="77777777" w:rsidR="00163DA9" w:rsidRPr="003A7EA6" w:rsidRDefault="00163DA9" w:rsidP="00607EA2">
            <w:pPr>
              <w:tabs>
                <w:tab w:val="left" w:pos="0"/>
              </w:tabs>
              <w:spacing w:before="0" w:after="0"/>
              <w:jc w:val="center"/>
              <w:rPr>
                <w:rFonts w:ascii="Times New Roman" w:hAnsi="Times New Roman" w:cs="Times New Roman"/>
                <w:b/>
                <w:bCs/>
              </w:rPr>
            </w:pPr>
            <w:proofErr w:type="spellStart"/>
            <w:r w:rsidRPr="003A7EA6">
              <w:rPr>
                <w:rFonts w:ascii="Times New Roman" w:hAnsi="Times New Roman" w:cs="Times New Roman"/>
                <w:b/>
                <w:bCs/>
              </w:rPr>
              <w:t>Starpvērtība</w:t>
            </w:r>
            <w:proofErr w:type="spellEnd"/>
            <w:r w:rsidRPr="003A7EA6">
              <w:rPr>
                <w:rFonts w:ascii="Times New Roman" w:hAnsi="Times New Roman" w:cs="Times New Roman"/>
                <w:b/>
                <w:bCs/>
              </w:rPr>
              <w:t xml:space="preserve"> (2 gadi pēc projekta sākuma)</w:t>
            </w:r>
          </w:p>
        </w:tc>
        <w:tc>
          <w:tcPr>
            <w:tcW w:w="949" w:type="pct"/>
            <w:vAlign w:val="center"/>
          </w:tcPr>
          <w:p w14:paraId="2E95039C" w14:textId="77777777" w:rsidR="00163DA9" w:rsidRPr="003A7EA6" w:rsidRDefault="00163DA9" w:rsidP="00607EA2">
            <w:pPr>
              <w:tabs>
                <w:tab w:val="left" w:pos="0"/>
              </w:tabs>
              <w:spacing w:before="0" w:after="0"/>
              <w:jc w:val="center"/>
              <w:rPr>
                <w:rFonts w:ascii="Times New Roman" w:hAnsi="Times New Roman" w:cs="Times New Roman"/>
                <w:b/>
                <w:bCs/>
              </w:rPr>
            </w:pPr>
            <w:r w:rsidRPr="003A7EA6">
              <w:rPr>
                <w:rFonts w:ascii="Times New Roman" w:hAnsi="Times New Roman" w:cs="Times New Roman"/>
                <w:b/>
                <w:bCs/>
              </w:rPr>
              <w:t>Sasniedzamā vērtība projekta beigās</w:t>
            </w:r>
          </w:p>
        </w:tc>
      </w:tr>
      <w:tr w:rsidR="00163DA9" w:rsidRPr="003A7EA6" w14:paraId="44B72E67" w14:textId="77777777" w:rsidTr="004E239B">
        <w:tc>
          <w:tcPr>
            <w:tcW w:w="213" w:type="pct"/>
          </w:tcPr>
          <w:p w14:paraId="267B958C" w14:textId="77777777" w:rsidR="00163DA9" w:rsidRPr="003A7EA6" w:rsidRDefault="00163DA9" w:rsidP="00607EA2">
            <w:pPr>
              <w:tabs>
                <w:tab w:val="left" w:pos="0"/>
              </w:tabs>
              <w:spacing w:before="0" w:after="0"/>
              <w:jc w:val="both"/>
              <w:rPr>
                <w:rFonts w:ascii="Times New Roman" w:hAnsi="Times New Roman" w:cs="Times New Roman"/>
                <w:bCs/>
              </w:rPr>
            </w:pPr>
            <w:r w:rsidRPr="003A7EA6">
              <w:rPr>
                <w:rFonts w:ascii="Times New Roman" w:hAnsi="Times New Roman" w:cs="Times New Roman"/>
                <w:bCs/>
              </w:rPr>
              <w:lastRenderedPageBreak/>
              <w:t>1.</w:t>
            </w:r>
          </w:p>
        </w:tc>
        <w:tc>
          <w:tcPr>
            <w:tcW w:w="2054" w:type="pct"/>
          </w:tcPr>
          <w:p w14:paraId="6E24D8C6" w14:textId="77777777" w:rsidR="00163DA9" w:rsidRPr="003A7EA6" w:rsidRDefault="00163DA9" w:rsidP="00607EA2">
            <w:pPr>
              <w:pStyle w:val="VPBody"/>
              <w:jc w:val="left"/>
              <w:rPr>
                <w:sz w:val="22"/>
              </w:rPr>
            </w:pPr>
            <w:r w:rsidRPr="003A7EA6">
              <w:rPr>
                <w:sz w:val="22"/>
              </w:rPr>
              <w:t>Pilnveidoti vai no jauna izstrādāti publiskās pārvaldes procesi</w:t>
            </w:r>
          </w:p>
        </w:tc>
        <w:tc>
          <w:tcPr>
            <w:tcW w:w="712" w:type="pct"/>
            <w:vAlign w:val="center"/>
          </w:tcPr>
          <w:p w14:paraId="169D179F" w14:textId="77777777" w:rsidR="00163DA9" w:rsidRPr="003A7EA6" w:rsidRDefault="00163DA9" w:rsidP="00607EA2">
            <w:pPr>
              <w:tabs>
                <w:tab w:val="left" w:pos="0"/>
              </w:tabs>
              <w:spacing w:before="0" w:after="0"/>
              <w:jc w:val="both"/>
              <w:rPr>
                <w:rFonts w:ascii="Times New Roman" w:hAnsi="Times New Roman" w:cs="Times New Roman"/>
                <w:bCs/>
              </w:rPr>
            </w:pPr>
            <w:r w:rsidRPr="003A7EA6">
              <w:rPr>
                <w:rFonts w:ascii="Times New Roman" w:hAnsi="Times New Roman" w:cs="Times New Roman"/>
                <w:bCs/>
              </w:rPr>
              <w:t>Skaits</w:t>
            </w:r>
          </w:p>
        </w:tc>
        <w:tc>
          <w:tcPr>
            <w:tcW w:w="1071" w:type="pct"/>
            <w:vAlign w:val="center"/>
          </w:tcPr>
          <w:p w14:paraId="239FF39F" w14:textId="77777777" w:rsidR="00163DA9" w:rsidRPr="003A7EA6" w:rsidRDefault="00163DA9" w:rsidP="00607EA2">
            <w:pPr>
              <w:tabs>
                <w:tab w:val="left" w:pos="0"/>
              </w:tabs>
              <w:spacing w:before="0" w:after="0"/>
              <w:jc w:val="both"/>
              <w:rPr>
                <w:rFonts w:ascii="Times New Roman" w:hAnsi="Times New Roman" w:cs="Times New Roman"/>
                <w:bCs/>
              </w:rPr>
            </w:pPr>
            <w:r w:rsidRPr="003A7EA6">
              <w:rPr>
                <w:rFonts w:ascii="Times New Roman" w:hAnsi="Times New Roman" w:cs="Times New Roman"/>
                <w:bCs/>
              </w:rPr>
              <w:t>0</w:t>
            </w:r>
          </w:p>
        </w:tc>
        <w:tc>
          <w:tcPr>
            <w:tcW w:w="949" w:type="pct"/>
            <w:vAlign w:val="center"/>
          </w:tcPr>
          <w:p w14:paraId="4A51F1D4" w14:textId="77777777" w:rsidR="00163DA9" w:rsidRPr="003A7EA6" w:rsidRDefault="00163DA9" w:rsidP="00607EA2">
            <w:pPr>
              <w:tabs>
                <w:tab w:val="left" w:pos="0"/>
              </w:tabs>
              <w:spacing w:before="0" w:after="0"/>
              <w:jc w:val="both"/>
              <w:rPr>
                <w:rFonts w:ascii="Times New Roman" w:hAnsi="Times New Roman" w:cs="Times New Roman"/>
                <w:bCs/>
              </w:rPr>
            </w:pPr>
            <w:r w:rsidRPr="00F36C4E">
              <w:rPr>
                <w:rFonts w:ascii="Times New Roman" w:hAnsi="Times New Roman" w:cs="Times New Roman"/>
                <w:bCs/>
              </w:rPr>
              <w:t>18</w:t>
            </w:r>
          </w:p>
        </w:tc>
      </w:tr>
      <w:tr w:rsidR="00163DA9" w:rsidRPr="003A7EA6" w14:paraId="5AE0C5E2" w14:textId="77777777" w:rsidTr="004E239B">
        <w:tc>
          <w:tcPr>
            <w:tcW w:w="213" w:type="pct"/>
          </w:tcPr>
          <w:p w14:paraId="427BFDD5" w14:textId="77777777" w:rsidR="00163DA9" w:rsidRPr="003A7EA6" w:rsidRDefault="00163DA9" w:rsidP="00607EA2">
            <w:pPr>
              <w:tabs>
                <w:tab w:val="left" w:pos="0"/>
              </w:tabs>
              <w:spacing w:before="0" w:after="0"/>
              <w:jc w:val="both"/>
              <w:rPr>
                <w:rFonts w:ascii="Times New Roman" w:hAnsi="Times New Roman" w:cs="Times New Roman"/>
                <w:bCs/>
              </w:rPr>
            </w:pPr>
            <w:r w:rsidRPr="003A7EA6">
              <w:rPr>
                <w:rFonts w:ascii="Times New Roman" w:hAnsi="Times New Roman" w:cs="Times New Roman"/>
                <w:bCs/>
              </w:rPr>
              <w:t>2.</w:t>
            </w:r>
          </w:p>
        </w:tc>
        <w:tc>
          <w:tcPr>
            <w:tcW w:w="2054" w:type="pct"/>
          </w:tcPr>
          <w:p w14:paraId="29C5BB1B" w14:textId="77777777" w:rsidR="00163DA9" w:rsidRPr="003A7EA6" w:rsidRDefault="00163DA9" w:rsidP="00607EA2">
            <w:pPr>
              <w:pStyle w:val="VPBody"/>
              <w:jc w:val="left"/>
              <w:rPr>
                <w:sz w:val="22"/>
              </w:rPr>
            </w:pPr>
            <w:r w:rsidRPr="003A7EA6">
              <w:rPr>
                <w:sz w:val="22"/>
              </w:rPr>
              <w:t>Publicētās atvērto datu kopas</w:t>
            </w:r>
          </w:p>
        </w:tc>
        <w:tc>
          <w:tcPr>
            <w:tcW w:w="712" w:type="pct"/>
            <w:vAlign w:val="center"/>
          </w:tcPr>
          <w:p w14:paraId="21A7D5C6" w14:textId="77777777" w:rsidR="00163DA9" w:rsidRPr="003A7EA6" w:rsidRDefault="00163DA9" w:rsidP="00607EA2">
            <w:pPr>
              <w:tabs>
                <w:tab w:val="left" w:pos="0"/>
              </w:tabs>
              <w:spacing w:before="0" w:after="0"/>
              <w:jc w:val="both"/>
              <w:rPr>
                <w:rFonts w:ascii="Times New Roman" w:hAnsi="Times New Roman" w:cs="Times New Roman"/>
                <w:bCs/>
              </w:rPr>
            </w:pPr>
            <w:r w:rsidRPr="003A7EA6">
              <w:rPr>
                <w:rFonts w:ascii="Times New Roman" w:hAnsi="Times New Roman" w:cs="Times New Roman"/>
                <w:bCs/>
              </w:rPr>
              <w:t>Skaits</w:t>
            </w:r>
          </w:p>
        </w:tc>
        <w:tc>
          <w:tcPr>
            <w:tcW w:w="1071" w:type="pct"/>
            <w:shd w:val="clear" w:color="auto" w:fill="auto"/>
            <w:vAlign w:val="center"/>
          </w:tcPr>
          <w:p w14:paraId="3EC0D409" w14:textId="77777777" w:rsidR="00163DA9" w:rsidRPr="003A7EA6" w:rsidRDefault="00163DA9" w:rsidP="00607EA2">
            <w:pPr>
              <w:tabs>
                <w:tab w:val="left" w:pos="0"/>
              </w:tabs>
              <w:spacing w:before="0" w:after="0"/>
              <w:jc w:val="both"/>
              <w:rPr>
                <w:rFonts w:ascii="Times New Roman" w:hAnsi="Times New Roman" w:cs="Times New Roman"/>
                <w:bCs/>
              </w:rPr>
            </w:pPr>
            <w:r w:rsidRPr="003A7EA6">
              <w:rPr>
                <w:rFonts w:ascii="Times New Roman" w:hAnsi="Times New Roman" w:cs="Times New Roman"/>
                <w:bCs/>
              </w:rPr>
              <w:t>0</w:t>
            </w:r>
          </w:p>
        </w:tc>
        <w:tc>
          <w:tcPr>
            <w:tcW w:w="949" w:type="pct"/>
            <w:shd w:val="clear" w:color="auto" w:fill="auto"/>
            <w:vAlign w:val="center"/>
          </w:tcPr>
          <w:p w14:paraId="06934593" w14:textId="77777777" w:rsidR="00163DA9" w:rsidRPr="003A7EA6" w:rsidRDefault="00163DA9" w:rsidP="00607EA2">
            <w:pPr>
              <w:tabs>
                <w:tab w:val="left" w:pos="0"/>
              </w:tabs>
              <w:spacing w:before="0" w:after="0"/>
              <w:jc w:val="both"/>
              <w:rPr>
                <w:rFonts w:ascii="Times New Roman" w:hAnsi="Times New Roman" w:cs="Times New Roman"/>
                <w:bCs/>
              </w:rPr>
            </w:pPr>
            <w:r w:rsidRPr="003A7EA6">
              <w:rPr>
                <w:rFonts w:ascii="Times New Roman" w:hAnsi="Times New Roman" w:cs="Times New Roman"/>
                <w:bCs/>
              </w:rPr>
              <w:t>10</w:t>
            </w:r>
          </w:p>
        </w:tc>
      </w:tr>
    </w:tbl>
    <w:p w14:paraId="3AB54467" w14:textId="7D21A46E" w:rsidR="009261C9" w:rsidRPr="009261C9" w:rsidRDefault="007544F0" w:rsidP="00B5512A">
      <w:pPr>
        <w:pStyle w:val="VPBody"/>
        <w:spacing w:before="0"/>
      </w:pPr>
      <w:r w:rsidRPr="007E0461">
        <w:t xml:space="preserve">Projekta kopējais plānotais finansējuma apjoms ir </w:t>
      </w:r>
      <w:r w:rsidR="00163DA9">
        <w:t>5 000 000</w:t>
      </w:r>
      <w:r>
        <w:t xml:space="preserve"> </w:t>
      </w:r>
      <w:proofErr w:type="spellStart"/>
      <w:r w:rsidR="00F8481A">
        <w:rPr>
          <w:i/>
        </w:rPr>
        <w:t>euro</w:t>
      </w:r>
      <w:proofErr w:type="spellEnd"/>
      <w:r w:rsidR="00163DA9">
        <w:t>, no kura</w:t>
      </w:r>
      <w:r w:rsidRPr="007E0461">
        <w:t xml:space="preserve"> </w:t>
      </w:r>
      <w:r w:rsidR="00163DA9">
        <w:t>4 250 000</w:t>
      </w:r>
      <w:r w:rsidRPr="00B5512A">
        <w:t xml:space="preserve"> </w:t>
      </w:r>
      <w:proofErr w:type="spellStart"/>
      <w:r w:rsidR="00F8481A">
        <w:rPr>
          <w:i/>
        </w:rPr>
        <w:t>euro</w:t>
      </w:r>
      <w:proofErr w:type="spellEnd"/>
      <w:r w:rsidRPr="007E0461">
        <w:t xml:space="preserve"> ir </w:t>
      </w:r>
      <w:r w:rsidR="00D547C2">
        <w:t>Eiropas reģionālās attīstības fonda (turpmāk – ERAF)</w:t>
      </w:r>
      <w:r w:rsidRPr="007E0461">
        <w:t xml:space="preserve"> finansējums (85%) un </w:t>
      </w:r>
      <w:r w:rsidR="00163DA9">
        <w:t>750 000</w:t>
      </w:r>
      <w:r>
        <w:t xml:space="preserve"> </w:t>
      </w:r>
      <w:proofErr w:type="spellStart"/>
      <w:r w:rsidR="00F8481A">
        <w:rPr>
          <w:i/>
        </w:rPr>
        <w:t>euro</w:t>
      </w:r>
      <w:proofErr w:type="spellEnd"/>
      <w:r w:rsidRPr="007E0461">
        <w:t xml:space="preserve"> ir valsts budžeta līdzfinansējums (15%). Projektu plānots īstenot 36 mēnešu laikā no līguma vai vienošanās par projekta īstenošanu noslēgšanas.</w:t>
      </w:r>
      <w:r w:rsidRPr="007E0461">
        <w:cr/>
      </w:r>
    </w:p>
    <w:p w14:paraId="5E619465" w14:textId="510D695F" w:rsidR="00B5512A" w:rsidRPr="00012875" w:rsidRDefault="00B5512A" w:rsidP="00B5512A">
      <w:pPr>
        <w:pStyle w:val="VPBullet"/>
        <w:numPr>
          <w:ilvl w:val="0"/>
          <w:numId w:val="0"/>
        </w:numPr>
        <w:rPr>
          <w:rFonts w:eastAsia="MS Mincho"/>
          <w:b/>
          <w:szCs w:val="24"/>
        </w:rPr>
      </w:pPr>
      <w:r w:rsidRPr="00012875">
        <w:rPr>
          <w:rFonts w:eastAsia="MS Mincho"/>
          <w:b/>
          <w:szCs w:val="24"/>
        </w:rPr>
        <w:t xml:space="preserve">Saistība ar iepriekšējā plānošanas perioda projektiem, projekta lietderība un ieguldījums </w:t>
      </w:r>
      <w:r w:rsidR="00D547C2">
        <w:rPr>
          <w:rFonts w:eastAsia="MS Mincho"/>
          <w:b/>
          <w:szCs w:val="24"/>
        </w:rPr>
        <w:t>specifiskā atbalsta mērķa (turpmāk – SAM)</w:t>
      </w:r>
      <w:r w:rsidRPr="00012875">
        <w:rPr>
          <w:rFonts w:eastAsia="MS Mincho"/>
          <w:b/>
          <w:szCs w:val="24"/>
        </w:rPr>
        <w:t xml:space="preserve"> rezultāta rādītā</w:t>
      </w:r>
      <w:r w:rsidR="00012875">
        <w:rPr>
          <w:rFonts w:eastAsia="MS Mincho"/>
          <w:b/>
          <w:szCs w:val="24"/>
        </w:rPr>
        <w:t>jos</w:t>
      </w:r>
    </w:p>
    <w:p w14:paraId="74D96FBE" w14:textId="77777777" w:rsidR="001357D4" w:rsidRDefault="001357D4" w:rsidP="009261C9">
      <w:pPr>
        <w:spacing w:before="0" w:after="0"/>
        <w:jc w:val="both"/>
        <w:rPr>
          <w:rFonts w:ascii="Times New Roman" w:hAnsi="Times New Roman" w:cs="Times New Roman"/>
          <w:color w:val="000000"/>
          <w:sz w:val="24"/>
          <w:szCs w:val="24"/>
        </w:rPr>
      </w:pPr>
      <w:r w:rsidRPr="00582531">
        <w:rPr>
          <w:rFonts w:ascii="Times New Roman" w:hAnsi="Times New Roman" w:cs="Times New Roman"/>
          <w:sz w:val="24"/>
          <w:szCs w:val="24"/>
        </w:rPr>
        <w:t>Projekts saistīts ar pagājušajā plānošanas periodā īstenoto darbības programmas "Infrastruktūra un pakalpojumi" papildinājuma 3.2.2.1.1.apakšaktivitātes „Informācijas sistēmu un elektronisko pakalpojumu attīstība” Dienesta realizētajiem projektiem „Elektroniska apmeklējumu rezervēšanas izveide (e-</w:t>
      </w:r>
      <w:proofErr w:type="spellStart"/>
      <w:r w:rsidRPr="00582531">
        <w:rPr>
          <w:rFonts w:ascii="Times New Roman" w:hAnsi="Times New Roman" w:cs="Times New Roman"/>
          <w:sz w:val="24"/>
          <w:szCs w:val="24"/>
        </w:rPr>
        <w:t>booking</w:t>
      </w:r>
      <w:proofErr w:type="spellEnd"/>
      <w:r w:rsidRPr="00582531">
        <w:rPr>
          <w:rFonts w:ascii="Times New Roman" w:hAnsi="Times New Roman" w:cs="Times New Roman"/>
          <w:sz w:val="24"/>
          <w:szCs w:val="24"/>
        </w:rPr>
        <w:t>), veselības aprūpes darba plūsmu elektronizēšana (e-</w:t>
      </w:r>
      <w:proofErr w:type="spellStart"/>
      <w:r w:rsidRPr="00582531">
        <w:rPr>
          <w:rFonts w:ascii="Times New Roman" w:hAnsi="Times New Roman" w:cs="Times New Roman"/>
          <w:sz w:val="24"/>
          <w:szCs w:val="24"/>
        </w:rPr>
        <w:t>referrals</w:t>
      </w:r>
      <w:proofErr w:type="spellEnd"/>
      <w:r w:rsidRPr="00582531">
        <w:rPr>
          <w:rFonts w:ascii="Times New Roman" w:hAnsi="Times New Roman" w:cs="Times New Roman"/>
          <w:sz w:val="24"/>
          <w:szCs w:val="24"/>
        </w:rPr>
        <w:t>) - 1.posms, sabiedrības veselības portāla izveide, informācijas drošības un personas datu aizsardzības nodrošināšana” (vienošanās ID.Nr.3DP/</w:t>
      </w:r>
      <w:r>
        <w:rPr>
          <w:rFonts w:ascii="Times New Roman" w:hAnsi="Times New Roman" w:cs="Times New Roman"/>
          <w:sz w:val="24"/>
          <w:szCs w:val="24"/>
        </w:rPr>
        <w:t xml:space="preserve">3.2.2.1.1./09/IPIA/IUMEPLS/015), </w:t>
      </w:r>
      <w:r w:rsidRPr="00582531">
        <w:rPr>
          <w:rFonts w:ascii="Times New Roman" w:hAnsi="Times New Roman" w:cs="Times New Roman"/>
          <w:sz w:val="24"/>
          <w:szCs w:val="24"/>
        </w:rPr>
        <w:t>„Elektroniskās veselības kartes un integrācijas platformas informācijas sistēmas izveide, 1.posms” (vienošanās ID.Nr.3DP</w:t>
      </w:r>
      <w:r>
        <w:rPr>
          <w:rFonts w:ascii="Times New Roman" w:hAnsi="Times New Roman" w:cs="Times New Roman"/>
          <w:sz w:val="24"/>
          <w:szCs w:val="24"/>
        </w:rPr>
        <w:t xml:space="preserve">/3.2.2.1.1/09/IPIA/IUMEPLS/019), </w:t>
      </w:r>
      <w:r w:rsidRPr="00582531">
        <w:rPr>
          <w:rFonts w:ascii="Times New Roman" w:hAnsi="Times New Roman" w:cs="Times New Roman"/>
          <w:sz w:val="24"/>
          <w:szCs w:val="24"/>
        </w:rPr>
        <w:t>„Elektronisko recepšu informācijas sistēmas izveides pirmais posms” (vienošanās ID.Nr.3DP</w:t>
      </w:r>
      <w:r>
        <w:rPr>
          <w:rFonts w:ascii="Times New Roman" w:hAnsi="Times New Roman" w:cs="Times New Roman"/>
          <w:sz w:val="24"/>
          <w:szCs w:val="24"/>
        </w:rPr>
        <w:t xml:space="preserve">/3.2.2.1.1/09/IPIA/IUMEPLS/003), </w:t>
      </w:r>
      <w:r w:rsidRPr="00582531">
        <w:rPr>
          <w:rFonts w:ascii="Times New Roman" w:hAnsi="Times New Roman" w:cs="Times New Roman"/>
          <w:color w:val="000000"/>
          <w:sz w:val="24"/>
          <w:szCs w:val="24"/>
        </w:rPr>
        <w:t>„E-veselības integrētās informācijas sistēmas attīstība” (vienošanās ID.Nr.3DP/3.2.2.1.1/13/IPIA/CFLA/008).</w:t>
      </w:r>
      <w:r>
        <w:rPr>
          <w:rFonts w:ascii="Times New Roman" w:hAnsi="Times New Roman" w:cs="Times New Roman"/>
          <w:color w:val="000000"/>
          <w:sz w:val="24"/>
          <w:szCs w:val="24"/>
        </w:rPr>
        <w:t xml:space="preserve"> Visa augstāk minētajos projektos izstrādātā funkcionalitāte (kuras pieņemšanu apstiprina Dienesta parakstītie pieņemšanas – nodošanas akti ar izstrādātājiem) ir pieejama un darbojas produkcijas vidē, kā arī Dienests nodrošinās izstrādātās funkcionalitātes pieejamību produkcijas vidē arī turpmāk:</w:t>
      </w:r>
    </w:p>
    <w:tbl>
      <w:tblPr>
        <w:tblW w:w="8732" w:type="dxa"/>
        <w:tblCellMar>
          <w:left w:w="0" w:type="dxa"/>
          <w:right w:w="0" w:type="dxa"/>
        </w:tblCellMar>
        <w:tblLook w:val="0420" w:firstRow="1" w:lastRow="0" w:firstColumn="0" w:lastColumn="0" w:noHBand="0" w:noVBand="1"/>
      </w:tblPr>
      <w:tblGrid>
        <w:gridCol w:w="8732"/>
      </w:tblGrid>
      <w:tr w:rsidR="001357D4" w:rsidRPr="00916304" w14:paraId="352CBCD2" w14:textId="77777777" w:rsidTr="004E239B">
        <w:trPr>
          <w:trHeight w:val="109"/>
        </w:trPr>
        <w:tc>
          <w:tcPr>
            <w:tcW w:w="8732" w:type="dxa"/>
            <w:tcBorders>
              <w:top w:val="single" w:sz="24"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4A0BAD7"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Darbnespējas lapas (t.sk. datu apmaiņa ar VID un VSAA)</w:t>
            </w:r>
          </w:p>
        </w:tc>
      </w:tr>
      <w:tr w:rsidR="001357D4" w:rsidRPr="00916304" w14:paraId="19CA4396" w14:textId="77777777" w:rsidTr="004E239B">
        <w:trPr>
          <w:trHeight w:val="108"/>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054A1A7"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Receptes (t.sk. ārsta, farmaceita darba vieta)</w:t>
            </w:r>
          </w:p>
        </w:tc>
      </w:tr>
      <w:tr w:rsidR="001357D4" w:rsidRPr="00916304" w14:paraId="3F93D3C6" w14:textId="77777777" w:rsidTr="004E239B">
        <w:trPr>
          <w:trHeight w:val="240"/>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F8F82A4"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Nosūtījumi un rezultāti</w:t>
            </w:r>
          </w:p>
        </w:tc>
      </w:tr>
      <w:tr w:rsidR="001357D4" w:rsidRPr="00916304" w14:paraId="4609BE07"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530390F"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Vizuālās diagnostikas datu apmaiņas modulis</w:t>
            </w:r>
          </w:p>
        </w:tc>
      </w:tr>
      <w:tr w:rsidR="001357D4" w:rsidRPr="00916304" w14:paraId="725A64B3"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7ECBFA9D"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Elektronisko līgumu slēgšanas modulis</w:t>
            </w:r>
          </w:p>
        </w:tc>
      </w:tr>
      <w:tr w:rsidR="001357D4" w:rsidRPr="00916304" w14:paraId="003EF01E"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0D6170C"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8" w:history="1">
              <w:r w:rsidRPr="00916304">
                <w:rPr>
                  <w:rStyle w:val="Hyperlink"/>
                  <w:szCs w:val="24"/>
                </w:rPr>
                <w:t>www.latvija.lv</w:t>
              </w:r>
            </w:hyperlink>
            <w:r w:rsidRPr="00916304">
              <w:rPr>
                <w:color w:val="000000"/>
                <w:szCs w:val="24"/>
              </w:rPr>
              <w:t xml:space="preserve"> "Saņemtās Darbnespējas lapas”</w:t>
            </w:r>
          </w:p>
        </w:tc>
      </w:tr>
      <w:tr w:rsidR="001357D4" w:rsidRPr="00916304" w14:paraId="3885D5D9"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98E70B0"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Funkcionalitāte un E-pakalpojums </w:t>
            </w:r>
            <w:hyperlink r:id="rId9" w:history="1">
              <w:r w:rsidRPr="00916304">
                <w:rPr>
                  <w:rStyle w:val="Hyperlink"/>
                  <w:szCs w:val="24"/>
                </w:rPr>
                <w:t>www.latvija.lv</w:t>
              </w:r>
            </w:hyperlink>
            <w:r w:rsidRPr="00916304">
              <w:rPr>
                <w:color w:val="000000"/>
                <w:szCs w:val="24"/>
              </w:rPr>
              <w:t xml:space="preserve">  „Reģistrēties pie ģimenes ārsta”</w:t>
            </w:r>
          </w:p>
        </w:tc>
      </w:tr>
      <w:tr w:rsidR="001357D4" w:rsidRPr="00916304" w14:paraId="5007895C"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169B9BF"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10" w:history="1">
              <w:r w:rsidRPr="00916304">
                <w:rPr>
                  <w:rStyle w:val="Hyperlink"/>
                  <w:szCs w:val="24"/>
                </w:rPr>
                <w:t>www.latvija.lv</w:t>
              </w:r>
            </w:hyperlink>
            <w:r w:rsidRPr="00916304">
              <w:rPr>
                <w:color w:val="000000"/>
                <w:szCs w:val="24"/>
              </w:rPr>
              <w:t xml:space="preserve">  „Manas e-receptes”</w:t>
            </w:r>
          </w:p>
        </w:tc>
      </w:tr>
      <w:tr w:rsidR="001357D4" w:rsidRPr="00916304" w14:paraId="076FB3AD"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C2D785F"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11" w:history="1">
              <w:r w:rsidRPr="00916304">
                <w:rPr>
                  <w:rStyle w:val="Hyperlink"/>
                  <w:szCs w:val="24"/>
                </w:rPr>
                <w:t>www.latvija.lv</w:t>
              </w:r>
            </w:hyperlink>
            <w:r w:rsidRPr="00916304">
              <w:rPr>
                <w:color w:val="000000"/>
                <w:szCs w:val="24"/>
              </w:rPr>
              <w:t xml:space="preserve">  „Pacienta medicīnas pamatdati”</w:t>
            </w:r>
          </w:p>
        </w:tc>
      </w:tr>
      <w:tr w:rsidR="001357D4" w:rsidRPr="00916304" w14:paraId="0CEA41C7"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634C9B2F"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12" w:history="1">
              <w:r w:rsidRPr="00916304">
                <w:rPr>
                  <w:rStyle w:val="Hyperlink"/>
                  <w:szCs w:val="24"/>
                </w:rPr>
                <w:t>www.latvija.lv</w:t>
              </w:r>
            </w:hyperlink>
            <w:r w:rsidRPr="00916304">
              <w:rPr>
                <w:color w:val="000000"/>
                <w:szCs w:val="24"/>
              </w:rPr>
              <w:t xml:space="preserve">  „Pacientam noteiktās diagnozes”</w:t>
            </w:r>
          </w:p>
        </w:tc>
      </w:tr>
      <w:tr w:rsidR="001357D4" w:rsidRPr="00916304" w14:paraId="6083975F"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1EA31C2"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13" w:history="1">
              <w:r w:rsidRPr="00916304">
                <w:rPr>
                  <w:rStyle w:val="Hyperlink"/>
                  <w:szCs w:val="24"/>
                </w:rPr>
                <w:t>www.latvija.lv</w:t>
              </w:r>
            </w:hyperlink>
            <w:r w:rsidRPr="00916304">
              <w:rPr>
                <w:color w:val="000000"/>
                <w:szCs w:val="24"/>
              </w:rPr>
              <w:t xml:space="preserve"> „Atgādinājumi pacientam”</w:t>
            </w:r>
          </w:p>
        </w:tc>
      </w:tr>
      <w:tr w:rsidR="001357D4" w:rsidRPr="00916304" w14:paraId="12E77A01"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35304AF"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14" w:history="1">
              <w:r w:rsidRPr="00916304">
                <w:rPr>
                  <w:rStyle w:val="Hyperlink"/>
                  <w:szCs w:val="24"/>
                </w:rPr>
                <w:t>www.latvija.lv</w:t>
              </w:r>
            </w:hyperlink>
            <w:r w:rsidRPr="00916304">
              <w:rPr>
                <w:color w:val="000000"/>
                <w:szCs w:val="24"/>
              </w:rPr>
              <w:t xml:space="preserve">  „Noteikt piekļuvi ārstiem maniem medicīnas datiem”</w:t>
            </w:r>
          </w:p>
        </w:tc>
      </w:tr>
      <w:tr w:rsidR="001357D4" w:rsidRPr="00916304" w14:paraId="1B7116AD"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5403654"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15" w:history="1">
              <w:r w:rsidRPr="00916304">
                <w:rPr>
                  <w:rStyle w:val="Hyperlink"/>
                  <w:szCs w:val="24"/>
                </w:rPr>
                <w:t>www.latvija.lv</w:t>
              </w:r>
            </w:hyperlink>
            <w:r w:rsidRPr="00916304">
              <w:rPr>
                <w:color w:val="000000"/>
                <w:szCs w:val="24"/>
              </w:rPr>
              <w:t xml:space="preserve">  „Kas skatījies manus medicīnas datus” </w:t>
            </w:r>
          </w:p>
        </w:tc>
      </w:tr>
      <w:tr w:rsidR="001357D4" w:rsidRPr="00916304" w14:paraId="269EEB30"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C7F9C60"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16" w:history="1">
              <w:r w:rsidRPr="00916304">
                <w:rPr>
                  <w:rStyle w:val="Hyperlink"/>
                  <w:szCs w:val="24"/>
                </w:rPr>
                <w:t>www.latvija.lv</w:t>
              </w:r>
            </w:hyperlink>
            <w:r w:rsidRPr="00916304">
              <w:rPr>
                <w:color w:val="000000"/>
                <w:szCs w:val="24"/>
              </w:rPr>
              <w:t xml:space="preserve">  „Saņemtie nosūtījumi”</w:t>
            </w:r>
          </w:p>
        </w:tc>
      </w:tr>
      <w:tr w:rsidR="001357D4" w:rsidRPr="00916304" w14:paraId="650505F3"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39B161E3"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17" w:history="1">
              <w:r w:rsidRPr="00916304">
                <w:rPr>
                  <w:rStyle w:val="Hyperlink"/>
                  <w:szCs w:val="24"/>
                </w:rPr>
                <w:t>www.latvija.lv</w:t>
              </w:r>
            </w:hyperlink>
            <w:r w:rsidRPr="00916304">
              <w:rPr>
                <w:color w:val="000000"/>
                <w:szCs w:val="24"/>
              </w:rPr>
              <w:t xml:space="preserve">  „Pacienta saņemto medicīnas pakalpojumu rezultāti”</w:t>
            </w:r>
          </w:p>
        </w:tc>
      </w:tr>
      <w:tr w:rsidR="001357D4" w:rsidRPr="00916304" w14:paraId="0CCDB048"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0CC215DE"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18" w:history="1">
              <w:r w:rsidRPr="00916304">
                <w:rPr>
                  <w:rStyle w:val="Hyperlink"/>
                  <w:szCs w:val="24"/>
                </w:rPr>
                <w:t>www.latvija.lv</w:t>
              </w:r>
            </w:hyperlink>
            <w:r w:rsidRPr="00916304">
              <w:rPr>
                <w:color w:val="000000"/>
                <w:szCs w:val="24"/>
              </w:rPr>
              <w:t xml:space="preserve"> "Mani vizuālās diagnostikas dati"</w:t>
            </w:r>
          </w:p>
        </w:tc>
      </w:tr>
      <w:tr w:rsidR="001357D4" w:rsidRPr="00916304" w14:paraId="272C3737"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9F06A56"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lastRenderedPageBreak/>
              <w:t xml:space="preserve">Funkcionalitāte un E-pakalpojums </w:t>
            </w:r>
            <w:hyperlink r:id="rId19" w:history="1">
              <w:r w:rsidRPr="00916304">
                <w:rPr>
                  <w:rStyle w:val="Hyperlink"/>
                  <w:szCs w:val="24"/>
                </w:rPr>
                <w:t>www.latvija.lv</w:t>
              </w:r>
            </w:hyperlink>
            <w:r w:rsidRPr="00916304">
              <w:rPr>
                <w:color w:val="000000"/>
                <w:szCs w:val="24"/>
              </w:rPr>
              <w:t xml:space="preserve"> „Pieteikt Eiropas veselības apdrošināšanas karti (EVAK)”</w:t>
            </w:r>
          </w:p>
        </w:tc>
      </w:tr>
      <w:tr w:rsidR="001357D4" w:rsidRPr="00916304" w14:paraId="00EE26D9"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64F07E1"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Pierakstu funkcionalitāte un E-pakalpojums </w:t>
            </w:r>
            <w:hyperlink r:id="rId20" w:history="1">
              <w:r w:rsidRPr="00916304">
                <w:rPr>
                  <w:rStyle w:val="Hyperlink"/>
                  <w:szCs w:val="24"/>
                </w:rPr>
                <w:t>www.latvija.lv</w:t>
              </w:r>
            </w:hyperlink>
            <w:r w:rsidRPr="00916304">
              <w:rPr>
                <w:color w:val="000000"/>
                <w:szCs w:val="24"/>
              </w:rPr>
              <w:t xml:space="preserve">  „Veiktie pieraksti uz medicīnas pakalpojumiem”</w:t>
            </w:r>
          </w:p>
        </w:tc>
      </w:tr>
      <w:tr w:rsidR="001357D4" w:rsidRPr="00916304" w14:paraId="15FCEC1A"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4B54F9B8"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21" w:history="1">
              <w:r w:rsidRPr="00916304">
                <w:rPr>
                  <w:rStyle w:val="Hyperlink"/>
                  <w:szCs w:val="24"/>
                </w:rPr>
                <w:t>www.latvija.lv</w:t>
              </w:r>
            </w:hyperlink>
            <w:r w:rsidRPr="00916304">
              <w:rPr>
                <w:color w:val="000000"/>
                <w:szCs w:val="24"/>
              </w:rPr>
              <w:t xml:space="preserve"> „Pacientam veiktie izmeklējumi”</w:t>
            </w:r>
          </w:p>
        </w:tc>
      </w:tr>
      <w:tr w:rsidR="001357D4" w:rsidRPr="00916304" w14:paraId="7A843D4A"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2FA61BC"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E-pakalpojums </w:t>
            </w:r>
            <w:hyperlink r:id="rId22" w:history="1">
              <w:r w:rsidRPr="00916304">
                <w:rPr>
                  <w:rStyle w:val="Hyperlink"/>
                  <w:szCs w:val="24"/>
                </w:rPr>
                <w:t>www.latvija.lv</w:t>
              </w:r>
            </w:hyperlink>
            <w:r w:rsidRPr="00916304">
              <w:rPr>
                <w:color w:val="000000"/>
                <w:szCs w:val="24"/>
              </w:rPr>
              <w:t xml:space="preserve">  „Medicīnas pakalpojumu izmaksas”</w:t>
            </w:r>
          </w:p>
        </w:tc>
      </w:tr>
      <w:tr w:rsidR="001357D4" w:rsidRPr="00916304" w14:paraId="59E6D6E2"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3E303179"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 xml:space="preserve">Funkcionalitāte un E-pakalpojums </w:t>
            </w:r>
            <w:hyperlink r:id="rId23" w:history="1">
              <w:r w:rsidRPr="00916304">
                <w:rPr>
                  <w:rStyle w:val="Hyperlink"/>
                  <w:szCs w:val="24"/>
                </w:rPr>
                <w:t>www.latvija.lv</w:t>
              </w:r>
            </w:hyperlink>
            <w:r w:rsidRPr="00916304">
              <w:rPr>
                <w:color w:val="000000"/>
                <w:szCs w:val="24"/>
              </w:rPr>
              <w:t xml:space="preserve"> „Saņemt e-konsultāciju no ģimenes ārsta”</w:t>
            </w:r>
          </w:p>
        </w:tc>
      </w:tr>
      <w:tr w:rsidR="001357D4" w:rsidRPr="00916304" w14:paraId="1630947E"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07CE7379"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Ar noteiktām slimībām slimojošu pacientu vienotās informācijas sistēma (PREDA)</w:t>
            </w:r>
          </w:p>
        </w:tc>
      </w:tr>
      <w:tr w:rsidR="001357D4" w:rsidRPr="00916304" w14:paraId="5E267A9D"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60BD6DB4"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Lietotāju aizdomīgo darbību uzraudzības modulis</w:t>
            </w:r>
          </w:p>
        </w:tc>
      </w:tr>
      <w:tr w:rsidR="001357D4" w:rsidRPr="00916304" w14:paraId="3BBB8135"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tcPr>
          <w:p w14:paraId="053ACC47"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INSPIRE modulis</w:t>
            </w:r>
          </w:p>
        </w:tc>
      </w:tr>
      <w:tr w:rsidR="001357D4" w:rsidRPr="00916304" w14:paraId="18BFEEB7"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235897B0"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Vakcinācijas modulis</w:t>
            </w:r>
          </w:p>
        </w:tc>
      </w:tr>
      <w:tr w:rsidR="001357D4" w:rsidRPr="00916304" w14:paraId="23BAA7AA"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1635A9AA"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Nozares statistikas informācijas sistēma</w:t>
            </w:r>
          </w:p>
        </w:tc>
      </w:tr>
      <w:tr w:rsidR="001357D4" w:rsidRPr="00916304" w14:paraId="1AB5F6B7"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4ABEF47B"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Elektroniskā veselības karte</w:t>
            </w:r>
          </w:p>
        </w:tc>
      </w:tr>
      <w:tr w:rsidR="001357D4" w:rsidRPr="00916304" w14:paraId="49AC7137" w14:textId="77777777" w:rsidTr="004E239B">
        <w:trPr>
          <w:trHeight w:val="219"/>
        </w:trPr>
        <w:tc>
          <w:tcPr>
            <w:tcW w:w="8732" w:type="dxa"/>
            <w:tcBorders>
              <w:top w:val="single" w:sz="8" w:space="0" w:color="FFFFFF"/>
              <w:left w:val="single" w:sz="8" w:space="0" w:color="FFFFFF"/>
              <w:bottom w:val="single" w:sz="8" w:space="0" w:color="FFFFFF"/>
              <w:right w:val="single" w:sz="8" w:space="0" w:color="FFFFFF"/>
            </w:tcBorders>
            <w:shd w:val="clear" w:color="auto" w:fill="auto"/>
            <w:tcMar>
              <w:top w:w="72" w:type="dxa"/>
              <w:left w:w="144" w:type="dxa"/>
              <w:bottom w:w="72" w:type="dxa"/>
              <w:right w:w="144" w:type="dxa"/>
            </w:tcMar>
            <w:hideMark/>
          </w:tcPr>
          <w:p w14:paraId="51C690C3" w14:textId="77777777" w:rsidR="001357D4" w:rsidRPr="00916304" w:rsidRDefault="001357D4" w:rsidP="009261C9">
            <w:pPr>
              <w:pStyle w:val="ListParagraph"/>
              <w:numPr>
                <w:ilvl w:val="0"/>
                <w:numId w:val="13"/>
              </w:numPr>
              <w:jc w:val="both"/>
              <w:rPr>
                <w:color w:val="000000"/>
                <w:szCs w:val="24"/>
              </w:rPr>
            </w:pPr>
            <w:r w:rsidRPr="00916304">
              <w:rPr>
                <w:color w:val="000000"/>
                <w:szCs w:val="24"/>
              </w:rPr>
              <w:t>Integrācijas platforma (t.sk. lietotāju pārvaldība, klasifikatoru reģistrs</w:t>
            </w:r>
            <w:r>
              <w:rPr>
                <w:color w:val="000000"/>
                <w:szCs w:val="24"/>
              </w:rPr>
              <w:t>, apziņošana, autorizācija un autentifikācija</w:t>
            </w:r>
            <w:r w:rsidRPr="00916304">
              <w:rPr>
                <w:color w:val="000000"/>
                <w:szCs w:val="24"/>
              </w:rPr>
              <w:t xml:space="preserve"> </w:t>
            </w:r>
            <w:proofErr w:type="spellStart"/>
            <w:r w:rsidRPr="00916304">
              <w:rPr>
                <w:color w:val="000000"/>
                <w:szCs w:val="24"/>
              </w:rPr>
              <w:t>u.c</w:t>
            </w:r>
            <w:proofErr w:type="spellEnd"/>
            <w:r w:rsidRPr="00916304">
              <w:rPr>
                <w:color w:val="000000"/>
                <w:szCs w:val="24"/>
              </w:rPr>
              <w:t>)</w:t>
            </w:r>
          </w:p>
        </w:tc>
      </w:tr>
    </w:tbl>
    <w:p w14:paraId="0A36BC49" w14:textId="77777777" w:rsidR="001357D4" w:rsidRDefault="001357D4" w:rsidP="001357D4">
      <w:pPr>
        <w:spacing w:before="0" w:after="0"/>
        <w:jc w:val="both"/>
        <w:rPr>
          <w:rFonts w:ascii="Times New Roman" w:hAnsi="Times New Roman" w:cs="Times New Roman"/>
          <w:color w:val="000000"/>
          <w:sz w:val="24"/>
          <w:szCs w:val="24"/>
        </w:rPr>
      </w:pPr>
      <w:r>
        <w:rPr>
          <w:rFonts w:ascii="Times New Roman" w:hAnsi="Times New Roman" w:cs="Times New Roman"/>
          <w:color w:val="000000"/>
          <w:sz w:val="24"/>
          <w:szCs w:val="24"/>
        </w:rPr>
        <w:t>Projekta ietvaros plānots gan izstrādāt jaunus procesus, gan veikt esošo procesu pilnveidi, atbilstoši konkrēto funkcionalitāšu attīstības virzieniem, kas identificēti kopā ar sadarbības partneriem un ieinteresētajām pusēm, veicot intervijas projekta apraksta sagatavošanas gaitā.</w:t>
      </w:r>
    </w:p>
    <w:p w14:paraId="70E1E068" w14:textId="77777777" w:rsidR="001357D4" w:rsidRDefault="001357D4" w:rsidP="001357D4">
      <w:pPr>
        <w:pStyle w:val="VPBody"/>
      </w:pPr>
      <w:r w:rsidRPr="003A7EA6">
        <w:t xml:space="preserve">Projekta ietvaros paredzēts attīstīt esošo E-veselības sistēmu, pilnveidojot informācijas komunikāciju tehnoloģiju (IKT) atbalstu veselības nozares procesu veikšanai un ar tiem saistītajiem ārstniecības publiskajiem pakalpojumiem. </w:t>
      </w:r>
    </w:p>
    <w:p w14:paraId="246AF636" w14:textId="77777777" w:rsidR="001357D4" w:rsidRDefault="001357D4" w:rsidP="001357D4">
      <w:pPr>
        <w:pStyle w:val="VPBody"/>
      </w:pPr>
      <w:r>
        <w:t>Papildus iepriekšējā plānošanas periodā veiktajiem darbiem, Dienests budžeta līdzekļu ietvaros veic sistēmas uzlabojumu pieprasījumu realizāciju, kurus iniciē gan sistēmas lietotāji, gan sadarbības partneri, gan dažādas darba grupas, gan normatīvajos aktos plānotās izmaiņas, gan Dienests kā sistēmas pārzinis. Projekta apjomā iekļautajos procesos līdz var tikt veiktas izmaiņas, atbilstoši konkrētā darba pasūtīšanas brīdī jau no budžeta finansēto uzlabojumu ieviešanas gaitai (statusam).</w:t>
      </w:r>
    </w:p>
    <w:p w14:paraId="367435FB" w14:textId="42ABC3B2" w:rsidR="001357D4" w:rsidRDefault="001357D4" w:rsidP="001357D4">
      <w:pPr>
        <w:pStyle w:val="VPBody"/>
      </w:pPr>
      <w:r>
        <w:t xml:space="preserve">Projektā ir paredzētas arī integrāciju attīstības un līdzīgi kā iepriekšējā plānošanas periodā, arī šajā, integrācijas darbus ārstniecības iestāžu izmantoto informācijas sistēmu </w:t>
      </w:r>
      <w:r w:rsidR="00A503B7">
        <w:t>vai</w:t>
      </w:r>
      <w:r>
        <w:t xml:space="preserve"> programmu un aptieku informācijas sistēmu </w:t>
      </w:r>
      <w:r w:rsidR="00A503B7">
        <w:t>vai</w:t>
      </w:r>
      <w:r>
        <w:t xml:space="preserve"> programmu pusē, Dienests nefinansēs, bet nodrošinās tikai tehnisko atbalstu integrācijas nodrošināšanai (piemēri servisu izsaukumiem, dokumentācija), kā arī piedalīsies integrāciju testēšanā, lai pārliecinātos par veiksmīgu datu apmaiņu starp iesaistītajām sistēmām.</w:t>
      </w:r>
    </w:p>
    <w:p w14:paraId="2347B926" w14:textId="7893A324" w:rsidR="001357D4" w:rsidRDefault="001357D4" w:rsidP="001357D4">
      <w:pPr>
        <w:pStyle w:val="VPBody"/>
      </w:pPr>
      <w:r>
        <w:t xml:space="preserve">Projekta ietvaros plānots turpināt veikt dažādu datu apmaiņu izstrādi sistēmas darbības nodrošināšanai, tādējādi katrā datu apmaiņas izstrādes gadījumā, analīzes fāzē tiks vērtēta vajadzība </w:t>
      </w:r>
      <w:r w:rsidR="00A503B7">
        <w:t>un</w:t>
      </w:r>
      <w:r>
        <w:t xml:space="preserve"> nepieciešamība datu apmaiņu organizēt, izmantojot Valsts reģionālās attīstības aģentūras infrastruktūru, tādējādi nepieciešamības gadījumā, nodrošinot datu </w:t>
      </w:r>
      <w:proofErr w:type="spellStart"/>
      <w:r>
        <w:t>atkalizmantošanu</w:t>
      </w:r>
      <w:proofErr w:type="spellEnd"/>
      <w:r>
        <w:t xml:space="preserve">. </w:t>
      </w:r>
    </w:p>
    <w:p w14:paraId="1196ADEA" w14:textId="77777777" w:rsidR="001357D4" w:rsidRDefault="001357D4" w:rsidP="001357D4">
      <w:pPr>
        <w:pStyle w:val="VPBody"/>
      </w:pPr>
      <w:r>
        <w:t xml:space="preserve">Sadarbība ar Veselības ministriju, normatīvo aktu izstrādes nodrošināšanā tiks organizēta atbilstoši Dienesta un Veselības ministrijas sadarbības modelim – Dienests iniciē nepieciešamos grozījumus konkrētos normatīvajos aktos un Veselības ministrija nodrošina </w:t>
      </w:r>
      <w:r>
        <w:lastRenderedPageBreak/>
        <w:t>procedūras ievērošanu normatīvo aktu pieņemšanai. Normatīvie akti, kas nepieciešami Projekta darbības nodrošināšanai, tiks apstiprināti Projekta realizācijas laikā.</w:t>
      </w:r>
    </w:p>
    <w:p w14:paraId="5C9AABF1" w14:textId="77777777" w:rsidR="001357D4" w:rsidRPr="00064684" w:rsidRDefault="001357D4" w:rsidP="001357D4">
      <w:pPr>
        <w:pStyle w:val="VPBody"/>
      </w:pPr>
      <w:r>
        <w:t xml:space="preserve">Lai uzlabotu Projekta pārvaldību, jau Projekta apraksta sagatavošanas laikā tika nodrošināta visu ieinteresēto pušu dalība un informēšana par norisēm, kā arī Projekta īstenošanas laikā (t.sk. specifikāciju izstrādes posmā) tiks nodrošināta visu sadarbības partneru un ieinteresēto pušu regulāra iesaiste, tādējādi jau no Projekta pirmsākumiem tiek nodrošināta aktīva un </w:t>
      </w:r>
      <w:proofErr w:type="spellStart"/>
      <w:r>
        <w:t>proaktīva</w:t>
      </w:r>
      <w:proofErr w:type="spellEnd"/>
      <w:r>
        <w:t xml:space="preserve"> komunikācija ar iesaistītajām pusēm, kas Projekta pārvaldības uzdevumu izpildi un potenciālo risku identifikāciju padara pārskatāmāku un vieglāk uzraugāmu, kas savukārt ļaus izvairīties no iepriekšējā plānošanās periodā norādītājam kļūdām projektu pārvaldības organizēšanā, nepietiekami iesaistot ieinteresētās puses.</w:t>
      </w:r>
    </w:p>
    <w:p w14:paraId="0D01BE13" w14:textId="16F8D40C" w:rsidR="00B5512A" w:rsidRPr="00334C37" w:rsidRDefault="00B5512A" w:rsidP="00B5512A">
      <w:pPr>
        <w:pStyle w:val="VPBody"/>
      </w:pPr>
      <w:r w:rsidRPr="00334C37">
        <w:t xml:space="preserve">Projektam </w:t>
      </w:r>
      <w:r w:rsidR="001357D4">
        <w:t>veikti šādi indikatīvi sociālekonomisko ieguvumu aprēķini</w:t>
      </w:r>
      <w:r w:rsidRPr="00334C37">
        <w:t>:</w:t>
      </w:r>
    </w:p>
    <w:p w14:paraId="61077B9F" w14:textId="5CEC891D" w:rsidR="001357D4" w:rsidRPr="003A7EA6" w:rsidRDefault="001357D4" w:rsidP="0066110B">
      <w:pPr>
        <w:pStyle w:val="VPBody"/>
        <w:numPr>
          <w:ilvl w:val="0"/>
          <w:numId w:val="14"/>
        </w:numPr>
      </w:pPr>
      <w:r w:rsidRPr="003A7EA6">
        <w:t xml:space="preserve">Uzlabojot VVIS funkcionalitāti, saņemot datus no ārējām informācijas sistēmām, VVIS </w:t>
      </w:r>
      <w:r w:rsidR="00327FEC">
        <w:t xml:space="preserve">Elektroniskajā veselības kartē (turpmāk – </w:t>
      </w:r>
      <w:r w:rsidRPr="003A7EA6">
        <w:t>EVK</w:t>
      </w:r>
      <w:r w:rsidR="00327FEC">
        <w:t>)</w:t>
      </w:r>
      <w:r w:rsidRPr="003A7EA6">
        <w:t xml:space="preserve"> tiek apkopoti pacienta dati un ārstniecības vēsture. Pilnveidojot procesu </w:t>
      </w:r>
      <w:r w:rsidRPr="003A7EA6">
        <w:rPr>
          <w:i/>
        </w:rPr>
        <w:t>Ambulatorā ārstniecība</w:t>
      </w:r>
      <w:r w:rsidRPr="003A7EA6">
        <w:t>, tiks nodrošināta iespēja nodrošināt ārstniecības personai (tiešsaistes vai attālinātas konsultācijas saziņas laikā) sniegt konsultāciju, izmantojot zvanītāja medicīnas vēsturi, ja zvanītājs pēc savas izvēles atļauj vienreizēju piekļuvi savai informācijai, izmantojot e-Veselības sistēmu.</w:t>
      </w:r>
    </w:p>
    <w:p w14:paraId="771E6331" w14:textId="115C73C4" w:rsidR="001357D4" w:rsidRPr="003A7EA6" w:rsidRDefault="001357D4" w:rsidP="001357D4">
      <w:pPr>
        <w:pStyle w:val="VPBody"/>
        <w:ind w:left="360"/>
      </w:pPr>
      <w:r w:rsidRPr="003A7EA6">
        <w:t xml:space="preserve">Pēc </w:t>
      </w:r>
      <w:r w:rsidR="00327FEC">
        <w:t xml:space="preserve">Slimību profilakses un kontroles centra (turpmāk – </w:t>
      </w:r>
      <w:r w:rsidRPr="003A7EA6">
        <w:t>SPKC</w:t>
      </w:r>
      <w:r w:rsidR="00327FEC">
        <w:t>)</w:t>
      </w:r>
      <w:r w:rsidRPr="003A7EA6">
        <w:t xml:space="preserve"> apkopotās veselības aprūpes statistikas, 201</w:t>
      </w:r>
      <w:r>
        <w:t>5.</w:t>
      </w:r>
      <w:r w:rsidRPr="003A7EA6">
        <w:t>gadā personas ir veikušas 13 082 009 ambulatoros apmeklējumus pie ārstiem, ārsta palīgiem, vecmātēm un medicīnas māsām</w:t>
      </w:r>
      <w:r w:rsidRPr="003A7EA6">
        <w:rPr>
          <w:vertAlign w:val="superscript"/>
        </w:rPr>
        <w:footnoteReference w:id="3"/>
      </w:r>
      <w:r w:rsidRPr="003A7EA6">
        <w:t>. Pieņemot, ka no veiktajām ambulatorajām konsultācijām 1% tiktu veiktas tiešsaistē un pieņemot, ka strādājošo mēneša vidējā bruto darba samaksa</w:t>
      </w:r>
      <w:r w:rsidRPr="003A7EA6">
        <w:rPr>
          <w:rStyle w:val="FootnoteReference"/>
          <w:szCs w:val="28"/>
        </w:rPr>
        <w:footnoteReference w:id="4"/>
      </w:r>
      <w:r w:rsidRPr="003A7EA6">
        <w:t xml:space="preserve"> ir 818 EUR</w:t>
      </w:r>
      <w:r w:rsidRPr="003A7EA6">
        <w:rPr>
          <w:color w:val="2E74B5" w:themeColor="accent1" w:themeShade="BF"/>
          <w:szCs w:val="28"/>
        </w:rPr>
        <w:t xml:space="preserve">, </w:t>
      </w:r>
      <w:r w:rsidRPr="003A7EA6">
        <w:t>kā arī nodrošinot nepieciešamo recepšu izrakstīšanu tiešsaistē (tādejādi ietaupot 35 min, kas pacientam nav jāpavada ceļā un ārstniecības iestādes rindā), tad kopējais iegūtais indikatīvais sociālekonomiskais lietderīgums sastāda aptuveni 390 tūkst. EUR.</w:t>
      </w:r>
    </w:p>
    <w:p w14:paraId="63D0463C" w14:textId="77777777" w:rsidR="001357D4" w:rsidRPr="003A7EA6" w:rsidRDefault="001357D4" w:rsidP="001357D4">
      <w:pPr>
        <w:pStyle w:val="VPBody"/>
        <w:ind w:left="360"/>
        <w:rPr>
          <w:szCs w:val="28"/>
        </w:rPr>
      </w:pPr>
      <w:r w:rsidRPr="003A7EA6">
        <w:rPr>
          <w:szCs w:val="28"/>
        </w:rPr>
        <w:t>Aprēķins: 13 082 009 ambulatoro apmeklējumu skaits  x 0,58 stundu laika ietaupījums x 1% no konsultācijām, kas tiks veiktas tiešsaistē x mēneša vidējā darba samaksa Latvijā / 160 darba stundas = 390 144 EUR.</w:t>
      </w:r>
    </w:p>
    <w:p w14:paraId="48235A51" w14:textId="77777777" w:rsidR="001357D4" w:rsidRPr="003A7EA6" w:rsidRDefault="001357D4" w:rsidP="0066110B">
      <w:pPr>
        <w:pStyle w:val="VPBody"/>
        <w:numPr>
          <w:ilvl w:val="0"/>
          <w:numId w:val="14"/>
        </w:numPr>
      </w:pPr>
      <w:r w:rsidRPr="003A7EA6">
        <w:t>Projekta rezultātā tiks attīstīta ārstniecības pakalpojumu nosūtījumu sistēma, nodrošinot, ka visas pacientiem veiktās ārstniecības procedūras un laboratorijas izmeklējumu rezultāti gan ārstniecības speciālistam, gan pacientam ir pieejami VVIS. Tādejādi tiktu mazināta situācija, ka citā ārstniecības iestādē veiktās analīzes un izmeklējumu rezultāti, nav pieejami ārstniecības personai un ir jāveic atkārtoti.</w:t>
      </w:r>
    </w:p>
    <w:p w14:paraId="0F4CAC32" w14:textId="77777777" w:rsidR="001357D4" w:rsidRPr="003A7EA6" w:rsidRDefault="001357D4" w:rsidP="001357D4">
      <w:pPr>
        <w:pStyle w:val="VPBody"/>
        <w:ind w:left="360"/>
      </w:pPr>
      <w:r w:rsidRPr="003A7EA6">
        <w:t>Pieņemot, ka no 2015. gadā no veiktajiem 13 082 009 ambulatorajiem apmeklējumiem no 0,5% ir atkārtoti veiktas analīzes un procedūras un potenciālais laika ietaupījums pacientam atkārtoti neveicot šīs procedūras ir vismaz 35 minūtes, tad, ņemot vērā mēneša bruto vidējo darba samaksu</w:t>
      </w:r>
      <w:r w:rsidRPr="003A7EA6">
        <w:rPr>
          <w:rStyle w:val="FootnoteReference"/>
          <w:szCs w:val="28"/>
        </w:rPr>
        <w:footnoteReference w:id="5"/>
      </w:r>
      <w:r w:rsidRPr="003A7EA6">
        <w:t xml:space="preserve"> (818 EUR), iegūtais sociālekonomiskais indikatīvais lietderīgums ir aptuveni 195 tūkst. EUR.</w:t>
      </w:r>
    </w:p>
    <w:p w14:paraId="0B76BAAE" w14:textId="77777777" w:rsidR="001357D4" w:rsidRPr="003A7EA6" w:rsidRDefault="001357D4" w:rsidP="001357D4">
      <w:pPr>
        <w:pStyle w:val="VPBody"/>
        <w:ind w:left="360"/>
        <w:rPr>
          <w:szCs w:val="28"/>
        </w:rPr>
      </w:pPr>
      <w:r w:rsidRPr="003A7EA6">
        <w:rPr>
          <w:szCs w:val="28"/>
        </w:rPr>
        <w:t>Aprēķins: 13 082 009 ambulatoro apmeklējumu skaits x 0,58 stundu laika ietaupījums x 0,5% no konsultācijām, kas tiks veiktas tiešsaistē, x mēneša bruto vidējās darba samaksa Latvijā / 160 darba stundas = 195 072  EUR</w:t>
      </w:r>
    </w:p>
    <w:p w14:paraId="64E467BF" w14:textId="77777777" w:rsidR="001357D4" w:rsidRPr="003A7EA6" w:rsidRDefault="001357D4" w:rsidP="0066110B">
      <w:pPr>
        <w:pStyle w:val="VPBody"/>
        <w:numPr>
          <w:ilvl w:val="0"/>
          <w:numId w:val="14"/>
        </w:numPr>
      </w:pPr>
      <w:r w:rsidRPr="003A7EA6">
        <w:lastRenderedPageBreak/>
        <w:t>Projektā plānots pilnveidot VVIS, elektronizējot miršanas faktu paziņošanai nepieciešamo dokumentāciju, tādejādi samazinot administratīvo slogu personām un publiskās pārvaldes iestādēm, jo nebūs jāveic atkārtota informācijas ievade vairākos valsts reģistros, bet tiks informācijas apmaiņa starp reģistriem nodrošināta izmantojot VVIS.</w:t>
      </w:r>
    </w:p>
    <w:p w14:paraId="296CEF9E" w14:textId="5DE25CF5" w:rsidR="001357D4" w:rsidRPr="003A7EA6" w:rsidRDefault="001357D4" w:rsidP="001357D4">
      <w:pPr>
        <w:pStyle w:val="VPBody"/>
        <w:ind w:left="360"/>
      </w:pPr>
      <w:r w:rsidRPr="003A7EA6">
        <w:t xml:space="preserve">Pēc </w:t>
      </w:r>
      <w:r w:rsidR="00327FEC">
        <w:t xml:space="preserve">Centrālās statistikas pārvaldes (turpmāk – </w:t>
      </w:r>
      <w:r w:rsidRPr="003A7EA6">
        <w:t>CSP</w:t>
      </w:r>
      <w:r w:rsidR="00327FEC">
        <w:t>)</w:t>
      </w:r>
      <w:r w:rsidRPr="003A7EA6">
        <w:t xml:space="preserve"> datiem</w:t>
      </w:r>
      <w:r w:rsidRPr="003A7EA6">
        <w:rPr>
          <w:vertAlign w:val="superscript"/>
        </w:rPr>
        <w:footnoteReference w:id="6"/>
      </w:r>
      <w:r w:rsidRPr="003A7EA6">
        <w:t xml:space="preserve"> vidējais Latvijā mirušo skaits gadā pēdējo 5 gadu laikā ir 28 640. Pieņemot, ka kopumā elektronizējot miršanas fakta reģistrāciju, izdotos ietaupīt vidēji 35 minūtes laika, tad kopējais sociālekonomiskais ieguvums no procesa pilnveidošanas sastāda aptuveni 85 tūkst. EUR gadā.</w:t>
      </w:r>
    </w:p>
    <w:p w14:paraId="53314315" w14:textId="77777777" w:rsidR="001357D4" w:rsidRPr="003A7EA6" w:rsidRDefault="001357D4" w:rsidP="001357D4">
      <w:pPr>
        <w:pStyle w:val="VPBody"/>
        <w:ind w:left="360"/>
        <w:rPr>
          <w:szCs w:val="28"/>
        </w:rPr>
      </w:pPr>
      <w:r w:rsidRPr="003A7EA6">
        <w:rPr>
          <w:szCs w:val="28"/>
        </w:rPr>
        <w:t>Aprēķins: 28 640 mirušo skaits  x 0,58 stundu laika ietaupījums x mēneša bruto vidējās darba samaksa Latvijā / 160 darba stundas</w:t>
      </w:r>
      <w:r w:rsidRPr="003A7EA6" w:rsidDel="00AB4547">
        <w:rPr>
          <w:szCs w:val="28"/>
        </w:rPr>
        <w:t xml:space="preserve"> </w:t>
      </w:r>
      <w:r w:rsidRPr="003A7EA6">
        <w:rPr>
          <w:szCs w:val="28"/>
        </w:rPr>
        <w:t xml:space="preserve"> = 85 413  EUR</w:t>
      </w:r>
    </w:p>
    <w:p w14:paraId="23E76FCC" w14:textId="35AB2F92" w:rsidR="001357D4" w:rsidRPr="003A7EA6" w:rsidRDefault="001357D4" w:rsidP="0066110B">
      <w:pPr>
        <w:pStyle w:val="VPBody"/>
        <w:numPr>
          <w:ilvl w:val="0"/>
          <w:numId w:val="14"/>
        </w:numPr>
      </w:pPr>
      <w:r w:rsidRPr="003A7EA6">
        <w:t>Pēc SPKC apkopotās statistikas</w:t>
      </w:r>
      <w:r w:rsidRPr="003A7EA6">
        <w:rPr>
          <w:rStyle w:val="FootnoteReference"/>
        </w:rPr>
        <w:footnoteReference w:id="7"/>
      </w:r>
      <w:r w:rsidRPr="003A7EA6">
        <w:t xml:space="preserve"> Pagājušajā gadā </w:t>
      </w:r>
      <w:r w:rsidR="00ED0C47">
        <w:t xml:space="preserve">Neatliekamās medicīniskās palīdzības dienests (turpmāk – </w:t>
      </w:r>
      <w:r w:rsidRPr="003A7EA6">
        <w:t>NMPD</w:t>
      </w:r>
      <w:r w:rsidR="00ED0C47">
        <w:t>)</w:t>
      </w:r>
      <w:r w:rsidRPr="003A7EA6">
        <w:t xml:space="preserve"> veica 443 215 izsaukumus. No tiem 30 834 bija </w:t>
      </w:r>
      <w:proofErr w:type="spellStart"/>
      <w:r w:rsidRPr="003A7EA6">
        <w:t>bezrezultāta</w:t>
      </w:r>
      <w:proofErr w:type="spellEnd"/>
      <w:r w:rsidRPr="003A7EA6">
        <w:t xml:space="preserve"> izsaukumi, savukārt pārējos gadījumos – 412 381 tika sniegta neatliekamā medicīniskā palīdzība un/vai veikta pārvešana uz ārstniecības iestādi. Projektā plānots attīstīt VVIS funkcionalitāti, kas nodrošinās personai sniegto ārstniecības pakalpojumu un medicīnas vēstures (t.sk., novēroto medikamentu blakusparādību) pieejamību ārstniecības epizodēs.</w:t>
      </w:r>
    </w:p>
    <w:p w14:paraId="00B89F8F" w14:textId="28FFDA65" w:rsidR="001357D4" w:rsidRPr="003A7EA6" w:rsidRDefault="001357D4" w:rsidP="001357D4">
      <w:pPr>
        <w:pStyle w:val="VPBody"/>
        <w:ind w:left="360"/>
      </w:pPr>
      <w:r w:rsidRPr="003A7EA6">
        <w:t>Pieņemot, ka 90% gadījumu no NMPD izsaukumiem varēs veikt personas identifikāciju un, pieņemot, ka aptuvenais laika ietaupījums no personas identifikācijas un elektroniskas Neatliekamās medicīnas palīdzības (</w:t>
      </w:r>
      <w:r w:rsidR="00ED0C47">
        <w:t xml:space="preserve">turpmāk - </w:t>
      </w:r>
      <w:r w:rsidRPr="003A7EA6">
        <w:t>NMP) pavadlapas sastāda 16 min, tad aptuvenais ieguvums no procesu uzlabošanas, attiecinot to pret vidējo darba algu Latvijā</w:t>
      </w:r>
      <w:r w:rsidRPr="003A7EA6">
        <w:rPr>
          <w:rStyle w:val="FootnoteReference"/>
        </w:rPr>
        <w:footnoteReference w:id="8"/>
      </w:r>
      <w:r w:rsidRPr="003A7EA6">
        <w:t>, sastāda aptuveni 506 tūkst. EUR gadā.</w:t>
      </w:r>
    </w:p>
    <w:p w14:paraId="45CDD823" w14:textId="23F08323" w:rsidR="001357D4" w:rsidRPr="003A7EA6" w:rsidRDefault="001357D4" w:rsidP="001357D4">
      <w:pPr>
        <w:pStyle w:val="VPBody"/>
        <w:ind w:left="360"/>
      </w:pPr>
      <w:r w:rsidRPr="003A7EA6">
        <w:t xml:space="preserve">Aprēķins: No 443 215 NMPD izsaukumiem 412 381 bija ar rezultātu. x 0,26 stundu laika ietaupījums x 90% no šiem gadījumiem var identificēt personu un šis pakalpojums ir pielietojams x </w:t>
      </w:r>
      <w:r w:rsidRPr="003A7EA6">
        <w:rPr>
          <w:szCs w:val="28"/>
        </w:rPr>
        <w:t>mēneša bruto vidējās darba samaksa Latvijā / 160 darba stundas</w:t>
      </w:r>
      <w:r w:rsidRPr="003A7EA6" w:rsidDel="00AB4547">
        <w:t xml:space="preserve"> </w:t>
      </w:r>
      <w:r w:rsidRPr="003A7EA6">
        <w:t xml:space="preserve"> = 505 991  EUR</w:t>
      </w:r>
      <w:r>
        <w:t>.</w:t>
      </w:r>
    </w:p>
    <w:p w14:paraId="52AB5F0F" w14:textId="6FC13920" w:rsidR="00161FF0" w:rsidRPr="00B04918" w:rsidRDefault="001357D4" w:rsidP="0027191E">
      <w:pPr>
        <w:pStyle w:val="VPBody"/>
      </w:pPr>
      <w:r w:rsidRPr="003A7EA6">
        <w:t>Projekta indikatīvais sociālekonomiskais</w:t>
      </w:r>
      <w:r>
        <w:t xml:space="preserve"> ieguvums</w:t>
      </w:r>
      <w:r w:rsidRPr="003A7EA6">
        <w:t xml:space="preserve"> </w:t>
      </w:r>
      <w:r w:rsidRPr="003A7EA6">
        <w:rPr>
          <w:szCs w:val="24"/>
        </w:rPr>
        <w:t xml:space="preserve">10 gadu periodā ir lielāks par projekta izmaksām un </w:t>
      </w:r>
      <w:r w:rsidRPr="003A7EA6">
        <w:t>sastāda aptuveni 11,7 milj. EUR 10 gadu periodā.</w:t>
      </w:r>
    </w:p>
    <w:p w14:paraId="2632E62E" w14:textId="77777777" w:rsidR="001F633A" w:rsidRPr="005B6906" w:rsidRDefault="001F633A" w:rsidP="00EB257E">
      <w:pPr>
        <w:pStyle w:val="VPBody"/>
        <w:spacing w:before="0" w:after="0"/>
        <w:rPr>
          <w:rFonts w:eastAsia="Times New Roman"/>
          <w:szCs w:val="24"/>
          <w:lang w:eastAsia="lv-LV"/>
        </w:rPr>
      </w:pPr>
    </w:p>
    <w:p w14:paraId="0055D211" w14:textId="77777777" w:rsidR="009261C9" w:rsidRDefault="009261C9" w:rsidP="00606402">
      <w:pPr>
        <w:tabs>
          <w:tab w:val="left" w:pos="6663"/>
          <w:tab w:val="left" w:pos="6804"/>
        </w:tabs>
        <w:spacing w:before="0" w:after="0"/>
        <w:jc w:val="both"/>
        <w:rPr>
          <w:rFonts w:ascii="Times New Roman" w:eastAsia="Times New Roman" w:hAnsi="Times New Roman" w:cs="Times New Roman"/>
          <w:sz w:val="28"/>
          <w:szCs w:val="28"/>
          <w:lang w:eastAsia="lv-LV"/>
        </w:rPr>
      </w:pPr>
    </w:p>
    <w:p w14:paraId="0CD18536" w14:textId="5E3DB501" w:rsidR="00606402" w:rsidRPr="009261C9" w:rsidRDefault="001357D4" w:rsidP="00606402">
      <w:pPr>
        <w:tabs>
          <w:tab w:val="left" w:pos="6663"/>
          <w:tab w:val="left" w:pos="6804"/>
        </w:tabs>
        <w:spacing w:before="0" w:after="0"/>
        <w:jc w:val="both"/>
        <w:rPr>
          <w:rFonts w:ascii="Times New Roman" w:eastAsia="Times New Roman" w:hAnsi="Times New Roman" w:cs="Times New Roman"/>
          <w:sz w:val="28"/>
          <w:szCs w:val="28"/>
          <w:lang w:eastAsia="lv-LV"/>
        </w:rPr>
      </w:pPr>
      <w:r w:rsidRPr="009261C9">
        <w:rPr>
          <w:rFonts w:ascii="Times New Roman" w:eastAsia="Times New Roman" w:hAnsi="Times New Roman" w:cs="Times New Roman"/>
          <w:sz w:val="28"/>
          <w:szCs w:val="28"/>
          <w:lang w:eastAsia="lv-LV"/>
        </w:rPr>
        <w:t>Veselības</w:t>
      </w:r>
      <w:r w:rsidR="00606402" w:rsidRPr="009261C9">
        <w:rPr>
          <w:rFonts w:ascii="Times New Roman" w:eastAsia="Times New Roman" w:hAnsi="Times New Roman" w:cs="Times New Roman"/>
          <w:sz w:val="28"/>
          <w:szCs w:val="28"/>
          <w:lang w:eastAsia="lv-LV"/>
        </w:rPr>
        <w:t xml:space="preserve"> ministrs</w:t>
      </w:r>
      <w:r w:rsidR="00606402" w:rsidRPr="009261C9">
        <w:rPr>
          <w:rFonts w:ascii="Times New Roman" w:eastAsia="Times New Roman" w:hAnsi="Times New Roman" w:cs="Times New Roman"/>
          <w:sz w:val="28"/>
          <w:szCs w:val="28"/>
          <w:lang w:eastAsia="lv-LV"/>
        </w:rPr>
        <w:tab/>
      </w:r>
      <w:r w:rsidR="00606402" w:rsidRPr="009261C9">
        <w:rPr>
          <w:rFonts w:ascii="Times New Roman" w:eastAsia="Times New Roman" w:hAnsi="Times New Roman" w:cs="Times New Roman"/>
          <w:sz w:val="28"/>
          <w:szCs w:val="28"/>
          <w:lang w:eastAsia="lv-LV"/>
        </w:rPr>
        <w:tab/>
      </w:r>
      <w:r w:rsidRPr="009261C9">
        <w:rPr>
          <w:rFonts w:ascii="Times New Roman" w:eastAsia="Times New Roman" w:hAnsi="Times New Roman" w:cs="Times New Roman"/>
          <w:sz w:val="28"/>
          <w:szCs w:val="28"/>
          <w:lang w:eastAsia="lv-LV"/>
        </w:rPr>
        <w:t xml:space="preserve">Anda </w:t>
      </w:r>
      <w:proofErr w:type="spellStart"/>
      <w:r w:rsidRPr="009261C9">
        <w:rPr>
          <w:rFonts w:ascii="Times New Roman" w:eastAsia="Times New Roman" w:hAnsi="Times New Roman" w:cs="Times New Roman"/>
          <w:sz w:val="28"/>
          <w:szCs w:val="28"/>
          <w:lang w:eastAsia="lv-LV"/>
        </w:rPr>
        <w:t>Čakša</w:t>
      </w:r>
      <w:proofErr w:type="spellEnd"/>
    </w:p>
    <w:p w14:paraId="5CF028E7" w14:textId="77777777" w:rsidR="00606402" w:rsidRPr="009261C9"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14:paraId="136AAA87" w14:textId="77777777" w:rsidR="00161FF0" w:rsidRPr="009261C9" w:rsidRDefault="00161FF0"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p>
    <w:p w14:paraId="045E2048" w14:textId="77777777" w:rsidR="00606402" w:rsidRPr="009261C9" w:rsidRDefault="00606402" w:rsidP="00606402">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9261C9">
        <w:rPr>
          <w:rFonts w:ascii="Times New Roman" w:eastAsia="Times New Roman" w:hAnsi="Times New Roman" w:cs="Times New Roman"/>
          <w:sz w:val="28"/>
          <w:szCs w:val="28"/>
          <w:lang w:eastAsia="lv-LV"/>
        </w:rPr>
        <w:t>Vīza:</w:t>
      </w:r>
    </w:p>
    <w:p w14:paraId="54C69C62" w14:textId="392A564F" w:rsidR="00D43E51" w:rsidRPr="009261C9" w:rsidRDefault="0000256E" w:rsidP="00146615">
      <w:pPr>
        <w:overflowPunct w:val="0"/>
        <w:autoSpaceDE w:val="0"/>
        <w:autoSpaceDN w:val="0"/>
        <w:adjustRightInd w:val="0"/>
        <w:spacing w:before="0" w:after="0"/>
        <w:jc w:val="both"/>
        <w:textAlignment w:val="baseline"/>
        <w:rPr>
          <w:rFonts w:ascii="Times New Roman" w:eastAsia="Times New Roman" w:hAnsi="Times New Roman" w:cs="Times New Roman"/>
          <w:sz w:val="28"/>
          <w:szCs w:val="28"/>
          <w:lang w:eastAsia="lv-LV"/>
        </w:rPr>
      </w:pPr>
      <w:r w:rsidRPr="009261C9">
        <w:rPr>
          <w:rFonts w:ascii="Times New Roman" w:eastAsia="Times New Roman" w:hAnsi="Times New Roman" w:cs="Times New Roman"/>
          <w:sz w:val="28"/>
          <w:szCs w:val="28"/>
          <w:lang w:eastAsia="lv-LV"/>
        </w:rPr>
        <w:t>v</w:t>
      </w:r>
      <w:r w:rsidR="00103782" w:rsidRPr="009261C9">
        <w:rPr>
          <w:rFonts w:ascii="Times New Roman" w:eastAsia="Times New Roman" w:hAnsi="Times New Roman" w:cs="Times New Roman"/>
          <w:sz w:val="28"/>
          <w:szCs w:val="28"/>
          <w:lang w:eastAsia="lv-LV"/>
        </w:rPr>
        <w:t>alsts sekretārs</w:t>
      </w:r>
      <w:r w:rsidR="00103782" w:rsidRPr="009261C9">
        <w:rPr>
          <w:rFonts w:ascii="Times New Roman" w:eastAsia="Times New Roman" w:hAnsi="Times New Roman" w:cs="Times New Roman"/>
          <w:sz w:val="28"/>
          <w:szCs w:val="28"/>
          <w:lang w:eastAsia="lv-LV"/>
        </w:rPr>
        <w:tab/>
      </w:r>
      <w:r w:rsidR="00103782" w:rsidRPr="009261C9">
        <w:rPr>
          <w:rFonts w:ascii="Times New Roman" w:eastAsia="Times New Roman" w:hAnsi="Times New Roman" w:cs="Times New Roman"/>
          <w:sz w:val="28"/>
          <w:szCs w:val="28"/>
          <w:lang w:eastAsia="lv-LV"/>
        </w:rPr>
        <w:tab/>
      </w:r>
      <w:r w:rsidR="00103782" w:rsidRPr="009261C9">
        <w:rPr>
          <w:rFonts w:ascii="Times New Roman" w:eastAsia="Times New Roman" w:hAnsi="Times New Roman" w:cs="Times New Roman"/>
          <w:sz w:val="28"/>
          <w:szCs w:val="28"/>
          <w:lang w:eastAsia="lv-LV"/>
        </w:rPr>
        <w:tab/>
      </w:r>
      <w:r w:rsidR="00103782" w:rsidRPr="009261C9">
        <w:rPr>
          <w:rFonts w:ascii="Times New Roman" w:eastAsia="Times New Roman" w:hAnsi="Times New Roman" w:cs="Times New Roman"/>
          <w:sz w:val="28"/>
          <w:szCs w:val="28"/>
          <w:lang w:eastAsia="lv-LV"/>
        </w:rPr>
        <w:tab/>
      </w:r>
      <w:r w:rsidR="00103782" w:rsidRPr="009261C9">
        <w:rPr>
          <w:rFonts w:ascii="Times New Roman" w:eastAsia="Times New Roman" w:hAnsi="Times New Roman" w:cs="Times New Roman"/>
          <w:sz w:val="28"/>
          <w:szCs w:val="28"/>
          <w:lang w:eastAsia="lv-LV"/>
        </w:rPr>
        <w:tab/>
      </w:r>
      <w:r w:rsidR="00103782" w:rsidRPr="009261C9">
        <w:rPr>
          <w:rFonts w:ascii="Times New Roman" w:eastAsia="Times New Roman" w:hAnsi="Times New Roman" w:cs="Times New Roman"/>
          <w:sz w:val="28"/>
          <w:szCs w:val="28"/>
          <w:lang w:eastAsia="lv-LV"/>
        </w:rPr>
        <w:tab/>
      </w:r>
      <w:r w:rsidR="00103782" w:rsidRPr="009261C9">
        <w:rPr>
          <w:rFonts w:ascii="Times New Roman" w:eastAsia="Times New Roman" w:hAnsi="Times New Roman" w:cs="Times New Roman"/>
          <w:sz w:val="28"/>
          <w:szCs w:val="28"/>
          <w:lang w:eastAsia="lv-LV"/>
        </w:rPr>
        <w:tab/>
        <w:t xml:space="preserve">   Kārlis </w:t>
      </w:r>
      <w:proofErr w:type="spellStart"/>
      <w:r w:rsidR="00103782" w:rsidRPr="009261C9">
        <w:rPr>
          <w:rFonts w:ascii="Times New Roman" w:eastAsia="Times New Roman" w:hAnsi="Times New Roman" w:cs="Times New Roman"/>
          <w:sz w:val="28"/>
          <w:szCs w:val="28"/>
          <w:lang w:eastAsia="lv-LV"/>
        </w:rPr>
        <w:t>Ketners</w:t>
      </w:r>
      <w:proofErr w:type="spellEnd"/>
    </w:p>
    <w:p w14:paraId="626A3A03" w14:textId="77777777" w:rsidR="00D43E51" w:rsidRPr="007C035E" w:rsidRDefault="00D43E51" w:rsidP="00606402">
      <w:pPr>
        <w:spacing w:before="0" w:after="0"/>
        <w:jc w:val="both"/>
        <w:rPr>
          <w:rFonts w:ascii="Times New Roman" w:eastAsia="Times New Roman" w:hAnsi="Times New Roman" w:cs="Times New Roman"/>
          <w:sz w:val="20"/>
          <w:szCs w:val="20"/>
        </w:rPr>
      </w:pPr>
    </w:p>
    <w:p w14:paraId="426904DA" w14:textId="2F73EC59" w:rsidR="00C362A9" w:rsidRDefault="00C362A9" w:rsidP="007611B5">
      <w:pPr>
        <w:tabs>
          <w:tab w:val="left" w:pos="3750"/>
          <w:tab w:val="center" w:pos="4535"/>
        </w:tabs>
        <w:spacing w:before="0" w:after="0"/>
        <w:jc w:val="both"/>
        <w:rPr>
          <w:rFonts w:ascii="Times New Roman" w:eastAsia="Times New Roman" w:hAnsi="Times New Roman" w:cs="Times New Roman"/>
          <w:sz w:val="16"/>
          <w:szCs w:val="16"/>
        </w:rPr>
      </w:pPr>
    </w:p>
    <w:p w14:paraId="0D3EDE17" w14:textId="3F8B9CC9" w:rsidR="009261C9" w:rsidRDefault="009261C9" w:rsidP="007611B5">
      <w:pPr>
        <w:tabs>
          <w:tab w:val="left" w:pos="3750"/>
          <w:tab w:val="center" w:pos="4535"/>
        </w:tabs>
        <w:spacing w:before="0" w:after="0"/>
        <w:jc w:val="both"/>
        <w:rPr>
          <w:rFonts w:ascii="Times New Roman" w:eastAsia="Times New Roman" w:hAnsi="Times New Roman" w:cs="Times New Roman"/>
          <w:sz w:val="16"/>
          <w:szCs w:val="16"/>
        </w:rPr>
      </w:pPr>
    </w:p>
    <w:p w14:paraId="6A0A8FBA" w14:textId="77777777" w:rsidR="009261C9" w:rsidRPr="00C362A9" w:rsidRDefault="009261C9" w:rsidP="007611B5">
      <w:pPr>
        <w:tabs>
          <w:tab w:val="left" w:pos="3750"/>
          <w:tab w:val="center" w:pos="4535"/>
        </w:tabs>
        <w:spacing w:before="0" w:after="0"/>
        <w:jc w:val="both"/>
        <w:rPr>
          <w:rFonts w:ascii="Times New Roman" w:hAnsi="Times New Roman"/>
          <w:sz w:val="16"/>
          <w:szCs w:val="16"/>
        </w:rPr>
      </w:pPr>
    </w:p>
    <w:p w14:paraId="33A81E8C" w14:textId="2C99CFB5" w:rsidR="00C362A9" w:rsidRPr="009261C9" w:rsidRDefault="001357D4" w:rsidP="00C04020">
      <w:pPr>
        <w:spacing w:before="0" w:after="0"/>
        <w:rPr>
          <w:rStyle w:val="Hyperlink"/>
          <w:rFonts w:ascii="Times New Roman" w:hAnsi="Times New Roman"/>
          <w:color w:val="auto"/>
          <w:sz w:val="20"/>
          <w:szCs w:val="20"/>
          <w:u w:val="none"/>
        </w:rPr>
      </w:pPr>
      <w:r w:rsidRPr="009261C9">
        <w:rPr>
          <w:rFonts w:ascii="Times New Roman" w:hAnsi="Times New Roman"/>
          <w:sz w:val="20"/>
          <w:szCs w:val="20"/>
        </w:rPr>
        <w:t>Linda Freimane</w:t>
      </w:r>
      <w:r w:rsidR="009261C9" w:rsidRPr="009261C9">
        <w:rPr>
          <w:rFonts w:ascii="Times New Roman" w:hAnsi="Times New Roman"/>
          <w:sz w:val="20"/>
          <w:szCs w:val="20"/>
        </w:rPr>
        <w:t xml:space="preserve">, </w:t>
      </w:r>
      <w:r w:rsidR="00103782" w:rsidRPr="009261C9">
        <w:rPr>
          <w:rStyle w:val="Hyperlink"/>
          <w:rFonts w:ascii="Times New Roman" w:hAnsi="Times New Roman"/>
          <w:color w:val="auto"/>
          <w:sz w:val="20"/>
          <w:szCs w:val="20"/>
          <w:u w:val="none"/>
        </w:rPr>
        <w:t>6768</w:t>
      </w:r>
      <w:r w:rsidR="0060688C" w:rsidRPr="009261C9">
        <w:rPr>
          <w:rStyle w:val="Hyperlink"/>
          <w:rFonts w:ascii="Times New Roman" w:hAnsi="Times New Roman"/>
          <w:color w:val="auto"/>
          <w:sz w:val="20"/>
          <w:szCs w:val="20"/>
          <w:u w:val="none"/>
        </w:rPr>
        <w:t>6</w:t>
      </w:r>
      <w:r w:rsidR="009261C9" w:rsidRPr="009261C9">
        <w:rPr>
          <w:rStyle w:val="Hyperlink"/>
          <w:rFonts w:ascii="Times New Roman" w:hAnsi="Times New Roman"/>
          <w:color w:val="auto"/>
          <w:sz w:val="20"/>
          <w:szCs w:val="20"/>
          <w:u w:val="none"/>
        </w:rPr>
        <w:t>329</w:t>
      </w:r>
    </w:p>
    <w:p w14:paraId="39FA9E1D" w14:textId="5F1F6E85" w:rsidR="00103782" w:rsidRPr="009261C9" w:rsidRDefault="00103782" w:rsidP="00C04020">
      <w:pPr>
        <w:spacing w:before="0" w:after="0"/>
        <w:rPr>
          <w:rStyle w:val="Hyperlink"/>
          <w:rFonts w:ascii="Times New Roman" w:hAnsi="Times New Roman"/>
          <w:color w:val="auto"/>
          <w:sz w:val="20"/>
          <w:szCs w:val="20"/>
        </w:rPr>
      </w:pPr>
      <w:r w:rsidRPr="009261C9">
        <w:rPr>
          <w:rStyle w:val="Hyperlink"/>
          <w:rFonts w:ascii="Times New Roman" w:hAnsi="Times New Roman"/>
          <w:color w:val="auto"/>
          <w:sz w:val="20"/>
          <w:szCs w:val="20"/>
        </w:rPr>
        <w:t>linda.freimane@vmnvd.gov.lv</w:t>
      </w:r>
    </w:p>
    <w:sectPr w:rsidR="00103782" w:rsidRPr="009261C9" w:rsidSect="009261C9">
      <w:headerReference w:type="default" r:id="rId24"/>
      <w:footerReference w:type="default" r:id="rId25"/>
      <w:footerReference w:type="first" r:id="rId26"/>
      <w:pgSz w:w="11906" w:h="16838"/>
      <w:pgMar w:top="709" w:right="1134" w:bottom="1134" w:left="1701" w:header="709" w:footer="33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9F1FD" w14:textId="77777777" w:rsidR="00C83FB0" w:rsidRDefault="00C83FB0">
      <w:pPr>
        <w:spacing w:before="0" w:after="0"/>
      </w:pPr>
      <w:r>
        <w:separator/>
      </w:r>
    </w:p>
    <w:p w14:paraId="11855BB1" w14:textId="77777777" w:rsidR="00C83FB0" w:rsidRDefault="00C83FB0"/>
  </w:endnote>
  <w:endnote w:type="continuationSeparator" w:id="0">
    <w:p w14:paraId="6789F787" w14:textId="77777777" w:rsidR="00C83FB0" w:rsidRDefault="00C83FB0">
      <w:pPr>
        <w:spacing w:before="0" w:after="0"/>
      </w:pPr>
      <w:r>
        <w:continuationSeparator/>
      </w:r>
    </w:p>
    <w:p w14:paraId="32E9F6D9" w14:textId="77777777" w:rsidR="00C83FB0" w:rsidRDefault="00C83F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809C2" w14:textId="77777777" w:rsidR="009261C9" w:rsidRPr="009B79C7" w:rsidRDefault="009261C9" w:rsidP="009261C9">
    <w:pPr>
      <w:pStyle w:val="Footer"/>
      <w:rPr>
        <w:sz w:val="20"/>
        <w:szCs w:val="20"/>
      </w:rPr>
    </w:pPr>
    <w:r>
      <w:rPr>
        <w:rFonts w:ascii="Times New Roman" w:hAnsi="Times New Roman" w:cs="Times New Roman"/>
        <w:sz w:val="20"/>
        <w:szCs w:val="20"/>
      </w:rPr>
      <w:t>VMRikp</w:t>
    </w:r>
    <w:r w:rsidRPr="0063007A">
      <w:rPr>
        <w:rFonts w:ascii="Times New Roman" w:hAnsi="Times New Roman" w:cs="Times New Roman"/>
        <w:sz w:val="20"/>
        <w:szCs w:val="20"/>
      </w:rPr>
      <w:t>_</w:t>
    </w:r>
    <w:r>
      <w:rPr>
        <w:rFonts w:ascii="Times New Roman" w:hAnsi="Times New Roman" w:cs="Times New Roman"/>
        <w:sz w:val="20"/>
        <w:szCs w:val="20"/>
      </w:rPr>
      <w:t>1708</w:t>
    </w:r>
    <w:r w:rsidRPr="0063007A">
      <w:rPr>
        <w:rFonts w:ascii="Times New Roman" w:hAnsi="Times New Roman" w:cs="Times New Roman"/>
        <w:sz w:val="20"/>
        <w:szCs w:val="20"/>
      </w:rPr>
      <w:t>17_MA_</w:t>
    </w:r>
    <w:r>
      <w:rPr>
        <w:rFonts w:ascii="Times New Roman" w:hAnsi="Times New Roman" w:cs="Times New Roman"/>
        <w:sz w:val="20"/>
        <w:szCs w:val="20"/>
      </w:rPr>
      <w:t>36</w:t>
    </w:r>
    <w:r w:rsidRPr="0063007A">
      <w:rPr>
        <w:rFonts w:ascii="Times New Roman" w:hAnsi="Times New Roman" w:cs="Times New Roman"/>
        <w:sz w:val="20"/>
        <w:szCs w:val="20"/>
      </w:rPr>
      <w:t>.0_VVIS</w:t>
    </w:r>
  </w:p>
  <w:p w14:paraId="420134E8" w14:textId="77777777" w:rsidR="00B44C2C" w:rsidRDefault="00B44C2C" w:rsidP="00E36A85">
    <w:pPr>
      <w:pStyle w:val="Footer"/>
      <w:ind w:firstLine="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4329C" w14:textId="058794A3" w:rsidR="00E36A85" w:rsidRPr="009B79C7" w:rsidRDefault="00A503B7">
    <w:pPr>
      <w:pStyle w:val="Footer"/>
      <w:rPr>
        <w:sz w:val="20"/>
        <w:szCs w:val="20"/>
      </w:rPr>
    </w:pPr>
    <w:r>
      <w:rPr>
        <w:rFonts w:ascii="Times New Roman" w:hAnsi="Times New Roman" w:cs="Times New Roman"/>
        <w:sz w:val="20"/>
        <w:szCs w:val="20"/>
      </w:rPr>
      <w:t>VM</w:t>
    </w:r>
    <w:r w:rsidR="009261C9">
      <w:rPr>
        <w:rFonts w:ascii="Times New Roman" w:hAnsi="Times New Roman" w:cs="Times New Roman"/>
        <w:sz w:val="20"/>
        <w:szCs w:val="20"/>
      </w:rPr>
      <w:t>Rikp</w:t>
    </w:r>
    <w:r w:rsidR="00B5512A" w:rsidRPr="0063007A">
      <w:rPr>
        <w:rFonts w:ascii="Times New Roman" w:hAnsi="Times New Roman" w:cs="Times New Roman"/>
        <w:sz w:val="20"/>
        <w:szCs w:val="20"/>
      </w:rPr>
      <w:t>_</w:t>
    </w:r>
    <w:r w:rsidR="009261C9">
      <w:rPr>
        <w:rFonts w:ascii="Times New Roman" w:hAnsi="Times New Roman" w:cs="Times New Roman"/>
        <w:sz w:val="20"/>
        <w:szCs w:val="20"/>
      </w:rPr>
      <w:t>17</w:t>
    </w:r>
    <w:r w:rsidR="00644F4E">
      <w:rPr>
        <w:rFonts w:ascii="Times New Roman" w:hAnsi="Times New Roman" w:cs="Times New Roman"/>
        <w:sz w:val="20"/>
        <w:szCs w:val="20"/>
      </w:rPr>
      <w:t>08</w:t>
    </w:r>
    <w:r w:rsidR="00644F4E" w:rsidRPr="0063007A">
      <w:rPr>
        <w:rFonts w:ascii="Times New Roman" w:hAnsi="Times New Roman" w:cs="Times New Roman"/>
        <w:sz w:val="20"/>
        <w:szCs w:val="20"/>
      </w:rPr>
      <w:t>17</w:t>
    </w:r>
    <w:r w:rsidR="00B5512A" w:rsidRPr="0063007A">
      <w:rPr>
        <w:rFonts w:ascii="Times New Roman" w:hAnsi="Times New Roman" w:cs="Times New Roman"/>
        <w:sz w:val="20"/>
        <w:szCs w:val="20"/>
      </w:rPr>
      <w:t>_MA_</w:t>
    </w:r>
    <w:r w:rsidR="00644F4E">
      <w:rPr>
        <w:rFonts w:ascii="Times New Roman" w:hAnsi="Times New Roman" w:cs="Times New Roman"/>
        <w:sz w:val="20"/>
        <w:szCs w:val="20"/>
      </w:rPr>
      <w:t>36</w:t>
    </w:r>
    <w:r w:rsidR="00B5512A" w:rsidRPr="0063007A">
      <w:rPr>
        <w:rFonts w:ascii="Times New Roman" w:hAnsi="Times New Roman" w:cs="Times New Roman"/>
        <w:sz w:val="20"/>
        <w:szCs w:val="20"/>
      </w:rPr>
      <w:t>.0_</w:t>
    </w:r>
    <w:r w:rsidR="009B79C7" w:rsidRPr="0063007A">
      <w:rPr>
        <w:rFonts w:ascii="Times New Roman" w:hAnsi="Times New Roman" w:cs="Times New Roman"/>
        <w:sz w:val="20"/>
        <w:szCs w:val="20"/>
      </w:rPr>
      <w:t>VVIS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A33DF" w14:textId="77777777" w:rsidR="00C83FB0" w:rsidRDefault="00C83FB0">
      <w:pPr>
        <w:spacing w:before="0" w:after="0"/>
      </w:pPr>
      <w:r>
        <w:separator/>
      </w:r>
    </w:p>
    <w:p w14:paraId="0164B587" w14:textId="77777777" w:rsidR="00C83FB0" w:rsidRDefault="00C83FB0"/>
  </w:footnote>
  <w:footnote w:type="continuationSeparator" w:id="0">
    <w:p w14:paraId="5427499F" w14:textId="77777777" w:rsidR="00C83FB0" w:rsidRDefault="00C83FB0">
      <w:pPr>
        <w:spacing w:before="0" w:after="0"/>
      </w:pPr>
      <w:r>
        <w:continuationSeparator/>
      </w:r>
    </w:p>
    <w:p w14:paraId="024035F0" w14:textId="77777777" w:rsidR="00C83FB0" w:rsidRDefault="00C83FB0"/>
  </w:footnote>
  <w:footnote w:id="1">
    <w:p w14:paraId="555D51EF" w14:textId="6E79A150" w:rsidR="00327FEC" w:rsidRPr="00327FEC" w:rsidRDefault="00327FEC">
      <w:pPr>
        <w:pStyle w:val="FootnoteText"/>
        <w:rPr>
          <w:rFonts w:ascii="Times New Roman" w:hAnsi="Times New Roman" w:cs="Times New Roman"/>
          <w:sz w:val="18"/>
          <w:szCs w:val="18"/>
        </w:rPr>
      </w:pPr>
      <w:r w:rsidRPr="00327FEC">
        <w:rPr>
          <w:rStyle w:val="FootnoteReference"/>
          <w:rFonts w:ascii="Times New Roman" w:hAnsi="Times New Roman" w:cs="Times New Roman"/>
          <w:sz w:val="18"/>
          <w:szCs w:val="18"/>
        </w:rPr>
        <w:footnoteRef/>
      </w:r>
      <w:r w:rsidRPr="00327FEC">
        <w:rPr>
          <w:rFonts w:ascii="Times New Roman" w:hAnsi="Times New Roman" w:cs="Times New Roman"/>
          <w:sz w:val="18"/>
          <w:szCs w:val="18"/>
        </w:rPr>
        <w:t xml:space="preserve"> Vienotā veselības nozares elektroniskā informācijas sistēma</w:t>
      </w:r>
    </w:p>
  </w:footnote>
  <w:footnote w:id="2">
    <w:p w14:paraId="44653FF8" w14:textId="4F577681" w:rsidR="00FD7610" w:rsidRPr="00BD7474" w:rsidRDefault="00FD7610" w:rsidP="00FD7610">
      <w:pPr>
        <w:pStyle w:val="FootnoteText"/>
        <w:jc w:val="both"/>
        <w:rPr>
          <w:rFonts w:ascii="Times New Roman" w:hAnsi="Times New Roman" w:cs="Times New Roman"/>
        </w:rPr>
      </w:pPr>
      <w:r>
        <w:rPr>
          <w:rStyle w:val="FootnoteReference"/>
        </w:rPr>
        <w:footnoteRef/>
      </w:r>
      <w:r>
        <w:t xml:space="preserve"> </w:t>
      </w:r>
      <w:r w:rsidRPr="00BD7474">
        <w:rPr>
          <w:rFonts w:ascii="Times New Roman" w:hAnsi="Times New Roman" w:cs="Times New Roman"/>
        </w:rPr>
        <w:t>Publiskās pārvaldes procesi tiek pilnveidoti vai no jauna izstrādāti E-veselības platformas ietvaros. E-veselības platforma ir visu komponenšu kopums, kas nodrošina vienotās veselības nozares elekt</w:t>
      </w:r>
      <w:r>
        <w:rPr>
          <w:rFonts w:ascii="Times New Roman" w:hAnsi="Times New Roman" w:cs="Times New Roman"/>
        </w:rPr>
        <w:t>roniskā</w:t>
      </w:r>
      <w:r w:rsidR="00346478">
        <w:rPr>
          <w:rFonts w:ascii="Times New Roman" w:hAnsi="Times New Roman" w:cs="Times New Roman"/>
        </w:rPr>
        <w:t xml:space="preserve">s informācijas sistēmas darbību un kuru atbilstoši darbības specifikai izmanto ārējās sistēmas, lai nodrošinātu sistēmu </w:t>
      </w:r>
      <w:proofErr w:type="spellStart"/>
      <w:r w:rsidR="00346478">
        <w:rPr>
          <w:rFonts w:ascii="Times New Roman" w:hAnsi="Times New Roman" w:cs="Times New Roman"/>
        </w:rPr>
        <w:t>sadarbspēju</w:t>
      </w:r>
      <w:proofErr w:type="spellEnd"/>
      <w:r w:rsidR="00346478">
        <w:rPr>
          <w:rFonts w:ascii="Times New Roman" w:hAnsi="Times New Roman" w:cs="Times New Roman"/>
        </w:rPr>
        <w:t xml:space="preserve"> (t.sk, bet neaprobežojoties ar datu apmaiņu).</w:t>
      </w:r>
    </w:p>
    <w:p w14:paraId="5F33F712" w14:textId="277FC595" w:rsidR="00FD7610" w:rsidRDefault="00FD7610">
      <w:pPr>
        <w:pStyle w:val="FootnoteText"/>
      </w:pPr>
    </w:p>
  </w:footnote>
  <w:footnote w:id="3">
    <w:p w14:paraId="04E9907C" w14:textId="77777777" w:rsidR="001357D4" w:rsidRPr="00F80816" w:rsidRDefault="001357D4" w:rsidP="001357D4">
      <w:pPr>
        <w:pStyle w:val="FootnoteText"/>
        <w:rPr>
          <w:rFonts w:ascii="Times New Roman" w:hAnsi="Times New Roman" w:cs="Times New Roman"/>
          <w:sz w:val="18"/>
          <w:szCs w:val="18"/>
        </w:rPr>
      </w:pPr>
      <w:r w:rsidRPr="00F80816">
        <w:rPr>
          <w:rStyle w:val="FootnoteReference"/>
          <w:rFonts w:ascii="Times New Roman" w:hAnsi="Times New Roman" w:cs="Times New Roman"/>
        </w:rPr>
        <w:footnoteRef/>
      </w:r>
      <w:r w:rsidRPr="00F80816">
        <w:rPr>
          <w:rFonts w:ascii="Times New Roman" w:hAnsi="Times New Roman" w:cs="Times New Roman"/>
          <w:sz w:val="18"/>
          <w:szCs w:val="18"/>
        </w:rPr>
        <w:t xml:space="preserve"> Veselības aprūpes statistika - Statistikas dati par 2015. gadu, http://www.spkc.gov.lv/veselibas-aprupes-statistika</w:t>
      </w:r>
    </w:p>
  </w:footnote>
  <w:footnote w:id="4">
    <w:p w14:paraId="0F5894DB" w14:textId="77777777" w:rsidR="001357D4" w:rsidRPr="00F80816" w:rsidRDefault="001357D4" w:rsidP="001357D4">
      <w:pPr>
        <w:pStyle w:val="FootnoteText"/>
        <w:rPr>
          <w:rFonts w:ascii="Times New Roman" w:hAnsi="Times New Roman" w:cs="Times New Roman"/>
          <w:sz w:val="18"/>
          <w:szCs w:val="18"/>
        </w:rPr>
      </w:pPr>
      <w:r w:rsidRPr="00F80816">
        <w:rPr>
          <w:rStyle w:val="FootnoteReference"/>
          <w:rFonts w:ascii="Times New Roman" w:hAnsi="Times New Roman" w:cs="Times New Roman"/>
          <w:sz w:val="18"/>
          <w:szCs w:val="18"/>
        </w:rPr>
        <w:footnoteRef/>
      </w:r>
      <w:r w:rsidRPr="00F80816">
        <w:rPr>
          <w:rFonts w:ascii="Times New Roman" w:hAnsi="Times New Roman" w:cs="Times New Roman"/>
          <w:sz w:val="18"/>
          <w:szCs w:val="18"/>
        </w:rPr>
        <w:t xml:space="preserve"> Latvijas Republikas Centrālā statistikas pārvaldes statistikas datubāze: Strādājošo mēneša vidējā darba samaksa bruto 2015. gadā [pieejams tiešsaistē http://www.csb.gov.lv/dati/statistikas-datubazes-28270.html sadaļā Darbaspēka izmaksas, skatīts 24.02.2017.]</w:t>
      </w:r>
    </w:p>
  </w:footnote>
  <w:footnote w:id="5">
    <w:p w14:paraId="545344B0" w14:textId="77777777" w:rsidR="001357D4" w:rsidRPr="00F80816" w:rsidRDefault="001357D4" w:rsidP="001357D4">
      <w:pPr>
        <w:pStyle w:val="FootnoteText"/>
        <w:rPr>
          <w:rFonts w:ascii="Times New Roman" w:hAnsi="Times New Roman" w:cs="Times New Roman"/>
          <w:sz w:val="18"/>
          <w:szCs w:val="18"/>
        </w:rPr>
      </w:pPr>
      <w:r w:rsidRPr="00F80816">
        <w:rPr>
          <w:rStyle w:val="FootnoteReference"/>
          <w:rFonts w:ascii="Times New Roman" w:hAnsi="Times New Roman" w:cs="Times New Roman"/>
          <w:sz w:val="18"/>
          <w:szCs w:val="18"/>
        </w:rPr>
        <w:footnoteRef/>
      </w:r>
      <w:r w:rsidRPr="00F80816">
        <w:rPr>
          <w:rFonts w:ascii="Times New Roman" w:hAnsi="Times New Roman" w:cs="Times New Roman"/>
          <w:sz w:val="18"/>
          <w:szCs w:val="18"/>
        </w:rPr>
        <w:t xml:space="preserve"> Latvijas Republikas Centrālā statistikas pārvaldes statistikas datubāze: Mirušie pēc dzimuma un vecuma (pavisam)  [pieejams tiešsaistē http://www.csb.gov.lv/dati/statistikas-datubazes-28270.html </w:t>
      </w:r>
    </w:p>
  </w:footnote>
  <w:footnote w:id="6">
    <w:p w14:paraId="197EF772" w14:textId="77777777" w:rsidR="001357D4" w:rsidRPr="00F80816" w:rsidRDefault="001357D4" w:rsidP="001357D4">
      <w:pPr>
        <w:pStyle w:val="FootnoteText"/>
        <w:rPr>
          <w:rFonts w:ascii="Times New Roman" w:hAnsi="Times New Roman" w:cs="Times New Roman"/>
          <w:sz w:val="18"/>
          <w:szCs w:val="18"/>
        </w:rPr>
      </w:pPr>
      <w:r w:rsidRPr="00F80816">
        <w:rPr>
          <w:rStyle w:val="FootnoteReference"/>
          <w:rFonts w:ascii="Times New Roman" w:hAnsi="Times New Roman" w:cs="Times New Roman"/>
          <w:sz w:val="18"/>
          <w:szCs w:val="18"/>
        </w:rPr>
        <w:footnoteRef/>
      </w:r>
      <w:r w:rsidRPr="00F80816">
        <w:rPr>
          <w:rFonts w:ascii="Times New Roman" w:hAnsi="Times New Roman" w:cs="Times New Roman"/>
          <w:sz w:val="18"/>
          <w:szCs w:val="18"/>
        </w:rPr>
        <w:t xml:space="preserve"> Latvijas Republikas Centrālā statistikas pārvaldes statistikas datubāze: Mirušie pēc dzimuma un vecuma (pavisam)  [pieejams tiešsaistē http://www.csb.gov.lv/dati/statistikas-datubazes-28270.html sadaļā Iedzīvotāji, skatīts 24.02.2017.]</w:t>
      </w:r>
    </w:p>
  </w:footnote>
  <w:footnote w:id="7">
    <w:p w14:paraId="36E78C48" w14:textId="77777777" w:rsidR="001357D4" w:rsidRPr="00F80816" w:rsidRDefault="001357D4" w:rsidP="001357D4">
      <w:pPr>
        <w:pStyle w:val="FootnoteText"/>
        <w:rPr>
          <w:rFonts w:ascii="Times New Roman" w:hAnsi="Times New Roman" w:cs="Times New Roman"/>
          <w:sz w:val="18"/>
          <w:szCs w:val="18"/>
        </w:rPr>
      </w:pPr>
      <w:r w:rsidRPr="00F80816">
        <w:rPr>
          <w:rStyle w:val="FootnoteReference"/>
          <w:rFonts w:ascii="Times New Roman" w:hAnsi="Times New Roman" w:cs="Times New Roman"/>
          <w:sz w:val="18"/>
          <w:szCs w:val="18"/>
        </w:rPr>
        <w:footnoteRef/>
      </w:r>
      <w:r w:rsidRPr="00F80816">
        <w:rPr>
          <w:rFonts w:ascii="Times New Roman" w:hAnsi="Times New Roman" w:cs="Times New Roman"/>
          <w:sz w:val="18"/>
          <w:szCs w:val="18"/>
        </w:rPr>
        <w:t xml:space="preserve"> Neatliekamā medicīniskā palīdzība, http://www.spkc.gov.lv/veselibas-aprupes-statistika/</w:t>
      </w:r>
    </w:p>
  </w:footnote>
  <w:footnote w:id="8">
    <w:p w14:paraId="6BFD8503" w14:textId="77777777" w:rsidR="001357D4" w:rsidRPr="00F80816" w:rsidRDefault="001357D4" w:rsidP="001357D4">
      <w:pPr>
        <w:pStyle w:val="FootnoteText"/>
        <w:rPr>
          <w:rFonts w:ascii="Times New Roman" w:hAnsi="Times New Roman" w:cs="Times New Roman"/>
          <w:sz w:val="18"/>
          <w:szCs w:val="18"/>
        </w:rPr>
      </w:pPr>
      <w:r w:rsidRPr="00F80816">
        <w:rPr>
          <w:rStyle w:val="FootnoteReference"/>
          <w:rFonts w:ascii="Times New Roman" w:hAnsi="Times New Roman" w:cs="Times New Roman"/>
          <w:sz w:val="18"/>
          <w:szCs w:val="18"/>
        </w:rPr>
        <w:footnoteRef/>
      </w:r>
      <w:r w:rsidRPr="00F80816">
        <w:rPr>
          <w:rFonts w:ascii="Times New Roman" w:hAnsi="Times New Roman" w:cs="Times New Roman"/>
          <w:sz w:val="18"/>
          <w:szCs w:val="18"/>
        </w:rPr>
        <w:t xml:space="preserve"> Latvijas Republikas Centrālā statistikas pārvaldes statistikas datubāze: Mirušie pēc dzimuma un vecuma (pavisam)  [pieejams tiešsaistē http://www.csb.gov.lv/dati/statistikas-datubazes-28270.html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1284271"/>
      <w:docPartObj>
        <w:docPartGallery w:val="Page Numbers (Top of Page)"/>
        <w:docPartUnique/>
      </w:docPartObj>
    </w:sdtPr>
    <w:sdtEndPr>
      <w:rPr>
        <w:rFonts w:ascii="Times New Roman" w:hAnsi="Times New Roman" w:cs="Times New Roman"/>
        <w:noProof/>
        <w:sz w:val="24"/>
        <w:szCs w:val="24"/>
      </w:rPr>
    </w:sdtEndPr>
    <w:sdtContent>
      <w:p w14:paraId="37AE4941" w14:textId="00800294" w:rsidR="00E36A85" w:rsidRPr="000263EA" w:rsidRDefault="00532F78">
        <w:pPr>
          <w:pStyle w:val="Header"/>
          <w:jc w:val="center"/>
          <w:rPr>
            <w:rFonts w:ascii="Times New Roman" w:hAnsi="Times New Roman" w:cs="Times New Roman"/>
            <w:sz w:val="24"/>
            <w:szCs w:val="24"/>
          </w:rPr>
        </w:pPr>
        <w:r w:rsidRPr="000263EA">
          <w:rPr>
            <w:rFonts w:ascii="Times New Roman" w:hAnsi="Times New Roman" w:cs="Times New Roman"/>
            <w:sz w:val="24"/>
            <w:szCs w:val="24"/>
          </w:rPr>
          <w:fldChar w:fldCharType="begin"/>
        </w:r>
        <w:r w:rsidR="00E36A85" w:rsidRPr="000263EA">
          <w:rPr>
            <w:rFonts w:ascii="Times New Roman" w:hAnsi="Times New Roman" w:cs="Times New Roman"/>
            <w:sz w:val="24"/>
            <w:szCs w:val="24"/>
          </w:rPr>
          <w:instrText xml:space="preserve"> PAGE   \* MERGEFORMAT </w:instrText>
        </w:r>
        <w:r w:rsidRPr="000263EA">
          <w:rPr>
            <w:rFonts w:ascii="Times New Roman" w:hAnsi="Times New Roman" w:cs="Times New Roman"/>
            <w:sz w:val="24"/>
            <w:szCs w:val="24"/>
          </w:rPr>
          <w:fldChar w:fldCharType="separate"/>
        </w:r>
        <w:r w:rsidR="00642DD4">
          <w:rPr>
            <w:rFonts w:ascii="Times New Roman" w:hAnsi="Times New Roman" w:cs="Times New Roman"/>
            <w:noProof/>
            <w:sz w:val="24"/>
            <w:szCs w:val="24"/>
          </w:rPr>
          <w:t>2</w:t>
        </w:r>
        <w:r w:rsidRPr="000263EA">
          <w:rPr>
            <w:rFonts w:ascii="Times New Roman" w:hAnsi="Times New Roman" w:cs="Times New Roman"/>
            <w:noProof/>
            <w:sz w:val="24"/>
            <w:szCs w:val="24"/>
          </w:rPr>
          <w:fldChar w:fldCharType="end"/>
        </w:r>
      </w:p>
    </w:sdtContent>
  </w:sdt>
  <w:p w14:paraId="343D1303" w14:textId="77777777" w:rsidR="00E36A85" w:rsidRDefault="00E36A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30F"/>
    <w:multiLevelType w:val="hybridMultilevel"/>
    <w:tmpl w:val="909EA084"/>
    <w:lvl w:ilvl="0" w:tplc="57909B14">
      <w:start w:val="1"/>
      <w:numFmt w:val="decimal"/>
      <w:lvlText w:val="%1."/>
      <w:lvlJc w:val="left"/>
      <w:pPr>
        <w:ind w:left="360" w:hanging="360"/>
      </w:pPr>
      <w:rPr>
        <w:rFonts w:hint="default"/>
        <w:b w:val="0"/>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0B32E1"/>
    <w:multiLevelType w:val="hybridMultilevel"/>
    <w:tmpl w:val="00B098CC"/>
    <w:lvl w:ilvl="0" w:tplc="0426000F">
      <w:start w:val="1"/>
      <w:numFmt w:val="decimal"/>
      <w:lvlText w:val="%1."/>
      <w:lvlJc w:val="left"/>
      <w:pPr>
        <w:ind w:left="360" w:hanging="360"/>
      </w:pPr>
    </w:lvl>
    <w:lvl w:ilvl="1" w:tplc="04260019">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9E416F2"/>
    <w:multiLevelType w:val="hybridMultilevel"/>
    <w:tmpl w:val="4ACE5996"/>
    <w:lvl w:ilvl="0" w:tplc="FCA4DEC8">
      <w:start w:val="1"/>
      <w:numFmt w:val="bullet"/>
      <w:pStyle w:val="VPBullet1"/>
      <w:lvlText w:val=""/>
      <w:lvlJc w:val="left"/>
      <w:pPr>
        <w:ind w:left="720" w:hanging="360"/>
      </w:pPr>
      <w:rPr>
        <w:rFonts w:ascii="Wingdings" w:hAnsi="Wingdings" w:hint="default"/>
        <w:color w:val="808080" w:themeColor="background1" w:themeShade="80"/>
        <w:sz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350134"/>
    <w:multiLevelType w:val="hybridMultilevel"/>
    <w:tmpl w:val="E954C2C4"/>
    <w:lvl w:ilvl="0" w:tplc="57909B14">
      <w:start w:val="1"/>
      <w:numFmt w:val="decimal"/>
      <w:lvlText w:val="%1."/>
      <w:lvlJc w:val="left"/>
      <w:pPr>
        <w:ind w:left="360" w:hanging="360"/>
      </w:pPr>
      <w:rPr>
        <w:rFonts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15:restartNumberingAfterBreak="0">
    <w:nsid w:val="242269FC"/>
    <w:multiLevelType w:val="hybridMultilevel"/>
    <w:tmpl w:val="7F88F770"/>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DC80A4A"/>
    <w:multiLevelType w:val="hybridMultilevel"/>
    <w:tmpl w:val="D4041926"/>
    <w:lvl w:ilvl="0" w:tplc="0426000F">
      <w:start w:val="1"/>
      <w:numFmt w:val="decimal"/>
      <w:lvlText w:val="%1."/>
      <w:lvlJc w:val="left"/>
      <w:pPr>
        <w:ind w:left="360" w:hanging="360"/>
      </w:pPr>
    </w:lvl>
    <w:lvl w:ilvl="1" w:tplc="04260017">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15:restartNumberingAfterBreak="0">
    <w:nsid w:val="34706E4B"/>
    <w:multiLevelType w:val="hybridMultilevel"/>
    <w:tmpl w:val="19C02202"/>
    <w:lvl w:ilvl="0" w:tplc="0426000F">
      <w:start w:val="1"/>
      <w:numFmt w:val="decimal"/>
      <w:lvlText w:val="%1."/>
      <w:lvlJc w:val="left"/>
      <w:pPr>
        <w:ind w:left="360" w:hanging="360"/>
      </w:pPr>
    </w:lvl>
    <w:lvl w:ilvl="1" w:tplc="04260017">
      <w:start w:val="1"/>
      <w:numFmt w:val="lowerLetter"/>
      <w:lvlText w:val="%2)"/>
      <w:lvlJc w:val="left"/>
      <w:pPr>
        <w:ind w:left="1080" w:hanging="360"/>
      </w:pPr>
      <w:rPr>
        <w:rFonts w:hint="default"/>
      </w:r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7" w15:restartNumberingAfterBreak="0">
    <w:nsid w:val="374A5207"/>
    <w:multiLevelType w:val="hybridMultilevel"/>
    <w:tmpl w:val="11704A30"/>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15:restartNumberingAfterBreak="0">
    <w:nsid w:val="4B5660B0"/>
    <w:multiLevelType w:val="multilevel"/>
    <w:tmpl w:val="1534D2F0"/>
    <w:lvl w:ilvl="0">
      <w:start w:val="1"/>
      <w:numFmt w:val="decimal"/>
      <w:pStyle w:val="VPBullet"/>
      <w:lvlText w:val="%1."/>
      <w:lvlJc w:val="left"/>
      <w:pPr>
        <w:ind w:left="1080" w:hanging="360"/>
      </w:pPr>
      <w:rPr>
        <w:rFonts w:ascii="Times New Roman" w:eastAsiaTheme="minorHAnsi" w:hAnsi="Times New Roman" w:cs="Times New Roman"/>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9" w15:restartNumberingAfterBreak="0">
    <w:nsid w:val="4F111780"/>
    <w:multiLevelType w:val="hybridMultilevel"/>
    <w:tmpl w:val="524465F6"/>
    <w:lvl w:ilvl="0" w:tplc="0809000F">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B84B73"/>
    <w:multiLevelType w:val="multilevel"/>
    <w:tmpl w:val="73E0F9AE"/>
    <w:lvl w:ilvl="0">
      <w:start w:val="1"/>
      <w:numFmt w:val="bullet"/>
      <w:pStyle w:val="ISBulletText"/>
      <w:lvlText w:val=""/>
      <w:lvlJc w:val="left"/>
      <w:pPr>
        <w:ind w:left="1080" w:hanging="360"/>
      </w:pPr>
      <w:rPr>
        <w:rFonts w:ascii="Wingdings" w:hAnsi="Wingdings" w:hint="default"/>
        <w:color w:val="C00000"/>
        <w:sz w:val="18"/>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Symbol" w:hAnsi="Symbol" w:hint="default"/>
        <w:color w:val="5960A8"/>
        <w:sz w:val="18"/>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5835BBD"/>
    <w:multiLevelType w:val="hybridMultilevel"/>
    <w:tmpl w:val="8774D5FE"/>
    <w:lvl w:ilvl="0" w:tplc="FD36B2B6">
      <w:start w:val="1"/>
      <w:numFmt w:val="decimal"/>
      <w:pStyle w:val="VPNumbered"/>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545556D"/>
    <w:multiLevelType w:val="multilevel"/>
    <w:tmpl w:val="8236FB40"/>
    <w:lvl w:ilvl="0">
      <w:start w:val="1"/>
      <w:numFmt w:val="decimal"/>
      <w:pStyle w:val="VPHeading1"/>
      <w:lvlText w:val="%1."/>
      <w:lvlJc w:val="left"/>
      <w:pPr>
        <w:ind w:left="3904" w:hanging="360"/>
      </w:pPr>
      <w:rPr>
        <w:rFonts w:hint="default"/>
      </w:rPr>
    </w:lvl>
    <w:lvl w:ilvl="1">
      <w:start w:val="1"/>
      <w:numFmt w:val="decimal"/>
      <w:pStyle w:val="VPHeading2"/>
      <w:isLgl/>
      <w:lvlText w:val="%1.%2."/>
      <w:lvlJc w:val="left"/>
      <w:pPr>
        <w:ind w:left="1713" w:hanging="720"/>
      </w:pPr>
      <w:rPr>
        <w:rFonts w:hint="default"/>
      </w:rPr>
    </w:lvl>
    <w:lvl w:ilvl="2">
      <w:start w:val="1"/>
      <w:numFmt w:val="decimal"/>
      <w:pStyle w:val="VPHeading3"/>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3" w15:restartNumberingAfterBreak="0">
    <w:nsid w:val="79DE1B7D"/>
    <w:multiLevelType w:val="hybridMultilevel"/>
    <w:tmpl w:val="7E0293C2"/>
    <w:lvl w:ilvl="0" w:tplc="57909B14">
      <w:start w:val="1"/>
      <w:numFmt w:val="decimal"/>
      <w:lvlText w:val="%1."/>
      <w:lvlJc w:val="left"/>
      <w:pPr>
        <w:ind w:left="360" w:hanging="360"/>
      </w:pPr>
      <w:rPr>
        <w:rFonts w:hint="default"/>
        <w:b w:val="0"/>
      </w:rPr>
    </w:lvl>
    <w:lvl w:ilvl="1" w:tplc="04260017">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num w:numId="1">
    <w:abstractNumId w:val="2"/>
  </w:num>
  <w:num w:numId="2">
    <w:abstractNumId w:val="12"/>
  </w:num>
  <w:num w:numId="3">
    <w:abstractNumId w:val="10"/>
  </w:num>
  <w:num w:numId="4">
    <w:abstractNumId w:val="3"/>
  </w:num>
  <w:num w:numId="5">
    <w:abstractNumId w:val="8"/>
  </w:num>
  <w:num w:numId="6">
    <w:abstractNumId w:val="11"/>
  </w:num>
  <w:num w:numId="7">
    <w:abstractNumId w:val="0"/>
  </w:num>
  <w:num w:numId="8">
    <w:abstractNumId w:val="4"/>
  </w:num>
  <w:num w:numId="9">
    <w:abstractNumId w:val="13"/>
  </w:num>
  <w:num w:numId="10">
    <w:abstractNumId w:val="5"/>
  </w:num>
  <w:num w:numId="11">
    <w:abstractNumId w:val="6"/>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7"/>
    <w:rsid w:val="0000256E"/>
    <w:rsid w:val="000036C0"/>
    <w:rsid w:val="00007399"/>
    <w:rsid w:val="000108E6"/>
    <w:rsid w:val="00010D65"/>
    <w:rsid w:val="00010D8A"/>
    <w:rsid w:val="0001102B"/>
    <w:rsid w:val="00011091"/>
    <w:rsid w:val="000112D0"/>
    <w:rsid w:val="00012875"/>
    <w:rsid w:val="00012979"/>
    <w:rsid w:val="00012A21"/>
    <w:rsid w:val="000160EA"/>
    <w:rsid w:val="0002280B"/>
    <w:rsid w:val="00022BFB"/>
    <w:rsid w:val="00023082"/>
    <w:rsid w:val="00024E33"/>
    <w:rsid w:val="000263EA"/>
    <w:rsid w:val="00030B3D"/>
    <w:rsid w:val="0003526D"/>
    <w:rsid w:val="00035AA4"/>
    <w:rsid w:val="00037307"/>
    <w:rsid w:val="0004337F"/>
    <w:rsid w:val="00044678"/>
    <w:rsid w:val="00045D20"/>
    <w:rsid w:val="00045D8F"/>
    <w:rsid w:val="00050AB6"/>
    <w:rsid w:val="00054D66"/>
    <w:rsid w:val="0006094A"/>
    <w:rsid w:val="00060A03"/>
    <w:rsid w:val="00070FC2"/>
    <w:rsid w:val="000716C7"/>
    <w:rsid w:val="00072DBF"/>
    <w:rsid w:val="000730E5"/>
    <w:rsid w:val="00075382"/>
    <w:rsid w:val="00080F6C"/>
    <w:rsid w:val="00082C0D"/>
    <w:rsid w:val="00083DB0"/>
    <w:rsid w:val="00085831"/>
    <w:rsid w:val="000877AA"/>
    <w:rsid w:val="0008780E"/>
    <w:rsid w:val="0009115B"/>
    <w:rsid w:val="000934FD"/>
    <w:rsid w:val="00094359"/>
    <w:rsid w:val="00095328"/>
    <w:rsid w:val="00095CD9"/>
    <w:rsid w:val="00097681"/>
    <w:rsid w:val="000A2A69"/>
    <w:rsid w:val="000A3613"/>
    <w:rsid w:val="000A470F"/>
    <w:rsid w:val="000B288E"/>
    <w:rsid w:val="000B486B"/>
    <w:rsid w:val="000B49EB"/>
    <w:rsid w:val="000B527B"/>
    <w:rsid w:val="000C1BB0"/>
    <w:rsid w:val="000C7608"/>
    <w:rsid w:val="000C7BB8"/>
    <w:rsid w:val="000D14D4"/>
    <w:rsid w:val="000D17AF"/>
    <w:rsid w:val="000D41D9"/>
    <w:rsid w:val="000D6E8A"/>
    <w:rsid w:val="000D707F"/>
    <w:rsid w:val="000D7FDF"/>
    <w:rsid w:val="000E082D"/>
    <w:rsid w:val="000E11B1"/>
    <w:rsid w:val="000E38FF"/>
    <w:rsid w:val="000E450D"/>
    <w:rsid w:val="000E486C"/>
    <w:rsid w:val="000E5079"/>
    <w:rsid w:val="000E69AC"/>
    <w:rsid w:val="000E69B2"/>
    <w:rsid w:val="000F030C"/>
    <w:rsid w:val="000F0C6C"/>
    <w:rsid w:val="000F25D6"/>
    <w:rsid w:val="000F2E02"/>
    <w:rsid w:val="000F344D"/>
    <w:rsid w:val="000F375B"/>
    <w:rsid w:val="000F657F"/>
    <w:rsid w:val="000F6B87"/>
    <w:rsid w:val="000F7B80"/>
    <w:rsid w:val="001008D3"/>
    <w:rsid w:val="00103782"/>
    <w:rsid w:val="00104B6F"/>
    <w:rsid w:val="001055BB"/>
    <w:rsid w:val="00106FFF"/>
    <w:rsid w:val="00107C17"/>
    <w:rsid w:val="001134A9"/>
    <w:rsid w:val="0011519A"/>
    <w:rsid w:val="00116DD0"/>
    <w:rsid w:val="001201A2"/>
    <w:rsid w:val="00120F02"/>
    <w:rsid w:val="00123E23"/>
    <w:rsid w:val="001263E9"/>
    <w:rsid w:val="00126967"/>
    <w:rsid w:val="00127F10"/>
    <w:rsid w:val="001342C4"/>
    <w:rsid w:val="00134D02"/>
    <w:rsid w:val="001357D4"/>
    <w:rsid w:val="00144AD0"/>
    <w:rsid w:val="00144CFA"/>
    <w:rsid w:val="00146615"/>
    <w:rsid w:val="00150CC0"/>
    <w:rsid w:val="0015181B"/>
    <w:rsid w:val="001541D0"/>
    <w:rsid w:val="00160646"/>
    <w:rsid w:val="00161FF0"/>
    <w:rsid w:val="00162D69"/>
    <w:rsid w:val="00163DA9"/>
    <w:rsid w:val="00174500"/>
    <w:rsid w:val="00176228"/>
    <w:rsid w:val="00180A79"/>
    <w:rsid w:val="00181405"/>
    <w:rsid w:val="001838A2"/>
    <w:rsid w:val="001846A2"/>
    <w:rsid w:val="001910C4"/>
    <w:rsid w:val="00193142"/>
    <w:rsid w:val="001A092F"/>
    <w:rsid w:val="001A14D0"/>
    <w:rsid w:val="001A15E4"/>
    <w:rsid w:val="001A33F6"/>
    <w:rsid w:val="001B07B8"/>
    <w:rsid w:val="001B0ABE"/>
    <w:rsid w:val="001B54D7"/>
    <w:rsid w:val="001D3205"/>
    <w:rsid w:val="001D6FC9"/>
    <w:rsid w:val="001E185E"/>
    <w:rsid w:val="001E1923"/>
    <w:rsid w:val="001E30F1"/>
    <w:rsid w:val="001F1A97"/>
    <w:rsid w:val="001F56B0"/>
    <w:rsid w:val="001F633A"/>
    <w:rsid w:val="001F64FC"/>
    <w:rsid w:val="001F651C"/>
    <w:rsid w:val="001F68B9"/>
    <w:rsid w:val="001F72F4"/>
    <w:rsid w:val="00200CA5"/>
    <w:rsid w:val="00204B0B"/>
    <w:rsid w:val="002059E5"/>
    <w:rsid w:val="00205EA6"/>
    <w:rsid w:val="00206E50"/>
    <w:rsid w:val="00210A16"/>
    <w:rsid w:val="00223B41"/>
    <w:rsid w:val="00225299"/>
    <w:rsid w:val="002257E7"/>
    <w:rsid w:val="00230C2E"/>
    <w:rsid w:val="00233F95"/>
    <w:rsid w:val="002356EB"/>
    <w:rsid w:val="0024037D"/>
    <w:rsid w:val="00241635"/>
    <w:rsid w:val="00242933"/>
    <w:rsid w:val="002452B8"/>
    <w:rsid w:val="00247F2F"/>
    <w:rsid w:val="00251F63"/>
    <w:rsid w:val="0026154B"/>
    <w:rsid w:val="0027191E"/>
    <w:rsid w:val="002721BA"/>
    <w:rsid w:val="00273151"/>
    <w:rsid w:val="002739F1"/>
    <w:rsid w:val="002763F5"/>
    <w:rsid w:val="002765B2"/>
    <w:rsid w:val="002769CD"/>
    <w:rsid w:val="002802CE"/>
    <w:rsid w:val="00284F13"/>
    <w:rsid w:val="00287550"/>
    <w:rsid w:val="00290783"/>
    <w:rsid w:val="00290E5D"/>
    <w:rsid w:val="00290ED3"/>
    <w:rsid w:val="00293450"/>
    <w:rsid w:val="00296C7A"/>
    <w:rsid w:val="002A05C6"/>
    <w:rsid w:val="002A1F1C"/>
    <w:rsid w:val="002A75BB"/>
    <w:rsid w:val="002A7842"/>
    <w:rsid w:val="002B1D81"/>
    <w:rsid w:val="002B3EE4"/>
    <w:rsid w:val="002C2A33"/>
    <w:rsid w:val="002C393D"/>
    <w:rsid w:val="002C404B"/>
    <w:rsid w:val="002C4189"/>
    <w:rsid w:val="002C6ACD"/>
    <w:rsid w:val="002D1E99"/>
    <w:rsid w:val="002D2971"/>
    <w:rsid w:val="002D4C56"/>
    <w:rsid w:val="002D50CA"/>
    <w:rsid w:val="002D5123"/>
    <w:rsid w:val="002E04BB"/>
    <w:rsid w:val="002E61BD"/>
    <w:rsid w:val="002E7587"/>
    <w:rsid w:val="002F08DB"/>
    <w:rsid w:val="002F31E7"/>
    <w:rsid w:val="002F4780"/>
    <w:rsid w:val="002F5A74"/>
    <w:rsid w:val="002F5E91"/>
    <w:rsid w:val="00300061"/>
    <w:rsid w:val="003050E2"/>
    <w:rsid w:val="00306E00"/>
    <w:rsid w:val="00307637"/>
    <w:rsid w:val="00311493"/>
    <w:rsid w:val="003118D9"/>
    <w:rsid w:val="003128D2"/>
    <w:rsid w:val="00312D4E"/>
    <w:rsid w:val="00320C86"/>
    <w:rsid w:val="0032399B"/>
    <w:rsid w:val="00324BF2"/>
    <w:rsid w:val="00327FEC"/>
    <w:rsid w:val="00335CF7"/>
    <w:rsid w:val="00336DED"/>
    <w:rsid w:val="00345405"/>
    <w:rsid w:val="0034544F"/>
    <w:rsid w:val="00345695"/>
    <w:rsid w:val="00346478"/>
    <w:rsid w:val="00350AC1"/>
    <w:rsid w:val="00351F2B"/>
    <w:rsid w:val="00356650"/>
    <w:rsid w:val="00357294"/>
    <w:rsid w:val="003618D4"/>
    <w:rsid w:val="003621B8"/>
    <w:rsid w:val="0037098D"/>
    <w:rsid w:val="0037292E"/>
    <w:rsid w:val="003729D1"/>
    <w:rsid w:val="00376128"/>
    <w:rsid w:val="00376E24"/>
    <w:rsid w:val="0037777F"/>
    <w:rsid w:val="003808B2"/>
    <w:rsid w:val="003813A7"/>
    <w:rsid w:val="00381649"/>
    <w:rsid w:val="003819BA"/>
    <w:rsid w:val="00381B4C"/>
    <w:rsid w:val="00381E3F"/>
    <w:rsid w:val="003825E8"/>
    <w:rsid w:val="003862F8"/>
    <w:rsid w:val="00386836"/>
    <w:rsid w:val="0038731B"/>
    <w:rsid w:val="00390FC0"/>
    <w:rsid w:val="00394A0A"/>
    <w:rsid w:val="003972BA"/>
    <w:rsid w:val="00397FD9"/>
    <w:rsid w:val="003A05B7"/>
    <w:rsid w:val="003A1574"/>
    <w:rsid w:val="003A1EAB"/>
    <w:rsid w:val="003A2AA0"/>
    <w:rsid w:val="003A3977"/>
    <w:rsid w:val="003A54E1"/>
    <w:rsid w:val="003A68CE"/>
    <w:rsid w:val="003B0778"/>
    <w:rsid w:val="003B07CA"/>
    <w:rsid w:val="003B2BDD"/>
    <w:rsid w:val="003B4660"/>
    <w:rsid w:val="003C033A"/>
    <w:rsid w:val="003C2921"/>
    <w:rsid w:val="003C2D51"/>
    <w:rsid w:val="003C7EBE"/>
    <w:rsid w:val="003D08D9"/>
    <w:rsid w:val="003D2194"/>
    <w:rsid w:val="003D45B6"/>
    <w:rsid w:val="003E2166"/>
    <w:rsid w:val="003E257D"/>
    <w:rsid w:val="003E29D9"/>
    <w:rsid w:val="003E4D32"/>
    <w:rsid w:val="003E73C1"/>
    <w:rsid w:val="003F0AE8"/>
    <w:rsid w:val="003F0F05"/>
    <w:rsid w:val="003F1449"/>
    <w:rsid w:val="003F4462"/>
    <w:rsid w:val="003F5023"/>
    <w:rsid w:val="003F5830"/>
    <w:rsid w:val="003F5D75"/>
    <w:rsid w:val="004025B9"/>
    <w:rsid w:val="004035FD"/>
    <w:rsid w:val="00405D9F"/>
    <w:rsid w:val="004101F0"/>
    <w:rsid w:val="00410349"/>
    <w:rsid w:val="0041043F"/>
    <w:rsid w:val="004109A9"/>
    <w:rsid w:val="0041452A"/>
    <w:rsid w:val="00414FA3"/>
    <w:rsid w:val="0042455A"/>
    <w:rsid w:val="00425165"/>
    <w:rsid w:val="00427855"/>
    <w:rsid w:val="004327CC"/>
    <w:rsid w:val="00433A9E"/>
    <w:rsid w:val="004420DA"/>
    <w:rsid w:val="00454795"/>
    <w:rsid w:val="00455BE2"/>
    <w:rsid w:val="00456D5D"/>
    <w:rsid w:val="00457FD5"/>
    <w:rsid w:val="0046344E"/>
    <w:rsid w:val="00467C09"/>
    <w:rsid w:val="004702C1"/>
    <w:rsid w:val="00470E27"/>
    <w:rsid w:val="0047323A"/>
    <w:rsid w:val="00476987"/>
    <w:rsid w:val="0047735E"/>
    <w:rsid w:val="00480C92"/>
    <w:rsid w:val="00481AFE"/>
    <w:rsid w:val="004873AA"/>
    <w:rsid w:val="004904B6"/>
    <w:rsid w:val="004904E3"/>
    <w:rsid w:val="0049120E"/>
    <w:rsid w:val="0049694A"/>
    <w:rsid w:val="004971A7"/>
    <w:rsid w:val="004A2894"/>
    <w:rsid w:val="004A2E28"/>
    <w:rsid w:val="004A6034"/>
    <w:rsid w:val="004A7BD7"/>
    <w:rsid w:val="004B34FC"/>
    <w:rsid w:val="004B398A"/>
    <w:rsid w:val="004B6857"/>
    <w:rsid w:val="004B6C1D"/>
    <w:rsid w:val="004B72C7"/>
    <w:rsid w:val="004C1528"/>
    <w:rsid w:val="004C19F3"/>
    <w:rsid w:val="004C5462"/>
    <w:rsid w:val="004C7CA5"/>
    <w:rsid w:val="004D49FA"/>
    <w:rsid w:val="004E1EDC"/>
    <w:rsid w:val="004E56ED"/>
    <w:rsid w:val="004E78B0"/>
    <w:rsid w:val="004E7ADC"/>
    <w:rsid w:val="004F2A2F"/>
    <w:rsid w:val="00502083"/>
    <w:rsid w:val="00503EC7"/>
    <w:rsid w:val="0050663D"/>
    <w:rsid w:val="00510918"/>
    <w:rsid w:val="00511A27"/>
    <w:rsid w:val="00516B21"/>
    <w:rsid w:val="005204C5"/>
    <w:rsid w:val="00521D34"/>
    <w:rsid w:val="005240C7"/>
    <w:rsid w:val="00531FA8"/>
    <w:rsid w:val="00532F78"/>
    <w:rsid w:val="005331FE"/>
    <w:rsid w:val="00533287"/>
    <w:rsid w:val="00535F3B"/>
    <w:rsid w:val="00536C7F"/>
    <w:rsid w:val="00537852"/>
    <w:rsid w:val="00540942"/>
    <w:rsid w:val="005467B6"/>
    <w:rsid w:val="0055797F"/>
    <w:rsid w:val="00561319"/>
    <w:rsid w:val="00562E57"/>
    <w:rsid w:val="00565560"/>
    <w:rsid w:val="00565584"/>
    <w:rsid w:val="00571E72"/>
    <w:rsid w:val="00575D35"/>
    <w:rsid w:val="005773EA"/>
    <w:rsid w:val="005776DE"/>
    <w:rsid w:val="00581FCB"/>
    <w:rsid w:val="00587060"/>
    <w:rsid w:val="00591043"/>
    <w:rsid w:val="00592F62"/>
    <w:rsid w:val="00593866"/>
    <w:rsid w:val="00597DF5"/>
    <w:rsid w:val="005A08A5"/>
    <w:rsid w:val="005A23F4"/>
    <w:rsid w:val="005A4D85"/>
    <w:rsid w:val="005B124E"/>
    <w:rsid w:val="005B21ED"/>
    <w:rsid w:val="005B28D4"/>
    <w:rsid w:val="005B29FF"/>
    <w:rsid w:val="005B33D1"/>
    <w:rsid w:val="005B5BB2"/>
    <w:rsid w:val="005B6906"/>
    <w:rsid w:val="005C3410"/>
    <w:rsid w:val="005C74EC"/>
    <w:rsid w:val="005D04C5"/>
    <w:rsid w:val="005D23D2"/>
    <w:rsid w:val="005D270E"/>
    <w:rsid w:val="005D432A"/>
    <w:rsid w:val="005E01B5"/>
    <w:rsid w:val="005E042E"/>
    <w:rsid w:val="005E1232"/>
    <w:rsid w:val="005E260F"/>
    <w:rsid w:val="005E5475"/>
    <w:rsid w:val="005E5834"/>
    <w:rsid w:val="005F135E"/>
    <w:rsid w:val="005F259D"/>
    <w:rsid w:val="00603098"/>
    <w:rsid w:val="006031AF"/>
    <w:rsid w:val="00606402"/>
    <w:rsid w:val="0060688C"/>
    <w:rsid w:val="00607EA2"/>
    <w:rsid w:val="0061496D"/>
    <w:rsid w:val="00622860"/>
    <w:rsid w:val="006240CE"/>
    <w:rsid w:val="00627B13"/>
    <w:rsid w:val="0063007A"/>
    <w:rsid w:val="00631729"/>
    <w:rsid w:val="00634695"/>
    <w:rsid w:val="00635A8C"/>
    <w:rsid w:val="0064028E"/>
    <w:rsid w:val="006429ED"/>
    <w:rsid w:val="00642DD4"/>
    <w:rsid w:val="00644F4E"/>
    <w:rsid w:val="00645C1C"/>
    <w:rsid w:val="006476E9"/>
    <w:rsid w:val="006537A4"/>
    <w:rsid w:val="00654B24"/>
    <w:rsid w:val="00660E60"/>
    <w:rsid w:val="0066110B"/>
    <w:rsid w:val="00664220"/>
    <w:rsid w:val="00664DE7"/>
    <w:rsid w:val="006651AF"/>
    <w:rsid w:val="00665296"/>
    <w:rsid w:val="006656F2"/>
    <w:rsid w:val="00670DB3"/>
    <w:rsid w:val="00674431"/>
    <w:rsid w:val="006779A9"/>
    <w:rsid w:val="006809C0"/>
    <w:rsid w:val="00684DA1"/>
    <w:rsid w:val="00685C8A"/>
    <w:rsid w:val="00687130"/>
    <w:rsid w:val="0069162E"/>
    <w:rsid w:val="006919CE"/>
    <w:rsid w:val="006929E4"/>
    <w:rsid w:val="00694BEA"/>
    <w:rsid w:val="006A002C"/>
    <w:rsid w:val="006A0089"/>
    <w:rsid w:val="006A3CD0"/>
    <w:rsid w:val="006A58F6"/>
    <w:rsid w:val="006A5E15"/>
    <w:rsid w:val="006A614D"/>
    <w:rsid w:val="006B0F87"/>
    <w:rsid w:val="006B1C9D"/>
    <w:rsid w:val="006B2517"/>
    <w:rsid w:val="006B28A7"/>
    <w:rsid w:val="006B3785"/>
    <w:rsid w:val="006B6E77"/>
    <w:rsid w:val="006C1776"/>
    <w:rsid w:val="006C2553"/>
    <w:rsid w:val="006C41FB"/>
    <w:rsid w:val="006C4BBC"/>
    <w:rsid w:val="006C4F9F"/>
    <w:rsid w:val="006C54D3"/>
    <w:rsid w:val="006D142A"/>
    <w:rsid w:val="006D26DA"/>
    <w:rsid w:val="006D3A51"/>
    <w:rsid w:val="006D655B"/>
    <w:rsid w:val="006D7B1F"/>
    <w:rsid w:val="006D7FD2"/>
    <w:rsid w:val="006E5DE1"/>
    <w:rsid w:val="006F2DDD"/>
    <w:rsid w:val="006F39B7"/>
    <w:rsid w:val="006F5E34"/>
    <w:rsid w:val="006F61C6"/>
    <w:rsid w:val="006F741A"/>
    <w:rsid w:val="006F78E7"/>
    <w:rsid w:val="00703EDC"/>
    <w:rsid w:val="0071501F"/>
    <w:rsid w:val="00715DE4"/>
    <w:rsid w:val="0071603B"/>
    <w:rsid w:val="007178B1"/>
    <w:rsid w:val="0072052D"/>
    <w:rsid w:val="00721C0B"/>
    <w:rsid w:val="007225D8"/>
    <w:rsid w:val="007225F4"/>
    <w:rsid w:val="00722E3C"/>
    <w:rsid w:val="00725F09"/>
    <w:rsid w:val="00726965"/>
    <w:rsid w:val="00726D2E"/>
    <w:rsid w:val="007305D9"/>
    <w:rsid w:val="0073106B"/>
    <w:rsid w:val="00733CD1"/>
    <w:rsid w:val="00735083"/>
    <w:rsid w:val="00735D6A"/>
    <w:rsid w:val="00736EF0"/>
    <w:rsid w:val="00740BA5"/>
    <w:rsid w:val="00741B30"/>
    <w:rsid w:val="007439E2"/>
    <w:rsid w:val="007451C9"/>
    <w:rsid w:val="00753334"/>
    <w:rsid w:val="0075396B"/>
    <w:rsid w:val="007544F0"/>
    <w:rsid w:val="00754A4E"/>
    <w:rsid w:val="00754A6F"/>
    <w:rsid w:val="00754ABB"/>
    <w:rsid w:val="007611B5"/>
    <w:rsid w:val="00761B7B"/>
    <w:rsid w:val="00763D62"/>
    <w:rsid w:val="00763F36"/>
    <w:rsid w:val="00763F68"/>
    <w:rsid w:val="007643BD"/>
    <w:rsid w:val="0077116A"/>
    <w:rsid w:val="0077257A"/>
    <w:rsid w:val="00775D02"/>
    <w:rsid w:val="00776FDE"/>
    <w:rsid w:val="00780E19"/>
    <w:rsid w:val="007820FF"/>
    <w:rsid w:val="0078518F"/>
    <w:rsid w:val="00786946"/>
    <w:rsid w:val="007932DD"/>
    <w:rsid w:val="007A1F3A"/>
    <w:rsid w:val="007A243C"/>
    <w:rsid w:val="007A5B18"/>
    <w:rsid w:val="007A5B54"/>
    <w:rsid w:val="007A5B69"/>
    <w:rsid w:val="007A61C5"/>
    <w:rsid w:val="007A6440"/>
    <w:rsid w:val="007B086D"/>
    <w:rsid w:val="007B0DF2"/>
    <w:rsid w:val="007B6C01"/>
    <w:rsid w:val="007C035E"/>
    <w:rsid w:val="007C3FE3"/>
    <w:rsid w:val="007C54D7"/>
    <w:rsid w:val="007D08F6"/>
    <w:rsid w:val="007D38FD"/>
    <w:rsid w:val="007D54C2"/>
    <w:rsid w:val="007D5E7B"/>
    <w:rsid w:val="007D614E"/>
    <w:rsid w:val="007D75BF"/>
    <w:rsid w:val="007E0CE3"/>
    <w:rsid w:val="007E1FB4"/>
    <w:rsid w:val="007E3621"/>
    <w:rsid w:val="007E3B95"/>
    <w:rsid w:val="007E60A2"/>
    <w:rsid w:val="007F0ACF"/>
    <w:rsid w:val="007F26C8"/>
    <w:rsid w:val="00800298"/>
    <w:rsid w:val="00800DA2"/>
    <w:rsid w:val="00803F2A"/>
    <w:rsid w:val="00804308"/>
    <w:rsid w:val="0081005C"/>
    <w:rsid w:val="00816582"/>
    <w:rsid w:val="008222DF"/>
    <w:rsid w:val="0082293A"/>
    <w:rsid w:val="008237F6"/>
    <w:rsid w:val="00830B33"/>
    <w:rsid w:val="00832426"/>
    <w:rsid w:val="0083377A"/>
    <w:rsid w:val="008341E1"/>
    <w:rsid w:val="00834AEC"/>
    <w:rsid w:val="00835149"/>
    <w:rsid w:val="0083542B"/>
    <w:rsid w:val="00836E73"/>
    <w:rsid w:val="008375FF"/>
    <w:rsid w:val="00852FB7"/>
    <w:rsid w:val="00854935"/>
    <w:rsid w:val="0085547C"/>
    <w:rsid w:val="008601FF"/>
    <w:rsid w:val="00861E73"/>
    <w:rsid w:val="00871518"/>
    <w:rsid w:val="0087464D"/>
    <w:rsid w:val="008766A6"/>
    <w:rsid w:val="00880D80"/>
    <w:rsid w:val="00883FD9"/>
    <w:rsid w:val="00884E02"/>
    <w:rsid w:val="008870A8"/>
    <w:rsid w:val="00892BBB"/>
    <w:rsid w:val="00894B6F"/>
    <w:rsid w:val="00894D70"/>
    <w:rsid w:val="0089742D"/>
    <w:rsid w:val="00897FD7"/>
    <w:rsid w:val="008A616E"/>
    <w:rsid w:val="008B04CC"/>
    <w:rsid w:val="008B0B6C"/>
    <w:rsid w:val="008B2722"/>
    <w:rsid w:val="008B5AED"/>
    <w:rsid w:val="008B6296"/>
    <w:rsid w:val="008C62B4"/>
    <w:rsid w:val="008D3AC2"/>
    <w:rsid w:val="008D5DC5"/>
    <w:rsid w:val="008E03D2"/>
    <w:rsid w:val="008E0871"/>
    <w:rsid w:val="008E09B5"/>
    <w:rsid w:val="008E3778"/>
    <w:rsid w:val="008E5ABC"/>
    <w:rsid w:val="008E5E12"/>
    <w:rsid w:val="008E7F89"/>
    <w:rsid w:val="008F0C1B"/>
    <w:rsid w:val="008F2BF4"/>
    <w:rsid w:val="008F3EE1"/>
    <w:rsid w:val="008F5EA1"/>
    <w:rsid w:val="008F6F28"/>
    <w:rsid w:val="00900BD5"/>
    <w:rsid w:val="00911AE6"/>
    <w:rsid w:val="009153B1"/>
    <w:rsid w:val="009164FD"/>
    <w:rsid w:val="009171BA"/>
    <w:rsid w:val="00920404"/>
    <w:rsid w:val="00920414"/>
    <w:rsid w:val="009231BD"/>
    <w:rsid w:val="009261C9"/>
    <w:rsid w:val="0092745B"/>
    <w:rsid w:val="00930909"/>
    <w:rsid w:val="00935D3B"/>
    <w:rsid w:val="009360F4"/>
    <w:rsid w:val="00943C9B"/>
    <w:rsid w:val="00943D6C"/>
    <w:rsid w:val="00944C9D"/>
    <w:rsid w:val="00945912"/>
    <w:rsid w:val="00947D71"/>
    <w:rsid w:val="009503CB"/>
    <w:rsid w:val="00950AEC"/>
    <w:rsid w:val="00953B2E"/>
    <w:rsid w:val="009558BF"/>
    <w:rsid w:val="00956207"/>
    <w:rsid w:val="009616BC"/>
    <w:rsid w:val="00962C5A"/>
    <w:rsid w:val="0096568C"/>
    <w:rsid w:val="00970217"/>
    <w:rsid w:val="0097098E"/>
    <w:rsid w:val="0097177B"/>
    <w:rsid w:val="00973FA8"/>
    <w:rsid w:val="00974952"/>
    <w:rsid w:val="00974D36"/>
    <w:rsid w:val="0098009D"/>
    <w:rsid w:val="00984B14"/>
    <w:rsid w:val="00991397"/>
    <w:rsid w:val="009914EE"/>
    <w:rsid w:val="0099220E"/>
    <w:rsid w:val="00992568"/>
    <w:rsid w:val="009949D8"/>
    <w:rsid w:val="00994EAD"/>
    <w:rsid w:val="009A152F"/>
    <w:rsid w:val="009A2B0B"/>
    <w:rsid w:val="009A35FE"/>
    <w:rsid w:val="009A457C"/>
    <w:rsid w:val="009A646D"/>
    <w:rsid w:val="009B2100"/>
    <w:rsid w:val="009B3DB9"/>
    <w:rsid w:val="009B4345"/>
    <w:rsid w:val="009B5A61"/>
    <w:rsid w:val="009B5F99"/>
    <w:rsid w:val="009B6EE2"/>
    <w:rsid w:val="009B79C7"/>
    <w:rsid w:val="009C361B"/>
    <w:rsid w:val="009C5BD6"/>
    <w:rsid w:val="009C6ACB"/>
    <w:rsid w:val="009C7BD7"/>
    <w:rsid w:val="009D0A0F"/>
    <w:rsid w:val="009D0BDE"/>
    <w:rsid w:val="009D2B87"/>
    <w:rsid w:val="009D383B"/>
    <w:rsid w:val="009D38D5"/>
    <w:rsid w:val="009D5C55"/>
    <w:rsid w:val="009E4A7A"/>
    <w:rsid w:val="009E668F"/>
    <w:rsid w:val="009F304C"/>
    <w:rsid w:val="009F4406"/>
    <w:rsid w:val="009F6E76"/>
    <w:rsid w:val="009F7D24"/>
    <w:rsid w:val="00A015FE"/>
    <w:rsid w:val="00A019E8"/>
    <w:rsid w:val="00A055FF"/>
    <w:rsid w:val="00A12C85"/>
    <w:rsid w:val="00A13767"/>
    <w:rsid w:val="00A15307"/>
    <w:rsid w:val="00A15DE7"/>
    <w:rsid w:val="00A1715E"/>
    <w:rsid w:val="00A177A0"/>
    <w:rsid w:val="00A223ED"/>
    <w:rsid w:val="00A2468A"/>
    <w:rsid w:val="00A25D4D"/>
    <w:rsid w:val="00A2698D"/>
    <w:rsid w:val="00A27092"/>
    <w:rsid w:val="00A30D66"/>
    <w:rsid w:val="00A46107"/>
    <w:rsid w:val="00A46B31"/>
    <w:rsid w:val="00A46FCD"/>
    <w:rsid w:val="00A503B7"/>
    <w:rsid w:val="00A51042"/>
    <w:rsid w:val="00A528F7"/>
    <w:rsid w:val="00A62B6D"/>
    <w:rsid w:val="00A62E9A"/>
    <w:rsid w:val="00A7130E"/>
    <w:rsid w:val="00A73DCE"/>
    <w:rsid w:val="00A741D2"/>
    <w:rsid w:val="00A744B4"/>
    <w:rsid w:val="00A80E22"/>
    <w:rsid w:val="00A8373A"/>
    <w:rsid w:val="00A84D8E"/>
    <w:rsid w:val="00A85284"/>
    <w:rsid w:val="00A91C96"/>
    <w:rsid w:val="00AA0330"/>
    <w:rsid w:val="00AA3963"/>
    <w:rsid w:val="00AA4E1A"/>
    <w:rsid w:val="00AA54CB"/>
    <w:rsid w:val="00AA64C0"/>
    <w:rsid w:val="00AA66F1"/>
    <w:rsid w:val="00AA6B43"/>
    <w:rsid w:val="00AA6C87"/>
    <w:rsid w:val="00AA75BD"/>
    <w:rsid w:val="00AB0F7A"/>
    <w:rsid w:val="00AB1679"/>
    <w:rsid w:val="00AB1B33"/>
    <w:rsid w:val="00AB3EB7"/>
    <w:rsid w:val="00AC10D8"/>
    <w:rsid w:val="00AC1659"/>
    <w:rsid w:val="00AC21FA"/>
    <w:rsid w:val="00AC31AC"/>
    <w:rsid w:val="00AD1682"/>
    <w:rsid w:val="00AD17FF"/>
    <w:rsid w:val="00AD2A37"/>
    <w:rsid w:val="00AD6882"/>
    <w:rsid w:val="00AE2F8D"/>
    <w:rsid w:val="00AE4282"/>
    <w:rsid w:val="00AE555B"/>
    <w:rsid w:val="00AE6366"/>
    <w:rsid w:val="00AF0149"/>
    <w:rsid w:val="00AF14E3"/>
    <w:rsid w:val="00AF38E6"/>
    <w:rsid w:val="00B00662"/>
    <w:rsid w:val="00B0112C"/>
    <w:rsid w:val="00B02864"/>
    <w:rsid w:val="00B0493E"/>
    <w:rsid w:val="00B04B8B"/>
    <w:rsid w:val="00B06233"/>
    <w:rsid w:val="00B108B7"/>
    <w:rsid w:val="00B109D5"/>
    <w:rsid w:val="00B11D3C"/>
    <w:rsid w:val="00B12C18"/>
    <w:rsid w:val="00B15576"/>
    <w:rsid w:val="00B23332"/>
    <w:rsid w:val="00B238F0"/>
    <w:rsid w:val="00B31854"/>
    <w:rsid w:val="00B32B7D"/>
    <w:rsid w:val="00B33F34"/>
    <w:rsid w:val="00B34A22"/>
    <w:rsid w:val="00B35DC2"/>
    <w:rsid w:val="00B35E93"/>
    <w:rsid w:val="00B379F2"/>
    <w:rsid w:val="00B42667"/>
    <w:rsid w:val="00B44BE9"/>
    <w:rsid w:val="00B44C2C"/>
    <w:rsid w:val="00B4516F"/>
    <w:rsid w:val="00B46E4E"/>
    <w:rsid w:val="00B4740A"/>
    <w:rsid w:val="00B47C51"/>
    <w:rsid w:val="00B515E2"/>
    <w:rsid w:val="00B52D6A"/>
    <w:rsid w:val="00B5512A"/>
    <w:rsid w:val="00B60037"/>
    <w:rsid w:val="00B61FD2"/>
    <w:rsid w:val="00B6210D"/>
    <w:rsid w:val="00B638D0"/>
    <w:rsid w:val="00B67E20"/>
    <w:rsid w:val="00B73B33"/>
    <w:rsid w:val="00B74D74"/>
    <w:rsid w:val="00B74FBC"/>
    <w:rsid w:val="00B759D0"/>
    <w:rsid w:val="00B75B30"/>
    <w:rsid w:val="00B75C71"/>
    <w:rsid w:val="00B7711F"/>
    <w:rsid w:val="00B77A01"/>
    <w:rsid w:val="00B77AB2"/>
    <w:rsid w:val="00B81F09"/>
    <w:rsid w:val="00B83E24"/>
    <w:rsid w:val="00B84C5E"/>
    <w:rsid w:val="00B92999"/>
    <w:rsid w:val="00B92CF7"/>
    <w:rsid w:val="00B94EB6"/>
    <w:rsid w:val="00B9597E"/>
    <w:rsid w:val="00B96275"/>
    <w:rsid w:val="00B96827"/>
    <w:rsid w:val="00B97B6D"/>
    <w:rsid w:val="00BA1047"/>
    <w:rsid w:val="00BA2041"/>
    <w:rsid w:val="00BA3763"/>
    <w:rsid w:val="00BA5886"/>
    <w:rsid w:val="00BA593C"/>
    <w:rsid w:val="00BA687E"/>
    <w:rsid w:val="00BA7BC8"/>
    <w:rsid w:val="00BB023E"/>
    <w:rsid w:val="00BB140A"/>
    <w:rsid w:val="00BB1F17"/>
    <w:rsid w:val="00BB49EC"/>
    <w:rsid w:val="00BB4FF1"/>
    <w:rsid w:val="00BC2A84"/>
    <w:rsid w:val="00BC32B0"/>
    <w:rsid w:val="00BC374C"/>
    <w:rsid w:val="00BC5B7E"/>
    <w:rsid w:val="00BC7DD2"/>
    <w:rsid w:val="00BD1765"/>
    <w:rsid w:val="00BD2CCF"/>
    <w:rsid w:val="00BD2EEE"/>
    <w:rsid w:val="00BD4569"/>
    <w:rsid w:val="00BD7E1E"/>
    <w:rsid w:val="00BE306A"/>
    <w:rsid w:val="00BE4F7F"/>
    <w:rsid w:val="00BE6D99"/>
    <w:rsid w:val="00BE7F2C"/>
    <w:rsid w:val="00BF28EB"/>
    <w:rsid w:val="00BF7A59"/>
    <w:rsid w:val="00C04020"/>
    <w:rsid w:val="00C048E6"/>
    <w:rsid w:val="00C073A9"/>
    <w:rsid w:val="00C1223E"/>
    <w:rsid w:val="00C13868"/>
    <w:rsid w:val="00C157AD"/>
    <w:rsid w:val="00C204AF"/>
    <w:rsid w:val="00C22AA7"/>
    <w:rsid w:val="00C23BB9"/>
    <w:rsid w:val="00C269E5"/>
    <w:rsid w:val="00C3042A"/>
    <w:rsid w:val="00C30D36"/>
    <w:rsid w:val="00C32D32"/>
    <w:rsid w:val="00C3439F"/>
    <w:rsid w:val="00C362A9"/>
    <w:rsid w:val="00C419CD"/>
    <w:rsid w:val="00C44024"/>
    <w:rsid w:val="00C44249"/>
    <w:rsid w:val="00C444B7"/>
    <w:rsid w:val="00C446D2"/>
    <w:rsid w:val="00C44DFE"/>
    <w:rsid w:val="00C46E34"/>
    <w:rsid w:val="00C5023A"/>
    <w:rsid w:val="00C50CBD"/>
    <w:rsid w:val="00C50ED5"/>
    <w:rsid w:val="00C52760"/>
    <w:rsid w:val="00C5532C"/>
    <w:rsid w:val="00C601A5"/>
    <w:rsid w:val="00C63A2D"/>
    <w:rsid w:val="00C6487F"/>
    <w:rsid w:val="00C717D6"/>
    <w:rsid w:val="00C71D31"/>
    <w:rsid w:val="00C71FDA"/>
    <w:rsid w:val="00C7761C"/>
    <w:rsid w:val="00C7790A"/>
    <w:rsid w:val="00C83FB0"/>
    <w:rsid w:val="00C86B07"/>
    <w:rsid w:val="00C87404"/>
    <w:rsid w:val="00C9029C"/>
    <w:rsid w:val="00C912D3"/>
    <w:rsid w:val="00C91582"/>
    <w:rsid w:val="00C91D6F"/>
    <w:rsid w:val="00C9210C"/>
    <w:rsid w:val="00C928A7"/>
    <w:rsid w:val="00C931BC"/>
    <w:rsid w:val="00C94D2C"/>
    <w:rsid w:val="00C97CED"/>
    <w:rsid w:val="00CA1507"/>
    <w:rsid w:val="00CA1AD3"/>
    <w:rsid w:val="00CA7537"/>
    <w:rsid w:val="00CA753E"/>
    <w:rsid w:val="00CB356F"/>
    <w:rsid w:val="00CB3CE4"/>
    <w:rsid w:val="00CB65CC"/>
    <w:rsid w:val="00CC0212"/>
    <w:rsid w:val="00CC2DF5"/>
    <w:rsid w:val="00CC2FF4"/>
    <w:rsid w:val="00CC301D"/>
    <w:rsid w:val="00CC4A6B"/>
    <w:rsid w:val="00CC5CE1"/>
    <w:rsid w:val="00CC7331"/>
    <w:rsid w:val="00CD4B7E"/>
    <w:rsid w:val="00CE2573"/>
    <w:rsid w:val="00CF4B12"/>
    <w:rsid w:val="00CF5FC4"/>
    <w:rsid w:val="00CF6005"/>
    <w:rsid w:val="00CF61BD"/>
    <w:rsid w:val="00CF6A09"/>
    <w:rsid w:val="00D000CE"/>
    <w:rsid w:val="00D04716"/>
    <w:rsid w:val="00D05AE0"/>
    <w:rsid w:val="00D108C6"/>
    <w:rsid w:val="00D11BBB"/>
    <w:rsid w:val="00D11FCE"/>
    <w:rsid w:val="00D1309C"/>
    <w:rsid w:val="00D144DA"/>
    <w:rsid w:val="00D24287"/>
    <w:rsid w:val="00D26644"/>
    <w:rsid w:val="00D267FC"/>
    <w:rsid w:val="00D2763E"/>
    <w:rsid w:val="00D31874"/>
    <w:rsid w:val="00D349B7"/>
    <w:rsid w:val="00D423E1"/>
    <w:rsid w:val="00D42812"/>
    <w:rsid w:val="00D42A3C"/>
    <w:rsid w:val="00D43688"/>
    <w:rsid w:val="00D43E51"/>
    <w:rsid w:val="00D44BD6"/>
    <w:rsid w:val="00D46A91"/>
    <w:rsid w:val="00D46EEE"/>
    <w:rsid w:val="00D52299"/>
    <w:rsid w:val="00D547C2"/>
    <w:rsid w:val="00D55AD1"/>
    <w:rsid w:val="00D56CD6"/>
    <w:rsid w:val="00D619D1"/>
    <w:rsid w:val="00D6209E"/>
    <w:rsid w:val="00D660E3"/>
    <w:rsid w:val="00D66B5D"/>
    <w:rsid w:val="00D66D58"/>
    <w:rsid w:val="00D67165"/>
    <w:rsid w:val="00D735EB"/>
    <w:rsid w:val="00D74EED"/>
    <w:rsid w:val="00D81DE7"/>
    <w:rsid w:val="00D8217A"/>
    <w:rsid w:val="00D845AA"/>
    <w:rsid w:val="00D85EBE"/>
    <w:rsid w:val="00D85F70"/>
    <w:rsid w:val="00D90C77"/>
    <w:rsid w:val="00D9673B"/>
    <w:rsid w:val="00D96768"/>
    <w:rsid w:val="00DA283B"/>
    <w:rsid w:val="00DA3E7D"/>
    <w:rsid w:val="00DA792E"/>
    <w:rsid w:val="00DB3E46"/>
    <w:rsid w:val="00DB4613"/>
    <w:rsid w:val="00DB5111"/>
    <w:rsid w:val="00DB518B"/>
    <w:rsid w:val="00DB6B38"/>
    <w:rsid w:val="00DB6E0F"/>
    <w:rsid w:val="00DC06C5"/>
    <w:rsid w:val="00DC39E4"/>
    <w:rsid w:val="00DC581E"/>
    <w:rsid w:val="00DC62DF"/>
    <w:rsid w:val="00DC63E7"/>
    <w:rsid w:val="00DD18A7"/>
    <w:rsid w:val="00DD2797"/>
    <w:rsid w:val="00DD5844"/>
    <w:rsid w:val="00DD6037"/>
    <w:rsid w:val="00DE1126"/>
    <w:rsid w:val="00DE25D1"/>
    <w:rsid w:val="00DE5E6C"/>
    <w:rsid w:val="00DF0545"/>
    <w:rsid w:val="00DF4B82"/>
    <w:rsid w:val="00DF7DF0"/>
    <w:rsid w:val="00E01F48"/>
    <w:rsid w:val="00E033E3"/>
    <w:rsid w:val="00E03A1D"/>
    <w:rsid w:val="00E05C99"/>
    <w:rsid w:val="00E10DA4"/>
    <w:rsid w:val="00E110E8"/>
    <w:rsid w:val="00E136C6"/>
    <w:rsid w:val="00E157DB"/>
    <w:rsid w:val="00E15D44"/>
    <w:rsid w:val="00E17242"/>
    <w:rsid w:val="00E17500"/>
    <w:rsid w:val="00E17547"/>
    <w:rsid w:val="00E26DBB"/>
    <w:rsid w:val="00E26E35"/>
    <w:rsid w:val="00E33104"/>
    <w:rsid w:val="00E36160"/>
    <w:rsid w:val="00E36A85"/>
    <w:rsid w:val="00E401A9"/>
    <w:rsid w:val="00E41185"/>
    <w:rsid w:val="00E41DB6"/>
    <w:rsid w:val="00E42534"/>
    <w:rsid w:val="00E43306"/>
    <w:rsid w:val="00E503FE"/>
    <w:rsid w:val="00E5103D"/>
    <w:rsid w:val="00E53054"/>
    <w:rsid w:val="00E57D04"/>
    <w:rsid w:val="00E6468B"/>
    <w:rsid w:val="00E64D95"/>
    <w:rsid w:val="00E66E72"/>
    <w:rsid w:val="00E6714A"/>
    <w:rsid w:val="00E67F3E"/>
    <w:rsid w:val="00E73DCE"/>
    <w:rsid w:val="00E744E0"/>
    <w:rsid w:val="00E75DFD"/>
    <w:rsid w:val="00E83759"/>
    <w:rsid w:val="00E84437"/>
    <w:rsid w:val="00E85297"/>
    <w:rsid w:val="00E871E3"/>
    <w:rsid w:val="00E90E8D"/>
    <w:rsid w:val="00E96E29"/>
    <w:rsid w:val="00EA3AC2"/>
    <w:rsid w:val="00EA67DB"/>
    <w:rsid w:val="00EA6A80"/>
    <w:rsid w:val="00EB257E"/>
    <w:rsid w:val="00EB2A93"/>
    <w:rsid w:val="00EB31DA"/>
    <w:rsid w:val="00EB40E8"/>
    <w:rsid w:val="00EB5E5C"/>
    <w:rsid w:val="00EB69C4"/>
    <w:rsid w:val="00EC3634"/>
    <w:rsid w:val="00ED0C47"/>
    <w:rsid w:val="00ED1F9C"/>
    <w:rsid w:val="00ED2374"/>
    <w:rsid w:val="00ED2EB8"/>
    <w:rsid w:val="00ED31C8"/>
    <w:rsid w:val="00ED4D0D"/>
    <w:rsid w:val="00ED5F57"/>
    <w:rsid w:val="00EE0928"/>
    <w:rsid w:val="00EE23D6"/>
    <w:rsid w:val="00EE3102"/>
    <w:rsid w:val="00EE3848"/>
    <w:rsid w:val="00EF44AF"/>
    <w:rsid w:val="00EF6A1D"/>
    <w:rsid w:val="00EF7DA9"/>
    <w:rsid w:val="00F04752"/>
    <w:rsid w:val="00F04BC4"/>
    <w:rsid w:val="00F078C1"/>
    <w:rsid w:val="00F07DEF"/>
    <w:rsid w:val="00F104FB"/>
    <w:rsid w:val="00F11C5E"/>
    <w:rsid w:val="00F27CD1"/>
    <w:rsid w:val="00F32729"/>
    <w:rsid w:val="00F32C22"/>
    <w:rsid w:val="00F33C11"/>
    <w:rsid w:val="00F361E0"/>
    <w:rsid w:val="00F471EE"/>
    <w:rsid w:val="00F6250E"/>
    <w:rsid w:val="00F625E8"/>
    <w:rsid w:val="00F63D80"/>
    <w:rsid w:val="00F65EE3"/>
    <w:rsid w:val="00F66AF3"/>
    <w:rsid w:val="00F67415"/>
    <w:rsid w:val="00F67489"/>
    <w:rsid w:val="00F76324"/>
    <w:rsid w:val="00F77583"/>
    <w:rsid w:val="00F80E2B"/>
    <w:rsid w:val="00F8481A"/>
    <w:rsid w:val="00F90B3E"/>
    <w:rsid w:val="00F932A8"/>
    <w:rsid w:val="00FA0E1E"/>
    <w:rsid w:val="00FA20F0"/>
    <w:rsid w:val="00FA5418"/>
    <w:rsid w:val="00FA58CB"/>
    <w:rsid w:val="00FA6B1C"/>
    <w:rsid w:val="00FA6FFE"/>
    <w:rsid w:val="00FB5B7E"/>
    <w:rsid w:val="00FC73A9"/>
    <w:rsid w:val="00FD07E7"/>
    <w:rsid w:val="00FD0D82"/>
    <w:rsid w:val="00FD3A5E"/>
    <w:rsid w:val="00FD3EE3"/>
    <w:rsid w:val="00FD60B7"/>
    <w:rsid w:val="00FD6230"/>
    <w:rsid w:val="00FD7610"/>
    <w:rsid w:val="00FD78BA"/>
    <w:rsid w:val="00FE477F"/>
    <w:rsid w:val="00FE4D89"/>
    <w:rsid w:val="00FF0C61"/>
    <w:rsid w:val="00FF12F0"/>
    <w:rsid w:val="00FF37A6"/>
    <w:rsid w:val="00FF3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F3FC625"/>
  <w15:docId w15:val="{4545986A-EEE9-46C1-B6E7-AB11BBCE5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D2A37"/>
    <w:pPr>
      <w:spacing w:before="80" w:after="80" w:line="240" w:lineRule="auto"/>
    </w:pPr>
  </w:style>
  <w:style w:type="paragraph" w:styleId="Heading1">
    <w:name w:val="heading 1"/>
    <w:basedOn w:val="Normal"/>
    <w:next w:val="Normal"/>
    <w:link w:val="Heading1Char"/>
    <w:uiPriority w:val="9"/>
    <w:qFormat/>
    <w:rsid w:val="00AD2A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D2A3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PHeading1">
    <w:name w:val="VP Heading 1"/>
    <w:basedOn w:val="Heading1"/>
    <w:next w:val="VPBody"/>
    <w:autoRedefine/>
    <w:qFormat/>
    <w:rsid w:val="00476987"/>
    <w:pPr>
      <w:numPr>
        <w:numId w:val="2"/>
      </w:numPr>
      <w:spacing w:before="600" w:after="360" w:line="259" w:lineRule="auto"/>
      <w:ind w:left="357" w:hanging="357"/>
    </w:pPr>
    <w:rPr>
      <w:rFonts w:ascii="Times New Roman" w:hAnsi="Times New Roman"/>
      <w:b/>
      <w:color w:val="auto"/>
      <w:sz w:val="36"/>
    </w:rPr>
  </w:style>
  <w:style w:type="paragraph" w:customStyle="1" w:styleId="VPBody">
    <w:name w:val="VP Body"/>
    <w:basedOn w:val="Normal"/>
    <w:link w:val="VPBodyChar"/>
    <w:qFormat/>
    <w:rsid w:val="00AD2A37"/>
    <w:pPr>
      <w:tabs>
        <w:tab w:val="left" w:pos="0"/>
      </w:tabs>
      <w:jc w:val="both"/>
    </w:pPr>
    <w:rPr>
      <w:rFonts w:ascii="Times New Roman" w:hAnsi="Times New Roman" w:cs="Times New Roman"/>
      <w:bCs/>
      <w:sz w:val="24"/>
    </w:rPr>
  </w:style>
  <w:style w:type="paragraph" w:customStyle="1" w:styleId="VPTitle">
    <w:name w:val="VP Title"/>
    <w:basedOn w:val="Title"/>
    <w:qFormat/>
    <w:rsid w:val="00AD2A37"/>
    <w:pPr>
      <w:spacing w:before="80" w:line="360" w:lineRule="auto"/>
      <w:jc w:val="center"/>
    </w:pPr>
    <w:rPr>
      <w:rFonts w:ascii="Times New Roman" w:hAnsi="Times New Roman"/>
      <w:b/>
      <w:sz w:val="48"/>
    </w:rPr>
  </w:style>
  <w:style w:type="paragraph" w:customStyle="1" w:styleId="VPHeading2">
    <w:name w:val="VP Heading 2"/>
    <w:basedOn w:val="Heading2"/>
    <w:next w:val="VPBody"/>
    <w:link w:val="VPHeading2Char"/>
    <w:autoRedefine/>
    <w:qFormat/>
    <w:rsid w:val="000B49EB"/>
    <w:pPr>
      <w:numPr>
        <w:ilvl w:val="1"/>
        <w:numId w:val="2"/>
      </w:numPr>
      <w:spacing w:before="160" w:after="120" w:line="259" w:lineRule="auto"/>
      <w:ind w:left="0" w:firstLine="0"/>
    </w:pPr>
    <w:rPr>
      <w:rFonts w:ascii="Times New Roman" w:hAnsi="Times New Roman"/>
      <w:b/>
      <w:color w:val="000000" w:themeColor="text1"/>
      <w:sz w:val="32"/>
    </w:rPr>
  </w:style>
  <w:style w:type="paragraph" w:customStyle="1" w:styleId="VPMessage">
    <w:name w:val="VP Message"/>
    <w:basedOn w:val="Normal"/>
    <w:next w:val="VPBody"/>
    <w:qFormat/>
    <w:rsid w:val="00AD2A37"/>
    <w:rPr>
      <w:rFonts w:ascii="Times New Roman" w:hAnsi="Times New Roman"/>
      <w:b/>
      <w:i/>
      <w:sz w:val="26"/>
    </w:rPr>
  </w:style>
  <w:style w:type="paragraph" w:customStyle="1" w:styleId="VPTitle2">
    <w:name w:val="VP Title 2"/>
    <w:basedOn w:val="VPTitle"/>
    <w:qFormat/>
    <w:rsid w:val="00AD2A37"/>
    <w:rPr>
      <w:sz w:val="36"/>
    </w:rPr>
  </w:style>
  <w:style w:type="paragraph" w:customStyle="1" w:styleId="ISBodyText">
    <w:name w:val="IS Body Text"/>
    <w:basedOn w:val="Normal"/>
    <w:link w:val="ISBodyTextChar"/>
    <w:uiPriority w:val="99"/>
    <w:qFormat/>
    <w:rsid w:val="00AD2A37"/>
    <w:pPr>
      <w:overflowPunct w:val="0"/>
      <w:autoSpaceDE w:val="0"/>
      <w:autoSpaceDN w:val="0"/>
      <w:adjustRightInd w:val="0"/>
      <w:spacing w:before="120" w:after="120"/>
      <w:jc w:val="both"/>
      <w:textAlignment w:val="baseline"/>
    </w:pPr>
    <w:rPr>
      <w:rFonts w:ascii="Segoe UI" w:eastAsia="MS Mincho" w:hAnsi="Segoe UI" w:cs="Segoe UI"/>
      <w:bCs/>
    </w:rPr>
  </w:style>
  <w:style w:type="character" w:customStyle="1" w:styleId="ISBodyTextChar">
    <w:name w:val="IS Body Text Char"/>
    <w:basedOn w:val="DefaultParagraphFont"/>
    <w:link w:val="ISBodyText"/>
    <w:uiPriority w:val="99"/>
    <w:rsid w:val="00AD2A37"/>
    <w:rPr>
      <w:rFonts w:ascii="Segoe UI" w:eastAsia="MS Mincho" w:hAnsi="Segoe UI" w:cs="Segoe UI"/>
      <w:bCs/>
    </w:rPr>
  </w:style>
  <w:style w:type="paragraph" w:customStyle="1" w:styleId="VPBodyTable">
    <w:name w:val="VP Body Table"/>
    <w:basedOn w:val="VPBody"/>
    <w:qFormat/>
    <w:rsid w:val="00AA54CB"/>
    <w:pPr>
      <w:spacing w:line="264" w:lineRule="auto"/>
      <w:jc w:val="left"/>
    </w:pPr>
    <w:rPr>
      <w:sz w:val="22"/>
    </w:rPr>
  </w:style>
  <w:style w:type="paragraph" w:customStyle="1" w:styleId="VPTableName">
    <w:name w:val="VP Table Name"/>
    <w:basedOn w:val="VPBody"/>
    <w:next w:val="VPBody"/>
    <w:qFormat/>
    <w:rsid w:val="00AD2A37"/>
    <w:pPr>
      <w:spacing w:after="40"/>
    </w:pPr>
    <w:rPr>
      <w:b/>
      <w:sz w:val="22"/>
    </w:rPr>
  </w:style>
  <w:style w:type="paragraph" w:customStyle="1" w:styleId="VPBullet1">
    <w:name w:val="VP Bullet 1"/>
    <w:basedOn w:val="VPBody"/>
    <w:qFormat/>
    <w:rsid w:val="00AD2A37"/>
    <w:pPr>
      <w:numPr>
        <w:numId w:val="1"/>
      </w:numPr>
      <w:spacing w:before="120"/>
    </w:pPr>
  </w:style>
  <w:style w:type="table" w:styleId="TableGrid">
    <w:name w:val="Table Grid"/>
    <w:basedOn w:val="TableNormal"/>
    <w:uiPriority w:val="39"/>
    <w:rsid w:val="00AD2A37"/>
    <w:pPr>
      <w:spacing w:before="8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PHeading3">
    <w:name w:val="VP Heading 3"/>
    <w:basedOn w:val="VPHeading2"/>
    <w:next w:val="VPBody"/>
    <w:autoRedefine/>
    <w:qFormat/>
    <w:rsid w:val="000B49EB"/>
    <w:pPr>
      <w:numPr>
        <w:ilvl w:val="2"/>
      </w:numPr>
      <w:spacing w:before="280" w:after="240"/>
      <w:outlineLvl w:val="2"/>
    </w:pPr>
    <w:rPr>
      <w:sz w:val="24"/>
      <w:szCs w:val="24"/>
    </w:rPr>
  </w:style>
  <w:style w:type="paragraph" w:styleId="Footer">
    <w:name w:val="footer"/>
    <w:basedOn w:val="Normal"/>
    <w:link w:val="FooterChar"/>
    <w:uiPriority w:val="99"/>
    <w:unhideWhenUsed/>
    <w:rsid w:val="00AD2A37"/>
    <w:pPr>
      <w:tabs>
        <w:tab w:val="center" w:pos="4153"/>
        <w:tab w:val="right" w:pos="8306"/>
      </w:tabs>
      <w:spacing w:after="0"/>
    </w:pPr>
  </w:style>
  <w:style w:type="character" w:customStyle="1" w:styleId="FooterChar">
    <w:name w:val="Footer Char"/>
    <w:basedOn w:val="DefaultParagraphFont"/>
    <w:link w:val="Footer"/>
    <w:uiPriority w:val="99"/>
    <w:rsid w:val="00AD2A37"/>
  </w:style>
  <w:style w:type="paragraph" w:styleId="TOC1">
    <w:name w:val="toc 1"/>
    <w:basedOn w:val="Normal"/>
    <w:next w:val="Normal"/>
    <w:autoRedefine/>
    <w:uiPriority w:val="39"/>
    <w:unhideWhenUsed/>
    <w:rsid w:val="00AA54CB"/>
    <w:pPr>
      <w:tabs>
        <w:tab w:val="left" w:pos="426"/>
        <w:tab w:val="right" w:leader="dot" w:pos="9061"/>
      </w:tabs>
      <w:spacing w:after="0"/>
    </w:pPr>
  </w:style>
  <w:style w:type="paragraph" w:styleId="TOC2">
    <w:name w:val="toc 2"/>
    <w:basedOn w:val="Normal"/>
    <w:next w:val="Normal"/>
    <w:autoRedefine/>
    <w:uiPriority w:val="39"/>
    <w:unhideWhenUsed/>
    <w:rsid w:val="00AD2A37"/>
    <w:pPr>
      <w:tabs>
        <w:tab w:val="left" w:pos="880"/>
        <w:tab w:val="right" w:leader="dot" w:pos="9071"/>
      </w:tabs>
      <w:spacing w:after="100" w:line="360" w:lineRule="auto"/>
      <w:ind w:left="432"/>
      <w:contextualSpacing/>
    </w:pPr>
  </w:style>
  <w:style w:type="character" w:styleId="Hyperlink">
    <w:name w:val="Hyperlink"/>
    <w:basedOn w:val="DefaultParagraphFont"/>
    <w:uiPriority w:val="99"/>
    <w:unhideWhenUsed/>
    <w:rsid w:val="00AD2A37"/>
    <w:rPr>
      <w:color w:val="0563C1" w:themeColor="hyperlink"/>
      <w:u w:val="single"/>
    </w:rPr>
  </w:style>
  <w:style w:type="character" w:customStyle="1" w:styleId="VPHeading2Char">
    <w:name w:val="VP Heading 2 Char"/>
    <w:basedOn w:val="Heading2Char"/>
    <w:link w:val="VPHeading2"/>
    <w:rsid w:val="000B49EB"/>
    <w:rPr>
      <w:rFonts w:ascii="Times New Roman" w:eastAsiaTheme="majorEastAsia" w:hAnsi="Times New Roman" w:cstheme="majorBidi"/>
      <w:b/>
      <w:color w:val="000000" w:themeColor="text1"/>
      <w:sz w:val="32"/>
      <w:szCs w:val="26"/>
    </w:rPr>
  </w:style>
  <w:style w:type="character" w:customStyle="1" w:styleId="Heading1Char">
    <w:name w:val="Heading 1 Char"/>
    <w:basedOn w:val="DefaultParagraphFont"/>
    <w:link w:val="Heading1"/>
    <w:uiPriority w:val="9"/>
    <w:rsid w:val="00AD2A37"/>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AD2A37"/>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D2A37"/>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semiHidden/>
    <w:rsid w:val="00AD2A37"/>
    <w:rPr>
      <w:rFonts w:asciiTheme="majorHAnsi" w:eastAsiaTheme="majorEastAsia" w:hAnsiTheme="majorHAnsi" w:cstheme="majorBidi"/>
      <w:color w:val="2E74B5" w:themeColor="accent1" w:themeShade="BF"/>
      <w:sz w:val="26"/>
      <w:szCs w:val="26"/>
    </w:rPr>
  </w:style>
  <w:style w:type="paragraph" w:styleId="FootnoteText">
    <w:name w:val="footnote text"/>
    <w:aliases w:val="Char10,Char1,Fußnotentext Char Char Char,Fußnotentext Char Char Char Char Char Char Char Char Char Char,Fußnotentext Char Char Char Char Char Char Char,Fußnotentext Char Char Char Char Char Char Char Char,Fußnote Char Char Char,fn,FT,ft"/>
    <w:basedOn w:val="Normal"/>
    <w:link w:val="FootnoteTextChar"/>
    <w:uiPriority w:val="99"/>
    <w:unhideWhenUsed/>
    <w:rsid w:val="00AB3EB7"/>
    <w:pPr>
      <w:spacing w:before="0" w:after="0"/>
    </w:pPr>
    <w:rPr>
      <w:sz w:val="20"/>
      <w:szCs w:val="20"/>
    </w:rPr>
  </w:style>
  <w:style w:type="character" w:customStyle="1" w:styleId="FootnoteTextChar">
    <w:name w:val="Footnote Text Char"/>
    <w:aliases w:val="Char10 Char,Char1 Char,Fußnotentext Char Char Char Char,Fußnotentext Char Char Char Char Char Char Char Char Char Char Char,Fußnotentext Char Char Char Char Char Char Char Char1,Fußnote Char Char Char Char,fn Char,FT Char,ft Char"/>
    <w:basedOn w:val="DefaultParagraphFont"/>
    <w:link w:val="FootnoteText"/>
    <w:uiPriority w:val="99"/>
    <w:rsid w:val="00AB3EB7"/>
    <w:rPr>
      <w:sz w:val="20"/>
      <w:szCs w:val="20"/>
    </w:rPr>
  </w:style>
  <w:style w:type="character" w:styleId="FootnoteReference">
    <w:name w:val="footnote reference"/>
    <w:aliases w:val="Footnote symbol,Footnote Reference Number,fr"/>
    <w:basedOn w:val="DefaultParagraphFont"/>
    <w:uiPriority w:val="99"/>
    <w:unhideWhenUsed/>
    <w:rsid w:val="00AB3EB7"/>
    <w:rPr>
      <w:vertAlign w:val="superscript"/>
    </w:rPr>
  </w:style>
  <w:style w:type="paragraph" w:styleId="Caption">
    <w:name w:val="caption"/>
    <w:aliases w:val="VP Caption"/>
    <w:basedOn w:val="Normal"/>
    <w:next w:val="Normal"/>
    <w:link w:val="CaptionChar"/>
    <w:unhideWhenUsed/>
    <w:qFormat/>
    <w:rsid w:val="006F5E34"/>
    <w:pPr>
      <w:spacing w:before="0" w:after="200"/>
    </w:pPr>
    <w:rPr>
      <w:i/>
      <w:iCs/>
      <w:color w:val="44546A" w:themeColor="text2"/>
      <w:sz w:val="18"/>
      <w:szCs w:val="18"/>
    </w:rPr>
  </w:style>
  <w:style w:type="character" w:customStyle="1" w:styleId="CaptionChar">
    <w:name w:val="Caption Char"/>
    <w:aliases w:val="VP Caption Char"/>
    <w:link w:val="Caption"/>
    <w:locked/>
    <w:rsid w:val="00984B14"/>
    <w:rPr>
      <w:i/>
      <w:iCs/>
      <w:color w:val="44546A" w:themeColor="text2"/>
      <w:sz w:val="18"/>
      <w:szCs w:val="18"/>
    </w:rPr>
  </w:style>
  <w:style w:type="paragraph" w:styleId="Header">
    <w:name w:val="header"/>
    <w:basedOn w:val="Normal"/>
    <w:link w:val="HeaderChar"/>
    <w:uiPriority w:val="99"/>
    <w:unhideWhenUsed/>
    <w:rsid w:val="00984B14"/>
    <w:pPr>
      <w:tabs>
        <w:tab w:val="center" w:pos="4153"/>
        <w:tab w:val="right" w:pos="8306"/>
      </w:tabs>
      <w:spacing w:before="0" w:after="0"/>
    </w:pPr>
  </w:style>
  <w:style w:type="character" w:customStyle="1" w:styleId="HeaderChar">
    <w:name w:val="Header Char"/>
    <w:basedOn w:val="DefaultParagraphFont"/>
    <w:link w:val="Header"/>
    <w:uiPriority w:val="99"/>
    <w:rsid w:val="00984B14"/>
  </w:style>
  <w:style w:type="character" w:styleId="CommentReference">
    <w:name w:val="annotation reference"/>
    <w:basedOn w:val="DefaultParagraphFont"/>
    <w:uiPriority w:val="99"/>
    <w:unhideWhenUsed/>
    <w:rsid w:val="0038731B"/>
    <w:rPr>
      <w:sz w:val="16"/>
      <w:szCs w:val="16"/>
    </w:rPr>
  </w:style>
  <w:style w:type="paragraph" w:styleId="CommentText">
    <w:name w:val="annotation text"/>
    <w:basedOn w:val="Normal"/>
    <w:link w:val="CommentTextChar"/>
    <w:uiPriority w:val="99"/>
    <w:unhideWhenUsed/>
    <w:rsid w:val="0038731B"/>
    <w:rPr>
      <w:sz w:val="20"/>
      <w:szCs w:val="20"/>
    </w:rPr>
  </w:style>
  <w:style w:type="character" w:customStyle="1" w:styleId="CommentTextChar">
    <w:name w:val="Comment Text Char"/>
    <w:basedOn w:val="DefaultParagraphFont"/>
    <w:link w:val="CommentText"/>
    <w:uiPriority w:val="99"/>
    <w:rsid w:val="0038731B"/>
    <w:rPr>
      <w:sz w:val="20"/>
      <w:szCs w:val="20"/>
    </w:rPr>
  </w:style>
  <w:style w:type="paragraph" w:styleId="CommentSubject">
    <w:name w:val="annotation subject"/>
    <w:basedOn w:val="CommentText"/>
    <w:next w:val="CommentText"/>
    <w:link w:val="CommentSubjectChar"/>
    <w:uiPriority w:val="99"/>
    <w:semiHidden/>
    <w:unhideWhenUsed/>
    <w:rsid w:val="0038731B"/>
    <w:rPr>
      <w:b/>
      <w:bCs/>
    </w:rPr>
  </w:style>
  <w:style w:type="character" w:customStyle="1" w:styleId="CommentSubjectChar">
    <w:name w:val="Comment Subject Char"/>
    <w:basedOn w:val="CommentTextChar"/>
    <w:link w:val="CommentSubject"/>
    <w:uiPriority w:val="99"/>
    <w:semiHidden/>
    <w:rsid w:val="0038731B"/>
    <w:rPr>
      <w:b/>
      <w:bCs/>
      <w:sz w:val="20"/>
      <w:szCs w:val="20"/>
    </w:rPr>
  </w:style>
  <w:style w:type="paragraph" w:styleId="BalloonText">
    <w:name w:val="Balloon Text"/>
    <w:basedOn w:val="Normal"/>
    <w:link w:val="BalloonTextChar"/>
    <w:uiPriority w:val="99"/>
    <w:semiHidden/>
    <w:unhideWhenUsed/>
    <w:rsid w:val="0038731B"/>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31B"/>
    <w:rPr>
      <w:rFonts w:ascii="Segoe UI" w:hAnsi="Segoe UI" w:cs="Segoe UI"/>
      <w:sz w:val="18"/>
      <w:szCs w:val="18"/>
    </w:rPr>
  </w:style>
  <w:style w:type="paragraph" w:styleId="ListParagraph">
    <w:name w:val="List Paragraph"/>
    <w:aliases w:val="2"/>
    <w:basedOn w:val="Normal"/>
    <w:link w:val="ListParagraphChar"/>
    <w:uiPriority w:val="34"/>
    <w:qFormat/>
    <w:rsid w:val="00800DA2"/>
    <w:pPr>
      <w:spacing w:before="0" w:after="0"/>
      <w:ind w:left="720"/>
      <w:contextualSpacing/>
    </w:pPr>
    <w:rPr>
      <w:rFonts w:ascii="Times New Roman" w:eastAsia="PMingLiU" w:hAnsi="Times New Roman" w:cs="Times New Roman"/>
      <w:sz w:val="24"/>
    </w:rPr>
  </w:style>
  <w:style w:type="character" w:customStyle="1" w:styleId="ListParagraphChar">
    <w:name w:val="List Paragraph Char"/>
    <w:aliases w:val="2 Char"/>
    <w:link w:val="ListParagraph"/>
    <w:uiPriority w:val="34"/>
    <w:rsid w:val="00800DA2"/>
    <w:rPr>
      <w:rFonts w:ascii="Times New Roman" w:eastAsia="PMingLiU" w:hAnsi="Times New Roman" w:cs="Times New Roman"/>
      <w:sz w:val="24"/>
    </w:rPr>
  </w:style>
  <w:style w:type="paragraph" w:styleId="Revision">
    <w:name w:val="Revision"/>
    <w:hidden/>
    <w:uiPriority w:val="99"/>
    <w:semiHidden/>
    <w:rsid w:val="00E05C99"/>
    <w:pPr>
      <w:spacing w:after="0" w:line="240" w:lineRule="auto"/>
    </w:pPr>
  </w:style>
  <w:style w:type="paragraph" w:customStyle="1" w:styleId="ISBodySubhead">
    <w:name w:val="IS Body Subhead"/>
    <w:basedOn w:val="ISBodyText"/>
    <w:next w:val="ISBodyText"/>
    <w:uiPriority w:val="99"/>
    <w:qFormat/>
    <w:rsid w:val="00725F09"/>
    <w:pPr>
      <w:keepNext/>
      <w:spacing w:before="240"/>
    </w:pPr>
    <w:rPr>
      <w:b/>
      <w:bCs w:val="0"/>
      <w:i/>
      <w:iCs/>
      <w:sz w:val="24"/>
      <w:szCs w:val="24"/>
    </w:rPr>
  </w:style>
  <w:style w:type="paragraph" w:customStyle="1" w:styleId="ISBulletText">
    <w:name w:val="IS Bullet Text"/>
    <w:basedOn w:val="ISBodyText"/>
    <w:link w:val="ISBulletTextChar"/>
    <w:uiPriority w:val="99"/>
    <w:qFormat/>
    <w:rsid w:val="00B109D5"/>
    <w:pPr>
      <w:numPr>
        <w:numId w:val="3"/>
      </w:numPr>
      <w:ind w:right="28"/>
    </w:pPr>
    <w:rPr>
      <w:rFonts w:ascii="Times New Roman" w:hAnsi="Times New Roman"/>
      <w:bCs w:val="0"/>
      <w:sz w:val="24"/>
      <w:szCs w:val="24"/>
      <w:lang w:eastAsia="lv-LV"/>
    </w:rPr>
  </w:style>
  <w:style w:type="character" w:customStyle="1" w:styleId="ISBulletTextChar">
    <w:name w:val="IS Bullet Text Char"/>
    <w:link w:val="ISBulletText"/>
    <w:uiPriority w:val="99"/>
    <w:locked/>
    <w:rsid w:val="00B109D5"/>
    <w:rPr>
      <w:rFonts w:ascii="Times New Roman" w:eastAsia="MS Mincho" w:hAnsi="Times New Roman" w:cs="Segoe UI"/>
      <w:sz w:val="24"/>
      <w:szCs w:val="24"/>
      <w:lang w:eastAsia="lv-LV"/>
    </w:rPr>
  </w:style>
  <w:style w:type="paragraph" w:styleId="TOC3">
    <w:name w:val="toc 3"/>
    <w:basedOn w:val="Normal"/>
    <w:next w:val="Normal"/>
    <w:autoRedefine/>
    <w:uiPriority w:val="39"/>
    <w:unhideWhenUsed/>
    <w:rsid w:val="002B3EE4"/>
    <w:pPr>
      <w:spacing w:after="100"/>
      <w:ind w:left="440"/>
    </w:pPr>
  </w:style>
  <w:style w:type="character" w:customStyle="1" w:styleId="a">
    <w:name w:val="a"/>
    <w:basedOn w:val="DefaultParagraphFont"/>
    <w:rsid w:val="006E5DE1"/>
  </w:style>
  <w:style w:type="character" w:styleId="FollowedHyperlink">
    <w:name w:val="FollowedHyperlink"/>
    <w:basedOn w:val="DefaultParagraphFont"/>
    <w:uiPriority w:val="99"/>
    <w:semiHidden/>
    <w:unhideWhenUsed/>
    <w:rsid w:val="00A015FE"/>
    <w:rPr>
      <w:color w:val="954F72" w:themeColor="followedHyperlink"/>
      <w:u w:val="single"/>
    </w:rPr>
  </w:style>
  <w:style w:type="paragraph" w:customStyle="1" w:styleId="Default">
    <w:name w:val="Default"/>
    <w:rsid w:val="00CB356F"/>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cwcot">
    <w:name w:val="cwcot"/>
    <w:basedOn w:val="DefaultParagraphFont"/>
    <w:rsid w:val="00674431"/>
  </w:style>
  <w:style w:type="paragraph" w:styleId="BodyText">
    <w:name w:val="Body Text"/>
    <w:basedOn w:val="Normal"/>
    <w:link w:val="BodyTextChar"/>
    <w:rsid w:val="00FB5B7E"/>
    <w:pPr>
      <w:spacing w:before="0" w:after="120"/>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FB5B7E"/>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B67E20"/>
  </w:style>
  <w:style w:type="character" w:customStyle="1" w:styleId="VPBodyChar">
    <w:name w:val="VP Body Char"/>
    <w:basedOn w:val="DefaultParagraphFont"/>
    <w:link w:val="VPBody"/>
    <w:locked/>
    <w:rsid w:val="007544F0"/>
    <w:rPr>
      <w:rFonts w:ascii="Times New Roman" w:hAnsi="Times New Roman" w:cs="Times New Roman"/>
      <w:bCs/>
      <w:sz w:val="24"/>
    </w:rPr>
  </w:style>
  <w:style w:type="character" w:customStyle="1" w:styleId="StBodyText">
    <w:name w:val="St_Body_Text"/>
    <w:rsid w:val="007544F0"/>
    <w:rPr>
      <w:rFonts w:ascii="Times New Roman" w:hAnsi="Times New Roman" w:cs="Times New Roman" w:hint="default"/>
    </w:rPr>
  </w:style>
  <w:style w:type="paragraph" w:customStyle="1" w:styleId="VPBullet">
    <w:name w:val="VP Bullet"/>
    <w:basedOn w:val="VPBody"/>
    <w:rsid w:val="007544F0"/>
    <w:pPr>
      <w:numPr>
        <w:numId w:val="5"/>
      </w:numPr>
      <w:ind w:left="720"/>
    </w:pPr>
  </w:style>
  <w:style w:type="paragraph" w:customStyle="1" w:styleId="VPNumbered">
    <w:name w:val="VP Numbered"/>
    <w:basedOn w:val="VPBody"/>
    <w:qFormat/>
    <w:rsid w:val="007544F0"/>
    <w:pPr>
      <w:numPr>
        <w:numId w:val="6"/>
      </w:numPr>
      <w:tabs>
        <w:tab w:val="clear" w:pos="0"/>
        <w:tab w:val="left" w:pos="709"/>
      </w:tabs>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087701">
      <w:bodyDiv w:val="1"/>
      <w:marLeft w:val="0"/>
      <w:marRight w:val="0"/>
      <w:marTop w:val="0"/>
      <w:marBottom w:val="0"/>
      <w:divBdr>
        <w:top w:val="none" w:sz="0" w:space="0" w:color="auto"/>
        <w:left w:val="none" w:sz="0" w:space="0" w:color="auto"/>
        <w:bottom w:val="none" w:sz="0" w:space="0" w:color="auto"/>
        <w:right w:val="none" w:sz="0" w:space="0" w:color="auto"/>
      </w:divBdr>
      <w:divsChild>
        <w:div w:id="1925532005">
          <w:marLeft w:val="0"/>
          <w:marRight w:val="0"/>
          <w:marTop w:val="0"/>
          <w:marBottom w:val="0"/>
          <w:divBdr>
            <w:top w:val="none" w:sz="0" w:space="0" w:color="auto"/>
            <w:left w:val="none" w:sz="0" w:space="0" w:color="auto"/>
            <w:bottom w:val="none" w:sz="0" w:space="0" w:color="auto"/>
            <w:right w:val="none" w:sz="0" w:space="0" w:color="auto"/>
          </w:divBdr>
          <w:divsChild>
            <w:div w:id="1183934531">
              <w:marLeft w:val="0"/>
              <w:marRight w:val="0"/>
              <w:marTop w:val="0"/>
              <w:marBottom w:val="0"/>
              <w:divBdr>
                <w:top w:val="none" w:sz="0" w:space="0" w:color="auto"/>
                <w:left w:val="none" w:sz="0" w:space="0" w:color="auto"/>
                <w:bottom w:val="none" w:sz="0" w:space="0" w:color="auto"/>
                <w:right w:val="none" w:sz="0" w:space="0" w:color="auto"/>
              </w:divBdr>
              <w:divsChild>
                <w:div w:id="1764566010">
                  <w:marLeft w:val="0"/>
                  <w:marRight w:val="0"/>
                  <w:marTop w:val="0"/>
                  <w:marBottom w:val="0"/>
                  <w:divBdr>
                    <w:top w:val="none" w:sz="0" w:space="0" w:color="auto"/>
                    <w:left w:val="none" w:sz="0" w:space="0" w:color="auto"/>
                    <w:bottom w:val="none" w:sz="0" w:space="0" w:color="auto"/>
                    <w:right w:val="none" w:sz="0" w:space="0" w:color="auto"/>
                  </w:divBdr>
                </w:div>
                <w:div w:id="99106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4675">
          <w:marLeft w:val="0"/>
          <w:marRight w:val="0"/>
          <w:marTop w:val="0"/>
          <w:marBottom w:val="0"/>
          <w:divBdr>
            <w:top w:val="none" w:sz="0" w:space="0" w:color="auto"/>
            <w:left w:val="none" w:sz="0" w:space="0" w:color="auto"/>
            <w:bottom w:val="none" w:sz="0" w:space="0" w:color="auto"/>
            <w:right w:val="none" w:sz="0" w:space="0" w:color="auto"/>
          </w:divBdr>
          <w:divsChild>
            <w:div w:id="12599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10196">
      <w:bodyDiv w:val="1"/>
      <w:marLeft w:val="0"/>
      <w:marRight w:val="0"/>
      <w:marTop w:val="0"/>
      <w:marBottom w:val="0"/>
      <w:divBdr>
        <w:top w:val="none" w:sz="0" w:space="0" w:color="auto"/>
        <w:left w:val="none" w:sz="0" w:space="0" w:color="auto"/>
        <w:bottom w:val="none" w:sz="0" w:space="0" w:color="auto"/>
        <w:right w:val="none" w:sz="0" w:space="0" w:color="auto"/>
      </w:divBdr>
    </w:div>
    <w:div w:id="401290980">
      <w:bodyDiv w:val="1"/>
      <w:marLeft w:val="0"/>
      <w:marRight w:val="0"/>
      <w:marTop w:val="0"/>
      <w:marBottom w:val="0"/>
      <w:divBdr>
        <w:top w:val="none" w:sz="0" w:space="0" w:color="auto"/>
        <w:left w:val="none" w:sz="0" w:space="0" w:color="auto"/>
        <w:bottom w:val="none" w:sz="0" w:space="0" w:color="auto"/>
        <w:right w:val="none" w:sz="0" w:space="0" w:color="auto"/>
      </w:divBdr>
    </w:div>
    <w:div w:id="456341435">
      <w:bodyDiv w:val="1"/>
      <w:marLeft w:val="0"/>
      <w:marRight w:val="0"/>
      <w:marTop w:val="0"/>
      <w:marBottom w:val="0"/>
      <w:divBdr>
        <w:top w:val="none" w:sz="0" w:space="0" w:color="auto"/>
        <w:left w:val="none" w:sz="0" w:space="0" w:color="auto"/>
        <w:bottom w:val="none" w:sz="0" w:space="0" w:color="auto"/>
        <w:right w:val="none" w:sz="0" w:space="0" w:color="auto"/>
      </w:divBdr>
    </w:div>
    <w:div w:id="608199221">
      <w:bodyDiv w:val="1"/>
      <w:marLeft w:val="0"/>
      <w:marRight w:val="0"/>
      <w:marTop w:val="0"/>
      <w:marBottom w:val="0"/>
      <w:divBdr>
        <w:top w:val="none" w:sz="0" w:space="0" w:color="auto"/>
        <w:left w:val="none" w:sz="0" w:space="0" w:color="auto"/>
        <w:bottom w:val="none" w:sz="0" w:space="0" w:color="auto"/>
        <w:right w:val="none" w:sz="0" w:space="0" w:color="auto"/>
      </w:divBdr>
    </w:div>
    <w:div w:id="1050686615">
      <w:bodyDiv w:val="1"/>
      <w:marLeft w:val="0"/>
      <w:marRight w:val="0"/>
      <w:marTop w:val="0"/>
      <w:marBottom w:val="0"/>
      <w:divBdr>
        <w:top w:val="none" w:sz="0" w:space="0" w:color="auto"/>
        <w:left w:val="none" w:sz="0" w:space="0" w:color="auto"/>
        <w:bottom w:val="none" w:sz="0" w:space="0" w:color="auto"/>
        <w:right w:val="none" w:sz="0" w:space="0" w:color="auto"/>
      </w:divBdr>
    </w:div>
    <w:div w:id="1350452745">
      <w:bodyDiv w:val="1"/>
      <w:marLeft w:val="0"/>
      <w:marRight w:val="0"/>
      <w:marTop w:val="0"/>
      <w:marBottom w:val="0"/>
      <w:divBdr>
        <w:top w:val="none" w:sz="0" w:space="0" w:color="auto"/>
        <w:left w:val="none" w:sz="0" w:space="0" w:color="auto"/>
        <w:bottom w:val="none" w:sz="0" w:space="0" w:color="auto"/>
        <w:right w:val="none" w:sz="0" w:space="0" w:color="auto"/>
      </w:divBdr>
    </w:div>
    <w:div w:id="1507287852">
      <w:bodyDiv w:val="1"/>
      <w:marLeft w:val="0"/>
      <w:marRight w:val="0"/>
      <w:marTop w:val="0"/>
      <w:marBottom w:val="0"/>
      <w:divBdr>
        <w:top w:val="none" w:sz="0" w:space="0" w:color="auto"/>
        <w:left w:val="none" w:sz="0" w:space="0" w:color="auto"/>
        <w:bottom w:val="none" w:sz="0" w:space="0" w:color="auto"/>
        <w:right w:val="none" w:sz="0" w:space="0" w:color="auto"/>
      </w:divBdr>
    </w:div>
    <w:div w:id="1844926834">
      <w:bodyDiv w:val="1"/>
      <w:marLeft w:val="0"/>
      <w:marRight w:val="0"/>
      <w:marTop w:val="0"/>
      <w:marBottom w:val="0"/>
      <w:divBdr>
        <w:top w:val="none" w:sz="0" w:space="0" w:color="auto"/>
        <w:left w:val="none" w:sz="0" w:space="0" w:color="auto"/>
        <w:bottom w:val="none" w:sz="0" w:space="0" w:color="auto"/>
        <w:right w:val="none" w:sz="0" w:space="0" w:color="auto"/>
      </w:divBdr>
    </w:div>
    <w:div w:id="1890341681">
      <w:bodyDiv w:val="1"/>
      <w:marLeft w:val="0"/>
      <w:marRight w:val="0"/>
      <w:marTop w:val="0"/>
      <w:marBottom w:val="0"/>
      <w:divBdr>
        <w:top w:val="none" w:sz="0" w:space="0" w:color="auto"/>
        <w:left w:val="none" w:sz="0" w:space="0" w:color="auto"/>
        <w:bottom w:val="none" w:sz="0" w:space="0" w:color="auto"/>
        <w:right w:val="none" w:sz="0" w:space="0" w:color="auto"/>
      </w:divBdr>
    </w:div>
    <w:div w:id="2008090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vija.lv/" TargetMode="External"/><Relationship Id="rId13" Type="http://schemas.openxmlformats.org/officeDocument/2006/relationships/hyperlink" Target="http://www.latvija.lv/" TargetMode="External"/><Relationship Id="rId18" Type="http://schemas.openxmlformats.org/officeDocument/2006/relationships/hyperlink" Target="http://www.latvija.lv/"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latvija.lv/" TargetMode="External"/><Relationship Id="rId7" Type="http://schemas.openxmlformats.org/officeDocument/2006/relationships/endnotes" Target="endnotes.xml"/><Relationship Id="rId12" Type="http://schemas.openxmlformats.org/officeDocument/2006/relationships/hyperlink" Target="http://www.latvija.lv/" TargetMode="External"/><Relationship Id="rId17" Type="http://schemas.openxmlformats.org/officeDocument/2006/relationships/hyperlink" Target="http://www.latvija.lv/"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latvija.lv/" TargetMode="External"/><Relationship Id="rId20" Type="http://schemas.openxmlformats.org/officeDocument/2006/relationships/hyperlink" Target="http://www.latvija.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tvija.l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latvija.lv/" TargetMode="External"/><Relationship Id="rId23" Type="http://schemas.openxmlformats.org/officeDocument/2006/relationships/hyperlink" Target="http://www.latvija.lv/" TargetMode="External"/><Relationship Id="rId28" Type="http://schemas.openxmlformats.org/officeDocument/2006/relationships/theme" Target="theme/theme1.xml"/><Relationship Id="rId10" Type="http://schemas.openxmlformats.org/officeDocument/2006/relationships/hyperlink" Target="http://www.latvija.lv/" TargetMode="External"/><Relationship Id="rId19"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www.latvija.lv/" TargetMode="External"/><Relationship Id="rId14" Type="http://schemas.openxmlformats.org/officeDocument/2006/relationships/hyperlink" Target="http://www.latvija.lv/" TargetMode="External"/><Relationship Id="rId22" Type="http://schemas.openxmlformats.org/officeDocument/2006/relationships/hyperlink" Target="http://www.latvija.lv/"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E72740-D6BC-4943-ABFD-146F3B924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6</Pages>
  <Words>10272</Words>
  <Characters>5856</Characters>
  <Application>Microsoft Office Word</Application>
  <DocSecurity>0</DocSecurity>
  <Lines>48</Lines>
  <Paragraphs>32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pielikums</vt:lpstr>
      <vt:lpstr/>
    </vt:vector>
  </TitlesOfParts>
  <Company>Veselības ministrija</Company>
  <LinksUpToDate>false</LinksUpToDate>
  <CharactersWithSpaces>16096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pielikums</dc:title>
  <dc:creator>L.Freimane</dc:creator>
  <dc:description>Linda Freimane, 67686329
linda.freimane@vmnvd.gov.lv</dc:description>
  <cp:lastModifiedBy>Signe Vītoliņa</cp:lastModifiedBy>
  <cp:revision>23</cp:revision>
  <cp:lastPrinted>2017-08-09T05:30:00Z</cp:lastPrinted>
  <dcterms:created xsi:type="dcterms:W3CDTF">2017-05-24T11:31:00Z</dcterms:created>
  <dcterms:modified xsi:type="dcterms:W3CDTF">2017-08-17T06:34:00Z</dcterms:modified>
</cp:coreProperties>
</file>